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AC4F67B" w14:paraId="11CC0376" wp14:textId="2371AECA">
      <w:pPr>
        <w:pStyle w:val="NoSpacing"/>
        <w:spacing w:after="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r w:rsidRPr="5AC4F67B" w:rsidR="578D55B9">
        <w:rPr>
          <w:rFonts w:ascii="Arial" w:hAnsi="Arial" w:eastAsia="Arial" w:cs="Arial"/>
          <w:b w:val="1"/>
          <w:bCs w:val="1"/>
          <w:i w:val="0"/>
          <w:iCs w:val="0"/>
          <w:caps w:val="0"/>
          <w:smallCaps w:val="0"/>
          <w:noProof w:val="0"/>
          <w:color w:val="4472C4" w:themeColor="accent1" w:themeTint="FF" w:themeShade="FF"/>
          <w:sz w:val="28"/>
          <w:szCs w:val="28"/>
          <w:lang w:val="en-US"/>
        </w:rPr>
        <w:t>The extent of repeat victimisation is an under calculated area of within the Criminal Justice System. Critically evaluate this statement</w:t>
      </w:r>
      <w:proofErr w:type="spellStart"/>
      <w:proofErr w:type="spellEnd"/>
      <w:proofErr w:type="spellStart"/>
      <w:proofErr w:type="spellEnd"/>
      <w:proofErr w:type="spellStart"/>
      <w:proofErr w:type="spellEnd"/>
    </w:p>
    <w:p xmlns:wp14="http://schemas.microsoft.com/office/word/2010/wordml" w:rsidP="5AC4F67B" w14:paraId="5A9A5E45" wp14:textId="015ED288">
      <w:pPr>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AC4F67B" w14:paraId="494E595B" wp14:textId="6E10BF1C">
      <w:pPr>
        <w:spacing w:after="160" w:line="48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AC4F67B" w14:paraId="567F31AA" wp14:textId="2B426977">
      <w:pPr>
        <w:pStyle w:val="Normal"/>
        <w:spacing w:after="160" w:line="48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AC4F67B" w14:paraId="23FBD4B5" wp14:textId="7E66A88B">
      <w:pPr>
        <w:pStyle w:val="Normal"/>
        <w:spacing w:after="160" w:line="48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AC4F67B" w14:paraId="1B539BF0" wp14:textId="1E9D48C1">
      <w:pPr>
        <w:pStyle w:val="Normal"/>
        <w:spacing w:after="160" w:line="48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AC4F67B" w14:paraId="5DE998F0" wp14:textId="5C3D0EC8">
      <w:pPr>
        <w:pStyle w:val="Normal"/>
        <w:spacing w:after="160" w:line="48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AC4F67B" w14:paraId="066C9B34" wp14:textId="0913350C">
      <w:pPr>
        <w:pStyle w:val="Normal"/>
        <w:spacing w:after="160" w:line="480"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AC4F67B" w14:paraId="22091C8E" wp14:textId="0F2AE20A">
      <w:pPr>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r w:rsidRPr="5AC4F67B" w:rsidR="578D55B9">
        <w:rPr>
          <w:rFonts w:ascii="Arial" w:hAnsi="Arial" w:eastAsia="Arial" w:cs="Arial"/>
          <w:b w:val="0"/>
          <w:bCs w:val="0"/>
          <w:i w:val="0"/>
          <w:iCs w:val="0"/>
          <w:caps w:val="0"/>
          <w:smallCaps w:val="0"/>
          <w:noProof w:val="0"/>
          <w:color w:val="4472C4" w:themeColor="accent1" w:themeTint="FF" w:themeShade="FF"/>
          <w:sz w:val="28"/>
          <w:szCs w:val="28"/>
          <w:lang w:val="en-US"/>
        </w:rPr>
        <w:t>Name: Jessica Emily Parry</w:t>
      </w:r>
    </w:p>
    <w:p xmlns:wp14="http://schemas.microsoft.com/office/word/2010/wordml" w:rsidP="5AC4F67B" w14:paraId="1D56E3CB" wp14:textId="2531986F">
      <w:pPr>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r w:rsidRPr="5AC4F67B" w:rsidR="578D55B9">
        <w:rPr>
          <w:rFonts w:ascii="Arial" w:hAnsi="Arial" w:eastAsia="Arial" w:cs="Arial"/>
          <w:b w:val="0"/>
          <w:bCs w:val="0"/>
          <w:i w:val="0"/>
          <w:iCs w:val="0"/>
          <w:caps w:val="0"/>
          <w:smallCaps w:val="0"/>
          <w:noProof w:val="0"/>
          <w:color w:val="4472C4" w:themeColor="accent1" w:themeTint="FF" w:themeShade="FF"/>
          <w:sz w:val="28"/>
          <w:szCs w:val="28"/>
          <w:lang w:val="en-US"/>
        </w:rPr>
        <w:t>Student ID: 1901894</w:t>
      </w:r>
    </w:p>
    <w:p xmlns:wp14="http://schemas.microsoft.com/office/word/2010/wordml" w:rsidP="5AC4F67B" w14:paraId="3F961876" wp14:textId="4F3C30CE">
      <w:pPr>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r w:rsidRPr="5AC4F67B" w:rsidR="578D55B9">
        <w:rPr>
          <w:rFonts w:ascii="Arial" w:hAnsi="Arial" w:eastAsia="Arial" w:cs="Arial"/>
          <w:b w:val="0"/>
          <w:bCs w:val="0"/>
          <w:i w:val="0"/>
          <w:iCs w:val="0"/>
          <w:caps w:val="0"/>
          <w:smallCaps w:val="0"/>
          <w:noProof w:val="0"/>
          <w:color w:val="4472C4" w:themeColor="accent1" w:themeTint="FF" w:themeShade="FF"/>
          <w:sz w:val="28"/>
          <w:szCs w:val="28"/>
          <w:lang w:val="en-US"/>
        </w:rPr>
        <w:t>Module Code: BMLW600</w:t>
      </w:r>
    </w:p>
    <w:p xmlns:wp14="http://schemas.microsoft.com/office/word/2010/wordml" w:rsidP="5AC4F67B" w14:paraId="069A98ED" wp14:textId="1473520B">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22958F03" wp14:textId="01D3373E">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54CC71D1" wp14:textId="5B2BBC04">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46A27129" wp14:textId="55D44475">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33D835ED" wp14:textId="0D2E400F">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18EF41F9" wp14:textId="3D2D9CE8">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36408CC7" wp14:textId="54E1085F">
      <w:pPr>
        <w:pStyle w:val="Normal"/>
        <w:spacing w:after="160" w:line="480" w:lineRule="auto"/>
        <w:jc w:val="center"/>
        <w:rPr>
          <w:rFonts w:ascii="Arial" w:hAnsi="Arial" w:eastAsia="Arial" w:cs="Arial"/>
          <w:b w:val="0"/>
          <w:bCs w:val="0"/>
          <w:i w:val="0"/>
          <w:iCs w:val="0"/>
          <w:caps w:val="0"/>
          <w:smallCaps w:val="0"/>
          <w:noProof w:val="0"/>
          <w:color w:val="4472C4" w:themeColor="accent1" w:themeTint="FF" w:themeShade="FF"/>
          <w:sz w:val="28"/>
          <w:szCs w:val="28"/>
          <w:lang w:val="en-US"/>
        </w:rPr>
      </w:pPr>
    </w:p>
    <w:p xmlns:wp14="http://schemas.microsoft.com/office/word/2010/wordml" w:rsidP="5AC4F67B" w14:paraId="44AB0AEA" wp14:textId="59B9FE7C">
      <w:pPr>
        <w:pStyle w:val="Normal"/>
        <w:spacing w:line="480" w:lineRule="auto"/>
        <w:rPr>
          <w:rFonts w:ascii="Arial" w:hAnsi="Arial" w:eastAsia="Arial" w:cs="Arial"/>
          <w:noProof w:val="0"/>
          <w:sz w:val="24"/>
          <w:szCs w:val="24"/>
          <w:lang w:val="en-US"/>
        </w:rPr>
      </w:pPr>
      <w:r w:rsidRPr="5AC4F67B" w:rsidR="1C15AB0C">
        <w:rPr>
          <w:rFonts w:ascii="Arial" w:hAnsi="Arial" w:eastAsia="Arial" w:cs="Arial"/>
          <w:noProof w:val="0"/>
          <w:sz w:val="24"/>
          <w:szCs w:val="24"/>
          <w:lang w:val="en-US"/>
        </w:rPr>
        <w:t xml:space="preserve">Identified by the Bedfordshire Police (2021a) repeat </w:t>
      </w:r>
      <w:proofErr w:type="spellStart"/>
      <w:r w:rsidRPr="5AC4F67B" w:rsidR="1C15AB0C">
        <w:rPr>
          <w:rFonts w:ascii="Arial" w:hAnsi="Arial" w:eastAsia="Arial" w:cs="Arial"/>
          <w:noProof w:val="0"/>
          <w:sz w:val="24"/>
          <w:szCs w:val="24"/>
          <w:lang w:val="en-US"/>
        </w:rPr>
        <w:t>victimisation</w:t>
      </w:r>
      <w:proofErr w:type="spellEnd"/>
      <w:r w:rsidRPr="5AC4F67B" w:rsidR="1C15AB0C">
        <w:rPr>
          <w:rFonts w:ascii="Arial" w:hAnsi="Arial" w:eastAsia="Arial" w:cs="Arial"/>
          <w:noProof w:val="0"/>
          <w:sz w:val="24"/>
          <w:szCs w:val="24"/>
          <w:lang w:val="en-US"/>
        </w:rPr>
        <w:t xml:space="preserve"> is considered when an individual feels themselves to be one or if they have been the victim of more than one documented crime or anti-social </w:t>
      </w:r>
      <w:proofErr w:type="spellStart"/>
      <w:r w:rsidRPr="5AC4F67B" w:rsidR="1C15AB0C">
        <w:rPr>
          <w:rFonts w:ascii="Arial" w:hAnsi="Arial" w:eastAsia="Arial" w:cs="Arial"/>
          <w:noProof w:val="0"/>
          <w:sz w:val="24"/>
          <w:szCs w:val="24"/>
          <w:lang w:val="en-US"/>
        </w:rPr>
        <w:t>behaviour</w:t>
      </w:r>
      <w:proofErr w:type="spellEnd"/>
      <w:r w:rsidRPr="5AC4F67B" w:rsidR="1C15AB0C">
        <w:rPr>
          <w:rFonts w:ascii="Arial" w:hAnsi="Arial" w:eastAsia="Arial" w:cs="Arial"/>
          <w:noProof w:val="0"/>
          <w:sz w:val="24"/>
          <w:szCs w:val="24"/>
          <w:lang w:val="en-US"/>
        </w:rPr>
        <w:t xml:space="preserve"> (ASB) event during the preceding 12 months. This enables the police to consider a series of connected or recurrent incidents that occurred previously to the victim, calling the police as part of an anti-social </w:t>
      </w:r>
      <w:proofErr w:type="spellStart"/>
      <w:r w:rsidRPr="5AC4F67B" w:rsidR="1C15AB0C">
        <w:rPr>
          <w:rFonts w:ascii="Arial" w:hAnsi="Arial" w:eastAsia="Arial" w:cs="Arial"/>
          <w:noProof w:val="0"/>
          <w:sz w:val="24"/>
          <w:szCs w:val="24"/>
          <w:lang w:val="en-US"/>
        </w:rPr>
        <w:t>behaviour</w:t>
      </w:r>
      <w:proofErr w:type="spellEnd"/>
      <w:r w:rsidRPr="5AC4F67B" w:rsidR="1C15AB0C">
        <w:rPr>
          <w:rFonts w:ascii="Arial" w:hAnsi="Arial" w:eastAsia="Arial" w:cs="Arial"/>
          <w:noProof w:val="0"/>
          <w:sz w:val="24"/>
          <w:szCs w:val="24"/>
          <w:lang w:val="en-US"/>
        </w:rPr>
        <w:t xml:space="preserve"> pattern. Additionally, the police classify people as repeat victims if they have previously filed complaints with partner agencies rather than with the police.</w:t>
      </w:r>
    </w:p>
    <w:p xmlns:wp14="http://schemas.microsoft.com/office/word/2010/wordml" w:rsidP="65CF072D" w14:paraId="3FFD8BE9" wp14:textId="68BAC60D">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60110F4" wp14:textId="341698B1">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0C70CE67" wp14:textId="50345D28">
      <w:pPr>
        <w:spacing w:line="480" w:lineRule="auto"/>
      </w:pPr>
      <w:r w:rsidRPr="65CF072D" w:rsidR="1C15AB0C">
        <w:rPr>
          <w:rFonts w:ascii="Arial" w:hAnsi="Arial" w:eastAsia="Arial" w:cs="Arial"/>
          <w:noProof w:val="0"/>
          <w:sz w:val="24"/>
          <w:szCs w:val="24"/>
          <w:lang w:val="en-US"/>
        </w:rPr>
        <w:t>As guidance, wherever possible, a definition for vulnerable victims was agreed between Bedfordshire, Hertfordshire and Cambridgeshire (Bedfordshire Police, 2021a). An individual is deemed vulnerable if, because of their status or circumstances, they are unable to defend themselves from danger, either temporarily or permanently. The following are possible considerations, health and disability, equality and discrimination factors, economic, personal and family circumstances.</w:t>
      </w:r>
    </w:p>
    <w:p xmlns:wp14="http://schemas.microsoft.com/office/word/2010/wordml" w:rsidP="65CF072D" w14:paraId="217076F8" wp14:textId="30978CCB">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F5E79E8" wp14:textId="422B0184">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B558C9C" wp14:textId="47A5E6BC">
      <w:pPr>
        <w:spacing w:line="480" w:lineRule="auto"/>
      </w:pPr>
      <w:r w:rsidRPr="65CF072D" w:rsidR="1C15AB0C">
        <w:rPr>
          <w:rFonts w:ascii="Arial" w:hAnsi="Arial" w:eastAsia="Arial" w:cs="Arial"/>
          <w:noProof w:val="0"/>
          <w:sz w:val="24"/>
          <w:szCs w:val="24"/>
          <w:lang w:val="en-US"/>
        </w:rPr>
        <w:t>Anti-social behaviour encompasses a broad variety of deviant behaviour to an individual of a different household, their society, or their environment (Bedfordshire Police, 2021b., and Metropolitan Police, 2021). This might be an action taken by another individual that causes you to feel threatened, intimidated or distressed. Additionally, it involves dread of crime and worry for public safety, disruption, or annoyance.</w:t>
      </w:r>
    </w:p>
    <w:p xmlns:wp14="http://schemas.microsoft.com/office/word/2010/wordml" w:rsidP="65CF072D" w14:paraId="2322653A" wp14:textId="22A2B8E1">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68DC5AE" wp14:textId="2902894F">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EBE89B2" wp14:textId="3214D2D5">
      <w:pPr>
        <w:spacing w:line="480" w:lineRule="auto"/>
      </w:pPr>
      <w:r w:rsidRPr="65CF072D" w:rsidR="1C15AB0C">
        <w:rPr>
          <w:rFonts w:ascii="Arial" w:hAnsi="Arial" w:eastAsia="Arial" w:cs="Arial"/>
          <w:noProof w:val="0"/>
          <w:sz w:val="24"/>
          <w:szCs w:val="24"/>
          <w:lang w:val="en-US"/>
        </w:rPr>
        <w:t xml:space="preserve">Anti-social behaviour introduced by the Metropolitan Police (2021) may be classified into three broad categories, based on the number of individuals affected, such as </w:t>
      </w:r>
      <w:r w:rsidRPr="65CF072D" w:rsidR="1C15AB0C">
        <w:rPr>
          <w:rFonts w:ascii="Arial" w:hAnsi="Arial" w:eastAsia="Arial" w:cs="Arial"/>
          <w:b w:val="1"/>
          <w:bCs w:val="1"/>
          <w:noProof w:val="0"/>
          <w:sz w:val="24"/>
          <w:szCs w:val="24"/>
          <w:lang w:val="en-US"/>
        </w:rPr>
        <w:t>personal antisocial behaviour</w:t>
      </w:r>
      <w:r w:rsidRPr="65CF072D" w:rsidR="1C15AB0C">
        <w:rPr>
          <w:rFonts w:ascii="Arial" w:hAnsi="Arial" w:eastAsia="Arial" w:cs="Arial"/>
          <w:noProof w:val="0"/>
          <w:sz w:val="24"/>
          <w:szCs w:val="24"/>
          <w:lang w:val="en-US"/>
        </w:rPr>
        <w:t xml:space="preserve"> which occurs when an individual or group is targeted, </w:t>
      </w:r>
      <w:r w:rsidRPr="65CF072D" w:rsidR="1C15AB0C">
        <w:rPr>
          <w:rFonts w:ascii="Arial" w:hAnsi="Arial" w:eastAsia="Arial" w:cs="Arial"/>
          <w:b w:val="1"/>
          <w:bCs w:val="1"/>
          <w:noProof w:val="0"/>
          <w:sz w:val="24"/>
          <w:szCs w:val="24"/>
          <w:lang w:val="en-US"/>
        </w:rPr>
        <w:t>nuisance antisocial behaviour</w:t>
      </w:r>
      <w:r w:rsidRPr="65CF072D" w:rsidR="1C15AB0C">
        <w:rPr>
          <w:rFonts w:ascii="Arial" w:hAnsi="Arial" w:eastAsia="Arial" w:cs="Arial"/>
          <w:noProof w:val="0"/>
          <w:sz w:val="24"/>
          <w:szCs w:val="24"/>
          <w:lang w:val="en-US"/>
        </w:rPr>
        <w:t xml:space="preserve"> occurs when an individual causes group distress, discomfort, or misery and finally </w:t>
      </w:r>
      <w:r w:rsidRPr="65CF072D" w:rsidR="1C15AB0C">
        <w:rPr>
          <w:rFonts w:ascii="Arial" w:hAnsi="Arial" w:eastAsia="Arial" w:cs="Arial"/>
          <w:b w:val="1"/>
          <w:bCs w:val="1"/>
          <w:noProof w:val="0"/>
          <w:sz w:val="24"/>
          <w:szCs w:val="24"/>
          <w:lang w:val="en-US"/>
        </w:rPr>
        <w:t>environmental antisocial behaviour</w:t>
      </w:r>
      <w:r w:rsidRPr="65CF072D" w:rsidR="1C15AB0C">
        <w:rPr>
          <w:rFonts w:ascii="Arial" w:hAnsi="Arial" w:eastAsia="Arial" w:cs="Arial"/>
          <w:noProof w:val="0"/>
          <w:sz w:val="24"/>
          <w:szCs w:val="24"/>
          <w:lang w:val="en-US"/>
        </w:rPr>
        <w:t xml:space="preserve"> occurs when an individual's behaviour has an adverse effect on communal locations or buildings.</w:t>
      </w:r>
    </w:p>
    <w:p xmlns:wp14="http://schemas.microsoft.com/office/word/2010/wordml" w:rsidP="65CF072D" w14:paraId="5740C0AE" wp14:textId="3B48B833">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7F8F659" wp14:textId="4D665B94">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469B60F" wp14:textId="6868414E">
      <w:pPr>
        <w:spacing w:line="480" w:lineRule="auto"/>
      </w:pPr>
      <w:r w:rsidRPr="65CF072D" w:rsidR="1C15AB0C">
        <w:rPr>
          <w:rFonts w:ascii="Arial" w:hAnsi="Arial" w:eastAsia="Arial" w:cs="Arial"/>
          <w:noProof w:val="0"/>
          <w:sz w:val="24"/>
          <w:szCs w:val="24"/>
          <w:lang w:val="en-US"/>
        </w:rPr>
        <w:t>The criminal justice system in the United Kingdom is composed of individuals who respond to all forms of crime and criminal activity and are responsible for administering justice in the country (Clark, 2021). According to Davies, Croall and Tyler (1998) article, the system is divided into four subsystems: law enforcement, the penal system, crime prevention and courts. The police and prosecutorial agencies are part of the law enforcement. Probation and prison are included in the penal system. Crime prevention entails private and government services assisting individuals and lowering crime through behaviour modification, while courts determine the penalty for those found guilty while taking their rights into account. These subsystems achieve justice through a professional standard of collaboration.</w:t>
      </w:r>
    </w:p>
    <w:p xmlns:wp14="http://schemas.microsoft.com/office/word/2010/wordml" w:rsidP="65CF072D" w14:paraId="14461454" wp14:textId="308DA908">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A860425" wp14:textId="3A1DAA28">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7EFC083" wp14:textId="3D0F51B5">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197994F" wp14:textId="260C9F5C">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62ABD59" wp14:textId="0E974F70">
      <w:pPr>
        <w:spacing w:line="480" w:lineRule="auto"/>
      </w:pPr>
      <w:r w:rsidRPr="65CF072D" w:rsidR="1C15AB0C">
        <w:rPr>
          <w:rFonts w:ascii="Arial" w:hAnsi="Arial" w:eastAsia="Arial" w:cs="Arial"/>
          <w:noProof w:val="0"/>
          <w:sz w:val="24"/>
          <w:szCs w:val="24"/>
          <w:lang w:val="en-US"/>
        </w:rPr>
        <w:t>The number of individuals with a disability is rising worldwide, according to the World Report on Disability (World Health Organisation, 2011, p.57-263). As individuals live longer, they are more likely to suffer from chronic health disorders like diabetes, heart disease, and mental illness, which are all linked to disability. There are many other environmental causes that contribute to rise in disability, such as traffic accidents, natural catastrophes and conflicts. People with disabilities account for over a billion, approximately fifteen percent of the world’s population (World Health Organisation, 2011, p.57-263). This is far more than previous World Health Organisation estimates from the 1970s, which estimated a value of ten percent. Individuals with a disability are more vulnerable to being victimised by violence than other groups of society (Mikton and Shakespeare, 2014). Individuals with mental health issues have a higher risk of violence (Emerson and Roulstone, 2014). Identified by Petersilia, Foote and Crowell (2001, p. 22) regardless of their age or gender, people with disabilities face a higher risk of being a victim of interpersonal violence, such as physical or sexual assault, due to their inability to recognise danger, their inability to protect themselves, and their inability to get help from the CJS, possibly due to no report being made to the police.</w:t>
      </w:r>
    </w:p>
    <w:p xmlns:wp14="http://schemas.microsoft.com/office/word/2010/wordml" w:rsidP="65CF072D" w14:paraId="35652283" wp14:textId="0FB4CF6B">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7C7B163" wp14:textId="31B4C01E">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EE0E360" wp14:textId="360EF3FE">
      <w:pPr>
        <w:spacing w:line="480" w:lineRule="auto"/>
      </w:pPr>
      <w:r w:rsidRPr="65CF072D" w:rsidR="1C15AB0C">
        <w:rPr>
          <w:rFonts w:ascii="Arial" w:hAnsi="Arial" w:eastAsia="Arial" w:cs="Arial"/>
          <w:noProof w:val="0"/>
          <w:sz w:val="24"/>
          <w:szCs w:val="24"/>
          <w:lang w:val="en-US"/>
        </w:rPr>
        <w:t>According to the Leicester Hate Crime project (2014a) disabled individuals were found to be more likely to have suffered various types of targeted hostility compared to other groups. Approximately ninety percent of disabled individuals had been verbally abused; ninety-two percent had been victims of physical crime; and twenty-two percent had been victims of sexual violence. The Leicester Hate Crime Project (2014b) also identified that in the UK fifty-five percent had been targeted while they were on their own, while thirty-seven percent of hate crimes occurred in public places. Interestingly, seventy-two percent of the offenders were between the ages of 13 and 30. This could possibly be the target age group, because at this age they are more active with School, College, University and employment, which could possibly increase the chances of bullying and anti-social behaviour. More than two-thirds of victims reported feeling vulnerable, anxious or afraid because of verbal abuse and anti-social behaviour. Fifty-five percent of this developed depression and twenty-seven percent had increased suicidal thoughts. Research evidentially suggests that hate crime is a big problem throughout the UK.</w:t>
      </w:r>
    </w:p>
    <w:p xmlns:wp14="http://schemas.microsoft.com/office/word/2010/wordml" w:rsidP="65CF072D" w14:paraId="51F3C1DB" wp14:textId="034BF9B4">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3464C63" wp14:textId="3F95AC48">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F61E299" wp14:textId="04781209">
      <w:pPr>
        <w:spacing w:line="480" w:lineRule="auto"/>
      </w:pPr>
      <w:r w:rsidRPr="65CF072D" w:rsidR="1C15AB0C">
        <w:rPr>
          <w:rFonts w:ascii="Arial" w:hAnsi="Arial" w:eastAsia="Arial" w:cs="Arial"/>
          <w:noProof w:val="0"/>
          <w:sz w:val="24"/>
          <w:szCs w:val="24"/>
          <w:lang w:val="en-US"/>
        </w:rPr>
        <w:t>According to the Office for National Statistics (2019) the Crime Survey for England and Wales (CSEW) year-ending March 2018, seventy-four percent of victims of violence had been victimised once, while twenty-six percent had been re-victimised in the preceding twelve months (eighteen percent victimised twice and seven percent victimised three times or more). Repeat victimisation did not vary considerably from the previous year’s survey but has fallen dramatically by fourteen percent since 1995. However, the real figure of repeat victims will never be known due to the number of under reported cases.</w:t>
      </w:r>
    </w:p>
    <w:p xmlns:wp14="http://schemas.microsoft.com/office/word/2010/wordml" w:rsidP="65CF072D" w14:paraId="405441B2" wp14:textId="197D6275">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B993D91" wp14:textId="09AC475B">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4FC7ACD" wp14:textId="7C105618">
      <w:pPr>
        <w:spacing w:line="480" w:lineRule="auto"/>
      </w:pPr>
      <w:r w:rsidRPr="65CF072D" w:rsidR="1C15AB0C">
        <w:rPr>
          <w:rFonts w:ascii="Arial" w:hAnsi="Arial" w:eastAsia="Arial" w:cs="Arial"/>
          <w:noProof w:val="0"/>
          <w:sz w:val="24"/>
          <w:szCs w:val="24"/>
          <w:lang w:val="en-US"/>
        </w:rPr>
        <w:t>To get reliable estimates of crime trends from the Crime Survey for England and Wales (CSEW) (Office for National Statistics, 2016), they only included the first five events in a series of estimates. However, this technique received criticism for failing to fully recognise the occurrence of repeat victimisation. In response, the Office for National Statistics had promised an independent review of existing and alternative approaches to deal with a high frequency of repeat victimisation. The evaluation discovered many suggestions, which resulted in a public consultation in 2016 to gather feedback on these proposals. Most of the public believed that the existing technique should be altered since it conceals high rates of re-victimisation in the case of domestic violence and abuse. This resulted in the Office for National Statistics releasing a response summarising their changes of eliminating the existing methods of arbitrarily capping repeat cases at five. The fact that the Crime Survey for England and Wales capped the repeat victimisation figures to five years could be the reason why re-victimisation is an under calculated area within the CJS. However, the agreement to change their data improves the chances of repeat victimisation not to be an under calculated area within the CJS.</w:t>
      </w:r>
    </w:p>
    <w:p xmlns:wp14="http://schemas.microsoft.com/office/word/2010/wordml" w:rsidP="65CF072D" w14:paraId="7E05EFF7" wp14:textId="13DF1A19">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5BE34F1" wp14:textId="7E933A5E">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19B25D3" wp14:textId="3EE10896">
      <w:pPr>
        <w:spacing w:line="480" w:lineRule="auto"/>
      </w:pPr>
      <w:r w:rsidRPr="65CF072D" w:rsidR="1C15AB0C">
        <w:rPr>
          <w:rFonts w:ascii="Arial" w:hAnsi="Arial" w:eastAsia="Arial" w:cs="Arial"/>
          <w:noProof w:val="0"/>
          <w:sz w:val="24"/>
          <w:szCs w:val="24"/>
          <w:lang w:val="en-US"/>
        </w:rPr>
        <w:t>Since the release of Sir William Macpherson’s report into the racist killing of black teenager Stephen Lawrence 1993, hate crime has gained widespread recognition in the United Kingdom (McPherson, 1999). However, identified by Mencap (2013), disability hate crime did not exist in law until the Criminal Justice Act included it in 2003. Even though, Mencap’s report 1999 ‘Living in Fear’ referred to bullying and harassment, he truly meant hate crime but there was no phrase for it at the time.</w:t>
      </w:r>
    </w:p>
    <w:p xmlns:wp14="http://schemas.microsoft.com/office/word/2010/wordml" w:rsidP="65CF072D" w14:paraId="63095689" wp14:textId="5F680803">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82B8DE8" wp14:textId="3912D687">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63319B2" wp14:textId="2588973D">
      <w:pPr>
        <w:spacing w:line="480" w:lineRule="auto"/>
      </w:pPr>
      <w:r w:rsidRPr="65CF072D" w:rsidR="1C15AB0C">
        <w:rPr>
          <w:rFonts w:ascii="Arial" w:hAnsi="Arial" w:eastAsia="Arial" w:cs="Arial"/>
          <w:noProof w:val="0"/>
          <w:sz w:val="24"/>
          <w:szCs w:val="24"/>
          <w:lang w:val="en-US"/>
        </w:rPr>
        <w:t>Bryant and Bryant (2020, pp. 347-348) noted that the law terminology for hate crime is divided into two. The first frequently referred to as ‘motivated’ hate crimes and second ‘aggravated’ hate crimes. The victim’s viewpoint is a critical factor for investigators to examine when determining a suspected hate crime. The policy for majority of forces is to classify an incident as a ‘hate crime’ if the victim considers it as such. Frequently, victims anticipate more assaults or are fearful of future victimisation. In all instances of hate crime, the police are obligated to identify and record the offences, conduct comprehensive investigations, and provide appropriate assistance to victims. Unfortunately, the police did not identify and record all offences in the Pilkington case and were not provided with any support.</w:t>
      </w:r>
    </w:p>
    <w:p xmlns:wp14="http://schemas.microsoft.com/office/word/2010/wordml" w:rsidP="65CF072D" w14:paraId="3A02DD76" wp14:textId="34D10527">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BCAF68E" wp14:textId="4A82A724">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4EAFD53" wp14:textId="6F544413">
      <w:pPr>
        <w:spacing w:line="480" w:lineRule="auto"/>
      </w:pPr>
      <w:r w:rsidRPr="65CF072D" w:rsidR="1C15AB0C">
        <w:rPr>
          <w:rFonts w:ascii="Arial" w:hAnsi="Arial" w:eastAsia="Arial" w:cs="Arial"/>
          <w:noProof w:val="0"/>
          <w:sz w:val="24"/>
          <w:szCs w:val="24"/>
          <w:lang w:val="en-US"/>
        </w:rPr>
        <w:t>Hayden and Nardone (2012) mention that there is no law prohibiting disability hate crime. Nevertheless, the Criminal Justice Act 2003 includes provisions that allow for increased sentences upon conviction if the court determines that disability prejudice was present at the time the act was committed. Leicestershire Police’s hate crime policy did not include disability as a potential source of abuse until after the Pilkington case. Therefore, despite laws against disability hate crimes having been in effect for a decade (Mencap, 2013), they were not generally enforced until the terrible incident of Fiona Pilkington and her daughter Francecca Hardwick in 2007.</w:t>
      </w:r>
    </w:p>
    <w:p xmlns:wp14="http://schemas.microsoft.com/office/word/2010/wordml" w:rsidP="65CF072D" w14:paraId="6A437F1C" wp14:textId="543CF5F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06779CC" wp14:textId="55E196B5">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2F612C9" wp14:textId="06C80A93">
      <w:pPr>
        <w:spacing w:line="480" w:lineRule="auto"/>
      </w:pPr>
      <w:r w:rsidRPr="65CF072D" w:rsidR="1C15AB0C">
        <w:rPr>
          <w:rFonts w:ascii="Arial" w:hAnsi="Arial" w:eastAsia="Arial" w:cs="Arial"/>
          <w:noProof w:val="0"/>
          <w:sz w:val="24"/>
          <w:szCs w:val="24"/>
          <w:lang w:val="en-US"/>
        </w:rPr>
        <w:t>Pilkington’s family had lived seven years of misery, being victims of verbal abuse and harassment by young people in their neighbourhood. These times were particularly more challenging with Francceccas learning disability. The torment led to Fiona taking her own and Franccesca’s life in October 2007. An examination into their killings revealed numerous mistakes on the part of the local authorities, who were supposed to safeguard the Pilkington family.</w:t>
      </w:r>
    </w:p>
    <w:p xmlns:wp14="http://schemas.microsoft.com/office/word/2010/wordml" w:rsidP="65CF072D" w14:paraId="7BFE8156" wp14:textId="4B62E361">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CF67245" wp14:textId="21BCFC07">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4288559" wp14:textId="5AC9B1AE">
      <w:pPr>
        <w:spacing w:line="480" w:lineRule="auto"/>
      </w:pPr>
      <w:r w:rsidRPr="65CF072D" w:rsidR="1C15AB0C">
        <w:rPr>
          <w:rFonts w:ascii="Arial" w:hAnsi="Arial" w:eastAsia="Arial" w:cs="Arial"/>
          <w:noProof w:val="0"/>
          <w:sz w:val="24"/>
          <w:szCs w:val="24"/>
          <w:lang w:val="en-US"/>
        </w:rPr>
        <w:t>Identified in their journal (Capewell, Ralph and Bonnett, 2015) Fiona Pilkington was the first high-profile victim of disability hate crime in the United Kingdom. When Pilkington, aged 38-years, set fire to her car in October 2007, she killed herself and her 18-year-old disabled daughter, Francecca (BBC, 2011). The courts ruled that Pilkington committed suicide and that Francecca had been murdered unlawfully (Capewell, Ralph and Bonnett, 2015). Between ten years the family lodged 33 complaints with Leicestershire Police over their harassment and verbal abuse, however, the police only attended on eight occasions (BBC, 2011). Each time the police failed to connect the occurrences and believed Pilkington was exaggerating. This evidently suggests that Leicestershire Police were judgemental towards Pilkingtons reports by their own beliefs and experiences of receiving several reports of the same nature. There is no evidence to explain why the police only attended Pilkington on 8 occasions out of 33 reports. Moreover, it portrayed that the police did not take these reports seriously, particularly by not responding effectively and having no prevention strategies in place evidently shows why Pilkingtons repeat victimisation continued. Again, this could potentially result in repeat victimisation becoming an under calculated area within the CJS.</w:t>
      </w:r>
    </w:p>
    <w:p xmlns:wp14="http://schemas.microsoft.com/office/word/2010/wordml" w:rsidP="65CF072D" w14:paraId="0F99088B" wp14:textId="5F675CB1">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8D6BBBF" wp14:textId="329D3968">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3EC18D8" wp14:textId="54B7858C">
      <w:pPr>
        <w:spacing w:line="480" w:lineRule="auto"/>
      </w:pPr>
      <w:r w:rsidRPr="65CF072D" w:rsidR="1C15AB0C">
        <w:rPr>
          <w:rFonts w:ascii="Arial" w:hAnsi="Arial" w:eastAsia="Arial" w:cs="Arial"/>
          <w:noProof w:val="0"/>
          <w:sz w:val="24"/>
          <w:szCs w:val="24"/>
          <w:lang w:val="en-US"/>
        </w:rPr>
        <w:t>A group of young individuals set fire to the family’s fence, hurled eggs and stones at their home, and stole a chequebook (Capewell, Ralph and Bonnett, 2015). Neighbours reported hearing the group call Francecca a ‘disabled bitch’ (Quarmby and Scott, 2008, p.41). Constant abuse made Francecca a virtual prisoner in her own home (Capewell, Ralph and Bonnett, 2015). Pilkington’s dyslexic son, Anthony, was also verbally abused. Fiona’s last complaint was that two girls were climbing over the hedge into their property and imitating Francecca walk. Pilkington was instructed that no officer would be able to attend, but to close the curtains and ignore the insults. Pilkington was terrified of the approaching bonfire night and Halloween, certain that the gang would force fireworks through their letterbox (Capewell, Ralph and Bonnett, 2015).</w:t>
      </w:r>
    </w:p>
    <w:p xmlns:wp14="http://schemas.microsoft.com/office/word/2010/wordml" w:rsidP="65CF072D" w14:paraId="01C6D363" wp14:textId="053513F6">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AB4BDFB" wp14:textId="2048E496">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7D3A91C" wp14:textId="7A67977F">
      <w:pPr>
        <w:spacing w:line="480" w:lineRule="auto"/>
      </w:pPr>
      <w:r w:rsidRPr="65CF072D" w:rsidR="1C15AB0C">
        <w:rPr>
          <w:rFonts w:ascii="Arial" w:hAnsi="Arial" w:eastAsia="Arial" w:cs="Arial"/>
          <w:noProof w:val="0"/>
          <w:sz w:val="24"/>
          <w:szCs w:val="24"/>
          <w:lang w:val="en-US"/>
        </w:rPr>
        <w:t>The Independent Police Complaints (2009) concluded in a May 2011 report that police officers’ failure to identify Pilkington, her son and daughter as a collective vulnerable family unit was at the center of Leicestershire Constabulary's inability to implement a cohesive, structured and effective response to the anti-social behaviour they were experiencing. Often, incidents were handled in isolation and in an unorganised manner, obscuring the full extent of harassment endured by family members. Additionally, the investigation noted that the Police force within Leicestershire failed to distinguish between anti-social behaviour and harassment. However, the police are not the only ones to blame. The inquest jury criticised the response of Leicestershire Police, Hinckley and Bosworth Borough Council, and Leicestershire County Council’s adult social services department and believed they all contributed to the deaths (Samuel, 2009). Had the police done better would the death of Pilkington and her daughter happened?</w:t>
      </w:r>
    </w:p>
    <w:p xmlns:wp14="http://schemas.microsoft.com/office/word/2010/wordml" w:rsidP="65CF072D" w14:paraId="7E6BFE82" wp14:textId="5A7C086D">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723B25A" wp14:textId="7EAD253F">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0C0AB66F" wp14:textId="5F803D5D">
      <w:pPr>
        <w:spacing w:line="480" w:lineRule="auto"/>
      </w:pPr>
      <w:r w:rsidRPr="65CF072D" w:rsidR="1C15AB0C">
        <w:rPr>
          <w:rFonts w:ascii="Arial" w:hAnsi="Arial" w:eastAsia="Arial" w:cs="Arial"/>
          <w:noProof w:val="0"/>
          <w:sz w:val="24"/>
          <w:szCs w:val="24"/>
          <w:lang w:val="en-US"/>
        </w:rPr>
        <w:t>Bryant and Bryant (2019, p. 316) mentioned how harassment manifests itself in several ways, including stalking, nagging, persecution and generating irritation. Numerous services are available to assist individuals in coping with harassment. Particularly because if complains are not investigated and treated promptly, relatively small instances may escalate into much more severe crimes such as kidnapping, assault and even murder such as the Pilkington case. When responding to harassment accusations, the police must priorities investigating each claim of harassment, maintain the safety and security of all victims, proactively address the harassment, use a multi-agency strategy when required and effectively prosecute criminals, using all available tools within the CJS. However, this was not the case in the Pilkington case. Police did not investigate each claim of harassment or proactively prosecute criminals (BBC, 2011), neither did they use any available tools within the CJS or maintain the family's safety.</w:t>
      </w:r>
    </w:p>
    <w:p xmlns:wp14="http://schemas.microsoft.com/office/word/2010/wordml" w:rsidP="65CF072D" w14:paraId="44CF5488" wp14:textId="2789B408">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5F8B792" wp14:textId="425903D3">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5117EF0" wp14:textId="10F5D6A2">
      <w:pPr>
        <w:spacing w:line="480" w:lineRule="auto"/>
      </w:pPr>
      <w:r w:rsidRPr="65CF072D" w:rsidR="1C15AB0C">
        <w:rPr>
          <w:rFonts w:ascii="Arial" w:hAnsi="Arial" w:eastAsia="Arial" w:cs="Arial"/>
          <w:noProof w:val="0"/>
          <w:sz w:val="24"/>
          <w:szCs w:val="24"/>
          <w:lang w:val="en-US"/>
        </w:rPr>
        <w:t>There is no evidence to suggest why the police did not respond to these reports effectively or as obligated to, however, according to the support intendant Steven Harod, the police attempted to avoid criminalising youngsters for minor offences at the time of Pilkington and her daughter's death and a British politician, Alan Johnson also believed that police should have done more to help Pilkington and her family (Video2please, 2009). Was the decision to avoid criminalising youngsters for minor offences the wrong decision and approach at that time? Even though there is no research that portrays this, it could possibly be the case.</w:t>
      </w:r>
    </w:p>
    <w:p xmlns:wp14="http://schemas.microsoft.com/office/word/2010/wordml" w:rsidP="65CF072D" w14:paraId="43F981F3" wp14:textId="33FCF65D">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00F320D1" wp14:textId="54B9D511">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AA53603" wp14:textId="3E7F91BC">
      <w:pPr>
        <w:spacing w:line="480" w:lineRule="auto"/>
      </w:pPr>
      <w:r w:rsidRPr="65CF072D" w:rsidR="1C15AB0C">
        <w:rPr>
          <w:rFonts w:ascii="Arial" w:hAnsi="Arial" w:eastAsia="Arial" w:cs="Arial"/>
          <w:noProof w:val="0"/>
          <w:sz w:val="24"/>
          <w:szCs w:val="24"/>
          <w:lang w:val="en-US"/>
        </w:rPr>
        <w:t>Pilkington was visited by an anti-social behaviour officer in 2004, however, all her case documents were destroyed (Video2please, 2009). Unfortunately, there is no research to explain why all documents were destroyed. Pilkington had another visit in 2007, where the anti-social behaviour officer gave her a journal to document all the abuse and events that took place, but he never returned to retrieve it. Eight months later, evidence was presented to the Borough Council that youngsters were victimising another family living on the same street as Pilkington. Sadly, Pilkington killed herself and her daughter the following day (Video2please, 2009).</w:t>
      </w:r>
    </w:p>
    <w:p xmlns:wp14="http://schemas.microsoft.com/office/word/2010/wordml" w:rsidP="65CF072D" w14:paraId="737C6F63" wp14:textId="591F17B4">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02311DD" wp14:textId="330C504D">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037B3BB" wp14:textId="1DDE6DAB">
      <w:pPr>
        <w:spacing w:line="480" w:lineRule="auto"/>
      </w:pPr>
      <w:r w:rsidRPr="65CF072D" w:rsidR="1C15AB0C">
        <w:rPr>
          <w:rFonts w:ascii="Arial" w:hAnsi="Arial" w:eastAsia="Arial" w:cs="Arial"/>
          <w:noProof w:val="0"/>
          <w:sz w:val="24"/>
          <w:szCs w:val="24"/>
          <w:lang w:val="en-US"/>
        </w:rPr>
        <w:t>After Pilkington's investigation report was published (True Vision, 2021) Senior Leicestershire Police personnel were briefed on the results. Four police officers, including an Inspector, a Sergeant, and two constables, faced a misconduct hearing because of an independent IPCC inquiry. Another constable was disciplined by the police because of their poor work. Many of the IPCC’s suggestions for improving the way officers share information and how they deal with individuals in vulnerable situations have already been adopted by Leicestershire Police. These improvements are evident in the way Leicestershire Police monitor anti-social behaviour (ASB), treat vulnerable individuals and enhance their management systems after the terrible deaths (True Vision, 2021). The following includes those changes made within the Leicestershire Police about responding to ASB. Stated by the Leicestershire Police (2017) compliance monitoring will entail analysing victim and witness input through satisfaction surveys, examining high-risk reports and reviewing current case management, as well as prompt settlement and closure of cases. Therefore, information about victims, places, and perpetrators of ASB in Leicester, Leicestershire, and Rutland must all be recorded. Ensure each case of ASB is evaluated for risk and reacted to appropriately. Ensure data exchange processes are in place with partners to fully understand any reported occurrence. Identify regions with recurring allegations of ASB to efficiently regulate demand and reassure the public and manage situations requiring multi-agency response effectively with partners. These changes demonstrate that the police want to ensure that all victims and cases of ASB are protected, supported and dealt with appropriately and efficiently. Importantly, to ensure repeat victimisation is not an under calculated area within the CJS and that the police will not let those victims down again.</w:t>
      </w:r>
    </w:p>
    <w:p xmlns:wp14="http://schemas.microsoft.com/office/word/2010/wordml" w:rsidP="65CF072D" w14:paraId="54E31FF5" wp14:textId="53C58FA9">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B6EB8D4" wp14:textId="4CAC83E6">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73E7B78" wp14:textId="12E3404A">
      <w:pPr>
        <w:spacing w:line="480" w:lineRule="auto"/>
      </w:pPr>
      <w:r w:rsidRPr="65CF072D" w:rsidR="1C15AB0C">
        <w:rPr>
          <w:rFonts w:ascii="Arial" w:hAnsi="Arial" w:eastAsia="Arial" w:cs="Arial"/>
          <w:noProof w:val="0"/>
          <w:sz w:val="24"/>
          <w:szCs w:val="24"/>
          <w:lang w:val="en-US"/>
        </w:rPr>
        <w:t>Mancap commissioned the Office for Public Management (OPM), an independent public interest organisation (Mencap, 2010, p. 1-13), to undertake research on how police forces throughout England respond to hate crime against individuals with a learning impairment. During Learning Disability Week (20-26 June 2011), Mencap launched the ‘Stand By Me’ campaign against hate crime. This campaign is directed at the police service, the criminal justice system and the courts, since Mencap recognised that eliminating hate crime will need collaboration among all agencies and public bodies by vowing to stand by individuals with a learning impairment. The initiative aims to provide practitioners with real answers so that everyone can all work together more effectively in addressing hate crimes against individuals with a learning impairment.</w:t>
      </w:r>
    </w:p>
    <w:p xmlns:wp14="http://schemas.microsoft.com/office/word/2010/wordml" w:rsidP="65CF072D" w14:paraId="7C410237" wp14:textId="707B1447">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FF24F17" wp14:textId="60320E3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8366883" wp14:textId="27CB02A1">
      <w:pPr>
        <w:spacing w:line="480" w:lineRule="auto"/>
      </w:pPr>
      <w:r w:rsidRPr="65CF072D" w:rsidR="1C15AB0C">
        <w:rPr>
          <w:rFonts w:ascii="Arial" w:hAnsi="Arial" w:eastAsia="Arial" w:cs="Arial"/>
          <w:noProof w:val="0"/>
          <w:sz w:val="24"/>
          <w:szCs w:val="24"/>
          <w:lang w:val="en-US"/>
        </w:rPr>
        <w:t>The Pilkington family case and other research showed a pattern, which revealed that there is violence and prejudice against disabled individuals throughout the UK (Equality and Human Rights Commission, 2011, pp. 1-20). The government's helpline and stakeholder network convinced them that disability-related harassment was widespread and needed to be addressed. Final recommendations into disability-related harassment launched in 2011, resulting in adjustments as follows. Having data on the extent and intensity of disability harassment allows for effective management and monitoring of individuals responsible. Disabled victims and individuals are supported better by the CJS. Understanding offender motivations and consequences helps establish successful interventions. Importantly, the public are more accepting of disabled people and effective training is provided to all employees responsible for responding to disability-related harassment.</w:t>
      </w:r>
    </w:p>
    <w:p xmlns:wp14="http://schemas.microsoft.com/office/word/2010/wordml" w:rsidP="65CF072D" w14:paraId="70240770" wp14:textId="0471A373">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AEBEC50" wp14:textId="1EFDF223">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12C53CD" wp14:textId="09724B9E">
      <w:pPr>
        <w:spacing w:line="480" w:lineRule="auto"/>
      </w:pPr>
      <w:r w:rsidRPr="65CF072D" w:rsidR="1C15AB0C">
        <w:rPr>
          <w:rFonts w:ascii="Arial" w:hAnsi="Arial" w:eastAsia="Arial" w:cs="Arial"/>
          <w:noProof w:val="0"/>
          <w:sz w:val="24"/>
          <w:szCs w:val="24"/>
          <w:lang w:val="en-US"/>
        </w:rPr>
        <w:t>The Crime and Disorder Act (1998) was also amended in 2014 to explicitly list five personal characteristics as grounds for victimisation: disability, transgender identity, race, religion and sexual orientation. This clarified the legal situation, which had previously allowed for the prosecution of hate crime under a variety of laws (Capewell, Ralph and Bonnett, 2015). Therefore, the Anti-social Behaviour, Crime and Policing Act 2014 was introduced to straightforward effective tools for addressing anti-social behaviour that protects victims and communities (Home Office, 2013). The aim was to ensure that additional authorities could be used effectively to address anti-social behaviour (Home Office, 2021). These authorities are purposefully local in focus since individuals who work within and for local communities will have the greatest understanding of what motivates the behaviour in concern, its consequences, and the most suitable response. This guideline is designed to help police officers, local governments, and other local agencies that use their authority under the 2014 Act in responding to incidents of anti-social behaviour in their communities.</w:t>
      </w:r>
    </w:p>
    <w:p xmlns:wp14="http://schemas.microsoft.com/office/word/2010/wordml" w:rsidP="65CF072D" w14:paraId="63A62591" wp14:textId="701AE55D">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A594FC5" wp14:textId="323DEB55">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136FFD3" wp14:textId="5FAE5B86">
      <w:pPr>
        <w:spacing w:line="480" w:lineRule="auto"/>
      </w:pPr>
      <w:r w:rsidRPr="65CF072D" w:rsidR="1C15AB0C">
        <w:rPr>
          <w:rFonts w:ascii="Arial" w:hAnsi="Arial" w:eastAsia="Arial" w:cs="Arial"/>
          <w:noProof w:val="0"/>
          <w:sz w:val="24"/>
          <w:szCs w:val="24"/>
          <w:lang w:val="en-US"/>
        </w:rPr>
        <w:t>Channel 4 (2012) stated that while there is still much work to be done, certain concerns are being addressed. For instance, between 2009 and 2011, police recorded a 49 percent rise in disability hate crime events, from 1,402 to 2,095. This is most likely due to greater reporting by victims and improved police procedures and advancements. Although the documented statistics represent just a fraction of the issue, the yearly figure of disability hate crime would usually be in the tens of thousands.</w:t>
      </w:r>
    </w:p>
    <w:p xmlns:wp14="http://schemas.microsoft.com/office/word/2010/wordml" w:rsidP="65CF072D" w14:paraId="754352FD" wp14:textId="7F4CA9D0">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B2D59D5" wp14:textId="73EC2985">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C874C30" wp14:textId="7D6BCC04">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D7BC5FE" wp14:textId="4FCC1076">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62A5651" wp14:textId="4BEC07D0">
      <w:pPr>
        <w:spacing w:line="480" w:lineRule="auto"/>
      </w:pPr>
      <w:r w:rsidRPr="65CF072D" w:rsidR="1C15AB0C">
        <w:rPr>
          <w:rFonts w:ascii="Arial" w:hAnsi="Arial" w:eastAsia="Arial" w:cs="Arial"/>
          <w:noProof w:val="0"/>
          <w:sz w:val="24"/>
          <w:szCs w:val="24"/>
          <w:lang w:val="en-US"/>
        </w:rPr>
        <w:t>To conclude, people with disabilities are unable to recognise danger or defend themselves (Petersilia, Foote and Crowell, 2001, p. 22). Due to this, it is possible that repeat victimisation is not being recorded. The majority of these offenders' range in age from 13 to 30 (Leicester Hate Crime Project, 2014b) and at the time of the Pilkingtons case Leicestershire police opted not to charge youth minor offences (Video2please, 2009). Police did not use any of the CJS tools or secure the family’s safety to investigate each report of harassment or to punish offenders (BBC, 2011). Furthermore, since the Crime Survey for England and Wales limited repeat victimisation to five years (Office for National Statistics, 2016), re-victimisation was more likely to be underestimated. As a result of new legislation designed to tackle anti-social behaviour, repeat victimisation should not be underestimated. However, due to under-reporting, the exact amount of repeat victimisation will never be known.</w:t>
      </w:r>
    </w:p>
    <w:p xmlns:wp14="http://schemas.microsoft.com/office/word/2010/wordml" w:rsidP="65CF072D" w14:paraId="70DEE549" wp14:textId="122C8B7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35E94C66" wp14:textId="46A4EDBB">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0C63009" wp14:textId="1856E5A0">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0CD1400" wp14:textId="16709801">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A083C19" wp14:textId="743A1CC3">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5539647F" wp14:textId="5C904B09">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293EB88C" wp14:textId="2287FD6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08ED77A" wp14:textId="5199D96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62E067BE" wp14:textId="4D87C2E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7E111A9E" wp14:textId="19593158">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077B4A67" wp14:textId="19020857">
      <w:pPr>
        <w:pStyle w:val="Normal"/>
        <w:spacing w:line="480" w:lineRule="auto"/>
        <w:rPr>
          <w:rFonts w:ascii="Arial" w:hAnsi="Arial" w:eastAsia="Arial" w:cs="Arial"/>
          <w:noProof w:val="0"/>
          <w:sz w:val="24"/>
          <w:szCs w:val="24"/>
          <w:lang w:val="en-US"/>
        </w:rPr>
      </w:pPr>
    </w:p>
    <w:p xmlns:wp14="http://schemas.microsoft.com/office/word/2010/wordml" w:rsidP="65CF072D" w14:paraId="20CFC503" wp14:textId="2D0BB24B">
      <w:pPr>
        <w:pStyle w:val="Normal"/>
        <w:spacing w:line="480" w:lineRule="auto"/>
        <w:rPr>
          <w:rFonts w:ascii="Arial" w:hAnsi="Arial" w:eastAsia="Arial" w:cs="Arial"/>
          <w:noProof w:val="0"/>
          <w:sz w:val="24"/>
          <w:szCs w:val="24"/>
          <w:lang w:val="en-US"/>
        </w:rPr>
      </w:pPr>
    </w:p>
    <w:p xmlns:wp14="http://schemas.microsoft.com/office/word/2010/wordml" w:rsidP="65CF072D" w14:paraId="12175369" wp14:textId="79502089">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1C24E101" wp14:textId="61415732">
      <w:pPr>
        <w:spacing w:line="480" w:lineRule="auto"/>
      </w:pPr>
      <w:r w:rsidRPr="65CF072D" w:rsidR="1C15AB0C">
        <w:rPr>
          <w:rFonts w:ascii="Arial" w:hAnsi="Arial" w:eastAsia="Arial" w:cs="Arial"/>
          <w:noProof w:val="0"/>
          <w:sz w:val="24"/>
          <w:szCs w:val="24"/>
          <w:lang w:val="en-US"/>
        </w:rPr>
        <w:t xml:space="preserve"> </w:t>
      </w:r>
    </w:p>
    <w:p xmlns:wp14="http://schemas.microsoft.com/office/word/2010/wordml" w:rsidP="65CF072D" w14:paraId="410BED2C" wp14:textId="760E43EF">
      <w:pPr>
        <w:spacing w:line="480" w:lineRule="auto"/>
      </w:pPr>
      <w:r w:rsidRPr="65CF072D" w:rsidR="1C15AB0C">
        <w:rPr>
          <w:rFonts w:ascii="Arial" w:hAnsi="Arial" w:eastAsia="Arial" w:cs="Arial"/>
          <w:noProof w:val="0"/>
          <w:sz w:val="24"/>
          <w:szCs w:val="24"/>
          <w:lang w:val="en-US"/>
        </w:rPr>
        <w:t>References</w:t>
      </w:r>
    </w:p>
    <w:p xmlns:wp14="http://schemas.microsoft.com/office/word/2010/wordml" w:rsidP="65CF072D" w14:paraId="3AFA4E5D" wp14:textId="51ABA5AC">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BBC (2011) Fiona Pilkington officers face misconduct proceedings. Available: &lt; </w:t>
      </w:r>
      <w:hyperlink r:id="Rb8c9383df21b4575">
        <w:r w:rsidRPr="65CF072D" w:rsidR="1C15AB0C">
          <w:rPr>
            <w:rStyle w:val="Hyperlink"/>
            <w:rFonts w:ascii="Arial" w:hAnsi="Arial" w:eastAsia="Arial" w:cs="Arial"/>
            <w:strike w:val="0"/>
            <w:dstrike w:val="0"/>
            <w:noProof w:val="0"/>
            <w:sz w:val="24"/>
            <w:szCs w:val="24"/>
            <w:lang w:val="en-US"/>
          </w:rPr>
          <w:t>https://www.bbc.co.uk/news/uk-england-leicestershire-13504618</w:t>
        </w:r>
      </w:hyperlink>
      <w:r w:rsidRPr="65CF072D" w:rsidR="1C15AB0C">
        <w:rPr>
          <w:rFonts w:ascii="Arial" w:hAnsi="Arial" w:eastAsia="Arial" w:cs="Arial"/>
          <w:noProof w:val="0"/>
          <w:color w:val="000000" w:themeColor="text1" w:themeTint="FF" w:themeShade="FF"/>
          <w:sz w:val="24"/>
          <w:szCs w:val="24"/>
          <w:lang w:val="en-US"/>
        </w:rPr>
        <w:t xml:space="preserve"> &gt; [Accessed: December 5, 2021].</w:t>
      </w:r>
    </w:p>
    <w:p xmlns:wp14="http://schemas.microsoft.com/office/word/2010/wordml" w:rsidP="65CF072D" w14:paraId="33916AFB" wp14:textId="6672FA40">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Bedfordshire Police (2021a) </w:t>
      </w:r>
      <w:r w:rsidRPr="65CF072D" w:rsidR="1C15AB0C">
        <w:rPr>
          <w:rFonts w:ascii="Arial" w:hAnsi="Arial" w:eastAsia="Arial" w:cs="Arial"/>
          <w:i w:val="1"/>
          <w:iCs w:val="1"/>
          <w:noProof w:val="0"/>
          <w:color w:val="000000" w:themeColor="text1" w:themeTint="FF" w:themeShade="FF"/>
          <w:sz w:val="24"/>
          <w:szCs w:val="24"/>
          <w:lang w:val="en-US"/>
        </w:rPr>
        <w:t>Repeat Victims</w:t>
      </w:r>
      <w:r w:rsidRPr="65CF072D" w:rsidR="1C15AB0C">
        <w:rPr>
          <w:rFonts w:ascii="Arial" w:hAnsi="Arial" w:eastAsia="Arial" w:cs="Arial"/>
          <w:noProof w:val="0"/>
          <w:color w:val="000000" w:themeColor="text1" w:themeTint="FF" w:themeShade="FF"/>
          <w:sz w:val="24"/>
          <w:szCs w:val="24"/>
          <w:lang w:val="en-US"/>
        </w:rPr>
        <w:t xml:space="preserve">. Available: &lt; </w:t>
      </w:r>
      <w:hyperlink w:anchor="ca474b0e" r:id="Rd8ac414ff16b4d99">
        <w:r w:rsidRPr="65CF072D" w:rsidR="1C15AB0C">
          <w:rPr>
            <w:rStyle w:val="Hyperlink"/>
            <w:rFonts w:ascii="Arial" w:hAnsi="Arial" w:eastAsia="Arial" w:cs="Arial"/>
            <w:strike w:val="0"/>
            <w:dstrike w:val="0"/>
            <w:noProof w:val="0"/>
            <w:sz w:val="24"/>
            <w:szCs w:val="24"/>
            <w:lang w:val="en-US"/>
          </w:rPr>
          <w:t>https://www.bedfordshire.police.uk/information-and-services/Advice/Anti-social-behaviour/Repeat-victims#ca474b0e</w:t>
        </w:r>
      </w:hyperlink>
      <w:r w:rsidRPr="65CF072D" w:rsidR="1C15AB0C">
        <w:rPr>
          <w:rFonts w:ascii="Arial" w:hAnsi="Arial" w:eastAsia="Arial" w:cs="Arial"/>
          <w:noProof w:val="0"/>
          <w:color w:val="000000" w:themeColor="text1" w:themeTint="FF" w:themeShade="FF"/>
          <w:sz w:val="24"/>
          <w:szCs w:val="24"/>
          <w:lang w:val="en-US"/>
        </w:rPr>
        <w:t xml:space="preserve"> &gt; [Accessed: November 20, 2021].</w:t>
      </w:r>
    </w:p>
    <w:p xmlns:wp14="http://schemas.microsoft.com/office/word/2010/wordml" w:rsidP="65CF072D" w14:paraId="1496118A" wp14:textId="67CBA30E">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Bedfordshire Police (2021b) What is Anti-social behaviour (ASB)?. Available: &lt; </w:t>
      </w:r>
      <w:hyperlink w:anchor="ca474b0e" r:id="R76a25301d9ac4539">
        <w:r w:rsidRPr="65CF072D" w:rsidR="1C15AB0C">
          <w:rPr>
            <w:rStyle w:val="Hyperlink"/>
            <w:rFonts w:ascii="Arial" w:hAnsi="Arial" w:eastAsia="Arial" w:cs="Arial"/>
            <w:strike w:val="0"/>
            <w:dstrike w:val="0"/>
            <w:noProof w:val="0"/>
            <w:sz w:val="24"/>
            <w:szCs w:val="24"/>
            <w:lang w:val="en-US"/>
          </w:rPr>
          <w:t>https://www.bedfordshire.police.uk/information-and-services/Advice/Anti-social-behaviour/About-anti-social-behaviour#ca474b0e</w:t>
        </w:r>
      </w:hyperlink>
      <w:r w:rsidRPr="65CF072D" w:rsidR="1C15AB0C">
        <w:rPr>
          <w:rFonts w:ascii="Arial" w:hAnsi="Arial" w:eastAsia="Arial" w:cs="Arial"/>
          <w:noProof w:val="0"/>
          <w:sz w:val="24"/>
          <w:szCs w:val="24"/>
          <w:lang w:val="en-US"/>
        </w:rPr>
        <w:t xml:space="preserve"> &gt; [Accessed: November 20, 2021].</w:t>
      </w:r>
    </w:p>
    <w:p xmlns:wp14="http://schemas.microsoft.com/office/word/2010/wordml" w:rsidP="65CF072D" w14:paraId="0C450B57" wp14:textId="284816E5">
      <w:pPr>
        <w:pStyle w:val="ListParagraph"/>
        <w:numPr>
          <w:ilvl w:val="0"/>
          <w:numId w:val="1"/>
        </w:numPr>
        <w:spacing w:line="480" w:lineRule="auto"/>
        <w:rPr>
          <w:rFonts w:ascii="Arial" w:hAnsi="Arial" w:eastAsia="Arial" w:cs="Arial" w:asciiTheme="minorAscii" w:hAnsiTheme="minorAscii" w:eastAsiaTheme="minorAscii" w:cstheme="minorAscii"/>
          <w:sz w:val="24"/>
          <w:szCs w:val="24"/>
        </w:rPr>
      </w:pPr>
      <w:r w:rsidRPr="65CF072D" w:rsidR="1C15AB0C">
        <w:rPr>
          <w:rFonts w:ascii="Arial" w:hAnsi="Arial" w:eastAsia="Arial" w:cs="Arial"/>
          <w:noProof w:val="0"/>
          <w:sz w:val="24"/>
          <w:szCs w:val="24"/>
          <w:lang w:val="en-US"/>
        </w:rPr>
        <w:t xml:space="preserve">Bryant, R. and Bryant, S. (2019) </w:t>
      </w:r>
      <w:r w:rsidRPr="65CF072D" w:rsidR="1C15AB0C">
        <w:rPr>
          <w:rFonts w:ascii="Arial" w:hAnsi="Arial" w:eastAsia="Arial" w:cs="Arial"/>
          <w:i w:val="1"/>
          <w:iCs w:val="1"/>
          <w:noProof w:val="0"/>
          <w:sz w:val="24"/>
          <w:szCs w:val="24"/>
          <w:lang w:val="en-US"/>
        </w:rPr>
        <w:t>Blackstone’s Handbook for Policing Students 2020.</w:t>
      </w:r>
      <w:r w:rsidRPr="65CF072D" w:rsidR="1C15AB0C">
        <w:rPr>
          <w:rFonts w:ascii="Arial" w:hAnsi="Arial" w:eastAsia="Arial" w:cs="Arial"/>
          <w:noProof w:val="0"/>
          <w:sz w:val="24"/>
          <w:szCs w:val="24"/>
          <w:lang w:val="en-US"/>
        </w:rPr>
        <w:t xml:space="preserve"> Oxford: Oxford University Press.</w:t>
      </w:r>
    </w:p>
    <w:p xmlns:wp14="http://schemas.microsoft.com/office/word/2010/wordml" w:rsidP="65CF072D" w14:paraId="28F7F924" wp14:textId="1946B795">
      <w:pPr>
        <w:pStyle w:val="ListParagraph"/>
        <w:numPr>
          <w:ilvl w:val="0"/>
          <w:numId w:val="1"/>
        </w:numPr>
        <w:spacing w:line="480" w:lineRule="auto"/>
        <w:rPr>
          <w:rFonts w:ascii="Arial" w:hAnsi="Arial" w:eastAsia="Arial" w:cs="Arial" w:asciiTheme="minorAscii" w:hAnsiTheme="minorAscii" w:eastAsiaTheme="minorAscii" w:cstheme="minorAscii"/>
          <w:sz w:val="24"/>
          <w:szCs w:val="24"/>
        </w:rPr>
      </w:pPr>
      <w:r w:rsidRPr="65CF072D" w:rsidR="1C15AB0C">
        <w:rPr>
          <w:rFonts w:ascii="Arial" w:hAnsi="Arial" w:eastAsia="Arial" w:cs="Arial"/>
          <w:noProof w:val="0"/>
          <w:sz w:val="24"/>
          <w:szCs w:val="24"/>
          <w:lang w:val="en-US"/>
        </w:rPr>
        <w:t xml:space="preserve">Bryant, R. and Bryant, S. (2020) </w:t>
      </w:r>
      <w:r w:rsidRPr="65CF072D" w:rsidR="1C15AB0C">
        <w:rPr>
          <w:rFonts w:ascii="Arial" w:hAnsi="Arial" w:eastAsia="Arial" w:cs="Arial"/>
          <w:i w:val="1"/>
          <w:iCs w:val="1"/>
          <w:noProof w:val="0"/>
          <w:sz w:val="24"/>
          <w:szCs w:val="24"/>
          <w:lang w:val="en-US"/>
        </w:rPr>
        <w:t>Blackstone’s Handbook for Policing Students 2021</w:t>
      </w:r>
      <w:r w:rsidRPr="65CF072D" w:rsidR="1C15AB0C">
        <w:rPr>
          <w:rFonts w:ascii="Arial" w:hAnsi="Arial" w:eastAsia="Arial" w:cs="Arial"/>
          <w:noProof w:val="0"/>
          <w:sz w:val="24"/>
          <w:szCs w:val="24"/>
          <w:lang w:val="en-US"/>
        </w:rPr>
        <w:t>. Oxford: Oxford University Press.</w:t>
      </w:r>
    </w:p>
    <w:p xmlns:wp14="http://schemas.microsoft.com/office/word/2010/wordml" w:rsidP="65CF072D" w14:paraId="7AD10F46" wp14:textId="55C34637">
      <w:pPr>
        <w:pStyle w:val="ListParagraph"/>
        <w:numPr>
          <w:ilvl w:val="0"/>
          <w:numId w:val="1"/>
        </w:numPr>
        <w:spacing w:line="480" w:lineRule="auto"/>
        <w:rPr>
          <w:rFonts w:ascii="Arial" w:hAnsi="Arial" w:eastAsia="Arial" w:cs="Arial" w:asciiTheme="minorAscii" w:hAnsiTheme="minorAscii" w:eastAsiaTheme="minorAscii" w:cstheme="minorAscii"/>
          <w:sz w:val="24"/>
          <w:szCs w:val="24"/>
        </w:rPr>
      </w:pPr>
      <w:r w:rsidRPr="65CF072D" w:rsidR="1C15AB0C">
        <w:rPr>
          <w:rFonts w:ascii="Arial" w:hAnsi="Arial" w:eastAsia="Arial" w:cs="Arial"/>
          <w:noProof w:val="0"/>
          <w:sz w:val="24"/>
          <w:szCs w:val="24"/>
          <w:lang w:val="en-US"/>
        </w:rPr>
        <w:t xml:space="preserve">Capewell, C., Ralph, S. and Bonnett, L. (2015) ‘The continuing violence towards disabled people’, </w:t>
      </w:r>
      <w:r w:rsidRPr="65CF072D" w:rsidR="1C15AB0C">
        <w:rPr>
          <w:rFonts w:ascii="Arial" w:hAnsi="Arial" w:eastAsia="Arial" w:cs="Arial"/>
          <w:i w:val="1"/>
          <w:iCs w:val="1"/>
          <w:noProof w:val="0"/>
          <w:sz w:val="24"/>
          <w:szCs w:val="24"/>
          <w:lang w:val="en-US"/>
        </w:rPr>
        <w:t>Journal of Research in Special Educational Needs</w:t>
      </w:r>
      <w:r w:rsidRPr="65CF072D" w:rsidR="1C15AB0C">
        <w:rPr>
          <w:rFonts w:ascii="Arial" w:hAnsi="Arial" w:eastAsia="Arial" w:cs="Arial"/>
          <w:noProof w:val="0"/>
          <w:sz w:val="24"/>
          <w:szCs w:val="24"/>
          <w:lang w:val="en-US"/>
        </w:rPr>
        <w:t>, 15(3), pp.211-221.</w:t>
      </w:r>
    </w:p>
    <w:p xmlns:wp14="http://schemas.microsoft.com/office/word/2010/wordml" w:rsidP="65CF072D" w14:paraId="1CC808C2" wp14:textId="2B677AAF">
      <w:pPr>
        <w:pStyle w:val="ListParagraph"/>
        <w:numPr>
          <w:ilvl w:val="0"/>
          <w:numId w:val="1"/>
        </w:numPr>
        <w:spacing w:line="480" w:lineRule="auto"/>
        <w:rPr>
          <w:rFonts w:ascii="Arial" w:hAnsi="Arial" w:eastAsia="Arial" w:cs="Arial" w:asciiTheme="minorAscii" w:hAnsiTheme="minorAscii" w:eastAsiaTheme="minorAscii" w:cstheme="minorAscii"/>
          <w:sz w:val="24"/>
          <w:szCs w:val="24"/>
        </w:rPr>
      </w:pPr>
      <w:r w:rsidRPr="65CF072D" w:rsidR="1C15AB0C">
        <w:rPr>
          <w:rFonts w:ascii="Arial" w:hAnsi="Arial" w:eastAsia="Arial" w:cs="Arial"/>
          <w:noProof w:val="0"/>
          <w:sz w:val="24"/>
          <w:szCs w:val="24"/>
          <w:lang w:val="en-US"/>
        </w:rPr>
        <w:t xml:space="preserve">Channel 4 (2012) </w:t>
      </w:r>
      <w:r w:rsidRPr="65CF072D" w:rsidR="1C15AB0C">
        <w:rPr>
          <w:rFonts w:ascii="Arial" w:hAnsi="Arial" w:eastAsia="Arial" w:cs="Arial"/>
          <w:i w:val="1"/>
          <w:iCs w:val="1"/>
          <w:noProof w:val="0"/>
          <w:sz w:val="24"/>
          <w:szCs w:val="24"/>
          <w:lang w:val="en-US"/>
        </w:rPr>
        <w:t>Disability hate crime: Five years on from Fiona Pilkingtion</w:t>
      </w:r>
      <w:r w:rsidRPr="65CF072D" w:rsidR="1C15AB0C">
        <w:rPr>
          <w:rFonts w:ascii="Arial" w:hAnsi="Arial" w:eastAsia="Arial" w:cs="Arial"/>
          <w:noProof w:val="0"/>
          <w:sz w:val="24"/>
          <w:szCs w:val="24"/>
          <w:lang w:val="en-US"/>
        </w:rPr>
        <w:t xml:space="preserve">. Available: &lt; </w:t>
      </w:r>
      <w:hyperlink r:id="R18c46da433e349ba">
        <w:r w:rsidRPr="65CF072D" w:rsidR="1C15AB0C">
          <w:rPr>
            <w:rStyle w:val="Hyperlink"/>
            <w:rFonts w:ascii="Arial" w:hAnsi="Arial" w:eastAsia="Arial" w:cs="Arial"/>
            <w:strike w:val="0"/>
            <w:dstrike w:val="0"/>
            <w:noProof w:val="0"/>
            <w:sz w:val="24"/>
            <w:szCs w:val="24"/>
            <w:lang w:val="en-US"/>
          </w:rPr>
          <w:t>https://www.channel4.com/news/disability-hate-crime-five-years-on-from-fiona-pilkington</w:t>
        </w:r>
      </w:hyperlink>
      <w:r w:rsidRPr="65CF072D" w:rsidR="1C15AB0C">
        <w:rPr>
          <w:rFonts w:ascii="Arial" w:hAnsi="Arial" w:eastAsia="Arial" w:cs="Arial"/>
          <w:noProof w:val="0"/>
          <w:sz w:val="24"/>
          <w:szCs w:val="24"/>
          <w:lang w:val="en-US"/>
        </w:rPr>
        <w:t xml:space="preserve"> &gt; [Accessed: December 20, 2021].</w:t>
      </w:r>
    </w:p>
    <w:p xmlns:wp14="http://schemas.microsoft.com/office/word/2010/wordml" w:rsidP="65CF072D" w14:paraId="3220DC26" wp14:textId="1351990A">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Clark, D., (2021) Criminal justice system in the UK. </w:t>
      </w:r>
      <w:r w:rsidRPr="65CF072D" w:rsidR="1C15AB0C">
        <w:rPr>
          <w:rFonts w:ascii="Arial" w:hAnsi="Arial" w:eastAsia="Arial" w:cs="Arial"/>
          <w:i w:val="1"/>
          <w:iCs w:val="1"/>
          <w:noProof w:val="0"/>
          <w:color w:val="000000" w:themeColor="text1" w:themeTint="FF" w:themeShade="FF"/>
          <w:sz w:val="24"/>
          <w:szCs w:val="24"/>
          <w:lang w:val="en-US"/>
        </w:rPr>
        <w:t>Statista</w:t>
      </w:r>
      <w:r w:rsidRPr="65CF072D" w:rsidR="1C15AB0C">
        <w:rPr>
          <w:rFonts w:ascii="Arial" w:hAnsi="Arial" w:eastAsia="Arial" w:cs="Arial"/>
          <w:noProof w:val="0"/>
          <w:color w:val="000000" w:themeColor="text1" w:themeTint="FF" w:themeShade="FF"/>
          <w:sz w:val="24"/>
          <w:szCs w:val="24"/>
          <w:lang w:val="en-US"/>
        </w:rPr>
        <w:t xml:space="preserve">. Available: &lt; </w:t>
      </w:r>
      <w:hyperlink r:id="R4796cb8ced6b4d03">
        <w:r w:rsidRPr="65CF072D" w:rsidR="1C15AB0C">
          <w:rPr>
            <w:rStyle w:val="Hyperlink"/>
            <w:rFonts w:ascii="Arial" w:hAnsi="Arial" w:eastAsia="Arial" w:cs="Arial"/>
            <w:strike w:val="0"/>
            <w:dstrike w:val="0"/>
            <w:noProof w:val="0"/>
            <w:sz w:val="24"/>
            <w:szCs w:val="24"/>
            <w:lang w:val="en-US"/>
          </w:rPr>
          <w:t>https://www.statista.com/topics/6150/criminal-justice-system-in-the-uk/</w:t>
        </w:r>
      </w:hyperlink>
      <w:r w:rsidRPr="65CF072D" w:rsidR="1C15AB0C">
        <w:rPr>
          <w:rFonts w:ascii="Arial" w:hAnsi="Arial" w:eastAsia="Arial" w:cs="Arial"/>
          <w:noProof w:val="0"/>
          <w:color w:val="000000" w:themeColor="text1" w:themeTint="FF" w:themeShade="FF"/>
          <w:sz w:val="24"/>
          <w:szCs w:val="24"/>
          <w:lang w:val="en-US"/>
        </w:rPr>
        <w:t xml:space="preserve"> &gt; [Accessed: November 20, 2021].</w:t>
      </w:r>
    </w:p>
    <w:p xmlns:wp14="http://schemas.microsoft.com/office/word/2010/wordml" w:rsidP="65CF072D" w14:paraId="2EFAFEFC" wp14:textId="6F57C84E">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Davies, M., Croall, H. &amp; Tyler, J., (1998) </w:t>
      </w:r>
      <w:r w:rsidRPr="65CF072D" w:rsidR="1C15AB0C">
        <w:rPr>
          <w:rFonts w:ascii="Arial" w:hAnsi="Arial" w:eastAsia="Arial" w:cs="Arial"/>
          <w:i w:val="1"/>
          <w:iCs w:val="1"/>
          <w:noProof w:val="0"/>
          <w:color w:val="000000" w:themeColor="text1" w:themeTint="FF" w:themeShade="FF"/>
          <w:sz w:val="24"/>
          <w:szCs w:val="24"/>
          <w:lang w:val="en-US"/>
        </w:rPr>
        <w:t>Criminal Justice: An Introduction to the Criminal Justice System in England and Wales</w:t>
      </w:r>
      <w:r w:rsidRPr="65CF072D" w:rsidR="1C15AB0C">
        <w:rPr>
          <w:rFonts w:ascii="Arial" w:hAnsi="Arial" w:eastAsia="Arial" w:cs="Arial"/>
          <w:noProof w:val="0"/>
          <w:color w:val="000000" w:themeColor="text1" w:themeTint="FF" w:themeShade="FF"/>
          <w:sz w:val="24"/>
          <w:szCs w:val="24"/>
          <w:lang w:val="en-US"/>
        </w:rPr>
        <w:t>. Second edition. London: Longman.</w:t>
      </w:r>
    </w:p>
    <w:p xmlns:wp14="http://schemas.microsoft.com/office/word/2010/wordml" w:rsidP="65CF072D" w14:paraId="7CF9B0A4" wp14:textId="28D09AB4">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Emerson, E, and Roulstone, A. (2014) ‘Developing an evidence base for violent and disablist hate crime in Britain: findings from the Life Opportunities Survey’, Journal of Interpersonal Violence, 29(17), pp. 3086-3104.</w:t>
      </w:r>
    </w:p>
    <w:p xmlns:wp14="http://schemas.microsoft.com/office/word/2010/wordml" w:rsidP="65CF072D" w14:paraId="7E16EA74" wp14:textId="03ADA6F2">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Equality and Human Rights Commission (2011) </w:t>
      </w:r>
      <w:r w:rsidRPr="65CF072D" w:rsidR="1C15AB0C">
        <w:rPr>
          <w:rFonts w:ascii="Arial" w:hAnsi="Arial" w:eastAsia="Arial" w:cs="Arial"/>
          <w:i w:val="1"/>
          <w:iCs w:val="1"/>
          <w:noProof w:val="0"/>
          <w:color w:val="000000" w:themeColor="text1" w:themeTint="FF" w:themeShade="FF"/>
          <w:sz w:val="24"/>
          <w:szCs w:val="24"/>
          <w:lang w:val="en-US"/>
        </w:rPr>
        <w:t>Hidden in plain sight</w:t>
      </w:r>
      <w:r w:rsidRPr="65CF072D" w:rsidR="1C15AB0C">
        <w:rPr>
          <w:rFonts w:ascii="Arial" w:hAnsi="Arial" w:eastAsia="Arial" w:cs="Arial"/>
          <w:noProof w:val="0"/>
          <w:color w:val="000000" w:themeColor="text1" w:themeTint="FF" w:themeShade="FF"/>
          <w:sz w:val="24"/>
          <w:szCs w:val="24"/>
          <w:lang w:val="en-US"/>
        </w:rPr>
        <w:t xml:space="preserve">. Available: &lt; </w:t>
      </w:r>
      <w:hyperlink r:id="R42186f969c1a4196">
        <w:r w:rsidRPr="65CF072D" w:rsidR="1C15AB0C">
          <w:rPr>
            <w:rStyle w:val="Hyperlink"/>
            <w:rFonts w:ascii="Arial" w:hAnsi="Arial" w:eastAsia="Arial" w:cs="Arial"/>
            <w:strike w:val="0"/>
            <w:dstrike w:val="0"/>
            <w:noProof w:val="0"/>
            <w:sz w:val="24"/>
            <w:szCs w:val="24"/>
            <w:lang w:val="en-US"/>
          </w:rPr>
          <w:t>https://www.equalityhumanrights.com/sites/default/files/ehrc_hidden_in_plain_sight_3.pdf</w:t>
        </w:r>
      </w:hyperlink>
      <w:r w:rsidRPr="65CF072D" w:rsidR="1C15AB0C">
        <w:rPr>
          <w:rFonts w:ascii="Arial" w:hAnsi="Arial" w:eastAsia="Arial" w:cs="Arial"/>
          <w:noProof w:val="0"/>
          <w:color w:val="000000" w:themeColor="text1" w:themeTint="FF" w:themeShade="FF"/>
          <w:sz w:val="24"/>
          <w:szCs w:val="24"/>
          <w:lang w:val="en-US"/>
        </w:rPr>
        <w:t xml:space="preserve"> &gt; [Accessed: December 16, 2021].</w:t>
      </w:r>
    </w:p>
    <w:p xmlns:wp14="http://schemas.microsoft.com/office/word/2010/wordml" w:rsidP="65CF072D" w14:paraId="698E7207" wp14:textId="20F16B51">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Hayden, C., and Nardone, A. (2012) Moving in to social housing and the dynamics of difference ‘neighbours from hell’ with nothing to lose?, Internet </w:t>
      </w:r>
      <w:r w:rsidRPr="65CF072D" w:rsidR="1C15AB0C">
        <w:rPr>
          <w:rFonts w:ascii="Arial" w:hAnsi="Arial" w:eastAsia="Arial" w:cs="Arial"/>
          <w:i w:val="1"/>
          <w:iCs w:val="1"/>
          <w:noProof w:val="0"/>
          <w:color w:val="000000" w:themeColor="text1" w:themeTint="FF" w:themeShade="FF"/>
          <w:sz w:val="24"/>
          <w:szCs w:val="24"/>
          <w:lang w:val="en-US"/>
        </w:rPr>
        <w:t>Journal of Criminology</w:t>
      </w:r>
      <w:r w:rsidRPr="65CF072D" w:rsidR="1C15AB0C">
        <w:rPr>
          <w:rFonts w:ascii="Arial" w:hAnsi="Arial" w:eastAsia="Arial" w:cs="Arial"/>
          <w:noProof w:val="0"/>
          <w:color w:val="000000" w:themeColor="text1" w:themeTint="FF" w:themeShade="FF"/>
          <w:sz w:val="24"/>
          <w:szCs w:val="24"/>
          <w:lang w:val="en-US"/>
        </w:rPr>
        <w:t xml:space="preserve">. Available: &lt; </w:t>
      </w:r>
      <w:hyperlink r:id="Ra9545658d1044be8">
        <w:r w:rsidRPr="65CF072D" w:rsidR="1C15AB0C">
          <w:rPr>
            <w:rStyle w:val="Hyperlink"/>
            <w:rFonts w:ascii="Arial" w:hAnsi="Arial" w:eastAsia="Arial" w:cs="Arial"/>
            <w:strike w:val="0"/>
            <w:dstrike w:val="0"/>
            <w:noProof w:val="0"/>
            <w:sz w:val="24"/>
            <w:szCs w:val="24"/>
            <w:lang w:val="en-US"/>
          </w:rPr>
          <w:t>https://pure.port.ac.uk/ws/portalfiles/portal/186815/Hayden_Nardone_Neigbours_From_Hell_IJC_June_2012.pdf</w:t>
        </w:r>
      </w:hyperlink>
      <w:r w:rsidRPr="65CF072D" w:rsidR="1C15AB0C">
        <w:rPr>
          <w:rFonts w:ascii="Arial" w:hAnsi="Arial" w:eastAsia="Arial" w:cs="Arial"/>
          <w:noProof w:val="0"/>
          <w:color w:val="000000" w:themeColor="text1" w:themeTint="FF" w:themeShade="FF"/>
          <w:sz w:val="24"/>
          <w:szCs w:val="24"/>
          <w:lang w:val="en-US"/>
        </w:rPr>
        <w:t xml:space="preserve"> &gt; [Accessed: December 15, 2021].</w:t>
      </w:r>
    </w:p>
    <w:p xmlns:wp14="http://schemas.microsoft.com/office/word/2010/wordml" w:rsidP="65CF072D" w14:paraId="062224FA" wp14:textId="4E540CD1">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Home Office (2013) </w:t>
      </w:r>
      <w:r w:rsidRPr="65CF072D" w:rsidR="1C15AB0C">
        <w:rPr>
          <w:rFonts w:ascii="Arial" w:hAnsi="Arial" w:eastAsia="Arial" w:cs="Arial"/>
          <w:i w:val="1"/>
          <w:iCs w:val="1"/>
          <w:noProof w:val="0"/>
          <w:color w:val="000000" w:themeColor="text1" w:themeTint="FF" w:themeShade="FF"/>
          <w:sz w:val="24"/>
          <w:szCs w:val="24"/>
          <w:lang w:val="en-US"/>
        </w:rPr>
        <w:t>Anti-social Behaviour, Crime and Policing Act</w:t>
      </w:r>
      <w:r w:rsidRPr="65CF072D" w:rsidR="1C15AB0C">
        <w:rPr>
          <w:rFonts w:ascii="Arial" w:hAnsi="Arial" w:eastAsia="Arial" w:cs="Arial"/>
          <w:noProof w:val="0"/>
          <w:color w:val="000000" w:themeColor="text1" w:themeTint="FF" w:themeShade="FF"/>
          <w:sz w:val="24"/>
          <w:szCs w:val="24"/>
          <w:lang w:val="en-US"/>
        </w:rPr>
        <w:t xml:space="preserve">. Available: &lt; </w:t>
      </w:r>
      <w:hyperlink r:id="Rc0abbf4521744ba4">
        <w:r w:rsidRPr="65CF072D" w:rsidR="1C15AB0C">
          <w:rPr>
            <w:rStyle w:val="Hyperlink"/>
            <w:rFonts w:ascii="Arial" w:hAnsi="Arial" w:eastAsia="Arial" w:cs="Arial"/>
            <w:strike w:val="0"/>
            <w:dstrike w:val="0"/>
            <w:noProof w:val="0"/>
            <w:sz w:val="24"/>
            <w:szCs w:val="24"/>
            <w:lang w:val="en-US"/>
          </w:rPr>
          <w:t>https://www.gov.uk/government/collections/anti-social-behaviour-crime-and-police-bill</w:t>
        </w:r>
      </w:hyperlink>
      <w:r w:rsidRPr="65CF072D" w:rsidR="1C15AB0C">
        <w:rPr>
          <w:rFonts w:ascii="Arial" w:hAnsi="Arial" w:eastAsia="Arial" w:cs="Arial"/>
          <w:noProof w:val="0"/>
          <w:color w:val="000000" w:themeColor="text1" w:themeTint="FF" w:themeShade="FF"/>
          <w:sz w:val="24"/>
          <w:szCs w:val="24"/>
          <w:lang w:val="en-US"/>
        </w:rPr>
        <w:t xml:space="preserve"> &gt; [Accessed: December 15, 2021].</w:t>
      </w:r>
    </w:p>
    <w:p xmlns:wp14="http://schemas.microsoft.com/office/word/2010/wordml" w:rsidP="65CF072D" w14:paraId="5335F01D" wp14:textId="5ADFCE17">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Home Office (2021) </w:t>
      </w:r>
      <w:r w:rsidRPr="65CF072D" w:rsidR="1C15AB0C">
        <w:rPr>
          <w:rFonts w:ascii="Arial" w:hAnsi="Arial" w:eastAsia="Arial" w:cs="Arial"/>
          <w:i w:val="1"/>
          <w:iCs w:val="1"/>
          <w:noProof w:val="0"/>
          <w:color w:val="000000" w:themeColor="text1" w:themeTint="FF" w:themeShade="FF"/>
          <w:sz w:val="24"/>
          <w:szCs w:val="24"/>
          <w:lang w:val="en-US"/>
        </w:rPr>
        <w:t>Anti-Social Behaviour, Crime and Policing Act 2014: Anti-social behaviour powers Statutory guidance for frontline professionals</w:t>
      </w:r>
      <w:r w:rsidRPr="65CF072D" w:rsidR="1C15AB0C">
        <w:rPr>
          <w:rFonts w:ascii="Arial" w:hAnsi="Arial" w:eastAsia="Arial" w:cs="Arial"/>
          <w:noProof w:val="0"/>
          <w:color w:val="000000" w:themeColor="text1" w:themeTint="FF" w:themeShade="FF"/>
          <w:sz w:val="24"/>
          <w:szCs w:val="24"/>
          <w:lang w:val="en-US"/>
        </w:rPr>
        <w:t xml:space="preserve">. Available: &lt; </w:t>
      </w:r>
      <w:hyperlink r:id="R1676699f64524b2a">
        <w:r w:rsidRPr="65CF072D" w:rsidR="1C15AB0C">
          <w:rPr>
            <w:rStyle w:val="Hyperlink"/>
            <w:rFonts w:ascii="Arial" w:hAnsi="Arial" w:eastAsia="Arial" w:cs="Arial"/>
            <w:strike w:val="0"/>
            <w:dstrike w:val="0"/>
            <w:noProof w:val="0"/>
            <w:sz w:val="24"/>
            <w:szCs w:val="24"/>
            <w:lang w:val="en-US"/>
          </w:rPr>
          <w:t>https://assets.publishing.service.gov.uk/government/uploads/system/uploads/attachment_data/file/956143/ASB_Statutory_Guidance.pdf</w:t>
        </w:r>
      </w:hyperlink>
      <w:r w:rsidRPr="65CF072D" w:rsidR="1C15AB0C">
        <w:rPr>
          <w:rFonts w:ascii="Arial" w:hAnsi="Arial" w:eastAsia="Arial" w:cs="Arial"/>
          <w:noProof w:val="0"/>
          <w:color w:val="000000" w:themeColor="text1" w:themeTint="FF" w:themeShade="FF"/>
          <w:sz w:val="24"/>
          <w:szCs w:val="24"/>
          <w:lang w:val="en-US"/>
        </w:rPr>
        <w:t xml:space="preserve"> &gt; [Accessed: December 15, 2021].</w:t>
      </w:r>
    </w:p>
    <w:p xmlns:wp14="http://schemas.microsoft.com/office/word/2010/wordml" w:rsidP="65CF072D" w14:paraId="6528B368" wp14:textId="3C69A1A8">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Independent Police Complaints Commission (2009) </w:t>
      </w:r>
      <w:r w:rsidRPr="65CF072D" w:rsidR="1C15AB0C">
        <w:rPr>
          <w:rFonts w:ascii="Arial" w:hAnsi="Arial" w:eastAsia="Arial" w:cs="Arial"/>
          <w:i w:val="1"/>
          <w:iCs w:val="1"/>
          <w:noProof w:val="0"/>
          <w:color w:val="000000" w:themeColor="text1" w:themeTint="FF" w:themeShade="FF"/>
          <w:sz w:val="24"/>
          <w:szCs w:val="24"/>
          <w:lang w:val="en-US"/>
        </w:rPr>
        <w:t>IPCC report into the contact between Fiona Pilkington and Leicestershire Constabulary 2004-2007</w:t>
      </w:r>
      <w:r w:rsidRPr="65CF072D" w:rsidR="1C15AB0C">
        <w:rPr>
          <w:rFonts w:ascii="Arial" w:hAnsi="Arial" w:eastAsia="Arial" w:cs="Arial"/>
          <w:noProof w:val="0"/>
          <w:color w:val="000000" w:themeColor="text1" w:themeTint="FF" w:themeShade="FF"/>
          <w:sz w:val="24"/>
          <w:szCs w:val="24"/>
          <w:lang w:val="en-US"/>
        </w:rPr>
        <w:t xml:space="preserve">. Available: &lt; </w:t>
      </w:r>
      <w:hyperlink r:id="R8d1e2dc3410f44d4">
        <w:r w:rsidRPr="65CF072D" w:rsidR="1C15AB0C">
          <w:rPr>
            <w:rStyle w:val="Hyperlink"/>
            <w:rFonts w:ascii="Arial" w:hAnsi="Arial" w:eastAsia="Arial" w:cs="Arial"/>
            <w:strike w:val="0"/>
            <w:dstrike w:val="0"/>
            <w:noProof w:val="0"/>
            <w:sz w:val="24"/>
            <w:szCs w:val="24"/>
            <w:lang w:val="en-US"/>
          </w:rPr>
          <w:t>https://www.hampshiresab.org.uk/wp-content/uploads/2009-Fiona-Pilkington-Leicestershire.pdf</w:t>
        </w:r>
      </w:hyperlink>
      <w:r w:rsidRPr="65CF072D" w:rsidR="1C15AB0C">
        <w:rPr>
          <w:rFonts w:ascii="Arial" w:hAnsi="Arial" w:eastAsia="Arial" w:cs="Arial"/>
          <w:noProof w:val="0"/>
          <w:color w:val="000000" w:themeColor="text1" w:themeTint="FF" w:themeShade="FF"/>
          <w:sz w:val="24"/>
          <w:szCs w:val="24"/>
          <w:lang w:val="en-US"/>
        </w:rPr>
        <w:t xml:space="preserve"> &gt; [Accessed: December 2, 2021].</w:t>
      </w:r>
    </w:p>
    <w:p xmlns:wp14="http://schemas.microsoft.com/office/word/2010/wordml" w:rsidP="65CF072D" w14:paraId="4CC56880" wp14:textId="6C18618E">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Leicester Hate Crime Project (2014a) </w:t>
      </w:r>
      <w:r w:rsidRPr="65CF072D" w:rsidR="1C15AB0C">
        <w:rPr>
          <w:rFonts w:ascii="Arial" w:hAnsi="Arial" w:eastAsia="Arial" w:cs="Arial"/>
          <w:i w:val="1"/>
          <w:iCs w:val="1"/>
          <w:noProof w:val="0"/>
          <w:color w:val="000000" w:themeColor="text1" w:themeTint="FF" w:themeShade="FF"/>
          <w:sz w:val="24"/>
          <w:szCs w:val="24"/>
          <w:lang w:val="en-US"/>
        </w:rPr>
        <w:t>Findings and Conclusions</w:t>
      </w:r>
      <w:r w:rsidRPr="65CF072D" w:rsidR="1C15AB0C">
        <w:rPr>
          <w:rFonts w:ascii="Arial" w:hAnsi="Arial" w:eastAsia="Arial" w:cs="Arial"/>
          <w:noProof w:val="0"/>
          <w:color w:val="000000" w:themeColor="text1" w:themeTint="FF" w:themeShade="FF"/>
          <w:sz w:val="24"/>
          <w:szCs w:val="24"/>
          <w:lang w:val="en-US"/>
        </w:rPr>
        <w:t xml:space="preserve">. Leicester: University of Leicester. Available: &lt; </w:t>
      </w:r>
      <w:hyperlink r:id="Rb67c46e253db427e">
        <w:r w:rsidRPr="65CF072D" w:rsidR="1C15AB0C">
          <w:rPr>
            <w:rStyle w:val="Hyperlink"/>
            <w:rFonts w:ascii="Arial" w:hAnsi="Arial" w:eastAsia="Arial" w:cs="Arial"/>
            <w:strike w:val="0"/>
            <w:dstrike w:val="0"/>
            <w:noProof w:val="0"/>
            <w:sz w:val="24"/>
            <w:szCs w:val="24"/>
            <w:lang w:val="en-US"/>
          </w:rPr>
          <w:t>https://www2.le.ac.uk/departments/criminology/hate/documents/fc-full-report</w:t>
        </w:r>
      </w:hyperlink>
      <w:r w:rsidRPr="65CF072D" w:rsidR="1C15AB0C">
        <w:rPr>
          <w:rFonts w:ascii="Arial" w:hAnsi="Arial" w:eastAsia="Arial" w:cs="Arial"/>
          <w:noProof w:val="0"/>
          <w:color w:val="000000" w:themeColor="text1" w:themeTint="FF" w:themeShade="FF"/>
          <w:sz w:val="24"/>
          <w:szCs w:val="24"/>
          <w:lang w:val="en-US"/>
        </w:rPr>
        <w:t xml:space="preserve"> &gt; [Accessed: December 4, 2021].</w:t>
      </w:r>
    </w:p>
    <w:p xmlns:wp14="http://schemas.microsoft.com/office/word/2010/wordml" w:rsidP="65CF072D" w14:paraId="28542106" wp14:textId="7CEEF8E1">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Leicester Hate Crime Project (2014b) </w:t>
      </w:r>
      <w:r w:rsidRPr="65CF072D" w:rsidR="1C15AB0C">
        <w:rPr>
          <w:rFonts w:ascii="Arial" w:hAnsi="Arial" w:eastAsia="Arial" w:cs="Arial"/>
          <w:i w:val="1"/>
          <w:iCs w:val="1"/>
          <w:noProof w:val="0"/>
          <w:color w:val="000000" w:themeColor="text1" w:themeTint="FF" w:themeShade="FF"/>
          <w:sz w:val="24"/>
          <w:szCs w:val="24"/>
          <w:lang w:val="en-US"/>
        </w:rPr>
        <w:t>Briefing Paper 1, Disablist Hate Crime</w:t>
      </w:r>
      <w:r w:rsidRPr="65CF072D" w:rsidR="1C15AB0C">
        <w:rPr>
          <w:rFonts w:ascii="Arial" w:hAnsi="Arial" w:eastAsia="Arial" w:cs="Arial"/>
          <w:noProof w:val="0"/>
          <w:color w:val="000000" w:themeColor="text1" w:themeTint="FF" w:themeShade="FF"/>
          <w:sz w:val="24"/>
          <w:szCs w:val="24"/>
          <w:lang w:val="en-US"/>
        </w:rPr>
        <w:t xml:space="preserve">. Leicester: University of Leicester. Available: &lt; </w:t>
      </w:r>
      <w:hyperlink r:id="R6b6be6fe34e44a1b">
        <w:r w:rsidRPr="65CF072D" w:rsidR="1C15AB0C">
          <w:rPr>
            <w:rStyle w:val="Hyperlink"/>
            <w:rFonts w:ascii="Arial" w:hAnsi="Arial" w:eastAsia="Arial" w:cs="Arial"/>
            <w:strike w:val="0"/>
            <w:dstrike w:val="0"/>
            <w:noProof w:val="0"/>
            <w:sz w:val="24"/>
            <w:szCs w:val="24"/>
            <w:lang w:val="en-US"/>
          </w:rPr>
          <w:t>file:///C:/Users/JEPar/Downloads/Briefing%20Paper%201%20-%20Disablist%20Hate%20Crime%20.pdf</w:t>
        </w:r>
      </w:hyperlink>
      <w:r w:rsidRPr="65CF072D" w:rsidR="1C15AB0C">
        <w:rPr>
          <w:rFonts w:ascii="Arial" w:hAnsi="Arial" w:eastAsia="Arial" w:cs="Arial"/>
          <w:noProof w:val="0"/>
          <w:color w:val="000000" w:themeColor="text1" w:themeTint="FF" w:themeShade="FF"/>
          <w:sz w:val="24"/>
          <w:szCs w:val="24"/>
          <w:lang w:val="en-US"/>
        </w:rPr>
        <w:t xml:space="preserve"> &gt; [Accessed: December 4, 2021].</w:t>
      </w:r>
    </w:p>
    <w:p xmlns:wp14="http://schemas.microsoft.com/office/word/2010/wordml" w:rsidP="65CF072D" w14:paraId="102EE293" wp14:textId="19027D01">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Leicestershire Police (2017) </w:t>
      </w:r>
      <w:r w:rsidRPr="65CF072D" w:rsidR="1C15AB0C">
        <w:rPr>
          <w:rFonts w:ascii="Arial" w:hAnsi="Arial" w:eastAsia="Arial" w:cs="Arial"/>
          <w:i w:val="1"/>
          <w:iCs w:val="1"/>
          <w:noProof w:val="0"/>
          <w:color w:val="000000" w:themeColor="text1" w:themeTint="FF" w:themeShade="FF"/>
          <w:sz w:val="24"/>
          <w:szCs w:val="24"/>
          <w:lang w:val="en-US"/>
        </w:rPr>
        <w:t>Anti-Social Behaviour Policy</w:t>
      </w:r>
      <w:r w:rsidRPr="65CF072D" w:rsidR="1C15AB0C">
        <w:rPr>
          <w:rFonts w:ascii="Arial" w:hAnsi="Arial" w:eastAsia="Arial" w:cs="Arial"/>
          <w:noProof w:val="0"/>
          <w:color w:val="000000" w:themeColor="text1" w:themeTint="FF" w:themeShade="FF"/>
          <w:sz w:val="24"/>
          <w:szCs w:val="24"/>
          <w:lang w:val="en-US"/>
        </w:rPr>
        <w:t xml:space="preserve">. Available: &lt; </w:t>
      </w:r>
      <w:hyperlink r:id="Rd1586875f62f4439">
        <w:r w:rsidRPr="65CF072D" w:rsidR="1C15AB0C">
          <w:rPr>
            <w:rStyle w:val="Hyperlink"/>
            <w:rFonts w:ascii="Arial" w:hAnsi="Arial" w:eastAsia="Arial" w:cs="Arial"/>
            <w:strike w:val="0"/>
            <w:dstrike w:val="0"/>
            <w:noProof w:val="0"/>
            <w:sz w:val="24"/>
            <w:szCs w:val="24"/>
            <w:lang w:val="en-US"/>
          </w:rPr>
          <w:t>https://www.leics.police.uk/SysSiteAssets/foi-media/leicestershire/policies/anti_social_behaviour_policy_po13.0_oct17</w:t>
        </w:r>
      </w:hyperlink>
      <w:r w:rsidRPr="65CF072D" w:rsidR="1C15AB0C">
        <w:rPr>
          <w:rFonts w:ascii="Arial" w:hAnsi="Arial" w:eastAsia="Arial" w:cs="Arial"/>
          <w:noProof w:val="0"/>
          <w:color w:val="000000" w:themeColor="text1" w:themeTint="FF" w:themeShade="FF"/>
          <w:sz w:val="24"/>
          <w:szCs w:val="24"/>
          <w:lang w:val="en-US"/>
        </w:rPr>
        <w:t xml:space="preserve"> &gt; [Accessed: December 23, 2021].</w:t>
      </w:r>
    </w:p>
    <w:p xmlns:wp14="http://schemas.microsoft.com/office/word/2010/wordml" w:rsidP="65CF072D" w14:paraId="32C89FF4" wp14:textId="75155AC9">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McPherson, W. (1999) </w:t>
      </w:r>
      <w:r w:rsidRPr="65CF072D" w:rsidR="1C15AB0C">
        <w:rPr>
          <w:rFonts w:ascii="Arial" w:hAnsi="Arial" w:eastAsia="Arial" w:cs="Arial"/>
          <w:i w:val="1"/>
          <w:iCs w:val="1"/>
          <w:noProof w:val="0"/>
          <w:color w:val="000000" w:themeColor="text1" w:themeTint="FF" w:themeShade="FF"/>
          <w:sz w:val="24"/>
          <w:szCs w:val="24"/>
          <w:lang w:val="en-US"/>
        </w:rPr>
        <w:t>The Stephen Lawrence Inquiry</w:t>
      </w:r>
      <w:r w:rsidRPr="65CF072D" w:rsidR="1C15AB0C">
        <w:rPr>
          <w:rFonts w:ascii="Arial" w:hAnsi="Arial" w:eastAsia="Arial" w:cs="Arial"/>
          <w:noProof w:val="0"/>
          <w:color w:val="000000" w:themeColor="text1" w:themeTint="FF" w:themeShade="FF"/>
          <w:sz w:val="24"/>
          <w:szCs w:val="24"/>
          <w:lang w:val="en-US"/>
        </w:rPr>
        <w:t xml:space="preserve">. Available: &lt; </w:t>
      </w:r>
      <w:hyperlink r:id="Rf11ff0428b5547df">
        <w:r w:rsidRPr="65CF072D" w:rsidR="1C15AB0C">
          <w:rPr>
            <w:rStyle w:val="Hyperlink"/>
            <w:rFonts w:ascii="Arial" w:hAnsi="Arial" w:eastAsia="Arial" w:cs="Arial"/>
            <w:strike w:val="0"/>
            <w:dstrike w:val="0"/>
            <w:noProof w:val="0"/>
            <w:sz w:val="24"/>
            <w:szCs w:val="24"/>
            <w:lang w:val="en-US"/>
          </w:rPr>
          <w:t>https://pure.port.ac.uk/ws/portalfiles/portal/186815/Hayden_Nardone_Neigbours_From_Hell_IJC_June_2012.pdf</w:t>
        </w:r>
      </w:hyperlink>
      <w:r w:rsidRPr="65CF072D" w:rsidR="1C15AB0C">
        <w:rPr>
          <w:rFonts w:ascii="Arial" w:hAnsi="Arial" w:eastAsia="Arial" w:cs="Arial"/>
          <w:noProof w:val="0"/>
          <w:color w:val="000000" w:themeColor="text1" w:themeTint="FF" w:themeShade="FF"/>
          <w:sz w:val="24"/>
          <w:szCs w:val="24"/>
          <w:lang w:val="en-US"/>
        </w:rPr>
        <w:t xml:space="preserve"> &gt; [Accessed: December 15, 2021].</w:t>
      </w:r>
    </w:p>
    <w:p xmlns:wp14="http://schemas.microsoft.com/office/word/2010/wordml" w:rsidP="65CF072D" w14:paraId="1D1F04EC" wp14:textId="2D3B4896">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Mencap (2010) </w:t>
      </w:r>
      <w:r w:rsidRPr="65CF072D" w:rsidR="1C15AB0C">
        <w:rPr>
          <w:rFonts w:ascii="Arial" w:hAnsi="Arial" w:eastAsia="Arial" w:cs="Arial"/>
          <w:i w:val="1"/>
          <w:iCs w:val="1"/>
          <w:noProof w:val="0"/>
          <w:color w:val="000000" w:themeColor="text1" w:themeTint="FF" w:themeShade="FF"/>
          <w:sz w:val="24"/>
          <w:szCs w:val="24"/>
          <w:lang w:val="en-US"/>
        </w:rPr>
        <w:t>Don’t stand by</w:t>
      </w:r>
      <w:r w:rsidRPr="65CF072D" w:rsidR="1C15AB0C">
        <w:rPr>
          <w:rFonts w:ascii="Arial" w:hAnsi="Arial" w:eastAsia="Arial" w:cs="Arial"/>
          <w:noProof w:val="0"/>
          <w:color w:val="000000" w:themeColor="text1" w:themeTint="FF" w:themeShade="FF"/>
          <w:sz w:val="24"/>
          <w:szCs w:val="24"/>
          <w:lang w:val="en-US"/>
        </w:rPr>
        <w:t xml:space="preserve">. Available: &lt; </w:t>
      </w:r>
      <w:hyperlink r:id="R6ed9bc19387f417e">
        <w:r w:rsidRPr="65CF072D" w:rsidR="1C15AB0C">
          <w:rPr>
            <w:rStyle w:val="Hyperlink"/>
            <w:rFonts w:ascii="Arial" w:hAnsi="Arial" w:eastAsia="Arial" w:cs="Arial"/>
            <w:strike w:val="0"/>
            <w:dstrike w:val="0"/>
            <w:noProof w:val="0"/>
            <w:sz w:val="24"/>
            <w:szCs w:val="24"/>
            <w:lang w:val="en-US"/>
          </w:rPr>
          <w:t>https://www.mencap.org.uk/sites/default/files/2016-08/Don%27t%20stand%20by-research-report%20%281%29.pdf</w:t>
        </w:r>
      </w:hyperlink>
      <w:r w:rsidRPr="65CF072D" w:rsidR="1C15AB0C">
        <w:rPr>
          <w:rFonts w:ascii="Arial" w:hAnsi="Arial" w:eastAsia="Arial" w:cs="Arial"/>
          <w:noProof w:val="0"/>
          <w:color w:val="000000" w:themeColor="text1" w:themeTint="FF" w:themeShade="FF"/>
          <w:sz w:val="24"/>
          <w:szCs w:val="24"/>
          <w:lang w:val="en-US"/>
        </w:rPr>
        <w:t xml:space="preserve"> &gt; [Accessed: December 2, 2021].</w:t>
      </w:r>
    </w:p>
    <w:p xmlns:wp14="http://schemas.microsoft.com/office/word/2010/wordml" w:rsidP="65CF072D" w14:paraId="28DFC500" wp14:textId="33A37275">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Mencap (2013) </w:t>
      </w:r>
      <w:r w:rsidRPr="65CF072D" w:rsidR="1C15AB0C">
        <w:rPr>
          <w:rFonts w:ascii="Arial" w:hAnsi="Arial" w:eastAsia="Arial" w:cs="Arial"/>
          <w:i w:val="1"/>
          <w:iCs w:val="1"/>
          <w:noProof w:val="0"/>
          <w:color w:val="000000" w:themeColor="text1" w:themeTint="FF" w:themeShade="FF"/>
          <w:sz w:val="24"/>
          <w:szCs w:val="24"/>
          <w:lang w:val="en-US"/>
        </w:rPr>
        <w:t>Four things you probably didn’t know about disability hate crime</w:t>
      </w:r>
      <w:r w:rsidRPr="65CF072D" w:rsidR="1C15AB0C">
        <w:rPr>
          <w:rFonts w:ascii="Arial" w:hAnsi="Arial" w:eastAsia="Arial" w:cs="Arial"/>
          <w:noProof w:val="0"/>
          <w:color w:val="000000" w:themeColor="text1" w:themeTint="FF" w:themeShade="FF"/>
          <w:sz w:val="24"/>
          <w:szCs w:val="24"/>
          <w:lang w:val="en-US"/>
        </w:rPr>
        <w:t xml:space="preserve">. Available: &lt; </w:t>
      </w:r>
      <w:hyperlink r:id="Rcad0de0d501540f9">
        <w:r w:rsidRPr="65CF072D" w:rsidR="1C15AB0C">
          <w:rPr>
            <w:rStyle w:val="Hyperlink"/>
            <w:rFonts w:ascii="Arial" w:hAnsi="Arial" w:eastAsia="Arial" w:cs="Arial"/>
            <w:strike w:val="0"/>
            <w:dstrike w:val="0"/>
            <w:noProof w:val="0"/>
            <w:sz w:val="24"/>
            <w:szCs w:val="24"/>
            <w:lang w:val="en-US"/>
          </w:rPr>
          <w:t>https://www.mencap.org.uk/blog/four-things-you-probably-didnt-know-about-disability-hate-crime</w:t>
        </w:r>
      </w:hyperlink>
      <w:r w:rsidRPr="65CF072D" w:rsidR="1C15AB0C">
        <w:rPr>
          <w:rFonts w:ascii="Arial" w:hAnsi="Arial" w:eastAsia="Arial" w:cs="Arial"/>
          <w:noProof w:val="0"/>
          <w:color w:val="000000" w:themeColor="text1" w:themeTint="FF" w:themeShade="FF"/>
          <w:sz w:val="24"/>
          <w:szCs w:val="24"/>
          <w:lang w:val="en-US"/>
        </w:rPr>
        <w:t xml:space="preserve"> &gt; [Accessed: December 2, 2021].</w:t>
      </w:r>
    </w:p>
    <w:p xmlns:wp14="http://schemas.microsoft.com/office/word/2010/wordml" w:rsidP="65CF072D" w14:paraId="28285776" wp14:textId="521C41B8">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Metropolitan Police (2021) </w:t>
      </w:r>
      <w:r w:rsidRPr="65CF072D" w:rsidR="1C15AB0C">
        <w:rPr>
          <w:rFonts w:ascii="Arial" w:hAnsi="Arial" w:eastAsia="Arial" w:cs="Arial"/>
          <w:i w:val="1"/>
          <w:iCs w:val="1"/>
          <w:noProof w:val="0"/>
          <w:color w:val="000000" w:themeColor="text1" w:themeTint="FF" w:themeShade="FF"/>
          <w:sz w:val="24"/>
          <w:szCs w:val="24"/>
          <w:lang w:val="en-US"/>
        </w:rPr>
        <w:t>What is antisocial behaviour?</w:t>
      </w:r>
      <w:r w:rsidRPr="65CF072D" w:rsidR="1C15AB0C">
        <w:rPr>
          <w:rFonts w:ascii="Arial" w:hAnsi="Arial" w:eastAsia="Arial" w:cs="Arial"/>
          <w:noProof w:val="0"/>
          <w:color w:val="000000" w:themeColor="text1" w:themeTint="FF" w:themeShade="FF"/>
          <w:sz w:val="24"/>
          <w:szCs w:val="24"/>
          <w:lang w:val="en-US"/>
        </w:rPr>
        <w:t xml:space="preserve">. Available: &lt; </w:t>
      </w:r>
      <w:hyperlink r:id="R6af556b62c1746f3">
        <w:r w:rsidRPr="65CF072D" w:rsidR="1C15AB0C">
          <w:rPr>
            <w:rStyle w:val="Hyperlink"/>
            <w:rFonts w:ascii="Arial" w:hAnsi="Arial" w:eastAsia="Arial" w:cs="Arial"/>
            <w:strike w:val="0"/>
            <w:dstrike w:val="0"/>
            <w:noProof w:val="0"/>
            <w:sz w:val="24"/>
            <w:szCs w:val="24"/>
            <w:lang w:val="en-US"/>
          </w:rPr>
          <w:t>https://www.met.police.uk/advice/advice-and-information/asb/asb/antisocial-behaviour/what-is-antisocial-behaviour/</w:t>
        </w:r>
      </w:hyperlink>
      <w:r w:rsidRPr="65CF072D" w:rsidR="1C15AB0C">
        <w:rPr>
          <w:rFonts w:ascii="Arial" w:hAnsi="Arial" w:eastAsia="Arial" w:cs="Arial"/>
          <w:noProof w:val="0"/>
          <w:color w:val="000000" w:themeColor="text1" w:themeTint="FF" w:themeShade="FF"/>
          <w:sz w:val="24"/>
          <w:szCs w:val="24"/>
          <w:lang w:val="en-US"/>
        </w:rPr>
        <w:t xml:space="preserve"> &gt; [Accessed: November 20, 2021].</w:t>
      </w:r>
    </w:p>
    <w:p xmlns:wp14="http://schemas.microsoft.com/office/word/2010/wordml" w:rsidP="65CF072D" w14:paraId="209ED26E" wp14:textId="20B2710B">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Mikton, C. and Shakespeare, T. (2014) ‘Introduction to special issue on violence against people with disability’, </w:t>
      </w:r>
      <w:r w:rsidRPr="65CF072D" w:rsidR="1C15AB0C">
        <w:rPr>
          <w:rFonts w:ascii="Arial" w:hAnsi="Arial" w:eastAsia="Arial" w:cs="Arial"/>
          <w:i w:val="1"/>
          <w:iCs w:val="1"/>
          <w:noProof w:val="0"/>
          <w:color w:val="000000" w:themeColor="text1" w:themeTint="FF" w:themeShade="FF"/>
          <w:sz w:val="24"/>
          <w:szCs w:val="24"/>
          <w:lang w:val="en-US"/>
        </w:rPr>
        <w:t>Journal of Interpersonal Violence</w:t>
      </w:r>
      <w:r w:rsidRPr="65CF072D" w:rsidR="1C15AB0C">
        <w:rPr>
          <w:rFonts w:ascii="Arial" w:hAnsi="Arial" w:eastAsia="Arial" w:cs="Arial"/>
          <w:noProof w:val="0"/>
          <w:color w:val="000000" w:themeColor="text1" w:themeTint="FF" w:themeShade="FF"/>
          <w:sz w:val="24"/>
          <w:szCs w:val="24"/>
          <w:lang w:val="en-US"/>
        </w:rPr>
        <w:t>, 29(17), pp. 3055-3062.</w:t>
      </w:r>
    </w:p>
    <w:p xmlns:wp14="http://schemas.microsoft.com/office/word/2010/wordml" w:rsidP="65CF072D" w14:paraId="1162AA91" wp14:textId="545CC998">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Office for National Statistics (2016) </w:t>
      </w:r>
      <w:r w:rsidRPr="65CF072D" w:rsidR="1C15AB0C">
        <w:rPr>
          <w:rFonts w:ascii="Arial" w:hAnsi="Arial" w:eastAsia="Arial" w:cs="Arial"/>
          <w:i w:val="1"/>
          <w:iCs w:val="1"/>
          <w:noProof w:val="0"/>
          <w:color w:val="000000" w:themeColor="text1" w:themeTint="FF" w:themeShade="FF"/>
          <w:sz w:val="24"/>
          <w:szCs w:val="24"/>
          <w:lang w:val="en-US"/>
        </w:rPr>
        <w:t>Review of methodology for addressing high-frequency repeat victimisation in Crime Survey for England and Wales estimates</w:t>
      </w:r>
      <w:r w:rsidRPr="65CF072D" w:rsidR="1C15AB0C">
        <w:rPr>
          <w:rFonts w:ascii="Arial" w:hAnsi="Arial" w:eastAsia="Arial" w:cs="Arial"/>
          <w:noProof w:val="0"/>
          <w:color w:val="000000" w:themeColor="text1" w:themeTint="FF" w:themeShade="FF"/>
          <w:sz w:val="24"/>
          <w:szCs w:val="24"/>
          <w:lang w:val="en-US"/>
        </w:rPr>
        <w:t xml:space="preserve">. Available: &lt; </w:t>
      </w:r>
      <w:hyperlink r:id="R2ca3393c7a494a3e">
        <w:r w:rsidRPr="65CF072D" w:rsidR="1C15AB0C">
          <w:rPr>
            <w:rStyle w:val="Hyperlink"/>
            <w:rFonts w:ascii="Arial" w:hAnsi="Arial" w:eastAsia="Arial" w:cs="Arial"/>
            <w:strike w:val="0"/>
            <w:dstrike w:val="0"/>
            <w:noProof w:val="0"/>
            <w:sz w:val="24"/>
            <w:szCs w:val="24"/>
            <w:lang w:val="en-US"/>
          </w:rPr>
          <w:t>https://www.ons.gov.uk/aboutus/whatwedo/statistics/consultationsandsurveys/allconsultationsandsurveys/reviewofmethodologyforaddressinghighfrequencyrepeatvictimisationincrimesurveyforenglandandwalesestimates</w:t>
        </w:r>
      </w:hyperlink>
      <w:r w:rsidRPr="65CF072D" w:rsidR="1C15AB0C">
        <w:rPr>
          <w:rFonts w:ascii="Arial" w:hAnsi="Arial" w:eastAsia="Arial" w:cs="Arial"/>
          <w:noProof w:val="0"/>
          <w:color w:val="000000" w:themeColor="text1" w:themeTint="FF" w:themeShade="FF"/>
          <w:sz w:val="24"/>
          <w:szCs w:val="24"/>
          <w:lang w:val="en-US"/>
        </w:rPr>
        <w:t xml:space="preserve"> &gt; [Accessed: November 21, 2021].</w:t>
      </w:r>
    </w:p>
    <w:p xmlns:wp14="http://schemas.microsoft.com/office/word/2010/wordml" w:rsidP="65CF072D" w14:paraId="51AEB73B" wp14:textId="5257AC74">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Office for National Statistics (2019) </w:t>
      </w:r>
      <w:r w:rsidRPr="65CF072D" w:rsidR="1C15AB0C">
        <w:rPr>
          <w:rFonts w:ascii="Arial" w:hAnsi="Arial" w:eastAsia="Arial" w:cs="Arial"/>
          <w:i w:val="1"/>
          <w:iCs w:val="1"/>
          <w:noProof w:val="0"/>
          <w:color w:val="000000" w:themeColor="text1" w:themeTint="FF" w:themeShade="FF"/>
          <w:sz w:val="24"/>
          <w:szCs w:val="24"/>
          <w:lang w:val="en-US"/>
        </w:rPr>
        <w:t>The nature of violent crime in England and Wales: year ending March 2018</w:t>
      </w:r>
      <w:r w:rsidRPr="65CF072D" w:rsidR="1C15AB0C">
        <w:rPr>
          <w:rFonts w:ascii="Arial" w:hAnsi="Arial" w:eastAsia="Arial" w:cs="Arial"/>
          <w:noProof w:val="0"/>
          <w:color w:val="000000" w:themeColor="text1" w:themeTint="FF" w:themeShade="FF"/>
          <w:sz w:val="24"/>
          <w:szCs w:val="24"/>
          <w:lang w:val="en-US"/>
        </w:rPr>
        <w:t xml:space="preserve">. Available: &lt; </w:t>
      </w:r>
      <w:hyperlink r:id="Rd059f23ca5bf4fb5">
        <w:r w:rsidRPr="65CF072D" w:rsidR="1C15AB0C">
          <w:rPr>
            <w:rStyle w:val="Hyperlink"/>
            <w:rFonts w:ascii="Arial" w:hAnsi="Arial" w:eastAsia="Arial" w:cs="Arial"/>
            <w:strike w:val="0"/>
            <w:dstrike w:val="0"/>
            <w:noProof w:val="0"/>
            <w:sz w:val="24"/>
            <w:szCs w:val="24"/>
            <w:lang w:val="en-US"/>
          </w:rPr>
          <w:t>https://www.ons.gov.uk/peoplepopulationandcommunity/crimeandjustice/articles/thenatureofviolentcrimeinenglandandwales/yearendingmarch2018/previous/v1</w:t>
        </w:r>
      </w:hyperlink>
      <w:r w:rsidRPr="65CF072D" w:rsidR="1C15AB0C">
        <w:rPr>
          <w:rFonts w:ascii="Arial" w:hAnsi="Arial" w:eastAsia="Arial" w:cs="Arial"/>
          <w:noProof w:val="0"/>
          <w:color w:val="000000" w:themeColor="text1" w:themeTint="FF" w:themeShade="FF"/>
          <w:sz w:val="24"/>
          <w:szCs w:val="24"/>
          <w:lang w:val="en-US"/>
        </w:rPr>
        <w:t xml:space="preserve"> &gt; [Accessed: November 21, 2021].</w:t>
      </w:r>
    </w:p>
    <w:p xmlns:wp14="http://schemas.microsoft.com/office/word/2010/wordml" w:rsidP="65CF072D" w14:paraId="0CCB2FC9" wp14:textId="3B67E430">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Petersilia, J., Foote, J. and Crowell, N. (2001) </w:t>
      </w:r>
      <w:r w:rsidRPr="65CF072D" w:rsidR="1C15AB0C">
        <w:rPr>
          <w:rFonts w:ascii="Arial" w:hAnsi="Arial" w:eastAsia="Arial" w:cs="Arial"/>
          <w:i w:val="1"/>
          <w:iCs w:val="1"/>
          <w:noProof w:val="0"/>
          <w:color w:val="000000" w:themeColor="text1" w:themeTint="FF" w:themeShade="FF"/>
          <w:sz w:val="24"/>
          <w:szCs w:val="24"/>
          <w:lang w:val="en-US"/>
        </w:rPr>
        <w:t>Crime Victims with Developmental Disabilities</w:t>
      </w:r>
      <w:r w:rsidRPr="65CF072D" w:rsidR="1C15AB0C">
        <w:rPr>
          <w:rFonts w:ascii="Arial" w:hAnsi="Arial" w:eastAsia="Arial" w:cs="Arial"/>
          <w:noProof w:val="0"/>
          <w:color w:val="000000" w:themeColor="text1" w:themeTint="FF" w:themeShade="FF"/>
          <w:sz w:val="24"/>
          <w:szCs w:val="24"/>
          <w:lang w:val="en-US"/>
        </w:rPr>
        <w:t xml:space="preserve">. Available: &lt; </w:t>
      </w:r>
      <w:hyperlink r:id="Rf8a2d6ecb117458c">
        <w:r w:rsidRPr="65CF072D" w:rsidR="1C15AB0C">
          <w:rPr>
            <w:rStyle w:val="Hyperlink"/>
            <w:rFonts w:ascii="Arial" w:hAnsi="Arial" w:eastAsia="Arial" w:cs="Arial"/>
            <w:strike w:val="0"/>
            <w:dstrike w:val="0"/>
            <w:noProof w:val="0"/>
            <w:sz w:val="24"/>
            <w:szCs w:val="24"/>
            <w:lang w:val="en-US"/>
          </w:rPr>
          <w:t>https://www.nap.edu/read/10042/chapter/4</w:t>
        </w:r>
      </w:hyperlink>
      <w:r w:rsidRPr="65CF072D" w:rsidR="1C15AB0C">
        <w:rPr>
          <w:rFonts w:ascii="Arial" w:hAnsi="Arial" w:eastAsia="Arial" w:cs="Arial"/>
          <w:noProof w:val="0"/>
          <w:color w:val="000000" w:themeColor="text1" w:themeTint="FF" w:themeShade="FF"/>
          <w:sz w:val="24"/>
          <w:szCs w:val="24"/>
          <w:lang w:val="en-US"/>
        </w:rPr>
        <w:t xml:space="preserve"> &gt; [Accessed: December 20, 2021].</w:t>
      </w:r>
    </w:p>
    <w:p xmlns:wp14="http://schemas.microsoft.com/office/word/2010/wordml" w:rsidP="65CF072D" w14:paraId="6F3B2912" wp14:textId="19CCD3F0">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Quarmby, K. and Scott, R. (2008) </w:t>
      </w:r>
      <w:r w:rsidRPr="65CF072D" w:rsidR="1C15AB0C">
        <w:rPr>
          <w:rFonts w:ascii="Arial" w:hAnsi="Arial" w:eastAsia="Arial" w:cs="Arial"/>
          <w:i w:val="1"/>
          <w:iCs w:val="1"/>
          <w:noProof w:val="0"/>
          <w:color w:val="000000" w:themeColor="text1" w:themeTint="FF" w:themeShade="FF"/>
          <w:sz w:val="24"/>
          <w:szCs w:val="24"/>
          <w:lang w:val="en-US"/>
        </w:rPr>
        <w:t>Getting away with murder: disabled people’s experiences of hate crime in the UK</w:t>
      </w:r>
      <w:r w:rsidRPr="65CF072D" w:rsidR="1C15AB0C">
        <w:rPr>
          <w:rFonts w:ascii="Arial" w:hAnsi="Arial" w:eastAsia="Arial" w:cs="Arial"/>
          <w:noProof w:val="0"/>
          <w:color w:val="000000" w:themeColor="text1" w:themeTint="FF" w:themeShade="FF"/>
          <w:sz w:val="24"/>
          <w:szCs w:val="24"/>
          <w:lang w:val="en-US"/>
        </w:rPr>
        <w:t xml:space="preserve">. Available: &lt; </w:t>
      </w:r>
      <w:hyperlink r:id="R2555c29d499d4a27">
        <w:r w:rsidRPr="65CF072D" w:rsidR="1C15AB0C">
          <w:rPr>
            <w:rStyle w:val="Hyperlink"/>
            <w:rFonts w:ascii="Arial" w:hAnsi="Arial" w:eastAsia="Arial" w:cs="Arial"/>
            <w:strike w:val="0"/>
            <w:dstrike w:val="0"/>
            <w:noProof w:val="0"/>
            <w:sz w:val="24"/>
            <w:szCs w:val="24"/>
            <w:lang w:val="en-US"/>
          </w:rPr>
          <w:t>https://www.hatecrimescotland.org/wp/wp-content/uploads/2014/08/Getting-Away-with-Murder-Disabled-Peoples-Experiences-of-Hate-Crime-in-UK-SCOPE-2008.pdf</w:t>
        </w:r>
      </w:hyperlink>
      <w:r w:rsidRPr="65CF072D" w:rsidR="1C15AB0C">
        <w:rPr>
          <w:rFonts w:ascii="Arial" w:hAnsi="Arial" w:eastAsia="Arial" w:cs="Arial"/>
          <w:noProof w:val="0"/>
          <w:color w:val="000000" w:themeColor="text1" w:themeTint="FF" w:themeShade="FF"/>
          <w:sz w:val="24"/>
          <w:szCs w:val="24"/>
          <w:lang w:val="en-US"/>
        </w:rPr>
        <w:t xml:space="preserve"> &gt; [Accessed: December 5, 2021].</w:t>
      </w:r>
    </w:p>
    <w:p xmlns:wp14="http://schemas.microsoft.com/office/word/2010/wordml" w:rsidP="65CF072D" w14:paraId="6DF6851A" wp14:textId="3D1B8BF3">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Samuel, M. (2009) Fiona Pilkington SCR questions adults safeguarding policy, </w:t>
      </w:r>
      <w:r w:rsidRPr="65CF072D" w:rsidR="1C15AB0C">
        <w:rPr>
          <w:rFonts w:ascii="Arial" w:hAnsi="Arial" w:eastAsia="Arial" w:cs="Arial"/>
          <w:i w:val="1"/>
          <w:iCs w:val="1"/>
          <w:noProof w:val="0"/>
          <w:color w:val="000000" w:themeColor="text1" w:themeTint="FF" w:themeShade="FF"/>
          <w:sz w:val="24"/>
          <w:szCs w:val="24"/>
          <w:lang w:val="en-US"/>
        </w:rPr>
        <w:t>Community Care</w:t>
      </w:r>
      <w:r w:rsidRPr="65CF072D" w:rsidR="1C15AB0C">
        <w:rPr>
          <w:rFonts w:ascii="Arial" w:hAnsi="Arial" w:eastAsia="Arial" w:cs="Arial"/>
          <w:noProof w:val="0"/>
          <w:color w:val="000000" w:themeColor="text1" w:themeTint="FF" w:themeShade="FF"/>
          <w:sz w:val="24"/>
          <w:szCs w:val="24"/>
          <w:lang w:val="en-US"/>
        </w:rPr>
        <w:t xml:space="preserve">. Available: &lt; </w:t>
      </w:r>
      <w:hyperlink r:id="R345ed55461574da5">
        <w:r w:rsidRPr="65CF072D" w:rsidR="1C15AB0C">
          <w:rPr>
            <w:rStyle w:val="Hyperlink"/>
            <w:rFonts w:ascii="Arial" w:hAnsi="Arial" w:eastAsia="Arial" w:cs="Arial"/>
            <w:strike w:val="0"/>
            <w:dstrike w:val="0"/>
            <w:noProof w:val="0"/>
            <w:sz w:val="24"/>
            <w:szCs w:val="24"/>
            <w:lang w:val="en-US"/>
          </w:rPr>
          <w:t>https://www.communitycare.co.uk/2009/09/30/fiona-pilkington-scr-questions-safeguarding-adults-policy/</w:t>
        </w:r>
      </w:hyperlink>
      <w:r w:rsidRPr="65CF072D" w:rsidR="1C15AB0C">
        <w:rPr>
          <w:rFonts w:ascii="Arial" w:hAnsi="Arial" w:eastAsia="Arial" w:cs="Arial"/>
          <w:noProof w:val="0"/>
          <w:sz w:val="24"/>
          <w:szCs w:val="24"/>
          <w:lang w:val="en-US"/>
        </w:rPr>
        <w:t xml:space="preserve"> &gt; [Accessed: December 15, 2021].</w:t>
      </w:r>
    </w:p>
    <w:p xmlns:wp14="http://schemas.microsoft.com/office/word/2010/wordml" w:rsidP="65CF072D" w14:paraId="70B20A96" wp14:textId="3398550B">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True Vision (2021) IPCC publishes Fiona Pilkington investigation report. Available: &lt; </w:t>
      </w:r>
      <w:hyperlink r:id="R37a513a5dbdc4af6">
        <w:r w:rsidRPr="65CF072D" w:rsidR="1C15AB0C">
          <w:rPr>
            <w:rStyle w:val="Hyperlink"/>
            <w:rFonts w:ascii="Arial" w:hAnsi="Arial" w:eastAsia="Arial" w:cs="Arial"/>
            <w:strike w:val="0"/>
            <w:dstrike w:val="0"/>
            <w:noProof w:val="0"/>
            <w:sz w:val="24"/>
            <w:szCs w:val="24"/>
            <w:lang w:val="en-US"/>
          </w:rPr>
          <w:t>https://www.report-it.org.uk/ipcc_publishes_fiona_pilkington_investigation_r</w:t>
        </w:r>
      </w:hyperlink>
      <w:r w:rsidRPr="65CF072D" w:rsidR="1C15AB0C">
        <w:rPr>
          <w:rFonts w:ascii="Arial" w:hAnsi="Arial" w:eastAsia="Arial" w:cs="Arial"/>
          <w:noProof w:val="0"/>
          <w:color w:val="000000" w:themeColor="text1" w:themeTint="FF" w:themeShade="FF"/>
          <w:sz w:val="24"/>
          <w:szCs w:val="24"/>
          <w:lang w:val="en-US"/>
        </w:rPr>
        <w:t xml:space="preserve"> &gt; [Accessed: December 2, 2021].</w:t>
      </w:r>
    </w:p>
    <w:p xmlns:wp14="http://schemas.microsoft.com/office/word/2010/wordml" w:rsidP="65CF072D" w14:paraId="15A27A27" wp14:textId="7AFD3308">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Video2please (2009) </w:t>
      </w:r>
      <w:r w:rsidRPr="65CF072D" w:rsidR="1C15AB0C">
        <w:rPr>
          <w:rFonts w:ascii="Arial" w:hAnsi="Arial" w:eastAsia="Arial" w:cs="Arial"/>
          <w:i w:val="1"/>
          <w:iCs w:val="1"/>
          <w:noProof w:val="0"/>
          <w:color w:val="000000" w:themeColor="text1" w:themeTint="FF" w:themeShade="FF"/>
          <w:sz w:val="24"/>
          <w:szCs w:val="24"/>
          <w:lang w:val="en-US"/>
        </w:rPr>
        <w:t>Fiona Pilkington: Anti-social Behaviour</w:t>
      </w:r>
      <w:r w:rsidRPr="65CF072D" w:rsidR="1C15AB0C">
        <w:rPr>
          <w:rFonts w:ascii="Arial" w:hAnsi="Arial" w:eastAsia="Arial" w:cs="Arial"/>
          <w:noProof w:val="0"/>
          <w:color w:val="000000" w:themeColor="text1" w:themeTint="FF" w:themeShade="FF"/>
          <w:sz w:val="24"/>
          <w:szCs w:val="24"/>
          <w:lang w:val="en-US"/>
        </w:rPr>
        <w:t xml:space="preserve">. [online video] Available: &lt; </w:t>
      </w:r>
      <w:hyperlink r:id="Ra259e394086f4a3a">
        <w:r w:rsidRPr="65CF072D" w:rsidR="1C15AB0C">
          <w:rPr>
            <w:rStyle w:val="Hyperlink"/>
            <w:rFonts w:ascii="Arial" w:hAnsi="Arial" w:eastAsia="Arial" w:cs="Arial"/>
            <w:strike w:val="0"/>
            <w:dstrike w:val="0"/>
            <w:noProof w:val="0"/>
            <w:sz w:val="24"/>
            <w:szCs w:val="24"/>
            <w:lang w:val="en-US"/>
          </w:rPr>
          <w:t>https://www.youtube.com/watch?v=yS6nWXrPDNk</w:t>
        </w:r>
      </w:hyperlink>
      <w:r w:rsidRPr="65CF072D" w:rsidR="1C15AB0C">
        <w:rPr>
          <w:rFonts w:ascii="Arial" w:hAnsi="Arial" w:eastAsia="Arial" w:cs="Arial"/>
          <w:noProof w:val="0"/>
          <w:color w:val="000000" w:themeColor="text1" w:themeTint="FF" w:themeShade="FF"/>
          <w:sz w:val="24"/>
          <w:szCs w:val="24"/>
          <w:lang w:val="en-US"/>
        </w:rPr>
        <w:t xml:space="preserve"> &gt; [Accessed: December 2, 2021].</w:t>
      </w:r>
    </w:p>
    <w:p xmlns:wp14="http://schemas.microsoft.com/office/word/2010/wordml" w:rsidP="65CF072D" w14:paraId="1FCCD894" wp14:textId="1298C097">
      <w:pPr>
        <w:pStyle w:val="ListParagraph"/>
        <w:numPr>
          <w:ilvl w:val="0"/>
          <w:numId w:val="1"/>
        </w:numPr>
        <w:spacing w:line="480" w:lineRule="auto"/>
        <w:rPr>
          <w:rFonts w:ascii="Arial" w:hAnsi="Arial" w:eastAsia="Arial" w:cs="Arial" w:asciiTheme="minorAscii" w:hAnsiTheme="minorAscii" w:eastAsiaTheme="minorAscii" w:cstheme="minorAscii"/>
          <w:color w:val="000000" w:themeColor="text1" w:themeTint="FF" w:themeShade="FF"/>
          <w:sz w:val="24"/>
          <w:szCs w:val="24"/>
        </w:rPr>
      </w:pPr>
      <w:r w:rsidRPr="65CF072D" w:rsidR="1C15AB0C">
        <w:rPr>
          <w:rFonts w:ascii="Arial" w:hAnsi="Arial" w:eastAsia="Arial" w:cs="Arial"/>
          <w:noProof w:val="0"/>
          <w:color w:val="000000" w:themeColor="text1" w:themeTint="FF" w:themeShade="FF"/>
          <w:sz w:val="24"/>
          <w:szCs w:val="24"/>
          <w:lang w:val="en-US"/>
        </w:rPr>
        <w:t xml:space="preserve">World Health Organisation (2011) </w:t>
      </w:r>
      <w:r w:rsidRPr="65CF072D" w:rsidR="1C15AB0C">
        <w:rPr>
          <w:rFonts w:ascii="Arial" w:hAnsi="Arial" w:eastAsia="Arial" w:cs="Arial"/>
          <w:i w:val="1"/>
          <w:iCs w:val="1"/>
          <w:noProof w:val="0"/>
          <w:color w:val="000000" w:themeColor="text1" w:themeTint="FF" w:themeShade="FF"/>
          <w:sz w:val="24"/>
          <w:szCs w:val="24"/>
          <w:lang w:val="en-US"/>
        </w:rPr>
        <w:t>World Report On Disability</w:t>
      </w:r>
      <w:r w:rsidRPr="65CF072D" w:rsidR="1C15AB0C">
        <w:rPr>
          <w:rFonts w:ascii="Arial" w:hAnsi="Arial" w:eastAsia="Arial" w:cs="Arial"/>
          <w:noProof w:val="0"/>
          <w:color w:val="000000" w:themeColor="text1" w:themeTint="FF" w:themeShade="FF"/>
          <w:sz w:val="24"/>
          <w:szCs w:val="24"/>
          <w:lang w:val="en-US"/>
        </w:rPr>
        <w:t xml:space="preserve">. Available: &lt; </w:t>
      </w:r>
      <w:hyperlink r:id="R8a221922e5bb440e">
        <w:r w:rsidRPr="65CF072D" w:rsidR="1C15AB0C">
          <w:rPr>
            <w:rStyle w:val="Hyperlink"/>
            <w:rFonts w:ascii="Arial" w:hAnsi="Arial" w:eastAsia="Arial" w:cs="Arial"/>
            <w:strike w:val="0"/>
            <w:dstrike w:val="0"/>
            <w:noProof w:val="0"/>
            <w:sz w:val="24"/>
            <w:szCs w:val="24"/>
            <w:lang w:val="en-US"/>
          </w:rPr>
          <w:t>https://www.who.int/disabilities/world_report/2011/report.pdf</w:t>
        </w:r>
      </w:hyperlink>
      <w:r w:rsidRPr="65CF072D" w:rsidR="1C15AB0C">
        <w:rPr>
          <w:rFonts w:ascii="Arial" w:hAnsi="Arial" w:eastAsia="Arial" w:cs="Arial"/>
          <w:noProof w:val="0"/>
          <w:color w:val="000000" w:themeColor="text1" w:themeTint="FF" w:themeShade="FF"/>
          <w:sz w:val="24"/>
          <w:szCs w:val="24"/>
          <w:lang w:val="en-US"/>
        </w:rPr>
        <w:t xml:space="preserve"> &gt; [Accessed: December 4, 2021].</w:t>
      </w:r>
    </w:p>
    <w:p xmlns:wp14="http://schemas.microsoft.com/office/word/2010/wordml" w:rsidP="65CF072D" w14:paraId="2C078E63" wp14:textId="5483D0A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B561C3"/>
    <w:rsid w:val="02B27329"/>
    <w:rsid w:val="044E438A"/>
    <w:rsid w:val="1C15AB0C"/>
    <w:rsid w:val="2131180D"/>
    <w:rsid w:val="253BFD57"/>
    <w:rsid w:val="27B561C3"/>
    <w:rsid w:val="2D879EB7"/>
    <w:rsid w:val="578D55B9"/>
    <w:rsid w:val="5AC4F67B"/>
    <w:rsid w:val="65CF072D"/>
    <w:rsid w:val="6AA707AD"/>
    <w:rsid w:val="6EED559D"/>
    <w:rsid w:val="7224F65F"/>
    <w:rsid w:val="7F7AD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561C3"/>
  <w15:chartTrackingRefBased/>
  <w15:docId w15:val="{EB3C7A8E-641A-47AF-ABFB-84B2F40F18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england-leicestershire-13504618" TargetMode="External" Id="Rb8c9383df21b4575" /><Relationship Type="http://schemas.openxmlformats.org/officeDocument/2006/relationships/hyperlink" Target="https://www.bedfordshire.police.uk/information-and-services/Advice/Anti-social-behaviour/Repeat-victims" TargetMode="External" Id="Rd8ac414ff16b4d99" /><Relationship Type="http://schemas.openxmlformats.org/officeDocument/2006/relationships/hyperlink" Target="https://www.bedfordshire.police.uk/information-and-services/Advice/Anti-social-behaviour/About-anti-social-behaviour" TargetMode="External" Id="R76a25301d9ac4539" /><Relationship Type="http://schemas.openxmlformats.org/officeDocument/2006/relationships/hyperlink" Target="https://www.channel4.com/news/disability-hate-crime-five-years-on-from-fiona-pilkington" TargetMode="External" Id="R18c46da433e349ba" /><Relationship Type="http://schemas.openxmlformats.org/officeDocument/2006/relationships/hyperlink" Target="https://www.statista.com/topics/6150/criminal-justice-system-in-the-uk/" TargetMode="External" Id="R4796cb8ced6b4d03" /><Relationship Type="http://schemas.openxmlformats.org/officeDocument/2006/relationships/hyperlink" Target="https://www.equalityhumanrights.com/sites/default/files/ehrc_hidden_in_plain_sight_3.pdf" TargetMode="External" Id="R42186f969c1a4196" /><Relationship Type="http://schemas.openxmlformats.org/officeDocument/2006/relationships/hyperlink" Target="https://pure.port.ac.uk/ws/portalfiles/portal/186815/Hayden_Nardone_Neigbours_From_Hell_IJC_June_2012.pdf" TargetMode="External" Id="Ra9545658d1044be8" /><Relationship Type="http://schemas.openxmlformats.org/officeDocument/2006/relationships/hyperlink" Target="https://www.gov.uk/government/collections/anti-social-behaviour-crime-and-police-bill" TargetMode="External" Id="Rc0abbf4521744ba4" /><Relationship Type="http://schemas.openxmlformats.org/officeDocument/2006/relationships/hyperlink" Target="https://assets.publishing.service.gov.uk/government/uploads/system/uploads/attachment_data/file/956143/ASB_Statutory_Guidance.pdf" TargetMode="External" Id="R1676699f64524b2a" /><Relationship Type="http://schemas.openxmlformats.org/officeDocument/2006/relationships/hyperlink" Target="https://www.hampshiresab.org.uk/wp-content/uploads/2009-Fiona-Pilkington-Leicestershire.pdf" TargetMode="External" Id="R8d1e2dc3410f44d4" /><Relationship Type="http://schemas.openxmlformats.org/officeDocument/2006/relationships/hyperlink" Target="https://www2.le.ac.uk/departments/criminology/hate/documents/fc-full-report" TargetMode="External" Id="Rb67c46e253db427e" /><Relationship Type="http://schemas.openxmlformats.org/officeDocument/2006/relationships/hyperlink" Target="file:///C:/Users/JEPar/Downloads/Briefing%20Paper%201%20-%20Disablist%20Hate%20Crime%20.pdf" TargetMode="External" Id="R6b6be6fe34e44a1b" /><Relationship Type="http://schemas.openxmlformats.org/officeDocument/2006/relationships/hyperlink" Target="https://www.leics.police.uk/SysSiteAssets/foi-media/leicestershire/policies/anti_social_behaviour_policy_po13.0_oct17" TargetMode="External" Id="Rd1586875f62f4439" /><Relationship Type="http://schemas.openxmlformats.org/officeDocument/2006/relationships/hyperlink" Target="https://pure.port.ac.uk/ws/portalfiles/portal/186815/Hayden_Nardone_Neigbours_From_Hell_IJC_June_2012.pdf" TargetMode="External" Id="Rf11ff0428b5547df" /><Relationship Type="http://schemas.openxmlformats.org/officeDocument/2006/relationships/hyperlink" Target="https://www.mencap.org.uk/sites/default/files/2016-08/Don%27t%20stand%20by-research-report%20%281%29.pdf" TargetMode="External" Id="R6ed9bc19387f417e" /><Relationship Type="http://schemas.openxmlformats.org/officeDocument/2006/relationships/hyperlink" Target="https://www.mencap.org.uk/blog/four-things-you-probably-didnt-know-about-disability-hate-crime" TargetMode="External" Id="Rcad0de0d501540f9" /><Relationship Type="http://schemas.openxmlformats.org/officeDocument/2006/relationships/hyperlink" Target="https://www.met.police.uk/advice/advice-and-information/asb/asb/antisocial-behaviour/what-is-antisocial-behaviour/" TargetMode="External" Id="R6af556b62c1746f3" /><Relationship Type="http://schemas.openxmlformats.org/officeDocument/2006/relationships/hyperlink" Target="https://www.ons.gov.uk/aboutus/whatwedo/statistics/consultationsandsurveys/allconsultationsandsurveys/reviewofmethodologyforaddressinghighfrequencyrepeatvictimisationincrimesurveyforenglandandwalesestimates" TargetMode="External" Id="R2ca3393c7a494a3e" /><Relationship Type="http://schemas.openxmlformats.org/officeDocument/2006/relationships/hyperlink" Target="https://www.ons.gov.uk/peoplepopulationandcommunity/crimeandjustice/articles/thenatureofviolentcrimeinenglandandwales/yearendingmarch2018/previous/v1" TargetMode="External" Id="Rd059f23ca5bf4fb5" /><Relationship Type="http://schemas.openxmlformats.org/officeDocument/2006/relationships/hyperlink" Target="https://www.nap.edu/read/10042/chapter/4" TargetMode="External" Id="Rf8a2d6ecb117458c" /><Relationship Type="http://schemas.openxmlformats.org/officeDocument/2006/relationships/hyperlink" Target="https://www.hatecrimescotland.org/wp/wp-content/uploads/2014/08/Getting-Away-with-Murder-Disabled-Peoples-Experiences-of-Hate-Crime-in-UK-SCOPE-2008.pdf" TargetMode="External" Id="R2555c29d499d4a27" /><Relationship Type="http://schemas.openxmlformats.org/officeDocument/2006/relationships/hyperlink" Target="https://www.communitycare.co.uk/2009/09/30/fiona-pilkington-scr-questions-safeguarding-adults-policy/" TargetMode="External" Id="R345ed55461574da5" /><Relationship Type="http://schemas.openxmlformats.org/officeDocument/2006/relationships/hyperlink" Target="https://www.report-it.org.uk/ipcc_publishes_fiona_pilkington_investigation_r" TargetMode="External" Id="R37a513a5dbdc4af6" /><Relationship Type="http://schemas.openxmlformats.org/officeDocument/2006/relationships/hyperlink" Target="https://www.youtube.com/watch?v=yS6nWXrPDNk" TargetMode="External" Id="Ra259e394086f4a3a" /><Relationship Type="http://schemas.openxmlformats.org/officeDocument/2006/relationships/hyperlink" Target="https://www.who.int/disabilities/world_report/2011/report.pdf" TargetMode="External" Id="R8a221922e5bb440e" /><Relationship Type="http://schemas.openxmlformats.org/officeDocument/2006/relationships/numbering" Target="numbering.xml" Id="Rbf21505ce6b24a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2022-01-07T10:48:28.2162111Z</dcterms:created>
  <dcterms:modified xsi:type="dcterms:W3CDTF">2022-01-07T11:12:09.1127592Z</dcterms:modified>
  <dc:creator>Jessica Parry (1901894)</dc:creator>
  <lastModifiedBy>Jessica Parry (1901894)</lastModifiedBy>
</coreProperties>
</file>