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D285BB" w14:textId="2D7432D4"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bookmarkStart w:id="0" w:name="_Hlk234749465"/>
      <w:bookmarkEnd w:id="0"/>
      <w:r>
        <w:rPr>
          <w:rFonts w:ascii="Arial" w:hAnsi="Arial" w:cs="Arial"/>
          <w:b/>
          <w:bCs/>
          <w:noProof/>
          <w:spacing w:val="-2"/>
          <w:sz w:val="36"/>
          <w:szCs w:val="36"/>
        </w:rPr>
        <w:drawing>
          <wp:inline distT="0" distB="0" distL="0" distR="0" wp14:anchorId="5DCECD20" wp14:editId="586CC39D">
            <wp:extent cx="5654040" cy="1614170"/>
            <wp:effectExtent l="0" t="0" r="3810" b="5080"/>
            <wp:docPr id="1695700052"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700052" name="Picture 1" descr="A close-up of a sign&#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686679" cy="1623488"/>
                    </a:xfrm>
                    <a:prstGeom prst="rect">
                      <a:avLst/>
                    </a:prstGeom>
                  </pic:spPr>
                </pic:pic>
              </a:graphicData>
            </a:graphic>
          </wp:inline>
        </w:drawing>
      </w:r>
    </w:p>
    <w:p w14:paraId="653CE30C"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6A58D4B9"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171285C7"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522F4609"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066217CC" w14:textId="26259356" w:rsidR="0068255E" w:rsidRPr="007C590E" w:rsidRDefault="0068255E" w:rsidP="0068255E">
      <w:pPr>
        <w:rPr>
          <w:rFonts w:ascii="Times New Roman" w:hAnsi="Times New Roman" w:cs="Times New Roman"/>
          <w:b/>
          <w:bCs/>
          <w:spacing w:val="-2"/>
          <w:sz w:val="36"/>
          <w:szCs w:val="36"/>
        </w:rPr>
      </w:pPr>
      <w:r w:rsidRPr="007C590E">
        <w:rPr>
          <w:rFonts w:ascii="Times New Roman" w:hAnsi="Times New Roman" w:cs="Times New Roman"/>
          <w:bCs/>
          <w:spacing w:val="-2"/>
          <w:sz w:val="36"/>
          <w:szCs w:val="36"/>
        </w:rPr>
        <w:t>Module</w:t>
      </w:r>
      <w:r w:rsidRPr="007C590E">
        <w:rPr>
          <w:rFonts w:ascii="Times New Roman" w:hAnsi="Times New Roman" w:cs="Times New Roman"/>
          <w:b/>
          <w:spacing w:val="-2"/>
          <w:sz w:val="36"/>
          <w:szCs w:val="36"/>
        </w:rPr>
        <w:t xml:space="preserve">: </w:t>
      </w:r>
      <w:r w:rsidRPr="007C590E">
        <w:rPr>
          <w:rFonts w:ascii="Times New Roman" w:hAnsi="Times New Roman" w:cs="Times New Roman"/>
          <w:b/>
          <w:bCs/>
          <w:spacing w:val="-2"/>
          <w:sz w:val="36"/>
          <w:szCs w:val="36"/>
        </w:rPr>
        <w:t xml:space="preserve">Organisational Culture </w:t>
      </w:r>
    </w:p>
    <w:p w14:paraId="7C37A514" w14:textId="4F567318" w:rsidR="0068255E" w:rsidRPr="007C590E" w:rsidRDefault="0068255E" w:rsidP="0068255E">
      <w:pPr>
        <w:rPr>
          <w:rFonts w:ascii="Times New Roman" w:hAnsi="Times New Roman" w:cs="Times New Roman"/>
          <w:b/>
          <w:bCs/>
          <w:spacing w:val="-5"/>
          <w:sz w:val="36"/>
          <w:szCs w:val="36"/>
        </w:rPr>
      </w:pPr>
      <w:r w:rsidRPr="007C590E">
        <w:rPr>
          <w:rFonts w:ascii="Times New Roman" w:hAnsi="Times New Roman" w:cs="Times New Roman"/>
          <w:spacing w:val="-5"/>
          <w:sz w:val="36"/>
          <w:szCs w:val="36"/>
        </w:rPr>
        <w:t>Student name and ID</w:t>
      </w:r>
      <w:r w:rsidRPr="007C590E">
        <w:rPr>
          <w:rFonts w:ascii="Times New Roman" w:hAnsi="Times New Roman" w:cs="Times New Roman"/>
          <w:b/>
          <w:bCs/>
          <w:spacing w:val="-5"/>
          <w:sz w:val="36"/>
          <w:szCs w:val="36"/>
        </w:rPr>
        <w:t>: IONEL STEFANITA / 2408392</w:t>
      </w:r>
    </w:p>
    <w:p w14:paraId="7DC4E467" w14:textId="77777777" w:rsidR="0068255E" w:rsidRPr="007C590E" w:rsidRDefault="0068255E" w:rsidP="0068255E">
      <w:pPr>
        <w:rPr>
          <w:rFonts w:ascii="Times New Roman" w:hAnsi="Times New Roman" w:cs="Times New Roman"/>
        </w:rPr>
      </w:pPr>
    </w:p>
    <w:p w14:paraId="62431A83" w14:textId="77777777" w:rsidR="0068255E" w:rsidRPr="007C590E" w:rsidRDefault="0068255E" w:rsidP="0068255E">
      <w:pPr>
        <w:rPr>
          <w:rFonts w:ascii="Times New Roman" w:hAnsi="Times New Roman" w:cs="Times New Roman"/>
        </w:rPr>
      </w:pPr>
    </w:p>
    <w:p w14:paraId="435CF0F3" w14:textId="77777777" w:rsidR="0068255E" w:rsidRPr="007C590E" w:rsidRDefault="0068255E" w:rsidP="0068255E">
      <w:pPr>
        <w:rPr>
          <w:rFonts w:ascii="Times New Roman" w:hAnsi="Times New Roman" w:cs="Times New Roman"/>
        </w:rPr>
      </w:pPr>
    </w:p>
    <w:p w14:paraId="5F94808E" w14:textId="77777777" w:rsidR="0068255E" w:rsidRPr="007C590E" w:rsidRDefault="0068255E" w:rsidP="0068255E">
      <w:pPr>
        <w:rPr>
          <w:rFonts w:ascii="Times New Roman" w:hAnsi="Times New Roman" w:cs="Times New Roman"/>
        </w:rPr>
      </w:pPr>
    </w:p>
    <w:p w14:paraId="5F149F1A" w14:textId="77777777" w:rsidR="0068255E" w:rsidRPr="007C590E" w:rsidRDefault="0068255E" w:rsidP="0068255E">
      <w:pPr>
        <w:spacing w:line="360" w:lineRule="auto"/>
        <w:jc w:val="center"/>
        <w:rPr>
          <w:rFonts w:ascii="Times New Roman" w:hAnsi="Times New Roman" w:cs="Times New Roman"/>
          <w:b/>
          <w:bCs/>
          <w:sz w:val="48"/>
          <w:szCs w:val="48"/>
        </w:rPr>
      </w:pPr>
      <w:r w:rsidRPr="007C590E">
        <w:rPr>
          <w:rFonts w:ascii="Times New Roman" w:hAnsi="Times New Roman" w:cs="Times New Roman"/>
          <w:b/>
          <w:bCs/>
          <w:sz w:val="48"/>
          <w:szCs w:val="48"/>
        </w:rPr>
        <w:t>Organisational Culture</w:t>
      </w:r>
    </w:p>
    <w:p w14:paraId="35288848" w14:textId="77777777" w:rsidR="0068255E" w:rsidRPr="007C590E" w:rsidRDefault="0068255E" w:rsidP="0068255E">
      <w:pPr>
        <w:spacing w:line="240" w:lineRule="auto"/>
        <w:jc w:val="center"/>
        <w:rPr>
          <w:rFonts w:ascii="Times New Roman" w:hAnsi="Times New Roman" w:cs="Times New Roman"/>
          <w:i/>
          <w:iCs/>
          <w:sz w:val="36"/>
          <w:szCs w:val="36"/>
        </w:rPr>
      </w:pPr>
      <w:r w:rsidRPr="007C590E">
        <w:rPr>
          <w:rFonts w:ascii="Times New Roman" w:hAnsi="Times New Roman" w:cs="Times New Roman"/>
          <w:i/>
          <w:iCs/>
          <w:sz w:val="36"/>
          <w:szCs w:val="36"/>
        </w:rPr>
        <w:t>Individual Report</w:t>
      </w:r>
    </w:p>
    <w:p w14:paraId="6F00F1D8" w14:textId="77777777" w:rsidR="0068255E" w:rsidRPr="007C590E" w:rsidRDefault="0068255E" w:rsidP="0068255E">
      <w:pPr>
        <w:spacing w:line="240" w:lineRule="auto"/>
        <w:jc w:val="center"/>
        <w:rPr>
          <w:rFonts w:ascii="Times New Roman" w:hAnsi="Times New Roman" w:cs="Times New Roman"/>
          <w:sz w:val="32"/>
          <w:szCs w:val="32"/>
        </w:rPr>
      </w:pPr>
    </w:p>
    <w:p w14:paraId="5BC4DF52" w14:textId="77777777" w:rsidR="0068255E" w:rsidRPr="007C590E" w:rsidRDefault="0068255E" w:rsidP="0068255E">
      <w:pPr>
        <w:jc w:val="center"/>
        <w:rPr>
          <w:rFonts w:ascii="Times New Roman" w:hAnsi="Times New Roman" w:cs="Times New Roman"/>
        </w:rPr>
      </w:pPr>
    </w:p>
    <w:p w14:paraId="2AB838B0" w14:textId="77777777" w:rsidR="0068255E" w:rsidRPr="007C590E" w:rsidRDefault="0068255E" w:rsidP="0068255E">
      <w:pPr>
        <w:jc w:val="center"/>
        <w:rPr>
          <w:rFonts w:ascii="Times New Roman" w:hAnsi="Times New Roman" w:cs="Times New Roman"/>
        </w:rPr>
      </w:pPr>
    </w:p>
    <w:p w14:paraId="786380FD" w14:textId="77777777" w:rsidR="0068255E" w:rsidRPr="007C590E" w:rsidRDefault="0068255E" w:rsidP="0068255E">
      <w:pPr>
        <w:jc w:val="center"/>
        <w:rPr>
          <w:rFonts w:ascii="Times New Roman" w:hAnsi="Times New Roman" w:cs="Times New Roman"/>
        </w:rPr>
      </w:pPr>
    </w:p>
    <w:p w14:paraId="1C586DF0" w14:textId="77777777" w:rsidR="0068255E" w:rsidRPr="007C590E" w:rsidRDefault="0068255E" w:rsidP="0068255E">
      <w:pPr>
        <w:jc w:val="center"/>
        <w:rPr>
          <w:rFonts w:ascii="Times New Roman" w:hAnsi="Times New Roman" w:cs="Times New Roman"/>
        </w:rPr>
      </w:pPr>
    </w:p>
    <w:p w14:paraId="077E45C4" w14:textId="73CE5E53" w:rsidR="0068255E" w:rsidRPr="007C590E" w:rsidRDefault="0068255E" w:rsidP="0068255E">
      <w:pPr>
        <w:rPr>
          <w:rFonts w:ascii="Times New Roman" w:hAnsi="Times New Roman" w:cs="Times New Roman"/>
          <w:sz w:val="40"/>
          <w:szCs w:val="40"/>
        </w:rPr>
      </w:pPr>
      <w:r w:rsidRPr="007C590E">
        <w:rPr>
          <w:rFonts w:ascii="Times New Roman" w:hAnsi="Times New Roman" w:cs="Times New Roman"/>
          <w:bCs/>
          <w:sz w:val="40"/>
          <w:szCs w:val="40"/>
        </w:rPr>
        <w:t>Module</w:t>
      </w:r>
      <w:r w:rsidRPr="007C590E">
        <w:rPr>
          <w:rFonts w:ascii="Times New Roman" w:hAnsi="Times New Roman" w:cs="Times New Roman"/>
          <w:bCs/>
          <w:spacing w:val="-4"/>
          <w:sz w:val="40"/>
          <w:szCs w:val="40"/>
        </w:rPr>
        <w:t xml:space="preserve"> </w:t>
      </w:r>
      <w:r w:rsidRPr="007C590E">
        <w:rPr>
          <w:rFonts w:ascii="Times New Roman" w:hAnsi="Times New Roman" w:cs="Times New Roman"/>
          <w:bCs/>
          <w:spacing w:val="-2"/>
          <w:sz w:val="40"/>
          <w:szCs w:val="40"/>
        </w:rPr>
        <w:t>code:</w:t>
      </w:r>
      <w:r w:rsidRPr="007C590E">
        <w:rPr>
          <w:rFonts w:ascii="Times New Roman" w:hAnsi="Times New Roman" w:cs="Times New Roman"/>
          <w:b/>
          <w:spacing w:val="-2"/>
          <w:sz w:val="40"/>
          <w:szCs w:val="40"/>
        </w:rPr>
        <w:t xml:space="preserve"> </w:t>
      </w:r>
      <w:r w:rsidRPr="007C590E">
        <w:rPr>
          <w:rFonts w:ascii="Times New Roman" w:hAnsi="Times New Roman" w:cs="Times New Roman"/>
          <w:b/>
          <w:bCs/>
          <w:sz w:val="40"/>
          <w:szCs w:val="40"/>
        </w:rPr>
        <w:t>LCLM 5005</w:t>
      </w:r>
    </w:p>
    <w:p w14:paraId="12471ED0" w14:textId="77777777" w:rsidR="0068255E" w:rsidRPr="007C590E" w:rsidRDefault="0068255E" w:rsidP="0068255E">
      <w:pPr>
        <w:rPr>
          <w:rFonts w:ascii="Times New Roman" w:hAnsi="Times New Roman" w:cs="Times New Roman"/>
          <w:b/>
          <w:spacing w:val="-2"/>
          <w:sz w:val="40"/>
          <w:szCs w:val="40"/>
        </w:rPr>
      </w:pPr>
      <w:r w:rsidRPr="007C590E">
        <w:rPr>
          <w:rFonts w:ascii="Times New Roman" w:hAnsi="Times New Roman" w:cs="Times New Roman"/>
          <w:bCs/>
          <w:spacing w:val="-2"/>
          <w:sz w:val="40"/>
          <w:szCs w:val="40"/>
        </w:rPr>
        <w:t>Lecture:</w:t>
      </w:r>
      <w:r w:rsidRPr="007C590E">
        <w:rPr>
          <w:rFonts w:ascii="Times New Roman" w:hAnsi="Times New Roman" w:cs="Times New Roman"/>
          <w:b/>
          <w:spacing w:val="-2"/>
          <w:sz w:val="40"/>
          <w:szCs w:val="40"/>
        </w:rPr>
        <w:t xml:space="preserve"> David Oyebisi</w:t>
      </w:r>
    </w:p>
    <w:p w14:paraId="4089E5E4"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4BB2AC96"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60B4E9AC"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0A3EC3D3"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6F9DC5BD"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33966811"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26CDFE47" w14:textId="77777777" w:rsidR="0068255E" w:rsidRPr="0068255E" w:rsidRDefault="0068255E" w:rsidP="0068255E">
      <w:pPr>
        <w:spacing w:before="100" w:beforeAutospacing="1" w:after="100" w:afterAutospacing="1" w:line="240" w:lineRule="auto"/>
        <w:outlineLvl w:val="0"/>
        <w:rPr>
          <w:rFonts w:ascii="Times New Roman" w:eastAsia="Times New Roman" w:hAnsi="Times New Roman" w:cs="Times New Roman"/>
          <w:b/>
          <w:bCs/>
          <w:kern w:val="36"/>
          <w:sz w:val="32"/>
          <w:szCs w:val="32"/>
          <w:lang w:eastAsia="en-GB"/>
          <w14:ligatures w14:val="none"/>
        </w:rPr>
      </w:pPr>
      <w:r w:rsidRPr="0068255E">
        <w:rPr>
          <w:rFonts w:ascii="Times New Roman" w:eastAsia="Times New Roman" w:hAnsi="Times New Roman" w:cs="Times New Roman"/>
          <w:b/>
          <w:bCs/>
          <w:kern w:val="36"/>
          <w:sz w:val="32"/>
          <w:szCs w:val="32"/>
          <w:lang w:eastAsia="en-GB"/>
          <w14:ligatures w14:val="none"/>
        </w:rPr>
        <w:lastRenderedPageBreak/>
        <w:t>Table of Contents</w:t>
      </w:r>
    </w:p>
    <w:tbl>
      <w:tblPr>
        <w:tblW w:w="9214" w:type="dxa"/>
        <w:tblCellSpacing w:w="15" w:type="dxa"/>
        <w:tblCellMar>
          <w:top w:w="15" w:type="dxa"/>
          <w:left w:w="15" w:type="dxa"/>
          <w:bottom w:w="15" w:type="dxa"/>
          <w:right w:w="15" w:type="dxa"/>
        </w:tblCellMar>
        <w:tblLook w:val="04A0" w:firstRow="1" w:lastRow="0" w:firstColumn="1" w:lastColumn="0" w:noHBand="0" w:noVBand="1"/>
      </w:tblPr>
      <w:tblGrid>
        <w:gridCol w:w="9214"/>
      </w:tblGrid>
      <w:tr w:rsidR="0068255E" w:rsidRPr="0068255E" w14:paraId="096F7FFF" w14:textId="77777777" w:rsidTr="0068255E">
        <w:trPr>
          <w:trHeight w:val="578"/>
          <w:tblHeader/>
          <w:tblCellSpacing w:w="15" w:type="dxa"/>
        </w:trPr>
        <w:tc>
          <w:tcPr>
            <w:tcW w:w="9154" w:type="dxa"/>
            <w:vAlign w:val="center"/>
            <w:hideMark/>
          </w:tcPr>
          <w:p w14:paraId="47A0A8F5" w14:textId="77777777" w:rsidR="0068255E" w:rsidRPr="0068255E" w:rsidRDefault="0068255E" w:rsidP="0068255E">
            <w:pPr>
              <w:spacing w:after="0" w:line="240" w:lineRule="auto"/>
              <w:jc w:val="center"/>
              <w:rPr>
                <w:rFonts w:ascii="Times New Roman" w:eastAsia="Times New Roman" w:hAnsi="Times New Roman" w:cs="Times New Roman"/>
                <w:b/>
                <w:bCs/>
                <w:kern w:val="0"/>
                <w:sz w:val="24"/>
                <w:szCs w:val="24"/>
                <w:lang w:eastAsia="en-GB"/>
                <w14:ligatures w14:val="none"/>
              </w:rPr>
            </w:pPr>
            <w:r w:rsidRPr="0068255E">
              <w:rPr>
                <w:rFonts w:ascii="Times New Roman" w:eastAsia="Times New Roman" w:hAnsi="Times New Roman" w:cs="Times New Roman"/>
                <w:b/>
                <w:bCs/>
                <w:kern w:val="0"/>
                <w:sz w:val="24"/>
                <w:szCs w:val="24"/>
                <w:lang w:eastAsia="en-GB"/>
                <w14:ligatures w14:val="none"/>
              </w:rPr>
              <w:t>Section</w:t>
            </w:r>
          </w:p>
        </w:tc>
      </w:tr>
      <w:tr w:rsidR="0068255E" w:rsidRPr="0068255E" w14:paraId="1709692F" w14:textId="77777777" w:rsidTr="0068255E">
        <w:trPr>
          <w:trHeight w:val="578"/>
          <w:tblCellSpacing w:w="15" w:type="dxa"/>
        </w:trPr>
        <w:tc>
          <w:tcPr>
            <w:tcW w:w="9154" w:type="dxa"/>
            <w:vAlign w:val="center"/>
            <w:hideMark/>
          </w:tcPr>
          <w:p w14:paraId="158E15A8"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b/>
                <w:bCs/>
                <w:kern w:val="0"/>
                <w:sz w:val="24"/>
                <w:szCs w:val="24"/>
                <w:lang w:eastAsia="en-GB"/>
                <w14:ligatures w14:val="none"/>
              </w:rPr>
              <w:t>1. Introduction</w:t>
            </w:r>
          </w:p>
        </w:tc>
      </w:tr>
      <w:tr w:rsidR="0068255E" w:rsidRPr="0068255E" w14:paraId="27BF3030" w14:textId="77777777" w:rsidTr="0068255E">
        <w:trPr>
          <w:trHeight w:val="1182"/>
          <w:tblCellSpacing w:w="15" w:type="dxa"/>
        </w:trPr>
        <w:tc>
          <w:tcPr>
            <w:tcW w:w="9154" w:type="dxa"/>
            <w:vAlign w:val="center"/>
            <w:hideMark/>
          </w:tcPr>
          <w:p w14:paraId="5F14DC48"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b/>
                <w:bCs/>
                <w:kern w:val="0"/>
                <w:sz w:val="24"/>
                <w:szCs w:val="24"/>
                <w:lang w:eastAsia="en-GB"/>
                <w14:ligatures w14:val="none"/>
              </w:rPr>
              <w:t>2. Organisational Culture and its Influence on Toyota's Structure and Decision-Making</w:t>
            </w:r>
          </w:p>
        </w:tc>
      </w:tr>
      <w:tr w:rsidR="0068255E" w:rsidRPr="0068255E" w14:paraId="42E4D0C4" w14:textId="77777777" w:rsidTr="0068255E">
        <w:trPr>
          <w:trHeight w:val="578"/>
          <w:tblCellSpacing w:w="15" w:type="dxa"/>
        </w:trPr>
        <w:tc>
          <w:tcPr>
            <w:tcW w:w="9154" w:type="dxa"/>
            <w:vAlign w:val="center"/>
            <w:hideMark/>
          </w:tcPr>
          <w:p w14:paraId="6CA871AF"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b/>
                <w:bCs/>
                <w:kern w:val="0"/>
                <w:sz w:val="24"/>
                <w:szCs w:val="24"/>
                <w:lang w:eastAsia="en-GB"/>
                <w14:ligatures w14:val="none"/>
              </w:rPr>
              <w:t>3. Identifying Toyota's Organisational Culture Using Theoretical Models</w:t>
            </w:r>
          </w:p>
        </w:tc>
      </w:tr>
      <w:tr w:rsidR="0068255E" w:rsidRPr="0068255E" w14:paraId="5497661E" w14:textId="77777777" w:rsidTr="0068255E">
        <w:trPr>
          <w:trHeight w:val="578"/>
          <w:tblCellSpacing w:w="15" w:type="dxa"/>
        </w:trPr>
        <w:tc>
          <w:tcPr>
            <w:tcW w:w="9154" w:type="dxa"/>
            <w:vAlign w:val="center"/>
            <w:hideMark/>
          </w:tcPr>
          <w:p w14:paraId="5F29C1C6"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kern w:val="0"/>
                <w:sz w:val="24"/>
                <w:szCs w:val="24"/>
                <w:lang w:eastAsia="en-GB"/>
                <w14:ligatures w14:val="none"/>
              </w:rPr>
              <w:t>3.1 Schein's Three Levels of Culture</w:t>
            </w:r>
          </w:p>
        </w:tc>
      </w:tr>
      <w:tr w:rsidR="0068255E" w:rsidRPr="0068255E" w14:paraId="2869CE44" w14:textId="77777777" w:rsidTr="0068255E">
        <w:trPr>
          <w:trHeight w:val="578"/>
          <w:tblCellSpacing w:w="15" w:type="dxa"/>
        </w:trPr>
        <w:tc>
          <w:tcPr>
            <w:tcW w:w="9154" w:type="dxa"/>
            <w:vAlign w:val="center"/>
            <w:hideMark/>
          </w:tcPr>
          <w:p w14:paraId="4F355D25"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kern w:val="0"/>
                <w:sz w:val="24"/>
                <w:szCs w:val="24"/>
                <w:lang w:eastAsia="en-GB"/>
                <w14:ligatures w14:val="none"/>
              </w:rPr>
              <w:t>3.2 Hofstede's Cultural Dimensions</w:t>
            </w:r>
          </w:p>
        </w:tc>
      </w:tr>
      <w:tr w:rsidR="0068255E" w:rsidRPr="0068255E" w14:paraId="07936A08" w14:textId="77777777" w:rsidTr="0068255E">
        <w:trPr>
          <w:trHeight w:val="578"/>
          <w:tblCellSpacing w:w="15" w:type="dxa"/>
        </w:trPr>
        <w:tc>
          <w:tcPr>
            <w:tcW w:w="9154" w:type="dxa"/>
            <w:vAlign w:val="center"/>
            <w:hideMark/>
          </w:tcPr>
          <w:p w14:paraId="7E1ACB55"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kern w:val="0"/>
                <w:sz w:val="24"/>
                <w:szCs w:val="24"/>
                <w:lang w:eastAsia="en-GB"/>
                <w14:ligatures w14:val="none"/>
              </w:rPr>
              <w:t>3.3 Handy's Four Culture Types</w:t>
            </w:r>
          </w:p>
        </w:tc>
      </w:tr>
      <w:tr w:rsidR="0068255E" w:rsidRPr="0068255E" w14:paraId="3CDE435E" w14:textId="77777777" w:rsidTr="0068255E">
        <w:trPr>
          <w:trHeight w:val="1182"/>
          <w:tblCellSpacing w:w="15" w:type="dxa"/>
        </w:trPr>
        <w:tc>
          <w:tcPr>
            <w:tcW w:w="9154" w:type="dxa"/>
            <w:vAlign w:val="center"/>
            <w:hideMark/>
          </w:tcPr>
          <w:p w14:paraId="3D576CCE"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b/>
                <w:bCs/>
                <w:kern w:val="0"/>
                <w:sz w:val="24"/>
                <w:szCs w:val="24"/>
                <w:lang w:eastAsia="en-GB"/>
                <w14:ligatures w14:val="none"/>
              </w:rPr>
              <w:t>4. How Toyota Leverages Its Organisational Culture to Adapt to External Environmental Influences</w:t>
            </w:r>
          </w:p>
        </w:tc>
      </w:tr>
      <w:tr w:rsidR="0068255E" w:rsidRPr="0068255E" w14:paraId="5C1CFB36" w14:textId="77777777" w:rsidTr="0068255E">
        <w:trPr>
          <w:trHeight w:val="1182"/>
          <w:tblCellSpacing w:w="15" w:type="dxa"/>
        </w:trPr>
        <w:tc>
          <w:tcPr>
            <w:tcW w:w="9154" w:type="dxa"/>
            <w:vAlign w:val="center"/>
            <w:hideMark/>
          </w:tcPr>
          <w:p w14:paraId="35CB517A"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b/>
                <w:bCs/>
                <w:kern w:val="0"/>
                <w:sz w:val="24"/>
                <w:szCs w:val="24"/>
                <w:lang w:eastAsia="en-GB"/>
                <w14:ligatures w14:val="none"/>
              </w:rPr>
              <w:t>5. Is Toyota's Organisational Culture an Enabler or a Barrier to Organisational Effectiveness?</w:t>
            </w:r>
          </w:p>
        </w:tc>
      </w:tr>
      <w:tr w:rsidR="0068255E" w:rsidRPr="0068255E" w14:paraId="07911022" w14:textId="77777777" w:rsidTr="0068255E">
        <w:trPr>
          <w:trHeight w:val="1182"/>
          <w:tblCellSpacing w:w="15" w:type="dxa"/>
        </w:trPr>
        <w:tc>
          <w:tcPr>
            <w:tcW w:w="9154" w:type="dxa"/>
            <w:vAlign w:val="center"/>
            <w:hideMark/>
          </w:tcPr>
          <w:p w14:paraId="5EDE22ED"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b/>
                <w:bCs/>
                <w:kern w:val="0"/>
                <w:sz w:val="24"/>
                <w:szCs w:val="24"/>
                <w:lang w:eastAsia="en-GB"/>
                <w14:ligatures w14:val="none"/>
              </w:rPr>
              <w:t>6. The Impact of Organisational Culture on Toyota's Performance and Recommendations</w:t>
            </w:r>
          </w:p>
        </w:tc>
      </w:tr>
      <w:tr w:rsidR="0068255E" w:rsidRPr="0068255E" w14:paraId="6A8A8D3B" w14:textId="77777777" w:rsidTr="0068255E">
        <w:trPr>
          <w:trHeight w:val="578"/>
          <w:tblCellSpacing w:w="15" w:type="dxa"/>
        </w:trPr>
        <w:tc>
          <w:tcPr>
            <w:tcW w:w="9154" w:type="dxa"/>
            <w:vAlign w:val="center"/>
            <w:hideMark/>
          </w:tcPr>
          <w:p w14:paraId="63249C93"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kern w:val="0"/>
                <w:sz w:val="24"/>
                <w:szCs w:val="24"/>
                <w:lang w:eastAsia="en-GB"/>
                <w14:ligatures w14:val="none"/>
              </w:rPr>
              <w:t>  Recommendation 1: Increase Organisational Agility</w:t>
            </w:r>
          </w:p>
        </w:tc>
      </w:tr>
      <w:tr w:rsidR="0068255E" w:rsidRPr="0068255E" w14:paraId="1AC68556" w14:textId="77777777" w:rsidTr="0068255E">
        <w:trPr>
          <w:trHeight w:val="578"/>
          <w:tblCellSpacing w:w="15" w:type="dxa"/>
        </w:trPr>
        <w:tc>
          <w:tcPr>
            <w:tcW w:w="9154" w:type="dxa"/>
            <w:vAlign w:val="center"/>
            <w:hideMark/>
          </w:tcPr>
          <w:p w14:paraId="605908C4"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kern w:val="0"/>
                <w:sz w:val="24"/>
                <w:szCs w:val="24"/>
                <w:lang w:eastAsia="en-GB"/>
                <w14:ligatures w14:val="none"/>
              </w:rPr>
              <w:t>  Recommendation 2: Invest in Digital Training</w:t>
            </w:r>
          </w:p>
        </w:tc>
      </w:tr>
      <w:tr w:rsidR="0068255E" w:rsidRPr="0068255E" w14:paraId="77E09EBA" w14:textId="77777777" w:rsidTr="0068255E">
        <w:trPr>
          <w:trHeight w:val="578"/>
          <w:tblCellSpacing w:w="15" w:type="dxa"/>
        </w:trPr>
        <w:tc>
          <w:tcPr>
            <w:tcW w:w="9154" w:type="dxa"/>
            <w:vAlign w:val="center"/>
            <w:hideMark/>
          </w:tcPr>
          <w:p w14:paraId="4CF6017E"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kern w:val="0"/>
                <w:sz w:val="24"/>
                <w:szCs w:val="24"/>
                <w:lang w:eastAsia="en-GB"/>
                <w14:ligatures w14:val="none"/>
              </w:rPr>
              <w:t>  Recommendation 3: Improve Cross-cultural Leadership</w:t>
            </w:r>
          </w:p>
        </w:tc>
      </w:tr>
      <w:tr w:rsidR="0068255E" w:rsidRPr="0068255E" w14:paraId="33A8823D" w14:textId="77777777" w:rsidTr="0068255E">
        <w:trPr>
          <w:trHeight w:val="578"/>
          <w:tblCellSpacing w:w="15" w:type="dxa"/>
        </w:trPr>
        <w:tc>
          <w:tcPr>
            <w:tcW w:w="9154" w:type="dxa"/>
            <w:vAlign w:val="center"/>
            <w:hideMark/>
          </w:tcPr>
          <w:p w14:paraId="7F3647F1"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b/>
                <w:bCs/>
                <w:kern w:val="0"/>
                <w:sz w:val="24"/>
                <w:szCs w:val="24"/>
                <w:lang w:eastAsia="en-GB"/>
                <w14:ligatures w14:val="none"/>
              </w:rPr>
              <w:t>7. Conclusion</w:t>
            </w:r>
          </w:p>
        </w:tc>
      </w:tr>
      <w:tr w:rsidR="0068255E" w:rsidRPr="0068255E" w14:paraId="674DD9CC" w14:textId="77777777" w:rsidTr="0068255E">
        <w:trPr>
          <w:trHeight w:val="578"/>
          <w:tblCellSpacing w:w="15" w:type="dxa"/>
        </w:trPr>
        <w:tc>
          <w:tcPr>
            <w:tcW w:w="9154" w:type="dxa"/>
            <w:vAlign w:val="center"/>
            <w:hideMark/>
          </w:tcPr>
          <w:p w14:paraId="62993E37" w14:textId="57BE4856"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8. </w:t>
            </w:r>
            <w:r w:rsidRPr="0068255E">
              <w:rPr>
                <w:rFonts w:ascii="Times New Roman" w:eastAsia="Times New Roman" w:hAnsi="Times New Roman" w:cs="Times New Roman"/>
                <w:b/>
                <w:bCs/>
                <w:kern w:val="0"/>
                <w:sz w:val="24"/>
                <w:szCs w:val="24"/>
                <w:lang w:eastAsia="en-GB"/>
                <w14:ligatures w14:val="none"/>
              </w:rPr>
              <w:t>References</w:t>
            </w:r>
          </w:p>
        </w:tc>
      </w:tr>
    </w:tbl>
    <w:p w14:paraId="1F223AE6"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7B2CAC14"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4535805B"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528C5D9C" w14:textId="6F41AA77" w:rsidR="005A3364" w:rsidRPr="00C962B1" w:rsidRDefault="005A3364" w:rsidP="005A3364">
      <w:pPr>
        <w:shd w:val="clear" w:color="auto" w:fill="FFFFFF"/>
        <w:spacing w:after="0" w:line="240" w:lineRule="auto"/>
        <w:rPr>
          <w:rFonts w:ascii="Times New Roman" w:eastAsia="Times New Roman" w:hAnsi="Times New Roman" w:cs="Times New Roman"/>
          <w:color w:val="000000"/>
          <w:kern w:val="0"/>
          <w:sz w:val="24"/>
          <w:szCs w:val="24"/>
          <w:lang w:eastAsia="en-GB"/>
          <w14:ligatures w14:val="none"/>
        </w:rPr>
      </w:pP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lastRenderedPageBreak/>
        <w:t>1. Introduction</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shd w:val="clear" w:color="auto" w:fill="DBEAFE"/>
          <w:lang w:eastAsia="en-GB"/>
          <w14:ligatures w14:val="none"/>
        </w:rPr>
        <w:t>Organisational culture refers to the set of beliefs and assumptions influencing how organisations operate and enact their strategies. </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It impacts employee behaviour, leadership, decision-making and organisational performance. Strong organisational cultures align employees towards shared values and goals, improving coordination, efficiency and long-term performance (Schein and Schein, 2021). However, overly rigid cultures can stifle innovation and organisational adaptability (Mullins and Christy, 2016). When supportive of organisational strategy and excellence, organisational culture represents a source of sustainable competitive advantage (Barney, 1991).</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Toyota Motor Corporation is renowned for its unique organisational culture, embedded within guiding principles known as The Toyota Way. Toyota Production System (TPS) principles such as Kaizen (continuous improvement), Respect for People, Genchi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Genbutsu</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("go and see"), and collaborative problem-solving have driven excellent standards of efficiency, quality and customer value whilst promoting organisational learning, empowerment and continuous improvement (Liker, 2021; Womack, Jones and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Roos</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1990).</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Founded in 1937, Toyota operates within an automotive industry undergoing significant disruption from electrification, battery technology, AI and other digital innovations, as well as sustainability concerns. Japanese automakers now face increased competition from EV leaders such as Tesla, posing serious threats to Toyota's market share. Rapidly evolving customer needs and technologies require greater organisational agility and faster decision-making, calling into question Toyota's traditional consensus-based decision-making process (Johnson, Scholes and Whittington, 2020; Porter, 1985).</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This report will explore how organisational culture impacts Toyota's decision-making process and organisational structure. Applying Schein's Three Levels of Culture, Hofstede's Cultural Dimensions and Handy's Cultural Types will determine Toyota's prevailing organisational culture. The report will also assess how Toyota utilises its culture to respond to external environmental pressures, analyse whether its organisational culture enables or hinders organisational effectiveness and make recommendations to strengthen competitiveness in the future.</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t>2. Organisational Culture and its Influence on Toyota's Structure and Decision-Making</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Organisational culture refers to guiding values and assumptions that influence employee behaviour, decision-making and leadership. Schein and Schein (2021) argue culture creates "shared expectations that guide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behavior</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within organisations, while Mullins and Christy (2016) suggest organisational culture determines formal reporting lines and how objectives are met. These characteristics ultimately contribute to organisational success over time when embraced as a source of competitive advantage (Barney, 1991).</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Toyota prides itself on maintaining a strong organisational culture centred around The Toyota Way and TPS. Principles such as Kaizen, Respect for People and Genchi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Genbutsu</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have guided its decision-making since the company's inception. Through continuous improvement practices, employee empowerment, knowledge sharing and management-led problem-solving, Toyota has maintained its position as a market leader by promoting innovation, efficiency and long-term sustainable value creation (Liker, 2021; Nonaka and Takeuchi, 1995). Research shows that successful lean organisations depend on supportive organisational cultures as well as technical components and employee involvement (Bortolotti,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Boscari</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and Danese, 2015).</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Leading by example is also an essential part of Toyota's culture, captured by the philosophy Genchi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Genbutsu</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Instead of receiving problem reports from subordinates, managers will "go and see" the situation first-hand to understand how they can help. Through observation and </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lastRenderedPageBreak/>
        <w:t>thoughtful questioning, managers develop informed solutions while empowering employees and fostering a culture of accountability (Toyota Motor Corporation, 2025</w:t>
      </w:r>
      <w:r w:rsidR="0053361F" w:rsidRPr="00C962B1">
        <w:rPr>
          <w:rFonts w:ascii="Times New Roman" w:eastAsia="Times New Roman" w:hAnsi="Times New Roman" w:cs="Times New Roman"/>
          <w:color w:val="000000"/>
          <w:kern w:val="0"/>
          <w:sz w:val="24"/>
          <w:szCs w:val="24"/>
          <w:bdr w:val="single" w:sz="2" w:space="0" w:color="E5E7EB" w:frame="1"/>
          <w:lang w:eastAsia="en-GB"/>
          <w14:ligatures w14:val="none"/>
        </w:rPr>
        <w:t>;</w:t>
      </w:r>
      <w:r w:rsidR="00D21764"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Liker, 2021). Such management practices have cascaded throughout the organisation over time, shaping Toyota's organisational structure.</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Although Toyota operates under a formal hierarchical structure, much decision-making authority is pushed down to employees on the shop floor. Self-management teams are responsible for meeting production targets and maintaining product quality. When defects are detected, employees can stop the production line through Andon, signalling shared responsibility towards quality (Liker, 2021; Womack, Jones and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Roos</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1990).</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One example of Toyota's decision-making practice is the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Ringi</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system. This system allows for decisions to be consulted at all organisational levels before implementation. By discussing proposed decisions with employees that will be affected, Toyota fosters knowledge sharing, employee buy-in and organisational learning with the aim of continuous improvement (Schein and Schein, 2021; Nonaka and Takeuchi, 1995).</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Toyota faces risk of slower decision-making due to its consensus-based approach. Agile decision-making is required to stay competitive in rapidly changing industries, and slow decision-making can hinder progress. Recently, Toyota has faced stiffer competition from rivals such as Tesla and BYD. Although these companies have been criticised for their leadership practices, Toyota has been criticised for responding too slowly to the EV market and battery technology. The need to balance employee collaboration with speedy decision-making is crucial (Johnson, Scholes and Whittington, 2020; Porter, 1985).</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In summary, Toyota's organisational culture directly influences decision-making practices and the organisational structure. Its culture of teamwork, empowerment and continuous improvement have enabled Toyota to strengthen competitive advantage over time. While its culture has served as a long-term strength, it must address decisions regarding agility to avoid losing competitive share to rapidly changing competitors.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t>3. Identifying Toyota's Organisational Culture Using Theoretical Models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To understand Toyota's organisational culture, researchers can reference established models of organisational culture. By applying Schein's Three Levels of Culture, Hofstede's Cultural Dimensions and Handy's Four Culture Types to Toyota, we can clearly identify its organisational culture. Throughout this section, you will see that Toyota has cultivated a culture focused on continuous improvement, respect for people, teamwork and long-term thinking.</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t>3.1 Schein's Three Levels of Culture</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Edgar Schein developed one of the most comprehensive models of organisational culture. According to Schein and Schein (2021), organisational culture consists of three intertwined levels: artifacts, espoused values and underlying assumptions.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Observable artifacts at Toyota include the Toyota Production System (TPS), Andon system, quality circles, standardized work and steady pace working. These practices promote teamwork, discipline and employee involvement while increasing quality and operational efficiency (Liker, 2021; Womack, Jones and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Roos</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1990).</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Toyota's espoused values include continuous improvement, respect for people, teamwork, standardized work and long-term thinking. These principles are embedded in The Toyota Way and have driven decisions relating to sustainability initiatives, digital transformation, supply chain resilience and continuous improvement (Toyota Motor Corporation, 2025).</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The third level of culture consists of underlying assumptions. At Toyota, these include beliefs that processes can always be improved, quality is not </w:t>
      </w:r>
      <w:r w:rsidR="00D21764" w:rsidRPr="00C962B1">
        <w:rPr>
          <w:rFonts w:ascii="Times New Roman" w:eastAsia="Times New Roman" w:hAnsi="Times New Roman" w:cs="Times New Roman"/>
          <w:color w:val="000000"/>
          <w:kern w:val="0"/>
          <w:sz w:val="24"/>
          <w:szCs w:val="24"/>
          <w:bdr w:val="single" w:sz="2" w:space="0" w:color="E5E7EB" w:frame="1"/>
          <w:lang w:eastAsia="en-GB"/>
          <w14:ligatures w14:val="none"/>
        </w:rPr>
        <w:t>compromised,</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and everyone is responsible for problem-solving. These assumptions have driven Toyota to empower employees while also reinforcing its commitment to learning organisation practices (Nonaka </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lastRenderedPageBreak/>
        <w:t>and Takeuchi, 1995; Schein and Schein, 2021). Toyota's culture has remained consistent over the years, although the growth of international subsidiaries may require adapting leadership styles to fit regional cultures (Mullins and Christy, 2016).</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t>3.2 Hofstede's Cultural Dimensions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Geert Hofstede's cultural dimensions theory analyses organisational culture according to national culture. Toyota shares many of the same characteristics associated with Japanese culture, such as collectivism, long-term orientation and high uncertainty avoidance (Hofstede, 2001).</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Toyota demonstrates collectivism through its commitment to teamwork and decision-making practices. In contrast, high uncertainty avoidance can be seen through its emphasis on standardized work and quality management. Finally, long-term orientation is demonstrated through substantial investments in electrification and hydrogen fuel cells despite recent profits taking a hit. Toyota focuses on long-term sustainable value creation over short-term profitability (Toyota Motor Corporation, 2025; Johnson, Scholes and Whittington, 2020).</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t>3.3 Handy's Four Culture Types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Charles Handy categorises organisational cultures into four types: Power, Role, Task and Person Culture. Upon evaluation, Toyota exhibits characteristics of both Role Culture and Task Culture, with Task Culture being predominant.</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Role culture is apparent in Toyota's rigid hierarchy and standardised practices. Task Culture exists within teams where employees collaborate to solve problems, reflecting mutual respect towards employee involvement. This type of participative culture supports knowledge sharing, collaboration and continuous improvement practices (Liker, 2021; Senge, 2006). However, participative decision-making can prove to be a risk if agility is sacrificed. In today's highly competitive automotive market, Toyota must retain aspects of its culture while embracing faster decision-making where necessary (Porter, 1985; Johnson, Scholes and Whittington, 2020).</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Toyota's Prevailing Organisational Culture</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After reviewing three separate models of organisational culture, we can conclude that Toyota maintains a culture centred around principles of The Toyota Way. Toyota's culture promotes continuous improvement, employee empowerment, teamwork and long-term strategic thinking. Schein's model uncovers how Toyota's values influence behaviour, Hofstede demonstrates the influence of Japanese culture on decision-making, and Handy confirms that Toyota exhibits characteristics of Task Culture.</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t>4. How Toyota Leverages Its Organisational Culture to Adapt to External Environmental Influences</w:t>
      </w:r>
      <w:r w:rsidRPr="00C962B1">
        <w:rPr>
          <w:rFonts w:ascii="Times New Roman" w:eastAsia="Times New Roman" w:hAnsi="Times New Roman" w:cs="Times New Roman"/>
          <w:b/>
          <w:bCs/>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The business environment consists of external influences which organisations respond to. These influences include technological advancements, changing customer needs, sustainability concerns, regulations and global competition (Johnson, Scholes and Whittington, 2020). Adaptive cultures </w:t>
      </w:r>
      <w:r w:rsidR="00D21764" w:rsidRPr="00C962B1">
        <w:rPr>
          <w:rFonts w:ascii="Times New Roman" w:eastAsia="Times New Roman" w:hAnsi="Times New Roman" w:cs="Times New Roman"/>
          <w:color w:val="000000"/>
          <w:kern w:val="0"/>
          <w:sz w:val="24"/>
          <w:szCs w:val="24"/>
          <w:bdr w:val="single" w:sz="2" w:space="0" w:color="E5E7EB" w:frame="1"/>
          <w:lang w:eastAsia="en-GB"/>
          <w14:ligatures w14:val="none"/>
        </w:rPr>
        <w:t>can</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respond to these influences better than their rigid counterparts (Denison, 1990). Toyota has adapted to external influences through its strong culture of continuous improvement. By empowering employees to identify inefficiencies and suggest improvements, Toyota ensures quality through processes such as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Jidoka</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while implementing employee suggestions for innovation.</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Continuous improvement not only increases operational efficiency but strengthens organisational learning through knowledge creation and sharing. Toyota has empowered employees at all levels to share ideas and suggestions for process improvement. While management </w:t>
      </w:r>
      <w:r w:rsidR="00D21764" w:rsidRPr="00C962B1">
        <w:rPr>
          <w:rFonts w:ascii="Times New Roman" w:eastAsia="Times New Roman" w:hAnsi="Times New Roman" w:cs="Times New Roman"/>
          <w:color w:val="000000"/>
          <w:kern w:val="0"/>
          <w:sz w:val="24"/>
          <w:szCs w:val="24"/>
          <w:bdr w:val="single" w:sz="2" w:space="0" w:color="E5E7EB" w:frame="1"/>
          <w:lang w:eastAsia="en-GB"/>
          <w14:ligatures w14:val="none"/>
        </w:rPr>
        <w:t>coaches’</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employees on the shop floor, many improvements are employee-driven, supporting workplace innovation (Liker, 2021; Womack, Jones and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Roos</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1990; </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lastRenderedPageBreak/>
        <w:t xml:space="preserve">Nonaka and Takeuchi, 1995). Similarly, research shows companies that succeed at implementing lean practices focus on people as well as technical aspects of the system (Bortolotti,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Boscari</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and Danese, 2015).</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Tesla poses a serious threat to Toyota's dominance in the automotive industry, especially with advancements in battery technology and autonomous driving. In response to growing competition, Toyota has continued making substantial investments in multiple technologies to achieve carbon neutrality. Toyota is not rushing into one technology and instead has diversified its bet with hybrid, battery-electric vehicles and hydrogen fuel cells (Toyota Motor Corporation, 2025).</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Toyota has leveraged its strong supplier relationships and culture of continuous improvement to navigate supply chain issues faster than many competitors. By treating suppliers as partners instead of exclusively business-related interactions, Toyota was able to weather the pandemic and global semiconductor shortage better than most organisations (Liker, 2021; Barney, 1991).</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Sustainability concerns are a rising influence that Toyota has embraced through cultural values. Instead of introducing separate initiatives for sustainability, Toyota incorporates sustainability into its business practices through investments in carbon reduction and hydrogen vehicles (Toyota Motor Corporation, 2025). </w:t>
      </w:r>
      <w:r w:rsidR="00D21764" w:rsidRPr="00C962B1">
        <w:rPr>
          <w:rFonts w:ascii="Times New Roman" w:eastAsia="Times New Roman" w:hAnsi="Times New Roman" w:cs="Times New Roman"/>
          <w:color w:val="000000"/>
          <w:kern w:val="0"/>
          <w:sz w:val="24"/>
          <w:szCs w:val="24"/>
          <w:bdr w:val="single" w:sz="2" w:space="0" w:color="E5E7EB" w:frame="1"/>
          <w:lang w:eastAsia="en-GB"/>
          <w14:ligatures w14:val="none"/>
        </w:rPr>
        <w:t>Like</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previous examples, embracing environmental concerns through existing culture allows Toyota to respond to influences while staying aligned with core values.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Tesla may have accelerated the speed to which Toyota pushes battery technology, but overall Toyota has effectively used its culture to adapt. Through empowering employees, maintaining strong stakeholder relationships and staying aligned with core values, Toyota has shown resilience when faced with environmental influences. If Toyota wishes to remain competitive in the future, it should continue leveraging its culture of continuous improvement, adaptability and employee empowerment.</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t>5. Is Toyota's Organisational Culture an Enabler or a Barrier to Organisational Effectiveness?</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Culture impacts organisational effectiveness by influencing factors such as decision-making, employee engagement, innovation and performance. When embedded and aligned around a shared mission, strong organisational culture can become a competitive advantage that drives coordination, efficiency and organisational success (Cameron and Quinn, 2011). However, organizational culture can become a barrier to organisational effectiveness if it is not responsive to changes in the external environment (Schein and Schein, 2021).</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One of the many strengths of Toyota's culture is its emphasis on Kaizen. Employees at every level are encouraged to help improve processes and suggest innovative ideas. From this practice, Toyota has sustained high levels of efficiency and quality while empowering employees to actively participate in learning organisations (Liker, 2021; Womack, Jones and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Roos</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1990). Toyota creates a sustainable competitive advantage through continuous learning and knowledge creation (Nonaka and Takeuchi, 1995). Research shows that employee involvement is crucial to successful lean organisation implementation (Bortolotti,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Boscari</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and Danese, 2015).</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Alongside continuous improvement, Toyota motivates and empowers employees through its Respect for People principle. Managers are encouraged to lead by example while empowering employees to identify opportunities for improvement. By trusting employees, knowledge sharing is </w:t>
      </w:r>
      <w:r w:rsidR="00D21764" w:rsidRPr="00C962B1">
        <w:rPr>
          <w:rFonts w:ascii="Times New Roman" w:eastAsia="Times New Roman" w:hAnsi="Times New Roman" w:cs="Times New Roman"/>
          <w:color w:val="000000"/>
          <w:kern w:val="0"/>
          <w:sz w:val="24"/>
          <w:szCs w:val="24"/>
          <w:bdr w:val="single" w:sz="2" w:space="0" w:color="E5E7EB" w:frame="1"/>
          <w:lang w:eastAsia="en-GB"/>
          <w14:ligatures w14:val="none"/>
        </w:rPr>
        <w:t>promoted,</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and employees feel comfortable participating in problem-solving activities (Schein and Schein, 2021). Empowered employees support innovation while reinforcing Toyota's lean management principles.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lastRenderedPageBreak/>
        <w:t xml:space="preserve">Practices such as Genchi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Genbutsu</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quality circles and the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Ringi</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decision-making process have increased knowledge sharing across all organisational levels. Employees at Toyota are involved in decisions that affect them which has increased Toyota's reputation as a leading competitor. Competitive advantage is achieved when organisations develop rare resources that are difficult to imitate (Toyota Motor Corporation, 2025; Barney, 1991).</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While Toyota's culture is largely enabling of organisational success, competitiveness is threatened when organisational agility is sacrificed. In industries with rapid technological change, slower decision-making can be a barrier to responding to changes. Although Toyota has been effective at implementing innovations, some stakeholders believe it has been slow to commit to its BEV strategy due to competitive pressures from Tesla and BYD (Johnson, Scholes and Whittington, 2</w:t>
      </w:r>
      <w:r w:rsidR="00C942D3">
        <w:rPr>
          <w:rFonts w:ascii="Times New Roman" w:eastAsia="Times New Roman" w:hAnsi="Times New Roman" w:cs="Times New Roman"/>
          <w:color w:val="000000"/>
          <w:kern w:val="0"/>
          <w:sz w:val="24"/>
          <w:szCs w:val="24"/>
          <w:bdr w:val="single" w:sz="2" w:space="0" w:color="E5E7EB" w:frame="1"/>
          <w:lang w:eastAsia="en-GB"/>
          <w14:ligatures w14:val="none"/>
        </w:rPr>
        <w:t>0</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20). According to Kotter (2012), successful leaders must balance planning with urgency. Toyota can improve competitiveness by allowing teams to make decisions related to innovation rather than consulting all levels like the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Ringi</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process requires.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Although fostering a culture of continuous improvement has enabled long-term success, Toyota must also allow for more radical innovations. Risk-taking can induce failures, but it can also produce breakthroughs that lead to innovation. Today's business environment requires organisations to balance both continuous improvement and innovations that can disrupt industries (Porter, 1985). Denison (1990) stated that organizations with adaptive cultures were able to respond to changes in the external environment while still maintaining high levels of effectiveness.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As an international corporation, Toyota will encounter cultures that may not identify with The Toyota Way of thinking. Senior management should adapt their leadership style to align with the culture of the region they are in. By adapting to employee needs and expectations, Toyota will increase employee engagement (Hofstede, 2001; Mullins and Christy, 2016).</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Toyota's culture enables organisational effectiveness by empowering employees and promoting continuous learning. Although there are areas of improvement, Toyota's strong culture has been a major source of competitiveness. In the future, Toyota should adapt to changes in the external environment by allowing for more flexibility and risk-taking while maintaining core principles.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t>6. The Impact of Organisational Culture on Toyota's Performance and Recommendations</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Culture influences employee behaviour, decision-making and long-term organisational performance. According to Barney (1991), organisations achieve competitive advantage when their culture is rare, valuable, and difficult to imitate. At Toyota, the Toyota Production System (TPS) and The Toyota Way have given the organisation a competitive edge over others. Although the automotive industry is constantly changing, Toyota must retain its core principles while adapting to changes in the external environment (Schein and Schein, 2021).</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One way Toyota's culture has increased performance is through continuous improvement. By empowering employees to contribute ideas that better the company, Toyota ensures high quality through processes like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Jidoka</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Continuous improvement has allowed Toyota to decrease waste while increasing efficiency and quality throughout operations (Liker, 2021; Womack, Jones and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Roos</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1990). Employees also feel engaged because their ideas are valued and implemented which promotes organisational learning.</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Employees at Toyota feel engaged because of the company's respect for people principle. Instead of forcing employees to follow arbitrary rules, Toyota guides employees with leadership that leads by example. Employees will feel motivated to contribute ideas and work efficiently because they trust their employer which reinforces Toyota's philosophy </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lastRenderedPageBreak/>
        <w:t>(Schein and Schein, 2021). Denison (1990) found that organisations that involved their employees, remained adaptable and had a shared purpose viewed higher levels of effectiveness.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Investing in research and development has allowed Toyota to stay committed to long-term goals while adapting to changes in the business environment. Whether it's digital manufacturing, artificial intelligence or low-emission vehicles, Toyota continues to invest in technologies that will ensure a sustainable future (Toyota Motor Corporation, 2025). Porter (1985) stated that </w:t>
      </w:r>
      <w:r w:rsidR="00D21764" w:rsidRPr="00C962B1">
        <w:rPr>
          <w:rFonts w:ascii="Times New Roman" w:eastAsia="Times New Roman" w:hAnsi="Times New Roman" w:cs="Times New Roman"/>
          <w:color w:val="000000"/>
          <w:kern w:val="0"/>
          <w:sz w:val="24"/>
          <w:szCs w:val="24"/>
          <w:bdr w:val="single" w:sz="2" w:space="0" w:color="E5E7EB" w:frame="1"/>
          <w:lang w:eastAsia="en-GB"/>
          <w14:ligatures w14:val="none"/>
        </w:rPr>
        <w:t>to</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remain competitive, organisations must make investments that will ensure long-term success.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Toyota could be viewed as adaptable because it continues to make investments that ensure a long-term competitive advantage. However, the company could respond to changes in the external environment faster. By delegating decision-making authority to teams instead of consulting all levels, Toyota can make decisions rapidly while maintaining employee involvement (Johnson, Scholes and Whittington, 2020). According to Kotter (2012), successful leaders should not only create plans, but they should also establish a sense of urgency.</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Although Toyota has empowered and engaged employees, additional investments should be made to ensure employees can handle tasks of the future. Automation and AI will play major roles in Toyota's manufacturing processes, and employees should be trained on digital skills and leadership. By developing employees and encouraging a learning organisation, Toyota can adapt to changes while remaining competitive (Senge, 2006; Denison, 1990).</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t>Recommendation 1: Increase Organisational Agility</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To increase competitiveness, Toyota should allow teams to make decisions related to innovation rather than consulting every level. This will increase organizational agility while maintaining employee involvement (Johnson, Scholes and Whittington, 2020; Kotter, 2012).</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t>Recommendation 2: Invest in Digital Training</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Toyota should continue making investments in digital training and leadership development. Digital skills should be taught to ensure Toyota's employees are capable of handling tasks </w:t>
      </w:r>
      <w:r w:rsidR="00D21764" w:rsidRPr="00C962B1">
        <w:rPr>
          <w:rFonts w:ascii="Times New Roman" w:eastAsia="Times New Roman" w:hAnsi="Times New Roman" w:cs="Times New Roman"/>
          <w:color w:val="000000"/>
          <w:kern w:val="0"/>
          <w:sz w:val="24"/>
          <w:szCs w:val="24"/>
          <w:bdr w:val="single" w:sz="2" w:space="0" w:color="E5E7EB" w:frame="1"/>
          <w:lang w:eastAsia="en-GB"/>
          <w14:ligatures w14:val="none"/>
        </w:rPr>
        <w:t>soon</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t>Recommendation 3: Improve Cross-cultural Leadership</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Top management should focus on improving their leadership styles to align with the culture where they are situated. Employees will have increased job satisfaction when companies adapt to their needs.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Toyota's culture has allowed it to achieve and maintain a competitive advantage. Its culture of continuous improvement, respect for employees and emphasis on long-term thinking has allowed the company to outperform competitors. Toyota should retain its core principles while adapting to changes in the external environment by implementing recommendations mentioned above.</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t>7. Conclusion</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The culture of an organisation can help determine its leadership styles, decision-making practices and long-term performance. Toyota has established a strong organisational culture derived from principles known as The Toyota Way. By empowering employees and promoting continuous learning, Toyota has sustained high levels of quality, efficiency and customer satisfaction. The analysis of Toyota's organisational culture using Schein's three levels, Hofstede's Cultural Dimensions and Handy's Four Culture Types concluded that Toyota's culture is characterized by employee empowerment, teamwork, organisational learning and long-term thinking.</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Toyota adapts to changes in the business environment by empowering employees while </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lastRenderedPageBreak/>
        <w:t>staying committed to core values. Practices such as continuous improvement have allowed Toyota to rapidly respond to environmental changes by sharing knowledge across all organisational levels. The report went on to show that culture serves as an enabler to organisational effectiveness at Toyota. However, the company could become more competitive by responding to changes in the external environment with greater urgency. Recommendations for the company included increasing organisational agility, investing in digital training, and adapting leadership styles to regional cultures. By adapting to changes while maintaining established principles, Toyota will continue being a dominant competitor.</w:t>
      </w:r>
    </w:p>
    <w:p w14:paraId="2DF7B01B" w14:textId="77777777" w:rsidR="00771CC2" w:rsidRPr="00C962B1" w:rsidRDefault="00771CC2">
      <w:pPr>
        <w:rPr>
          <w:rFonts w:ascii="Times New Roman" w:hAnsi="Times New Roman" w:cs="Times New Roman"/>
          <w:sz w:val="24"/>
          <w:szCs w:val="24"/>
        </w:rPr>
      </w:pPr>
    </w:p>
    <w:p w14:paraId="53641C6C" w14:textId="77777777" w:rsidR="005A3364" w:rsidRPr="00C962B1" w:rsidRDefault="005A3364">
      <w:pPr>
        <w:rPr>
          <w:rFonts w:ascii="Times New Roman" w:hAnsi="Times New Roman" w:cs="Times New Roman"/>
          <w:sz w:val="24"/>
          <w:szCs w:val="24"/>
        </w:rPr>
      </w:pPr>
    </w:p>
    <w:p w14:paraId="0DCCE253" w14:textId="77777777" w:rsidR="005A3364" w:rsidRPr="00C962B1" w:rsidRDefault="005A3364">
      <w:pPr>
        <w:rPr>
          <w:rFonts w:ascii="Times New Roman" w:hAnsi="Times New Roman" w:cs="Times New Roman"/>
          <w:sz w:val="24"/>
          <w:szCs w:val="24"/>
        </w:rPr>
      </w:pPr>
    </w:p>
    <w:p w14:paraId="63950DA7" w14:textId="77777777" w:rsidR="005A3364" w:rsidRDefault="005A3364"/>
    <w:p w14:paraId="06C56AC1" w14:textId="77777777" w:rsidR="005A3364" w:rsidRDefault="005A3364"/>
    <w:p w14:paraId="4BBCDF6F" w14:textId="77777777" w:rsidR="005A3364" w:rsidRDefault="005A3364"/>
    <w:p w14:paraId="1F47529D" w14:textId="77777777" w:rsidR="005A3364" w:rsidRDefault="005A3364"/>
    <w:p w14:paraId="3BFECC4E" w14:textId="77777777" w:rsidR="005A3364" w:rsidRDefault="005A3364"/>
    <w:p w14:paraId="04297241" w14:textId="77777777" w:rsidR="005A3364" w:rsidRDefault="005A3364"/>
    <w:p w14:paraId="33EB24EF" w14:textId="77777777" w:rsidR="005A3364" w:rsidRDefault="005A3364"/>
    <w:p w14:paraId="6A1EA126" w14:textId="77777777" w:rsidR="005A3364" w:rsidRDefault="005A3364"/>
    <w:p w14:paraId="43082A1A" w14:textId="77777777" w:rsidR="005A3364" w:rsidRDefault="005A3364"/>
    <w:p w14:paraId="681ADFE9" w14:textId="77777777" w:rsidR="005A3364" w:rsidRDefault="005A3364"/>
    <w:p w14:paraId="084206BB" w14:textId="77777777" w:rsidR="005A3364" w:rsidRDefault="005A3364"/>
    <w:p w14:paraId="37D0A242" w14:textId="77777777" w:rsidR="005A3364" w:rsidRDefault="005A3364"/>
    <w:p w14:paraId="09EBE9DA" w14:textId="77777777" w:rsidR="005A3364" w:rsidRDefault="005A3364"/>
    <w:p w14:paraId="190673D6" w14:textId="77777777" w:rsidR="00C962B1" w:rsidRDefault="00C962B1"/>
    <w:p w14:paraId="5859D1D0" w14:textId="77777777" w:rsidR="00C962B1" w:rsidRDefault="00C962B1"/>
    <w:p w14:paraId="210BBB2F" w14:textId="77777777" w:rsidR="00C962B1" w:rsidRDefault="00C962B1"/>
    <w:p w14:paraId="043BF88E" w14:textId="77777777" w:rsidR="00C962B1" w:rsidRDefault="00C962B1"/>
    <w:p w14:paraId="24CE27DB" w14:textId="77777777" w:rsidR="00C962B1" w:rsidRDefault="00C962B1"/>
    <w:p w14:paraId="6F13EE65" w14:textId="77777777" w:rsidR="00C962B1" w:rsidRDefault="00C962B1"/>
    <w:p w14:paraId="04C0390C" w14:textId="77777777" w:rsidR="005A3364" w:rsidRDefault="005A3364"/>
    <w:p w14:paraId="401C40A2" w14:textId="77777777" w:rsidR="005A3364" w:rsidRDefault="005A3364"/>
    <w:p w14:paraId="6B735C3D" w14:textId="77777777" w:rsidR="005A3364" w:rsidRDefault="005A3364"/>
    <w:p w14:paraId="4E3B3B06" w14:textId="77777777" w:rsidR="00C962B1" w:rsidRDefault="00C962B1"/>
    <w:p w14:paraId="215C8483" w14:textId="77777777" w:rsidR="005A3364" w:rsidRPr="00C962B1" w:rsidRDefault="005A3364" w:rsidP="005A3364">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C962B1">
        <w:rPr>
          <w:rFonts w:ascii="Times New Roman" w:eastAsia="Times New Roman" w:hAnsi="Times New Roman" w:cs="Times New Roman"/>
          <w:b/>
          <w:bCs/>
          <w:kern w:val="0"/>
          <w:sz w:val="24"/>
          <w:szCs w:val="24"/>
          <w:lang w:eastAsia="en-GB"/>
          <w14:ligatures w14:val="none"/>
        </w:rPr>
        <w:t xml:space="preserve">References </w:t>
      </w:r>
    </w:p>
    <w:p w14:paraId="75545055" w14:textId="523123EA" w:rsidR="005A3364" w:rsidRPr="00C962B1" w:rsidRDefault="0068255E"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1.</w:t>
      </w:r>
      <w:r w:rsidR="00316258">
        <w:rPr>
          <w:rFonts w:ascii="Times New Roman" w:eastAsia="Times New Roman" w:hAnsi="Times New Roman" w:cs="Times New Roman"/>
          <w:kern w:val="0"/>
          <w:sz w:val="24"/>
          <w:szCs w:val="24"/>
          <w:lang w:eastAsia="en-GB"/>
          <w14:ligatures w14:val="none"/>
        </w:rPr>
        <w:t xml:space="preserve"> </w:t>
      </w:r>
      <w:r w:rsidR="005A3364" w:rsidRPr="00C962B1">
        <w:rPr>
          <w:rFonts w:ascii="Times New Roman" w:eastAsia="Times New Roman" w:hAnsi="Times New Roman" w:cs="Times New Roman"/>
          <w:kern w:val="0"/>
          <w:sz w:val="24"/>
          <w:szCs w:val="24"/>
          <w:lang w:eastAsia="en-GB"/>
          <w14:ligatures w14:val="none"/>
        </w:rPr>
        <w:t xml:space="preserve">Barney, J. (1991) ‘Firm resources and sustained competitive advantage’, </w:t>
      </w:r>
      <w:r w:rsidR="005A3364" w:rsidRPr="00C962B1">
        <w:rPr>
          <w:rFonts w:ascii="Times New Roman" w:eastAsia="Times New Roman" w:hAnsi="Times New Roman" w:cs="Times New Roman"/>
          <w:i/>
          <w:iCs/>
          <w:kern w:val="0"/>
          <w:sz w:val="24"/>
          <w:szCs w:val="24"/>
          <w:lang w:eastAsia="en-GB"/>
          <w14:ligatures w14:val="none"/>
        </w:rPr>
        <w:t>Journal of Management</w:t>
      </w:r>
      <w:r w:rsidR="005A3364" w:rsidRPr="00C962B1">
        <w:rPr>
          <w:rFonts w:ascii="Times New Roman" w:eastAsia="Times New Roman" w:hAnsi="Times New Roman" w:cs="Times New Roman"/>
          <w:kern w:val="0"/>
          <w:sz w:val="24"/>
          <w:szCs w:val="24"/>
          <w:lang w:eastAsia="en-GB"/>
          <w14:ligatures w14:val="none"/>
        </w:rPr>
        <w:t>, 17(1), pp. 99–120.</w:t>
      </w:r>
    </w:p>
    <w:p w14:paraId="3E9AB64E" w14:textId="423BA7C4" w:rsidR="005A3364" w:rsidRPr="00C962B1" w:rsidRDefault="0068255E"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2.</w:t>
      </w:r>
      <w:r w:rsidR="00316258">
        <w:rPr>
          <w:rFonts w:ascii="Times New Roman" w:eastAsia="Times New Roman" w:hAnsi="Times New Roman" w:cs="Times New Roman"/>
          <w:kern w:val="0"/>
          <w:sz w:val="24"/>
          <w:szCs w:val="24"/>
          <w:lang w:eastAsia="en-GB"/>
          <w14:ligatures w14:val="none"/>
        </w:rPr>
        <w:t xml:space="preserve"> </w:t>
      </w:r>
      <w:r w:rsidR="005A3364" w:rsidRPr="00C962B1">
        <w:rPr>
          <w:rFonts w:ascii="Times New Roman" w:eastAsia="Times New Roman" w:hAnsi="Times New Roman" w:cs="Times New Roman"/>
          <w:kern w:val="0"/>
          <w:sz w:val="24"/>
          <w:szCs w:val="24"/>
          <w:lang w:eastAsia="en-GB"/>
          <w14:ligatures w14:val="none"/>
        </w:rPr>
        <w:t xml:space="preserve">Bortolotti, T., </w:t>
      </w:r>
      <w:proofErr w:type="spellStart"/>
      <w:r w:rsidR="005A3364" w:rsidRPr="00C962B1">
        <w:rPr>
          <w:rFonts w:ascii="Times New Roman" w:eastAsia="Times New Roman" w:hAnsi="Times New Roman" w:cs="Times New Roman"/>
          <w:kern w:val="0"/>
          <w:sz w:val="24"/>
          <w:szCs w:val="24"/>
          <w:lang w:eastAsia="en-GB"/>
          <w14:ligatures w14:val="none"/>
        </w:rPr>
        <w:t>Boscari</w:t>
      </w:r>
      <w:proofErr w:type="spellEnd"/>
      <w:r w:rsidR="005A3364" w:rsidRPr="00C962B1">
        <w:rPr>
          <w:rFonts w:ascii="Times New Roman" w:eastAsia="Times New Roman" w:hAnsi="Times New Roman" w:cs="Times New Roman"/>
          <w:kern w:val="0"/>
          <w:sz w:val="24"/>
          <w:szCs w:val="24"/>
          <w:lang w:eastAsia="en-GB"/>
          <w14:ligatures w14:val="none"/>
        </w:rPr>
        <w:t xml:space="preserve">, S. and Danese, P. (2015) ‘Successful lean implementation: Organizational culture and soft lean practices’, </w:t>
      </w:r>
      <w:r w:rsidR="005A3364" w:rsidRPr="00C962B1">
        <w:rPr>
          <w:rFonts w:ascii="Times New Roman" w:eastAsia="Times New Roman" w:hAnsi="Times New Roman" w:cs="Times New Roman"/>
          <w:i/>
          <w:iCs/>
          <w:kern w:val="0"/>
          <w:sz w:val="24"/>
          <w:szCs w:val="24"/>
          <w:lang w:eastAsia="en-GB"/>
          <w14:ligatures w14:val="none"/>
        </w:rPr>
        <w:t>International Journal of Production Economics</w:t>
      </w:r>
      <w:r w:rsidR="005A3364" w:rsidRPr="00C962B1">
        <w:rPr>
          <w:rFonts w:ascii="Times New Roman" w:eastAsia="Times New Roman" w:hAnsi="Times New Roman" w:cs="Times New Roman"/>
          <w:kern w:val="0"/>
          <w:sz w:val="24"/>
          <w:szCs w:val="24"/>
          <w:lang w:eastAsia="en-GB"/>
          <w14:ligatures w14:val="none"/>
        </w:rPr>
        <w:t>, 160, pp. 182–201.</w:t>
      </w:r>
    </w:p>
    <w:p w14:paraId="505097B1" w14:textId="059FE94B" w:rsidR="005A3364" w:rsidRPr="00C962B1" w:rsidRDefault="0068255E"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3.</w:t>
      </w:r>
      <w:r w:rsidR="00316258">
        <w:rPr>
          <w:rFonts w:ascii="Times New Roman" w:eastAsia="Times New Roman" w:hAnsi="Times New Roman" w:cs="Times New Roman"/>
          <w:kern w:val="0"/>
          <w:sz w:val="24"/>
          <w:szCs w:val="24"/>
          <w:lang w:eastAsia="en-GB"/>
          <w14:ligatures w14:val="none"/>
        </w:rPr>
        <w:t xml:space="preserve"> </w:t>
      </w:r>
      <w:r w:rsidR="005A3364" w:rsidRPr="00C962B1">
        <w:rPr>
          <w:rFonts w:ascii="Times New Roman" w:eastAsia="Times New Roman" w:hAnsi="Times New Roman" w:cs="Times New Roman"/>
          <w:kern w:val="0"/>
          <w:sz w:val="24"/>
          <w:szCs w:val="24"/>
          <w:lang w:eastAsia="en-GB"/>
          <w14:ligatures w14:val="none"/>
        </w:rPr>
        <w:t xml:space="preserve">Cameron, K.S. and Quinn, R.E. (2011) </w:t>
      </w:r>
      <w:r w:rsidR="005A3364" w:rsidRPr="00C962B1">
        <w:rPr>
          <w:rFonts w:ascii="Times New Roman" w:eastAsia="Times New Roman" w:hAnsi="Times New Roman" w:cs="Times New Roman"/>
          <w:i/>
          <w:iCs/>
          <w:kern w:val="0"/>
          <w:sz w:val="24"/>
          <w:szCs w:val="24"/>
          <w:lang w:eastAsia="en-GB"/>
          <w14:ligatures w14:val="none"/>
        </w:rPr>
        <w:t>Diagnosing and changing organizational culture: Based on the competing values framework</w:t>
      </w:r>
      <w:r w:rsidR="005A3364" w:rsidRPr="00C962B1">
        <w:rPr>
          <w:rFonts w:ascii="Times New Roman" w:eastAsia="Times New Roman" w:hAnsi="Times New Roman" w:cs="Times New Roman"/>
          <w:kern w:val="0"/>
          <w:sz w:val="24"/>
          <w:szCs w:val="24"/>
          <w:lang w:eastAsia="en-GB"/>
          <w14:ligatures w14:val="none"/>
        </w:rPr>
        <w:t xml:space="preserve">. 3rd </w:t>
      </w:r>
      <w:proofErr w:type="spellStart"/>
      <w:r w:rsidR="005A3364" w:rsidRPr="00C962B1">
        <w:rPr>
          <w:rFonts w:ascii="Times New Roman" w:eastAsia="Times New Roman" w:hAnsi="Times New Roman" w:cs="Times New Roman"/>
          <w:kern w:val="0"/>
          <w:sz w:val="24"/>
          <w:szCs w:val="24"/>
          <w:lang w:eastAsia="en-GB"/>
          <w14:ligatures w14:val="none"/>
        </w:rPr>
        <w:t>edn</w:t>
      </w:r>
      <w:proofErr w:type="spellEnd"/>
      <w:r w:rsidR="005A3364" w:rsidRPr="00C962B1">
        <w:rPr>
          <w:rFonts w:ascii="Times New Roman" w:eastAsia="Times New Roman" w:hAnsi="Times New Roman" w:cs="Times New Roman"/>
          <w:kern w:val="0"/>
          <w:sz w:val="24"/>
          <w:szCs w:val="24"/>
          <w:lang w:eastAsia="en-GB"/>
          <w14:ligatures w14:val="none"/>
        </w:rPr>
        <w:t>. San Francisco: Jossey-Bass.</w:t>
      </w:r>
    </w:p>
    <w:p w14:paraId="3ED83479" w14:textId="62C5829D"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4. </w:t>
      </w:r>
      <w:r w:rsidR="005A3364" w:rsidRPr="00C962B1">
        <w:rPr>
          <w:rFonts w:ascii="Times New Roman" w:eastAsia="Times New Roman" w:hAnsi="Times New Roman" w:cs="Times New Roman"/>
          <w:kern w:val="0"/>
          <w:sz w:val="24"/>
          <w:szCs w:val="24"/>
          <w:lang w:eastAsia="en-GB"/>
          <w14:ligatures w14:val="none"/>
        </w:rPr>
        <w:t xml:space="preserve">Denison, D.R. (1990) </w:t>
      </w:r>
      <w:r w:rsidR="005A3364" w:rsidRPr="00C962B1">
        <w:rPr>
          <w:rFonts w:ascii="Times New Roman" w:eastAsia="Times New Roman" w:hAnsi="Times New Roman" w:cs="Times New Roman"/>
          <w:i/>
          <w:iCs/>
          <w:kern w:val="0"/>
          <w:sz w:val="24"/>
          <w:szCs w:val="24"/>
          <w:lang w:eastAsia="en-GB"/>
          <w14:ligatures w14:val="none"/>
        </w:rPr>
        <w:t>Corporate culture and organizational effectiveness</w:t>
      </w:r>
      <w:r w:rsidR="005A3364" w:rsidRPr="00C962B1">
        <w:rPr>
          <w:rFonts w:ascii="Times New Roman" w:eastAsia="Times New Roman" w:hAnsi="Times New Roman" w:cs="Times New Roman"/>
          <w:kern w:val="0"/>
          <w:sz w:val="24"/>
          <w:szCs w:val="24"/>
          <w:lang w:eastAsia="en-GB"/>
          <w14:ligatures w14:val="none"/>
        </w:rPr>
        <w:t>. New York: John Wiley &amp; Sons.</w:t>
      </w:r>
    </w:p>
    <w:p w14:paraId="0761D144" w14:textId="4E30ACDB"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5. </w:t>
      </w:r>
      <w:r w:rsidR="005A3364" w:rsidRPr="00C962B1">
        <w:rPr>
          <w:rFonts w:ascii="Times New Roman" w:eastAsia="Times New Roman" w:hAnsi="Times New Roman" w:cs="Times New Roman"/>
          <w:kern w:val="0"/>
          <w:sz w:val="24"/>
          <w:szCs w:val="24"/>
          <w:lang w:eastAsia="en-GB"/>
          <w14:ligatures w14:val="none"/>
        </w:rPr>
        <w:t xml:space="preserve">Handy, C. (1999) </w:t>
      </w:r>
      <w:r w:rsidR="005A3364" w:rsidRPr="00C962B1">
        <w:rPr>
          <w:rFonts w:ascii="Times New Roman" w:eastAsia="Times New Roman" w:hAnsi="Times New Roman" w:cs="Times New Roman"/>
          <w:i/>
          <w:iCs/>
          <w:kern w:val="0"/>
          <w:sz w:val="24"/>
          <w:szCs w:val="24"/>
          <w:lang w:eastAsia="en-GB"/>
          <w14:ligatures w14:val="none"/>
        </w:rPr>
        <w:t>Understanding organizations</w:t>
      </w:r>
      <w:r w:rsidR="005A3364" w:rsidRPr="00C962B1">
        <w:rPr>
          <w:rFonts w:ascii="Times New Roman" w:eastAsia="Times New Roman" w:hAnsi="Times New Roman" w:cs="Times New Roman"/>
          <w:kern w:val="0"/>
          <w:sz w:val="24"/>
          <w:szCs w:val="24"/>
          <w:lang w:eastAsia="en-GB"/>
          <w14:ligatures w14:val="none"/>
        </w:rPr>
        <w:t xml:space="preserve">. 4th </w:t>
      </w:r>
      <w:proofErr w:type="spellStart"/>
      <w:r w:rsidR="005A3364" w:rsidRPr="00C962B1">
        <w:rPr>
          <w:rFonts w:ascii="Times New Roman" w:eastAsia="Times New Roman" w:hAnsi="Times New Roman" w:cs="Times New Roman"/>
          <w:kern w:val="0"/>
          <w:sz w:val="24"/>
          <w:szCs w:val="24"/>
          <w:lang w:eastAsia="en-GB"/>
          <w14:ligatures w14:val="none"/>
        </w:rPr>
        <w:t>edn</w:t>
      </w:r>
      <w:proofErr w:type="spellEnd"/>
      <w:r w:rsidR="005A3364" w:rsidRPr="00C962B1">
        <w:rPr>
          <w:rFonts w:ascii="Times New Roman" w:eastAsia="Times New Roman" w:hAnsi="Times New Roman" w:cs="Times New Roman"/>
          <w:kern w:val="0"/>
          <w:sz w:val="24"/>
          <w:szCs w:val="24"/>
          <w:lang w:eastAsia="en-GB"/>
          <w14:ligatures w14:val="none"/>
        </w:rPr>
        <w:t>. London: Penguin Books.</w:t>
      </w:r>
    </w:p>
    <w:p w14:paraId="4EA5BFDF" w14:textId="3C643602"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6. </w:t>
      </w:r>
      <w:r w:rsidR="005A3364" w:rsidRPr="00C962B1">
        <w:rPr>
          <w:rFonts w:ascii="Times New Roman" w:eastAsia="Times New Roman" w:hAnsi="Times New Roman" w:cs="Times New Roman"/>
          <w:kern w:val="0"/>
          <w:sz w:val="24"/>
          <w:szCs w:val="24"/>
          <w:lang w:eastAsia="en-GB"/>
          <w14:ligatures w14:val="none"/>
        </w:rPr>
        <w:t xml:space="preserve">Hofstede, G. (2001) </w:t>
      </w:r>
      <w:r w:rsidR="005A3364" w:rsidRPr="00C962B1">
        <w:rPr>
          <w:rFonts w:ascii="Times New Roman" w:eastAsia="Times New Roman" w:hAnsi="Times New Roman" w:cs="Times New Roman"/>
          <w:i/>
          <w:iCs/>
          <w:kern w:val="0"/>
          <w:sz w:val="24"/>
          <w:szCs w:val="24"/>
          <w:lang w:eastAsia="en-GB"/>
          <w14:ligatures w14:val="none"/>
        </w:rPr>
        <w:t xml:space="preserve">Culture's consequences: Comparing values, </w:t>
      </w:r>
      <w:proofErr w:type="spellStart"/>
      <w:r w:rsidR="005A3364" w:rsidRPr="00C962B1">
        <w:rPr>
          <w:rFonts w:ascii="Times New Roman" w:eastAsia="Times New Roman" w:hAnsi="Times New Roman" w:cs="Times New Roman"/>
          <w:i/>
          <w:iCs/>
          <w:kern w:val="0"/>
          <w:sz w:val="24"/>
          <w:szCs w:val="24"/>
          <w:lang w:eastAsia="en-GB"/>
          <w14:ligatures w14:val="none"/>
        </w:rPr>
        <w:t>behaviors</w:t>
      </w:r>
      <w:proofErr w:type="spellEnd"/>
      <w:r w:rsidR="005A3364" w:rsidRPr="00C962B1">
        <w:rPr>
          <w:rFonts w:ascii="Times New Roman" w:eastAsia="Times New Roman" w:hAnsi="Times New Roman" w:cs="Times New Roman"/>
          <w:i/>
          <w:iCs/>
          <w:kern w:val="0"/>
          <w:sz w:val="24"/>
          <w:szCs w:val="24"/>
          <w:lang w:eastAsia="en-GB"/>
          <w14:ligatures w14:val="none"/>
        </w:rPr>
        <w:t>, institutions and organizations across nations</w:t>
      </w:r>
      <w:r w:rsidR="005A3364" w:rsidRPr="00C962B1">
        <w:rPr>
          <w:rFonts w:ascii="Times New Roman" w:eastAsia="Times New Roman" w:hAnsi="Times New Roman" w:cs="Times New Roman"/>
          <w:kern w:val="0"/>
          <w:sz w:val="24"/>
          <w:szCs w:val="24"/>
          <w:lang w:eastAsia="en-GB"/>
          <w14:ligatures w14:val="none"/>
        </w:rPr>
        <w:t xml:space="preserve">. 2nd </w:t>
      </w:r>
      <w:proofErr w:type="spellStart"/>
      <w:r w:rsidR="005A3364" w:rsidRPr="00C962B1">
        <w:rPr>
          <w:rFonts w:ascii="Times New Roman" w:eastAsia="Times New Roman" w:hAnsi="Times New Roman" w:cs="Times New Roman"/>
          <w:kern w:val="0"/>
          <w:sz w:val="24"/>
          <w:szCs w:val="24"/>
          <w:lang w:eastAsia="en-GB"/>
          <w14:ligatures w14:val="none"/>
        </w:rPr>
        <w:t>edn</w:t>
      </w:r>
      <w:proofErr w:type="spellEnd"/>
      <w:r w:rsidR="005A3364" w:rsidRPr="00C962B1">
        <w:rPr>
          <w:rFonts w:ascii="Times New Roman" w:eastAsia="Times New Roman" w:hAnsi="Times New Roman" w:cs="Times New Roman"/>
          <w:kern w:val="0"/>
          <w:sz w:val="24"/>
          <w:szCs w:val="24"/>
          <w:lang w:eastAsia="en-GB"/>
          <w14:ligatures w14:val="none"/>
        </w:rPr>
        <w:t>. Thousand Oaks, CA: Sage Publications.</w:t>
      </w:r>
    </w:p>
    <w:p w14:paraId="47BEA142" w14:textId="6B78CC81"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7. </w:t>
      </w:r>
      <w:r w:rsidR="005A3364" w:rsidRPr="00C962B1">
        <w:rPr>
          <w:rFonts w:ascii="Times New Roman" w:eastAsia="Times New Roman" w:hAnsi="Times New Roman" w:cs="Times New Roman"/>
          <w:kern w:val="0"/>
          <w:sz w:val="24"/>
          <w:szCs w:val="24"/>
          <w:lang w:eastAsia="en-GB"/>
          <w14:ligatures w14:val="none"/>
        </w:rPr>
        <w:t xml:space="preserve">Johnson, G., Scholes, K. and Whittington, R. (2020) </w:t>
      </w:r>
      <w:r w:rsidR="005A3364" w:rsidRPr="00C962B1">
        <w:rPr>
          <w:rFonts w:ascii="Times New Roman" w:eastAsia="Times New Roman" w:hAnsi="Times New Roman" w:cs="Times New Roman"/>
          <w:i/>
          <w:iCs/>
          <w:kern w:val="0"/>
          <w:sz w:val="24"/>
          <w:szCs w:val="24"/>
          <w:lang w:eastAsia="en-GB"/>
          <w14:ligatures w14:val="none"/>
        </w:rPr>
        <w:t>Exploring strategy</w:t>
      </w:r>
      <w:r w:rsidR="005A3364" w:rsidRPr="00C962B1">
        <w:rPr>
          <w:rFonts w:ascii="Times New Roman" w:eastAsia="Times New Roman" w:hAnsi="Times New Roman" w:cs="Times New Roman"/>
          <w:kern w:val="0"/>
          <w:sz w:val="24"/>
          <w:szCs w:val="24"/>
          <w:lang w:eastAsia="en-GB"/>
          <w14:ligatures w14:val="none"/>
        </w:rPr>
        <w:t xml:space="preserve">. 12th </w:t>
      </w:r>
      <w:proofErr w:type="spellStart"/>
      <w:r w:rsidR="005A3364" w:rsidRPr="00C962B1">
        <w:rPr>
          <w:rFonts w:ascii="Times New Roman" w:eastAsia="Times New Roman" w:hAnsi="Times New Roman" w:cs="Times New Roman"/>
          <w:kern w:val="0"/>
          <w:sz w:val="24"/>
          <w:szCs w:val="24"/>
          <w:lang w:eastAsia="en-GB"/>
          <w14:ligatures w14:val="none"/>
        </w:rPr>
        <w:t>edn</w:t>
      </w:r>
      <w:proofErr w:type="spellEnd"/>
      <w:r w:rsidR="005A3364" w:rsidRPr="00C962B1">
        <w:rPr>
          <w:rFonts w:ascii="Times New Roman" w:eastAsia="Times New Roman" w:hAnsi="Times New Roman" w:cs="Times New Roman"/>
          <w:kern w:val="0"/>
          <w:sz w:val="24"/>
          <w:szCs w:val="24"/>
          <w:lang w:eastAsia="en-GB"/>
          <w14:ligatures w14:val="none"/>
        </w:rPr>
        <w:t>. Harlow: Pearson.</w:t>
      </w:r>
    </w:p>
    <w:p w14:paraId="773D333F" w14:textId="144A72A4"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8. </w:t>
      </w:r>
      <w:r w:rsidR="005A3364" w:rsidRPr="00C962B1">
        <w:rPr>
          <w:rFonts w:ascii="Times New Roman" w:eastAsia="Times New Roman" w:hAnsi="Times New Roman" w:cs="Times New Roman"/>
          <w:kern w:val="0"/>
          <w:sz w:val="24"/>
          <w:szCs w:val="24"/>
          <w:lang w:eastAsia="en-GB"/>
          <w14:ligatures w14:val="none"/>
        </w:rPr>
        <w:t xml:space="preserve">Kotter, J.P. (2012) </w:t>
      </w:r>
      <w:r w:rsidR="005A3364" w:rsidRPr="00C962B1">
        <w:rPr>
          <w:rFonts w:ascii="Times New Roman" w:eastAsia="Times New Roman" w:hAnsi="Times New Roman" w:cs="Times New Roman"/>
          <w:i/>
          <w:iCs/>
          <w:kern w:val="0"/>
          <w:sz w:val="24"/>
          <w:szCs w:val="24"/>
          <w:lang w:eastAsia="en-GB"/>
          <w14:ligatures w14:val="none"/>
        </w:rPr>
        <w:t>Leading change</w:t>
      </w:r>
      <w:r w:rsidR="005A3364" w:rsidRPr="00C962B1">
        <w:rPr>
          <w:rFonts w:ascii="Times New Roman" w:eastAsia="Times New Roman" w:hAnsi="Times New Roman" w:cs="Times New Roman"/>
          <w:kern w:val="0"/>
          <w:sz w:val="24"/>
          <w:szCs w:val="24"/>
          <w:lang w:eastAsia="en-GB"/>
          <w14:ligatures w14:val="none"/>
        </w:rPr>
        <w:t>. Boston, MA: Harvard Business Review Press.</w:t>
      </w:r>
    </w:p>
    <w:p w14:paraId="01E3E2AA" w14:textId="071CC823"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9. </w:t>
      </w:r>
      <w:r w:rsidR="005A3364" w:rsidRPr="00C962B1">
        <w:rPr>
          <w:rFonts w:ascii="Times New Roman" w:eastAsia="Times New Roman" w:hAnsi="Times New Roman" w:cs="Times New Roman"/>
          <w:kern w:val="0"/>
          <w:sz w:val="24"/>
          <w:szCs w:val="24"/>
          <w:lang w:eastAsia="en-GB"/>
          <w14:ligatures w14:val="none"/>
        </w:rPr>
        <w:t xml:space="preserve">Liker, J.K. (2021) </w:t>
      </w:r>
      <w:r w:rsidR="005A3364" w:rsidRPr="00C962B1">
        <w:rPr>
          <w:rFonts w:ascii="Times New Roman" w:eastAsia="Times New Roman" w:hAnsi="Times New Roman" w:cs="Times New Roman"/>
          <w:i/>
          <w:iCs/>
          <w:kern w:val="0"/>
          <w:sz w:val="24"/>
          <w:szCs w:val="24"/>
          <w:lang w:eastAsia="en-GB"/>
          <w14:ligatures w14:val="none"/>
        </w:rPr>
        <w:t>The Toyota way: 14 management principles from the world's greatest manufacturer</w:t>
      </w:r>
      <w:r w:rsidR="005A3364" w:rsidRPr="00C962B1">
        <w:rPr>
          <w:rFonts w:ascii="Times New Roman" w:eastAsia="Times New Roman" w:hAnsi="Times New Roman" w:cs="Times New Roman"/>
          <w:kern w:val="0"/>
          <w:sz w:val="24"/>
          <w:szCs w:val="24"/>
          <w:lang w:eastAsia="en-GB"/>
          <w14:ligatures w14:val="none"/>
        </w:rPr>
        <w:t xml:space="preserve">. Updated </w:t>
      </w:r>
      <w:proofErr w:type="spellStart"/>
      <w:r w:rsidR="005A3364" w:rsidRPr="00C962B1">
        <w:rPr>
          <w:rFonts w:ascii="Times New Roman" w:eastAsia="Times New Roman" w:hAnsi="Times New Roman" w:cs="Times New Roman"/>
          <w:kern w:val="0"/>
          <w:sz w:val="24"/>
          <w:szCs w:val="24"/>
          <w:lang w:eastAsia="en-GB"/>
          <w14:ligatures w14:val="none"/>
        </w:rPr>
        <w:t>edn</w:t>
      </w:r>
      <w:proofErr w:type="spellEnd"/>
      <w:r w:rsidR="005A3364" w:rsidRPr="00C962B1">
        <w:rPr>
          <w:rFonts w:ascii="Times New Roman" w:eastAsia="Times New Roman" w:hAnsi="Times New Roman" w:cs="Times New Roman"/>
          <w:kern w:val="0"/>
          <w:sz w:val="24"/>
          <w:szCs w:val="24"/>
          <w:lang w:eastAsia="en-GB"/>
          <w14:ligatures w14:val="none"/>
        </w:rPr>
        <w:t>. New York: McGraw-Hill Education.</w:t>
      </w:r>
    </w:p>
    <w:p w14:paraId="1E7B4118" w14:textId="76368FEC"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10. </w:t>
      </w:r>
      <w:r w:rsidR="005A3364" w:rsidRPr="00C962B1">
        <w:rPr>
          <w:rFonts w:ascii="Times New Roman" w:eastAsia="Times New Roman" w:hAnsi="Times New Roman" w:cs="Times New Roman"/>
          <w:kern w:val="0"/>
          <w:sz w:val="24"/>
          <w:szCs w:val="24"/>
          <w:lang w:eastAsia="en-GB"/>
          <w14:ligatures w14:val="none"/>
        </w:rPr>
        <w:t xml:space="preserve">Mullins, L.J. and Christy, G. (2016) </w:t>
      </w:r>
      <w:r w:rsidR="005A3364" w:rsidRPr="00C962B1">
        <w:rPr>
          <w:rFonts w:ascii="Times New Roman" w:eastAsia="Times New Roman" w:hAnsi="Times New Roman" w:cs="Times New Roman"/>
          <w:i/>
          <w:iCs/>
          <w:kern w:val="0"/>
          <w:sz w:val="24"/>
          <w:szCs w:val="24"/>
          <w:lang w:eastAsia="en-GB"/>
          <w14:ligatures w14:val="none"/>
        </w:rPr>
        <w:t>Management and organisational behaviour</w:t>
      </w:r>
      <w:r w:rsidR="005A3364" w:rsidRPr="00C962B1">
        <w:rPr>
          <w:rFonts w:ascii="Times New Roman" w:eastAsia="Times New Roman" w:hAnsi="Times New Roman" w:cs="Times New Roman"/>
          <w:kern w:val="0"/>
          <w:sz w:val="24"/>
          <w:szCs w:val="24"/>
          <w:lang w:eastAsia="en-GB"/>
          <w14:ligatures w14:val="none"/>
        </w:rPr>
        <w:t xml:space="preserve">. 11th </w:t>
      </w:r>
      <w:proofErr w:type="spellStart"/>
      <w:r w:rsidR="005A3364" w:rsidRPr="00C962B1">
        <w:rPr>
          <w:rFonts w:ascii="Times New Roman" w:eastAsia="Times New Roman" w:hAnsi="Times New Roman" w:cs="Times New Roman"/>
          <w:kern w:val="0"/>
          <w:sz w:val="24"/>
          <w:szCs w:val="24"/>
          <w:lang w:eastAsia="en-GB"/>
          <w14:ligatures w14:val="none"/>
        </w:rPr>
        <w:t>edn</w:t>
      </w:r>
      <w:proofErr w:type="spellEnd"/>
      <w:r w:rsidR="005A3364" w:rsidRPr="00C962B1">
        <w:rPr>
          <w:rFonts w:ascii="Times New Roman" w:eastAsia="Times New Roman" w:hAnsi="Times New Roman" w:cs="Times New Roman"/>
          <w:kern w:val="0"/>
          <w:sz w:val="24"/>
          <w:szCs w:val="24"/>
          <w:lang w:eastAsia="en-GB"/>
          <w14:ligatures w14:val="none"/>
        </w:rPr>
        <w:t>. Harlow: Pearson.</w:t>
      </w:r>
    </w:p>
    <w:p w14:paraId="797CE513" w14:textId="263C4D31"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11. </w:t>
      </w:r>
      <w:r w:rsidR="005A3364" w:rsidRPr="00C962B1">
        <w:rPr>
          <w:rFonts w:ascii="Times New Roman" w:eastAsia="Times New Roman" w:hAnsi="Times New Roman" w:cs="Times New Roman"/>
          <w:kern w:val="0"/>
          <w:sz w:val="24"/>
          <w:szCs w:val="24"/>
          <w:lang w:eastAsia="en-GB"/>
          <w14:ligatures w14:val="none"/>
        </w:rPr>
        <w:t xml:space="preserve">Nonaka, I. and Takeuchi, H. (1995) </w:t>
      </w:r>
      <w:r w:rsidR="005A3364" w:rsidRPr="00C962B1">
        <w:rPr>
          <w:rFonts w:ascii="Times New Roman" w:eastAsia="Times New Roman" w:hAnsi="Times New Roman" w:cs="Times New Roman"/>
          <w:i/>
          <w:iCs/>
          <w:kern w:val="0"/>
          <w:sz w:val="24"/>
          <w:szCs w:val="24"/>
          <w:lang w:eastAsia="en-GB"/>
          <w14:ligatures w14:val="none"/>
        </w:rPr>
        <w:t>The knowledge-creating company: How Japanese companies create the dynamics of innovation</w:t>
      </w:r>
      <w:r w:rsidR="005A3364" w:rsidRPr="00C962B1">
        <w:rPr>
          <w:rFonts w:ascii="Times New Roman" w:eastAsia="Times New Roman" w:hAnsi="Times New Roman" w:cs="Times New Roman"/>
          <w:kern w:val="0"/>
          <w:sz w:val="24"/>
          <w:szCs w:val="24"/>
          <w:lang w:eastAsia="en-GB"/>
          <w14:ligatures w14:val="none"/>
        </w:rPr>
        <w:t>. New York: Oxford University Press.</w:t>
      </w:r>
    </w:p>
    <w:p w14:paraId="476CF2F4" w14:textId="726A1F66"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12. </w:t>
      </w:r>
      <w:r w:rsidR="005A3364" w:rsidRPr="00C962B1">
        <w:rPr>
          <w:rFonts w:ascii="Times New Roman" w:eastAsia="Times New Roman" w:hAnsi="Times New Roman" w:cs="Times New Roman"/>
          <w:kern w:val="0"/>
          <w:sz w:val="24"/>
          <w:szCs w:val="24"/>
          <w:lang w:eastAsia="en-GB"/>
          <w14:ligatures w14:val="none"/>
        </w:rPr>
        <w:t xml:space="preserve">Porter, M.E. (1985) </w:t>
      </w:r>
      <w:r w:rsidR="005A3364" w:rsidRPr="00C962B1">
        <w:rPr>
          <w:rFonts w:ascii="Times New Roman" w:eastAsia="Times New Roman" w:hAnsi="Times New Roman" w:cs="Times New Roman"/>
          <w:i/>
          <w:iCs/>
          <w:kern w:val="0"/>
          <w:sz w:val="24"/>
          <w:szCs w:val="24"/>
          <w:lang w:eastAsia="en-GB"/>
          <w14:ligatures w14:val="none"/>
        </w:rPr>
        <w:t>Competitive advantage: Creating and sustaining superior performance</w:t>
      </w:r>
      <w:r w:rsidR="005A3364" w:rsidRPr="00C962B1">
        <w:rPr>
          <w:rFonts w:ascii="Times New Roman" w:eastAsia="Times New Roman" w:hAnsi="Times New Roman" w:cs="Times New Roman"/>
          <w:kern w:val="0"/>
          <w:sz w:val="24"/>
          <w:szCs w:val="24"/>
          <w:lang w:eastAsia="en-GB"/>
          <w14:ligatures w14:val="none"/>
        </w:rPr>
        <w:t>. New York: Free Press.</w:t>
      </w:r>
    </w:p>
    <w:p w14:paraId="39B14798" w14:textId="6C437AA5"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13. </w:t>
      </w:r>
      <w:r w:rsidR="005A3364" w:rsidRPr="00C962B1">
        <w:rPr>
          <w:rFonts w:ascii="Times New Roman" w:eastAsia="Times New Roman" w:hAnsi="Times New Roman" w:cs="Times New Roman"/>
          <w:kern w:val="0"/>
          <w:sz w:val="24"/>
          <w:szCs w:val="24"/>
          <w:lang w:eastAsia="en-GB"/>
          <w14:ligatures w14:val="none"/>
        </w:rPr>
        <w:t xml:space="preserve">Schein, E.H. and Schein, P.A. (2021) </w:t>
      </w:r>
      <w:r w:rsidR="005A3364" w:rsidRPr="00C962B1">
        <w:rPr>
          <w:rFonts w:ascii="Times New Roman" w:eastAsia="Times New Roman" w:hAnsi="Times New Roman" w:cs="Times New Roman"/>
          <w:i/>
          <w:iCs/>
          <w:kern w:val="0"/>
          <w:sz w:val="24"/>
          <w:szCs w:val="24"/>
          <w:lang w:eastAsia="en-GB"/>
          <w14:ligatures w14:val="none"/>
        </w:rPr>
        <w:t>Organizational culture and leadership</w:t>
      </w:r>
      <w:r w:rsidR="005A3364" w:rsidRPr="00C962B1">
        <w:rPr>
          <w:rFonts w:ascii="Times New Roman" w:eastAsia="Times New Roman" w:hAnsi="Times New Roman" w:cs="Times New Roman"/>
          <w:kern w:val="0"/>
          <w:sz w:val="24"/>
          <w:szCs w:val="24"/>
          <w:lang w:eastAsia="en-GB"/>
          <w14:ligatures w14:val="none"/>
        </w:rPr>
        <w:t xml:space="preserve">. 6th </w:t>
      </w:r>
      <w:proofErr w:type="spellStart"/>
      <w:r w:rsidR="005A3364" w:rsidRPr="00C962B1">
        <w:rPr>
          <w:rFonts w:ascii="Times New Roman" w:eastAsia="Times New Roman" w:hAnsi="Times New Roman" w:cs="Times New Roman"/>
          <w:kern w:val="0"/>
          <w:sz w:val="24"/>
          <w:szCs w:val="24"/>
          <w:lang w:eastAsia="en-GB"/>
          <w14:ligatures w14:val="none"/>
        </w:rPr>
        <w:t>edn</w:t>
      </w:r>
      <w:proofErr w:type="spellEnd"/>
      <w:r w:rsidR="005A3364" w:rsidRPr="00C962B1">
        <w:rPr>
          <w:rFonts w:ascii="Times New Roman" w:eastAsia="Times New Roman" w:hAnsi="Times New Roman" w:cs="Times New Roman"/>
          <w:kern w:val="0"/>
          <w:sz w:val="24"/>
          <w:szCs w:val="24"/>
          <w:lang w:eastAsia="en-GB"/>
          <w14:ligatures w14:val="none"/>
        </w:rPr>
        <w:t>. Hoboken, NJ: John Wiley &amp; Sons.</w:t>
      </w:r>
    </w:p>
    <w:p w14:paraId="61145A99" w14:textId="73C5100A"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14. </w:t>
      </w:r>
      <w:r w:rsidR="005A3364" w:rsidRPr="00C962B1">
        <w:rPr>
          <w:rFonts w:ascii="Times New Roman" w:eastAsia="Times New Roman" w:hAnsi="Times New Roman" w:cs="Times New Roman"/>
          <w:kern w:val="0"/>
          <w:sz w:val="24"/>
          <w:szCs w:val="24"/>
          <w:lang w:eastAsia="en-GB"/>
          <w14:ligatures w14:val="none"/>
        </w:rPr>
        <w:t xml:space="preserve">Senge, P.M. (2006) </w:t>
      </w:r>
      <w:r w:rsidR="005A3364" w:rsidRPr="00C962B1">
        <w:rPr>
          <w:rFonts w:ascii="Times New Roman" w:eastAsia="Times New Roman" w:hAnsi="Times New Roman" w:cs="Times New Roman"/>
          <w:i/>
          <w:iCs/>
          <w:kern w:val="0"/>
          <w:sz w:val="24"/>
          <w:szCs w:val="24"/>
          <w:lang w:eastAsia="en-GB"/>
          <w14:ligatures w14:val="none"/>
        </w:rPr>
        <w:t>The fifth discipline: The art and practice of the learning organization</w:t>
      </w:r>
      <w:r w:rsidR="005A3364" w:rsidRPr="00C962B1">
        <w:rPr>
          <w:rFonts w:ascii="Times New Roman" w:eastAsia="Times New Roman" w:hAnsi="Times New Roman" w:cs="Times New Roman"/>
          <w:kern w:val="0"/>
          <w:sz w:val="24"/>
          <w:szCs w:val="24"/>
          <w:lang w:eastAsia="en-GB"/>
          <w14:ligatures w14:val="none"/>
        </w:rPr>
        <w:t xml:space="preserve">. Rev. </w:t>
      </w:r>
      <w:proofErr w:type="spellStart"/>
      <w:r w:rsidR="005A3364" w:rsidRPr="00C962B1">
        <w:rPr>
          <w:rFonts w:ascii="Times New Roman" w:eastAsia="Times New Roman" w:hAnsi="Times New Roman" w:cs="Times New Roman"/>
          <w:kern w:val="0"/>
          <w:sz w:val="24"/>
          <w:szCs w:val="24"/>
          <w:lang w:eastAsia="en-GB"/>
          <w14:ligatures w14:val="none"/>
        </w:rPr>
        <w:t>edn</w:t>
      </w:r>
      <w:proofErr w:type="spellEnd"/>
      <w:r w:rsidR="005A3364" w:rsidRPr="00C962B1">
        <w:rPr>
          <w:rFonts w:ascii="Times New Roman" w:eastAsia="Times New Roman" w:hAnsi="Times New Roman" w:cs="Times New Roman"/>
          <w:kern w:val="0"/>
          <w:sz w:val="24"/>
          <w:szCs w:val="24"/>
          <w:lang w:eastAsia="en-GB"/>
          <w14:ligatures w14:val="none"/>
        </w:rPr>
        <w:t>. London: Random House Business Books.</w:t>
      </w:r>
    </w:p>
    <w:p w14:paraId="64E48B41" w14:textId="6A053276"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15. </w:t>
      </w:r>
      <w:r w:rsidR="005A3364" w:rsidRPr="00C962B1">
        <w:rPr>
          <w:rFonts w:ascii="Times New Roman" w:eastAsia="Times New Roman" w:hAnsi="Times New Roman" w:cs="Times New Roman"/>
          <w:kern w:val="0"/>
          <w:sz w:val="24"/>
          <w:szCs w:val="24"/>
          <w:lang w:eastAsia="en-GB"/>
          <w14:ligatures w14:val="none"/>
        </w:rPr>
        <w:t xml:space="preserve">Toyota Motor Corporation (2025) </w:t>
      </w:r>
      <w:r w:rsidR="005A3364" w:rsidRPr="00C962B1">
        <w:rPr>
          <w:rFonts w:ascii="Times New Roman" w:eastAsia="Times New Roman" w:hAnsi="Times New Roman" w:cs="Times New Roman"/>
          <w:i/>
          <w:iCs/>
          <w:kern w:val="0"/>
          <w:sz w:val="24"/>
          <w:szCs w:val="24"/>
          <w:lang w:eastAsia="en-GB"/>
          <w14:ligatures w14:val="none"/>
        </w:rPr>
        <w:t>Integrated Report 2025</w:t>
      </w:r>
      <w:r w:rsidR="005A3364" w:rsidRPr="00C962B1">
        <w:rPr>
          <w:rFonts w:ascii="Times New Roman" w:eastAsia="Times New Roman" w:hAnsi="Times New Roman" w:cs="Times New Roman"/>
          <w:kern w:val="0"/>
          <w:sz w:val="24"/>
          <w:szCs w:val="24"/>
          <w:lang w:eastAsia="en-GB"/>
          <w14:ligatures w14:val="none"/>
        </w:rPr>
        <w:t>. Available at: https://global.toyota/en/ir/library/integrated-report/ (Accessed: 12 July 2026).</w:t>
      </w:r>
    </w:p>
    <w:p w14:paraId="2EBF1721" w14:textId="646DC92F"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16. </w:t>
      </w:r>
      <w:r w:rsidR="005A3364" w:rsidRPr="00C962B1">
        <w:rPr>
          <w:rFonts w:ascii="Times New Roman" w:eastAsia="Times New Roman" w:hAnsi="Times New Roman" w:cs="Times New Roman"/>
          <w:kern w:val="0"/>
          <w:sz w:val="24"/>
          <w:szCs w:val="24"/>
          <w:lang w:eastAsia="en-GB"/>
          <w14:ligatures w14:val="none"/>
        </w:rPr>
        <w:t xml:space="preserve">Womack, J.P., Jones, D.T. and </w:t>
      </w:r>
      <w:proofErr w:type="spellStart"/>
      <w:r w:rsidR="005A3364" w:rsidRPr="00C962B1">
        <w:rPr>
          <w:rFonts w:ascii="Times New Roman" w:eastAsia="Times New Roman" w:hAnsi="Times New Roman" w:cs="Times New Roman"/>
          <w:kern w:val="0"/>
          <w:sz w:val="24"/>
          <w:szCs w:val="24"/>
          <w:lang w:eastAsia="en-GB"/>
          <w14:ligatures w14:val="none"/>
        </w:rPr>
        <w:t>Roos</w:t>
      </w:r>
      <w:proofErr w:type="spellEnd"/>
      <w:r w:rsidR="005A3364" w:rsidRPr="00C962B1">
        <w:rPr>
          <w:rFonts w:ascii="Times New Roman" w:eastAsia="Times New Roman" w:hAnsi="Times New Roman" w:cs="Times New Roman"/>
          <w:kern w:val="0"/>
          <w:sz w:val="24"/>
          <w:szCs w:val="24"/>
          <w:lang w:eastAsia="en-GB"/>
          <w14:ligatures w14:val="none"/>
        </w:rPr>
        <w:t xml:space="preserve">, D. (1990) </w:t>
      </w:r>
      <w:r w:rsidR="005A3364" w:rsidRPr="00C962B1">
        <w:rPr>
          <w:rFonts w:ascii="Times New Roman" w:eastAsia="Times New Roman" w:hAnsi="Times New Roman" w:cs="Times New Roman"/>
          <w:i/>
          <w:iCs/>
          <w:kern w:val="0"/>
          <w:sz w:val="24"/>
          <w:szCs w:val="24"/>
          <w:lang w:eastAsia="en-GB"/>
          <w14:ligatures w14:val="none"/>
        </w:rPr>
        <w:t>The machine that changed the world</w:t>
      </w:r>
      <w:r w:rsidR="005A3364" w:rsidRPr="00C962B1">
        <w:rPr>
          <w:rFonts w:ascii="Times New Roman" w:eastAsia="Times New Roman" w:hAnsi="Times New Roman" w:cs="Times New Roman"/>
          <w:kern w:val="0"/>
          <w:sz w:val="24"/>
          <w:szCs w:val="24"/>
          <w:lang w:eastAsia="en-GB"/>
          <w14:ligatures w14:val="none"/>
        </w:rPr>
        <w:t>. New York: Rawson Associates.</w:t>
      </w:r>
    </w:p>
    <w:p w14:paraId="0D9ED4F5" w14:textId="77777777" w:rsidR="005A3364" w:rsidRDefault="005A3364"/>
    <w:sectPr w:rsidR="005A33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C5B57F" w14:textId="77777777" w:rsidR="00ED19AE" w:rsidRDefault="00ED19AE" w:rsidP="00C962B1">
      <w:pPr>
        <w:spacing w:after="0" w:line="240" w:lineRule="auto"/>
      </w:pPr>
      <w:r>
        <w:separator/>
      </w:r>
    </w:p>
  </w:endnote>
  <w:endnote w:type="continuationSeparator" w:id="0">
    <w:p w14:paraId="7B2EAC51" w14:textId="77777777" w:rsidR="00ED19AE" w:rsidRDefault="00ED19AE" w:rsidP="00C962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566DD4" w14:textId="77777777" w:rsidR="00ED19AE" w:rsidRDefault="00ED19AE" w:rsidP="00C962B1">
      <w:pPr>
        <w:spacing w:after="0" w:line="240" w:lineRule="auto"/>
      </w:pPr>
      <w:r>
        <w:separator/>
      </w:r>
    </w:p>
  </w:footnote>
  <w:footnote w:type="continuationSeparator" w:id="0">
    <w:p w14:paraId="2B4D6EA4" w14:textId="77777777" w:rsidR="00ED19AE" w:rsidRDefault="00ED19AE" w:rsidP="00C962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364"/>
    <w:rsid w:val="000155DE"/>
    <w:rsid w:val="00191290"/>
    <w:rsid w:val="001F5EE4"/>
    <w:rsid w:val="002C428B"/>
    <w:rsid w:val="00316258"/>
    <w:rsid w:val="00331C6A"/>
    <w:rsid w:val="00443268"/>
    <w:rsid w:val="0053361F"/>
    <w:rsid w:val="00590556"/>
    <w:rsid w:val="005A3364"/>
    <w:rsid w:val="0068255E"/>
    <w:rsid w:val="00771CC2"/>
    <w:rsid w:val="00780E9A"/>
    <w:rsid w:val="007928E0"/>
    <w:rsid w:val="007C590E"/>
    <w:rsid w:val="009E262B"/>
    <w:rsid w:val="00B945CF"/>
    <w:rsid w:val="00C942D3"/>
    <w:rsid w:val="00C962B1"/>
    <w:rsid w:val="00D21764"/>
    <w:rsid w:val="00ED19AE"/>
    <w:rsid w:val="00F33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67432"/>
  <w15:chartTrackingRefBased/>
  <w15:docId w15:val="{14CAE372-C0E5-4E67-AA9F-E3D245B51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33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33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33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33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33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33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33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33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33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3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33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33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33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33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33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33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33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3364"/>
    <w:rPr>
      <w:rFonts w:eastAsiaTheme="majorEastAsia" w:cstheme="majorBidi"/>
      <w:color w:val="272727" w:themeColor="text1" w:themeTint="D8"/>
    </w:rPr>
  </w:style>
  <w:style w:type="paragraph" w:styleId="Title">
    <w:name w:val="Title"/>
    <w:basedOn w:val="Normal"/>
    <w:next w:val="Normal"/>
    <w:link w:val="TitleChar"/>
    <w:uiPriority w:val="10"/>
    <w:qFormat/>
    <w:rsid w:val="005A33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33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33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33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3364"/>
    <w:pPr>
      <w:spacing w:before="160"/>
      <w:jc w:val="center"/>
    </w:pPr>
    <w:rPr>
      <w:i/>
      <w:iCs/>
      <w:color w:val="404040" w:themeColor="text1" w:themeTint="BF"/>
    </w:rPr>
  </w:style>
  <w:style w:type="character" w:customStyle="1" w:styleId="QuoteChar">
    <w:name w:val="Quote Char"/>
    <w:basedOn w:val="DefaultParagraphFont"/>
    <w:link w:val="Quote"/>
    <w:uiPriority w:val="29"/>
    <w:rsid w:val="005A3364"/>
    <w:rPr>
      <w:i/>
      <w:iCs/>
      <w:color w:val="404040" w:themeColor="text1" w:themeTint="BF"/>
    </w:rPr>
  </w:style>
  <w:style w:type="paragraph" w:styleId="ListParagraph">
    <w:name w:val="List Paragraph"/>
    <w:basedOn w:val="Normal"/>
    <w:uiPriority w:val="34"/>
    <w:qFormat/>
    <w:rsid w:val="005A3364"/>
    <w:pPr>
      <w:ind w:left="720"/>
      <w:contextualSpacing/>
    </w:pPr>
  </w:style>
  <w:style w:type="character" w:styleId="IntenseEmphasis">
    <w:name w:val="Intense Emphasis"/>
    <w:basedOn w:val="DefaultParagraphFont"/>
    <w:uiPriority w:val="21"/>
    <w:qFormat/>
    <w:rsid w:val="005A3364"/>
    <w:rPr>
      <w:i/>
      <w:iCs/>
      <w:color w:val="0F4761" w:themeColor="accent1" w:themeShade="BF"/>
    </w:rPr>
  </w:style>
  <w:style w:type="paragraph" w:styleId="IntenseQuote">
    <w:name w:val="Intense Quote"/>
    <w:basedOn w:val="Normal"/>
    <w:next w:val="Normal"/>
    <w:link w:val="IntenseQuoteChar"/>
    <w:uiPriority w:val="30"/>
    <w:qFormat/>
    <w:rsid w:val="005A33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3364"/>
    <w:rPr>
      <w:i/>
      <w:iCs/>
      <w:color w:val="0F4761" w:themeColor="accent1" w:themeShade="BF"/>
    </w:rPr>
  </w:style>
  <w:style w:type="character" w:styleId="IntenseReference">
    <w:name w:val="Intense Reference"/>
    <w:basedOn w:val="DefaultParagraphFont"/>
    <w:uiPriority w:val="32"/>
    <w:qFormat/>
    <w:rsid w:val="005A3364"/>
    <w:rPr>
      <w:b/>
      <w:bCs/>
      <w:smallCaps/>
      <w:color w:val="0F4761" w:themeColor="accent1" w:themeShade="BF"/>
      <w:spacing w:val="5"/>
    </w:rPr>
  </w:style>
  <w:style w:type="paragraph" w:styleId="Header">
    <w:name w:val="header"/>
    <w:basedOn w:val="Normal"/>
    <w:link w:val="HeaderChar"/>
    <w:uiPriority w:val="99"/>
    <w:unhideWhenUsed/>
    <w:rsid w:val="00C962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62B1"/>
  </w:style>
  <w:style w:type="paragraph" w:styleId="Footer">
    <w:name w:val="footer"/>
    <w:basedOn w:val="Normal"/>
    <w:link w:val="FooterChar"/>
    <w:uiPriority w:val="99"/>
    <w:unhideWhenUsed/>
    <w:rsid w:val="00C962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2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1</Pages>
  <Words>3975</Words>
  <Characters>22664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 Stefanita (2408392)</dc:creator>
  <cp:keywords/>
  <dc:description/>
  <cp:lastModifiedBy>Ionel Stefanita (2408392)</cp:lastModifiedBy>
  <cp:revision>12</cp:revision>
  <dcterms:created xsi:type="dcterms:W3CDTF">2026-07-12T10:17:00Z</dcterms:created>
  <dcterms:modified xsi:type="dcterms:W3CDTF">2026-07-12T11:13:00Z</dcterms:modified>
</cp:coreProperties>
</file>