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D5934D">
      <w:pPr>
        <w:spacing w:before="120" w:after="240" w:line="360" w:lineRule="auto"/>
        <w:jc w:val="center"/>
        <w:rPr>
          <w:rFonts w:ascii="Times New Roman" w:hAnsi="Times New Roman" w:cs="Times New Roman"/>
          <w:b/>
          <w:bCs/>
          <w:sz w:val="32"/>
          <w:szCs w:val="32"/>
        </w:rPr>
      </w:pPr>
    </w:p>
    <w:p w14:paraId="0780D3E2">
      <w:pPr>
        <w:spacing w:before="120" w:after="240" w:line="360" w:lineRule="auto"/>
        <w:jc w:val="center"/>
        <w:rPr>
          <w:rFonts w:ascii="Times New Roman" w:hAnsi="Times New Roman" w:cs="Times New Roman"/>
          <w:b/>
          <w:bCs/>
          <w:sz w:val="32"/>
          <w:szCs w:val="32"/>
        </w:rPr>
      </w:pPr>
      <w:r>
        <w:rPr>
          <w:rFonts w:ascii="Times New Roman" w:hAnsi="Times New Roman" w:cs="Times New Roman"/>
          <w:b/>
          <w:bCs/>
          <w:sz w:val="32"/>
          <w:szCs w:val="32"/>
        </w:rPr>
        <w:t>BMBM6007: Financial Management</w:t>
      </w:r>
    </w:p>
    <w:p w14:paraId="744D2F95">
      <w:pPr>
        <w:spacing w:before="120" w:after="240" w:line="360" w:lineRule="auto"/>
        <w:jc w:val="center"/>
        <w:rPr>
          <w:rFonts w:ascii="Times New Roman" w:hAnsi="Times New Roman" w:cs="Times New Roman"/>
          <w:b/>
          <w:bCs/>
          <w:sz w:val="32"/>
          <w:szCs w:val="32"/>
        </w:rPr>
      </w:pPr>
      <w:r>
        <w:rPr>
          <w:rFonts w:ascii="Times New Roman" w:hAnsi="Times New Roman" w:cs="Times New Roman"/>
          <w:b/>
          <w:bCs/>
          <w:sz w:val="32"/>
          <w:szCs w:val="32"/>
        </w:rPr>
        <w:t>Mergers and Acquisitions</w:t>
      </w:r>
    </w:p>
    <w:p w14:paraId="502766F5">
      <w:pPr>
        <w:spacing w:before="120" w:after="240" w:line="360" w:lineRule="auto"/>
        <w:jc w:val="center"/>
        <w:rPr>
          <w:rFonts w:ascii="Times New Roman" w:hAnsi="Times New Roman" w:cs="Times New Roman"/>
          <w:b/>
          <w:bCs/>
          <w:i/>
          <w:iCs/>
          <w:sz w:val="32"/>
          <w:szCs w:val="32"/>
        </w:rPr>
      </w:pPr>
      <w:r>
        <w:rPr>
          <w:rFonts w:ascii="Times New Roman" w:hAnsi="Times New Roman" w:cs="Times New Roman"/>
          <w:b/>
          <w:bCs/>
          <w:i/>
          <w:iCs/>
          <w:sz w:val="32"/>
          <w:szCs w:val="32"/>
        </w:rPr>
        <w:t>Title: Critically Analyse Marks &amp; Spencer’s Acquisition of Gist Limited</w:t>
      </w:r>
    </w:p>
    <w:p w14:paraId="12A59A5A">
      <w:pPr>
        <w:spacing w:before="120" w:after="240" w:line="360" w:lineRule="auto"/>
        <w:jc w:val="center"/>
        <w:rPr>
          <w:rFonts w:hint="default" w:ascii="Times New Roman" w:hAnsi="Times New Roman" w:eastAsia="宋体" w:cs="Times New Roman"/>
          <w:b/>
          <w:bCs/>
          <w:sz w:val="24"/>
          <w:szCs w:val="24"/>
          <w:lang w:val="en-US" w:eastAsia="zh-CN"/>
        </w:rPr>
      </w:pPr>
      <w:bookmarkStart w:id="17" w:name="_GoBack"/>
      <w:bookmarkEnd w:id="17"/>
    </w:p>
    <w:p w14:paraId="75C44AC5">
      <w:pPr>
        <w:spacing w:before="120" w:after="240" w:line="360" w:lineRule="auto"/>
        <w:rPr>
          <w:rFonts w:hint="eastAsia" w:ascii="Times New Roman" w:hAnsi="Times New Roman" w:cs="Times New Roman" w:eastAsiaTheme="minorEastAsia"/>
          <w:b/>
          <w:bCs/>
          <w:sz w:val="24"/>
          <w:szCs w:val="24"/>
          <w:lang w:eastAsia="zh-CN"/>
        </w:rPr>
      </w:pPr>
    </w:p>
    <w:p w14:paraId="06755E7B">
      <w:pPr>
        <w:spacing w:before="120" w:after="240" w:line="360" w:lineRule="auto"/>
        <w:jc w:val="center"/>
        <w:rPr>
          <w:rFonts w:ascii="Times New Roman" w:hAnsi="Times New Roman" w:eastAsia="宋体" w:cs="Times New Roman"/>
          <w:b/>
          <w:bCs/>
          <w:sz w:val="24"/>
          <w:szCs w:val="24"/>
          <w:lang w:val="en-US" w:eastAsia="zh-CN"/>
        </w:rPr>
      </w:pPr>
      <w:r>
        <w:rPr>
          <w:rFonts w:ascii="Times New Roman" w:hAnsi="Times New Roman" w:cs="Times New Roman"/>
          <w:b/>
          <w:bCs/>
          <w:sz w:val="24"/>
          <w:szCs w:val="24"/>
        </w:rPr>
        <w:t>Student Name:</w:t>
      </w:r>
      <w:r>
        <w:rPr>
          <w:rFonts w:hint="eastAsia" w:ascii="Times New Roman" w:hAnsi="Times New Roman" w:eastAsia="宋体" w:cs="Times New Roman"/>
          <w:b/>
          <w:bCs/>
          <w:sz w:val="24"/>
          <w:szCs w:val="24"/>
          <w:lang w:val="en-US" w:eastAsia="zh-CN"/>
        </w:rPr>
        <w:t>Yuhao Li</w:t>
      </w:r>
    </w:p>
    <w:p w14:paraId="5FB65259">
      <w:pPr>
        <w:spacing w:before="120" w:after="240" w:line="360" w:lineRule="auto"/>
        <w:jc w:val="center"/>
        <w:rPr>
          <w:rFonts w:ascii="Times New Roman" w:hAnsi="Times New Roman" w:eastAsia="宋体" w:cs="Times New Roman"/>
          <w:b/>
          <w:bCs/>
          <w:sz w:val="24"/>
          <w:szCs w:val="24"/>
          <w:lang w:val="en-US" w:eastAsia="zh-CN"/>
        </w:rPr>
      </w:pPr>
      <w:r>
        <w:rPr>
          <w:rFonts w:ascii="Times New Roman" w:hAnsi="Times New Roman" w:cs="Times New Roman"/>
          <w:b/>
          <w:bCs/>
          <w:sz w:val="24"/>
          <w:szCs w:val="24"/>
        </w:rPr>
        <w:t>Student ID</w:t>
      </w:r>
      <w:r>
        <w:rPr>
          <w:rFonts w:hint="eastAsia" w:ascii="Times New Roman" w:hAnsi="Times New Roman" w:eastAsia="宋体" w:cs="Times New Roman"/>
          <w:b/>
          <w:bCs/>
          <w:sz w:val="24"/>
          <w:szCs w:val="24"/>
          <w:lang w:val="en-US" w:eastAsia="zh-CN"/>
        </w:rPr>
        <w:t>:2500752</w:t>
      </w:r>
    </w:p>
    <w:p w14:paraId="70820CFA">
      <w:pPr>
        <w:spacing w:before="120" w:after="240" w:line="360" w:lineRule="auto"/>
        <w:jc w:val="center"/>
        <w:rPr>
          <w:rFonts w:ascii="Times New Roman" w:hAnsi="Times New Roman" w:cs="Times New Roman"/>
          <w:b/>
          <w:bCs/>
          <w:sz w:val="24"/>
          <w:szCs w:val="24"/>
        </w:rPr>
      </w:pPr>
      <w:r>
        <w:rPr>
          <w:rFonts w:ascii="Times New Roman" w:hAnsi="Times New Roman" w:cs="Times New Roman"/>
          <w:b/>
          <w:bCs/>
          <w:sz w:val="24"/>
          <w:szCs w:val="24"/>
        </w:rPr>
        <w:t>Word Count: 2724</w:t>
      </w:r>
      <w:r>
        <w:rPr>
          <w:rFonts w:ascii="Times New Roman" w:hAnsi="Times New Roman" w:cs="Times New Roman"/>
          <w:b/>
          <w:bCs/>
          <w:sz w:val="24"/>
          <w:szCs w:val="24"/>
        </w:rPr>
        <w:br w:type="page"/>
      </w:r>
    </w:p>
    <w:p w14:paraId="4838BB32">
      <w:pPr>
        <w:pStyle w:val="2"/>
        <w:spacing w:before="120" w:after="240"/>
        <w:rPr>
          <w:lang w:val="en-GB"/>
        </w:rPr>
      </w:pPr>
      <w:bookmarkStart w:id="0" w:name="_Toc224817236"/>
      <w:r>
        <w:rPr>
          <w:lang w:val="en-GB"/>
        </w:rPr>
        <w:t>Executive Summary</w:t>
      </w:r>
      <w:bookmarkEnd w:id="0"/>
      <w:r>
        <w:rPr>
          <w:lang w:val="en-GB"/>
        </w:rPr>
        <w:t xml:space="preserve"> </w:t>
      </w:r>
    </w:p>
    <w:p w14:paraId="4372480D">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current report critically analyses the acquisition of Gist Limited by Marks and Spencer (M&amp;S) in terms of the strategic rationale behind it, its operational implications and its financial performance. Using the major theories of M&amp;A like synergy, efficiency, and the resource-based view, the analysis proves that the need to internalise logistics, enhance supply chain resilience, and decrease cost was the main reason behind the acquisition. Empirical results reveal that M&amp;S experienced enormous gains, such as £ 180million in cost savings, better product availability and the profits to increase by 58 %, which proves successful value realisation. The combination of logistics capabilities of Gist and retail operations of M&amp;S further promoted efficiency in operations and competitive positioning. Nevertheless, other risks that the report has noted include the complexity of operations and heightened concentration in the food segment. In general, although the market scepticism may have been observed at the beginning, the acquisition can be regarded as a sound strategic choice that has created long-term value and ensured the improved supply chain competence at M&amp;S.</w:t>
      </w:r>
      <w:r>
        <w:rPr>
          <w:rFonts w:ascii="Times New Roman" w:hAnsi="Times New Roman" w:cs="Times New Roman"/>
          <w:sz w:val="24"/>
          <w:szCs w:val="24"/>
        </w:rPr>
        <w:br w:type="page"/>
      </w:r>
    </w:p>
    <w:sdt>
      <w:sdtPr>
        <w:rPr>
          <w:rFonts w:asciiTheme="minorHAnsi" w:hAnsiTheme="minorHAnsi" w:eastAsiaTheme="minorHAnsi" w:cstheme="minorBidi"/>
          <w:b w:val="0"/>
          <w:bCs w:val="0"/>
          <w:color w:val="auto"/>
          <w:kern w:val="2"/>
          <w:sz w:val="22"/>
          <w:szCs w:val="22"/>
          <w:lang w:val="en-GB"/>
          <w14:ligatures w14:val="standardContextual"/>
        </w:rPr>
        <w:id w:val="1555882301"/>
        <w:docPartObj>
          <w:docPartGallery w:val="Table of Contents"/>
          <w:docPartUnique/>
        </w:docPartObj>
      </w:sdtPr>
      <w:sdtEndPr>
        <w:rPr>
          <w:rFonts w:asciiTheme="minorHAnsi" w:hAnsiTheme="minorHAnsi" w:eastAsiaTheme="minorHAnsi" w:cstheme="minorBidi"/>
          <w:b w:val="0"/>
          <w:bCs w:val="0"/>
          <w:color w:val="auto"/>
          <w:kern w:val="2"/>
          <w:sz w:val="24"/>
          <w:szCs w:val="24"/>
          <w:lang w:val="en-GB"/>
          <w14:ligatures w14:val="standardContextual"/>
        </w:rPr>
      </w:sdtEndPr>
      <w:sdtContent>
        <w:p w14:paraId="1243013A">
          <w:pPr>
            <w:pStyle w:val="9"/>
            <w:spacing w:before="120" w:after="240" w:line="360" w:lineRule="auto"/>
            <w:rPr>
              <w:lang w:val="en-GB"/>
            </w:rPr>
          </w:pPr>
          <w:r>
            <w:rPr>
              <w:lang w:val="en-GB"/>
            </w:rPr>
            <w:t>Table of Contents</w:t>
          </w:r>
        </w:p>
        <w:p w14:paraId="2F92D421">
          <w:pPr>
            <w:pStyle w:val="4"/>
          </w:pPr>
          <w:r>
            <w:fldChar w:fldCharType="begin"/>
          </w:r>
          <w:r>
            <w:instrText xml:space="preserve"> TOC \o "1-3" \h \z \u </w:instrText>
          </w:r>
          <w:r>
            <w:fldChar w:fldCharType="separate"/>
          </w:r>
          <w:r>
            <w:fldChar w:fldCharType="begin"/>
          </w:r>
          <w:r>
            <w:instrText xml:space="preserve"> HYPERLINK \l "_Toc224817236" </w:instrText>
          </w:r>
          <w:r>
            <w:fldChar w:fldCharType="separate"/>
          </w:r>
          <w:r>
            <w:rPr>
              <w:rStyle w:val="8"/>
              <w:rFonts w:ascii="Times New Roman" w:hAnsi="Times New Roman" w:cs="Times New Roman"/>
              <w:sz w:val="24"/>
              <w:szCs w:val="24"/>
            </w:rPr>
            <w:t>Executive Summary</w:t>
          </w:r>
          <w:r>
            <w:tab/>
          </w:r>
          <w:r>
            <w:fldChar w:fldCharType="begin"/>
          </w:r>
          <w:r>
            <w:instrText xml:space="preserve"> PAGEREF _Toc224817236 \h </w:instrText>
          </w:r>
          <w:r>
            <w:fldChar w:fldCharType="separate"/>
          </w:r>
          <w:r>
            <w:t>2</w:t>
          </w:r>
          <w:r>
            <w:fldChar w:fldCharType="end"/>
          </w:r>
          <w:r>
            <w:fldChar w:fldCharType="end"/>
          </w:r>
        </w:p>
        <w:p w14:paraId="2EE0C976">
          <w:pPr>
            <w:pStyle w:val="4"/>
          </w:pPr>
          <w:r>
            <w:fldChar w:fldCharType="begin"/>
          </w:r>
          <w:r>
            <w:instrText xml:space="preserve"> HYPERLINK \l "_Toc224817237" </w:instrText>
          </w:r>
          <w:r>
            <w:fldChar w:fldCharType="separate"/>
          </w:r>
          <w:r>
            <w:rPr>
              <w:rStyle w:val="8"/>
              <w:rFonts w:ascii="Times New Roman" w:hAnsi="Times New Roman" w:cs="Times New Roman"/>
              <w:sz w:val="24"/>
              <w:szCs w:val="24"/>
            </w:rPr>
            <w:t>1. Introduction</w:t>
          </w:r>
          <w:r>
            <w:tab/>
          </w:r>
          <w:r>
            <w:fldChar w:fldCharType="begin"/>
          </w:r>
          <w:r>
            <w:instrText xml:space="preserve"> PAGEREF _Toc224817237 \h </w:instrText>
          </w:r>
          <w:r>
            <w:fldChar w:fldCharType="separate"/>
          </w:r>
          <w:r>
            <w:t>4</w:t>
          </w:r>
          <w:r>
            <w:fldChar w:fldCharType="end"/>
          </w:r>
          <w:r>
            <w:fldChar w:fldCharType="end"/>
          </w:r>
        </w:p>
        <w:p w14:paraId="009D74AF">
          <w:pPr>
            <w:pStyle w:val="4"/>
          </w:pPr>
          <w:r>
            <w:fldChar w:fldCharType="begin"/>
          </w:r>
          <w:r>
            <w:instrText xml:space="preserve"> HYPERLINK \l "_Toc224817238" </w:instrText>
          </w:r>
          <w:r>
            <w:fldChar w:fldCharType="separate"/>
          </w:r>
          <w:r>
            <w:rPr>
              <w:rStyle w:val="8"/>
              <w:rFonts w:ascii="Times New Roman" w:hAnsi="Times New Roman" w:cs="Times New Roman"/>
              <w:sz w:val="24"/>
              <w:szCs w:val="24"/>
            </w:rPr>
            <w:t>2. Theoretical framework for Merger &amp; Acquisitions</w:t>
          </w:r>
          <w:r>
            <w:tab/>
          </w:r>
          <w:r>
            <w:fldChar w:fldCharType="begin"/>
          </w:r>
          <w:r>
            <w:instrText xml:space="preserve"> PAGEREF _Toc224817238 \h </w:instrText>
          </w:r>
          <w:r>
            <w:fldChar w:fldCharType="separate"/>
          </w:r>
          <w:r>
            <w:t>4</w:t>
          </w:r>
          <w:r>
            <w:fldChar w:fldCharType="end"/>
          </w:r>
          <w:r>
            <w:fldChar w:fldCharType="end"/>
          </w:r>
        </w:p>
        <w:p w14:paraId="3392159F">
          <w:pPr>
            <w:pStyle w:val="4"/>
          </w:pPr>
          <w:r>
            <w:fldChar w:fldCharType="begin"/>
          </w:r>
          <w:r>
            <w:instrText xml:space="preserve"> HYPERLINK \l "_Toc224817239" </w:instrText>
          </w:r>
          <w:r>
            <w:fldChar w:fldCharType="separate"/>
          </w:r>
          <w:r>
            <w:rPr>
              <w:rStyle w:val="8"/>
              <w:rFonts w:ascii="Times New Roman" w:hAnsi="Times New Roman" w:cs="Times New Roman"/>
              <w:sz w:val="24"/>
              <w:szCs w:val="24"/>
            </w:rPr>
            <w:t>3. Analysis of M&amp;S Acquisition of Gist</w:t>
          </w:r>
          <w:r>
            <w:tab/>
          </w:r>
          <w:r>
            <w:fldChar w:fldCharType="begin"/>
          </w:r>
          <w:r>
            <w:instrText xml:space="preserve"> PAGEREF _Toc224817239 \h </w:instrText>
          </w:r>
          <w:r>
            <w:fldChar w:fldCharType="separate"/>
          </w:r>
          <w:r>
            <w:t>5</w:t>
          </w:r>
          <w:r>
            <w:fldChar w:fldCharType="end"/>
          </w:r>
          <w:r>
            <w:fldChar w:fldCharType="end"/>
          </w:r>
        </w:p>
        <w:p w14:paraId="06544983">
          <w:pPr>
            <w:pStyle w:val="5"/>
            <w:tabs>
              <w:tab w:val="right" w:leader="dot" w:pos="9016"/>
            </w:tabs>
            <w:spacing w:before="120" w:after="240" w:line="360" w:lineRule="auto"/>
            <w:rPr>
              <w:rFonts w:ascii="Times New Roman" w:hAnsi="Times New Roman" w:cs="Times New Roman"/>
              <w:sz w:val="24"/>
              <w:szCs w:val="24"/>
            </w:rPr>
          </w:pPr>
          <w:r>
            <w:fldChar w:fldCharType="begin"/>
          </w:r>
          <w:r>
            <w:instrText xml:space="preserve"> HYPERLINK \l "_Toc224817240" </w:instrText>
          </w:r>
          <w:r>
            <w:fldChar w:fldCharType="separate"/>
          </w:r>
          <w:r>
            <w:rPr>
              <w:rStyle w:val="8"/>
              <w:rFonts w:ascii="Times New Roman" w:hAnsi="Times New Roman" w:cs="Times New Roman"/>
              <w:sz w:val="24"/>
              <w:szCs w:val="24"/>
            </w:rPr>
            <w:t>3.1 Economies of Scale &amp; Cost Efficiency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_Toc224817240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A94CFE9">
          <w:pPr>
            <w:pStyle w:val="5"/>
            <w:tabs>
              <w:tab w:val="right" w:leader="dot" w:pos="9016"/>
            </w:tabs>
            <w:spacing w:before="120" w:after="240" w:line="360" w:lineRule="auto"/>
            <w:rPr>
              <w:rFonts w:ascii="Times New Roman" w:hAnsi="Times New Roman" w:cs="Times New Roman"/>
              <w:sz w:val="24"/>
              <w:szCs w:val="24"/>
            </w:rPr>
          </w:pPr>
          <w:r>
            <w:fldChar w:fldCharType="begin"/>
          </w:r>
          <w:r>
            <w:instrText xml:space="preserve"> HYPERLINK \l "_Toc224817241" </w:instrText>
          </w:r>
          <w:r>
            <w:fldChar w:fldCharType="separate"/>
          </w:r>
          <w:r>
            <w:rPr>
              <w:rStyle w:val="8"/>
              <w:rFonts w:ascii="Times New Roman" w:hAnsi="Times New Roman" w:cs="Times New Roman"/>
              <w:sz w:val="24"/>
              <w:szCs w:val="24"/>
            </w:rPr>
            <w:t>3.2 Elimination of Inefficiencies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_Toc224817241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9F9115E">
          <w:pPr>
            <w:pStyle w:val="5"/>
            <w:tabs>
              <w:tab w:val="right" w:leader="dot" w:pos="9016"/>
            </w:tabs>
            <w:spacing w:before="120" w:after="240" w:line="360" w:lineRule="auto"/>
            <w:rPr>
              <w:rFonts w:ascii="Times New Roman" w:hAnsi="Times New Roman" w:cs="Times New Roman"/>
              <w:sz w:val="24"/>
              <w:szCs w:val="24"/>
            </w:rPr>
          </w:pPr>
          <w:r>
            <w:fldChar w:fldCharType="begin"/>
          </w:r>
          <w:r>
            <w:instrText xml:space="preserve"> HYPERLINK \l "_Toc224817242" </w:instrText>
          </w:r>
          <w:r>
            <w:fldChar w:fldCharType="separate"/>
          </w:r>
          <w:r>
            <w:rPr>
              <w:rStyle w:val="8"/>
              <w:rFonts w:ascii="Times New Roman" w:hAnsi="Times New Roman" w:cs="Times New Roman"/>
              <w:sz w:val="24"/>
              <w:szCs w:val="24"/>
            </w:rPr>
            <w:t>3.3 Surplus Cash &amp; Financial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_Toc224817242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31C4514">
          <w:pPr>
            <w:pStyle w:val="5"/>
            <w:tabs>
              <w:tab w:val="right" w:leader="dot" w:pos="9016"/>
            </w:tabs>
            <w:spacing w:before="120" w:after="240" w:line="360" w:lineRule="auto"/>
            <w:rPr>
              <w:rFonts w:ascii="Times New Roman" w:hAnsi="Times New Roman" w:cs="Times New Roman"/>
              <w:sz w:val="24"/>
              <w:szCs w:val="24"/>
            </w:rPr>
          </w:pPr>
          <w:r>
            <w:fldChar w:fldCharType="begin"/>
          </w:r>
          <w:r>
            <w:instrText xml:space="preserve"> HYPERLINK \l "_Toc224817243" </w:instrText>
          </w:r>
          <w:r>
            <w:fldChar w:fldCharType="separate"/>
          </w:r>
          <w:r>
            <w:rPr>
              <w:rStyle w:val="8"/>
              <w:rFonts w:ascii="Times New Roman" w:hAnsi="Times New Roman" w:cs="Times New Roman"/>
              <w:sz w:val="24"/>
              <w:szCs w:val="24"/>
            </w:rPr>
            <w:t>3.4 Increased Market Power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_Toc224817243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E92C265">
          <w:pPr>
            <w:pStyle w:val="5"/>
            <w:tabs>
              <w:tab w:val="right" w:leader="dot" w:pos="9016"/>
            </w:tabs>
            <w:spacing w:before="120" w:after="240" w:line="360" w:lineRule="auto"/>
            <w:rPr>
              <w:rFonts w:ascii="Times New Roman" w:hAnsi="Times New Roman" w:cs="Times New Roman"/>
              <w:sz w:val="24"/>
              <w:szCs w:val="24"/>
            </w:rPr>
          </w:pPr>
          <w:r>
            <w:fldChar w:fldCharType="begin"/>
          </w:r>
          <w:r>
            <w:instrText xml:space="preserve"> HYPERLINK \l "_Toc224817244" </w:instrText>
          </w:r>
          <w:r>
            <w:fldChar w:fldCharType="separate"/>
          </w:r>
          <w:r>
            <w:rPr>
              <w:rStyle w:val="8"/>
              <w:rFonts w:ascii="Times New Roman" w:hAnsi="Times New Roman" w:cs="Times New Roman"/>
              <w:sz w:val="24"/>
              <w:szCs w:val="24"/>
            </w:rPr>
            <w:t>3.5 Combining Complementary Resources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_Toc224817244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F386407">
          <w:pPr>
            <w:pStyle w:val="5"/>
            <w:tabs>
              <w:tab w:val="right" w:leader="dot" w:pos="9016"/>
            </w:tabs>
            <w:spacing w:before="120" w:after="240" w:line="360" w:lineRule="auto"/>
            <w:rPr>
              <w:rFonts w:ascii="Times New Roman" w:hAnsi="Times New Roman" w:cs="Times New Roman"/>
              <w:sz w:val="24"/>
              <w:szCs w:val="24"/>
            </w:rPr>
          </w:pPr>
          <w:r>
            <w:fldChar w:fldCharType="begin"/>
          </w:r>
          <w:r>
            <w:instrText xml:space="preserve"> HYPERLINK \l "_Toc224817245" </w:instrText>
          </w:r>
          <w:r>
            <w:fldChar w:fldCharType="separate"/>
          </w:r>
          <w:r>
            <w:rPr>
              <w:rStyle w:val="8"/>
              <w:rFonts w:ascii="Times New Roman" w:hAnsi="Times New Roman" w:cs="Times New Roman"/>
              <w:sz w:val="24"/>
              <w:szCs w:val="24"/>
            </w:rPr>
            <w:t>3.6 Speed of Growth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_Toc224817245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1621105">
          <w:pPr>
            <w:pStyle w:val="5"/>
            <w:tabs>
              <w:tab w:val="right" w:leader="dot" w:pos="9016"/>
            </w:tabs>
            <w:spacing w:before="120" w:after="240" w:line="360" w:lineRule="auto"/>
            <w:rPr>
              <w:rFonts w:ascii="Times New Roman" w:hAnsi="Times New Roman" w:cs="Times New Roman"/>
              <w:sz w:val="24"/>
              <w:szCs w:val="24"/>
            </w:rPr>
          </w:pPr>
          <w:r>
            <w:fldChar w:fldCharType="begin"/>
          </w:r>
          <w:r>
            <w:instrText xml:space="preserve"> HYPERLINK \l "_Toc224817246" </w:instrText>
          </w:r>
          <w:r>
            <w:fldChar w:fldCharType="separate"/>
          </w:r>
          <w:r>
            <w:rPr>
              <w:rStyle w:val="8"/>
              <w:rFonts w:ascii="Times New Roman" w:hAnsi="Times New Roman" w:cs="Times New Roman"/>
              <w:sz w:val="24"/>
              <w:szCs w:val="24"/>
            </w:rPr>
            <w:t>3.7 Financial Benefits &amp; Performance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_Toc224817246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A33DAA9">
          <w:pPr>
            <w:pStyle w:val="5"/>
            <w:tabs>
              <w:tab w:val="right" w:leader="dot" w:pos="9016"/>
            </w:tabs>
            <w:spacing w:before="120" w:after="240" w:line="360" w:lineRule="auto"/>
            <w:rPr>
              <w:rFonts w:ascii="Times New Roman" w:hAnsi="Times New Roman" w:cs="Times New Roman"/>
              <w:sz w:val="24"/>
              <w:szCs w:val="24"/>
            </w:rPr>
          </w:pPr>
          <w:r>
            <w:fldChar w:fldCharType="begin"/>
          </w:r>
          <w:r>
            <w:instrText xml:space="preserve"> HYPERLINK \l "_Toc224817247" </w:instrText>
          </w:r>
          <w:r>
            <w:fldChar w:fldCharType="separate"/>
          </w:r>
          <w:r>
            <w:rPr>
              <w:rStyle w:val="8"/>
              <w:rFonts w:ascii="Times New Roman" w:hAnsi="Times New Roman" w:cs="Times New Roman"/>
              <w:sz w:val="24"/>
              <w:szCs w:val="24"/>
            </w:rPr>
            <w:t>3.8 Diversification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_Toc224817247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2586A2C">
          <w:pPr>
            <w:pStyle w:val="5"/>
            <w:tabs>
              <w:tab w:val="right" w:leader="dot" w:pos="9016"/>
            </w:tabs>
            <w:spacing w:before="120" w:after="240" w:line="360" w:lineRule="auto"/>
            <w:rPr>
              <w:rFonts w:ascii="Times New Roman" w:hAnsi="Times New Roman" w:cs="Times New Roman"/>
              <w:sz w:val="24"/>
              <w:szCs w:val="24"/>
            </w:rPr>
          </w:pPr>
          <w:r>
            <w:fldChar w:fldCharType="begin"/>
          </w:r>
          <w:r>
            <w:instrText xml:space="preserve"> HYPERLINK \l "_Toc224817248" </w:instrText>
          </w:r>
          <w:r>
            <w:fldChar w:fldCharType="separate"/>
          </w:r>
          <w:r>
            <w:rPr>
              <w:rStyle w:val="8"/>
              <w:rFonts w:ascii="Times New Roman" w:hAnsi="Times New Roman" w:cs="Times New Roman"/>
              <w:sz w:val="24"/>
              <w:szCs w:val="24"/>
            </w:rPr>
            <w:t>3.9 Regulatory Framework</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_Toc224817248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4EDFF96">
          <w:pPr>
            <w:pStyle w:val="5"/>
            <w:tabs>
              <w:tab w:val="right" w:leader="dot" w:pos="9016"/>
            </w:tabs>
            <w:spacing w:before="120" w:after="240" w:line="360" w:lineRule="auto"/>
            <w:rPr>
              <w:rFonts w:ascii="Times New Roman" w:hAnsi="Times New Roman" w:cs="Times New Roman"/>
              <w:sz w:val="24"/>
              <w:szCs w:val="24"/>
            </w:rPr>
          </w:pPr>
          <w:r>
            <w:fldChar w:fldCharType="begin"/>
          </w:r>
          <w:r>
            <w:instrText xml:space="preserve"> HYPERLINK \l "_Toc224817249" </w:instrText>
          </w:r>
          <w:r>
            <w:fldChar w:fldCharType="separate"/>
          </w:r>
          <w:r>
            <w:rPr>
              <w:rStyle w:val="8"/>
              <w:rFonts w:ascii="Times New Roman" w:hAnsi="Times New Roman" w:cs="Times New Roman"/>
              <w:sz w:val="24"/>
              <w:szCs w:val="24"/>
            </w:rPr>
            <w:t>3.10 Shareholder Wealth Impact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_Toc224817249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9730304">
          <w:pPr>
            <w:pStyle w:val="4"/>
          </w:pPr>
          <w:r>
            <w:fldChar w:fldCharType="begin"/>
          </w:r>
          <w:r>
            <w:instrText xml:space="preserve"> HYPERLINK \l "_Toc224817250" </w:instrText>
          </w:r>
          <w:r>
            <w:fldChar w:fldCharType="separate"/>
          </w:r>
          <w:r>
            <w:rPr>
              <w:rStyle w:val="8"/>
              <w:rFonts w:ascii="Times New Roman" w:hAnsi="Times New Roman" w:cs="Times New Roman"/>
              <w:sz w:val="24"/>
              <w:szCs w:val="24"/>
            </w:rPr>
            <w:t>4. Critical Evaluation</w:t>
          </w:r>
          <w:r>
            <w:tab/>
          </w:r>
          <w:r>
            <w:fldChar w:fldCharType="begin"/>
          </w:r>
          <w:r>
            <w:instrText xml:space="preserve"> PAGEREF _Toc224817250 \h </w:instrText>
          </w:r>
          <w:r>
            <w:fldChar w:fldCharType="separate"/>
          </w:r>
          <w:r>
            <w:t>10</w:t>
          </w:r>
          <w:r>
            <w:fldChar w:fldCharType="end"/>
          </w:r>
          <w:r>
            <w:fldChar w:fldCharType="end"/>
          </w:r>
        </w:p>
        <w:p w14:paraId="4C47B560">
          <w:pPr>
            <w:pStyle w:val="4"/>
          </w:pPr>
          <w:r>
            <w:fldChar w:fldCharType="begin"/>
          </w:r>
          <w:r>
            <w:instrText xml:space="preserve"> HYPERLINK \l "_Toc224817251" </w:instrText>
          </w:r>
          <w:r>
            <w:fldChar w:fldCharType="separate"/>
          </w:r>
          <w:r>
            <w:rPr>
              <w:rStyle w:val="8"/>
              <w:rFonts w:ascii="Times New Roman" w:hAnsi="Times New Roman" w:cs="Times New Roman"/>
              <w:sz w:val="24"/>
              <w:szCs w:val="24"/>
            </w:rPr>
            <w:t>5. Conclusion</w:t>
          </w:r>
          <w:r>
            <w:tab/>
          </w:r>
          <w:r>
            <w:fldChar w:fldCharType="begin"/>
          </w:r>
          <w:r>
            <w:instrText xml:space="preserve"> PAGEREF _Toc224817251 \h </w:instrText>
          </w:r>
          <w:r>
            <w:fldChar w:fldCharType="separate"/>
          </w:r>
          <w:r>
            <w:t>11</w:t>
          </w:r>
          <w:r>
            <w:fldChar w:fldCharType="end"/>
          </w:r>
          <w:r>
            <w:fldChar w:fldCharType="end"/>
          </w:r>
        </w:p>
        <w:p w14:paraId="760606B4">
          <w:pPr>
            <w:pStyle w:val="4"/>
          </w:pPr>
          <w:r>
            <w:fldChar w:fldCharType="begin"/>
          </w:r>
          <w:r>
            <w:instrText xml:space="preserve"> HYPERLINK \l "_Toc224817252" </w:instrText>
          </w:r>
          <w:r>
            <w:fldChar w:fldCharType="separate"/>
          </w:r>
          <w:r>
            <w:rPr>
              <w:rStyle w:val="8"/>
              <w:rFonts w:ascii="Times New Roman" w:hAnsi="Times New Roman" w:cs="Times New Roman"/>
              <w:sz w:val="24"/>
              <w:szCs w:val="24"/>
            </w:rPr>
            <w:t>References</w:t>
          </w:r>
          <w:r>
            <w:tab/>
          </w:r>
          <w:r>
            <w:fldChar w:fldCharType="begin"/>
          </w:r>
          <w:r>
            <w:instrText xml:space="preserve"> PAGEREF _Toc224817252 \h </w:instrText>
          </w:r>
          <w:r>
            <w:fldChar w:fldCharType="separate"/>
          </w:r>
          <w:r>
            <w:t>12</w:t>
          </w:r>
          <w:r>
            <w:fldChar w:fldCharType="end"/>
          </w:r>
          <w:r>
            <w:fldChar w:fldCharType="end"/>
          </w:r>
        </w:p>
        <w:p w14:paraId="603C17A2">
          <w:pPr>
            <w:spacing w:before="120" w:after="240" w:line="360" w:lineRule="auto"/>
            <w:rPr>
              <w:rFonts w:ascii="Times New Roman" w:hAnsi="Times New Roman" w:cs="Times New Roman"/>
              <w:sz w:val="24"/>
              <w:szCs w:val="24"/>
            </w:rPr>
          </w:pPr>
          <w:r>
            <w:rPr>
              <w:rFonts w:ascii="Times New Roman" w:hAnsi="Times New Roman" w:cs="Times New Roman"/>
              <w:b/>
              <w:bCs/>
              <w:sz w:val="24"/>
              <w:szCs w:val="24"/>
            </w:rPr>
            <w:fldChar w:fldCharType="end"/>
          </w:r>
        </w:p>
      </w:sdtContent>
    </w:sdt>
    <w:p w14:paraId="7C637F95">
      <w:pPr>
        <w:spacing w:before="120" w:after="240"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10228040">
      <w:pPr>
        <w:pStyle w:val="2"/>
        <w:spacing w:before="120" w:after="240"/>
        <w:rPr>
          <w:lang w:val="en-GB"/>
        </w:rPr>
      </w:pPr>
      <w:bookmarkStart w:id="1" w:name="_Toc224817237"/>
      <w:r>
        <w:rPr>
          <w:lang w:val="en-GB"/>
        </w:rPr>
        <w:t>1. Introduction</w:t>
      </w:r>
      <w:bookmarkEnd w:id="1"/>
      <w:r>
        <w:rPr>
          <w:lang w:val="en-GB"/>
        </w:rPr>
        <w:t xml:space="preserve"> </w:t>
      </w:r>
    </w:p>
    <w:p w14:paraId="169EDA50">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Mergers and acquisitions (M&amp;A) represent some of the most common strategic instruments helping companies to improve their efficiency, gain strength, and generate shareholder value. According to the existing literature, the organisations are engaged in M&amp;A with numerous reasons such as gaining synergy, increasing power in the market, enhancing efficiency, and diversification, which are likely to enhance the financial performance and its sustainability over the long run (Apreku-Djan et al., 2022). To a great extent, these motives are based on the theories of value-creation, prioritising cost savings, integration of resources, and better operational control as the major factors of successful acquisitions.</w:t>
      </w:r>
    </w:p>
    <w:p w14:paraId="6729F857">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In this the Marks and Spencer group plc (M&amp;S) purchased Gist Limited in 2022 at an approximate cost of £145 million which is strategic to internalize its food logistic operation. The takeover was meant to enhance the efficiency of supply chains, lower the operation costs and increase the supply and quality of products (Marks and Spencer, 2022). Other major external disruptions also affected this strategic move such as the Brexit, the COVID-19 pandemic, and labour shortages which revealed weaknesses in outsourced supply chain models (Reuters, 2022). With these motives in mind, the acquisition gives a topical example to investigate whether theoretical motives of M&amp;A are transformed into actual performance results. Consequently, this report has critically analysed the success of the acquisition of Gist Limited by M&amp;S through the analysis of its effect on operational efficiency, financial performance as well as long term strategic positioning.</w:t>
      </w:r>
    </w:p>
    <w:p w14:paraId="5029142C">
      <w:pPr>
        <w:pStyle w:val="2"/>
        <w:spacing w:before="120" w:after="240"/>
        <w:rPr>
          <w:lang w:val="en-GB"/>
        </w:rPr>
      </w:pPr>
      <w:bookmarkStart w:id="2" w:name="_Toc224817238"/>
      <w:r>
        <w:rPr>
          <w:lang w:val="en-GB"/>
        </w:rPr>
        <w:t>2. Theoretical framework for Merger &amp; Acquisitions</w:t>
      </w:r>
      <w:bookmarkEnd w:id="2"/>
      <w:r>
        <w:rPr>
          <w:lang w:val="en-GB"/>
        </w:rPr>
        <w:t xml:space="preserve"> </w:t>
      </w:r>
    </w:p>
    <w:p w14:paraId="52F7AB68">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conceptual bases of mergers and acquisitions (M&amp;A) are conceptualized in the context of multiple approaches that explain the reasons behind external expansion by firms. These views indicate that decisions on M&amp;A are motivated by the value creating goals as well as the managerial goals. Among the most notable ones is the theory of synergy, which states that the value of two companies can be more than that of isolated companies due to the reduction of costs, the advantages of the economy of scale, the advantages of the scope, and the increase of revenues (Feldman, 2022; Hernandez, 2022). The reason behind most acquisitions is synergy henceforth.</w:t>
      </w:r>
    </w:p>
    <w:p w14:paraId="0277A34E">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Related closely with this is the efficiency theory, which argues that companies engage in M&amp;A to increase efficiency in their operation through duplication elimination and reduction of costs as well as more efficient utilisation of resources (Malik &amp; Kumar, 2025). Similarly, the market power theory describes M&amp;A as a measure to enhance market presence, decrease competition, and obtain more power to control prices and industry terms (Malik and Kumar, 2025). Although both theories focus on value creation, there are other issues that anti-competitive behaviour and regulation put forward by the market power arguments.</w:t>
      </w:r>
    </w:p>
    <w:p w14:paraId="42C097BD">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Strategically, the resource-based perspective contends that companies merge with other businesses with the aim of acquiring valuable, rare and non-easy to replicate resources that could be expensive or time-consuming to develop in-house (Malik &amp; Kumar, 2025). In this perspective, acquisitions are appealing when the target has supplementary abilities that enhance the competitive advantage. All purchase and sales are not done to enhance shareholder value, however. Agency theory offers an overview that is more critical in that it argues that managers might engage in acquiring businesses on self-interested grounds, including the need to build an empire, prestige, or personal gain when such acquisitions do not maximise shareholder wealth (Malik &amp; Kumar, 2025).</w:t>
      </w:r>
    </w:p>
    <w:p w14:paraId="718A1489">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Notably, motives of M&amp;A are hardly ever single. Studies demonstrate that most acquisitions have various overlapping strategic, financial, and behavioural interests, which contributes to understanding why post-acquisition results prove to be mixed (Irwin et al., 2025). In general, M&amp;A should be considered as a combination of economic, strategic, and behavioural theories and not only one of them.</w:t>
      </w:r>
    </w:p>
    <w:p w14:paraId="5942CBAC">
      <w:pPr>
        <w:pStyle w:val="2"/>
        <w:spacing w:before="120" w:after="240"/>
        <w:rPr>
          <w:lang w:val="en-GB"/>
        </w:rPr>
      </w:pPr>
      <w:bookmarkStart w:id="3" w:name="_Toc224817239"/>
      <w:r>
        <w:rPr>
          <w:lang w:val="en-GB"/>
        </w:rPr>
        <w:t>3. Analysis of M&amp;S Acquisition of Gist</w:t>
      </w:r>
      <w:bookmarkEnd w:id="3"/>
    </w:p>
    <w:p w14:paraId="728C61B8">
      <w:pPr>
        <w:pStyle w:val="3"/>
        <w:spacing w:before="120" w:after="240"/>
      </w:pPr>
      <w:bookmarkStart w:id="4" w:name="_Toc224817240"/>
      <w:r>
        <w:t>3.1 Economies of Scale &amp; Cost Efficiency</w:t>
      </w:r>
      <w:bookmarkEnd w:id="4"/>
      <w:bookmarkStart w:id="5" w:name="_Toc224817241"/>
    </w:p>
    <w:p w14:paraId="0E8DC0B0">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process of acquiring Gist helped Marks and Spencer (M&amp;S) to achieve economies of scale through internalisation of logistics operations and distribution costs of the food are spread on a larger volume of food sales. Economies of scale occur when the cost of units of production decreases as a result of a fixed cost being absorbed and operational specialisation (McGee, 2014). After the takeover, M&amp;S made nearly £180 million in structural savings of its costs, including distribution and warehousing expenses as a fraction of sales fell thanks to the increased efficiency of logistics (Marks and Spencer, 2024). The developed infrastructure of Gist had given M&amp;S the opportunity to take advantage of bulk buying, consolidated deliveries and decreased duplication of third-party service expenses (Food Manufacture, 2022). This scale advantage further enhanced the flow and availability of the stock allowing increased sales volume and additional costs absorbance. Thus, the acquisition illustrates that vertical integration has the capability of creating cost efficiency in terms of scale of operation as well as resource utilisation.</w:t>
      </w:r>
    </w:p>
    <w:p w14:paraId="6F25E8B1">
      <w:pPr>
        <w:pStyle w:val="3"/>
        <w:spacing w:before="120" w:after="240"/>
      </w:pPr>
      <w:r>
        <w:t>3.2 Elimination of Inefficiencies</w:t>
      </w:r>
      <w:bookmarkEnd w:id="5"/>
      <w:bookmarkStart w:id="6" w:name="_Toc224817242"/>
    </w:p>
    <w:p w14:paraId="1C5CB674">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acquisition of Gist has helped Marks and Spencer (M&amp;S) to remove structural inefficiencies related to its previous logistics model that was outsourced. Before the acquisition, dependence on third-party providers resulted in a lack of coordination, duplication and segmented supply chain visibility. Internalisation of logistics operations enhanced end-to-end integration at M&amp;S, minimizing delays, imbalances in inventories, and administrative duplication (Marks and Spencer, 2022). This is in line with the supply chain integration theory that postulates that effective material and information flows increase efficiency, minimize costs in the system (Christopher, 2011). Moreover, the purchase has eliminated restrictions of the old contracts and increased responsiveness of operations, which allowed moving stocks faster and making them more available (Yahoo Finance, 2022). Consequently, logistical organisms that had inefficiencies were minimised thus helping to optimise the overall cost.</w:t>
      </w:r>
    </w:p>
    <w:p w14:paraId="2BD04633">
      <w:pPr>
        <w:pStyle w:val="3"/>
        <w:spacing w:before="120" w:after="240"/>
      </w:pPr>
      <w:r>
        <w:t>3.3 Surplus Cash &amp; Financial Strategy</w:t>
      </w:r>
      <w:bookmarkEnd w:id="6"/>
    </w:p>
    <w:p w14:paraId="7021E5F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Gist acquisition is also an indication of strategic utilization of excess cash instead of paying the shareholders with all the excess cash. It is said that in the case of free cash flow theory, companies that have more money than they need to invest tend to acquire other companies to utilise the idle capital even though it is not necessarily in the best interest of shareholders (Jensen, 1986). M&amp;S has spent about PS145 million to acquire Gist in order to enhance its food supply chain and optimize its operations (Marks and Spencer, 2022; Daily Business Group, 2022). Although this investment helped in vertical integration and cost management, the alternative they could have pursued could have been to repatriate cash to shareholders or invest in growth opportunities that yield more cash. Thus, the acquisition will be a strategic reinvestment and a possible opportunity cost in capital allocation decision-making.</w:t>
      </w:r>
    </w:p>
    <w:p w14:paraId="5F814ED0">
      <w:pPr>
        <w:pStyle w:val="3"/>
        <w:spacing w:before="120" w:after="240"/>
      </w:pPr>
      <w:bookmarkStart w:id="7" w:name="_Toc224817243"/>
      <w:r>
        <w:t>3.4 Increased Market Power</w:t>
      </w:r>
      <w:bookmarkEnd w:id="7"/>
    </w:p>
    <w:p w14:paraId="7EB9600B">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purchase of Gist gave Marks and Spencer (M&amp;S) an increased market power through a vertical integration of a logistic network with more than 8 primary and 10 secondary distribution centres in the UK, which gave it a direct control over the supply of food (Nazir, 2022). This improves reliance on the third-party providers and improves the coordination of its food value chain. The purchase has enabled M&amp;S to enhance product availability and responsiveness in the event of a disruption, which is crucially important in the UK, which is very competitive in the grocery industry (Parr, 2022). Moreover, complete control over logistics activities makes it possible to achieve cost-efficiency and strategic flexibility, which contributes to long-term growth objectives (Marks and Spencer, 2022). Theoretically, this kind of resource control can be used to increase competitive advantage, by increasing operational efficiency and reinforce market positioning.</w:t>
      </w:r>
    </w:p>
    <w:p w14:paraId="28A68813">
      <w:pPr>
        <w:pStyle w:val="3"/>
        <w:spacing w:before="120" w:after="240"/>
      </w:pPr>
      <w:bookmarkStart w:id="8" w:name="_Toc224817244"/>
      <w:r>
        <w:t>3.5 Combining Complementary Resources</w:t>
      </w:r>
      <w:bookmarkEnd w:id="8"/>
    </w:p>
    <w:p w14:paraId="17BF00F8">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takeover of Gist by Marks and Spencer (M&amp;S) can be interpreted as a good example of complementary resources combining according to the Resource-Based View (RBV). M&amp;S brings Marks and Spencer strong retail brand, stores network and growing food business, whereas Gist brings specialised logistics, such as temperature-controlled supply chain management and a workforce of around 5,800 employees (Marks and Spencer, 2022). The operational strength of £55 million in EBITDA that Gist has created before the acquisition also indicates that it is a strong company (Marks and Spencer, 2022). Since acquiring the two companies, the integration helped to form integrated logistics and export teams which expanded its capabilities to distribute food across countries and comply with Brexit (Cold Chain News, 2023). The combination has seen the company attain class-leading export and supply chain capabilities, which show how unique firm-specific resources could be combined to give rise to sustained competitive advantage (Gist, n.d.). Thus, the acquisition is an expression of RBV logic where value is generated out of resource complementarities and not single assets.</w:t>
      </w:r>
    </w:p>
    <w:p w14:paraId="1594E930">
      <w:pPr>
        <w:pStyle w:val="3"/>
        <w:spacing w:before="120" w:after="240"/>
      </w:pPr>
      <w:bookmarkStart w:id="9" w:name="_Toc224817245"/>
      <w:r>
        <w:t>3.6 Speed of Growth</w:t>
      </w:r>
      <w:bookmarkEnd w:id="9"/>
    </w:p>
    <w:p w14:paraId="0CC287AB">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Acquisition of Gist has helped Marks and Spencer (M&amp;S) grow faster than its organic growth which was slower. The merger was anticipated to be accretive in earnings per share (EPS) in the first year, which means it would yield financial gains instantly and not in the long run (Marks and Spencer, 2022). After the acquisition, M&amp;S announced £ 180 millions of savings and 45.6 percent and 33.8 percent growths in adjusted EPS and operating profit, respectively, which demonstrates fastened improvements in operations (Marks and Spencer, 2024). Also, the integration provided a so-called quick payback, which proved to be faster in value realisation (Container News, 2022). This emphasizes the fact that acquisitions allow a company to achieve faster scalabilities and efficiency gains as compared to organic growth strategies.</w:t>
      </w:r>
    </w:p>
    <w:p w14:paraId="1DDB6B90">
      <w:pPr>
        <w:pStyle w:val="3"/>
        <w:spacing w:before="120" w:after="240"/>
      </w:pPr>
      <w:bookmarkStart w:id="10" w:name="_Toc224817246"/>
      <w:r>
        <w:t>3.7 Financial Benefits &amp; Performance</w:t>
      </w:r>
      <w:bookmarkEnd w:id="10"/>
      <w:bookmarkStart w:id="11" w:name="_Toc224817247"/>
    </w:p>
    <w:p w14:paraId="05BA2EE2">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financial effectiveness of this Gist acquisition can be better understood when the performance of Marks and Spencer (M&amp;S) is compared prior to and after the acquisition. An analysis of FY2022 and FY2024 shows that there were considerable gains in profitability, efficiency, and revenue, which suggests the realisation of synergies and not anticipated gains.</w:t>
      </w:r>
    </w:p>
    <w:p w14:paraId="52A55716">
      <w:pPr>
        <w:spacing w:before="120" w:after="240" w:line="360" w:lineRule="auto"/>
        <w:jc w:val="both"/>
        <w:rPr>
          <w:rFonts w:ascii="Times New Roman" w:hAnsi="Times New Roman" w:cs="Times New Roman"/>
          <w:b/>
          <w:bCs/>
          <w:sz w:val="24"/>
          <w:szCs w:val="24"/>
        </w:rPr>
      </w:pPr>
      <w:r>
        <w:rPr>
          <w:rFonts w:ascii="Times New Roman" w:hAnsi="Times New Roman" w:cs="Times New Roman"/>
          <w:b/>
          <w:bCs/>
          <w:sz w:val="24"/>
          <w:szCs w:val="24"/>
        </w:rPr>
        <w:t>Table 1: Financial Performance Comparison (Pre vs Post Acquisition)</w:t>
      </w:r>
    </w:p>
    <w:tbl>
      <w:tblPr>
        <w:tblStyle w:val="10"/>
        <w:tblW w:w="5000" w:type="pct"/>
        <w:tblInd w:w="0" w:type="dxa"/>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Layout w:type="autofit"/>
        <w:tblCellMar>
          <w:top w:w="0" w:type="dxa"/>
          <w:left w:w="108" w:type="dxa"/>
          <w:bottom w:w="0" w:type="dxa"/>
          <w:right w:w="108" w:type="dxa"/>
        </w:tblCellMar>
      </w:tblPr>
      <w:tblGrid>
        <w:gridCol w:w="3296"/>
        <w:gridCol w:w="2069"/>
        <w:gridCol w:w="2154"/>
        <w:gridCol w:w="1003"/>
      </w:tblGrid>
      <w:tr w14:paraId="063802A8">
        <w:tblPrEx>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CellMar>
            <w:top w:w="0" w:type="dxa"/>
            <w:left w:w="108" w:type="dxa"/>
            <w:bottom w:w="0" w:type="dxa"/>
            <w:right w:w="108" w:type="dxa"/>
          </w:tblCellMar>
        </w:tblPrEx>
        <w:tc>
          <w:tcPr>
            <w:tcW w:w="1937" w:type="pct"/>
            <w:tcBorders>
              <w:top w:val="single" w:color="4874CB" w:themeColor="accent1" w:sz="4" w:space="0"/>
              <w:left w:val="single" w:color="4874CB" w:themeColor="accent1" w:sz="4" w:space="0"/>
              <w:bottom w:val="single" w:color="4874CB" w:themeColor="accent1" w:sz="4" w:space="0"/>
              <w:right w:val="nil"/>
              <w:insideH w:val="single" w:sz="4" w:space="0"/>
              <w:insideV w:val="nil"/>
            </w:tcBorders>
            <w:shd w:val="clear" w:color="auto" w:fill="4874CB" w:themeFill="accent1"/>
          </w:tcPr>
          <w:p w14:paraId="2C0ACFAB">
            <w:pPr>
              <w:spacing w:before="120" w:after="24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Metric</w:t>
            </w:r>
          </w:p>
        </w:tc>
        <w:tc>
          <w:tcPr>
            <w:tcW w:w="1216" w:type="pct"/>
            <w:tcBorders>
              <w:top w:val="single" w:color="4874CB" w:themeColor="accent1" w:sz="4" w:space="0"/>
              <w:bottom w:val="single" w:color="4874CB" w:themeColor="accent1" w:sz="4" w:space="0"/>
              <w:right w:val="nil"/>
              <w:insideH w:val="single" w:sz="4" w:space="0"/>
              <w:insideV w:val="nil"/>
            </w:tcBorders>
            <w:shd w:val="clear" w:color="auto" w:fill="4874CB" w:themeFill="accent1"/>
          </w:tcPr>
          <w:p w14:paraId="35CDA372">
            <w:pPr>
              <w:spacing w:before="120" w:after="24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FY2022 (Pre-Gist)</w:t>
            </w:r>
          </w:p>
        </w:tc>
        <w:tc>
          <w:tcPr>
            <w:tcW w:w="1266" w:type="pct"/>
            <w:tcBorders>
              <w:top w:val="single" w:color="4874CB" w:themeColor="accent1" w:sz="4" w:space="0"/>
              <w:bottom w:val="single" w:color="4874CB" w:themeColor="accent1" w:sz="4" w:space="0"/>
              <w:right w:val="nil"/>
              <w:insideH w:val="single" w:sz="4" w:space="0"/>
              <w:insideV w:val="nil"/>
            </w:tcBorders>
            <w:shd w:val="clear" w:color="auto" w:fill="4874CB" w:themeFill="accent1"/>
          </w:tcPr>
          <w:p w14:paraId="2D041B77">
            <w:pPr>
              <w:spacing w:before="120" w:after="24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FY2024 (Post-Gist)</w:t>
            </w:r>
          </w:p>
        </w:tc>
        <w:tc>
          <w:tcPr>
            <w:tcW w:w="581" w:type="pct"/>
            <w:tcBorders>
              <w:top w:val="single" w:color="4874CB" w:themeColor="accent1" w:sz="4" w:space="0"/>
              <w:bottom w:val="single" w:color="4874CB" w:themeColor="accent1" w:sz="4" w:space="0"/>
              <w:right w:val="single" w:color="4874CB" w:themeColor="accent1" w:sz="4" w:space="0"/>
              <w:insideH w:val="single" w:sz="4" w:space="0"/>
              <w:insideV w:val="nil"/>
            </w:tcBorders>
            <w:shd w:val="clear" w:color="auto" w:fill="4874CB" w:themeFill="accent1"/>
          </w:tcPr>
          <w:p w14:paraId="119E6FE9">
            <w:pPr>
              <w:spacing w:before="120" w:after="24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Change</w:t>
            </w:r>
          </w:p>
        </w:tc>
      </w:tr>
      <w:tr w14:paraId="23C41AD0">
        <w:tblPrEx>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CellMar>
            <w:top w:w="0" w:type="dxa"/>
            <w:left w:w="108" w:type="dxa"/>
            <w:bottom w:w="0" w:type="dxa"/>
            <w:right w:w="108" w:type="dxa"/>
          </w:tblCellMar>
        </w:tblPrEx>
        <w:tc>
          <w:tcPr>
            <w:tcW w:w="1937" w:type="pct"/>
            <w:shd w:val="clear" w:color="auto" w:fill="DAE3F4" w:themeFill="accent1" w:themeFillTint="33"/>
          </w:tcPr>
          <w:p w14:paraId="2DCAA5AC">
            <w:pPr>
              <w:spacing w:before="120" w:after="240" w:line="360" w:lineRule="auto"/>
              <w:jc w:val="both"/>
              <w:rPr>
                <w:rFonts w:ascii="Times New Roman" w:hAnsi="Times New Roman" w:cs="Times New Roman"/>
                <w:b w:val="0"/>
                <w:bCs w:val="0"/>
                <w:sz w:val="24"/>
                <w:szCs w:val="24"/>
              </w:rPr>
            </w:pPr>
            <w:r>
              <w:rPr>
                <w:rFonts w:ascii="Times New Roman" w:hAnsi="Times New Roman" w:cs="Times New Roman"/>
                <w:b/>
                <w:bCs/>
                <w:sz w:val="24"/>
                <w:szCs w:val="24"/>
              </w:rPr>
              <w:t>Revenue (£bn)</w:t>
            </w:r>
          </w:p>
        </w:tc>
        <w:tc>
          <w:tcPr>
            <w:tcW w:w="1216" w:type="pct"/>
            <w:shd w:val="clear" w:color="auto" w:fill="DAE3F4" w:themeFill="accent1" w:themeFillTint="33"/>
          </w:tcPr>
          <w:p w14:paraId="52428BA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10.9</w:t>
            </w:r>
          </w:p>
        </w:tc>
        <w:tc>
          <w:tcPr>
            <w:tcW w:w="1266" w:type="pct"/>
            <w:shd w:val="clear" w:color="auto" w:fill="DAE3F4" w:themeFill="accent1" w:themeFillTint="33"/>
          </w:tcPr>
          <w:p w14:paraId="5DF378A7">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13.0</w:t>
            </w:r>
          </w:p>
        </w:tc>
        <w:tc>
          <w:tcPr>
            <w:tcW w:w="581" w:type="pct"/>
            <w:shd w:val="clear" w:color="auto" w:fill="DAE3F4" w:themeFill="accent1" w:themeFillTint="33"/>
          </w:tcPr>
          <w:p w14:paraId="60687E5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+19%</w:t>
            </w:r>
          </w:p>
        </w:tc>
      </w:tr>
      <w:tr w14:paraId="2BCCF8FD">
        <w:tblPrEx>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CellMar>
            <w:top w:w="0" w:type="dxa"/>
            <w:left w:w="108" w:type="dxa"/>
            <w:bottom w:w="0" w:type="dxa"/>
            <w:right w:w="108" w:type="dxa"/>
          </w:tblCellMar>
        </w:tblPrEx>
        <w:tc>
          <w:tcPr>
            <w:tcW w:w="1937" w:type="pct"/>
          </w:tcPr>
          <w:p w14:paraId="3545686B">
            <w:pPr>
              <w:spacing w:before="120" w:after="240" w:line="360" w:lineRule="auto"/>
              <w:jc w:val="both"/>
              <w:rPr>
                <w:rFonts w:ascii="Times New Roman" w:hAnsi="Times New Roman" w:cs="Times New Roman"/>
                <w:b w:val="0"/>
                <w:bCs w:val="0"/>
                <w:sz w:val="24"/>
                <w:szCs w:val="24"/>
              </w:rPr>
            </w:pPr>
            <w:r>
              <w:rPr>
                <w:rFonts w:ascii="Times New Roman" w:hAnsi="Times New Roman" w:cs="Times New Roman"/>
                <w:b/>
                <w:bCs/>
                <w:sz w:val="24"/>
                <w:szCs w:val="24"/>
              </w:rPr>
              <w:t>Profit Before Tax (£m)</w:t>
            </w:r>
          </w:p>
        </w:tc>
        <w:tc>
          <w:tcPr>
            <w:tcW w:w="1216" w:type="pct"/>
          </w:tcPr>
          <w:p w14:paraId="42C395F5">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391.7</w:t>
            </w:r>
          </w:p>
        </w:tc>
        <w:tc>
          <w:tcPr>
            <w:tcW w:w="1266" w:type="pct"/>
          </w:tcPr>
          <w:p w14:paraId="645C9D9C">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672.5</w:t>
            </w:r>
          </w:p>
        </w:tc>
        <w:tc>
          <w:tcPr>
            <w:tcW w:w="581" w:type="pct"/>
          </w:tcPr>
          <w:p w14:paraId="5017600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+71.7%</w:t>
            </w:r>
          </w:p>
        </w:tc>
      </w:tr>
      <w:tr w14:paraId="782A74C6">
        <w:tblPrEx>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CellMar>
            <w:top w:w="0" w:type="dxa"/>
            <w:left w:w="108" w:type="dxa"/>
            <w:bottom w:w="0" w:type="dxa"/>
            <w:right w:w="108" w:type="dxa"/>
          </w:tblCellMar>
        </w:tblPrEx>
        <w:tc>
          <w:tcPr>
            <w:tcW w:w="1937" w:type="pct"/>
            <w:shd w:val="clear" w:color="auto" w:fill="DAE3F4" w:themeFill="accent1" w:themeFillTint="33"/>
          </w:tcPr>
          <w:p w14:paraId="7178DE12">
            <w:pPr>
              <w:spacing w:before="120" w:after="240" w:line="360" w:lineRule="auto"/>
              <w:jc w:val="both"/>
              <w:rPr>
                <w:rFonts w:ascii="Times New Roman" w:hAnsi="Times New Roman" w:cs="Times New Roman"/>
                <w:b w:val="0"/>
                <w:bCs w:val="0"/>
                <w:sz w:val="24"/>
                <w:szCs w:val="24"/>
              </w:rPr>
            </w:pPr>
            <w:r>
              <w:rPr>
                <w:rFonts w:ascii="Times New Roman" w:hAnsi="Times New Roman" w:cs="Times New Roman"/>
                <w:b/>
                <w:bCs/>
                <w:sz w:val="24"/>
                <w:szCs w:val="24"/>
              </w:rPr>
              <w:t>Adjusted EPS (pence)</w:t>
            </w:r>
          </w:p>
        </w:tc>
        <w:tc>
          <w:tcPr>
            <w:tcW w:w="1216" w:type="pct"/>
            <w:shd w:val="clear" w:color="auto" w:fill="DAE3F4" w:themeFill="accent1" w:themeFillTint="33"/>
          </w:tcPr>
          <w:p w14:paraId="44EC426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21.7p</w:t>
            </w:r>
          </w:p>
        </w:tc>
        <w:tc>
          <w:tcPr>
            <w:tcW w:w="1266" w:type="pct"/>
            <w:shd w:val="clear" w:color="auto" w:fill="DAE3F4" w:themeFill="accent1" w:themeFillTint="33"/>
          </w:tcPr>
          <w:p w14:paraId="36BCA94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24.6p</w:t>
            </w:r>
          </w:p>
        </w:tc>
        <w:tc>
          <w:tcPr>
            <w:tcW w:w="581" w:type="pct"/>
            <w:shd w:val="clear" w:color="auto" w:fill="DAE3F4" w:themeFill="accent1" w:themeFillTint="33"/>
          </w:tcPr>
          <w:p w14:paraId="7EB81C8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+13.4%</w:t>
            </w:r>
          </w:p>
        </w:tc>
      </w:tr>
      <w:tr w14:paraId="067638AA">
        <w:tblPrEx>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CellMar>
            <w:top w:w="0" w:type="dxa"/>
            <w:left w:w="108" w:type="dxa"/>
            <w:bottom w:w="0" w:type="dxa"/>
            <w:right w:w="108" w:type="dxa"/>
          </w:tblCellMar>
        </w:tblPrEx>
        <w:tc>
          <w:tcPr>
            <w:tcW w:w="1937" w:type="pct"/>
          </w:tcPr>
          <w:p w14:paraId="0FCED023">
            <w:pPr>
              <w:spacing w:before="120" w:after="240" w:line="360" w:lineRule="auto"/>
              <w:jc w:val="both"/>
              <w:rPr>
                <w:rFonts w:ascii="Times New Roman" w:hAnsi="Times New Roman" w:cs="Times New Roman"/>
                <w:b w:val="0"/>
                <w:bCs w:val="0"/>
                <w:sz w:val="24"/>
                <w:szCs w:val="24"/>
              </w:rPr>
            </w:pPr>
            <w:r>
              <w:rPr>
                <w:rFonts w:ascii="Times New Roman" w:hAnsi="Times New Roman" w:cs="Times New Roman"/>
                <w:b/>
                <w:bCs/>
                <w:sz w:val="24"/>
                <w:szCs w:val="24"/>
              </w:rPr>
              <w:t>Adjusted Profit Before Tax (£m)</w:t>
            </w:r>
          </w:p>
        </w:tc>
        <w:tc>
          <w:tcPr>
            <w:tcW w:w="1216" w:type="pct"/>
          </w:tcPr>
          <w:p w14:paraId="0C137A1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522.9</w:t>
            </w:r>
          </w:p>
        </w:tc>
        <w:tc>
          <w:tcPr>
            <w:tcW w:w="1266" w:type="pct"/>
          </w:tcPr>
          <w:p w14:paraId="623FF170">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716.4</w:t>
            </w:r>
          </w:p>
        </w:tc>
        <w:tc>
          <w:tcPr>
            <w:tcW w:w="581" w:type="pct"/>
          </w:tcPr>
          <w:p w14:paraId="4A1E4628">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+37%</w:t>
            </w:r>
          </w:p>
        </w:tc>
      </w:tr>
      <w:tr w14:paraId="6928F23E">
        <w:tblPrEx>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CellMar>
            <w:top w:w="0" w:type="dxa"/>
            <w:left w:w="108" w:type="dxa"/>
            <w:bottom w:w="0" w:type="dxa"/>
            <w:right w:w="108" w:type="dxa"/>
          </w:tblCellMar>
        </w:tblPrEx>
        <w:tc>
          <w:tcPr>
            <w:tcW w:w="1937" w:type="pct"/>
            <w:shd w:val="clear" w:color="auto" w:fill="DAE3F4" w:themeFill="accent1" w:themeFillTint="33"/>
          </w:tcPr>
          <w:p w14:paraId="006873DB">
            <w:pPr>
              <w:spacing w:before="120" w:after="240" w:line="360" w:lineRule="auto"/>
              <w:jc w:val="both"/>
              <w:rPr>
                <w:rFonts w:ascii="Times New Roman" w:hAnsi="Times New Roman" w:cs="Times New Roman"/>
                <w:b w:val="0"/>
                <w:bCs w:val="0"/>
                <w:sz w:val="24"/>
                <w:szCs w:val="24"/>
              </w:rPr>
            </w:pPr>
            <w:r>
              <w:rPr>
                <w:rFonts w:ascii="Times New Roman" w:hAnsi="Times New Roman" w:cs="Times New Roman"/>
                <w:b/>
                <w:bCs/>
                <w:sz w:val="24"/>
                <w:szCs w:val="24"/>
              </w:rPr>
              <w:t>Food Volume Growth (%)</w:t>
            </w:r>
          </w:p>
        </w:tc>
        <w:tc>
          <w:tcPr>
            <w:tcW w:w="1216" w:type="pct"/>
            <w:shd w:val="clear" w:color="auto" w:fill="DAE3F4" w:themeFill="accent1" w:themeFillTint="33"/>
          </w:tcPr>
          <w:p w14:paraId="42313E79">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266" w:type="pct"/>
            <w:shd w:val="clear" w:color="auto" w:fill="DAE3F4" w:themeFill="accent1" w:themeFillTint="33"/>
          </w:tcPr>
          <w:p w14:paraId="76367E59">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6.8%</w:t>
            </w:r>
          </w:p>
        </w:tc>
        <w:tc>
          <w:tcPr>
            <w:tcW w:w="581" w:type="pct"/>
            <w:shd w:val="clear" w:color="auto" w:fill="DAE3F4" w:themeFill="accent1" w:themeFillTint="33"/>
          </w:tcPr>
          <w:p w14:paraId="239A151E">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w:t>
            </w:r>
          </w:p>
        </w:tc>
      </w:tr>
      <w:tr w14:paraId="4335D255">
        <w:tblPrEx>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CellMar>
            <w:top w:w="0" w:type="dxa"/>
            <w:left w:w="108" w:type="dxa"/>
            <w:bottom w:w="0" w:type="dxa"/>
            <w:right w:w="108" w:type="dxa"/>
          </w:tblCellMar>
        </w:tblPrEx>
        <w:tc>
          <w:tcPr>
            <w:tcW w:w="1937" w:type="pct"/>
          </w:tcPr>
          <w:p w14:paraId="62E22643">
            <w:pPr>
              <w:spacing w:before="120" w:after="240" w:line="360" w:lineRule="auto"/>
              <w:jc w:val="both"/>
              <w:rPr>
                <w:rFonts w:ascii="Times New Roman" w:hAnsi="Times New Roman" w:cs="Times New Roman"/>
                <w:b w:val="0"/>
                <w:bCs w:val="0"/>
                <w:sz w:val="24"/>
                <w:szCs w:val="24"/>
              </w:rPr>
            </w:pPr>
            <w:r>
              <w:rPr>
                <w:rFonts w:ascii="Times New Roman" w:hAnsi="Times New Roman" w:cs="Times New Roman"/>
                <w:b/>
                <w:bCs/>
                <w:sz w:val="24"/>
                <w:szCs w:val="24"/>
              </w:rPr>
              <w:t>Cost Savings (£m)</w:t>
            </w:r>
          </w:p>
        </w:tc>
        <w:tc>
          <w:tcPr>
            <w:tcW w:w="1216" w:type="pct"/>
          </w:tcPr>
          <w:p w14:paraId="18E2CE34">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266" w:type="pct"/>
          </w:tcPr>
          <w:p w14:paraId="500D7004">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~180</w:t>
            </w:r>
          </w:p>
        </w:tc>
        <w:tc>
          <w:tcPr>
            <w:tcW w:w="581" w:type="pct"/>
          </w:tcPr>
          <w:p w14:paraId="2E8F1C1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w:t>
            </w:r>
          </w:p>
        </w:tc>
      </w:tr>
    </w:tbl>
    <w:p w14:paraId="02D2EC43">
      <w:pPr>
        <w:spacing w:before="120" w:after="240" w:line="360" w:lineRule="auto"/>
        <w:jc w:val="center"/>
        <w:rPr>
          <w:rFonts w:ascii="Times New Roman" w:hAnsi="Times New Roman" w:cs="Times New Roman"/>
          <w:i/>
          <w:iCs/>
          <w:sz w:val="24"/>
          <w:szCs w:val="24"/>
        </w:rPr>
      </w:pPr>
      <w:r>
        <w:rPr>
          <w:rFonts w:ascii="Times New Roman" w:hAnsi="Times New Roman" w:cs="Times New Roman"/>
          <w:i/>
          <w:iCs/>
          <w:sz w:val="24"/>
          <w:szCs w:val="24"/>
        </w:rPr>
        <w:t>(Source: M&amp;S, 2022; 2024a)</w:t>
      </w:r>
    </w:p>
    <w:p w14:paraId="70BE7099">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statistics indicate a significant growth in profitability, as profit before tax has grown more than 70 %, indicating improved margins and efficiency in operations after integration. This is in line with the 2024 report that demonstrates supply chain modernisation and Gist paying back ahead of schedule. Cost wise, the integration of logistics saved the company about £180 million by not being dependent on third party providers and distribution efficiency. Such economies of scale and eradication of inefficiencies that have been mentioned above are justified by these savings.</w:t>
      </w:r>
    </w:p>
    <w:p w14:paraId="54F28882">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On revenue contribution, an increase in revenue of £10.9bn to £13.0bn shows that the company has performed better in sales, especially in the food segment where better stock supply and quick replenishment were used to boost volume growth (See table 1). Generally, the comparison proves that the Gist acquisition had quantifiable financial benefits that prompted actual synergy realisation over the creation of speculative values.</w:t>
      </w:r>
    </w:p>
    <w:p w14:paraId="776BB56B">
      <w:pPr>
        <w:pStyle w:val="3"/>
        <w:spacing w:before="120" w:after="240"/>
      </w:pPr>
      <w:r>
        <w:t>3.8 Diversification</w:t>
      </w:r>
      <w:bookmarkEnd w:id="11"/>
    </w:p>
    <w:p w14:paraId="7A1BD409">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acquisition of Gist by Marks and Spencer (M&amp;S) can be referred to as related diversification because it does not entail the new venture into a different industry but rather the expansion of its current food value chain. Most of the M&amp;S food logistics was already processed by Gist, which means that there is a good level of operational overlaps and a strategic fit (Marks and Spencer, 2022). Internalisation of logistics has made M&amp;S vertically integrated, which increases coordination and decreases dependence on third parties (Food Manufacture, 2022). It is especially notable in the current UK supply chain disruptions, where more control means less risk of breaching the operations and enhancing the resilience (Parr, 2022). Yet, although related diversification reduces the supply chain risk, it also focuses the exposure in the food segment with a reduced diversification of risks.</w:t>
      </w:r>
    </w:p>
    <w:p w14:paraId="18A25B60">
      <w:pPr>
        <w:pStyle w:val="3"/>
        <w:spacing w:before="120" w:after="240"/>
      </w:pPr>
      <w:bookmarkStart w:id="12" w:name="_Toc224817248"/>
      <w:r>
        <w:t>3.9 Regulatory Framework</w:t>
      </w:r>
      <w:bookmarkEnd w:id="12"/>
    </w:p>
    <w:p w14:paraId="27984054">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Gist acquisition regulatory framework was controlled largely through the Enterprise Act 2002 according to which the UK mergers are subject to investigation in case they have a potential to cause a substantial lessening of competition (UK Parliament, 2002). Competition and Markets Authority (CMA) may create robust solutions such as blocking the deals, as it did in the case of Sainsbury-Asda, which identified probable price increments, poor quality, and lack of option, as well as the consequences in more than 125 petrol stations (Competition and Markets Authority, 2019). In comparison, M&amp;S referred to the Gist deal as Class 2 and no significant anticompetition restrictions were reported, so the antitrust issues regarding this vertical deal were limited (Marks and Spencer, 2022).</w:t>
      </w:r>
    </w:p>
    <w:p w14:paraId="16E890D0">
      <w:pPr>
        <w:pStyle w:val="3"/>
        <w:spacing w:before="120" w:after="240"/>
      </w:pPr>
      <w:bookmarkStart w:id="13" w:name="_Toc224817249"/>
      <w:r>
        <w:t>3.10 Shareholder Wealth Impact</w:t>
      </w:r>
      <w:bookmarkEnd w:id="13"/>
    </w:p>
    <w:p w14:paraId="73083B2D">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Gist acquisition had had both positive and negative short-term market sceptical effects and long-term value creation implications on the shareholder wealth. Marks &amp; Spencer (M&amp;S) shares dropped slightly, about 2 %, in the first moments after the announcement, which indicated that investors were worried about the cost of the acquisition, risks associated with the execution, and questionable short-term investments (Reuters, 2022). This unfavourable response is within the context of acquisition theory in which market tends to punish companies because of integration risks and probable over-payment. Nonetheless, the long-term performance implied a high value creation as M&amp;S noted a 58% rise in profit, and high profits and operational efficiency, as its turnaround strategy continued to take effect (Reuters, 2024). These benefits were enabled through supply chain optimization such as integration of Gist which helped to save money and enhance operational control. The regaining of financial performance and further regaining of market confidence are positive signs that initial scepticism was denied by the actual synergies and efficiency benefits realised. Thus, even though the acquisition was initially an indication of the possible value destruction, the long-term financial results show that it eventually improved shareholder wealth in terms of long-term profitability and strategic change.</w:t>
      </w:r>
    </w:p>
    <w:p w14:paraId="1DD30F5B">
      <w:pPr>
        <w:pStyle w:val="2"/>
        <w:spacing w:before="120" w:after="240"/>
        <w:rPr>
          <w:lang w:val="en-GB"/>
        </w:rPr>
      </w:pPr>
      <w:bookmarkStart w:id="14" w:name="_Toc224817250"/>
      <w:r>
        <w:rPr>
          <w:lang w:val="en-GB"/>
        </w:rPr>
        <w:t>4. Critical Evaluation</w:t>
      </w:r>
      <w:bookmarkEnd w:id="14"/>
      <w:r>
        <w:rPr>
          <w:lang w:val="en-GB"/>
        </w:rPr>
        <w:t xml:space="preserve"> </w:t>
      </w:r>
    </w:p>
    <w:p w14:paraId="4500E003">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case of the acquisition of Gist by Marks and Spencer (M&amp;S) is a subtle example of how market scepticism during the early stages of market is compared to the actual long-term value creation as evidenced by the gap between theoretical and actual results. In the immediate future, it had a negative response because as the market was informed, M&amp;S stock fell by about 2% when the announcement was released which indicated a risk of integration, capital expenditure and an unpredictable capacity to realise synergy (Reuters, 2022). This is a typical merger theory, which asserts that mergers tend to wipe out shareholder value in the first place because of information asymmetry and overstated synergies. The post-acquisition performance however does not conform to this pessimistic opinion. M&amp;S states that its profit has grown by 58 % and its operations have greatly improved, aided by some £ 180 million cost reduction and improved efficiency of the supply chain (Marks and Spencer, 2024; Reuters, 2024). Contrary to most acquisitions where the synergies are not realised, M&amp;S realised the benefits of vertical integration, which happened to be direct remedies against any inefficiencies contained in its former outsourced logistics model. This result is much closer to the Resource-Based View, wherein the value is created through the combination of the company-specific capabilities instead of the process of seeking scale.</w:t>
      </w:r>
    </w:p>
    <w:p w14:paraId="4D9EB7A5">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However, there are limitations to the success. The scale of a big logistics operation creates operational complexity, such as workforce alignment, system integration, and coordination issues, which can create hidden costs and lack strategic flexibility (Christopher, 2016). In addition, domestic diversification, as much as associated with diversification, lowers the risks of dependency, but constrained the overall spread of risks. In general, the acquisition shows that the risks of failure at the theoretical level were initially obvious but well-planned implementation and integration of capabilities allowed M&amp;S to transform a potentially value-destructive transaction into the long-term value-generating process.</w:t>
      </w:r>
    </w:p>
    <w:p w14:paraId="5CF805A3">
      <w:pPr>
        <w:pStyle w:val="2"/>
        <w:spacing w:before="120" w:after="240"/>
        <w:rPr>
          <w:lang w:val="en-GB"/>
        </w:rPr>
      </w:pPr>
      <w:bookmarkStart w:id="15" w:name="_Toc224817251"/>
      <w:r>
        <w:rPr>
          <w:lang w:val="en-GB"/>
        </w:rPr>
        <w:t>5. Conclusion</w:t>
      </w:r>
      <w:bookmarkEnd w:id="15"/>
      <w:r>
        <w:rPr>
          <w:lang w:val="en-GB"/>
        </w:rPr>
        <w:t xml:space="preserve"> </w:t>
      </w:r>
    </w:p>
    <w:p w14:paraId="31FD301B">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Acquisition of Gist can be considered as a successful strategic business transaction of Marks and Spencer (M&amp;S), due to the evident financial and operational gains. Pre- and post-acquisition performance Comparing pre-and post-acquisition performance, revenue grew by £10.9bn to £13.0bn by 2022 and 2024 respectively, and pre-tax profit grew substantially, by £391.7m to £672.5m, which is indicative of stronger profitability. Also, cost saving of £180m and food volume growth of 6.8% indicate efficiency in supply chain. The acquisition was initially associated with the investor concerns, but the realised synergies, better margins, and operational control prove that M&amp;S has managed to meet its goals. Thus, Gist acquisition generated sustainable value and enabled the company to have strong competitive stance.</w:t>
      </w:r>
    </w:p>
    <w:p w14:paraId="592B593E">
      <w:pPr>
        <w:spacing w:before="120" w:after="240" w:line="360" w:lineRule="auto"/>
        <w:jc w:val="both"/>
        <w:rPr>
          <w:rFonts w:ascii="Times New Roman" w:hAnsi="Times New Roman" w:cs="Times New Roman"/>
          <w:b/>
          <w:bCs/>
          <w:sz w:val="24"/>
          <w:szCs w:val="24"/>
        </w:rPr>
      </w:pPr>
    </w:p>
    <w:p w14:paraId="6F0B8CC4">
      <w:pPr>
        <w:spacing w:before="120" w:after="240" w:line="360" w:lineRule="auto"/>
        <w:rPr>
          <w:rFonts w:ascii="Times New Roman" w:hAnsi="Times New Roman" w:cs="Times New Roman"/>
          <w:sz w:val="24"/>
          <w:szCs w:val="24"/>
        </w:rPr>
      </w:pPr>
    </w:p>
    <w:p w14:paraId="292434F7">
      <w:pPr>
        <w:spacing w:before="120" w:after="240"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6D10A1A6">
      <w:pPr>
        <w:pStyle w:val="2"/>
        <w:spacing w:before="120" w:after="240"/>
        <w:rPr>
          <w:lang w:val="en-GB"/>
        </w:rPr>
      </w:pPr>
      <w:bookmarkStart w:id="16" w:name="_Toc224817252"/>
      <w:r>
        <w:rPr>
          <w:lang w:val="en-GB"/>
        </w:rPr>
        <w:t>References</w:t>
      </w:r>
      <w:bookmarkEnd w:id="16"/>
      <w:r>
        <w:rPr>
          <w:lang w:val="en-GB"/>
        </w:rPr>
        <w:t xml:space="preserve"> </w:t>
      </w:r>
    </w:p>
    <w:p w14:paraId="321646CE">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Apreku-Djan, P. K., Ameyaw, F., Opare, E. A., &amp; Apreku, I. K. O. (2022). The impact of merger and acquisition motives on value-based financial performance of banks. </w:t>
      </w:r>
      <w:r>
        <w:rPr>
          <w:rFonts w:ascii="Times New Roman" w:hAnsi="Times New Roman" w:cs="Times New Roman"/>
          <w:i/>
          <w:iCs/>
          <w:sz w:val="24"/>
          <w:szCs w:val="24"/>
        </w:rPr>
        <w:t>International Journal of Academic Reserach in Economics and Management Sciences</w:t>
      </w:r>
      <w:r>
        <w:rPr>
          <w:rFonts w:ascii="Times New Roman" w:hAnsi="Times New Roman" w:cs="Times New Roman"/>
          <w:sz w:val="24"/>
          <w:szCs w:val="24"/>
        </w:rPr>
        <w:t>, </w:t>
      </w:r>
      <w:r>
        <w:rPr>
          <w:rFonts w:ascii="Times New Roman" w:hAnsi="Times New Roman" w:cs="Times New Roman"/>
          <w:i/>
          <w:iCs/>
          <w:sz w:val="24"/>
          <w:szCs w:val="24"/>
        </w:rPr>
        <w:t>11</w:t>
      </w:r>
      <w:r>
        <w:rPr>
          <w:rFonts w:ascii="Times New Roman" w:hAnsi="Times New Roman" w:cs="Times New Roman"/>
          <w:sz w:val="24"/>
          <w:szCs w:val="24"/>
        </w:rPr>
        <w:t>(2).</w:t>
      </w:r>
    </w:p>
    <w:p w14:paraId="1BA71D16">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Christopher, M. (2022). </w:t>
      </w:r>
      <w:r>
        <w:rPr>
          <w:rFonts w:ascii="Times New Roman" w:hAnsi="Times New Roman" w:cs="Times New Roman"/>
          <w:i/>
          <w:iCs/>
          <w:sz w:val="24"/>
          <w:szCs w:val="24"/>
        </w:rPr>
        <w:t>Logistics and supply chain management</w:t>
      </w:r>
      <w:r>
        <w:rPr>
          <w:rFonts w:ascii="Times New Roman" w:hAnsi="Times New Roman" w:cs="Times New Roman"/>
          <w:sz w:val="24"/>
          <w:szCs w:val="24"/>
        </w:rPr>
        <w:t>. Pearson Uk.</w:t>
      </w:r>
    </w:p>
    <w:p w14:paraId="75139D12">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Cold Chain News. (2023). </w:t>
      </w:r>
      <w:r>
        <w:rPr>
          <w:rFonts w:ascii="Times New Roman" w:hAnsi="Times New Roman" w:cs="Times New Roman"/>
          <w:i/>
          <w:iCs/>
          <w:sz w:val="24"/>
          <w:szCs w:val="24"/>
        </w:rPr>
        <w:t>Gist’s post-acquisition strategy</w:t>
      </w:r>
      <w:r>
        <w:rPr>
          <w:rFonts w:ascii="Times New Roman" w:hAnsi="Times New Roman" w:cs="Times New Roman"/>
          <w:sz w:val="24"/>
          <w:szCs w:val="24"/>
        </w:rPr>
        <w:t xml:space="preserve">. </w:t>
      </w:r>
      <w:r>
        <w:fldChar w:fldCharType="begin"/>
      </w:r>
      <w:r>
        <w:instrText xml:space="preserve"> HYPERLINK "https://www.coldchainnews.com/gists-post-acquisition-strategy/" </w:instrText>
      </w:r>
      <w:r>
        <w:fldChar w:fldCharType="separate"/>
      </w:r>
      <w:r>
        <w:rPr>
          <w:rStyle w:val="8"/>
          <w:rFonts w:ascii="Times New Roman" w:hAnsi="Times New Roman" w:cs="Times New Roman"/>
          <w:sz w:val="24"/>
          <w:szCs w:val="24"/>
        </w:rPr>
        <w:t>https://www.coldchainnews.com/gists-post-acquisition-strategy/</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0C7DB1B4">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Competition and Markets Authority. (2019). </w:t>
      </w:r>
      <w:r>
        <w:rPr>
          <w:rFonts w:ascii="Times New Roman" w:hAnsi="Times New Roman" w:cs="Times New Roman"/>
          <w:i/>
          <w:iCs/>
          <w:sz w:val="24"/>
          <w:szCs w:val="24"/>
        </w:rPr>
        <w:t>CMA blocks merger between Sainsbury’s and Asda</w:t>
      </w:r>
      <w:r>
        <w:rPr>
          <w:rFonts w:ascii="Times New Roman" w:hAnsi="Times New Roman" w:cs="Times New Roman"/>
          <w:sz w:val="24"/>
          <w:szCs w:val="24"/>
        </w:rPr>
        <w:t xml:space="preserve">. GOV.UK. </w:t>
      </w:r>
      <w:r>
        <w:fldChar w:fldCharType="begin"/>
      </w:r>
      <w:r>
        <w:instrText xml:space="preserve"> HYPERLINK "https://www.gov.uk/government/news/cma-blocks-merger-between-sainsburys-and-asda" </w:instrText>
      </w:r>
      <w:r>
        <w:fldChar w:fldCharType="separate"/>
      </w:r>
      <w:r>
        <w:rPr>
          <w:rStyle w:val="8"/>
          <w:rFonts w:ascii="Times New Roman" w:hAnsi="Times New Roman" w:cs="Times New Roman"/>
          <w:sz w:val="24"/>
          <w:szCs w:val="24"/>
        </w:rPr>
        <w:t>https://www.gov.uk/government/news/cma-blocks-merger-between-sainsburys-and-asda</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4D170B19">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Container News. (2022). </w:t>
      </w:r>
      <w:r>
        <w:rPr>
          <w:rFonts w:ascii="Times New Roman" w:hAnsi="Times New Roman" w:cs="Times New Roman"/>
          <w:i/>
          <w:iCs/>
          <w:sz w:val="24"/>
          <w:szCs w:val="24"/>
        </w:rPr>
        <w:t>Marks and Spencer to acquire Gist to transform its food supply chain</w:t>
      </w:r>
      <w:r>
        <w:rPr>
          <w:rFonts w:ascii="Times New Roman" w:hAnsi="Times New Roman" w:cs="Times New Roman"/>
          <w:sz w:val="24"/>
          <w:szCs w:val="24"/>
        </w:rPr>
        <w:t xml:space="preserve">. </w:t>
      </w:r>
      <w:r>
        <w:fldChar w:fldCharType="begin"/>
      </w:r>
      <w:r>
        <w:instrText xml:space="preserve"> HYPERLINK "https://container-news.com/marks-and-spencer-to-acquire-gist-to-transform-its-food-supply-chain/" </w:instrText>
      </w:r>
      <w:r>
        <w:fldChar w:fldCharType="separate"/>
      </w:r>
      <w:r>
        <w:rPr>
          <w:rStyle w:val="8"/>
          <w:rFonts w:ascii="Times New Roman" w:hAnsi="Times New Roman" w:cs="Times New Roman"/>
          <w:sz w:val="24"/>
          <w:szCs w:val="24"/>
        </w:rPr>
        <w:t>https://container-news.com/marks-and-spencer-to-acquire-gist-to-transform-its-food-supply-chain/</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0811AD94">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Feldman, E. R., &amp; Hernandez, E. (2022). Synergy in mergers and acquisitions: Typology, life cycles, and value. </w:t>
      </w:r>
      <w:r>
        <w:rPr>
          <w:rFonts w:ascii="Times New Roman" w:hAnsi="Times New Roman" w:cs="Times New Roman"/>
          <w:i/>
          <w:iCs/>
          <w:sz w:val="24"/>
          <w:szCs w:val="24"/>
        </w:rPr>
        <w:t>Academy of Management Review</w:t>
      </w:r>
      <w:r>
        <w:rPr>
          <w:rFonts w:ascii="Times New Roman" w:hAnsi="Times New Roman" w:cs="Times New Roman"/>
          <w:sz w:val="24"/>
          <w:szCs w:val="24"/>
        </w:rPr>
        <w:t>, </w:t>
      </w:r>
      <w:r>
        <w:rPr>
          <w:rFonts w:ascii="Times New Roman" w:hAnsi="Times New Roman" w:cs="Times New Roman"/>
          <w:i/>
          <w:iCs/>
          <w:sz w:val="24"/>
          <w:szCs w:val="24"/>
        </w:rPr>
        <w:t>47</w:t>
      </w:r>
      <w:r>
        <w:rPr>
          <w:rFonts w:ascii="Times New Roman" w:hAnsi="Times New Roman" w:cs="Times New Roman"/>
          <w:sz w:val="24"/>
          <w:szCs w:val="24"/>
        </w:rPr>
        <w:t xml:space="preserve">(4), 549-578. </w:t>
      </w:r>
      <w:r>
        <w:fldChar w:fldCharType="begin"/>
      </w:r>
      <w:r>
        <w:instrText xml:space="preserve"> HYPERLINK "https://doi.org/10.5465/amr.2018.0345" </w:instrText>
      </w:r>
      <w:r>
        <w:fldChar w:fldCharType="separate"/>
      </w:r>
      <w:r>
        <w:rPr>
          <w:rStyle w:val="8"/>
          <w:rFonts w:ascii="Times New Roman" w:hAnsi="Times New Roman" w:cs="Times New Roman"/>
          <w:sz w:val="24"/>
          <w:szCs w:val="24"/>
        </w:rPr>
        <w:t>https://doi.org/10.5465/amr.2018.0345</w:t>
      </w:r>
      <w:r>
        <w:rPr>
          <w:rStyle w:val="8"/>
          <w:rFonts w:ascii="Times New Roman" w:hAnsi="Times New Roman" w:cs="Times New Roman"/>
          <w:sz w:val="24"/>
          <w:szCs w:val="24"/>
        </w:rPr>
        <w:fldChar w:fldCharType="end"/>
      </w:r>
    </w:p>
    <w:p w14:paraId="293CC508">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Food Manufacture. (2022). </w:t>
      </w:r>
      <w:r>
        <w:rPr>
          <w:rFonts w:ascii="Times New Roman" w:hAnsi="Times New Roman" w:cs="Times New Roman"/>
          <w:i/>
          <w:iCs/>
          <w:sz w:val="24"/>
          <w:szCs w:val="24"/>
        </w:rPr>
        <w:t>Why has Marks &amp; Spencer purchased its own logistics company?</w:t>
      </w:r>
      <w:r>
        <w:rPr>
          <w:rFonts w:ascii="Times New Roman" w:hAnsi="Times New Roman" w:cs="Times New Roman"/>
          <w:sz w:val="24"/>
          <w:szCs w:val="24"/>
        </w:rPr>
        <w:t xml:space="preserve"> </w:t>
      </w:r>
      <w:r>
        <w:fldChar w:fldCharType="begin"/>
      </w:r>
      <w:r>
        <w:instrText xml:space="preserve"> HYPERLINK "https://www.foodmanufacture.co.uk/Article/2022/07/22/why-has-marks-spencer-purchased-its-own-logistics-company/" \t "_new" </w:instrText>
      </w:r>
      <w:r>
        <w:fldChar w:fldCharType="separate"/>
      </w:r>
      <w:r>
        <w:rPr>
          <w:rStyle w:val="8"/>
          <w:rFonts w:ascii="Times New Roman" w:hAnsi="Times New Roman" w:cs="Times New Roman"/>
          <w:sz w:val="24"/>
          <w:szCs w:val="24"/>
        </w:rPr>
        <w:t>https://www.foodmanufacture.co.uk/Article/2022/07/22/why-has-marks-spencer-purchased-its-own-logistics-company/</w:t>
      </w:r>
      <w:r>
        <w:rPr>
          <w:rStyle w:val="8"/>
          <w:rFonts w:ascii="Times New Roman" w:hAnsi="Times New Roman" w:cs="Times New Roman"/>
          <w:sz w:val="24"/>
          <w:szCs w:val="24"/>
        </w:rPr>
        <w:fldChar w:fldCharType="end"/>
      </w:r>
    </w:p>
    <w:p w14:paraId="1B5F9B93">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Gist. (n.d.). </w:t>
      </w:r>
      <w:r>
        <w:rPr>
          <w:rFonts w:ascii="Times New Roman" w:hAnsi="Times New Roman" w:cs="Times New Roman"/>
          <w:i/>
          <w:iCs/>
          <w:sz w:val="24"/>
          <w:szCs w:val="24"/>
        </w:rPr>
        <w:t>Who we are</w:t>
      </w:r>
      <w:r>
        <w:rPr>
          <w:rFonts w:ascii="Times New Roman" w:hAnsi="Times New Roman" w:cs="Times New Roman"/>
          <w:sz w:val="24"/>
          <w:szCs w:val="24"/>
        </w:rPr>
        <w:t xml:space="preserve">. </w:t>
      </w:r>
      <w:r>
        <w:fldChar w:fldCharType="begin"/>
      </w:r>
      <w:r>
        <w:instrText xml:space="preserve"> HYPERLINK "https://www.gistworld.com/Who-we-are" </w:instrText>
      </w:r>
      <w:r>
        <w:fldChar w:fldCharType="separate"/>
      </w:r>
      <w:r>
        <w:rPr>
          <w:rStyle w:val="8"/>
          <w:rFonts w:ascii="Times New Roman" w:hAnsi="Times New Roman" w:cs="Times New Roman"/>
          <w:sz w:val="24"/>
          <w:szCs w:val="24"/>
        </w:rPr>
        <w:t>https://www.gistworld.com/Who-we-are</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3DE01DCF">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Irwin, K., Armstrong, C., Drnevich, P., &amp; Schijven, M. (2025). The motives for mergers and acquisitions and their implications for research and practice. </w:t>
      </w:r>
      <w:r>
        <w:rPr>
          <w:rFonts w:ascii="Times New Roman" w:hAnsi="Times New Roman" w:cs="Times New Roman"/>
          <w:i/>
          <w:iCs/>
          <w:sz w:val="24"/>
          <w:szCs w:val="24"/>
        </w:rPr>
        <w:t>Strategic Management Review</w:t>
      </w:r>
      <w:r>
        <w:rPr>
          <w:rFonts w:ascii="Times New Roman" w:hAnsi="Times New Roman" w:cs="Times New Roman"/>
          <w:sz w:val="24"/>
          <w:szCs w:val="24"/>
        </w:rPr>
        <w:t>.</w:t>
      </w:r>
    </w:p>
    <w:p w14:paraId="59E46C02">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Jensen, M. C. (1986). Agency costs of free cash flow, corporate finance, and takeovers. </w:t>
      </w:r>
      <w:r>
        <w:rPr>
          <w:rFonts w:ascii="Times New Roman" w:hAnsi="Times New Roman" w:cs="Times New Roman"/>
          <w:i/>
          <w:iCs/>
          <w:sz w:val="24"/>
          <w:szCs w:val="24"/>
        </w:rPr>
        <w:t>American Economic Review</w:t>
      </w:r>
      <w:r>
        <w:rPr>
          <w:rFonts w:ascii="Times New Roman" w:hAnsi="Times New Roman" w:cs="Times New Roman"/>
          <w:sz w:val="24"/>
          <w:szCs w:val="24"/>
        </w:rPr>
        <w:t>, 76(2), 323–329.</w:t>
      </w:r>
    </w:p>
    <w:p w14:paraId="2B107274">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Malik, P., &amp; Kumar, S. (2025). Theoretical foundations of mergers and acquisitions: Mapping strategic rationales. </w:t>
      </w:r>
      <w:r>
        <w:rPr>
          <w:rFonts w:ascii="Times New Roman" w:hAnsi="Times New Roman" w:cs="Times New Roman"/>
          <w:i/>
          <w:iCs/>
          <w:sz w:val="24"/>
          <w:szCs w:val="24"/>
        </w:rPr>
        <w:t>International Journal for Multidisciplinary Research</w:t>
      </w:r>
      <w:r>
        <w:rPr>
          <w:rFonts w:ascii="Times New Roman" w:hAnsi="Times New Roman" w:cs="Times New Roman"/>
          <w:sz w:val="24"/>
          <w:szCs w:val="24"/>
        </w:rPr>
        <w:t>, 7(4).</w:t>
      </w:r>
    </w:p>
    <w:p w14:paraId="31038AEF">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Marks and Spencer plc. (2022). </w:t>
      </w:r>
      <w:r>
        <w:rPr>
          <w:rFonts w:ascii="Times New Roman" w:hAnsi="Times New Roman" w:cs="Times New Roman"/>
          <w:i/>
          <w:iCs/>
          <w:sz w:val="24"/>
          <w:szCs w:val="24"/>
        </w:rPr>
        <w:t>Annual report and financial statements 2022</w:t>
      </w:r>
      <w:r>
        <w:rPr>
          <w:rFonts w:ascii="Times New Roman" w:hAnsi="Times New Roman" w:cs="Times New Roman"/>
          <w:sz w:val="24"/>
          <w:szCs w:val="24"/>
        </w:rPr>
        <w:t xml:space="preserve">. </w:t>
      </w:r>
      <w:r>
        <w:fldChar w:fldCharType="begin"/>
      </w:r>
      <w:r>
        <w:instrText xml:space="preserve"> HYPERLINK "https://corporate.marksandspencer.com/sites/marksandspencer/files/Annual%20reports/m-and-s_ar22_full-ar.pdf" </w:instrText>
      </w:r>
      <w:r>
        <w:fldChar w:fldCharType="separate"/>
      </w:r>
      <w:r>
        <w:rPr>
          <w:rStyle w:val="8"/>
          <w:rFonts w:ascii="Times New Roman" w:hAnsi="Times New Roman" w:cs="Times New Roman"/>
          <w:sz w:val="24"/>
          <w:szCs w:val="24"/>
        </w:rPr>
        <w:t>https://corporate.marksandspencer.com/sites/marksandspencer/files/Annual%20reports/m-and-s_ar22_full-ar.pdf</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6FF5AE8A">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Marks and Spencer plc. (2024a). </w:t>
      </w:r>
      <w:r>
        <w:rPr>
          <w:rFonts w:ascii="Times New Roman" w:hAnsi="Times New Roman" w:cs="Times New Roman"/>
          <w:i/>
          <w:iCs/>
          <w:sz w:val="24"/>
          <w:szCs w:val="24"/>
        </w:rPr>
        <w:t>Annual report and financial statements 2024</w:t>
      </w:r>
      <w:r>
        <w:rPr>
          <w:rFonts w:ascii="Times New Roman" w:hAnsi="Times New Roman" w:cs="Times New Roman"/>
          <w:sz w:val="24"/>
          <w:szCs w:val="24"/>
        </w:rPr>
        <w:t xml:space="preserve">. </w:t>
      </w:r>
      <w:r>
        <w:fldChar w:fldCharType="begin"/>
      </w:r>
      <w:r>
        <w:instrText xml:space="preserve"> HYPERLINK "https://corporate.marksandspencer.com/sites/marksandspencer/files/2024-06/M-and-S-2024-Annual-Report.pdf" </w:instrText>
      </w:r>
      <w:r>
        <w:fldChar w:fldCharType="separate"/>
      </w:r>
      <w:r>
        <w:rPr>
          <w:rStyle w:val="8"/>
          <w:rFonts w:ascii="Times New Roman" w:hAnsi="Times New Roman" w:cs="Times New Roman"/>
          <w:sz w:val="24"/>
          <w:szCs w:val="24"/>
        </w:rPr>
        <w:t>https://corporate.marksandspencer.com/sites/marksandspencer/files/2024-06/M-and-S-2024-Annual-Report.pdf</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3F35DB6B">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Marks and Spencer. (2022). </w:t>
      </w:r>
      <w:r>
        <w:rPr>
          <w:rFonts w:ascii="Times New Roman" w:hAnsi="Times New Roman" w:cs="Times New Roman"/>
          <w:i/>
          <w:iCs/>
          <w:sz w:val="24"/>
          <w:szCs w:val="24"/>
        </w:rPr>
        <w:t>Marks and Spencer to acquire Gist as part of accelerating its food supply chain transformation</w:t>
      </w:r>
      <w:r>
        <w:rPr>
          <w:rFonts w:ascii="Times New Roman" w:hAnsi="Times New Roman" w:cs="Times New Roman"/>
          <w:sz w:val="24"/>
          <w:szCs w:val="24"/>
        </w:rPr>
        <w:t xml:space="preserve">. </w:t>
      </w:r>
      <w:r>
        <w:fldChar w:fldCharType="begin"/>
      </w:r>
      <w:r>
        <w:instrText xml:space="preserve"> HYPERLINK "https://corporate.marksandspencer.com/newsroom/press-releases/marks-and-spencer-acquire-gist-part-accelerating-its-food-supply-chain" </w:instrText>
      </w:r>
      <w:r>
        <w:fldChar w:fldCharType="separate"/>
      </w:r>
      <w:r>
        <w:rPr>
          <w:rStyle w:val="8"/>
          <w:rFonts w:ascii="Times New Roman" w:hAnsi="Times New Roman" w:cs="Times New Roman"/>
          <w:sz w:val="24"/>
          <w:szCs w:val="24"/>
        </w:rPr>
        <w:t>https://corporate.marksandspencer.com/newsroom/press-releases/marks-and-spencer-acquire-gist-part-accelerating-its-food-supply-chain</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102F784F">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Marks and Spencer. (2024). </w:t>
      </w:r>
      <w:r>
        <w:rPr>
          <w:rFonts w:ascii="Times New Roman" w:hAnsi="Times New Roman" w:cs="Times New Roman"/>
          <w:i/>
          <w:iCs/>
          <w:sz w:val="24"/>
          <w:szCs w:val="24"/>
        </w:rPr>
        <w:t>Full year results for 52 weeks ended 30 March 2024</w:t>
      </w:r>
      <w:r>
        <w:rPr>
          <w:rFonts w:ascii="Times New Roman" w:hAnsi="Times New Roman" w:cs="Times New Roman"/>
          <w:sz w:val="24"/>
          <w:szCs w:val="24"/>
        </w:rPr>
        <w:t xml:space="preserve">. </w:t>
      </w:r>
      <w:r>
        <w:fldChar w:fldCharType="begin"/>
      </w:r>
      <w:r>
        <w:instrText xml:space="preserve"> HYPERLINK "https://corporate.marksandspencer.com/newsroom/press-releases/marks-and-spencer-group-plc-full-year-results-52-weeks-ended-30-march-2024" </w:instrText>
      </w:r>
      <w:r>
        <w:fldChar w:fldCharType="separate"/>
      </w:r>
      <w:r>
        <w:rPr>
          <w:rStyle w:val="8"/>
          <w:rFonts w:ascii="Times New Roman" w:hAnsi="Times New Roman" w:cs="Times New Roman"/>
          <w:sz w:val="24"/>
          <w:szCs w:val="24"/>
        </w:rPr>
        <w:t>https://corporate.marksandspencer.com/newsroom/press-releases/marks-and-spencer-group-plc-full-year-results-52-weeks-ended-30-march-2024</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08271969">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McGee, J. (2014). </w:t>
      </w:r>
      <w:r>
        <w:rPr>
          <w:rFonts w:ascii="Times New Roman" w:hAnsi="Times New Roman" w:cs="Times New Roman"/>
          <w:i/>
          <w:iCs/>
          <w:sz w:val="24"/>
          <w:szCs w:val="24"/>
        </w:rPr>
        <w:t>Economies of scale</w:t>
      </w:r>
      <w:r>
        <w:rPr>
          <w:rFonts w:ascii="Times New Roman" w:hAnsi="Times New Roman" w:cs="Times New Roman"/>
          <w:sz w:val="24"/>
          <w:szCs w:val="24"/>
        </w:rPr>
        <w:t>. Wiley Encyclopedia of Management.</w:t>
      </w:r>
    </w:p>
    <w:p w14:paraId="5F069926">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Murden, T. (2022). </w:t>
      </w:r>
      <w:r>
        <w:rPr>
          <w:rFonts w:ascii="Times New Roman" w:hAnsi="Times New Roman" w:cs="Times New Roman"/>
          <w:i/>
          <w:iCs/>
          <w:sz w:val="24"/>
          <w:szCs w:val="24"/>
        </w:rPr>
        <w:t>M&amp;S buys Gist to boost food supply chain</w:t>
      </w:r>
      <w:r>
        <w:rPr>
          <w:rFonts w:ascii="Times New Roman" w:hAnsi="Times New Roman" w:cs="Times New Roman"/>
          <w:sz w:val="24"/>
          <w:szCs w:val="24"/>
        </w:rPr>
        <w:t xml:space="preserve">. </w:t>
      </w:r>
      <w:r>
        <w:fldChar w:fldCharType="begin"/>
      </w:r>
      <w:r>
        <w:instrText xml:space="preserve"> HYPERLINK "https://dailybusinessgroup.co.uk/2022/07/ms-buys-gist-to-boost-food-supply-chain/" </w:instrText>
      </w:r>
      <w:r>
        <w:fldChar w:fldCharType="separate"/>
      </w:r>
      <w:r>
        <w:rPr>
          <w:rStyle w:val="8"/>
          <w:rFonts w:ascii="Times New Roman" w:hAnsi="Times New Roman" w:cs="Times New Roman"/>
          <w:sz w:val="24"/>
          <w:szCs w:val="24"/>
        </w:rPr>
        <w:t>https://dailybusinessgroup.co.uk/2022/07/ms-buys-gist-to-boost-food-supply-chain/</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1B2E3600">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Nazir, S. (2022). </w:t>
      </w:r>
      <w:r>
        <w:rPr>
          <w:rFonts w:ascii="Times New Roman" w:hAnsi="Times New Roman" w:cs="Times New Roman"/>
          <w:i/>
          <w:iCs/>
          <w:sz w:val="24"/>
          <w:szCs w:val="24"/>
        </w:rPr>
        <w:t>M&amp;S acquires logistics firm in £145m deal to boost food supply chain</w:t>
      </w:r>
      <w:r>
        <w:rPr>
          <w:rFonts w:ascii="Times New Roman" w:hAnsi="Times New Roman" w:cs="Times New Roman"/>
          <w:sz w:val="24"/>
          <w:szCs w:val="24"/>
        </w:rPr>
        <w:t xml:space="preserve">. Retail Gazette. </w:t>
      </w:r>
      <w:r>
        <w:fldChar w:fldCharType="begin"/>
      </w:r>
      <w:r>
        <w:instrText xml:space="preserve"> HYPERLINK "https://www.retailgazette.co.uk/blog/2022/07/ms-acquires-logistics-firm-in-145m-deal-to-boost-food-supply-chain/" </w:instrText>
      </w:r>
      <w:r>
        <w:fldChar w:fldCharType="separate"/>
      </w:r>
      <w:r>
        <w:rPr>
          <w:rStyle w:val="8"/>
          <w:rFonts w:ascii="Times New Roman" w:hAnsi="Times New Roman" w:cs="Times New Roman"/>
          <w:sz w:val="24"/>
          <w:szCs w:val="24"/>
        </w:rPr>
        <w:t>https://www.retailgazette.co.uk/blog/2022/07/ms-acquires-logistics-firm-in-145m-deal-to-boost-food-supply-chain/</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56DA66C1">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Parr, J. (2022). </w:t>
      </w:r>
      <w:r>
        <w:rPr>
          <w:rFonts w:ascii="Times New Roman" w:hAnsi="Times New Roman" w:cs="Times New Roman"/>
          <w:i/>
          <w:iCs/>
          <w:sz w:val="24"/>
          <w:szCs w:val="24"/>
        </w:rPr>
        <w:t>Why M&amp;S ‘milestone’ acquisition of Gist will boost its food supply chain</w:t>
      </w:r>
      <w:r>
        <w:rPr>
          <w:rFonts w:ascii="Times New Roman" w:hAnsi="Times New Roman" w:cs="Times New Roman"/>
          <w:sz w:val="24"/>
          <w:szCs w:val="24"/>
        </w:rPr>
        <w:t xml:space="preserve">. Grocery Gazette. </w:t>
      </w:r>
      <w:r>
        <w:fldChar w:fldCharType="begin"/>
      </w:r>
      <w:r>
        <w:instrText xml:space="preserve"> HYPERLINK "https://www.grocerygazette.co.uk/2022/07/29/ms-gist-supply-chain/" </w:instrText>
      </w:r>
      <w:r>
        <w:fldChar w:fldCharType="separate"/>
      </w:r>
      <w:r>
        <w:rPr>
          <w:rStyle w:val="8"/>
          <w:rFonts w:ascii="Times New Roman" w:hAnsi="Times New Roman" w:cs="Times New Roman"/>
          <w:sz w:val="24"/>
          <w:szCs w:val="24"/>
        </w:rPr>
        <w:t>https://www.grocerygazette.co.uk/2022/07/29/ms-gist-supply-chain/</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13A4E244">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Reuters. (2022). </w:t>
      </w:r>
      <w:r>
        <w:rPr>
          <w:rFonts w:ascii="Times New Roman" w:hAnsi="Times New Roman" w:cs="Times New Roman"/>
          <w:i/>
          <w:iCs/>
          <w:sz w:val="24"/>
          <w:szCs w:val="24"/>
        </w:rPr>
        <w:t>Britain’s M&amp;S to buy logistics firm Gist</w:t>
      </w:r>
      <w:r>
        <w:rPr>
          <w:rFonts w:ascii="Times New Roman" w:hAnsi="Times New Roman" w:cs="Times New Roman"/>
          <w:sz w:val="24"/>
          <w:szCs w:val="24"/>
        </w:rPr>
        <w:t xml:space="preserve">. </w:t>
      </w:r>
      <w:r>
        <w:fldChar w:fldCharType="begin"/>
      </w:r>
      <w:r>
        <w:instrText xml:space="preserve"> HYPERLINK "https://www.reuters.com/markets/deals/britains-ms-buy-logistics-firm-gist-2022-07-21/" </w:instrText>
      </w:r>
      <w:r>
        <w:fldChar w:fldCharType="separate"/>
      </w:r>
      <w:r>
        <w:rPr>
          <w:rStyle w:val="8"/>
          <w:rFonts w:ascii="Times New Roman" w:hAnsi="Times New Roman" w:cs="Times New Roman"/>
          <w:sz w:val="24"/>
          <w:szCs w:val="24"/>
        </w:rPr>
        <w:t>https://www.reuters.com/markets/deals/britains-ms-buy-logistics-firm-gist-2022-07-21/</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3789109D">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Reuters. (2024). </w:t>
      </w:r>
      <w:r>
        <w:rPr>
          <w:rFonts w:ascii="Times New Roman" w:hAnsi="Times New Roman" w:cs="Times New Roman"/>
          <w:i/>
          <w:iCs/>
          <w:sz w:val="24"/>
          <w:szCs w:val="24"/>
        </w:rPr>
        <w:t>M&amp;S profit soars 58% as turnaround plan delivers</w:t>
      </w:r>
      <w:r>
        <w:rPr>
          <w:rFonts w:ascii="Times New Roman" w:hAnsi="Times New Roman" w:cs="Times New Roman"/>
          <w:sz w:val="24"/>
          <w:szCs w:val="24"/>
        </w:rPr>
        <w:t xml:space="preserve">. </w:t>
      </w:r>
      <w:r>
        <w:fldChar w:fldCharType="begin"/>
      </w:r>
      <w:r>
        <w:instrText xml:space="preserve"> HYPERLINK "https://www.reuters.com/markets/europe/mss-profit-soars-58-turnaround-plan-finally-delivers-2024-05-22/" </w:instrText>
      </w:r>
      <w:r>
        <w:fldChar w:fldCharType="separate"/>
      </w:r>
      <w:r>
        <w:rPr>
          <w:rStyle w:val="8"/>
          <w:rFonts w:ascii="Times New Roman" w:hAnsi="Times New Roman" w:cs="Times New Roman"/>
          <w:sz w:val="24"/>
          <w:szCs w:val="24"/>
        </w:rPr>
        <w:t>https://www.reuters.com/markets/europe/mss-profit-soars-58-turnaround-plan-finally-delivers-2024-05-22/</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204F1C92">
      <w:pPr>
        <w:spacing w:before="120" w:after="240"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UK Parliament. (2002). </w:t>
      </w:r>
      <w:r>
        <w:rPr>
          <w:rFonts w:ascii="Times New Roman" w:hAnsi="Times New Roman" w:cs="Times New Roman"/>
          <w:i/>
          <w:iCs/>
          <w:sz w:val="24"/>
          <w:szCs w:val="24"/>
        </w:rPr>
        <w:t>Enterprise Act 2002</w:t>
      </w:r>
      <w:r>
        <w:rPr>
          <w:rFonts w:ascii="Times New Roman" w:hAnsi="Times New Roman" w:cs="Times New Roman"/>
          <w:sz w:val="24"/>
          <w:szCs w:val="24"/>
        </w:rPr>
        <w:t xml:space="preserve">. legislation.gov.uk. </w:t>
      </w:r>
      <w:r>
        <w:fldChar w:fldCharType="begin"/>
      </w:r>
      <w:r>
        <w:instrText xml:space="preserve"> HYPERLINK "https://www.legislation.gov.uk/ukpga/2002/40/contents" </w:instrText>
      </w:r>
      <w:r>
        <w:fldChar w:fldCharType="separate"/>
      </w:r>
      <w:r>
        <w:rPr>
          <w:rStyle w:val="8"/>
          <w:rFonts w:ascii="Times New Roman" w:hAnsi="Times New Roman" w:cs="Times New Roman"/>
          <w:sz w:val="24"/>
          <w:szCs w:val="24"/>
        </w:rPr>
        <w:t>https://www.legislation.gov.uk/ukpga/2002/40/contents</w:t>
      </w:r>
      <w:r>
        <w:rPr>
          <w:rStyle w:val="8"/>
          <w:rFonts w:ascii="Times New Roman" w:hAnsi="Times New Roman" w:cs="Times New Roman"/>
          <w:sz w:val="24"/>
          <w:szCs w:val="24"/>
        </w:rPr>
        <w:fldChar w:fldCharType="end"/>
      </w:r>
      <w:r>
        <w:rPr>
          <w:rFonts w:ascii="Times New Roman" w:hAnsi="Times New Roman" w:cs="Times New Roman"/>
          <w:sz w:val="24"/>
          <w:szCs w:val="24"/>
        </w:rPr>
        <w:t xml:space="preserve"> </w:t>
      </w:r>
    </w:p>
    <w:p w14:paraId="1607D619">
      <w:r>
        <w:rPr>
          <w:rFonts w:ascii="Times New Roman" w:hAnsi="Times New Roman" w:cs="Times New Roman"/>
          <w:sz w:val="24"/>
          <w:szCs w:val="24"/>
        </w:rPr>
        <w:t xml:space="preserve">Yahoo Finance. (2022). </w:t>
      </w:r>
      <w:r>
        <w:rPr>
          <w:rFonts w:ascii="Times New Roman" w:hAnsi="Times New Roman" w:cs="Times New Roman"/>
          <w:i/>
          <w:iCs/>
          <w:sz w:val="24"/>
          <w:szCs w:val="24"/>
        </w:rPr>
        <w:t>M&amp;S buys logistics firm Gist</w:t>
      </w:r>
      <w:r>
        <w:rPr>
          <w:rFonts w:ascii="Times New Roman" w:hAnsi="Times New Roman" w:cs="Times New Roman"/>
          <w:sz w:val="24"/>
          <w:szCs w:val="24"/>
        </w:rPr>
        <w:t xml:space="preserve">. </w:t>
      </w:r>
      <w:r>
        <w:fldChar w:fldCharType="begin"/>
      </w:r>
      <w:r>
        <w:instrText xml:space="preserve"> HYPERLINK "https://finance.yahoo.com/news/m-buys-logistics-firm-gist-133403765.html" </w:instrText>
      </w:r>
      <w:r>
        <w:fldChar w:fldCharType="separate"/>
      </w:r>
      <w:r>
        <w:rPr>
          <w:rStyle w:val="8"/>
          <w:rFonts w:ascii="Times New Roman" w:hAnsi="Times New Roman" w:cs="Times New Roman"/>
          <w:sz w:val="24"/>
          <w:szCs w:val="24"/>
        </w:rPr>
        <w:t>https://finance.yahoo.com/news/m-buys-logistics-firm-gist-133403765.html</w:t>
      </w:r>
      <w:r>
        <w:rPr>
          <w:rStyle w:val="8"/>
          <w:rFonts w:ascii="Times New Roman" w:hAnsi="Times New Roman" w:cs="Times New Roman"/>
          <w:sz w:val="24"/>
          <w:szCs w:val="24"/>
        </w:rPr>
        <w:fldChar w:fldCharType="end"/>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404"/>
    <w:rsid w:val="000E5D0E"/>
    <w:rsid w:val="009431F1"/>
    <w:rsid w:val="00CF2404"/>
    <w:rsid w:val="00D52C68"/>
    <w:rsid w:val="00D97F4C"/>
    <w:rsid w:val="2C942227"/>
    <w:rsid w:val="4E7028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qFormat/>
    <w:uiPriority w:val="9"/>
    <w:pPr>
      <w:keepNext/>
      <w:keepLines/>
      <w:spacing w:before="360" w:after="80" w:line="360" w:lineRule="auto"/>
      <w:outlineLvl w:val="0"/>
    </w:pPr>
    <w:rPr>
      <w:rFonts w:ascii="Times New Roman" w:hAnsi="Times New Roman" w:cs="Times New Roman" w:eastAsiaTheme="majorEastAsia"/>
      <w:b/>
      <w:bCs/>
      <w:color w:val="000000" w:themeColor="text1"/>
      <w:sz w:val="32"/>
      <w:szCs w:val="32"/>
      <w:lang w:val="en-US"/>
      <w14:textFill>
        <w14:solidFill>
          <w14:schemeClr w14:val="tx1"/>
        </w14:solidFill>
      </w14:textFill>
    </w:rPr>
  </w:style>
  <w:style w:type="paragraph" w:styleId="3">
    <w:name w:val="heading 2"/>
    <w:basedOn w:val="1"/>
    <w:next w:val="1"/>
    <w:unhideWhenUsed/>
    <w:qFormat/>
    <w:uiPriority w:val="9"/>
    <w:pPr>
      <w:keepNext/>
      <w:keepLines/>
      <w:spacing w:before="160" w:after="80" w:line="360" w:lineRule="auto"/>
      <w:outlineLvl w:val="1"/>
    </w:pPr>
    <w:rPr>
      <w:rFonts w:ascii="Times New Roman" w:hAnsi="Times New Roman" w:cs="Times New Roman" w:eastAsiaTheme="majorEastAsia"/>
      <w:b/>
      <w:bCs/>
      <w:i/>
      <w:iCs/>
      <w:color w:val="000000" w:themeColor="text1"/>
      <w:sz w:val="28"/>
      <w:szCs w:val="28"/>
      <w14:textFill>
        <w14:solidFill>
          <w14:schemeClr w14:val="tx1"/>
        </w14:solidFill>
      </w14:textFill>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toc 1"/>
    <w:basedOn w:val="1"/>
    <w:next w:val="1"/>
    <w:unhideWhenUsed/>
    <w:qFormat/>
    <w:uiPriority w:val="39"/>
    <w:pPr>
      <w:tabs>
        <w:tab w:val="right" w:leader="dot" w:pos="9016"/>
      </w:tabs>
      <w:spacing w:before="120" w:after="240" w:line="360" w:lineRule="auto"/>
    </w:pPr>
  </w:style>
  <w:style w:type="paragraph" w:styleId="5">
    <w:name w:val="toc 2"/>
    <w:basedOn w:val="1"/>
    <w:next w:val="1"/>
    <w:unhideWhenUsed/>
    <w:uiPriority w:val="39"/>
    <w:pPr>
      <w:spacing w:after="100"/>
      <w:ind w:left="220"/>
    </w:pPr>
  </w:style>
  <w:style w:type="character" w:styleId="8">
    <w:name w:val="Hyperlink"/>
    <w:basedOn w:val="7"/>
    <w:unhideWhenUsed/>
    <w:uiPriority w:val="99"/>
    <w:rPr>
      <w:color w:val="0026E5" w:themeColor="hyperlink"/>
      <w:u w:val="single"/>
      <w14:textFill>
        <w14:solidFill>
          <w14:schemeClr w14:val="hlink"/>
        </w14:solidFill>
      </w14:textFill>
    </w:rPr>
  </w:style>
  <w:style w:type="paragraph" w:customStyle="1" w:styleId="9">
    <w:name w:val="TOC 标题1"/>
    <w:basedOn w:val="2"/>
    <w:next w:val="1"/>
    <w:unhideWhenUsed/>
    <w:qFormat/>
    <w:uiPriority w:val="39"/>
    <w:pPr>
      <w:spacing w:before="240" w:after="0" w:line="259" w:lineRule="auto"/>
      <w:outlineLvl w:val="9"/>
    </w:pPr>
    <w:rPr>
      <w:kern w:val="0"/>
      <w14:ligatures w14:val="none"/>
    </w:rPr>
  </w:style>
  <w:style w:type="table" w:customStyle="1" w:styleId="10">
    <w:name w:val="网格表 4 - 着色 11"/>
    <w:basedOn w:val="6"/>
    <w:uiPriority w:val="49"/>
    <w:tblPr>
      <w:tblBorders>
        <w:top w:val="single" w:color="91ABDF" w:themeColor="accent1" w:themeTint="99" w:sz="4" w:space="0"/>
        <w:left w:val="single" w:color="91ABDF" w:themeColor="accent1" w:themeTint="99" w:sz="4" w:space="0"/>
        <w:bottom w:val="single" w:color="91ABDF" w:themeColor="accent1" w:themeTint="99" w:sz="4" w:space="0"/>
        <w:right w:val="single" w:color="91ABDF" w:themeColor="accent1" w:themeTint="99" w:sz="4" w:space="0"/>
        <w:insideH w:val="single" w:color="91ABDF" w:themeColor="accent1" w:themeTint="99" w:sz="4" w:space="0"/>
        <w:insideV w:val="single" w:color="91ABDF" w:themeColor="accent1" w:themeTint="99" w:sz="4" w:space="0"/>
      </w:tblBorders>
    </w:tblPr>
    <w:tblStylePr w:type="firstRow">
      <w:rPr>
        <w:b/>
        <w:bCs/>
        <w:color w:val="FFFFFF" w:themeColor="background1"/>
        <w14:textFill>
          <w14:solidFill>
            <w14:schemeClr w14:val="bg1"/>
          </w14:solidFill>
        </w14:textFill>
      </w:rPr>
      <w:tcPr>
        <w:tcBorders>
          <w:top w:val="single" w:color="4874CB" w:themeColor="accent1" w:sz="4" w:space="0"/>
          <w:left w:val="single" w:color="4874CB" w:themeColor="accent1" w:sz="4" w:space="0"/>
          <w:bottom w:val="single" w:color="4874CB" w:themeColor="accent1" w:sz="4" w:space="0"/>
          <w:right w:val="single" w:color="4874CB" w:themeColor="accent1" w:sz="4" w:space="0"/>
          <w:insideH w:val="nil"/>
          <w:insideV w:val="nil"/>
        </w:tcBorders>
        <w:shd w:val="clear" w:color="auto" w:fill="4874CB" w:themeFill="accent1"/>
      </w:tcPr>
    </w:tblStylePr>
    <w:tblStylePr w:type="lastRow">
      <w:rPr>
        <w:b/>
        <w:bCs/>
      </w:rPr>
      <w:tcPr>
        <w:tcBorders>
          <w:top w:val="double" w:color="4874CB" w:themeColor="accent1" w:sz="4" w:space="0"/>
        </w:tcBorders>
      </w:tcPr>
    </w:tblStylePr>
    <w:tblStylePr w:type="firstCol">
      <w:rPr>
        <w:b/>
        <w:bCs/>
      </w:rPr>
    </w:tblStylePr>
    <w:tblStylePr w:type="lastCol">
      <w:rPr>
        <w:b/>
        <w:bCs/>
      </w:rPr>
    </w:tblStylePr>
    <w:tblStylePr w:type="band1Vert">
      <w:tcPr>
        <w:shd w:val="clear" w:color="auto" w:fill="DAE3F4" w:themeFill="accent1" w:themeFillTint="33"/>
      </w:tcPr>
    </w:tblStylePr>
    <w:tblStylePr w:type="band1Horz">
      <w:tcPr>
        <w:shd w:val="clear" w:color="auto" w:fill="DAE3F4" w:themeFill="accent1" w:themeFillTint="33"/>
      </w:tcPr>
    </w:tblStyle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3367</Words>
  <Characters>20698</Characters>
  <Lines>430</Lines>
  <Paragraphs>145</Paragraphs>
  <TotalTime>2757</TotalTime>
  <ScaleCrop>false</ScaleCrop>
  <LinksUpToDate>false</LinksUpToDate>
  <CharactersWithSpaces>24003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2026-03-22T16:27:00Z</dcterms:created>
  <dc:creator>黎煜浩</dc:creator>
  <cp:lastModifiedBy>凌晨五点出逃</cp:lastModifiedBy>
  <dcterms:modified xsi:type="dcterms:W3CDTF">2026-03-24T14:33:32Z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eyJoZGlkIjoiYTIxNWQ1YTc4N2JlODY0MmM3MzU3YjFjZTAzNjdmZWUiLCJ1c2VySWQiOiIxMzQ0OTc3NDY0In0=</vt:lpwstr>
  </property>
  <property fmtid="{D5CDD505-2E9C-101B-9397-08002B2CF9AE}" pid="4" name="ICV">
    <vt:lpwstr>B6E2A607AEEF434F8CDEC4174FB677E1_12</vt:lpwstr>
  </property>
</Properties>
</file>