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9B315E" w14:textId="3B8620AB" w:rsidR="006161BC" w:rsidRDefault="006161BC">
      <w:r>
        <w:t>Assignment 2 BMDS7001 – 2110532</w:t>
      </w:r>
    </w:p>
    <w:p w14:paraId="13A1C40F" w14:textId="632C5202" w:rsidR="006161BC" w:rsidRDefault="006161BC">
      <w:r>
        <w:t>Introduction</w:t>
      </w:r>
    </w:p>
    <w:p w14:paraId="365306D2" w14:textId="6C29576E" w:rsidR="006161BC" w:rsidRDefault="006161BC">
      <w:r>
        <w:t xml:space="preserve">For the first assignment of this module, I undertook a review into the policy aim from A Healthier Wales (Welsh Gov. 2018) whose aim was to establish seamless care between health and social care </w:t>
      </w:r>
      <w:proofErr w:type="gramStart"/>
      <w:r>
        <w:t>through the use of</w:t>
      </w:r>
      <w:proofErr w:type="gramEnd"/>
      <w:r>
        <w:t xml:space="preserve"> a digital system, the Welsh Community Care Information System</w:t>
      </w:r>
      <w:r w:rsidR="00795474">
        <w:t xml:space="preserve"> (WCCIS)</w:t>
      </w:r>
      <w:r>
        <w:t xml:space="preserve">. I utilised the textbook by </w:t>
      </w:r>
      <w:proofErr w:type="spellStart"/>
      <w:r>
        <w:t>Tanguay</w:t>
      </w:r>
      <w:proofErr w:type="spellEnd"/>
      <w:r>
        <w:t xml:space="preserve"> et al (2020) in order to facilitate my own reflections on the process of establishing who may stakeholders were for the assignment and how I sought to undertake a review of the requirements of these individuals, groups or organisations. </w:t>
      </w:r>
    </w:p>
    <w:p w14:paraId="23FCAB9A" w14:textId="5B2E1B25" w:rsidR="00804880" w:rsidRDefault="00804880">
      <w:r>
        <w:t xml:space="preserve">I considered several different models of reflection, some aimed at healthcare and </w:t>
      </w:r>
      <w:proofErr w:type="gramStart"/>
      <w:r>
        <w:t>other’s</w:t>
      </w:r>
      <w:proofErr w:type="gramEnd"/>
      <w:r>
        <w:t xml:space="preserve"> aimed at a more general reflection process. The healthcare leaning models, such as Rolfe (2001), Gibbs (1988) and Kolb (1984) all offered an excellent vantage point from which to assess the effectiveness of the engagement undertaken.</w:t>
      </w:r>
    </w:p>
    <w:p w14:paraId="2D476FEF" w14:textId="73F1B1AD" w:rsidR="00804880" w:rsidRDefault="00804880">
      <w:r>
        <w:t>As a result of wider reading around each of these models, I decided that Rolfe</w:t>
      </w:r>
      <w:r w:rsidR="004974FE">
        <w:t xml:space="preserve"> et al.</w:t>
      </w:r>
      <w:r>
        <w:t xml:space="preserve"> (2001) would be the model I would </w:t>
      </w:r>
      <w:proofErr w:type="gramStart"/>
      <w:r>
        <w:t>u</w:t>
      </w:r>
      <w:r w:rsidR="004974FE">
        <w:t>se</w:t>
      </w:r>
      <w:proofErr w:type="gramEnd"/>
      <w:r>
        <w:t xml:space="preserve"> and the following headings guide my reflections on this topic.</w:t>
      </w:r>
      <w:r w:rsidR="009147A7">
        <w:t xml:space="preserve"> This model comprises of </w:t>
      </w:r>
      <w:r w:rsidR="00E11C92">
        <w:t>w</w:t>
      </w:r>
      <w:r w:rsidR="009147A7">
        <w:t>hat</w:t>
      </w:r>
      <w:r w:rsidR="00E11C92">
        <w:t>,</w:t>
      </w:r>
      <w:r w:rsidR="009147A7">
        <w:t xml:space="preserve"> </w:t>
      </w:r>
      <w:r w:rsidR="00E11C92">
        <w:t>s</w:t>
      </w:r>
      <w:r w:rsidR="009147A7">
        <w:t xml:space="preserve">o </w:t>
      </w:r>
      <w:r w:rsidR="00E11C92">
        <w:t>w</w:t>
      </w:r>
      <w:r w:rsidR="009147A7">
        <w:t xml:space="preserve">hat and </w:t>
      </w:r>
      <w:r w:rsidR="00E11C92">
        <w:t>n</w:t>
      </w:r>
      <w:r w:rsidR="009147A7">
        <w:t xml:space="preserve">ow </w:t>
      </w:r>
      <w:r w:rsidR="00E11C92">
        <w:t>w</w:t>
      </w:r>
      <w:r w:rsidR="009147A7">
        <w:t>hat</w:t>
      </w:r>
      <w:r w:rsidR="00E11C92">
        <w:t>?</w:t>
      </w:r>
    </w:p>
    <w:p w14:paraId="544DAA03" w14:textId="78139501" w:rsidR="006161BC" w:rsidRDefault="006161BC">
      <w:r>
        <w:t>What?</w:t>
      </w:r>
    </w:p>
    <w:p w14:paraId="22483296" w14:textId="5D7D3BEA" w:rsidR="00804880" w:rsidRDefault="00804880">
      <w:r>
        <w:t>During the assignment I was seeking an answer to the question of how Wales</w:t>
      </w:r>
      <w:r w:rsidR="00451A2F">
        <w:t>,</w:t>
      </w:r>
      <w:r>
        <w:t xml:space="preserve"> through </w:t>
      </w:r>
      <w:r w:rsidR="00451A2F">
        <w:t xml:space="preserve">its </w:t>
      </w:r>
      <w:r>
        <w:t>organisations would be able to meet the policy aim of improving seamless care for the citizens of Wales. I began this process by analysing the current status of digital systems within NHS Wales, including the desired future as envisaged by clinicians and citizens. This allowed me to get an idea of the current landscape and the work undertaken since the release of A Healthier Wales in 2018. I considered the functional and non-functional requirements of a system through a series of questionnaires and interviews</w:t>
      </w:r>
      <w:r w:rsidR="00795474">
        <w:t xml:space="preserve">, such as the unpublished work by Oxford Brookes University (2022) in which a comprehensive questionnaire was sent to both users and non-users of WCCIS. The list of stakeholders was extensive and utilising the </w:t>
      </w:r>
      <w:r w:rsidR="00752682">
        <w:t>stakeholder analysis</w:t>
      </w:r>
      <w:r w:rsidR="00795474">
        <w:t xml:space="preserve"> of interest and influence (</w:t>
      </w:r>
      <w:r w:rsidR="00597D59">
        <w:t>Medium.com 2019</w:t>
      </w:r>
      <w:r w:rsidR="00795474">
        <w:t>) I was able to concentrate on those who demonstrated high interest and high influence, such Chief Clinical Information Officers, Chief Digital Officers and Heads of Information Technology. A list was constructed during a recent engagement strategy by Digital Health and Care Wales</w:t>
      </w:r>
      <w:r w:rsidR="001A4C24">
        <w:t xml:space="preserve"> which has not been published currently, but </w:t>
      </w:r>
      <w:r w:rsidR="00333F92">
        <w:t xml:space="preserve">a part of the </w:t>
      </w:r>
      <w:r w:rsidR="001A4C24">
        <w:t>table is included below:</w:t>
      </w:r>
    </w:p>
    <w:tbl>
      <w:tblPr>
        <w:tblStyle w:val="TableGrid"/>
        <w:tblW w:w="0" w:type="auto"/>
        <w:tblLook w:val="04A0" w:firstRow="1" w:lastRow="0" w:firstColumn="1" w:lastColumn="0" w:noHBand="0" w:noVBand="1"/>
      </w:tblPr>
      <w:tblGrid>
        <w:gridCol w:w="4508"/>
        <w:gridCol w:w="4508"/>
      </w:tblGrid>
      <w:tr w:rsidR="006B5FCE" w14:paraId="5885ECFA" w14:textId="77777777" w:rsidTr="006B5FCE">
        <w:tc>
          <w:tcPr>
            <w:tcW w:w="4508" w:type="dxa"/>
          </w:tcPr>
          <w:p w14:paraId="203C6870" w14:textId="51A42D5A" w:rsidR="006B5FCE" w:rsidRDefault="006B5FCE">
            <w:r>
              <w:t>Category</w:t>
            </w:r>
          </w:p>
        </w:tc>
        <w:tc>
          <w:tcPr>
            <w:tcW w:w="4508" w:type="dxa"/>
          </w:tcPr>
          <w:p w14:paraId="487F58FE" w14:textId="6386633B" w:rsidR="006B5FCE" w:rsidRDefault="006B5FCE">
            <w:r>
              <w:t>Summary descriptor</w:t>
            </w:r>
          </w:p>
        </w:tc>
      </w:tr>
      <w:tr w:rsidR="006B5FCE" w14:paraId="4191BB91" w14:textId="77777777" w:rsidTr="006B5FCE">
        <w:tc>
          <w:tcPr>
            <w:tcW w:w="4508" w:type="dxa"/>
          </w:tcPr>
          <w:p w14:paraId="24E11175" w14:textId="082AA68A" w:rsidR="006B5FCE" w:rsidRDefault="006B5FCE">
            <w:r>
              <w:t>Community services and social care</w:t>
            </w:r>
          </w:p>
        </w:tc>
        <w:tc>
          <w:tcPr>
            <w:tcW w:w="4508" w:type="dxa"/>
          </w:tcPr>
          <w:p w14:paraId="696778CA" w14:textId="7EB3EA50" w:rsidR="006B5FCE" w:rsidRDefault="00A611ED">
            <w:r>
              <w:t>Social care sector, AHP</w:t>
            </w:r>
            <w:r w:rsidR="00A57931">
              <w:t xml:space="preserve"> and community nurses</w:t>
            </w:r>
          </w:p>
        </w:tc>
      </w:tr>
      <w:tr w:rsidR="006B5FCE" w14:paraId="646F8379" w14:textId="77777777" w:rsidTr="006B5FCE">
        <w:tc>
          <w:tcPr>
            <w:tcW w:w="4508" w:type="dxa"/>
          </w:tcPr>
          <w:p w14:paraId="0ED58FE2" w14:textId="43589C60" w:rsidR="006B5FCE" w:rsidRDefault="006B5FCE">
            <w:r>
              <w:t>Digital and data</w:t>
            </w:r>
          </w:p>
        </w:tc>
        <w:tc>
          <w:tcPr>
            <w:tcW w:w="4508" w:type="dxa"/>
          </w:tcPr>
          <w:p w14:paraId="31FD7B4A" w14:textId="7B905676" w:rsidR="006B5FCE" w:rsidRDefault="00A57931">
            <w:r>
              <w:t>Leads in NHS Wales, Chief Digital Officers</w:t>
            </w:r>
          </w:p>
        </w:tc>
      </w:tr>
      <w:tr w:rsidR="006B5FCE" w14:paraId="773CC5C4" w14:textId="77777777" w:rsidTr="006B5FCE">
        <w:tc>
          <w:tcPr>
            <w:tcW w:w="4508" w:type="dxa"/>
          </w:tcPr>
          <w:p w14:paraId="25139EA3" w14:textId="7D462C27" w:rsidR="006B5FCE" w:rsidRDefault="00A611ED">
            <w:r>
              <w:t>Patients and public</w:t>
            </w:r>
          </w:p>
        </w:tc>
        <w:tc>
          <w:tcPr>
            <w:tcW w:w="4508" w:type="dxa"/>
          </w:tcPr>
          <w:p w14:paraId="7CB99958" w14:textId="45F1A622" w:rsidR="006B5FCE" w:rsidRDefault="00333F92" w:rsidP="00434318">
            <w:pPr>
              <w:keepNext/>
            </w:pPr>
            <w:r>
              <w:t>Patients, carers and others who support</w:t>
            </w:r>
          </w:p>
        </w:tc>
      </w:tr>
    </w:tbl>
    <w:p w14:paraId="6C2B588A" w14:textId="6AF5AC69" w:rsidR="001A4C24" w:rsidRDefault="00434318" w:rsidP="00434318">
      <w:pPr>
        <w:pStyle w:val="Caption"/>
      </w:pPr>
      <w:r>
        <w:t xml:space="preserve">Table </w:t>
      </w:r>
      <w:fldSimple w:instr=" SEQ Table \* ARABIC ">
        <w:r>
          <w:rPr>
            <w:noProof/>
          </w:rPr>
          <w:t>1</w:t>
        </w:r>
      </w:fldSimple>
      <w:r>
        <w:t xml:space="preserve"> Digital Health and Care Wales (2021)</w:t>
      </w:r>
    </w:p>
    <w:p w14:paraId="303BC163" w14:textId="2CEA6E24" w:rsidR="006161BC" w:rsidRDefault="006161BC">
      <w:r>
        <w:t>So what?</w:t>
      </w:r>
    </w:p>
    <w:p w14:paraId="38902F39" w14:textId="2E301B0A" w:rsidR="00795474" w:rsidRDefault="00795474">
      <w:r>
        <w:t xml:space="preserve">During the engagement exercise it was clear that there is a large divide between the desire of the policy aim versus the plan to deliver such an outcome as seamless care. The programme of WCCIS has been live since </w:t>
      </w:r>
      <w:proofErr w:type="gramStart"/>
      <w:r>
        <w:t>2016, but</w:t>
      </w:r>
      <w:proofErr w:type="gramEnd"/>
      <w:r>
        <w:t xml:space="preserve"> was born many years before and so a programme that has yet to be delivered in its entirety now comes with significant concerns from organisations and individuals who are yet to commit to the programme. Also, it was clear from </w:t>
      </w:r>
      <w:r w:rsidR="00D91C11">
        <w:t>one-to-one</w:t>
      </w:r>
      <w:r>
        <w:t xml:space="preserve"> engagements that technology has moved on and so the requirements to be tied to a single system that is server based and doesn’t offer offline functions will struggle in today’s climate of remote working and </w:t>
      </w:r>
      <w:proofErr w:type="gramStart"/>
      <w:r>
        <w:t>cloud based</w:t>
      </w:r>
      <w:proofErr w:type="gramEnd"/>
      <w:r>
        <w:t xml:space="preserve"> products</w:t>
      </w:r>
      <w:r w:rsidR="000234C0">
        <w:t xml:space="preserve"> as explained by Avram (2014</w:t>
      </w:r>
      <w:r>
        <w:t>).</w:t>
      </w:r>
      <w:r w:rsidR="001A4C24">
        <w:t xml:space="preserve"> It was clear that utilising a pre-</w:t>
      </w:r>
      <w:r w:rsidR="00F74664">
        <w:t>existing</w:t>
      </w:r>
      <w:r w:rsidR="001A4C24">
        <w:t xml:space="preserve"> questionnaire </w:t>
      </w:r>
      <w:r w:rsidR="001A4C24">
        <w:lastRenderedPageBreak/>
        <w:t xml:space="preserve">would allow me to gain the </w:t>
      </w:r>
      <w:r w:rsidR="00E06AEC">
        <w:t>highest volume</w:t>
      </w:r>
      <w:r w:rsidR="00D43A0C">
        <w:t xml:space="preserve"> of </w:t>
      </w:r>
      <w:proofErr w:type="gramStart"/>
      <w:r w:rsidR="00D43A0C">
        <w:t>responses</w:t>
      </w:r>
      <w:proofErr w:type="gramEnd"/>
      <w:r w:rsidR="001A4C24">
        <w:t xml:space="preserve"> but the static nature of the data did not allow for further </w:t>
      </w:r>
      <w:r w:rsidR="00D43A0C">
        <w:t>elucidation</w:t>
      </w:r>
      <w:r w:rsidR="001A4C24">
        <w:t xml:space="preserve"> to be sought and so there was an advantage to the interviews and informal discussions I undertook with stakeholders as I was able to delve further into thoughts and beliefs about the topic that a questionnaire was unable to do. The ability to undertake semi-structured interviews (reference) allowed for more valuable information to be </w:t>
      </w:r>
      <w:r w:rsidR="00F74664">
        <w:t>gleaned</w:t>
      </w:r>
      <w:r w:rsidR="001A4C24">
        <w:t xml:space="preserve"> from the limited interactions available to me throughout the research phase of the assignment. </w:t>
      </w:r>
      <w:r w:rsidR="00F74664">
        <w:t xml:space="preserve">As part of the engagement </w:t>
      </w:r>
      <w:proofErr w:type="gramStart"/>
      <w:r w:rsidR="00F74664">
        <w:t>process</w:t>
      </w:r>
      <w:proofErr w:type="gramEnd"/>
      <w:r w:rsidR="00F74664">
        <w:t xml:space="preserve"> I had to establish the more efficient means of engagement as this varied depending on the type of individual or group and whether it was undertaken individually or as a workshop type event.</w:t>
      </w:r>
      <w:r w:rsidR="007C1019">
        <w:t xml:space="preserve"> </w:t>
      </w:r>
      <w:r w:rsidR="00462C45">
        <w:t>Certain</w:t>
      </w:r>
      <w:r w:rsidR="000878B4">
        <w:t xml:space="preserve"> individuals or groups or events are more suited to a certain type of engagement, be that a questionnaire, an interview or </w:t>
      </w:r>
      <w:r w:rsidR="00831ABC">
        <w:t>a semi-structure workshop.</w:t>
      </w:r>
    </w:p>
    <w:p w14:paraId="6E0D32D3" w14:textId="6C902379" w:rsidR="007C1019" w:rsidRDefault="00831ABC">
      <w:r>
        <w:t xml:space="preserve">As I </w:t>
      </w:r>
      <w:proofErr w:type="gramStart"/>
      <w:r>
        <w:t>reflect back</w:t>
      </w:r>
      <w:proofErr w:type="gramEnd"/>
      <w:r>
        <w:t xml:space="preserve"> on the engagement undertaken for assignment 1</w:t>
      </w:r>
      <w:r w:rsidR="00746001">
        <w:t xml:space="preserve">, I am able to see the benefits of the questionnaire </w:t>
      </w:r>
      <w:r w:rsidR="00E2771E">
        <w:t xml:space="preserve">as reported by Hunter (2012) in their paper analysing the </w:t>
      </w:r>
      <w:r w:rsidR="00213AD6">
        <w:t xml:space="preserve">supposed disadvantages of electronic </w:t>
      </w:r>
      <w:r w:rsidR="00605AA3">
        <w:t>questionnaires</w:t>
      </w:r>
      <w:r w:rsidR="00A47E7C">
        <w:t xml:space="preserve"> </w:t>
      </w:r>
      <w:r w:rsidR="00650729">
        <w:t>and</w:t>
      </w:r>
      <w:r w:rsidR="00D746B1">
        <w:t xml:space="preserve"> </w:t>
      </w:r>
      <w:r w:rsidR="00A47E7C">
        <w:t xml:space="preserve">as </w:t>
      </w:r>
      <w:r w:rsidR="00D746B1">
        <w:t xml:space="preserve">also </w:t>
      </w:r>
      <w:r w:rsidR="00A47E7C">
        <w:t xml:space="preserve">highlighted by </w:t>
      </w:r>
      <w:r w:rsidR="00B9271C">
        <w:t xml:space="preserve">Edwards (2010) who noted that required further analysis by </w:t>
      </w:r>
      <w:r w:rsidR="00433E77">
        <w:t xml:space="preserve">the researcher in order to garner the themes from an </w:t>
      </w:r>
      <w:r w:rsidR="00B811F9">
        <w:t>open-ended</w:t>
      </w:r>
      <w:r w:rsidR="00433E77">
        <w:t xml:space="preserve"> question</w:t>
      </w:r>
      <w:r w:rsidR="00605AA3">
        <w:t xml:space="preserve">. They </w:t>
      </w:r>
      <w:proofErr w:type="gramStart"/>
      <w:r w:rsidR="00605AA3">
        <w:t>are able to</w:t>
      </w:r>
      <w:proofErr w:type="gramEnd"/>
      <w:r w:rsidR="00605AA3">
        <w:t xml:space="preserve"> be </w:t>
      </w:r>
      <w:r w:rsidR="00746001">
        <w:t>shared f</w:t>
      </w:r>
      <w:r w:rsidR="008D5811">
        <w:t>urther</w:t>
      </w:r>
      <w:r w:rsidR="00746001">
        <w:t xml:space="preserve"> and wide</w:t>
      </w:r>
      <w:r w:rsidR="008D5811">
        <w:t>r</w:t>
      </w:r>
      <w:r w:rsidR="00FB1737">
        <w:t xml:space="preserve"> as demonstrated </w:t>
      </w:r>
      <w:r w:rsidR="009310FC">
        <w:t xml:space="preserve">by </w:t>
      </w:r>
      <w:proofErr w:type="spellStart"/>
      <w:r w:rsidR="005D3D45">
        <w:t>Brender-llan</w:t>
      </w:r>
      <w:proofErr w:type="spellEnd"/>
      <w:r w:rsidR="005D3D45">
        <w:t xml:space="preserve"> and </w:t>
      </w:r>
      <w:proofErr w:type="spellStart"/>
      <w:r w:rsidR="005D3D45">
        <w:t>Vinitzky</w:t>
      </w:r>
      <w:proofErr w:type="spellEnd"/>
      <w:r w:rsidR="005D3D45">
        <w:t xml:space="preserve"> (2013)</w:t>
      </w:r>
      <w:r w:rsidR="00746001">
        <w:t xml:space="preserve">, capturing </w:t>
      </w:r>
      <w:r w:rsidR="000C31D3">
        <w:t xml:space="preserve">structured and non-structured data in a form which could easily be reported on, but importantly the questionnaire </w:t>
      </w:r>
      <w:r w:rsidR="00F7024F">
        <w:t xml:space="preserve">was not able to capture the emotion of the respondent and was not able to expand on certain topics which may have proved valuable to the </w:t>
      </w:r>
      <w:r w:rsidR="00456C58">
        <w:t xml:space="preserve">task. The positives of the questionnaire however were that it was shared extensively and had </w:t>
      </w:r>
      <w:r w:rsidR="00AD286F">
        <w:t xml:space="preserve">many responses, far more than could have been achieved through one-to-one interviews. With regards to the one-to-one interviews, I was </w:t>
      </w:r>
      <w:r w:rsidR="00F87079">
        <w:t>confident the contacts I had</w:t>
      </w:r>
      <w:r w:rsidR="00AE30EB">
        <w:t xml:space="preserve"> were</w:t>
      </w:r>
      <w:r w:rsidR="00F87079">
        <w:t xml:space="preserve"> individuals with high interest and high influence, which meant what they had to say was </w:t>
      </w:r>
      <w:r w:rsidR="00AC5A7E">
        <w:t>going to be useful in clarifying the benefits and the concerns held by organisations</w:t>
      </w:r>
      <w:r w:rsidR="005D6FA5">
        <w:t xml:space="preserve"> across Wales</w:t>
      </w:r>
      <w:r w:rsidR="003263BA">
        <w:t xml:space="preserve"> but as noted in their paper </w:t>
      </w:r>
      <w:proofErr w:type="spellStart"/>
      <w:r w:rsidR="003263BA">
        <w:t>Brender-llan</w:t>
      </w:r>
      <w:proofErr w:type="spellEnd"/>
      <w:r w:rsidR="003263BA">
        <w:t xml:space="preserve"> and </w:t>
      </w:r>
      <w:proofErr w:type="spellStart"/>
      <w:r w:rsidR="003263BA">
        <w:t>Vin</w:t>
      </w:r>
      <w:r w:rsidR="00041C74">
        <w:t>itzky</w:t>
      </w:r>
      <w:proofErr w:type="spellEnd"/>
      <w:r w:rsidR="00041C74">
        <w:t xml:space="preserve"> (2013) noted questionnaires were more likely to </w:t>
      </w:r>
      <w:r w:rsidR="00994D10">
        <w:t>produce negative responses as respondents felt more confident to share negative views</w:t>
      </w:r>
      <w:r w:rsidR="00CB323F">
        <w:t>, so interviews had to be conducted in a way which allowed for negative views to be shared</w:t>
      </w:r>
      <w:r w:rsidR="005D6FA5">
        <w:t xml:space="preserve">. As there were no structured questions in the interviews, I was able to target the conversation towards areas of particular interest for the person sat in front of me. An example of this is a colleague from </w:t>
      </w:r>
      <w:r w:rsidR="00034BF6">
        <w:t>Aneurin</w:t>
      </w:r>
      <w:r w:rsidR="005D6FA5">
        <w:t xml:space="preserve"> Bevan University Health Board</w:t>
      </w:r>
      <w:r w:rsidR="00797885">
        <w:t xml:space="preserve"> who do not currently align to the national </w:t>
      </w:r>
      <w:r w:rsidR="00EC4B06">
        <w:t>architecture</w:t>
      </w:r>
      <w:r w:rsidR="00797885">
        <w:t xml:space="preserve"> and so open standards are something which remain a high priority if the policy aim of seamless care is to be achieved inside their boundary</w:t>
      </w:r>
      <w:r w:rsidR="005D45E9">
        <w:t>, I asked questions around the priority of the Health Board to align with the national standards</w:t>
      </w:r>
      <w:r w:rsidR="00997A1F">
        <w:t>, whereas for others, they already align and so I was able to ask different questions.</w:t>
      </w:r>
    </w:p>
    <w:p w14:paraId="1E6A2D66" w14:textId="3BD363FA" w:rsidR="006161BC" w:rsidRDefault="006161BC">
      <w:r>
        <w:t>Now what?</w:t>
      </w:r>
    </w:p>
    <w:p w14:paraId="37AF3321" w14:textId="14D863F4" w:rsidR="001C5AFC" w:rsidRDefault="00840967">
      <w:r>
        <w:t xml:space="preserve">As I have become more of </w:t>
      </w:r>
      <w:r w:rsidR="0073544C">
        <w:t>reflective</w:t>
      </w:r>
      <w:r>
        <w:t xml:space="preserve"> practitioner throughout this process, as opposed to undertaking reflection for the sake of reflection</w:t>
      </w:r>
      <w:r w:rsidR="006320C1">
        <w:t xml:space="preserve"> </w:t>
      </w:r>
      <w:r w:rsidR="00411EF9">
        <w:t>(</w:t>
      </w:r>
      <w:proofErr w:type="spellStart"/>
      <w:r w:rsidR="00411EF9">
        <w:t>Tanquay</w:t>
      </w:r>
      <w:proofErr w:type="spellEnd"/>
      <w:r w:rsidR="00411EF9">
        <w:t xml:space="preserve"> et al. 2020)</w:t>
      </w:r>
      <w:r>
        <w:t xml:space="preserve">, it has changed how I </w:t>
      </w:r>
      <w:r w:rsidR="00EF2438">
        <w:t xml:space="preserve">would approach stakeholder engagement in the future. The ability to identify themes from </w:t>
      </w:r>
      <w:r w:rsidR="001C720E">
        <w:t xml:space="preserve">data is </w:t>
      </w:r>
      <w:r w:rsidR="002A1514">
        <w:t>key but</w:t>
      </w:r>
      <w:r w:rsidR="001C720E">
        <w:t xml:space="preserve"> understanding that even through questionnaires you are liable to experience bias</w:t>
      </w:r>
      <w:r w:rsidR="00145ACA">
        <w:t xml:space="preserve"> from a particularly loud organisation or group of individuals. This can be mitigated by adding selective one-to-one interviews or by ensuring a fair</w:t>
      </w:r>
      <w:r w:rsidR="000A27BF">
        <w:t xml:space="preserve"> representation of </w:t>
      </w:r>
      <w:r w:rsidR="00663B39">
        <w:t>respondents</w:t>
      </w:r>
      <w:r w:rsidR="000A27BF">
        <w:t xml:space="preserve"> from those invited to respond. This can be particularly evident during workshops</w:t>
      </w:r>
      <w:r w:rsidR="00CC77F3">
        <w:t xml:space="preserve"> where strong characters can inadvertently or on purpose steer the conversation in a </w:t>
      </w:r>
      <w:r w:rsidR="002A1514">
        <w:t>direction,</w:t>
      </w:r>
      <w:r w:rsidR="00CC77F3">
        <w:t xml:space="preserve"> they see fit.</w:t>
      </w:r>
      <w:r w:rsidR="00B1122B">
        <w:t xml:space="preserve"> I have always aimed to run workshops like this more fairly as quietness does not always equate to not having a</w:t>
      </w:r>
      <w:r w:rsidR="005364BC">
        <w:t>n opinion</w:t>
      </w:r>
      <w:r w:rsidR="00B1122B">
        <w:t xml:space="preserve"> and being vocal does not always equate to being correct</w:t>
      </w:r>
      <w:r w:rsidR="009A166E">
        <w:t xml:space="preserve">. </w:t>
      </w:r>
      <w:r w:rsidR="002A1514">
        <w:t>Therefore,</w:t>
      </w:r>
      <w:r w:rsidR="009A166E">
        <w:t xml:space="preserve"> I would aim to name </w:t>
      </w:r>
      <w:r w:rsidR="00663B39">
        <w:t>individuals</w:t>
      </w:r>
      <w:r w:rsidR="009A166E">
        <w:t xml:space="preserve"> during the workshop and ask for their thoughts as opposed to waiting for the </w:t>
      </w:r>
      <w:r w:rsidR="00CC337C">
        <w:t xml:space="preserve">dominant </w:t>
      </w:r>
      <w:r w:rsidR="009A166E">
        <w:t>individual</w:t>
      </w:r>
      <w:r w:rsidR="005364BC">
        <w:t>s</w:t>
      </w:r>
      <w:r w:rsidR="009A166E">
        <w:t xml:space="preserve"> to </w:t>
      </w:r>
      <w:r w:rsidR="000E3B33">
        <w:t xml:space="preserve">take control again. By doing this, it empowers others in the group and allows for a more diverse opinion to be </w:t>
      </w:r>
      <w:r w:rsidR="00EF326E">
        <w:t xml:space="preserve">obtained from the workshop. This is a vital skill in all areas of engagement and </w:t>
      </w:r>
      <w:r w:rsidR="00A37D10">
        <w:t xml:space="preserve">takes a strong leader in order </w:t>
      </w:r>
      <w:r w:rsidR="00A37D10">
        <w:lastRenderedPageBreak/>
        <w:t>to steer the conversation along the desired path rather than being led by a participant</w:t>
      </w:r>
      <w:r w:rsidR="001B42A8">
        <w:t>. By doing this, a better and more rounded</w:t>
      </w:r>
      <w:r w:rsidR="00F077C8">
        <w:t xml:space="preserve"> outcome will be delivered by the engagement and the output will be of more use strategically as you have engaged and listened</w:t>
      </w:r>
      <w:r w:rsidR="001C1258">
        <w:t xml:space="preserve"> to a diverse group and analysed the data to form themes and a roadmap for delivery of the policy aim.</w:t>
      </w:r>
    </w:p>
    <w:p w14:paraId="7300A2E3" w14:textId="75D2C291" w:rsidR="006161BC" w:rsidRDefault="00362083">
      <w:r>
        <w:t xml:space="preserve">As a reflective piece of work regarding assignment 1, I have </w:t>
      </w:r>
      <w:r w:rsidR="00013EDD">
        <w:t xml:space="preserve">considered who my stakeholders </w:t>
      </w:r>
      <w:r w:rsidR="00D521E0">
        <w:t xml:space="preserve">are </w:t>
      </w:r>
      <w:r w:rsidR="00013EDD">
        <w:t xml:space="preserve">and the various methods available for engagement </w:t>
      </w:r>
      <w:r w:rsidR="002A1514">
        <w:t>depending on</w:t>
      </w:r>
      <w:r w:rsidR="00D521E0">
        <w:t xml:space="preserve"> the desired outcomes</w:t>
      </w:r>
      <w:r w:rsidR="00AB7929">
        <w:t>. I</w:t>
      </w:r>
      <w:r w:rsidR="00B81CD0">
        <w:t>t is known</w:t>
      </w:r>
      <w:r w:rsidR="00AB7929">
        <w:t xml:space="preserve"> that when searching for quantity,</w:t>
      </w:r>
      <w:r w:rsidR="00A7638E">
        <w:t xml:space="preserve"> electronic questionnaires can be utilised to maximum effect as they are free</w:t>
      </w:r>
      <w:r w:rsidR="00E26151">
        <w:t>, easily distributed and by using closed questions, can be analysed quickly to generate themes</w:t>
      </w:r>
      <w:r w:rsidR="000648E5">
        <w:t xml:space="preserve"> for ongoing consideration. However, as noted by</w:t>
      </w:r>
      <w:r w:rsidR="00F6765D">
        <w:t xml:space="preserve"> Edwards (2010) this data may require further analysis by the researcher</w:t>
      </w:r>
      <w:r w:rsidR="006801F4">
        <w:t xml:space="preserve">. The alternatives of </w:t>
      </w:r>
      <w:r w:rsidR="002A1514">
        <w:t>face-to-face</w:t>
      </w:r>
      <w:r w:rsidR="006801F4">
        <w:t xml:space="preserve"> interviews or workshops offer the opportunity to delve further into themes as they emerge, garnering more detailed</w:t>
      </w:r>
      <w:r w:rsidR="004B7648">
        <w:t xml:space="preserve"> opinions immediately, but can be driven by domina</w:t>
      </w:r>
      <w:r w:rsidR="008F2C6E">
        <w:t xml:space="preserve">nt individuals and so are at risk of </w:t>
      </w:r>
      <w:r w:rsidR="00CE48A0">
        <w:t>groupthink rather than analysis critically and voicing perhaps controversial opinions – even if they are right</w:t>
      </w:r>
      <w:r w:rsidR="00A0504F">
        <w:t xml:space="preserve"> as described by </w:t>
      </w:r>
      <w:r w:rsidR="00DA69C8">
        <w:t>Mindtools.com (2022)</w:t>
      </w:r>
      <w:r w:rsidR="00C87914">
        <w:t>.</w:t>
      </w:r>
    </w:p>
    <w:p w14:paraId="796F9E39" w14:textId="77777777" w:rsidR="00A26152" w:rsidRDefault="00A26152" w:rsidP="00A26152">
      <w:r>
        <w:t>References</w:t>
      </w:r>
    </w:p>
    <w:p w14:paraId="4A15DD81" w14:textId="77777777" w:rsidR="00A26152" w:rsidRDefault="00A26152" w:rsidP="00A26152">
      <w:pPr>
        <w:jc w:val="both"/>
        <w:rPr>
          <w:rFonts w:ascii="Arial" w:hAnsi="Arial" w:cs="Arial"/>
          <w:sz w:val="24"/>
          <w:szCs w:val="24"/>
        </w:rPr>
      </w:pPr>
      <w:r w:rsidRPr="009E1B7D">
        <w:rPr>
          <w:rFonts w:ascii="Arial" w:hAnsi="Arial" w:cs="Arial"/>
          <w:sz w:val="24"/>
          <w:szCs w:val="24"/>
        </w:rPr>
        <w:t xml:space="preserve">Welsh Government. Department of Health and Social Services (2018). </w:t>
      </w:r>
      <w:r w:rsidRPr="00D60F91">
        <w:rPr>
          <w:rFonts w:ascii="Arial" w:hAnsi="Arial" w:cs="Arial"/>
          <w:i/>
          <w:iCs/>
          <w:sz w:val="24"/>
          <w:szCs w:val="24"/>
        </w:rPr>
        <w:t xml:space="preserve">A Healthier Wales: our Plan and Social Care, national design principles to drive change and transformation. </w:t>
      </w:r>
      <w:r w:rsidRPr="009E1B7D">
        <w:rPr>
          <w:rFonts w:ascii="Arial" w:hAnsi="Arial" w:cs="Arial"/>
          <w:sz w:val="24"/>
          <w:szCs w:val="24"/>
        </w:rPr>
        <w:t>Available at: https://www.basw.co.uk/system/files/resources/180608healthier-wales-mainen.pdf (Accessed 02 February 2022).</w:t>
      </w:r>
    </w:p>
    <w:p w14:paraId="43DF6DD0" w14:textId="77777777" w:rsidR="00A26152" w:rsidRDefault="00A26152" w:rsidP="00A26152"/>
    <w:p w14:paraId="6D849722" w14:textId="77777777" w:rsidR="00A26152" w:rsidRDefault="00A26152" w:rsidP="00A26152">
      <w:r>
        <w:t>Oxford Brookes University</w:t>
      </w:r>
    </w:p>
    <w:p w14:paraId="12A6D3A3" w14:textId="77777777" w:rsidR="00A26152" w:rsidRPr="003C6BB7" w:rsidRDefault="00A26152" w:rsidP="00A26152">
      <w:pPr>
        <w:jc w:val="both"/>
        <w:rPr>
          <w:rFonts w:ascii="Arial" w:hAnsi="Arial" w:cs="Arial"/>
          <w:sz w:val="24"/>
          <w:szCs w:val="24"/>
        </w:rPr>
      </w:pPr>
      <w:r w:rsidRPr="009E1B7D">
        <w:rPr>
          <w:rFonts w:ascii="Arial" w:hAnsi="Arial" w:cs="Arial"/>
          <w:color w:val="242424"/>
          <w:sz w:val="24"/>
          <w:szCs w:val="24"/>
          <w:shd w:val="clear" w:color="auto" w:fill="FFFFFF"/>
        </w:rPr>
        <w:t>Oxford Brookes University. (2021) </w:t>
      </w:r>
      <w:r w:rsidRPr="009E1B7D">
        <w:rPr>
          <w:rStyle w:val="Emphasis"/>
          <w:rFonts w:ascii="Arial" w:hAnsi="Arial" w:cs="Arial"/>
          <w:color w:val="242424"/>
          <w:sz w:val="24"/>
          <w:szCs w:val="24"/>
          <w:shd w:val="clear" w:color="auto" w:fill="FFFFFF"/>
        </w:rPr>
        <w:t>Welsh Government WCCIS User Survey Report. </w:t>
      </w:r>
      <w:r w:rsidRPr="009E1B7D">
        <w:rPr>
          <w:rFonts w:ascii="Arial" w:hAnsi="Arial" w:cs="Arial"/>
          <w:color w:val="242424"/>
          <w:sz w:val="24"/>
          <w:szCs w:val="24"/>
          <w:shd w:val="clear" w:color="auto" w:fill="FFFFFF"/>
        </w:rPr>
        <w:t>Internal Oxford Brookes University and Welsh Government report. Unpublished</w:t>
      </w:r>
    </w:p>
    <w:p w14:paraId="2511D76D" w14:textId="77777777" w:rsidR="00A26152" w:rsidRDefault="00A26152" w:rsidP="00A26152">
      <w:r>
        <w:t xml:space="preserve">Schuurman, R. (2019) Creating a Stakeholder Analysis: How do you do that? Available at: </w:t>
      </w:r>
      <w:r w:rsidRPr="002145D4">
        <w:t>https://medium.com/the-value-maximizers/creating-a-stakeholder-analysis-how-do-you-do-that-</w:t>
      </w:r>
      <w:r>
        <w:t xml:space="preserve"> </w:t>
      </w:r>
      <w:r w:rsidRPr="002145D4">
        <w:t>b2b8198ca6c</w:t>
      </w:r>
      <w:r>
        <w:t xml:space="preserve"> (Accessed 5th May 2022)</w:t>
      </w:r>
    </w:p>
    <w:p w14:paraId="388247D1" w14:textId="77777777" w:rsidR="00A26152" w:rsidRDefault="00A26152" w:rsidP="00A26152">
      <w:r>
        <w:t>DHCW Stakeholder engagement strategy unpublished</w:t>
      </w:r>
    </w:p>
    <w:p w14:paraId="7909E0E2" w14:textId="77777777" w:rsidR="00A26152" w:rsidRDefault="00A26152" w:rsidP="00A26152">
      <w:r>
        <w:rPr>
          <w:rFonts w:ascii="Arial" w:hAnsi="Arial" w:cs="Arial"/>
          <w:color w:val="222222"/>
          <w:sz w:val="20"/>
          <w:szCs w:val="20"/>
          <w:shd w:val="clear" w:color="auto" w:fill="FFFFFF"/>
        </w:rPr>
        <w:t>Hunter, L., 2012. Challenging the reported disadvantages of e-questionnaires and addressing methodological issues of online data collection. </w:t>
      </w:r>
      <w:r>
        <w:rPr>
          <w:rFonts w:ascii="Arial" w:hAnsi="Arial" w:cs="Arial"/>
          <w:i/>
          <w:iCs/>
          <w:color w:val="222222"/>
          <w:sz w:val="20"/>
          <w:szCs w:val="20"/>
          <w:shd w:val="clear" w:color="auto" w:fill="FFFFFF"/>
        </w:rPr>
        <w:t>Nurse researcher</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(1).</w:t>
      </w:r>
    </w:p>
    <w:p w14:paraId="0B0534A4" w14:textId="77777777" w:rsidR="00A26152" w:rsidRDefault="00A26152" w:rsidP="00A26152">
      <w:r>
        <w:rPr>
          <w:rFonts w:ascii="Arial" w:hAnsi="Arial" w:cs="Arial"/>
          <w:color w:val="222222"/>
          <w:sz w:val="20"/>
          <w:szCs w:val="20"/>
          <w:shd w:val="clear" w:color="auto" w:fill="FFFFFF"/>
        </w:rPr>
        <w:t>Edwards, P., 2010. Questionnaires in clinical trials: guidelines for optimal design and administration. </w:t>
      </w:r>
      <w:r>
        <w:rPr>
          <w:rFonts w:ascii="Arial" w:hAnsi="Arial" w:cs="Arial"/>
          <w:i/>
          <w:iCs/>
          <w:color w:val="222222"/>
          <w:sz w:val="20"/>
          <w:szCs w:val="20"/>
          <w:shd w:val="clear" w:color="auto" w:fill="FFFFFF"/>
        </w:rPr>
        <w:t>Trials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(1), pp.1-8.</w:t>
      </w:r>
      <w:r>
        <w:t xml:space="preserve"> 2010</w:t>
      </w:r>
    </w:p>
    <w:p w14:paraId="61C138D7" w14:textId="77777777" w:rsidR="00A26152" w:rsidRDefault="00A26152" w:rsidP="00A26152">
      <w:r>
        <w:t xml:space="preserve">Groupthink Mindtools </w:t>
      </w:r>
      <w:hyperlink r:id="rId7" w:history="1">
        <w:r w:rsidRPr="00C1524D">
          <w:rPr>
            <w:rStyle w:val="Hyperlink"/>
          </w:rPr>
          <w:t>https://www.mindtools.com/pages/article/newLDR_82.htm#:~:text=Groupthink%20is%20a%20phenomenon%20that,decision%2Dmaking%20and%20problem%20solving</w:t>
        </w:r>
      </w:hyperlink>
      <w:r w:rsidRPr="00873B4E">
        <w:t>.</w:t>
      </w:r>
    </w:p>
    <w:p w14:paraId="4CAE71F6" w14:textId="77777777" w:rsidR="00A26152" w:rsidRDefault="00A26152" w:rsidP="00A26152">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Brender-Ilan</w:t>
      </w:r>
      <w:proofErr w:type="spellEnd"/>
      <w:r>
        <w:rPr>
          <w:rFonts w:ascii="Arial" w:hAnsi="Arial" w:cs="Arial"/>
          <w:color w:val="222222"/>
          <w:sz w:val="20"/>
          <w:szCs w:val="20"/>
          <w:shd w:val="clear" w:color="auto" w:fill="FFFFFF"/>
        </w:rPr>
        <w:t xml:space="preserve">, Y. and </w:t>
      </w:r>
      <w:proofErr w:type="spellStart"/>
      <w:r>
        <w:rPr>
          <w:rFonts w:ascii="Arial" w:hAnsi="Arial" w:cs="Arial"/>
          <w:color w:val="222222"/>
          <w:sz w:val="20"/>
          <w:szCs w:val="20"/>
          <w:shd w:val="clear" w:color="auto" w:fill="FFFFFF"/>
        </w:rPr>
        <w:t>Vinitzky</w:t>
      </w:r>
      <w:proofErr w:type="spellEnd"/>
      <w:r>
        <w:rPr>
          <w:rFonts w:ascii="Arial" w:hAnsi="Arial" w:cs="Arial"/>
          <w:color w:val="222222"/>
          <w:sz w:val="20"/>
          <w:szCs w:val="20"/>
          <w:shd w:val="clear" w:color="auto" w:fill="FFFFFF"/>
        </w:rPr>
        <w:t>, G., 2013. The Use of E-Questionnaires in Organizational Surveys. In </w:t>
      </w:r>
      <w:r>
        <w:rPr>
          <w:rFonts w:ascii="Arial" w:hAnsi="Arial" w:cs="Arial"/>
          <w:i/>
          <w:iCs/>
          <w:color w:val="222222"/>
          <w:sz w:val="20"/>
          <w:szCs w:val="20"/>
          <w:shd w:val="clear" w:color="auto" w:fill="FFFFFF"/>
        </w:rPr>
        <w:t>Online Instruments, Data Collection, and Electronic Measurements: Organizational Advancements</w:t>
      </w:r>
      <w:r>
        <w:rPr>
          <w:rFonts w:ascii="Arial" w:hAnsi="Arial" w:cs="Arial"/>
          <w:color w:val="222222"/>
          <w:sz w:val="20"/>
          <w:szCs w:val="20"/>
          <w:shd w:val="clear" w:color="auto" w:fill="FFFFFF"/>
        </w:rPr>
        <w:t> (pp. 1-23). IGI Global.</w:t>
      </w:r>
    </w:p>
    <w:p w14:paraId="5B56CCBF" w14:textId="77777777" w:rsidR="00A26152" w:rsidRDefault="00A26152" w:rsidP="00A26152">
      <w:r>
        <w:rPr>
          <w:rFonts w:ascii="Arial" w:hAnsi="Arial" w:cs="Arial"/>
          <w:color w:val="222222"/>
          <w:sz w:val="20"/>
          <w:szCs w:val="20"/>
          <w:shd w:val="clear" w:color="auto" w:fill="FFFFFF"/>
        </w:rPr>
        <w:t>Avram, M.G., 2014. Advantages and challenges of adopting cloud computing from an enterprise perspective. </w:t>
      </w:r>
      <w:r>
        <w:rPr>
          <w:rFonts w:ascii="Arial" w:hAnsi="Arial" w:cs="Arial"/>
          <w:i/>
          <w:iCs/>
          <w:color w:val="222222"/>
          <w:sz w:val="20"/>
          <w:szCs w:val="20"/>
          <w:shd w:val="clear" w:color="auto" w:fill="FFFFFF"/>
        </w:rPr>
        <w:t>Procedia Technology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 pp.529-534.</w:t>
      </w:r>
    </w:p>
    <w:p w14:paraId="2BF9A82F" w14:textId="77777777" w:rsidR="00A26152" w:rsidRDefault="00A26152" w:rsidP="00A26152">
      <w:hyperlink r:id="rId8" w:history="1">
        <w:r w:rsidRPr="001E5F10">
          <w:rPr>
            <w:rStyle w:val="Hyperlink"/>
          </w:rPr>
          <w:t>https://my.cumbria.ac.uk/media/MyCumbria/Documents/ReflectiveCycleGibbs.pdf</w:t>
        </w:r>
      </w:hyperlink>
    </w:p>
    <w:p w14:paraId="23B5E306" w14:textId="77777777" w:rsidR="00A26152" w:rsidRDefault="00A26152" w:rsidP="00A26152">
      <w:hyperlink r:id="rId9" w:history="1">
        <w:r w:rsidRPr="001E5F10">
          <w:rPr>
            <w:rStyle w:val="Hyperlink"/>
          </w:rPr>
          <w:t>https://thoughtsmostlyaboutlearning.files.wordpress.com/2015/12/learning-by-doing-graham-gibbs.pdf</w:t>
        </w:r>
      </w:hyperlink>
    </w:p>
    <w:p w14:paraId="13D32FC1" w14:textId="77777777" w:rsidR="00A26152" w:rsidRDefault="00A26152" w:rsidP="00A26152">
      <w:pPr>
        <w:rPr>
          <w:rFonts w:ascii="Arial" w:hAnsi="Arial" w:cs="Arial"/>
          <w:color w:val="222222"/>
          <w:sz w:val="20"/>
          <w:szCs w:val="20"/>
          <w:shd w:val="clear" w:color="auto" w:fill="FFFFFF"/>
        </w:rPr>
      </w:pPr>
      <w:r>
        <w:rPr>
          <w:rFonts w:ascii="Arial" w:hAnsi="Arial" w:cs="Arial"/>
          <w:color w:val="222222"/>
          <w:sz w:val="20"/>
          <w:szCs w:val="20"/>
          <w:shd w:val="clear" w:color="auto" w:fill="FFFFFF"/>
        </w:rPr>
        <w:t>Kolb, D.A., 2014. </w:t>
      </w:r>
      <w:r>
        <w:rPr>
          <w:rFonts w:ascii="Arial" w:hAnsi="Arial" w:cs="Arial"/>
          <w:i/>
          <w:iCs/>
          <w:color w:val="222222"/>
          <w:sz w:val="20"/>
          <w:szCs w:val="20"/>
          <w:shd w:val="clear" w:color="auto" w:fill="FFFFFF"/>
        </w:rPr>
        <w:t>Experiential learning: Experience as the source of learning and development</w:t>
      </w:r>
      <w:r>
        <w:rPr>
          <w:rFonts w:ascii="Arial" w:hAnsi="Arial" w:cs="Arial"/>
          <w:color w:val="222222"/>
          <w:sz w:val="20"/>
          <w:szCs w:val="20"/>
          <w:shd w:val="clear" w:color="auto" w:fill="FFFFFF"/>
        </w:rPr>
        <w:t>. FT press.</w:t>
      </w:r>
    </w:p>
    <w:p w14:paraId="27DBB909" w14:textId="77777777" w:rsidR="00A26152" w:rsidRDefault="00A26152" w:rsidP="00A26152">
      <w:r>
        <w:rPr>
          <w:rFonts w:ascii="Arial" w:hAnsi="Arial" w:cs="Arial"/>
          <w:color w:val="222222"/>
          <w:sz w:val="20"/>
          <w:szCs w:val="20"/>
          <w:shd w:val="clear" w:color="auto" w:fill="FFFFFF"/>
        </w:rPr>
        <w:t>Rolfe, G., Freshwater, D. and Jasper, M., 2001. Critical Reflection for Nursing and the Helping Professions a User's Guide.</w:t>
      </w:r>
    </w:p>
    <w:p w14:paraId="317F3DB9" w14:textId="77777777" w:rsidR="00A26152" w:rsidRDefault="00A26152"/>
    <w:sectPr w:rsidR="00A26152">
      <w:footnotePr>
        <w:pos w:val="beneathText"/>
      </w:footnotePr>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03975" w14:textId="77777777" w:rsidR="00E306CD" w:rsidRDefault="00E306CD" w:rsidP="001A4C24">
      <w:pPr>
        <w:spacing w:after="0" w:line="240" w:lineRule="auto"/>
      </w:pPr>
      <w:r>
        <w:separator/>
      </w:r>
    </w:p>
  </w:endnote>
  <w:endnote w:type="continuationSeparator" w:id="0">
    <w:p w14:paraId="5206EAB8" w14:textId="77777777" w:rsidR="00E306CD" w:rsidRDefault="00E306CD" w:rsidP="001A4C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D6842F" w14:textId="77777777" w:rsidR="00E306CD" w:rsidRDefault="00E306CD" w:rsidP="001A4C24">
      <w:pPr>
        <w:spacing w:after="0" w:line="240" w:lineRule="auto"/>
      </w:pPr>
      <w:r>
        <w:separator/>
      </w:r>
    </w:p>
  </w:footnote>
  <w:footnote w:type="continuationSeparator" w:id="0">
    <w:p w14:paraId="5F01E14A" w14:textId="77777777" w:rsidR="00E306CD" w:rsidRDefault="00E306CD" w:rsidP="001A4C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692E64"/>
    <w:multiLevelType w:val="hybridMultilevel"/>
    <w:tmpl w:val="FC920B30"/>
    <w:lvl w:ilvl="0" w:tplc="622EF052">
      <w:start w:val="1"/>
      <w:numFmt w:val="decimal"/>
      <w:lvlText w:val="%1."/>
      <w:lvlJc w:val="left"/>
      <w:pPr>
        <w:ind w:left="1429"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pos w:val="beneathText"/>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61BC"/>
    <w:rsid w:val="00001825"/>
    <w:rsid w:val="00013EDD"/>
    <w:rsid w:val="000234C0"/>
    <w:rsid w:val="00034BF6"/>
    <w:rsid w:val="00041C74"/>
    <w:rsid w:val="0004767C"/>
    <w:rsid w:val="000648E5"/>
    <w:rsid w:val="000878B4"/>
    <w:rsid w:val="000A27BF"/>
    <w:rsid w:val="000C31D3"/>
    <w:rsid w:val="000E3B33"/>
    <w:rsid w:val="00101EDC"/>
    <w:rsid w:val="00145ACA"/>
    <w:rsid w:val="001A4C24"/>
    <w:rsid w:val="001B42A8"/>
    <w:rsid w:val="001C1258"/>
    <w:rsid w:val="001C5AFC"/>
    <w:rsid w:val="001C720E"/>
    <w:rsid w:val="00213AD6"/>
    <w:rsid w:val="00244CAB"/>
    <w:rsid w:val="002A1514"/>
    <w:rsid w:val="003263BA"/>
    <w:rsid w:val="00333F92"/>
    <w:rsid w:val="00362083"/>
    <w:rsid w:val="003E34FB"/>
    <w:rsid w:val="00411EF9"/>
    <w:rsid w:val="00433E77"/>
    <w:rsid w:val="00434318"/>
    <w:rsid w:val="00451A2F"/>
    <w:rsid w:val="00456C58"/>
    <w:rsid w:val="00462C45"/>
    <w:rsid w:val="004974B3"/>
    <w:rsid w:val="004974FE"/>
    <w:rsid w:val="004B7648"/>
    <w:rsid w:val="005364BC"/>
    <w:rsid w:val="00597D59"/>
    <w:rsid w:val="005D3D45"/>
    <w:rsid w:val="005D45E9"/>
    <w:rsid w:val="005D6FA5"/>
    <w:rsid w:val="00605AA3"/>
    <w:rsid w:val="006161BC"/>
    <w:rsid w:val="006320C1"/>
    <w:rsid w:val="00650729"/>
    <w:rsid w:val="00663B39"/>
    <w:rsid w:val="006801F4"/>
    <w:rsid w:val="006B5FCE"/>
    <w:rsid w:val="0073544C"/>
    <w:rsid w:val="00746001"/>
    <w:rsid w:val="00752682"/>
    <w:rsid w:val="00795474"/>
    <w:rsid w:val="00797885"/>
    <w:rsid w:val="007C1019"/>
    <w:rsid w:val="00804880"/>
    <w:rsid w:val="00831ABC"/>
    <w:rsid w:val="00840967"/>
    <w:rsid w:val="008D5811"/>
    <w:rsid w:val="008F2C6E"/>
    <w:rsid w:val="009147A7"/>
    <w:rsid w:val="009310FC"/>
    <w:rsid w:val="0096394E"/>
    <w:rsid w:val="009854F9"/>
    <w:rsid w:val="00994D10"/>
    <w:rsid w:val="00997A1F"/>
    <w:rsid w:val="009A166E"/>
    <w:rsid w:val="00A0504F"/>
    <w:rsid w:val="00A26152"/>
    <w:rsid w:val="00A37D10"/>
    <w:rsid w:val="00A47E7C"/>
    <w:rsid w:val="00A57931"/>
    <w:rsid w:val="00A611ED"/>
    <w:rsid w:val="00A7638E"/>
    <w:rsid w:val="00AB7929"/>
    <w:rsid w:val="00AC5A7E"/>
    <w:rsid w:val="00AD286F"/>
    <w:rsid w:val="00AE30EB"/>
    <w:rsid w:val="00B1122B"/>
    <w:rsid w:val="00B758EA"/>
    <w:rsid w:val="00B811F9"/>
    <w:rsid w:val="00B81CD0"/>
    <w:rsid w:val="00B9271C"/>
    <w:rsid w:val="00BD3A33"/>
    <w:rsid w:val="00C87914"/>
    <w:rsid w:val="00CB323F"/>
    <w:rsid w:val="00CC337C"/>
    <w:rsid w:val="00CC46E7"/>
    <w:rsid w:val="00CC77F3"/>
    <w:rsid w:val="00CE48A0"/>
    <w:rsid w:val="00D22269"/>
    <w:rsid w:val="00D43A0C"/>
    <w:rsid w:val="00D521E0"/>
    <w:rsid w:val="00D746B1"/>
    <w:rsid w:val="00D91C11"/>
    <w:rsid w:val="00DA69C8"/>
    <w:rsid w:val="00E06AEC"/>
    <w:rsid w:val="00E11C92"/>
    <w:rsid w:val="00E26151"/>
    <w:rsid w:val="00E2771E"/>
    <w:rsid w:val="00E306CD"/>
    <w:rsid w:val="00EC4B06"/>
    <w:rsid w:val="00EF2438"/>
    <w:rsid w:val="00EF326E"/>
    <w:rsid w:val="00F077C8"/>
    <w:rsid w:val="00F6765D"/>
    <w:rsid w:val="00F7024F"/>
    <w:rsid w:val="00F74664"/>
    <w:rsid w:val="00F87079"/>
    <w:rsid w:val="00FB1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BF707"/>
  <w15:chartTrackingRefBased/>
  <w15:docId w15:val="{3390FD75-5A48-48A4-981E-461EF115DC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A4C24"/>
    <w:pPr>
      <w:spacing w:after="0" w:line="240" w:lineRule="auto"/>
    </w:pPr>
  </w:style>
  <w:style w:type="character" w:styleId="FootnoteReference">
    <w:name w:val="footnote reference"/>
    <w:basedOn w:val="DefaultParagraphFont"/>
    <w:uiPriority w:val="99"/>
    <w:semiHidden/>
    <w:unhideWhenUsed/>
    <w:rsid w:val="001A4C24"/>
    <w:rPr>
      <w:vertAlign w:val="superscript"/>
    </w:rPr>
  </w:style>
  <w:style w:type="paragraph" w:styleId="FootnoteText">
    <w:name w:val="footnote text"/>
    <w:basedOn w:val="Normal"/>
    <w:link w:val="FootnoteTextChar"/>
    <w:uiPriority w:val="99"/>
    <w:unhideWhenUsed/>
    <w:rsid w:val="001A4C24"/>
    <w:pPr>
      <w:spacing w:after="0" w:line="240" w:lineRule="auto"/>
    </w:pPr>
    <w:rPr>
      <w:sz w:val="20"/>
      <w:szCs w:val="20"/>
    </w:rPr>
  </w:style>
  <w:style w:type="character" w:customStyle="1" w:styleId="FootnoteTextChar">
    <w:name w:val="Footnote Text Char"/>
    <w:basedOn w:val="DefaultParagraphFont"/>
    <w:link w:val="FootnoteText"/>
    <w:uiPriority w:val="99"/>
    <w:rsid w:val="001A4C24"/>
    <w:rPr>
      <w:sz w:val="20"/>
      <w:szCs w:val="20"/>
    </w:rPr>
  </w:style>
  <w:style w:type="paragraph" w:styleId="EndnoteText">
    <w:name w:val="endnote text"/>
    <w:basedOn w:val="Normal"/>
    <w:link w:val="EndnoteTextChar"/>
    <w:uiPriority w:val="99"/>
    <w:semiHidden/>
    <w:unhideWhenUsed/>
    <w:rsid w:val="001A4C2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A4C24"/>
    <w:rPr>
      <w:sz w:val="20"/>
      <w:szCs w:val="20"/>
    </w:rPr>
  </w:style>
  <w:style w:type="character" w:styleId="EndnoteReference">
    <w:name w:val="endnote reference"/>
    <w:basedOn w:val="DefaultParagraphFont"/>
    <w:uiPriority w:val="99"/>
    <w:semiHidden/>
    <w:unhideWhenUsed/>
    <w:rsid w:val="001A4C24"/>
    <w:rPr>
      <w:vertAlign w:val="superscript"/>
    </w:rPr>
  </w:style>
  <w:style w:type="table" w:styleId="TableGrid">
    <w:name w:val="Table Grid"/>
    <w:basedOn w:val="TableNormal"/>
    <w:uiPriority w:val="39"/>
    <w:rsid w:val="006B5FC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34318"/>
    <w:pPr>
      <w:spacing w:after="200" w:line="240" w:lineRule="auto"/>
    </w:pPr>
    <w:rPr>
      <w:i/>
      <w:iCs/>
      <w:color w:val="44546A" w:themeColor="text2"/>
      <w:sz w:val="18"/>
      <w:szCs w:val="18"/>
    </w:rPr>
  </w:style>
  <w:style w:type="character" w:styleId="Hyperlink">
    <w:name w:val="Hyperlink"/>
    <w:basedOn w:val="DefaultParagraphFont"/>
    <w:uiPriority w:val="99"/>
    <w:unhideWhenUsed/>
    <w:rsid w:val="00A26152"/>
    <w:rPr>
      <w:color w:val="0563C1" w:themeColor="hyperlink"/>
      <w:u w:val="single"/>
    </w:rPr>
  </w:style>
  <w:style w:type="character" w:styleId="Emphasis">
    <w:name w:val="Emphasis"/>
    <w:basedOn w:val="DefaultParagraphFont"/>
    <w:uiPriority w:val="20"/>
    <w:qFormat/>
    <w:rsid w:val="00A2615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y.cumbria.ac.uk/media/MyCumbria/Documents/ReflectiveCycleGibbs.pdf" TargetMode="External"/><Relationship Id="rId3" Type="http://schemas.openxmlformats.org/officeDocument/2006/relationships/settings" Target="settings.xml"/><Relationship Id="rId7" Type="http://schemas.openxmlformats.org/officeDocument/2006/relationships/hyperlink" Target="https://www.mindtools.com/pages/article/newLDR_82.htm#:~:text=Groupthink%20is%20a%20phenomenon%20that,decision%2Dmaking%20and%20problem%20solv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houghtsmostlyaboutlearning.files.wordpress.com/2015/12/learning-by-doing-graham-gibb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977</TotalTime>
  <Pages>4</Pages>
  <Words>1707</Words>
  <Characters>9734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Cumpstone (DHCW - Clinical Informatics)</dc:creator>
  <cp:keywords/>
  <dc:description/>
  <cp:lastModifiedBy>Peter Cumpstone (DHCW - Clinical Informatics)</cp:lastModifiedBy>
  <cp:revision>103</cp:revision>
  <dcterms:created xsi:type="dcterms:W3CDTF">2022-06-07T18:30:00Z</dcterms:created>
  <dcterms:modified xsi:type="dcterms:W3CDTF">2022-06-08T12:54:00Z</dcterms:modified>
</cp:coreProperties>
</file>