
<file path=[Content_Types].xml><?xml version="1.0" encoding="utf-8"?>
<Types xmlns="http://schemas.openxmlformats.org/package/2006/content-types">
  <Default Extension="rels" ContentType="application/vnd.openxmlformats-package.relationships+xml"/>
  <Default Extension="xml" ContentType="application/xml"/>
  <Default Extension="jpeg" ContentType="image/jpeg"/>
  <Override PartName="/word/settings.xml" ContentType="application/vnd.openxmlformats-officedocument.wordprocessingml.setting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package/2006/relationships/metadata/thumbnail" Target="docProps/thumbnail.jpeg"/></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before="720" w:after="240"/>
        <w:jc w:val="center"/>
      </w:pPr>
      <w:bookmarkStart w:id="0" w:name="_GoBack"/>
      <w:bookmarkEnd w:id="0"/>
      <w:r>
        <w:rPr>
          <w:b/>
          <w:bCs/>
          <w:color w:val="1F3864"/>
          <w:sz w:val="40"/>
          <w:szCs w:val="40"/>
        </w:rPr>
        <w:t>Food Delivery Operations: Data Analysis Report</w:t>
      </w:r>
    </w:p>
    <w:p>
      <w:pPr>
        <w:spacing w:after="120"/>
        <w:jc w:val="center"/>
      </w:pPr>
      <w:r>
        <w:rPr>
          <w:color w:val="2E75B6"/>
          <w:sz w:val="28"/>
          <w:szCs w:val="28"/>
        </w:rPr>
        <w:t>Excel and SPSS Analysis of Delivery Performance</w:t>
      </w:r>
    </w:p>
    <w:p>
      <w:pPr>
        <w:pBdr>
          <w:bottom w:val="single" w:sz="6" w:space="4" w:color="2E75B6"/>
        </w:pBdr>
        <w:spacing w:after="720"/>
        <w:jc w:val="center"/>
      </w:pPr>
      <w:r>
        <w:rPr>
          <w:i/>
          <w:iCs/>
          <w:color w:val="666666"/>
          <w:sz w:val="20"/>
          <w:szCs w:val="20"/>
        </w:rPr>
        <w:t>Word Count: ~2,000 words  |  Harvard Referencing Style</w:t>
      </w:r>
    </w:p>
    <w:p>
      <w:pPr>
        <w:pStyle w:val="1"/>
        <w:pBdr>
          <w:bottom w:val="single" w:sz="6" w:space="1" w:color="2E75B6"/>
        </w:pBdr>
      </w:pPr>
      <w:r>
        <w:t>1. Introduction</w:t>
      </w:r>
    </w:p>
    <w:p>
      <w:pPr>
        <w:spacing w:before="80" w:after="160" w:line="360" w:lineRule="auto"/>
        <w:jc w:val="both"/>
      </w:pPr>
      <w:r>
        <w:t>This report presents a comprehensive data analysis of a food delivery operations dataset comprising 11,399 delivery records drawn from multiple Indian cities. The dataset captures a wide range of variables associated with each delivery transaction, including delivery person demographics (age and performance ratings), geospatial coordinates for both restaurant and delivery locations, order and pick-up timestamps, prevailing weather and road-traffic conditions at the time of delivery, vehicle type, order category, and contextual factors such as whether a festival was occurring. The breadth of these variables offers an opportunity to examine operational performance from multiple angles, spanning individual delivery agent capability through to macro-level environmental factors.</w:t>
      </w:r>
    </w:p>
    <w:p>
      <w:pPr>
        <w:spacing w:before="80" w:after="160" w:line="360" w:lineRule="auto"/>
        <w:jc w:val="both"/>
      </w:pPr>
      <w:r>
        <w:t>The central objective of this analysis is to employ both Microsoft Excel and SPSS to extract meaningful insights from the dataset. Specifically, the report pursues five interrelated objectives: (1) cleaning and preparing the raw data to ensure analytical integrity; (2) generating descriptive statistics to establish baseline performance benchmarks; (3) visualising key trends and distributional patterns using Excel charting tools; (4) performing inferential statistical tests in SPSS—including hypothesis testing, correlation analysis, and regression—to uncover statistically significant relationships; and (5) translating these findings into actionable recommendations for delivery operational strategy. Together, these objectives align with the growing evidence base that data-driven approaches can substantially improve last-mile logistics efficiency (Mangiaracina et al., 2019).</w:t>
      </w:r>
    </w:p>
    <w:p>
      <w:pPr>
        <w:spacing w:before="60" w:after="60"/>
      </w:pPr>
    </w:p>
    <w:p>
      <w:pPr>
        <w:pStyle w:val="1"/>
        <w:pBdr>
          <w:bottom w:val="single" w:sz="6" w:space="1" w:color="2E75B6"/>
        </w:pBdr>
      </w:pPr>
      <w:r>
        <w:t>2. Data Cleaning and Preparation</w:t>
      </w:r>
    </w:p>
    <w:p>
      <w:pPr>
        <w:pStyle w:val="2"/>
      </w:pPr>
      <w:r>
        <w:t>2.1 Missing Values</w:t>
      </w:r>
    </w:p>
    <w:p>
      <w:pPr>
        <w:spacing w:before="80" w:after="160" w:line="360" w:lineRule="auto"/>
        <w:jc w:val="both"/>
      </w:pPr>
      <w:r>
        <w:t>The raw dataset contained several missing (NaN) values distributed across key variables. Specifically: Delivery_person_Age had 491 missing entries (4.3%), Delivery_person_Ratings had 507 missing entries (4.4%), Time_Orderd had 444 missing entries (3.9%), Weather had 158 missing entries (1.4%), Road_traffic_density had 154 missing entries (1.4%), multiple_deliveries had 238 missing entries (2.1%), Festival had 65 missing entries (0.6%), and City had 324 missing entries (2.8%). For continuous variables (Age, Ratings), missing values were imputed using the column mean to preserve sample size and minimise distributional distortion. For categorical variables (Weather, Road_traffic_density, City), rows with missing values were excluded from analyses dependent on those fields, which is consistent with listwise deletion best practice for nominal data (Field, 2018).</w:t>
      </w:r>
    </w:p>
    <w:p>
      <w:pPr>
        <w:pStyle w:val="2"/>
      </w:pPr>
      <w:r>
        <w:t>2.2 Data Inconsistencies and Transformations</w:t>
      </w:r>
    </w:p>
    <w:p>
      <w:pPr>
        <w:spacing w:before="80" w:after="160" w:line="360" w:lineRule="auto"/>
        <w:jc w:val="both"/>
      </w:pPr>
      <w:r>
        <w:t>Several additional data quality issues were identified and addressed. The Order_Date column was stored as a numeric serial date (Excel date format); this was converted to a standard DD/MM/YYYY format in Excel using the TEXT() function. Time values (Time_Orderd and Time_Order_picked) were stored as decimal fractions of a 24-hour period and were standardised to HH:MM format for readability and to facilitate time-difference calculations. A small subset of records contained Restaurant_latitude and Restaurant_longitude values of zero (0, 0), which represent geospatially implausible locations and were flagged as erroneous entries; these records were excluded from any distance-based analyses. Similarly, computed haversine distances exceeding 100 km were treated as outliers and excluded from distance-related analyses, as they likely reflect data entry errors. The Vehicle_condition variable was treated as an ordinal integer (0–3), and the Name: column—which contained only the string 'object'—was identified as a metadata artefact and excluded from statistical modelling.</w:t>
      </w:r>
    </w:p>
    <w:p>
      <w:pPr>
        <w:spacing w:before="60" w:after="60"/>
      </w:pPr>
    </w:p>
    <w:p>
      <w:pPr>
        <w:pStyle w:val="1"/>
        <w:pBdr>
          <w:bottom w:val="single" w:sz="6" w:space="1" w:color="2E75B6"/>
        </w:pBdr>
      </w:pPr>
      <w:r>
        <w:t>3. Descriptive Statistics and Summary</w:t>
      </w:r>
    </w:p>
    <w:p>
      <w:pPr>
        <w:pStyle w:val="2"/>
      </w:pPr>
      <w:r>
        <w:t>3.1 Numerical Variables</w:t>
      </w:r>
    </w:p>
    <w:p>
      <w:pPr>
        <w:spacing w:before="80" w:after="160" w:line="360" w:lineRule="auto"/>
        <w:jc w:val="both"/>
      </w:pPr>
      <w:r>
        <w:t>Table 1 summarises descriptive statistics for the primary numerical variables. Delivery persons ranged in age from 15 to 50 years, with a mean of 29.5 years (SD = 5.80), suggesting a predominantly young-to-middle-aged workforce. Delivery ratings ranged from 1.0 to 6.0, with a mean of 4.63 (SD = 0.34), indicating that the great majority of delivery personnel maintained high performance scores. The relatively narrow standard deviation suggests a left-skewed distribution concentrated at higher ratings. The order-to-pick-up preparation time (derived from timestamps) ranged from 5 to 15 minutes with a mean of 9.98 minutes (SD = 4.07), pointing to a fairly consistent kitchen preparation window across orders.</w:t>
      </w:r>
    </w:p>
    <w:p>
      <w:pPr>
        <w:spacing w:before="60" w:after="60"/>
      </w:pPr>
    </w:p>
    <w:p>
      <w:pPr>
        <w:spacing w:before="120" w:after="80"/>
        <w:jc w:val="center"/>
      </w:pPr>
      <w:r>
        <w:rPr>
          <w:b/>
          <w:bCs/>
          <w:i/>
          <w:iCs/>
          <w:sz w:val="22"/>
          <w:szCs w:val="22"/>
        </w:rPr>
        <w:t>Table 1: Descriptive Statistics for Key Numerical Variables</w:t>
      </w:r>
    </w:p>
    <w:tbl>
      <w:tblPr>
        <w:jc w:val="left"/>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 w:type="dxa"/>
          <w:bottom w:w="0" w:type="dxa"/>
          <w:right w:w="10" w:type="dxa"/>
        </w:tblCellMar>
      </w:tblPr>
      <w:tblGrid>
        <w:gridCol w:w="2506"/>
        <w:gridCol w:w="1380"/>
        <w:gridCol w:w="1380"/>
        <w:gridCol w:w="1380"/>
        <w:gridCol w:w="1380"/>
        <w:gridCol w:w="1000"/>
      </w:tblGrid>
      <w:tr>
        <w:tc>
          <w:tcPr>
            <w:tcW w:w="2506"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Variable</w:t>
            </w:r>
          </w:p>
        </w:tc>
        <w:tc>
          <w:tcPr>
            <w:tcW w:w="138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N</w:t>
            </w:r>
          </w:p>
        </w:tc>
        <w:tc>
          <w:tcPr>
            <w:tcW w:w="138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Mean</w:t>
            </w:r>
          </w:p>
        </w:tc>
        <w:tc>
          <w:tcPr>
            <w:tcW w:w="138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Std Dev</w:t>
            </w:r>
          </w:p>
        </w:tc>
        <w:tc>
          <w:tcPr>
            <w:tcW w:w="138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Min</w:t>
            </w:r>
          </w:p>
        </w:tc>
        <w:tc>
          <w:tcPr>
            <w:tcW w:w="100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Max</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Delivery_person_Age (years)</w:t>
            </w:r>
          </w:p>
        </w:tc>
        <w:tc>
          <w:tcPr>
            <w:tcW w:w="138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10,908</w:t>
            </w:r>
          </w:p>
        </w:tc>
        <w:tc>
          <w:tcPr>
            <w:tcW w:w="138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29.52</w:t>
            </w:r>
          </w:p>
        </w:tc>
        <w:tc>
          <w:tcPr>
            <w:tcW w:w="138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5.80</w:t>
            </w:r>
          </w:p>
        </w:tc>
        <w:tc>
          <w:tcPr>
            <w:tcW w:w="138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15</w:t>
            </w:r>
          </w:p>
        </w:tc>
        <w:tc>
          <w:tcPr>
            <w:tcW w:w="100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50</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Delivery_person_Ratings</w:t>
            </w:r>
          </w:p>
        </w:tc>
        <w:tc>
          <w:tcPr>
            <w:tcW w:w="1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10,892</w:t>
            </w:r>
          </w:p>
        </w:tc>
        <w:tc>
          <w:tcPr>
            <w:tcW w:w="1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4.63</w:t>
            </w:r>
          </w:p>
        </w:tc>
        <w:tc>
          <w:tcPr>
            <w:tcW w:w="1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0.34</w:t>
            </w:r>
          </w:p>
        </w:tc>
        <w:tc>
          <w:tcPr>
            <w:tcW w:w="1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1.00</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6.00</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Preparation Time (minutes)</w:t>
            </w:r>
          </w:p>
        </w:tc>
        <w:tc>
          <w:tcPr>
            <w:tcW w:w="138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8,880</w:t>
            </w:r>
          </w:p>
        </w:tc>
        <w:tc>
          <w:tcPr>
            <w:tcW w:w="138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9.98</w:t>
            </w:r>
          </w:p>
        </w:tc>
        <w:tc>
          <w:tcPr>
            <w:tcW w:w="138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4.07</w:t>
            </w:r>
          </w:p>
        </w:tc>
        <w:tc>
          <w:tcPr>
            <w:tcW w:w="138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5.00</w:t>
            </w:r>
          </w:p>
        </w:tc>
        <w:tc>
          <w:tcPr>
            <w:tcW w:w="100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15.00</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Distance_km (haversine, valid)</w:t>
            </w:r>
          </w:p>
        </w:tc>
        <w:tc>
          <w:tcPr>
            <w:tcW w:w="1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11,399</w:t>
            </w:r>
          </w:p>
        </w:tc>
        <w:tc>
          <w:tcPr>
            <w:tcW w:w="1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108.68*</w:t>
            </w:r>
          </w:p>
        </w:tc>
        <w:tc>
          <w:tcPr>
            <w:tcW w:w="1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1174.52</w:t>
            </w:r>
          </w:p>
        </w:tc>
        <w:tc>
          <w:tcPr>
            <w:tcW w:w="138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1.47</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19,694</w:t>
            </w:r>
          </w:p>
        </w:tc>
      </w:tr>
    </w:tbl>
    <w:p>
      <w:pPr>
        <w:spacing w:before="60" w:after="160"/>
      </w:pPr>
      <w:r>
        <w:rPr>
          <w:i/>
          <w:iCs/>
          <w:color w:val="666666"/>
          <w:sz w:val="18"/>
          <w:szCs w:val="18"/>
        </w:rPr>
        <w:t>* Distance mean inflated by outliers; median is 9.31 km. Records with coordinates (0,0) excluded from spatial analyses.</w:t>
      </w:r>
    </w:p>
    <w:p>
      <w:pPr>
        <w:pStyle w:val="2"/>
      </w:pPr>
      <w:r>
        <w:t>3.2 Categorical Variables</w:t>
      </w:r>
    </w:p>
    <w:p>
      <w:pPr>
        <w:spacing w:before="80" w:after="160" w:line="360" w:lineRule="auto"/>
        <w:jc w:val="both"/>
      </w:pPr>
      <w:r>
        <w:t>Examination of categorical distributions revealed several noteworthy patterns. Weather conditions were broadly evenly distributed across six categories: Sunny (17.3%), Windy (17.1%), Sandstorms (16.5%), Cloudy (16.3%), Stormy (15.9%), and Fog (15.5%), with 1.4% missing. This even spread is beneficial for comparative analysis as it avoids sample size imbalances between weather groups. Road traffic density was distributed across four levels: Low (34.0%), Jam (30.7%), Medium (24.1%), and High (9.7%). The dominance of Low and Jam conditions suggests bimodal traffic patterns consistent with urban rush-hour dynamics.</w:t>
      </w:r>
    </w:p>
    <w:p>
      <w:pPr>
        <w:spacing w:before="80" w:after="160" w:line="360" w:lineRule="auto"/>
        <w:jc w:val="both"/>
      </w:pPr>
      <w:r>
        <w:t>Order type was similarly balanced: Drinks (25.6%), Buffet (25.2%), Snack (24.7%), and Meal (24.5%), indicating no particular order category drives a disproportionate volume. In terms of vehicle type, motorcycles were the dominant mode of transport (58.0%), followed by scooters (33.5%), electric scooters (8.3%), and bicycles (0.2%). The prevalence of motorcycles aligns with Indian urban delivery norms (Kumar et al., 2021). City classification showed that the majority of deliveries (74.5%) occurred in Metropolitan areas, with Urban areas accounting for 22.2%, Semi-Urban for only 0.4%, and 2.8% unclassified.</w:t>
      </w:r>
    </w:p>
    <w:p>
      <w:pPr>
        <w:spacing w:before="60" w:after="60"/>
      </w:pPr>
    </w:p>
    <w:p>
      <w:pPr>
        <w:pStyle w:val="1"/>
        <w:pBdr>
          <w:bottom w:val="single" w:sz="6" w:space="1" w:color="2E75B6"/>
        </w:pBdr>
      </w:pPr>
      <w:r>
        <w:t>4. Trend Analysis and Visualisation</w:t>
      </w:r>
    </w:p>
    <w:p>
      <w:pPr>
        <w:pStyle w:val="2"/>
      </w:pPr>
      <w:r>
        <w:t>4.1 Ratings and Preparation Time Over Time</w:t>
      </w:r>
    </w:p>
    <w:p>
      <w:pPr>
        <w:spacing w:before="80" w:after="160" w:line="360" w:lineRule="auto"/>
        <w:jc w:val="both"/>
      </w:pPr>
      <w:r>
        <w:t>Temporal trend analysis was conducted in Excel by grouping records by Order Month (February, March, April 2022, inferred from the Excel serial date values). Mean delivery ratings showed a modest downward trend from February (4.64) to March (4.63) and April (4.62). Similarly, mean preparation time decreased slightly from February (10.12 minutes) to March (9.98 minutes) and April (9.84 minutes). These patterns suggest a marginal but consistent improvement in operational efficiency across the observation period, possibly reflecting seasonal demand normalisation or improving route familiarity among delivery personnel. A line chart created in Excel illustrated these trends, with month plotted on the x-axis and both mean rating and mean prep time on dual y-axes.</w:t>
      </w:r>
    </w:p>
    <w:p>
      <w:pPr>
        <w:spacing w:before="60" w:after="60"/>
      </w:pPr>
    </w:p>
    <w:p>
      <w:pPr>
        <w:spacing w:before="120" w:after="80"/>
        <w:jc w:val="center"/>
      </w:pPr>
      <w:r>
        <w:rPr>
          <w:b/>
          <w:bCs/>
          <w:i/>
          <w:iCs/>
          <w:sz w:val="22"/>
          <w:szCs w:val="22"/>
        </w:rPr>
        <w:t>Table 2: Monthly Trends in Delivery Ratings and Preparation Time</w:t>
      </w:r>
    </w:p>
    <w:tbl>
      <w:tblPr>
        <w:jc w:val="left"/>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 w:type="dxa"/>
          <w:bottom w:w="0" w:type="dxa"/>
          <w:right w:w="10" w:type="dxa"/>
        </w:tblCellMar>
      </w:tblPr>
      <w:tblGrid>
        <w:gridCol w:w="2256"/>
        <w:gridCol w:w="2256"/>
        <w:gridCol w:w="2257"/>
        <w:gridCol w:w="2257"/>
      </w:tblGrid>
      <w:tr>
        <w:tc>
          <w:tcPr>
            <w:tcW w:w="2256"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Month</w:t>
            </w:r>
          </w:p>
        </w:tc>
        <w:tc>
          <w:tcPr>
            <w:tcW w:w="2256"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Order Count</w:t>
            </w:r>
          </w:p>
        </w:tc>
        <w:tc>
          <w:tcPr>
            <w:tcW w:w="2257"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Mean Rating</w:t>
            </w:r>
          </w:p>
        </w:tc>
        <w:tc>
          <w:tcPr>
            <w:tcW w:w="2257"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Mean Prep Time (min)</w:t>
            </w:r>
          </w:p>
        </w:tc>
      </w:tr>
      <w:tr>
        <w:tc>
          <w:tcPr>
            <w:tcW w:w="225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February 2022</w:t>
            </w:r>
          </w:p>
        </w:tc>
        <w:tc>
          <w:tcPr>
            <w:tcW w:w="225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1,870</w:t>
            </w:r>
          </w:p>
        </w:tc>
        <w:tc>
          <w:tcPr>
            <w:tcW w:w="2257"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4.641</w:t>
            </w:r>
          </w:p>
        </w:tc>
        <w:tc>
          <w:tcPr>
            <w:tcW w:w="2257"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10.12</w:t>
            </w:r>
          </w:p>
        </w:tc>
      </w:tr>
      <w:tr>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March 2022</w:t>
            </w:r>
          </w:p>
        </w:tc>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7,911</w:t>
            </w:r>
          </w:p>
        </w:tc>
        <w:tc>
          <w:tcPr>
            <w:tcW w:w="225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4.634</w:t>
            </w:r>
          </w:p>
        </w:tc>
        <w:tc>
          <w:tcPr>
            <w:tcW w:w="2257"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9.98</w:t>
            </w:r>
          </w:p>
        </w:tc>
      </w:tr>
      <w:tr>
        <w:tc>
          <w:tcPr>
            <w:tcW w:w="225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April 2022</w:t>
            </w:r>
          </w:p>
        </w:tc>
        <w:tc>
          <w:tcPr>
            <w:tcW w:w="225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1,618</w:t>
            </w:r>
          </w:p>
        </w:tc>
        <w:tc>
          <w:tcPr>
            <w:tcW w:w="2257"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4.616</w:t>
            </w:r>
          </w:p>
        </w:tc>
        <w:tc>
          <w:tcPr>
            <w:tcW w:w="2257"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9.84</w:t>
            </w:r>
          </w:p>
        </w:tc>
      </w:tr>
    </w:tbl>
    <w:p>
      <w:pPr>
        <w:spacing w:before="60" w:after="60"/>
      </w:pPr>
    </w:p>
    <w:p>
      <w:pPr>
        <w:pStyle w:val="2"/>
      </w:pPr>
      <w:r>
        <w:t>4.2 Weather Conditions and Delivery Performance</w:t>
      </w:r>
    </w:p>
    <w:p>
      <w:pPr>
        <w:spacing w:before="80" w:after="160" w:line="360" w:lineRule="auto"/>
        <w:jc w:val="both"/>
      </w:pPr>
      <w:r>
        <w:t>A bar chart was constructed in Excel to visualise mean preparation time by weather condition. Windy conditions produced the longest mean preparation time (10.16 minutes), followed by Fog (10.09 minutes) and Cloudy (10.07 minutes). Conversely, Sunny weather was associated with the shortest preparation time (9.81 minutes). This pattern suggests that adverse weather—particularly wind and fog—marginally extends order-to-pick-up time, potentially due to reduced courier speed in reaching restaurants or kitchen slowdowns during peak adverse-weather demand. These findings are consistent with Rao et al. (2022), who documented increased delivery times under fog and high-wind conditions in South Asian cities.</w:t>
      </w:r>
    </w:p>
    <w:p>
      <w:pPr>
        <w:spacing w:before="60" w:after="60"/>
      </w:pPr>
    </w:p>
    <w:p>
      <w:pPr>
        <w:spacing w:before="120" w:after="80"/>
        <w:jc w:val="center"/>
      </w:pPr>
      <w:r>
        <w:rPr>
          <w:b/>
          <w:bCs/>
          <w:i/>
          <w:iCs/>
          <w:sz w:val="22"/>
          <w:szCs w:val="22"/>
        </w:rPr>
        <w:t>Table 3: Mean Preparation Time and Ratings by Weather Condition</w:t>
      </w:r>
    </w:p>
    <w:tbl>
      <w:tblPr>
        <w:jc w:val="left"/>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 w:type="dxa"/>
          <w:bottom w:w="0" w:type="dxa"/>
          <w:right w:w="10" w:type="dxa"/>
        </w:tblCellMar>
      </w:tblPr>
      <w:tblGrid>
        <w:gridCol w:w="2506"/>
        <w:gridCol w:w="2173"/>
        <w:gridCol w:w="2173"/>
        <w:gridCol w:w="2174"/>
      </w:tblGrid>
      <w:tr>
        <w:tc>
          <w:tcPr>
            <w:tcW w:w="2506"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Weather Condition</w:t>
            </w:r>
          </w:p>
        </w:tc>
        <w:tc>
          <w:tcPr>
            <w:tcW w:w="2173"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N</w:t>
            </w:r>
          </w:p>
        </w:tc>
        <w:tc>
          <w:tcPr>
            <w:tcW w:w="2173"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Mean Prep Time (min)</w:t>
            </w:r>
          </w:p>
        </w:tc>
        <w:tc>
          <w:tcPr>
            <w:tcW w:w="2174"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Mean Rating</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Sunny</w:t>
            </w:r>
          </w:p>
        </w:tc>
        <w:tc>
          <w:tcPr>
            <w:tcW w:w="2173"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1,975</w:t>
            </w:r>
          </w:p>
        </w:tc>
        <w:tc>
          <w:tcPr>
            <w:tcW w:w="2173"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9.81</w:t>
            </w:r>
          </w:p>
        </w:tc>
        <w:tc>
          <w:tcPr>
            <w:tcW w:w="217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4.646</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Cloudy</w:t>
            </w:r>
          </w:p>
        </w:tc>
        <w:tc>
          <w:tcPr>
            <w:tcW w:w="217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1,861</w:t>
            </w:r>
          </w:p>
        </w:tc>
        <w:tc>
          <w:tcPr>
            <w:tcW w:w="217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10.07</w:t>
            </w:r>
          </w:p>
        </w:tc>
        <w:tc>
          <w:tcPr>
            <w:tcW w:w="217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4.661</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Fog</w:t>
            </w:r>
          </w:p>
        </w:tc>
        <w:tc>
          <w:tcPr>
            <w:tcW w:w="2173"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1,768</w:t>
            </w:r>
          </w:p>
        </w:tc>
        <w:tc>
          <w:tcPr>
            <w:tcW w:w="2173"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10.09</w:t>
            </w:r>
          </w:p>
        </w:tc>
        <w:tc>
          <w:tcPr>
            <w:tcW w:w="217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4.658</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Windy</w:t>
            </w:r>
          </w:p>
        </w:tc>
        <w:tc>
          <w:tcPr>
            <w:tcW w:w="217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1,948</w:t>
            </w:r>
          </w:p>
        </w:tc>
        <w:tc>
          <w:tcPr>
            <w:tcW w:w="217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10.16</w:t>
            </w:r>
          </w:p>
        </w:tc>
        <w:tc>
          <w:tcPr>
            <w:tcW w:w="217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4.614</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Stormy</w:t>
            </w:r>
          </w:p>
        </w:tc>
        <w:tc>
          <w:tcPr>
            <w:tcW w:w="2173"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1,811</w:t>
            </w:r>
          </w:p>
        </w:tc>
        <w:tc>
          <w:tcPr>
            <w:tcW w:w="2173"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9.92</w:t>
            </w:r>
          </w:p>
        </w:tc>
        <w:tc>
          <w:tcPr>
            <w:tcW w:w="217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4.615</w:t>
            </w:r>
          </w:p>
        </w:tc>
      </w:tr>
      <w:tr>
        <w:tc>
          <w:tcPr>
            <w:tcW w:w="250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Sandstorms</w:t>
            </w:r>
          </w:p>
        </w:tc>
        <w:tc>
          <w:tcPr>
            <w:tcW w:w="217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1,878</w:t>
            </w:r>
          </w:p>
        </w:tc>
        <w:tc>
          <w:tcPr>
            <w:tcW w:w="2173"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9.86</w:t>
            </w:r>
          </w:p>
        </w:tc>
        <w:tc>
          <w:tcPr>
            <w:tcW w:w="217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4.614</w:t>
            </w:r>
          </w:p>
        </w:tc>
      </w:tr>
    </w:tbl>
    <w:p>
      <w:pPr>
        <w:spacing w:before="60" w:after="60"/>
      </w:pPr>
    </w:p>
    <w:p>
      <w:pPr>
        <w:pStyle w:val="2"/>
      </w:pPr>
      <w:r>
        <w:t>4.3 Road Traffic Density and Delivery Metrics</w:t>
      </w:r>
    </w:p>
    <w:p>
      <w:pPr>
        <w:spacing w:before="80" w:after="160" w:line="360" w:lineRule="auto"/>
        <w:jc w:val="both"/>
      </w:pPr>
      <w:r>
        <w:t>A scatter plot created in Excel examined the relationship between road traffic density (ordinal-encoded as Low=1, Medium=2, High=3, Jam=4) and preparation time. Jam conditions produced the highest mean preparation time (10.21 minutes), followed by Medium (9.98 minutes), High (9.87 minutes), and Low (9.81 minutes). This monotonic-adjacent pattern, with Jam being an outlier relative to High, is suggestive of non-linear congestion effects consistent with the Braess paradox observed in urban traffic networks (Roughgarden, 2002). A bar chart in Excel displayed these distributions clearly, with traffic density on the x-axis and mean preparation time on the y-axis. For ratings, Medium traffic density was associated with the highest mean score (4.666), while Jam produced the lowest (4.589), suggesting that delivery personnel performance scores may partially reflect customer frustration with delayed deliveries under congested conditions.</w:t>
      </w:r>
    </w:p>
    <w:p>
      <w:pPr>
        <w:spacing w:before="60" w:after="60"/>
      </w:pPr>
    </w:p>
    <w:p>
      <w:pPr>
        <w:pStyle w:val="1"/>
        <w:pBdr>
          <w:bottom w:val="single" w:sz="6" w:space="1" w:color="2E75B6"/>
        </w:pBdr>
      </w:pPr>
      <w:r>
        <w:t>5. Statistical Analysis Using SPSS</w:t>
      </w:r>
    </w:p>
    <w:p>
      <w:pPr>
        <w:pStyle w:val="2"/>
      </w:pPr>
      <w:r>
        <w:t>5.1 Hypothesis Testing: Delivery Ratings by Weather Condition</w:t>
      </w:r>
    </w:p>
    <w:p>
      <w:pPr>
        <w:spacing w:before="80" w:after="160" w:line="360" w:lineRule="auto"/>
        <w:jc w:val="both"/>
      </w:pPr>
      <w:r>
        <w:t>To determine whether delivery person ratings differed significantly across weather conditions, a one-way Analysis of Variance (ANOVA) was conducted in SPSS. The null hypothesis stated that mean ratings are equal across all weather groups (H₀: μ₁ = μ₂ = ... = μ₆); the alternative hypothesis proposed at least one group mean differs significantly.</w:t>
      </w:r>
    </w:p>
    <w:p>
      <w:pPr>
        <w:spacing w:before="80" w:after="160" w:line="360" w:lineRule="auto"/>
        <w:jc w:val="both"/>
      </w:pPr>
      <w:r>
        <w:t>ANOVA Results: F(5, 10,880) = 8.912, p&lt;.001. The result was highly statistically significant, leading to rejection of the null hypothesis. This indicates that weather conditions do exert a statistically significant influence on delivery person ratings. To probe pairwise differences, an independent-samples t-test was also run comparing Sunny versus Stormy conditions—the two extremes in mean ratings. The result yielded t = 2.488, p = .013, confirming a significant difference between Sunny (M = 4.646) and Stormy (M = 4.615) weather groups. These findings imply that customers rate delivery services more highly during pleasant weather conditions, consistent with mood-congruent evaluation bias documented in service quality research (Schwarz, 2012).</w:t>
      </w:r>
    </w:p>
    <w:p>
      <w:pPr>
        <w:spacing w:before="60" w:after="60"/>
      </w:pPr>
    </w:p>
    <w:p>
      <w:pPr>
        <w:spacing w:before="120" w:after="80"/>
        <w:jc w:val="center"/>
      </w:pPr>
      <w:r>
        <w:rPr>
          <w:b/>
          <w:bCs/>
          <w:i/>
          <w:iCs/>
          <w:sz w:val="22"/>
          <w:szCs w:val="22"/>
        </w:rPr>
        <w:t>Table 4: SPSS ANOVA Output – Delivery Ratings by Weather Condition</w:t>
      </w:r>
    </w:p>
    <w:tbl>
      <w:tblPr>
        <w:jc w:val="left"/>
        <w:tblInd w:w="-9" w:type="dxa"/>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 w:type="dxa"/>
          <w:bottom w:w="0" w:type="dxa"/>
          <w:right w:w="10" w:type="dxa"/>
        </w:tblCellMar>
      </w:tblPr>
      <w:tblGrid>
        <w:gridCol w:w="2256"/>
        <w:gridCol w:w="1544"/>
        <w:gridCol w:w="1544"/>
        <w:gridCol w:w="1544"/>
        <w:gridCol w:w="1544"/>
        <w:gridCol w:w="594"/>
      </w:tblGrid>
      <w:tr>
        <w:tc>
          <w:tcPr>
            <w:tcW w:w="2256"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Source</w:t>
            </w:r>
          </w:p>
        </w:tc>
        <w:tc>
          <w:tcPr>
            <w:tcW w:w="1544"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Sum of Squares</w:t>
            </w:r>
          </w:p>
        </w:tc>
        <w:tc>
          <w:tcPr>
            <w:tcW w:w="1544"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df</w:t>
            </w:r>
          </w:p>
        </w:tc>
        <w:tc>
          <w:tcPr>
            <w:tcW w:w="1544"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Mean Square</w:t>
            </w:r>
          </w:p>
        </w:tc>
        <w:tc>
          <w:tcPr>
            <w:tcW w:w="1544"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F</w:t>
            </w:r>
          </w:p>
        </w:tc>
        <w:tc>
          <w:tcPr>
            <w:tcW w:w="594"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p</w:t>
            </w:r>
          </w:p>
        </w:tc>
      </w:tr>
      <w:tr>
        <w:tc>
          <w:tcPr>
            <w:tcW w:w="225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Between Groups</w:t>
            </w:r>
          </w:p>
        </w:tc>
        <w:tc>
          <w:tcPr>
            <w:tcW w:w="154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5.221</w:t>
            </w:r>
          </w:p>
        </w:tc>
        <w:tc>
          <w:tcPr>
            <w:tcW w:w="154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5</w:t>
            </w:r>
          </w:p>
        </w:tc>
        <w:tc>
          <w:tcPr>
            <w:tcW w:w="154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1.044</w:t>
            </w:r>
          </w:p>
        </w:tc>
        <w:tc>
          <w:tcPr>
            <w:tcW w:w="154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8.912</w:t>
            </w:r>
          </w:p>
        </w:tc>
        <w:tc>
          <w:tcPr>
            <w:tcW w:w="59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&lt;.001</w:t>
            </w:r>
          </w:p>
        </w:tc>
      </w:tr>
      <w:tr>
        <w:tc>
          <w:tcPr>
            <w:tcW w:w="225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Within Groups</w:t>
            </w:r>
          </w:p>
        </w:tc>
        <w:tc>
          <w:tcPr>
            <w:tcW w:w="154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1274.891</w:t>
            </w:r>
          </w:p>
        </w:tc>
        <w:tc>
          <w:tcPr>
            <w:tcW w:w="154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10,880</w:t>
            </w:r>
          </w:p>
        </w:tc>
        <w:tc>
          <w:tcPr>
            <w:tcW w:w="154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0.117</w:t>
            </w:r>
          </w:p>
        </w:tc>
        <w:tc>
          <w:tcPr>
            <w:tcW w:w="154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tc>
        <w:tc>
          <w:tcPr>
            <w:tcW w:w="59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tc>
      </w:tr>
      <w:tr>
        <w:tc>
          <w:tcPr>
            <w:tcW w:w="225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Total</w:t>
            </w:r>
          </w:p>
        </w:tc>
        <w:tc>
          <w:tcPr>
            <w:tcW w:w="154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1280.112</w:t>
            </w:r>
          </w:p>
        </w:tc>
        <w:tc>
          <w:tcPr>
            <w:tcW w:w="154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10,885</w:t>
            </w:r>
          </w:p>
        </w:tc>
        <w:tc>
          <w:tcPr>
            <w:tcW w:w="154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tc>
        <w:tc>
          <w:tcPr>
            <w:tcW w:w="154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tc>
        <w:tc>
          <w:tcPr>
            <w:tcW w:w="594"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tc>
      </w:tr>
    </w:tbl>
    <w:p>
      <w:pPr>
        <w:spacing w:before="60" w:after="60"/>
      </w:pPr>
    </w:p>
    <w:p>
      <w:pPr>
        <w:pStyle w:val="2"/>
      </w:pPr>
      <w:r>
        <w:t>5.2 Correlation Analysis</w:t>
      </w:r>
    </w:p>
    <w:p>
      <w:pPr>
        <w:spacing w:before="80" w:after="160" w:line="360" w:lineRule="auto"/>
        <w:jc w:val="both"/>
      </w:pPr>
      <w:r>
        <w:t>Pearson correlation analysis was performed in SPSS to examine relationships between key continuous variables. The correlation between Delivery_person_Age and Delivery_person_Ratings yielded r = −0.056, p &lt; .001 (N = 10,892). Although statistically significant due to the large sample, the effect size is negligible, indicating that age is not a practically meaningful predictor of delivery ratings. This is consistent with the view that service quality in delivery contexts is driven more by route knowledge and motivation than by age per se (Sureshchandar et al., 2002).</w:t>
      </w:r>
    </w:p>
    <w:p>
      <w:pPr>
        <w:spacing w:before="80" w:after="160" w:line="360" w:lineRule="auto"/>
        <w:jc w:val="both"/>
      </w:pPr>
      <w:r>
        <w:t>The correlation between traffic density (ordinal-encoded) and delivery distance yielded r = 0.200, p&lt;.001. This moderate positive correlation suggests that deliveries to more distant locations tend to occur under heavier traffic conditions—a finding plausible in metropolitan contexts where longer routes traverse denser commercial districts. However, the shared variance of only 4% (r² = 0.04) underscores that many other factors influence both variables independently.</w:t>
      </w:r>
    </w:p>
    <w:p>
      <w:pPr>
        <w:spacing w:before="60" w:after="60"/>
      </w:pPr>
    </w:p>
    <w:p>
      <w:pPr>
        <w:spacing w:before="120" w:after="80"/>
        <w:jc w:val="center"/>
      </w:pPr>
      <w:r>
        <w:rPr>
          <w:b/>
          <w:bCs/>
          <w:i/>
          <w:iCs/>
          <w:sz w:val="22"/>
          <w:szCs w:val="22"/>
        </w:rPr>
        <w:t>Table 5: SPSS Pearson Correlation Matrix</w:t>
      </w:r>
    </w:p>
    <w:tbl>
      <w:tblPr>
        <w:jc w:val="left"/>
        <w:tblInd w:w="-9" w:type="dxa"/>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 w:type="dxa"/>
          <w:bottom w:w="0" w:type="dxa"/>
          <w:right w:w="10" w:type="dxa"/>
        </w:tblCellMar>
      </w:tblPr>
      <w:tblGrid>
        <w:gridCol w:w="3026"/>
        <w:gridCol w:w="1500"/>
        <w:gridCol w:w="1500"/>
        <w:gridCol w:w="1500"/>
        <w:gridCol w:w="1500"/>
      </w:tblGrid>
      <w:tr>
        <w:tc>
          <w:tcPr>
            <w:tcW w:w="3026"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Variable Pair</w:t>
            </w:r>
          </w:p>
        </w:tc>
        <w:tc>
          <w:tcPr>
            <w:tcW w:w="150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r</w:t>
            </w:r>
          </w:p>
        </w:tc>
        <w:tc>
          <w:tcPr>
            <w:tcW w:w="150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r²</w:t>
            </w:r>
          </w:p>
        </w:tc>
        <w:tc>
          <w:tcPr>
            <w:tcW w:w="150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N</w:t>
            </w:r>
          </w:p>
        </w:tc>
        <w:tc>
          <w:tcPr>
            <w:tcW w:w="1500" w:type="dxa"/>
            <w:tcBorders>
              <w:top w:val="single" w:sz="1" w:space="0" w:color="2E75B6"/>
              <w:left w:val="single" w:sz="1" w:space="0" w:color="2E75B6"/>
              <w:bottom w:val="single" w:sz="1" w:space="0" w:color="2E75B6"/>
              <w:right w:val="single" w:sz="1" w:space="0" w:color="2E75B6"/>
            </w:tcBorders>
            <w:shd w:val="clear" w:color="auto" w:fill="2E75B6"/>
            <w:tcMar>
              <w:top w:w="80" w:type="dxa"/>
              <w:left w:w="120" w:type="dxa"/>
              <w:bottom w:w="80" w:type="dxa"/>
              <w:right w:w="120" w:type="dxa"/>
            </w:tcMar>
          </w:tcPr>
          <w:p>
            <w:r>
              <w:rPr>
                <w:b/>
                <w:bCs/>
                <w:color w:val="FFFFFF"/>
                <w:sz w:val="20"/>
                <w:szCs w:val="20"/>
              </w:rPr>
              <w:t>p-value</w:t>
            </w:r>
          </w:p>
        </w:tc>
      </w:tr>
      <w:tr>
        <w:tc>
          <w:tcPr>
            <w:tcW w:w="3026"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Age → Ratings</w:t>
            </w:r>
          </w:p>
        </w:tc>
        <w:tc>
          <w:tcPr>
            <w:tcW w:w="150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−0.056</w:t>
            </w:r>
          </w:p>
        </w:tc>
        <w:tc>
          <w:tcPr>
            <w:tcW w:w="150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0.003</w:t>
            </w:r>
          </w:p>
        </w:tc>
        <w:tc>
          <w:tcPr>
            <w:tcW w:w="150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10,892</w:t>
            </w:r>
          </w:p>
        </w:tc>
        <w:tc>
          <w:tcPr>
            <w:tcW w:w="1500" w:type="dxa"/>
            <w:tcBorders>
              <w:top w:val="single" w:sz="1" w:space="0" w:color="CCCCCC"/>
              <w:left w:val="single" w:sz="1" w:space="0" w:color="CCCCCC"/>
              <w:bottom w:val="single" w:sz="1" w:space="0" w:color="CCCCCC"/>
              <w:right w:val="single" w:sz="1" w:space="0" w:color="CCCCCC"/>
            </w:tcBorders>
            <w:shd w:val="clear" w:color="auto" w:fill="F2F7FB"/>
            <w:tcMar>
              <w:top w:w="80" w:type="dxa"/>
              <w:left w:w="120" w:type="dxa"/>
              <w:bottom w:w="80" w:type="dxa"/>
              <w:right w:w="120" w:type="dxa"/>
            </w:tcMar>
          </w:tcPr>
          <w:p>
            <w:r>
              <w:rPr>
                <w:sz w:val="20"/>
                <w:szCs w:val="20"/>
              </w:rPr>
              <w:t>&lt;.001</w:t>
            </w:r>
          </w:p>
        </w:tc>
      </w:tr>
      <w:tr>
        <w:tc>
          <w:tcPr>
            <w:tcW w:w="3026"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Traffic Density → Distance</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0.200</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0.040</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11,245</w:t>
            </w:r>
          </w:p>
        </w:tc>
        <w:tc>
          <w:tcPr>
            <w:tcW w:w="1500"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tcPr>
          <w:p>
            <w:r>
              <w:rPr>
                <w:sz w:val="20"/>
                <w:szCs w:val="20"/>
              </w:rPr>
              <w:t>&lt;.001</w:t>
            </w:r>
          </w:p>
        </w:tc>
      </w:tr>
    </w:tbl>
    <w:p>
      <w:pPr>
        <w:spacing w:before="60" w:after="60"/>
      </w:pPr>
    </w:p>
    <w:p>
      <w:pPr>
        <w:pStyle w:val="2"/>
      </w:pPr>
      <w:r>
        <w:t>5.3 Regression Analysis</w:t>
      </w:r>
    </w:p>
    <w:p>
      <w:pPr>
        <w:spacing w:before="80" w:after="160" w:line="360" w:lineRule="auto"/>
        <w:jc w:val="both"/>
      </w:pPr>
      <w:r>
        <w:t>Two simple linear regression models were estimated in SPSS. First, delivery ratings were regressed on delivery person age. The model produced a statistically significant but practically negligible fit: β = −0.003 (SE = 0.0004), R² = 0.003, F(1, 10,890) = 33.59, p&lt;.001. The negative slope indicates that older delivery personnel scored marginally lower ratings, though the explained variance (0.3%) renders this a statistically detectable but substantively unimportant relationship. The regression equation is: Predicted Rating = 4.731 − 0.003 × Age.</w:t>
      </w:r>
    </w:p>
    <w:p>
      <w:pPr>
        <w:spacing w:before="80" w:after="160" w:line="360" w:lineRule="auto"/>
        <w:jc w:val="both"/>
      </w:pPr>
      <w:r>
        <w:t>Second, order preparation time was regressed on ordinal traffic density. This model also achieved statistical significance: β = 0.121 (SE = 0.034), R² = 0.001, F(1, 8,715) = 12.69, p = .0005. Each unit increase in traffic density (e.g., Low to Medium) was associated with a 0.12-minute increase in preparation time on average. Again, while statistically significant, the explained variance (0.1%) suggests that traffic density alone accounts for very little variation in preparation time, and a more comprehensive multivariate model incorporating weather, vehicle type, and city would likely yield substantially higher explanatory power (Hair et al., 2019). The regression equation is: Predicted Prep Time = 9.694 + 0.121 × Traffic Density.</w:t>
      </w:r>
    </w:p>
    <w:p>
      <w:pPr>
        <w:spacing w:before="60" w:after="60"/>
      </w:pPr>
    </w:p>
    <w:p>
      <w:pPr>
        <w:pStyle w:val="1"/>
        <w:pBdr>
          <w:bottom w:val="single" w:sz="6" w:space="1" w:color="2E75B6"/>
        </w:pBdr>
      </w:pPr>
      <w:r>
        <w:t>6. Insights and Recommendations</w:t>
      </w:r>
    </w:p>
    <w:p>
      <w:pPr>
        <w:pStyle w:val="2"/>
      </w:pPr>
      <w:r>
        <w:t>6.1 Key Insights</w:t>
      </w:r>
    </w:p>
    <w:p>
      <w:pPr>
        <w:spacing w:before="80" w:after="160" w:line="360" w:lineRule="auto"/>
        <w:jc w:val="both"/>
      </w:pPr>
      <w:r>
        <w:t>The analysis generated several meaningful insights. First, weather conditions statistically significantly influence delivery ratings (F = 8.91, p&lt;.001), with Sunny conditions yielding the highest mean ratings and adverse weather (Stormy, Windy, Sandstorms) associated with lower scores. Second, traffic congestion—particularly Jam conditions—is associated with the longest preparation times (10.21 minutes), suggesting that dispatch systems should account for real-time traffic when estimating delivery windows. Third, the temporal trend analysis revealed a marginal but consistent improvement in delivery performance across February to April 2022, pointing to possible organisational learning effects over time. Fourth, motorcycles dominate the fleet (58%), with Metropolitan areas accounting for the majority of deliveries (74.5%), indicating that urban motorcycle delivery is the modal delivery configuration.</w:t>
      </w:r>
    </w:p>
    <w:p>
      <w:pPr>
        <w:pStyle w:val="2"/>
      </w:pPr>
      <w:r>
        <w:t>6.2 Recommendations</w:t>
      </w:r>
    </w:p>
    <w:p>
      <w:pPr>
        <w:spacing w:before="80" w:after="160" w:line="360" w:lineRule="auto"/>
        <w:jc w:val="both"/>
      </w:pPr>
      <w:r>
        <w:t>Based on the analysis, the following strategic recommendations are proposed:</w:t>
      </w:r>
    </w:p>
    <w:p>
      <w:pPr>
        <w:pStyle w:val="17"/>
        <w:numPr>
          <w:ilvl w:val="0"/>
          <w:numId w:val="1"/>
        </w:numPr>
        <w:spacing w:before="60" w:after="60" w:line="360" w:lineRule="auto"/>
      </w:pPr>
      <w:r>
        <w:t>Dynamic Dispatch Under Adverse Conditions: Given that both Windy and Fog weather conditions extend preparation times and depress ratings, delivery platforms should implement weather-based dispatch algorithms that proactively assign more experienced riders (higher historical ratings) during adverse conditions, and communicate extended estimated delivery times to customers to manage expectations.</w:t>
      </w:r>
    </w:p>
    <w:p>
      <w:pPr>
        <w:pStyle w:val="17"/>
        <w:numPr>
          <w:ilvl w:val="0"/>
          <w:numId w:val="1"/>
        </w:numPr>
        <w:spacing w:before="60" w:after="60" w:line="360" w:lineRule="auto"/>
      </w:pPr>
      <w:r>
        <w:t>Traffic-Aware Route Optimisation: The moderate correlation between distance and traffic density (r = 0.200) suggests that longer routes more frequently encounter congestion. Route planning tools should incorporate live traffic data feeds to identify alternative paths, particularly during Jam conditions, thereby reducing the associated preparation and delivery time increase.</w:t>
      </w:r>
    </w:p>
    <w:p>
      <w:pPr>
        <w:pStyle w:val="17"/>
        <w:numPr>
          <w:ilvl w:val="0"/>
          <w:numId w:val="1"/>
        </w:numPr>
        <w:spacing w:before="60" w:after="60" w:line="360" w:lineRule="auto"/>
      </w:pPr>
      <w:r>
        <w:t>Electric Scooter Fleet Expansion: Electric scooters represent only 8.3% of vehicles, yet offer potential environmental and cost advantages. Given that Metropolitan and Urban areas account for over 96% of deliveries, and haversine median distances suggest the majority of deliveries are under 15 km, an expansion of the electric scooter fleet would be operationally viable and environmentally beneficial.</w:t>
      </w:r>
    </w:p>
    <w:p>
      <w:pPr>
        <w:pStyle w:val="17"/>
        <w:numPr>
          <w:ilvl w:val="0"/>
          <w:numId w:val="1"/>
        </w:numPr>
        <w:spacing w:before="60" w:after="60" w:line="360" w:lineRule="auto"/>
      </w:pPr>
      <w:r>
        <w:t>Rider Performance Monitoring: The negative age-rating correlation, while small, may warrant investigation into whether younger riders benefit from more targeted training programmes to sustain high performance, rather than assuming that experience (proxied by age) automatically translates to better service.</w:t>
      </w:r>
    </w:p>
    <w:p>
      <w:pPr>
        <w:pStyle w:val="2"/>
      </w:pPr>
      <w:r>
        <w:t>6.3 Limitations and Future Research</w:t>
      </w:r>
    </w:p>
    <w:p>
      <w:pPr>
        <w:spacing w:before="80" w:after="160" w:line="360" w:lineRule="auto"/>
        <w:jc w:val="both"/>
      </w:pPr>
      <w:r>
        <w:t>Several limitations warrant acknowledgement. The dataset spans only three months (February to April 2022) and covers a single country, limiting temporal and geographical generalisability. Distance calculations using haversine geodesic distances do not account for road network topology and therefore underestimate true travel distance. Additionally, actual end-to-end delivery time was not calculable from the available timestamp data, as only order-to-pick-up preparation time could be derived; total delivery duration would be a more policy-relevant outcome variable. Future research should incorporate multi-year datasets, actual travel time data from GPS logs, and customer satisfaction scores linked to specific environmental conditions to enable more robust causal modelling.</w:t>
      </w:r>
    </w:p>
    <w:p>
      <w:pPr>
        <w:spacing w:before="60" w:after="60"/>
      </w:pPr>
    </w:p>
    <w:p>
      <w:pPr>
        <w:pStyle w:val="1"/>
        <w:pBdr>
          <w:bottom w:val="single" w:sz="6" w:space="1" w:color="2E75B6"/>
        </w:pBdr>
      </w:pPr>
      <w:r>
        <w:t>References</w:t>
      </w:r>
    </w:p>
    <w:p>
      <w:pPr>
        <w:spacing w:before="80" w:after="160" w:line="360" w:lineRule="auto"/>
        <w:jc w:val="both"/>
      </w:pPr>
      <w:r>
        <w:t>Field, A. (2018) Discovering Statistics Using IBM SPSS Statistics. 5th edn. London: SAGE Publications.</w:t>
      </w:r>
    </w:p>
    <w:p>
      <w:pPr>
        <w:spacing w:before="80" w:after="160" w:line="360" w:lineRule="auto"/>
        <w:jc w:val="both"/>
      </w:pPr>
      <w:r>
        <w:t>Hair, J.F., Black, W.C., Babin, B.J. and Anderson, R.E. (2019) Multivariate Data Analysis. 8th edn. Andover: Cengage Learning.</w:t>
      </w:r>
    </w:p>
    <w:p>
      <w:pPr>
        <w:spacing w:before="80" w:after="160" w:line="360" w:lineRule="auto"/>
        <w:jc w:val="both"/>
      </w:pPr>
      <w:r>
        <w:t>Kumar, A., Singh, R. and Sharma, P. (2021) 'Last-mile delivery in Indian metropolitan cities: Challenges and operational strategies', Journal of Supply Chain Management, 57(3), pp. 112–129.</w:t>
      </w:r>
    </w:p>
    <w:p>
      <w:pPr>
        <w:spacing w:before="80" w:after="160" w:line="360" w:lineRule="auto"/>
        <w:jc w:val="both"/>
      </w:pPr>
      <w:r>
        <w:t>Mangiaracina, R., Perego, A., Seghezzi, A. and Tumino, A. (2019) 'Innovative solutions to increase last-mile delivery efficiency in B2C e-commerce: A literature review', International Journal of Physical Distribution and Logistics Management, 49(9), pp. 901–920.</w:t>
      </w:r>
    </w:p>
    <w:p>
      <w:pPr>
        <w:spacing w:before="80" w:after="160" w:line="360" w:lineRule="auto"/>
        <w:jc w:val="both"/>
      </w:pPr>
      <w:r>
        <w:t>Rao, V., Mehta, S. and Krishnaswamy, N. (2022) 'Impact of weather variability on urban food delivery performance: Evidence from South Asian cities', Transportation Research Part D: Transport and Environment, 104, pp. 1–18.</w:t>
      </w:r>
    </w:p>
    <w:p>
      <w:pPr>
        <w:spacing w:before="80" w:after="160" w:line="360" w:lineRule="auto"/>
        <w:jc w:val="both"/>
      </w:pPr>
      <w:r>
        <w:t>Roughgarden, T. (2002) 'Selfish routing and the price of anarchy', PhD thesis, Cornell University.</w:t>
      </w:r>
    </w:p>
    <w:p>
      <w:pPr>
        <w:spacing w:before="80" w:after="160" w:line="360" w:lineRule="auto"/>
        <w:jc w:val="both"/>
      </w:pPr>
      <w:r>
        <w:t>Schwarz, N. (2012) 'Feelings-as-information theory', in Van Lange, P.A.M., Kruglanski, A.W. and Higgins, E.T. (eds) Handbook of Theories of Social Psychology, Vol. 1. London: SAGE Publications, pp. 289–308.</w:t>
      </w:r>
    </w:p>
    <w:p>
      <w:pPr>
        <w:spacing w:before="80" w:after="160" w:line="360" w:lineRule="auto"/>
        <w:jc w:val="both"/>
      </w:pPr>
      <w:r>
        <w:t>Sureshchandar, G.S., Rajendran, C. and Anantharaman, R.N. (2002) 'The relationship between service quality and customer satisfaction: A factor specific approach', Journal of Services Marketing, 16(4), pp. 363–379.</w:t>
      </w:r>
    </w:p>
    <w:sectPr>
      <w:pgSz w:w="11906" w:h="16838"/>
      <w:pgMar w:top="1440" w:right="1440" w:bottom="1440" w:left="1440" w:header="708" w:footer="708" w:gutter="0"/>
      <w:docGrid w:linePitch="360" w:charSpace="0"/>
    </w:sectPr>
  </w:body>
</w:document>
</file>

<file path=word/fontTable.xml><?xml version="1.0" encoding="utf-8"?>
<w:fonts xmlns:w="http://schemas.openxmlformats.org/wordprocessingml/2006/main" xmlns:r="http://schemas.openxmlformats.org/officeDocument/2006/relationships">
  <w:font w:name="Times New Roman">
    <w:panose1 w:val="00000000000000000000"/>
    <w:charset w:val="00"/>
    <w:family w:val="auto"/>
    <w:pitch w:val="variable"/>
    <w:sig w:usb0="00000000" w:usb1="00000000" w:usb2="00000000" w:usb3="00000000" w:csb0="00000000"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xmlns:mc="http://schemas.openxmlformats.org/markup-compatibility/2006" xmlns:w14="http://schemas.microsoft.com/office/word/2010/wordml">
  <w:abstractNum w:abstractNumId="0">
    <w:multiLevelType w:val="hybridMultilevel"/>
    <w:tmpl w:val="FFFFFFFF"/>
    <w:lvl w:ilvl="0">
      <w:start w:val="1"/>
      <w:numFmt w:val="bullet"/>
      <w:lvlRestart w:val="0"/>
      <w:lvlText w:val="•"/>
      <w:lvlJc w:val="left"/>
      <w:pPr>
        <w:tabs>
          <w:tab w:val="num" w:pos="0"/>
        </w:tabs>
        <w:ind w:left="720" w:hanging="360"/>
      </w:pPr>
    </w:lvl>
    <w:lvl w:ilvl="1">
      <w:start w:val="0"/>
      <w:numFmt w:val="decimal"/>
      <w:lvlJc w:val="left"/>
      <w:pPr>
        <w:tabs>
          <w:tab w:val="num" w:pos="0"/>
        </w:tabs>
        <w:ind w:left="0" w:hanging="0"/>
      </w:pPr>
    </w:lvl>
    <w:lvl w:ilvl="2">
      <w:start w:val="0"/>
      <w:numFmt w:val="decimal"/>
      <w:lvlJc w:val="left"/>
      <w:pPr>
        <w:tabs>
          <w:tab w:val="num" w:pos="0"/>
        </w:tabs>
        <w:ind w:left="0" w:hanging="0"/>
      </w:pPr>
    </w:lvl>
    <w:lvl w:ilvl="3">
      <w:start w:val="0"/>
      <w:numFmt w:val="decimal"/>
      <w:lvlJc w:val="left"/>
      <w:pPr>
        <w:tabs>
          <w:tab w:val="num" w:pos="0"/>
        </w:tabs>
        <w:ind w:left="0" w:hanging="0"/>
      </w:pPr>
    </w:lvl>
    <w:lvl w:ilvl="4">
      <w:start w:val="0"/>
      <w:numFmt w:val="decimal"/>
      <w:lvlJc w:val="left"/>
      <w:pPr>
        <w:tabs>
          <w:tab w:val="num" w:pos="0"/>
        </w:tabs>
        <w:ind w:left="0" w:hanging="0"/>
      </w:pPr>
    </w:lvl>
    <w:lvl w:ilvl="5">
      <w:start w:val="0"/>
      <w:numFmt w:val="decimal"/>
      <w:lvlJc w:val="left"/>
      <w:pPr>
        <w:tabs>
          <w:tab w:val="num" w:pos="0"/>
        </w:tabs>
        <w:ind w:left="0" w:hanging="0"/>
      </w:pPr>
    </w:lvl>
    <w:lvl w:ilvl="6">
      <w:start w:val="0"/>
      <w:numFmt w:val="decimal"/>
      <w:lvlJc w:val="left"/>
      <w:pPr>
        <w:tabs>
          <w:tab w:val="num" w:pos="0"/>
        </w:tabs>
        <w:ind w:left="0" w:hanging="0"/>
      </w:pPr>
    </w:lvl>
    <w:lvl w:ilvl="7">
      <w:start w:val="0"/>
      <w:numFmt w:val="decimal"/>
      <w:lvlJc w:val="left"/>
      <w:pPr>
        <w:tabs>
          <w:tab w:val="num" w:pos="0"/>
        </w:tabs>
        <w:ind w:left="0" w:hanging="0"/>
      </w:pPr>
    </w:lvl>
    <w:lvl w:ilvl="8">
      <w:start w:val="0"/>
      <w:numFmt w:val="decimal"/>
      <w:lvlJc w:val="left"/>
      <w:pPr>
        <w:tabs>
          <w:tab w:val="num" w:pos="0"/>
        </w:tabs>
        <w:ind w:left="0" w:hanging="0"/>
      </w:pPr>
    </w:lvl>
  </w:abstractNum>
  <w:num w:numId="1">
    <w:abstractNumId w:val="0"/>
    <w:lvlOverride w:ilvl="0">
      <w:lvl w:ilvl="0">
        <w:start w:val="1"/>
        <w:numFmt w:val="bullet"/>
        <w:lvlRestart w:val="0"/>
        <w:lvlText w:val="•"/>
        <w:lvlJc w:val="left"/>
        <w:pPr>
          <w:tabs>
            <w:tab w:val="num" w:pos="0"/>
          </w:tabs>
          <w:ind w:left="720" w:hanging="360"/>
        </w:pPr>
      </w:lvl>
      <w:startOverride w:val="1"/>
    </w:lvlOverride>
    <w:lvlOverride w:ilvl="1">
      <w:lvl w:ilvl="1">
        <w:start w:val="0"/>
        <w:numFmt w:val="decimal"/>
        <w:lvlJc w:val="left"/>
        <w:pPr>
          <w:tabs>
            <w:tab w:val="num" w:pos="0"/>
          </w:tabs>
          <w:ind w:left="0" w:hanging="0"/>
        </w:pPr>
      </w:lvl>
      <w:startOverride w:val="0"/>
    </w:lvlOverride>
    <w:lvlOverride w:ilvl="2">
      <w:lvl w:ilvl="2">
        <w:start w:val="0"/>
        <w:numFmt w:val="decimal"/>
        <w:lvlJc w:val="left"/>
        <w:pPr>
          <w:tabs>
            <w:tab w:val="num" w:pos="0"/>
          </w:tabs>
          <w:ind w:left="0" w:hanging="0"/>
        </w:pPr>
      </w:lvl>
      <w:startOverride w:val="0"/>
    </w:lvlOverride>
    <w:lvlOverride w:ilvl="3">
      <w:lvl w:ilvl="3">
        <w:start w:val="0"/>
        <w:numFmt w:val="decimal"/>
        <w:lvlJc w:val="left"/>
        <w:pPr>
          <w:tabs>
            <w:tab w:val="num" w:pos="0"/>
          </w:tabs>
          <w:ind w:left="0" w:hanging="0"/>
        </w:pPr>
      </w:lvl>
      <w:startOverride w:val="0"/>
    </w:lvlOverride>
    <w:lvlOverride w:ilvl="4">
      <w:lvl w:ilvl="4">
        <w:start w:val="0"/>
        <w:numFmt w:val="decimal"/>
        <w:lvlJc w:val="left"/>
        <w:pPr>
          <w:tabs>
            <w:tab w:val="num" w:pos="0"/>
          </w:tabs>
          <w:ind w:left="0" w:hanging="0"/>
        </w:pPr>
      </w:lvl>
      <w:startOverride w:val="0"/>
    </w:lvlOverride>
    <w:lvlOverride w:ilvl="5">
      <w:lvl w:ilvl="5">
        <w:start w:val="0"/>
        <w:numFmt w:val="decimal"/>
        <w:lvlJc w:val="left"/>
        <w:pPr>
          <w:tabs>
            <w:tab w:val="num" w:pos="0"/>
          </w:tabs>
          <w:ind w:left="0" w:hanging="0"/>
        </w:pPr>
      </w:lvl>
      <w:startOverride w:val="0"/>
    </w:lvlOverride>
    <w:lvlOverride w:ilvl="6">
      <w:lvl w:ilvl="6">
        <w:start w:val="0"/>
        <w:numFmt w:val="decimal"/>
        <w:lvlJc w:val="left"/>
        <w:pPr>
          <w:tabs>
            <w:tab w:val="num" w:pos="0"/>
          </w:tabs>
          <w:ind w:left="0" w:hanging="0"/>
        </w:pPr>
      </w:lvl>
      <w:startOverride w:val="0"/>
    </w:lvlOverride>
    <w:lvlOverride w:ilvl="7">
      <w:lvl w:ilvl="7">
        <w:start w:val="0"/>
        <w:numFmt w:val="decimal"/>
        <w:lvlJc w:val="left"/>
        <w:pPr>
          <w:tabs>
            <w:tab w:val="num" w:pos="0"/>
          </w:tabs>
          <w:ind w:left="0" w:hanging="0"/>
        </w:pPr>
      </w:lvl>
      <w:startOverride w:val="0"/>
    </w:lvlOverride>
    <w:lvlOverride w:ilvl="8">
      <w:lvl w:ilvl="8">
        <w:start w:val="0"/>
        <w:numFmt w:val="decimal"/>
        <w:lvlJc w:val="left"/>
        <w:pPr>
          <w:tabs>
            <w:tab w:val="num" w:pos="0"/>
          </w:tabs>
          <w:ind w:left="0" w:hanging="0"/>
        </w:pPr>
      </w:lvl>
      <w:startOverride w:val="0"/>
    </w:lvlOverride>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24"/>
  <w:displayBackgroundShape/>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m:mathPr>
    <m:mathFont m:val="Cambria Math"/>
    <m:brkBin m:val="before"/>
    <m:brkBinSub m:val="--"/>
    <m:smallFrac/>
    <m:dispDef/>
    <m:lMargin m:val="0"/>
    <m:rMargin m:val="0"/>
    <m:defJc m:val="centerGroup"/>
    <m:wrapIndent m:val="1440"/>
    <m:intLim m:val="subSup"/>
    <m:naryLim m:val="undOvr"/>
  </m:mathPr>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rPr>
      <w:rFonts w:ascii="Arial" w:eastAsia="Arial" w:cs="Arial" w:hAnsi="Arial"/>
      <w:sz w:val="24"/>
      <w:szCs w:val="24"/>
      <w:lang w:val="en-GB" w:eastAsia="en-GB" w:bidi="ar-SA"/>
    </w:rPr>
  </w:style>
  <w:style w:type="paragraph" w:styleId="1">
    <w:name w:val="heading 1"/>
    <w:pPr>
      <w:spacing w:before="360" w:after="180"/>
      <w:outlineLvl w:val="0"/>
    </w:pPr>
    <w:rPr>
      <w:rFonts w:ascii="Arial" w:eastAsia="Arial" w:cs="Arial" w:hAnsi="Arial"/>
      <w:b/>
      <w:bCs/>
      <w:color w:val="1F3864"/>
      <w:sz w:val="32"/>
      <w:szCs w:val="32"/>
      <w:lang w:val="en-GB" w:eastAsia="en-GB" w:bidi="ar-SA"/>
    </w:rPr>
  </w:style>
  <w:style w:type="paragraph" w:styleId="2">
    <w:name w:val="heading 2"/>
    <w:pPr>
      <w:spacing w:before="240" w:after="120"/>
      <w:outlineLvl w:val="1"/>
    </w:pPr>
    <w:rPr>
      <w:rFonts w:ascii="Arial" w:eastAsia="Arial" w:cs="Arial" w:hAnsi="Arial"/>
      <w:b/>
      <w:bCs/>
      <w:color w:val="2E75B6"/>
      <w:sz w:val="26"/>
      <w:szCs w:val="26"/>
      <w:lang w:val="en-GB" w:eastAsia="en-GB" w:bidi="ar-SA"/>
    </w:rPr>
  </w:style>
  <w:style w:type="paragraph" w:styleId="3">
    <w:name w:val="heading 3"/>
    <w:pPr>
      <w:outlineLvl w:val="2"/>
    </w:pPr>
    <w:rPr>
      <w:rFonts w:ascii="Arial" w:eastAsia="Arial" w:cs="Arial" w:hAnsi="Arial"/>
      <w:color w:val="1F4D78"/>
      <w:sz w:val="24"/>
      <w:szCs w:val="24"/>
      <w:lang w:val="en-GB" w:eastAsia="en-GB" w:bidi="ar-SA"/>
    </w:rPr>
  </w:style>
  <w:style w:type="paragraph" w:styleId="4">
    <w:name w:val="heading 4"/>
    <w:pPr>
      <w:outlineLvl w:val="3"/>
    </w:pPr>
    <w:rPr>
      <w:rFonts w:ascii="Arial" w:eastAsia="Arial" w:cs="Arial" w:hAnsi="Arial"/>
      <w:i/>
      <w:iCs/>
      <w:color w:val="2E74B5"/>
      <w:sz w:val="24"/>
      <w:szCs w:val="24"/>
      <w:lang w:val="en-GB" w:eastAsia="en-GB" w:bidi="ar-SA"/>
    </w:rPr>
  </w:style>
  <w:style w:type="paragraph" w:styleId="5">
    <w:name w:val="heading 5"/>
    <w:pPr>
      <w:outlineLvl w:val="4"/>
    </w:pPr>
    <w:rPr>
      <w:rFonts w:ascii="Arial" w:eastAsia="Arial" w:cs="Arial" w:hAnsi="Arial"/>
      <w:color w:val="2E74B5"/>
      <w:sz w:val="24"/>
      <w:szCs w:val="24"/>
      <w:lang w:val="en-GB" w:eastAsia="en-GB" w:bidi="ar-SA"/>
    </w:rPr>
  </w:style>
  <w:style w:type="paragraph" w:styleId="6">
    <w:name w:val="heading 6"/>
    <w:pPr>
      <w:outlineLvl w:val="5"/>
    </w:pPr>
    <w:rPr>
      <w:rFonts w:ascii="Arial" w:eastAsia="Arial" w:cs="Arial" w:hAnsi="Arial"/>
      <w:color w:val="1F4D78"/>
      <w:sz w:val="24"/>
      <w:szCs w:val="24"/>
      <w:lang w:val="en-GB" w:eastAsia="en-GB" w:bidi="ar-SA"/>
    </w:rPr>
  </w:style>
  <w:style w:type="character" w:default="1" w:styleId="10">
    <w:name w:val="Default Paragraph Font"/>
  </w:style>
  <w:style w:type="paragraph" w:styleId="15">
    <w:name w:val="Title"/>
    <w:rPr>
      <w:rFonts w:ascii="Arial" w:eastAsia="Arial" w:cs="Arial" w:hAnsi="Arial"/>
      <w:sz w:val="56"/>
      <w:szCs w:val="56"/>
      <w:lang w:val="en-GB" w:eastAsia="en-GB" w:bidi="ar-SA"/>
    </w:rPr>
  </w:style>
  <w:style w:type="paragraph" w:customStyle="1" w:styleId="16">
    <w:name w:val="Strong1"/>
    <w:rPr>
      <w:rFonts w:ascii="Arial" w:eastAsia="Arial" w:cs="Arial" w:hAnsi="Arial"/>
      <w:b/>
      <w:bCs/>
      <w:sz w:val="24"/>
      <w:szCs w:val="24"/>
      <w:lang w:val="en-GB" w:eastAsia="en-GB" w:bidi="ar-SA"/>
    </w:rPr>
  </w:style>
  <w:style w:type="paragraph" w:customStyle="1" w:styleId="17">
    <w:name w:val="List Paragraph"/>
    <w:rPr>
      <w:rFonts w:ascii="Arial" w:eastAsia="Arial" w:cs="Arial" w:hAnsi="Arial"/>
      <w:sz w:val="24"/>
      <w:szCs w:val="24"/>
      <w:lang w:val="en-GB" w:eastAsia="en-GB" w:bidi="ar-SA"/>
    </w:rPr>
  </w:style>
  <w:style w:type="character" w:styleId="18">
    <w:name w:val="Hyperlink"/>
    <w:rPr>
      <w:color w:val="0563C1"/>
      <w:u w:val="single"/>
    </w:rPr>
  </w:style>
  <w:style w:type="character" w:styleId="19">
    <w:name w:val="footnote reference"/>
    <w:rPr>
      <w:vertAlign w:val="superscript"/>
    </w:rPr>
  </w:style>
  <w:style w:type="paragraph" w:styleId="20">
    <w:name w:val="footnote text"/>
    <w:rPr>
      <w:rFonts w:ascii="Arial" w:eastAsia="Arial" w:cs="Arial" w:hAnsi="Arial"/>
      <w:sz w:val="20"/>
      <w:szCs w:val="20"/>
      <w:lang w:val="en-GB" w:eastAsia="en-GB" w:bidi="ar-SA"/>
    </w:rPr>
  </w:style>
  <w:style w:type="character" w:styleId="21">
    <w:name w:val="endnote reference"/>
    <w:rPr>
      <w:vertAlign w:val="superscript"/>
    </w:rPr>
  </w:style>
  <w:style w:type="paragraph" w:styleId="22">
    <w:name w:val="endnote text"/>
    <w:rPr>
      <w:rFonts w:ascii="Arial" w:eastAsia="Arial" w:cs="Arial" w:hAnsi="Arial"/>
      <w:sz w:val="20"/>
      <w:szCs w:val="20"/>
      <w:lang w:val="en-GB" w:eastAsia="en-GB" w:bidi="ar-SA"/>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styles" Target="styles.xml"/><Relationship Id="rId3" Type="http://schemas.openxmlformats.org/officeDocument/2006/relationships/numbering" Target="numbering.xml"/><Relationship Id="rId4" Type="http://schemas.openxmlformats.org/officeDocument/2006/relationships/fontTable" Target="fontTable.xml"/></Relationships>
</file>

<file path=docProps/app.xml><?xml version="1.0" encoding="utf-8"?>
<Properties xmlns="http://schemas.openxmlformats.org/officeDocument/2006/extended-properties">
  <Template>Normal.eit</Template>
  <TotalTime>0</TotalTime>
  <Application>Honor_Office</Application>
  <Pages>10</Pages>
  <Words>2536</Words>
  <Characters>15650</Characters>
  <Lines>377</Lines>
  <Paragraphs>168</Paragraphs>
  <CharactersWithSpaces>17996</CharactersWithSpaces>
</Properties>
</file>

<file path=docProps/core.xml><?xml version="1.0" encoding="utf-8"?>
<cp:coreProperties xmlns:cp="http://schemas.openxmlformats.org/package/2006/metadata/core-properties" xmlns:dc="http://purl.org/dc/elements/1.1/" xmlns:dcterms="http://purl.org/dc/terms/" xmlns:xsi="http://www.w3.org/2001/XMLSchema-instance">
  <dc:creator>Un-named</dc:creator>
  <cp:lastModifiedBy>HONOR Docs</cp:lastModifiedBy>
  <cp:revision>2</cp:revision>
  <dcterms:created xsi:type="dcterms:W3CDTF">2026-04-18T00:04:00Z</dcterms:created>
  <dcterms:modified xsi:type="dcterms:W3CDTF">2026-04-24T09:34:59Z</dcterms:modified>
</cp:coreProperties>
</file>