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BE785C" w14:textId="00A5FAD9" w:rsidR="0081565C" w:rsidRDefault="0081565C">
      <w:pPr>
        <w:pStyle w:val="Heading1"/>
        <w:jc w:val="center"/>
      </w:pPr>
    </w:p>
    <w:p w14:paraId="24BE785D" w14:textId="77777777" w:rsidR="0081565C" w:rsidRDefault="00C45D4B">
      <w:pPr>
        <w:pStyle w:val="Heading1"/>
        <w:jc w:val="center"/>
      </w:pPr>
      <w:r>
        <w:t xml:space="preserve"> </w:t>
      </w:r>
    </w:p>
    <w:p w14:paraId="24BE785E" w14:textId="1A7225C9" w:rsidR="0081565C" w:rsidRDefault="00C45D4B" w:rsidP="006F27E1">
      <w:pPr>
        <w:jc w:val="center"/>
      </w:pPr>
      <w:r>
        <w:rPr>
          <w:noProof/>
        </w:rPr>
        <w:drawing>
          <wp:inline distT="114300" distB="114300" distL="114300" distR="114300" wp14:anchorId="24BE7BFE" wp14:editId="24BE7BFF">
            <wp:extent cx="2124674" cy="763005"/>
            <wp:effectExtent l="0" t="0" r="0" b="0"/>
            <wp:docPr id="1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7"/>
                    <a:srcRect/>
                    <a:stretch>
                      <a:fillRect/>
                    </a:stretch>
                  </pic:blipFill>
                  <pic:spPr>
                    <a:xfrm>
                      <a:off x="0" y="0"/>
                      <a:ext cx="2124674" cy="763005"/>
                    </a:xfrm>
                    <a:prstGeom prst="rect">
                      <a:avLst/>
                    </a:prstGeom>
                    <a:ln/>
                  </pic:spPr>
                </pic:pic>
              </a:graphicData>
            </a:graphic>
          </wp:inline>
        </w:drawing>
      </w:r>
    </w:p>
    <w:p w14:paraId="24BE7861" w14:textId="38A628D8" w:rsidR="0081565C" w:rsidRPr="00423837" w:rsidRDefault="00C45D4B" w:rsidP="00423837">
      <w:pPr>
        <w:pStyle w:val="Heading1"/>
        <w:jc w:val="center"/>
      </w:pPr>
      <w:bookmarkStart w:id="0" w:name="_do61977zha19" w:colFirst="0" w:colLast="0"/>
      <w:bookmarkEnd w:id="0"/>
      <w:r>
        <w:t xml:space="preserve"> </w:t>
      </w:r>
      <w:bookmarkStart w:id="1" w:name="_hralpseova8r" w:colFirst="0" w:colLast="0"/>
      <w:bookmarkStart w:id="2" w:name="_5tknds2dm7ry" w:colFirst="0" w:colLast="0"/>
      <w:bookmarkEnd w:id="1"/>
      <w:bookmarkEnd w:id="2"/>
    </w:p>
    <w:p w14:paraId="24BE7862" w14:textId="77777777" w:rsidR="0081565C" w:rsidRDefault="0081565C">
      <w:pPr>
        <w:jc w:val="center"/>
        <w:rPr>
          <w:b/>
          <w:bCs/>
          <w:sz w:val="36"/>
          <w:szCs w:val="36"/>
        </w:rPr>
      </w:pPr>
    </w:p>
    <w:p w14:paraId="24BE7863" w14:textId="77777777" w:rsidR="0081565C" w:rsidRPr="00423837" w:rsidRDefault="00C45D4B">
      <w:pPr>
        <w:jc w:val="center"/>
        <w:rPr>
          <w:b/>
          <w:bCs/>
          <w:sz w:val="40"/>
          <w:szCs w:val="40"/>
        </w:rPr>
      </w:pPr>
      <w:proofErr w:type="spellStart"/>
      <w:r w:rsidRPr="00423837">
        <w:rPr>
          <w:b/>
          <w:bCs/>
          <w:sz w:val="40"/>
          <w:szCs w:val="40"/>
        </w:rPr>
        <w:t>Programme</w:t>
      </w:r>
      <w:proofErr w:type="spellEnd"/>
      <w:r w:rsidRPr="00423837">
        <w:rPr>
          <w:b/>
          <w:bCs/>
          <w:sz w:val="40"/>
          <w:szCs w:val="40"/>
        </w:rPr>
        <w:t>: Master of Business Administration</w:t>
      </w:r>
    </w:p>
    <w:p w14:paraId="44DD90AE" w14:textId="77777777" w:rsidR="00423837" w:rsidRDefault="00423837">
      <w:pPr>
        <w:jc w:val="center"/>
        <w:rPr>
          <w:b/>
          <w:bCs/>
          <w:sz w:val="36"/>
          <w:szCs w:val="36"/>
        </w:rPr>
      </w:pPr>
    </w:p>
    <w:p w14:paraId="24BE7864" w14:textId="1BD13B53" w:rsidR="0081565C" w:rsidRDefault="00C45D4B">
      <w:pPr>
        <w:jc w:val="center"/>
        <w:rPr>
          <w:b/>
          <w:bCs/>
          <w:sz w:val="36"/>
          <w:szCs w:val="36"/>
        </w:rPr>
      </w:pPr>
      <w:r>
        <w:rPr>
          <w:b/>
          <w:bCs/>
          <w:sz w:val="36"/>
          <w:szCs w:val="36"/>
        </w:rPr>
        <w:t>Module Title: Financial Management</w:t>
      </w:r>
    </w:p>
    <w:p w14:paraId="2E662D49" w14:textId="77777777" w:rsidR="00423837" w:rsidRDefault="00423837">
      <w:pPr>
        <w:jc w:val="center"/>
        <w:rPr>
          <w:b/>
          <w:bCs/>
          <w:sz w:val="36"/>
          <w:szCs w:val="36"/>
        </w:rPr>
      </w:pPr>
    </w:p>
    <w:p w14:paraId="24BE7865" w14:textId="5979BD76" w:rsidR="0081565C" w:rsidRDefault="00C45D4B">
      <w:pPr>
        <w:jc w:val="center"/>
        <w:rPr>
          <w:b/>
          <w:bCs/>
          <w:sz w:val="36"/>
          <w:szCs w:val="36"/>
        </w:rPr>
      </w:pPr>
      <w:r>
        <w:rPr>
          <w:b/>
          <w:bCs/>
          <w:sz w:val="36"/>
          <w:szCs w:val="36"/>
        </w:rPr>
        <w:t>Module Code: LCMB7002</w:t>
      </w:r>
    </w:p>
    <w:p w14:paraId="5505C920" w14:textId="77777777" w:rsidR="00423837" w:rsidRDefault="00423837">
      <w:pPr>
        <w:jc w:val="center"/>
        <w:rPr>
          <w:b/>
          <w:bCs/>
          <w:sz w:val="36"/>
          <w:szCs w:val="36"/>
        </w:rPr>
      </w:pPr>
    </w:p>
    <w:p w14:paraId="04857519" w14:textId="77777777" w:rsidR="00423837" w:rsidRDefault="00423837" w:rsidP="00423837">
      <w:pPr>
        <w:jc w:val="center"/>
        <w:rPr>
          <w:b/>
          <w:bCs/>
          <w:sz w:val="36"/>
          <w:szCs w:val="36"/>
        </w:rPr>
      </w:pPr>
      <w:r>
        <w:rPr>
          <w:b/>
          <w:bCs/>
          <w:sz w:val="36"/>
          <w:szCs w:val="36"/>
        </w:rPr>
        <w:t xml:space="preserve">Lecturer: </w:t>
      </w:r>
      <w:r w:rsidRPr="00423837">
        <w:rPr>
          <w:b/>
          <w:bCs/>
          <w:sz w:val="36"/>
          <w:szCs w:val="36"/>
        </w:rPr>
        <w:t xml:space="preserve">Dr </w:t>
      </w:r>
      <w:proofErr w:type="spellStart"/>
      <w:r w:rsidRPr="00423837">
        <w:rPr>
          <w:b/>
          <w:bCs/>
          <w:sz w:val="36"/>
          <w:szCs w:val="36"/>
        </w:rPr>
        <w:t>Shengfeng</w:t>
      </w:r>
      <w:proofErr w:type="spellEnd"/>
      <w:r w:rsidRPr="00423837">
        <w:rPr>
          <w:b/>
          <w:bCs/>
          <w:sz w:val="36"/>
          <w:szCs w:val="36"/>
        </w:rPr>
        <w:t xml:space="preserve"> Mei</w:t>
      </w:r>
    </w:p>
    <w:p w14:paraId="24BE7867" w14:textId="564DDF89" w:rsidR="0081565C" w:rsidRDefault="00C45D4B" w:rsidP="00423837">
      <w:pPr>
        <w:jc w:val="center"/>
        <w:rPr>
          <w:b/>
          <w:bCs/>
          <w:sz w:val="36"/>
          <w:szCs w:val="36"/>
        </w:rPr>
      </w:pPr>
      <w:r>
        <w:rPr>
          <w:b/>
          <w:bCs/>
          <w:sz w:val="36"/>
          <w:szCs w:val="36"/>
        </w:rPr>
        <w:t xml:space="preserve"> </w:t>
      </w:r>
    </w:p>
    <w:p w14:paraId="24BE7868" w14:textId="192DB4AB" w:rsidR="0081565C" w:rsidRPr="00423837" w:rsidRDefault="00C45D4B">
      <w:pPr>
        <w:jc w:val="center"/>
        <w:rPr>
          <w:b/>
          <w:bCs/>
          <w:sz w:val="36"/>
          <w:szCs w:val="36"/>
        </w:rPr>
      </w:pPr>
      <w:r w:rsidRPr="00423837">
        <w:rPr>
          <w:b/>
          <w:bCs/>
          <w:sz w:val="36"/>
          <w:szCs w:val="36"/>
        </w:rPr>
        <w:t>Student Name:</w:t>
      </w:r>
      <w:r w:rsidR="00423837">
        <w:rPr>
          <w:b/>
          <w:bCs/>
          <w:sz w:val="36"/>
          <w:szCs w:val="36"/>
        </w:rPr>
        <w:t xml:space="preserve"> Akash Patel </w:t>
      </w:r>
    </w:p>
    <w:p w14:paraId="0BB98E0D" w14:textId="77777777" w:rsidR="00423837" w:rsidRDefault="00C45D4B">
      <w:pPr>
        <w:jc w:val="center"/>
        <w:rPr>
          <w:b/>
          <w:bCs/>
          <w:sz w:val="36"/>
          <w:szCs w:val="36"/>
        </w:rPr>
      </w:pPr>
      <w:r w:rsidRPr="00423837">
        <w:rPr>
          <w:b/>
          <w:bCs/>
          <w:sz w:val="36"/>
          <w:szCs w:val="36"/>
        </w:rPr>
        <w:t xml:space="preserve">Student ID: </w:t>
      </w:r>
      <w:r w:rsidR="00423837">
        <w:rPr>
          <w:b/>
          <w:bCs/>
          <w:sz w:val="36"/>
          <w:szCs w:val="36"/>
        </w:rPr>
        <w:t>2538074</w:t>
      </w:r>
    </w:p>
    <w:p w14:paraId="3EFED44E" w14:textId="77777777" w:rsidR="00423837" w:rsidRDefault="00423837">
      <w:pPr>
        <w:jc w:val="center"/>
        <w:rPr>
          <w:b/>
          <w:bCs/>
          <w:sz w:val="36"/>
          <w:szCs w:val="36"/>
        </w:rPr>
      </w:pPr>
    </w:p>
    <w:p w14:paraId="24BE7869" w14:textId="4A6DCAF8" w:rsidR="0081565C" w:rsidRDefault="00423837">
      <w:pPr>
        <w:jc w:val="center"/>
      </w:pPr>
      <w:r>
        <w:rPr>
          <w:b/>
          <w:bCs/>
          <w:sz w:val="36"/>
          <w:szCs w:val="36"/>
        </w:rPr>
        <w:t xml:space="preserve">Word Count: </w:t>
      </w:r>
      <w:r w:rsidR="00C45D4B">
        <w:br w:type="page"/>
      </w:r>
    </w:p>
    <w:p w14:paraId="24BE786A" w14:textId="77777777" w:rsidR="0081565C" w:rsidRDefault="00C45D4B">
      <w:pPr>
        <w:jc w:val="center"/>
        <w:rPr>
          <w:b/>
          <w:bCs/>
          <w:sz w:val="28"/>
          <w:szCs w:val="28"/>
        </w:rPr>
      </w:pPr>
      <w:r>
        <w:rPr>
          <w:b/>
          <w:bCs/>
          <w:sz w:val="28"/>
          <w:szCs w:val="28"/>
        </w:rPr>
        <w:lastRenderedPageBreak/>
        <w:t>Table of contents</w:t>
      </w:r>
    </w:p>
    <w:sdt>
      <w:sdtPr>
        <w:id w:val="785050426"/>
        <w:docPartObj>
          <w:docPartGallery w:val="Table of Contents"/>
          <w:docPartUnique/>
        </w:docPartObj>
      </w:sdtPr>
      <w:sdtContent>
        <w:p w14:paraId="1A4B6C10" w14:textId="330EDFBF" w:rsidR="00C45D4B" w:rsidRDefault="00C45D4B">
          <w:pPr>
            <w:pStyle w:val="TOC1"/>
            <w:tabs>
              <w:tab w:val="right" w:pos="9350"/>
            </w:tabs>
            <w:rPr>
              <w:rFonts w:asciiTheme="minorHAnsi" w:eastAsiaTheme="minorEastAsia" w:hAnsiTheme="minorHAnsi" w:cstheme="minorBidi"/>
              <w:noProof/>
              <w:sz w:val="22"/>
              <w:szCs w:val="22"/>
              <w:lang w:val="en-IN"/>
            </w:rPr>
          </w:pPr>
          <w:r>
            <w:fldChar w:fldCharType="begin"/>
          </w:r>
          <w:r>
            <w:instrText xml:space="preserve"> TOC \h \u \z \t "Heading 1,1,Heading 2,2,Heading 3,3,Heading 4,4,Heading 5,5,Heading 6,6,"</w:instrText>
          </w:r>
          <w:r>
            <w:fldChar w:fldCharType="separate"/>
          </w:r>
          <w:hyperlink w:anchor="_Toc236412178" w:history="1">
            <w:r w:rsidRPr="00887CC3">
              <w:rPr>
                <w:rStyle w:val="Hyperlink"/>
                <w:noProof/>
              </w:rPr>
              <w:t>1. Financial Health Check</w:t>
            </w:r>
            <w:r>
              <w:rPr>
                <w:noProof/>
                <w:webHidden/>
              </w:rPr>
              <w:tab/>
            </w:r>
            <w:r>
              <w:rPr>
                <w:noProof/>
                <w:webHidden/>
              </w:rPr>
              <w:fldChar w:fldCharType="begin"/>
            </w:r>
            <w:r>
              <w:rPr>
                <w:noProof/>
                <w:webHidden/>
              </w:rPr>
              <w:instrText xml:space="preserve"> PAGEREF _Toc236412178 \h </w:instrText>
            </w:r>
            <w:r>
              <w:rPr>
                <w:noProof/>
                <w:webHidden/>
              </w:rPr>
            </w:r>
            <w:r>
              <w:rPr>
                <w:noProof/>
                <w:webHidden/>
              </w:rPr>
              <w:fldChar w:fldCharType="separate"/>
            </w:r>
            <w:r w:rsidR="009A030F">
              <w:rPr>
                <w:noProof/>
                <w:webHidden/>
              </w:rPr>
              <w:t>4</w:t>
            </w:r>
            <w:r>
              <w:rPr>
                <w:noProof/>
                <w:webHidden/>
              </w:rPr>
              <w:fldChar w:fldCharType="end"/>
            </w:r>
          </w:hyperlink>
        </w:p>
        <w:p w14:paraId="5A7D7355" w14:textId="52F8B7D9" w:rsidR="00C45D4B" w:rsidRDefault="00C45D4B">
          <w:pPr>
            <w:pStyle w:val="TOC2"/>
            <w:tabs>
              <w:tab w:val="right" w:pos="9350"/>
            </w:tabs>
            <w:rPr>
              <w:rFonts w:asciiTheme="minorHAnsi" w:eastAsiaTheme="minorEastAsia" w:hAnsiTheme="minorHAnsi" w:cstheme="minorBidi"/>
              <w:noProof/>
              <w:sz w:val="22"/>
              <w:szCs w:val="22"/>
              <w:lang w:val="en-IN"/>
            </w:rPr>
          </w:pPr>
          <w:hyperlink w:anchor="_Toc236412179" w:history="1">
            <w:r w:rsidRPr="00887CC3">
              <w:rPr>
                <w:rStyle w:val="Hyperlink"/>
                <w:noProof/>
              </w:rPr>
              <w:t>1.1 Five-Year Financial Performance of Whitbread Plc</w:t>
            </w:r>
            <w:r>
              <w:rPr>
                <w:noProof/>
                <w:webHidden/>
              </w:rPr>
              <w:tab/>
            </w:r>
            <w:r>
              <w:rPr>
                <w:noProof/>
                <w:webHidden/>
              </w:rPr>
              <w:fldChar w:fldCharType="begin"/>
            </w:r>
            <w:r>
              <w:rPr>
                <w:noProof/>
                <w:webHidden/>
              </w:rPr>
              <w:instrText xml:space="preserve"> PAGEREF _Toc236412179 \h </w:instrText>
            </w:r>
            <w:r>
              <w:rPr>
                <w:noProof/>
                <w:webHidden/>
              </w:rPr>
            </w:r>
            <w:r>
              <w:rPr>
                <w:noProof/>
                <w:webHidden/>
              </w:rPr>
              <w:fldChar w:fldCharType="separate"/>
            </w:r>
            <w:r w:rsidR="009A030F">
              <w:rPr>
                <w:noProof/>
                <w:webHidden/>
              </w:rPr>
              <w:t>4</w:t>
            </w:r>
            <w:r>
              <w:rPr>
                <w:noProof/>
                <w:webHidden/>
              </w:rPr>
              <w:fldChar w:fldCharType="end"/>
            </w:r>
          </w:hyperlink>
        </w:p>
        <w:p w14:paraId="19BE75B3" w14:textId="23AA1CC6" w:rsidR="00C45D4B" w:rsidRDefault="00C45D4B">
          <w:pPr>
            <w:pStyle w:val="TOC3"/>
            <w:tabs>
              <w:tab w:val="right" w:pos="9350"/>
            </w:tabs>
            <w:rPr>
              <w:rFonts w:asciiTheme="minorHAnsi" w:eastAsiaTheme="minorEastAsia" w:hAnsiTheme="minorHAnsi" w:cstheme="minorBidi"/>
              <w:noProof/>
              <w:sz w:val="22"/>
              <w:szCs w:val="22"/>
              <w:lang w:val="en-IN"/>
            </w:rPr>
          </w:pPr>
          <w:hyperlink w:anchor="_Toc236412180" w:history="1">
            <w:r w:rsidRPr="00887CC3">
              <w:rPr>
                <w:rStyle w:val="Hyperlink"/>
                <w:noProof/>
              </w:rPr>
              <w:t>1.1.1 Income statement analysis</w:t>
            </w:r>
            <w:r>
              <w:rPr>
                <w:noProof/>
                <w:webHidden/>
              </w:rPr>
              <w:tab/>
            </w:r>
            <w:r>
              <w:rPr>
                <w:noProof/>
                <w:webHidden/>
              </w:rPr>
              <w:fldChar w:fldCharType="begin"/>
            </w:r>
            <w:r>
              <w:rPr>
                <w:noProof/>
                <w:webHidden/>
              </w:rPr>
              <w:instrText xml:space="preserve"> PAGEREF _Toc236412180 \h </w:instrText>
            </w:r>
            <w:r>
              <w:rPr>
                <w:noProof/>
                <w:webHidden/>
              </w:rPr>
            </w:r>
            <w:r>
              <w:rPr>
                <w:noProof/>
                <w:webHidden/>
              </w:rPr>
              <w:fldChar w:fldCharType="separate"/>
            </w:r>
            <w:r w:rsidR="009A030F">
              <w:rPr>
                <w:noProof/>
                <w:webHidden/>
              </w:rPr>
              <w:t>4</w:t>
            </w:r>
            <w:r>
              <w:rPr>
                <w:noProof/>
                <w:webHidden/>
              </w:rPr>
              <w:fldChar w:fldCharType="end"/>
            </w:r>
          </w:hyperlink>
        </w:p>
        <w:p w14:paraId="3AB60422" w14:textId="4AF1D035" w:rsidR="00C45D4B" w:rsidRDefault="00C45D4B">
          <w:pPr>
            <w:pStyle w:val="TOC3"/>
            <w:tabs>
              <w:tab w:val="right" w:pos="9350"/>
            </w:tabs>
            <w:rPr>
              <w:rFonts w:asciiTheme="minorHAnsi" w:eastAsiaTheme="minorEastAsia" w:hAnsiTheme="minorHAnsi" w:cstheme="minorBidi"/>
              <w:noProof/>
              <w:sz w:val="22"/>
              <w:szCs w:val="22"/>
              <w:lang w:val="en-IN"/>
            </w:rPr>
          </w:pPr>
          <w:hyperlink w:anchor="_Toc236412181" w:history="1">
            <w:r w:rsidRPr="00887CC3">
              <w:rPr>
                <w:rStyle w:val="Hyperlink"/>
                <w:noProof/>
              </w:rPr>
              <w:t>1.1.2 Balance sheet analysis</w:t>
            </w:r>
            <w:r>
              <w:rPr>
                <w:noProof/>
                <w:webHidden/>
              </w:rPr>
              <w:tab/>
            </w:r>
            <w:r>
              <w:rPr>
                <w:noProof/>
                <w:webHidden/>
              </w:rPr>
              <w:fldChar w:fldCharType="begin"/>
            </w:r>
            <w:r>
              <w:rPr>
                <w:noProof/>
                <w:webHidden/>
              </w:rPr>
              <w:instrText xml:space="preserve"> PAGEREF _Toc236412181 \h </w:instrText>
            </w:r>
            <w:r>
              <w:rPr>
                <w:noProof/>
                <w:webHidden/>
              </w:rPr>
            </w:r>
            <w:r>
              <w:rPr>
                <w:noProof/>
                <w:webHidden/>
              </w:rPr>
              <w:fldChar w:fldCharType="separate"/>
            </w:r>
            <w:r w:rsidR="009A030F">
              <w:rPr>
                <w:noProof/>
                <w:webHidden/>
              </w:rPr>
              <w:t>5</w:t>
            </w:r>
            <w:r>
              <w:rPr>
                <w:noProof/>
                <w:webHidden/>
              </w:rPr>
              <w:fldChar w:fldCharType="end"/>
            </w:r>
          </w:hyperlink>
        </w:p>
        <w:p w14:paraId="73C9575A" w14:textId="15CA927B" w:rsidR="00C45D4B" w:rsidRDefault="00C45D4B">
          <w:pPr>
            <w:pStyle w:val="TOC2"/>
            <w:tabs>
              <w:tab w:val="right" w:pos="9350"/>
            </w:tabs>
            <w:rPr>
              <w:rFonts w:asciiTheme="minorHAnsi" w:eastAsiaTheme="minorEastAsia" w:hAnsiTheme="minorHAnsi" w:cstheme="minorBidi"/>
              <w:noProof/>
              <w:sz w:val="22"/>
              <w:szCs w:val="22"/>
              <w:lang w:val="en-IN"/>
            </w:rPr>
          </w:pPr>
          <w:hyperlink w:anchor="_Toc236412182" w:history="1">
            <w:r w:rsidRPr="00887CC3">
              <w:rPr>
                <w:rStyle w:val="Hyperlink"/>
                <w:noProof/>
              </w:rPr>
              <w:t>1.2 Liquidity Ratios</w:t>
            </w:r>
            <w:r>
              <w:rPr>
                <w:noProof/>
                <w:webHidden/>
              </w:rPr>
              <w:tab/>
            </w:r>
            <w:r>
              <w:rPr>
                <w:noProof/>
                <w:webHidden/>
              </w:rPr>
              <w:fldChar w:fldCharType="begin"/>
            </w:r>
            <w:r>
              <w:rPr>
                <w:noProof/>
                <w:webHidden/>
              </w:rPr>
              <w:instrText xml:space="preserve"> PAGEREF _Toc236412182 \h </w:instrText>
            </w:r>
            <w:r>
              <w:rPr>
                <w:noProof/>
                <w:webHidden/>
              </w:rPr>
            </w:r>
            <w:r>
              <w:rPr>
                <w:noProof/>
                <w:webHidden/>
              </w:rPr>
              <w:fldChar w:fldCharType="separate"/>
            </w:r>
            <w:r w:rsidR="009A030F">
              <w:rPr>
                <w:noProof/>
                <w:webHidden/>
              </w:rPr>
              <w:t>5</w:t>
            </w:r>
            <w:r>
              <w:rPr>
                <w:noProof/>
                <w:webHidden/>
              </w:rPr>
              <w:fldChar w:fldCharType="end"/>
            </w:r>
          </w:hyperlink>
        </w:p>
        <w:p w14:paraId="0E291115" w14:textId="3CCA3516" w:rsidR="00C45D4B" w:rsidRDefault="00C45D4B">
          <w:pPr>
            <w:pStyle w:val="TOC2"/>
            <w:tabs>
              <w:tab w:val="right" w:pos="9350"/>
            </w:tabs>
            <w:rPr>
              <w:rFonts w:asciiTheme="minorHAnsi" w:eastAsiaTheme="minorEastAsia" w:hAnsiTheme="minorHAnsi" w:cstheme="minorBidi"/>
              <w:noProof/>
              <w:sz w:val="22"/>
              <w:szCs w:val="22"/>
              <w:lang w:val="en-IN"/>
            </w:rPr>
          </w:pPr>
          <w:hyperlink w:anchor="_Toc236412183" w:history="1">
            <w:r w:rsidRPr="00887CC3">
              <w:rPr>
                <w:rStyle w:val="Hyperlink"/>
                <w:noProof/>
              </w:rPr>
              <w:t>1.3 Efficiency Ratios</w:t>
            </w:r>
            <w:r>
              <w:rPr>
                <w:noProof/>
                <w:webHidden/>
              </w:rPr>
              <w:tab/>
            </w:r>
            <w:r>
              <w:rPr>
                <w:noProof/>
                <w:webHidden/>
              </w:rPr>
              <w:fldChar w:fldCharType="begin"/>
            </w:r>
            <w:r>
              <w:rPr>
                <w:noProof/>
                <w:webHidden/>
              </w:rPr>
              <w:instrText xml:space="preserve"> PAGEREF _Toc236412183 \h </w:instrText>
            </w:r>
            <w:r>
              <w:rPr>
                <w:noProof/>
                <w:webHidden/>
              </w:rPr>
            </w:r>
            <w:r>
              <w:rPr>
                <w:noProof/>
                <w:webHidden/>
              </w:rPr>
              <w:fldChar w:fldCharType="separate"/>
            </w:r>
            <w:r w:rsidR="009A030F">
              <w:rPr>
                <w:noProof/>
                <w:webHidden/>
              </w:rPr>
              <w:t>7</w:t>
            </w:r>
            <w:r>
              <w:rPr>
                <w:noProof/>
                <w:webHidden/>
              </w:rPr>
              <w:fldChar w:fldCharType="end"/>
            </w:r>
          </w:hyperlink>
        </w:p>
        <w:p w14:paraId="58810FFE" w14:textId="2D248D65" w:rsidR="00C45D4B" w:rsidRDefault="00C45D4B">
          <w:pPr>
            <w:pStyle w:val="TOC2"/>
            <w:tabs>
              <w:tab w:val="right" w:pos="9350"/>
            </w:tabs>
            <w:rPr>
              <w:rFonts w:asciiTheme="minorHAnsi" w:eastAsiaTheme="minorEastAsia" w:hAnsiTheme="minorHAnsi" w:cstheme="minorBidi"/>
              <w:noProof/>
              <w:sz w:val="22"/>
              <w:szCs w:val="22"/>
              <w:lang w:val="en-IN"/>
            </w:rPr>
          </w:pPr>
          <w:hyperlink w:anchor="_Toc236412184" w:history="1">
            <w:r w:rsidRPr="00887CC3">
              <w:rPr>
                <w:rStyle w:val="Hyperlink"/>
                <w:noProof/>
              </w:rPr>
              <w:t>1.4 Profitability Ratios</w:t>
            </w:r>
            <w:r>
              <w:rPr>
                <w:noProof/>
                <w:webHidden/>
              </w:rPr>
              <w:tab/>
            </w:r>
            <w:r>
              <w:rPr>
                <w:noProof/>
                <w:webHidden/>
              </w:rPr>
              <w:fldChar w:fldCharType="begin"/>
            </w:r>
            <w:r>
              <w:rPr>
                <w:noProof/>
                <w:webHidden/>
              </w:rPr>
              <w:instrText xml:space="preserve"> PAGEREF _Toc236412184 \h </w:instrText>
            </w:r>
            <w:r>
              <w:rPr>
                <w:noProof/>
                <w:webHidden/>
              </w:rPr>
            </w:r>
            <w:r>
              <w:rPr>
                <w:noProof/>
                <w:webHidden/>
              </w:rPr>
              <w:fldChar w:fldCharType="separate"/>
            </w:r>
            <w:r w:rsidR="009A030F">
              <w:rPr>
                <w:noProof/>
                <w:webHidden/>
              </w:rPr>
              <w:t>8</w:t>
            </w:r>
            <w:r>
              <w:rPr>
                <w:noProof/>
                <w:webHidden/>
              </w:rPr>
              <w:fldChar w:fldCharType="end"/>
            </w:r>
          </w:hyperlink>
        </w:p>
        <w:p w14:paraId="6A4F7A68" w14:textId="5DEBEF67" w:rsidR="00C45D4B" w:rsidRDefault="00C45D4B">
          <w:pPr>
            <w:pStyle w:val="TOC2"/>
            <w:tabs>
              <w:tab w:val="right" w:pos="9350"/>
            </w:tabs>
            <w:rPr>
              <w:rFonts w:asciiTheme="minorHAnsi" w:eastAsiaTheme="minorEastAsia" w:hAnsiTheme="minorHAnsi" w:cstheme="minorBidi"/>
              <w:noProof/>
              <w:sz w:val="22"/>
              <w:szCs w:val="22"/>
              <w:lang w:val="en-IN"/>
            </w:rPr>
          </w:pPr>
          <w:hyperlink w:anchor="_Toc236412185" w:history="1">
            <w:r w:rsidRPr="00887CC3">
              <w:rPr>
                <w:rStyle w:val="Hyperlink"/>
                <w:noProof/>
              </w:rPr>
              <w:t>1.5 Gearing Ratios</w:t>
            </w:r>
            <w:r>
              <w:rPr>
                <w:noProof/>
                <w:webHidden/>
              </w:rPr>
              <w:tab/>
            </w:r>
            <w:r>
              <w:rPr>
                <w:noProof/>
                <w:webHidden/>
              </w:rPr>
              <w:fldChar w:fldCharType="begin"/>
            </w:r>
            <w:r>
              <w:rPr>
                <w:noProof/>
                <w:webHidden/>
              </w:rPr>
              <w:instrText xml:space="preserve"> PAGEREF _Toc236412185 \h </w:instrText>
            </w:r>
            <w:r>
              <w:rPr>
                <w:noProof/>
                <w:webHidden/>
              </w:rPr>
            </w:r>
            <w:r>
              <w:rPr>
                <w:noProof/>
                <w:webHidden/>
              </w:rPr>
              <w:fldChar w:fldCharType="separate"/>
            </w:r>
            <w:r w:rsidR="009A030F">
              <w:rPr>
                <w:noProof/>
                <w:webHidden/>
              </w:rPr>
              <w:t>9</w:t>
            </w:r>
            <w:r>
              <w:rPr>
                <w:noProof/>
                <w:webHidden/>
              </w:rPr>
              <w:fldChar w:fldCharType="end"/>
            </w:r>
          </w:hyperlink>
        </w:p>
        <w:p w14:paraId="0617E0A5" w14:textId="68774098" w:rsidR="00C45D4B" w:rsidRDefault="00C45D4B">
          <w:pPr>
            <w:pStyle w:val="TOC2"/>
            <w:tabs>
              <w:tab w:val="right" w:pos="9350"/>
            </w:tabs>
            <w:rPr>
              <w:rFonts w:asciiTheme="minorHAnsi" w:eastAsiaTheme="minorEastAsia" w:hAnsiTheme="minorHAnsi" w:cstheme="minorBidi"/>
              <w:noProof/>
              <w:sz w:val="22"/>
              <w:szCs w:val="22"/>
              <w:lang w:val="en-IN"/>
            </w:rPr>
          </w:pPr>
          <w:hyperlink w:anchor="_Toc236412186" w:history="1">
            <w:r w:rsidRPr="00887CC3">
              <w:rPr>
                <w:rStyle w:val="Hyperlink"/>
                <w:noProof/>
              </w:rPr>
              <w:t>1.6 Investment Ratios</w:t>
            </w:r>
            <w:r>
              <w:rPr>
                <w:noProof/>
                <w:webHidden/>
              </w:rPr>
              <w:tab/>
            </w:r>
            <w:r>
              <w:rPr>
                <w:noProof/>
                <w:webHidden/>
              </w:rPr>
              <w:fldChar w:fldCharType="begin"/>
            </w:r>
            <w:r>
              <w:rPr>
                <w:noProof/>
                <w:webHidden/>
              </w:rPr>
              <w:instrText xml:space="preserve"> PAGEREF _Toc236412186 \h </w:instrText>
            </w:r>
            <w:r>
              <w:rPr>
                <w:noProof/>
                <w:webHidden/>
              </w:rPr>
            </w:r>
            <w:r>
              <w:rPr>
                <w:noProof/>
                <w:webHidden/>
              </w:rPr>
              <w:fldChar w:fldCharType="separate"/>
            </w:r>
            <w:r w:rsidR="009A030F">
              <w:rPr>
                <w:noProof/>
                <w:webHidden/>
              </w:rPr>
              <w:t>11</w:t>
            </w:r>
            <w:r>
              <w:rPr>
                <w:noProof/>
                <w:webHidden/>
              </w:rPr>
              <w:fldChar w:fldCharType="end"/>
            </w:r>
          </w:hyperlink>
        </w:p>
        <w:p w14:paraId="5D11CCE4" w14:textId="65D3284D" w:rsidR="00C45D4B" w:rsidRDefault="00C45D4B">
          <w:pPr>
            <w:pStyle w:val="TOC2"/>
            <w:tabs>
              <w:tab w:val="right" w:pos="9350"/>
            </w:tabs>
            <w:rPr>
              <w:rFonts w:asciiTheme="minorHAnsi" w:eastAsiaTheme="minorEastAsia" w:hAnsiTheme="minorHAnsi" w:cstheme="minorBidi"/>
              <w:noProof/>
              <w:sz w:val="22"/>
              <w:szCs w:val="22"/>
              <w:lang w:val="en-IN"/>
            </w:rPr>
          </w:pPr>
          <w:hyperlink w:anchor="_Toc236412187" w:history="1">
            <w:r w:rsidRPr="00887CC3">
              <w:rPr>
                <w:rStyle w:val="Hyperlink"/>
                <w:noProof/>
              </w:rPr>
              <w:t>1.7 Cash Flow Ratios</w:t>
            </w:r>
            <w:r>
              <w:rPr>
                <w:noProof/>
                <w:webHidden/>
              </w:rPr>
              <w:tab/>
            </w:r>
            <w:r>
              <w:rPr>
                <w:noProof/>
                <w:webHidden/>
              </w:rPr>
              <w:fldChar w:fldCharType="begin"/>
            </w:r>
            <w:r>
              <w:rPr>
                <w:noProof/>
                <w:webHidden/>
              </w:rPr>
              <w:instrText xml:space="preserve"> PAGEREF _Toc236412187 \h </w:instrText>
            </w:r>
            <w:r>
              <w:rPr>
                <w:noProof/>
                <w:webHidden/>
              </w:rPr>
            </w:r>
            <w:r>
              <w:rPr>
                <w:noProof/>
                <w:webHidden/>
              </w:rPr>
              <w:fldChar w:fldCharType="separate"/>
            </w:r>
            <w:r w:rsidR="009A030F">
              <w:rPr>
                <w:noProof/>
                <w:webHidden/>
              </w:rPr>
              <w:t>12</w:t>
            </w:r>
            <w:r>
              <w:rPr>
                <w:noProof/>
                <w:webHidden/>
              </w:rPr>
              <w:fldChar w:fldCharType="end"/>
            </w:r>
          </w:hyperlink>
        </w:p>
        <w:p w14:paraId="0EEE3474" w14:textId="5ABC5A88" w:rsidR="00C45D4B" w:rsidRDefault="00C45D4B">
          <w:pPr>
            <w:pStyle w:val="TOC2"/>
            <w:tabs>
              <w:tab w:val="right" w:pos="9350"/>
            </w:tabs>
            <w:rPr>
              <w:rFonts w:asciiTheme="minorHAnsi" w:eastAsiaTheme="minorEastAsia" w:hAnsiTheme="minorHAnsi" w:cstheme="minorBidi"/>
              <w:noProof/>
              <w:sz w:val="22"/>
              <w:szCs w:val="22"/>
              <w:lang w:val="en-IN"/>
            </w:rPr>
          </w:pPr>
          <w:hyperlink w:anchor="_Toc236412188" w:history="1">
            <w:r w:rsidRPr="00887CC3">
              <w:rPr>
                <w:rStyle w:val="Hyperlink"/>
                <w:noProof/>
              </w:rPr>
              <w:t>1.8 Liquidity ratio comparison</w:t>
            </w:r>
            <w:r>
              <w:rPr>
                <w:noProof/>
                <w:webHidden/>
              </w:rPr>
              <w:tab/>
            </w:r>
            <w:r>
              <w:rPr>
                <w:noProof/>
                <w:webHidden/>
              </w:rPr>
              <w:fldChar w:fldCharType="begin"/>
            </w:r>
            <w:r>
              <w:rPr>
                <w:noProof/>
                <w:webHidden/>
              </w:rPr>
              <w:instrText xml:space="preserve"> PAGEREF _Toc236412188 \h </w:instrText>
            </w:r>
            <w:r>
              <w:rPr>
                <w:noProof/>
                <w:webHidden/>
              </w:rPr>
            </w:r>
            <w:r>
              <w:rPr>
                <w:noProof/>
                <w:webHidden/>
              </w:rPr>
              <w:fldChar w:fldCharType="separate"/>
            </w:r>
            <w:r w:rsidR="009A030F">
              <w:rPr>
                <w:noProof/>
                <w:webHidden/>
              </w:rPr>
              <w:t>13</w:t>
            </w:r>
            <w:r>
              <w:rPr>
                <w:noProof/>
                <w:webHidden/>
              </w:rPr>
              <w:fldChar w:fldCharType="end"/>
            </w:r>
          </w:hyperlink>
        </w:p>
        <w:p w14:paraId="635EEFA6" w14:textId="02A93173" w:rsidR="00C45D4B" w:rsidRDefault="00C45D4B">
          <w:pPr>
            <w:pStyle w:val="TOC3"/>
            <w:tabs>
              <w:tab w:val="right" w:pos="9350"/>
            </w:tabs>
            <w:rPr>
              <w:rFonts w:asciiTheme="minorHAnsi" w:eastAsiaTheme="minorEastAsia" w:hAnsiTheme="minorHAnsi" w:cstheme="minorBidi"/>
              <w:noProof/>
              <w:sz w:val="22"/>
              <w:szCs w:val="22"/>
              <w:lang w:val="en-IN"/>
            </w:rPr>
          </w:pPr>
          <w:hyperlink w:anchor="_Toc236412189" w:history="1">
            <w:r w:rsidRPr="00887CC3">
              <w:rPr>
                <w:rStyle w:val="Hyperlink"/>
                <w:noProof/>
              </w:rPr>
              <w:t>1.8.1 Evaluation with Liquidity ratio with industry benchmark</w:t>
            </w:r>
            <w:r>
              <w:rPr>
                <w:noProof/>
                <w:webHidden/>
              </w:rPr>
              <w:tab/>
            </w:r>
            <w:r>
              <w:rPr>
                <w:noProof/>
                <w:webHidden/>
              </w:rPr>
              <w:fldChar w:fldCharType="begin"/>
            </w:r>
            <w:r>
              <w:rPr>
                <w:noProof/>
                <w:webHidden/>
              </w:rPr>
              <w:instrText xml:space="preserve"> PAGEREF _Toc236412189 \h </w:instrText>
            </w:r>
            <w:r>
              <w:rPr>
                <w:noProof/>
                <w:webHidden/>
              </w:rPr>
            </w:r>
            <w:r>
              <w:rPr>
                <w:noProof/>
                <w:webHidden/>
              </w:rPr>
              <w:fldChar w:fldCharType="separate"/>
            </w:r>
            <w:r w:rsidR="009A030F">
              <w:rPr>
                <w:noProof/>
                <w:webHidden/>
              </w:rPr>
              <w:t>13</w:t>
            </w:r>
            <w:r>
              <w:rPr>
                <w:noProof/>
                <w:webHidden/>
              </w:rPr>
              <w:fldChar w:fldCharType="end"/>
            </w:r>
          </w:hyperlink>
        </w:p>
        <w:p w14:paraId="4C1CA545" w14:textId="094A246B" w:rsidR="00C45D4B" w:rsidRDefault="00C45D4B">
          <w:pPr>
            <w:pStyle w:val="TOC3"/>
            <w:tabs>
              <w:tab w:val="right" w:pos="9350"/>
            </w:tabs>
            <w:rPr>
              <w:rFonts w:asciiTheme="minorHAnsi" w:eastAsiaTheme="minorEastAsia" w:hAnsiTheme="minorHAnsi" w:cstheme="minorBidi"/>
              <w:noProof/>
              <w:sz w:val="22"/>
              <w:szCs w:val="22"/>
              <w:lang w:val="en-IN"/>
            </w:rPr>
          </w:pPr>
          <w:hyperlink w:anchor="_Toc236412190" w:history="1">
            <w:r w:rsidRPr="00887CC3">
              <w:rPr>
                <w:rStyle w:val="Hyperlink"/>
                <w:noProof/>
              </w:rPr>
              <w:t>1.8.2 Impact of firm performance based on liquidity ratio</w:t>
            </w:r>
            <w:r>
              <w:rPr>
                <w:noProof/>
                <w:webHidden/>
              </w:rPr>
              <w:tab/>
            </w:r>
            <w:r>
              <w:rPr>
                <w:noProof/>
                <w:webHidden/>
              </w:rPr>
              <w:fldChar w:fldCharType="begin"/>
            </w:r>
            <w:r>
              <w:rPr>
                <w:noProof/>
                <w:webHidden/>
              </w:rPr>
              <w:instrText xml:space="preserve"> PAGEREF _Toc236412190 \h </w:instrText>
            </w:r>
            <w:r>
              <w:rPr>
                <w:noProof/>
                <w:webHidden/>
              </w:rPr>
            </w:r>
            <w:r>
              <w:rPr>
                <w:noProof/>
                <w:webHidden/>
              </w:rPr>
              <w:fldChar w:fldCharType="separate"/>
            </w:r>
            <w:r w:rsidR="009A030F">
              <w:rPr>
                <w:noProof/>
                <w:webHidden/>
              </w:rPr>
              <w:t>13</w:t>
            </w:r>
            <w:r>
              <w:rPr>
                <w:noProof/>
                <w:webHidden/>
              </w:rPr>
              <w:fldChar w:fldCharType="end"/>
            </w:r>
          </w:hyperlink>
        </w:p>
        <w:p w14:paraId="01FD2C79" w14:textId="533B889E" w:rsidR="00C45D4B" w:rsidRDefault="00C45D4B">
          <w:pPr>
            <w:pStyle w:val="TOC1"/>
            <w:tabs>
              <w:tab w:val="right" w:pos="9350"/>
            </w:tabs>
            <w:rPr>
              <w:rFonts w:asciiTheme="minorHAnsi" w:eastAsiaTheme="minorEastAsia" w:hAnsiTheme="minorHAnsi" w:cstheme="minorBidi"/>
              <w:noProof/>
              <w:sz w:val="22"/>
              <w:szCs w:val="22"/>
              <w:lang w:val="en-IN"/>
            </w:rPr>
          </w:pPr>
          <w:hyperlink w:anchor="_Toc236412191" w:history="1">
            <w:r w:rsidRPr="00887CC3">
              <w:rPr>
                <w:rStyle w:val="Hyperlink"/>
                <w:noProof/>
              </w:rPr>
              <w:t>2. Working Capital Management Analysis</w:t>
            </w:r>
            <w:r>
              <w:rPr>
                <w:noProof/>
                <w:webHidden/>
              </w:rPr>
              <w:tab/>
            </w:r>
            <w:r>
              <w:rPr>
                <w:noProof/>
                <w:webHidden/>
              </w:rPr>
              <w:fldChar w:fldCharType="begin"/>
            </w:r>
            <w:r>
              <w:rPr>
                <w:noProof/>
                <w:webHidden/>
              </w:rPr>
              <w:instrText xml:space="preserve"> PAGEREF _Toc236412191 \h </w:instrText>
            </w:r>
            <w:r>
              <w:rPr>
                <w:noProof/>
                <w:webHidden/>
              </w:rPr>
            </w:r>
            <w:r>
              <w:rPr>
                <w:noProof/>
                <w:webHidden/>
              </w:rPr>
              <w:fldChar w:fldCharType="separate"/>
            </w:r>
            <w:r w:rsidR="009A030F">
              <w:rPr>
                <w:noProof/>
                <w:webHidden/>
              </w:rPr>
              <w:t>14</w:t>
            </w:r>
            <w:r>
              <w:rPr>
                <w:noProof/>
                <w:webHidden/>
              </w:rPr>
              <w:fldChar w:fldCharType="end"/>
            </w:r>
          </w:hyperlink>
        </w:p>
        <w:p w14:paraId="689FE0B7" w14:textId="39AFC075" w:rsidR="00C45D4B" w:rsidRDefault="00C45D4B">
          <w:pPr>
            <w:pStyle w:val="TOC2"/>
            <w:tabs>
              <w:tab w:val="right" w:pos="9350"/>
            </w:tabs>
            <w:rPr>
              <w:rFonts w:asciiTheme="minorHAnsi" w:eastAsiaTheme="minorEastAsia" w:hAnsiTheme="minorHAnsi" w:cstheme="minorBidi"/>
              <w:noProof/>
              <w:sz w:val="22"/>
              <w:szCs w:val="22"/>
              <w:lang w:val="en-IN"/>
            </w:rPr>
          </w:pPr>
          <w:hyperlink w:anchor="_Toc236412192" w:history="1">
            <w:r w:rsidRPr="00887CC3">
              <w:rPr>
                <w:rStyle w:val="Hyperlink"/>
                <w:noProof/>
              </w:rPr>
              <w:t>2.1 Discussion of Cash Operating Cycle Performance</w:t>
            </w:r>
            <w:r>
              <w:rPr>
                <w:noProof/>
                <w:webHidden/>
              </w:rPr>
              <w:tab/>
            </w:r>
            <w:r>
              <w:rPr>
                <w:noProof/>
                <w:webHidden/>
              </w:rPr>
              <w:fldChar w:fldCharType="begin"/>
            </w:r>
            <w:r>
              <w:rPr>
                <w:noProof/>
                <w:webHidden/>
              </w:rPr>
              <w:instrText xml:space="preserve"> PAGEREF _Toc236412192 \h </w:instrText>
            </w:r>
            <w:r>
              <w:rPr>
                <w:noProof/>
                <w:webHidden/>
              </w:rPr>
            </w:r>
            <w:r>
              <w:rPr>
                <w:noProof/>
                <w:webHidden/>
              </w:rPr>
              <w:fldChar w:fldCharType="separate"/>
            </w:r>
            <w:r w:rsidR="009A030F">
              <w:rPr>
                <w:noProof/>
                <w:webHidden/>
              </w:rPr>
              <w:t>14</w:t>
            </w:r>
            <w:r>
              <w:rPr>
                <w:noProof/>
                <w:webHidden/>
              </w:rPr>
              <w:fldChar w:fldCharType="end"/>
            </w:r>
          </w:hyperlink>
        </w:p>
        <w:p w14:paraId="587CC69D" w14:textId="770DBDF4" w:rsidR="00C45D4B" w:rsidRDefault="00C45D4B">
          <w:pPr>
            <w:pStyle w:val="TOC2"/>
            <w:tabs>
              <w:tab w:val="right" w:pos="9350"/>
            </w:tabs>
            <w:rPr>
              <w:rFonts w:asciiTheme="minorHAnsi" w:eastAsiaTheme="minorEastAsia" w:hAnsiTheme="minorHAnsi" w:cstheme="minorBidi"/>
              <w:noProof/>
              <w:sz w:val="22"/>
              <w:szCs w:val="22"/>
              <w:lang w:val="en-IN"/>
            </w:rPr>
          </w:pPr>
          <w:hyperlink w:anchor="_Toc236412193" w:history="1">
            <w:r w:rsidRPr="00887CC3">
              <w:rPr>
                <w:rStyle w:val="Hyperlink"/>
                <w:noProof/>
              </w:rPr>
              <w:t>2.2 Working Capital Challenges</w:t>
            </w:r>
            <w:r>
              <w:rPr>
                <w:noProof/>
                <w:webHidden/>
              </w:rPr>
              <w:tab/>
            </w:r>
            <w:r>
              <w:rPr>
                <w:noProof/>
                <w:webHidden/>
              </w:rPr>
              <w:fldChar w:fldCharType="begin"/>
            </w:r>
            <w:r>
              <w:rPr>
                <w:noProof/>
                <w:webHidden/>
              </w:rPr>
              <w:instrText xml:space="preserve"> PAGEREF _Toc236412193 \h </w:instrText>
            </w:r>
            <w:r>
              <w:rPr>
                <w:noProof/>
                <w:webHidden/>
              </w:rPr>
            </w:r>
            <w:r>
              <w:rPr>
                <w:noProof/>
                <w:webHidden/>
              </w:rPr>
              <w:fldChar w:fldCharType="separate"/>
            </w:r>
            <w:r w:rsidR="009A030F">
              <w:rPr>
                <w:noProof/>
                <w:webHidden/>
              </w:rPr>
              <w:t>17</w:t>
            </w:r>
            <w:r>
              <w:rPr>
                <w:noProof/>
                <w:webHidden/>
              </w:rPr>
              <w:fldChar w:fldCharType="end"/>
            </w:r>
          </w:hyperlink>
        </w:p>
        <w:p w14:paraId="45DC68B9" w14:textId="2717C45B" w:rsidR="00C45D4B" w:rsidRDefault="00C45D4B">
          <w:pPr>
            <w:pStyle w:val="TOC2"/>
            <w:tabs>
              <w:tab w:val="right" w:pos="9350"/>
            </w:tabs>
            <w:rPr>
              <w:rFonts w:asciiTheme="minorHAnsi" w:eastAsiaTheme="minorEastAsia" w:hAnsiTheme="minorHAnsi" w:cstheme="minorBidi"/>
              <w:noProof/>
              <w:sz w:val="22"/>
              <w:szCs w:val="22"/>
              <w:lang w:val="en-IN"/>
            </w:rPr>
          </w:pPr>
          <w:hyperlink w:anchor="_Toc236412194" w:history="1">
            <w:r w:rsidRPr="00887CC3">
              <w:rPr>
                <w:rStyle w:val="Hyperlink"/>
                <w:noProof/>
              </w:rPr>
              <w:t>2.3 Recommendation to improve liquidity of working capital</w:t>
            </w:r>
            <w:r>
              <w:rPr>
                <w:noProof/>
                <w:webHidden/>
              </w:rPr>
              <w:tab/>
            </w:r>
            <w:r>
              <w:rPr>
                <w:noProof/>
                <w:webHidden/>
              </w:rPr>
              <w:fldChar w:fldCharType="begin"/>
            </w:r>
            <w:r>
              <w:rPr>
                <w:noProof/>
                <w:webHidden/>
              </w:rPr>
              <w:instrText xml:space="preserve"> PAGEREF _Toc236412194 \h </w:instrText>
            </w:r>
            <w:r>
              <w:rPr>
                <w:noProof/>
                <w:webHidden/>
              </w:rPr>
            </w:r>
            <w:r>
              <w:rPr>
                <w:noProof/>
                <w:webHidden/>
              </w:rPr>
              <w:fldChar w:fldCharType="separate"/>
            </w:r>
            <w:r w:rsidR="009A030F">
              <w:rPr>
                <w:noProof/>
                <w:webHidden/>
              </w:rPr>
              <w:t>17</w:t>
            </w:r>
            <w:r>
              <w:rPr>
                <w:noProof/>
                <w:webHidden/>
              </w:rPr>
              <w:fldChar w:fldCharType="end"/>
            </w:r>
          </w:hyperlink>
        </w:p>
        <w:p w14:paraId="33AA6C6E" w14:textId="6D10743D" w:rsidR="00C45D4B" w:rsidRDefault="00C45D4B">
          <w:pPr>
            <w:pStyle w:val="TOC3"/>
            <w:tabs>
              <w:tab w:val="right" w:pos="9350"/>
            </w:tabs>
            <w:rPr>
              <w:rFonts w:asciiTheme="minorHAnsi" w:eastAsiaTheme="minorEastAsia" w:hAnsiTheme="minorHAnsi" w:cstheme="minorBidi"/>
              <w:noProof/>
              <w:sz w:val="22"/>
              <w:szCs w:val="22"/>
              <w:lang w:val="en-IN"/>
            </w:rPr>
          </w:pPr>
          <w:hyperlink w:anchor="_Toc236412195" w:history="1">
            <w:r w:rsidRPr="00887CC3">
              <w:rPr>
                <w:rStyle w:val="Hyperlink"/>
                <w:noProof/>
              </w:rPr>
              <w:t>2.3.1 Optimising inventory</w:t>
            </w:r>
            <w:r>
              <w:rPr>
                <w:noProof/>
                <w:webHidden/>
              </w:rPr>
              <w:tab/>
            </w:r>
            <w:r>
              <w:rPr>
                <w:noProof/>
                <w:webHidden/>
              </w:rPr>
              <w:fldChar w:fldCharType="begin"/>
            </w:r>
            <w:r>
              <w:rPr>
                <w:noProof/>
                <w:webHidden/>
              </w:rPr>
              <w:instrText xml:space="preserve"> PAGEREF _Toc236412195 \h </w:instrText>
            </w:r>
            <w:r>
              <w:rPr>
                <w:noProof/>
                <w:webHidden/>
              </w:rPr>
            </w:r>
            <w:r>
              <w:rPr>
                <w:noProof/>
                <w:webHidden/>
              </w:rPr>
              <w:fldChar w:fldCharType="separate"/>
            </w:r>
            <w:r w:rsidR="009A030F">
              <w:rPr>
                <w:noProof/>
                <w:webHidden/>
              </w:rPr>
              <w:t>17</w:t>
            </w:r>
            <w:r>
              <w:rPr>
                <w:noProof/>
                <w:webHidden/>
              </w:rPr>
              <w:fldChar w:fldCharType="end"/>
            </w:r>
          </w:hyperlink>
        </w:p>
        <w:p w14:paraId="2C0E8F07" w14:textId="59C97FE3" w:rsidR="00C45D4B" w:rsidRDefault="00C45D4B">
          <w:pPr>
            <w:pStyle w:val="TOC3"/>
            <w:tabs>
              <w:tab w:val="right" w:pos="9350"/>
            </w:tabs>
            <w:rPr>
              <w:rFonts w:asciiTheme="minorHAnsi" w:eastAsiaTheme="minorEastAsia" w:hAnsiTheme="minorHAnsi" w:cstheme="minorBidi"/>
              <w:noProof/>
              <w:sz w:val="22"/>
              <w:szCs w:val="22"/>
              <w:lang w:val="en-IN"/>
            </w:rPr>
          </w:pPr>
          <w:hyperlink w:anchor="_Toc236412196" w:history="1">
            <w:r w:rsidRPr="00887CC3">
              <w:rPr>
                <w:rStyle w:val="Hyperlink"/>
                <w:noProof/>
              </w:rPr>
              <w:t>2.3.2 Streamlining improvement in accounts receivable</w:t>
            </w:r>
            <w:r>
              <w:rPr>
                <w:noProof/>
                <w:webHidden/>
              </w:rPr>
              <w:tab/>
            </w:r>
            <w:r>
              <w:rPr>
                <w:noProof/>
                <w:webHidden/>
              </w:rPr>
              <w:fldChar w:fldCharType="begin"/>
            </w:r>
            <w:r>
              <w:rPr>
                <w:noProof/>
                <w:webHidden/>
              </w:rPr>
              <w:instrText xml:space="preserve"> PAGEREF _Toc236412196 \h </w:instrText>
            </w:r>
            <w:r>
              <w:rPr>
                <w:noProof/>
                <w:webHidden/>
              </w:rPr>
            </w:r>
            <w:r>
              <w:rPr>
                <w:noProof/>
                <w:webHidden/>
              </w:rPr>
              <w:fldChar w:fldCharType="separate"/>
            </w:r>
            <w:r w:rsidR="009A030F">
              <w:rPr>
                <w:noProof/>
                <w:webHidden/>
              </w:rPr>
              <w:t>17</w:t>
            </w:r>
            <w:r>
              <w:rPr>
                <w:noProof/>
                <w:webHidden/>
              </w:rPr>
              <w:fldChar w:fldCharType="end"/>
            </w:r>
          </w:hyperlink>
        </w:p>
        <w:p w14:paraId="4591DBEE" w14:textId="2B4E7255" w:rsidR="00C45D4B" w:rsidRDefault="00C45D4B">
          <w:pPr>
            <w:pStyle w:val="TOC2"/>
            <w:tabs>
              <w:tab w:val="right" w:pos="9350"/>
            </w:tabs>
            <w:rPr>
              <w:rFonts w:asciiTheme="minorHAnsi" w:eastAsiaTheme="minorEastAsia" w:hAnsiTheme="minorHAnsi" w:cstheme="minorBidi"/>
              <w:noProof/>
              <w:sz w:val="22"/>
              <w:szCs w:val="22"/>
              <w:lang w:val="en-IN"/>
            </w:rPr>
          </w:pPr>
          <w:hyperlink w:anchor="_Toc236412197" w:history="1">
            <w:r w:rsidRPr="00887CC3">
              <w:rPr>
                <w:rStyle w:val="Hyperlink"/>
                <w:noProof/>
              </w:rPr>
              <w:t>2.4 Comparison of financing option</w:t>
            </w:r>
            <w:r>
              <w:rPr>
                <w:noProof/>
                <w:webHidden/>
              </w:rPr>
              <w:tab/>
            </w:r>
            <w:r>
              <w:rPr>
                <w:noProof/>
                <w:webHidden/>
              </w:rPr>
              <w:fldChar w:fldCharType="begin"/>
            </w:r>
            <w:r>
              <w:rPr>
                <w:noProof/>
                <w:webHidden/>
              </w:rPr>
              <w:instrText xml:space="preserve"> PAGEREF _Toc236412197 \h </w:instrText>
            </w:r>
            <w:r>
              <w:rPr>
                <w:noProof/>
                <w:webHidden/>
              </w:rPr>
            </w:r>
            <w:r>
              <w:rPr>
                <w:noProof/>
                <w:webHidden/>
              </w:rPr>
              <w:fldChar w:fldCharType="separate"/>
            </w:r>
            <w:r w:rsidR="009A030F">
              <w:rPr>
                <w:noProof/>
                <w:webHidden/>
              </w:rPr>
              <w:t>17</w:t>
            </w:r>
            <w:r>
              <w:rPr>
                <w:noProof/>
                <w:webHidden/>
              </w:rPr>
              <w:fldChar w:fldCharType="end"/>
            </w:r>
          </w:hyperlink>
        </w:p>
        <w:p w14:paraId="07AF11E1" w14:textId="5D0B0030" w:rsidR="00C45D4B" w:rsidRDefault="00C45D4B">
          <w:pPr>
            <w:pStyle w:val="TOC3"/>
            <w:tabs>
              <w:tab w:val="right" w:pos="9350"/>
            </w:tabs>
            <w:rPr>
              <w:rFonts w:asciiTheme="minorHAnsi" w:eastAsiaTheme="minorEastAsia" w:hAnsiTheme="minorHAnsi" w:cstheme="minorBidi"/>
              <w:noProof/>
              <w:sz w:val="22"/>
              <w:szCs w:val="22"/>
              <w:lang w:val="en-IN"/>
            </w:rPr>
          </w:pPr>
          <w:hyperlink w:anchor="_Toc236412198" w:history="1">
            <w:r w:rsidRPr="00887CC3">
              <w:rPr>
                <w:rStyle w:val="Hyperlink"/>
                <w:noProof/>
              </w:rPr>
              <w:t>2.4.1 Short-Term Financing Options</w:t>
            </w:r>
            <w:r>
              <w:rPr>
                <w:noProof/>
                <w:webHidden/>
              </w:rPr>
              <w:tab/>
            </w:r>
            <w:r>
              <w:rPr>
                <w:noProof/>
                <w:webHidden/>
              </w:rPr>
              <w:fldChar w:fldCharType="begin"/>
            </w:r>
            <w:r>
              <w:rPr>
                <w:noProof/>
                <w:webHidden/>
              </w:rPr>
              <w:instrText xml:space="preserve"> PAGEREF _Toc236412198 \h </w:instrText>
            </w:r>
            <w:r>
              <w:rPr>
                <w:noProof/>
                <w:webHidden/>
              </w:rPr>
            </w:r>
            <w:r>
              <w:rPr>
                <w:noProof/>
                <w:webHidden/>
              </w:rPr>
              <w:fldChar w:fldCharType="separate"/>
            </w:r>
            <w:r w:rsidR="009A030F">
              <w:rPr>
                <w:noProof/>
                <w:webHidden/>
              </w:rPr>
              <w:t>17</w:t>
            </w:r>
            <w:r>
              <w:rPr>
                <w:noProof/>
                <w:webHidden/>
              </w:rPr>
              <w:fldChar w:fldCharType="end"/>
            </w:r>
          </w:hyperlink>
        </w:p>
        <w:p w14:paraId="624DA51A" w14:textId="14A68452" w:rsidR="00C45D4B" w:rsidRDefault="00C45D4B">
          <w:pPr>
            <w:pStyle w:val="TOC3"/>
            <w:tabs>
              <w:tab w:val="right" w:pos="9350"/>
            </w:tabs>
            <w:rPr>
              <w:rFonts w:asciiTheme="minorHAnsi" w:eastAsiaTheme="minorEastAsia" w:hAnsiTheme="minorHAnsi" w:cstheme="minorBidi"/>
              <w:noProof/>
              <w:sz w:val="22"/>
              <w:szCs w:val="22"/>
              <w:lang w:val="en-IN"/>
            </w:rPr>
          </w:pPr>
          <w:hyperlink w:anchor="_Toc236412199" w:history="1">
            <w:r w:rsidRPr="00887CC3">
              <w:rPr>
                <w:rStyle w:val="Hyperlink"/>
                <w:noProof/>
              </w:rPr>
              <w:t>2.4.2 Long-Term Financing Options</w:t>
            </w:r>
            <w:r>
              <w:rPr>
                <w:noProof/>
                <w:webHidden/>
              </w:rPr>
              <w:tab/>
            </w:r>
            <w:r>
              <w:rPr>
                <w:noProof/>
                <w:webHidden/>
              </w:rPr>
              <w:fldChar w:fldCharType="begin"/>
            </w:r>
            <w:r>
              <w:rPr>
                <w:noProof/>
                <w:webHidden/>
              </w:rPr>
              <w:instrText xml:space="preserve"> PAGEREF _Toc236412199 \h </w:instrText>
            </w:r>
            <w:r>
              <w:rPr>
                <w:noProof/>
                <w:webHidden/>
              </w:rPr>
            </w:r>
            <w:r>
              <w:rPr>
                <w:noProof/>
                <w:webHidden/>
              </w:rPr>
              <w:fldChar w:fldCharType="separate"/>
            </w:r>
            <w:r w:rsidR="009A030F">
              <w:rPr>
                <w:noProof/>
                <w:webHidden/>
              </w:rPr>
              <w:t>18</w:t>
            </w:r>
            <w:r>
              <w:rPr>
                <w:noProof/>
                <w:webHidden/>
              </w:rPr>
              <w:fldChar w:fldCharType="end"/>
            </w:r>
          </w:hyperlink>
        </w:p>
        <w:p w14:paraId="57C3B168" w14:textId="3FD41201" w:rsidR="00C45D4B" w:rsidRDefault="00C45D4B">
          <w:pPr>
            <w:pStyle w:val="TOC3"/>
            <w:tabs>
              <w:tab w:val="right" w:pos="9350"/>
            </w:tabs>
            <w:rPr>
              <w:rFonts w:asciiTheme="minorHAnsi" w:eastAsiaTheme="minorEastAsia" w:hAnsiTheme="minorHAnsi" w:cstheme="minorBidi"/>
              <w:noProof/>
              <w:sz w:val="22"/>
              <w:szCs w:val="22"/>
              <w:lang w:val="en-IN"/>
            </w:rPr>
          </w:pPr>
          <w:hyperlink w:anchor="_Toc236412200" w:history="1">
            <w:r w:rsidRPr="00887CC3">
              <w:rPr>
                <w:rStyle w:val="Hyperlink"/>
                <w:noProof/>
              </w:rPr>
              <w:t>2.4.3 Comparative Analysis</w:t>
            </w:r>
            <w:r>
              <w:rPr>
                <w:noProof/>
                <w:webHidden/>
              </w:rPr>
              <w:tab/>
            </w:r>
            <w:r>
              <w:rPr>
                <w:noProof/>
                <w:webHidden/>
              </w:rPr>
              <w:fldChar w:fldCharType="begin"/>
            </w:r>
            <w:r>
              <w:rPr>
                <w:noProof/>
                <w:webHidden/>
              </w:rPr>
              <w:instrText xml:space="preserve"> PAGEREF _Toc236412200 \h </w:instrText>
            </w:r>
            <w:r>
              <w:rPr>
                <w:noProof/>
                <w:webHidden/>
              </w:rPr>
            </w:r>
            <w:r>
              <w:rPr>
                <w:noProof/>
                <w:webHidden/>
              </w:rPr>
              <w:fldChar w:fldCharType="separate"/>
            </w:r>
            <w:r w:rsidR="009A030F">
              <w:rPr>
                <w:noProof/>
                <w:webHidden/>
              </w:rPr>
              <w:t>18</w:t>
            </w:r>
            <w:r>
              <w:rPr>
                <w:noProof/>
                <w:webHidden/>
              </w:rPr>
              <w:fldChar w:fldCharType="end"/>
            </w:r>
          </w:hyperlink>
        </w:p>
        <w:p w14:paraId="0979D041" w14:textId="569767C2" w:rsidR="00C45D4B" w:rsidRDefault="00C45D4B">
          <w:pPr>
            <w:pStyle w:val="TOC1"/>
            <w:tabs>
              <w:tab w:val="right" w:pos="9350"/>
            </w:tabs>
            <w:rPr>
              <w:rFonts w:asciiTheme="minorHAnsi" w:eastAsiaTheme="minorEastAsia" w:hAnsiTheme="minorHAnsi" w:cstheme="minorBidi"/>
              <w:noProof/>
              <w:sz w:val="22"/>
              <w:szCs w:val="22"/>
              <w:lang w:val="en-IN"/>
            </w:rPr>
          </w:pPr>
          <w:hyperlink w:anchor="_Toc236412201" w:history="1">
            <w:r w:rsidRPr="00887CC3">
              <w:rPr>
                <w:rStyle w:val="Hyperlink"/>
                <w:noProof/>
              </w:rPr>
              <w:t>3. Strategic Financial Restructuring Plan</w:t>
            </w:r>
            <w:r>
              <w:rPr>
                <w:noProof/>
                <w:webHidden/>
              </w:rPr>
              <w:tab/>
            </w:r>
            <w:r>
              <w:rPr>
                <w:noProof/>
                <w:webHidden/>
              </w:rPr>
              <w:fldChar w:fldCharType="begin"/>
            </w:r>
            <w:r>
              <w:rPr>
                <w:noProof/>
                <w:webHidden/>
              </w:rPr>
              <w:instrText xml:space="preserve"> PAGEREF _Toc236412201 \h </w:instrText>
            </w:r>
            <w:r>
              <w:rPr>
                <w:noProof/>
                <w:webHidden/>
              </w:rPr>
            </w:r>
            <w:r>
              <w:rPr>
                <w:noProof/>
                <w:webHidden/>
              </w:rPr>
              <w:fldChar w:fldCharType="separate"/>
            </w:r>
            <w:r w:rsidR="009A030F">
              <w:rPr>
                <w:noProof/>
                <w:webHidden/>
              </w:rPr>
              <w:t>19</w:t>
            </w:r>
            <w:r>
              <w:rPr>
                <w:noProof/>
                <w:webHidden/>
              </w:rPr>
              <w:fldChar w:fldCharType="end"/>
            </w:r>
          </w:hyperlink>
        </w:p>
        <w:p w14:paraId="21370F8D" w14:textId="137FB5CF" w:rsidR="00C45D4B" w:rsidRDefault="00C45D4B">
          <w:pPr>
            <w:pStyle w:val="TOC2"/>
            <w:tabs>
              <w:tab w:val="right" w:pos="9350"/>
            </w:tabs>
            <w:rPr>
              <w:rFonts w:asciiTheme="minorHAnsi" w:eastAsiaTheme="minorEastAsia" w:hAnsiTheme="minorHAnsi" w:cstheme="minorBidi"/>
              <w:noProof/>
              <w:sz w:val="22"/>
              <w:szCs w:val="22"/>
              <w:lang w:val="en-IN"/>
            </w:rPr>
          </w:pPr>
          <w:hyperlink w:anchor="_Toc236412202" w:history="1">
            <w:r w:rsidRPr="00887CC3">
              <w:rPr>
                <w:rStyle w:val="Hyperlink"/>
                <w:noProof/>
              </w:rPr>
              <w:t>3.1 Recommended Financial Restructuring Options</w:t>
            </w:r>
            <w:r>
              <w:rPr>
                <w:noProof/>
                <w:webHidden/>
              </w:rPr>
              <w:tab/>
            </w:r>
            <w:r>
              <w:rPr>
                <w:noProof/>
                <w:webHidden/>
              </w:rPr>
              <w:fldChar w:fldCharType="begin"/>
            </w:r>
            <w:r>
              <w:rPr>
                <w:noProof/>
                <w:webHidden/>
              </w:rPr>
              <w:instrText xml:space="preserve"> PAGEREF _Toc236412202 \h </w:instrText>
            </w:r>
            <w:r>
              <w:rPr>
                <w:noProof/>
                <w:webHidden/>
              </w:rPr>
            </w:r>
            <w:r>
              <w:rPr>
                <w:noProof/>
                <w:webHidden/>
              </w:rPr>
              <w:fldChar w:fldCharType="separate"/>
            </w:r>
            <w:r w:rsidR="009A030F">
              <w:rPr>
                <w:noProof/>
                <w:webHidden/>
              </w:rPr>
              <w:t>19</w:t>
            </w:r>
            <w:r>
              <w:rPr>
                <w:noProof/>
                <w:webHidden/>
              </w:rPr>
              <w:fldChar w:fldCharType="end"/>
            </w:r>
          </w:hyperlink>
        </w:p>
        <w:p w14:paraId="585C6811" w14:textId="21B451C0" w:rsidR="00C45D4B" w:rsidRDefault="00C45D4B">
          <w:pPr>
            <w:pStyle w:val="TOC2"/>
            <w:tabs>
              <w:tab w:val="right" w:pos="9350"/>
            </w:tabs>
            <w:rPr>
              <w:rFonts w:asciiTheme="minorHAnsi" w:eastAsiaTheme="minorEastAsia" w:hAnsiTheme="minorHAnsi" w:cstheme="minorBidi"/>
              <w:noProof/>
              <w:sz w:val="22"/>
              <w:szCs w:val="22"/>
              <w:lang w:val="en-IN"/>
            </w:rPr>
          </w:pPr>
          <w:hyperlink w:anchor="_Toc236412203" w:history="1">
            <w:r w:rsidRPr="00887CC3">
              <w:rPr>
                <w:rStyle w:val="Hyperlink"/>
                <w:noProof/>
              </w:rPr>
              <w:t>3.2 Impact on Financial Restructuring</w:t>
            </w:r>
            <w:r>
              <w:rPr>
                <w:noProof/>
                <w:webHidden/>
              </w:rPr>
              <w:tab/>
            </w:r>
            <w:r>
              <w:rPr>
                <w:noProof/>
                <w:webHidden/>
              </w:rPr>
              <w:fldChar w:fldCharType="begin"/>
            </w:r>
            <w:r>
              <w:rPr>
                <w:noProof/>
                <w:webHidden/>
              </w:rPr>
              <w:instrText xml:space="preserve"> PAGEREF _Toc236412203 \h </w:instrText>
            </w:r>
            <w:r>
              <w:rPr>
                <w:noProof/>
                <w:webHidden/>
              </w:rPr>
            </w:r>
            <w:r>
              <w:rPr>
                <w:noProof/>
                <w:webHidden/>
              </w:rPr>
              <w:fldChar w:fldCharType="separate"/>
            </w:r>
            <w:r w:rsidR="009A030F">
              <w:rPr>
                <w:noProof/>
                <w:webHidden/>
              </w:rPr>
              <w:t>19</w:t>
            </w:r>
            <w:r>
              <w:rPr>
                <w:noProof/>
                <w:webHidden/>
              </w:rPr>
              <w:fldChar w:fldCharType="end"/>
            </w:r>
          </w:hyperlink>
        </w:p>
        <w:p w14:paraId="6C1137D4" w14:textId="55601D71" w:rsidR="00C45D4B" w:rsidRDefault="00C45D4B">
          <w:pPr>
            <w:pStyle w:val="TOC3"/>
            <w:tabs>
              <w:tab w:val="right" w:pos="9350"/>
            </w:tabs>
            <w:rPr>
              <w:rFonts w:asciiTheme="minorHAnsi" w:eastAsiaTheme="minorEastAsia" w:hAnsiTheme="minorHAnsi" w:cstheme="minorBidi"/>
              <w:noProof/>
              <w:sz w:val="22"/>
              <w:szCs w:val="22"/>
              <w:lang w:val="en-IN"/>
            </w:rPr>
          </w:pPr>
          <w:hyperlink w:anchor="_Toc236412204" w:history="1">
            <w:r w:rsidRPr="00887CC3">
              <w:rPr>
                <w:rStyle w:val="Hyperlink"/>
                <w:noProof/>
              </w:rPr>
              <w:t>3.2.1 Significance on Shareholder Value</w:t>
            </w:r>
            <w:r>
              <w:rPr>
                <w:noProof/>
                <w:webHidden/>
              </w:rPr>
              <w:tab/>
            </w:r>
            <w:r>
              <w:rPr>
                <w:noProof/>
                <w:webHidden/>
              </w:rPr>
              <w:fldChar w:fldCharType="begin"/>
            </w:r>
            <w:r>
              <w:rPr>
                <w:noProof/>
                <w:webHidden/>
              </w:rPr>
              <w:instrText xml:space="preserve"> PAGEREF _Toc236412204 \h </w:instrText>
            </w:r>
            <w:r>
              <w:rPr>
                <w:noProof/>
                <w:webHidden/>
              </w:rPr>
            </w:r>
            <w:r>
              <w:rPr>
                <w:noProof/>
                <w:webHidden/>
              </w:rPr>
              <w:fldChar w:fldCharType="separate"/>
            </w:r>
            <w:r w:rsidR="009A030F">
              <w:rPr>
                <w:noProof/>
                <w:webHidden/>
              </w:rPr>
              <w:t>19</w:t>
            </w:r>
            <w:r>
              <w:rPr>
                <w:noProof/>
                <w:webHidden/>
              </w:rPr>
              <w:fldChar w:fldCharType="end"/>
            </w:r>
          </w:hyperlink>
        </w:p>
        <w:p w14:paraId="6B97B02E" w14:textId="3EA431DD" w:rsidR="00C45D4B" w:rsidRDefault="00C45D4B">
          <w:pPr>
            <w:pStyle w:val="TOC3"/>
            <w:tabs>
              <w:tab w:val="right" w:pos="9350"/>
            </w:tabs>
            <w:rPr>
              <w:rFonts w:asciiTheme="minorHAnsi" w:eastAsiaTheme="minorEastAsia" w:hAnsiTheme="minorHAnsi" w:cstheme="minorBidi"/>
              <w:noProof/>
              <w:sz w:val="22"/>
              <w:szCs w:val="22"/>
              <w:lang w:val="en-IN"/>
            </w:rPr>
          </w:pPr>
          <w:hyperlink w:anchor="_Toc236412205" w:history="1">
            <w:r w:rsidRPr="00887CC3">
              <w:rPr>
                <w:rStyle w:val="Hyperlink"/>
                <w:noProof/>
              </w:rPr>
              <w:t>3.2.2 Significance of Debt Structure</w:t>
            </w:r>
            <w:r>
              <w:rPr>
                <w:noProof/>
                <w:webHidden/>
              </w:rPr>
              <w:tab/>
            </w:r>
            <w:r>
              <w:rPr>
                <w:noProof/>
                <w:webHidden/>
              </w:rPr>
              <w:fldChar w:fldCharType="begin"/>
            </w:r>
            <w:r>
              <w:rPr>
                <w:noProof/>
                <w:webHidden/>
              </w:rPr>
              <w:instrText xml:space="preserve"> PAGEREF _Toc236412205 \h </w:instrText>
            </w:r>
            <w:r>
              <w:rPr>
                <w:noProof/>
                <w:webHidden/>
              </w:rPr>
            </w:r>
            <w:r>
              <w:rPr>
                <w:noProof/>
                <w:webHidden/>
              </w:rPr>
              <w:fldChar w:fldCharType="separate"/>
            </w:r>
            <w:r w:rsidR="009A030F">
              <w:rPr>
                <w:noProof/>
                <w:webHidden/>
              </w:rPr>
              <w:t>19</w:t>
            </w:r>
            <w:r>
              <w:rPr>
                <w:noProof/>
                <w:webHidden/>
              </w:rPr>
              <w:fldChar w:fldCharType="end"/>
            </w:r>
          </w:hyperlink>
        </w:p>
        <w:p w14:paraId="354ED1C4" w14:textId="65D2891D" w:rsidR="00C45D4B" w:rsidRDefault="00C45D4B">
          <w:pPr>
            <w:pStyle w:val="TOC3"/>
            <w:tabs>
              <w:tab w:val="right" w:pos="9350"/>
            </w:tabs>
            <w:rPr>
              <w:rFonts w:asciiTheme="minorHAnsi" w:eastAsiaTheme="minorEastAsia" w:hAnsiTheme="minorHAnsi" w:cstheme="minorBidi"/>
              <w:noProof/>
              <w:sz w:val="22"/>
              <w:szCs w:val="22"/>
              <w:lang w:val="en-IN"/>
            </w:rPr>
          </w:pPr>
          <w:hyperlink w:anchor="_Toc236412206" w:history="1">
            <w:r w:rsidRPr="00887CC3">
              <w:rPr>
                <w:rStyle w:val="Hyperlink"/>
                <w:noProof/>
              </w:rPr>
              <w:t>3.2.3 Significance of Operational Flexibility</w:t>
            </w:r>
            <w:r>
              <w:rPr>
                <w:noProof/>
                <w:webHidden/>
              </w:rPr>
              <w:tab/>
            </w:r>
            <w:r>
              <w:rPr>
                <w:noProof/>
                <w:webHidden/>
              </w:rPr>
              <w:fldChar w:fldCharType="begin"/>
            </w:r>
            <w:r>
              <w:rPr>
                <w:noProof/>
                <w:webHidden/>
              </w:rPr>
              <w:instrText xml:space="preserve"> PAGEREF _Toc236412206 \h </w:instrText>
            </w:r>
            <w:r>
              <w:rPr>
                <w:noProof/>
                <w:webHidden/>
              </w:rPr>
            </w:r>
            <w:r>
              <w:rPr>
                <w:noProof/>
                <w:webHidden/>
              </w:rPr>
              <w:fldChar w:fldCharType="separate"/>
            </w:r>
            <w:r w:rsidR="009A030F">
              <w:rPr>
                <w:noProof/>
                <w:webHidden/>
              </w:rPr>
              <w:t>20</w:t>
            </w:r>
            <w:r>
              <w:rPr>
                <w:noProof/>
                <w:webHidden/>
              </w:rPr>
              <w:fldChar w:fldCharType="end"/>
            </w:r>
          </w:hyperlink>
        </w:p>
        <w:p w14:paraId="2BD22C30" w14:textId="5505189F" w:rsidR="00C45D4B" w:rsidRDefault="00C45D4B">
          <w:pPr>
            <w:pStyle w:val="TOC2"/>
            <w:tabs>
              <w:tab w:val="right" w:pos="9350"/>
            </w:tabs>
            <w:rPr>
              <w:rFonts w:asciiTheme="minorHAnsi" w:eastAsiaTheme="minorEastAsia" w:hAnsiTheme="minorHAnsi" w:cstheme="minorBidi"/>
              <w:noProof/>
              <w:sz w:val="22"/>
              <w:szCs w:val="22"/>
              <w:lang w:val="en-IN"/>
            </w:rPr>
          </w:pPr>
          <w:hyperlink w:anchor="_Toc236412207" w:history="1">
            <w:r w:rsidRPr="00887CC3">
              <w:rPr>
                <w:rStyle w:val="Hyperlink"/>
                <w:noProof/>
              </w:rPr>
              <w:t>3.3 International Financial Considerations</w:t>
            </w:r>
            <w:r>
              <w:rPr>
                <w:noProof/>
                <w:webHidden/>
              </w:rPr>
              <w:tab/>
            </w:r>
            <w:r>
              <w:rPr>
                <w:noProof/>
                <w:webHidden/>
              </w:rPr>
              <w:fldChar w:fldCharType="begin"/>
            </w:r>
            <w:r>
              <w:rPr>
                <w:noProof/>
                <w:webHidden/>
              </w:rPr>
              <w:instrText xml:space="preserve"> PAGEREF _Toc236412207 \h </w:instrText>
            </w:r>
            <w:r>
              <w:rPr>
                <w:noProof/>
                <w:webHidden/>
              </w:rPr>
            </w:r>
            <w:r>
              <w:rPr>
                <w:noProof/>
                <w:webHidden/>
              </w:rPr>
              <w:fldChar w:fldCharType="separate"/>
            </w:r>
            <w:r w:rsidR="009A030F">
              <w:rPr>
                <w:noProof/>
                <w:webHidden/>
              </w:rPr>
              <w:t>20</w:t>
            </w:r>
            <w:r>
              <w:rPr>
                <w:noProof/>
                <w:webHidden/>
              </w:rPr>
              <w:fldChar w:fldCharType="end"/>
            </w:r>
          </w:hyperlink>
        </w:p>
        <w:p w14:paraId="38F5FB10" w14:textId="539D7776" w:rsidR="00C45D4B" w:rsidRDefault="00C45D4B">
          <w:pPr>
            <w:pStyle w:val="TOC3"/>
            <w:tabs>
              <w:tab w:val="right" w:pos="9350"/>
            </w:tabs>
            <w:rPr>
              <w:rFonts w:asciiTheme="minorHAnsi" w:eastAsiaTheme="minorEastAsia" w:hAnsiTheme="minorHAnsi" w:cstheme="minorBidi"/>
              <w:noProof/>
              <w:sz w:val="22"/>
              <w:szCs w:val="22"/>
              <w:lang w:val="en-IN"/>
            </w:rPr>
          </w:pPr>
          <w:hyperlink w:anchor="_Toc236412208" w:history="1">
            <w:r w:rsidRPr="00887CC3">
              <w:rPr>
                <w:rStyle w:val="Hyperlink"/>
                <w:noProof/>
              </w:rPr>
              <w:t>3.3.1 Taxation Considerations</w:t>
            </w:r>
            <w:r>
              <w:rPr>
                <w:noProof/>
                <w:webHidden/>
              </w:rPr>
              <w:tab/>
            </w:r>
            <w:r>
              <w:rPr>
                <w:noProof/>
                <w:webHidden/>
              </w:rPr>
              <w:fldChar w:fldCharType="begin"/>
            </w:r>
            <w:r>
              <w:rPr>
                <w:noProof/>
                <w:webHidden/>
              </w:rPr>
              <w:instrText xml:space="preserve"> PAGEREF _Toc236412208 \h </w:instrText>
            </w:r>
            <w:r>
              <w:rPr>
                <w:noProof/>
                <w:webHidden/>
              </w:rPr>
            </w:r>
            <w:r>
              <w:rPr>
                <w:noProof/>
                <w:webHidden/>
              </w:rPr>
              <w:fldChar w:fldCharType="separate"/>
            </w:r>
            <w:r w:rsidR="009A030F">
              <w:rPr>
                <w:noProof/>
                <w:webHidden/>
              </w:rPr>
              <w:t>20</w:t>
            </w:r>
            <w:r>
              <w:rPr>
                <w:noProof/>
                <w:webHidden/>
              </w:rPr>
              <w:fldChar w:fldCharType="end"/>
            </w:r>
          </w:hyperlink>
        </w:p>
        <w:p w14:paraId="4FAD758B" w14:textId="2B6C72E5" w:rsidR="00C45D4B" w:rsidRDefault="00C45D4B">
          <w:pPr>
            <w:pStyle w:val="TOC3"/>
            <w:tabs>
              <w:tab w:val="right" w:pos="9350"/>
            </w:tabs>
            <w:rPr>
              <w:rFonts w:asciiTheme="minorHAnsi" w:eastAsiaTheme="minorEastAsia" w:hAnsiTheme="minorHAnsi" w:cstheme="minorBidi"/>
              <w:noProof/>
              <w:sz w:val="22"/>
              <w:szCs w:val="22"/>
              <w:lang w:val="en-IN"/>
            </w:rPr>
          </w:pPr>
          <w:hyperlink w:anchor="_Toc236412209" w:history="1">
            <w:r w:rsidRPr="00887CC3">
              <w:rPr>
                <w:rStyle w:val="Hyperlink"/>
                <w:noProof/>
              </w:rPr>
              <w:t>3.3.2 Currency Risk</w:t>
            </w:r>
            <w:r>
              <w:rPr>
                <w:noProof/>
                <w:webHidden/>
              </w:rPr>
              <w:tab/>
            </w:r>
            <w:r>
              <w:rPr>
                <w:noProof/>
                <w:webHidden/>
              </w:rPr>
              <w:fldChar w:fldCharType="begin"/>
            </w:r>
            <w:r>
              <w:rPr>
                <w:noProof/>
                <w:webHidden/>
              </w:rPr>
              <w:instrText xml:space="preserve"> PAGEREF _Toc236412209 \h </w:instrText>
            </w:r>
            <w:r>
              <w:rPr>
                <w:noProof/>
                <w:webHidden/>
              </w:rPr>
            </w:r>
            <w:r>
              <w:rPr>
                <w:noProof/>
                <w:webHidden/>
              </w:rPr>
              <w:fldChar w:fldCharType="separate"/>
            </w:r>
            <w:r w:rsidR="009A030F">
              <w:rPr>
                <w:noProof/>
                <w:webHidden/>
              </w:rPr>
              <w:t>21</w:t>
            </w:r>
            <w:r>
              <w:rPr>
                <w:noProof/>
                <w:webHidden/>
              </w:rPr>
              <w:fldChar w:fldCharType="end"/>
            </w:r>
          </w:hyperlink>
        </w:p>
        <w:p w14:paraId="4C834271" w14:textId="779C0739" w:rsidR="00C45D4B" w:rsidRDefault="00C45D4B">
          <w:pPr>
            <w:pStyle w:val="TOC3"/>
            <w:tabs>
              <w:tab w:val="right" w:pos="9350"/>
            </w:tabs>
            <w:rPr>
              <w:rFonts w:asciiTheme="minorHAnsi" w:eastAsiaTheme="minorEastAsia" w:hAnsiTheme="minorHAnsi" w:cstheme="minorBidi"/>
              <w:noProof/>
              <w:sz w:val="22"/>
              <w:szCs w:val="22"/>
              <w:lang w:val="en-IN"/>
            </w:rPr>
          </w:pPr>
          <w:hyperlink w:anchor="_Toc236412210" w:history="1">
            <w:r w:rsidRPr="00887CC3">
              <w:rPr>
                <w:rStyle w:val="Hyperlink"/>
                <w:noProof/>
              </w:rPr>
              <w:t>3.3.3 Inflation Risk</w:t>
            </w:r>
            <w:r>
              <w:rPr>
                <w:noProof/>
                <w:webHidden/>
              </w:rPr>
              <w:tab/>
            </w:r>
            <w:r>
              <w:rPr>
                <w:noProof/>
                <w:webHidden/>
              </w:rPr>
              <w:fldChar w:fldCharType="begin"/>
            </w:r>
            <w:r>
              <w:rPr>
                <w:noProof/>
                <w:webHidden/>
              </w:rPr>
              <w:instrText xml:space="preserve"> PAGEREF _Toc236412210 \h </w:instrText>
            </w:r>
            <w:r>
              <w:rPr>
                <w:noProof/>
                <w:webHidden/>
              </w:rPr>
            </w:r>
            <w:r>
              <w:rPr>
                <w:noProof/>
                <w:webHidden/>
              </w:rPr>
              <w:fldChar w:fldCharType="separate"/>
            </w:r>
            <w:r w:rsidR="009A030F">
              <w:rPr>
                <w:noProof/>
                <w:webHidden/>
              </w:rPr>
              <w:t>22</w:t>
            </w:r>
            <w:r>
              <w:rPr>
                <w:noProof/>
                <w:webHidden/>
              </w:rPr>
              <w:fldChar w:fldCharType="end"/>
            </w:r>
          </w:hyperlink>
        </w:p>
        <w:p w14:paraId="6298C6EF" w14:textId="7F621622" w:rsidR="00C45D4B" w:rsidRDefault="00C45D4B">
          <w:pPr>
            <w:pStyle w:val="TOC2"/>
            <w:tabs>
              <w:tab w:val="right" w:pos="9350"/>
            </w:tabs>
            <w:rPr>
              <w:rFonts w:asciiTheme="minorHAnsi" w:eastAsiaTheme="minorEastAsia" w:hAnsiTheme="minorHAnsi" w:cstheme="minorBidi"/>
              <w:noProof/>
              <w:sz w:val="22"/>
              <w:szCs w:val="22"/>
              <w:lang w:val="en-IN"/>
            </w:rPr>
          </w:pPr>
          <w:hyperlink w:anchor="_Toc236412211" w:history="1">
            <w:r w:rsidRPr="00887CC3">
              <w:rPr>
                <w:rStyle w:val="Hyperlink"/>
                <w:noProof/>
              </w:rPr>
              <w:t>3.4 Discussion on the Ethical and ESG Operations</w:t>
            </w:r>
            <w:r>
              <w:rPr>
                <w:noProof/>
                <w:webHidden/>
              </w:rPr>
              <w:tab/>
            </w:r>
            <w:r>
              <w:rPr>
                <w:noProof/>
                <w:webHidden/>
              </w:rPr>
              <w:fldChar w:fldCharType="begin"/>
            </w:r>
            <w:r>
              <w:rPr>
                <w:noProof/>
                <w:webHidden/>
              </w:rPr>
              <w:instrText xml:space="preserve"> PAGEREF _Toc236412211 \h </w:instrText>
            </w:r>
            <w:r>
              <w:rPr>
                <w:noProof/>
                <w:webHidden/>
              </w:rPr>
            </w:r>
            <w:r>
              <w:rPr>
                <w:noProof/>
                <w:webHidden/>
              </w:rPr>
              <w:fldChar w:fldCharType="separate"/>
            </w:r>
            <w:r w:rsidR="009A030F">
              <w:rPr>
                <w:noProof/>
                <w:webHidden/>
              </w:rPr>
              <w:t>23</w:t>
            </w:r>
            <w:r>
              <w:rPr>
                <w:noProof/>
                <w:webHidden/>
              </w:rPr>
              <w:fldChar w:fldCharType="end"/>
            </w:r>
          </w:hyperlink>
        </w:p>
        <w:p w14:paraId="1A14AF85" w14:textId="469A6465" w:rsidR="00C45D4B" w:rsidRDefault="00C45D4B">
          <w:pPr>
            <w:pStyle w:val="TOC1"/>
            <w:tabs>
              <w:tab w:val="right" w:pos="9350"/>
            </w:tabs>
            <w:rPr>
              <w:rFonts w:asciiTheme="minorHAnsi" w:eastAsiaTheme="minorEastAsia" w:hAnsiTheme="minorHAnsi" w:cstheme="minorBidi"/>
              <w:noProof/>
              <w:sz w:val="22"/>
              <w:szCs w:val="22"/>
              <w:lang w:val="en-IN"/>
            </w:rPr>
          </w:pPr>
          <w:hyperlink w:anchor="_Toc236412212" w:history="1">
            <w:r w:rsidRPr="00887CC3">
              <w:rPr>
                <w:rStyle w:val="Hyperlink"/>
                <w:noProof/>
              </w:rPr>
              <w:t>4. Investment Appraisal and Capital Budgeting</w:t>
            </w:r>
            <w:r>
              <w:rPr>
                <w:noProof/>
                <w:webHidden/>
              </w:rPr>
              <w:tab/>
            </w:r>
            <w:r>
              <w:rPr>
                <w:noProof/>
                <w:webHidden/>
              </w:rPr>
              <w:fldChar w:fldCharType="begin"/>
            </w:r>
            <w:r>
              <w:rPr>
                <w:noProof/>
                <w:webHidden/>
              </w:rPr>
              <w:instrText xml:space="preserve"> PAGEREF _Toc236412212 \h </w:instrText>
            </w:r>
            <w:r>
              <w:rPr>
                <w:noProof/>
                <w:webHidden/>
              </w:rPr>
            </w:r>
            <w:r>
              <w:rPr>
                <w:noProof/>
                <w:webHidden/>
              </w:rPr>
              <w:fldChar w:fldCharType="separate"/>
            </w:r>
            <w:r w:rsidR="009A030F">
              <w:rPr>
                <w:noProof/>
                <w:webHidden/>
              </w:rPr>
              <w:t>24</w:t>
            </w:r>
            <w:r>
              <w:rPr>
                <w:noProof/>
                <w:webHidden/>
              </w:rPr>
              <w:fldChar w:fldCharType="end"/>
            </w:r>
          </w:hyperlink>
        </w:p>
        <w:p w14:paraId="269E3BFD" w14:textId="73665CDF" w:rsidR="00C45D4B" w:rsidRDefault="00C45D4B">
          <w:pPr>
            <w:pStyle w:val="TOC2"/>
            <w:tabs>
              <w:tab w:val="right" w:pos="9350"/>
            </w:tabs>
            <w:rPr>
              <w:rFonts w:asciiTheme="minorHAnsi" w:eastAsiaTheme="minorEastAsia" w:hAnsiTheme="minorHAnsi" w:cstheme="minorBidi"/>
              <w:noProof/>
              <w:sz w:val="22"/>
              <w:szCs w:val="22"/>
              <w:lang w:val="en-IN"/>
            </w:rPr>
          </w:pPr>
          <w:hyperlink w:anchor="_Toc236412213" w:history="1">
            <w:r w:rsidRPr="00887CC3">
              <w:rPr>
                <w:rStyle w:val="Hyperlink"/>
                <w:noProof/>
              </w:rPr>
              <w:t>4.1 Project Overview</w:t>
            </w:r>
            <w:r>
              <w:rPr>
                <w:noProof/>
                <w:webHidden/>
              </w:rPr>
              <w:tab/>
            </w:r>
            <w:r>
              <w:rPr>
                <w:noProof/>
                <w:webHidden/>
              </w:rPr>
              <w:fldChar w:fldCharType="begin"/>
            </w:r>
            <w:r>
              <w:rPr>
                <w:noProof/>
                <w:webHidden/>
              </w:rPr>
              <w:instrText xml:space="preserve"> PAGEREF _Toc236412213 \h </w:instrText>
            </w:r>
            <w:r>
              <w:rPr>
                <w:noProof/>
                <w:webHidden/>
              </w:rPr>
            </w:r>
            <w:r>
              <w:rPr>
                <w:noProof/>
                <w:webHidden/>
              </w:rPr>
              <w:fldChar w:fldCharType="separate"/>
            </w:r>
            <w:r w:rsidR="009A030F">
              <w:rPr>
                <w:noProof/>
                <w:webHidden/>
              </w:rPr>
              <w:t>24</w:t>
            </w:r>
            <w:r>
              <w:rPr>
                <w:noProof/>
                <w:webHidden/>
              </w:rPr>
              <w:fldChar w:fldCharType="end"/>
            </w:r>
          </w:hyperlink>
        </w:p>
        <w:p w14:paraId="1F701501" w14:textId="546E93BB" w:rsidR="00C45D4B" w:rsidRDefault="00C45D4B">
          <w:pPr>
            <w:pStyle w:val="TOC2"/>
            <w:tabs>
              <w:tab w:val="right" w:pos="9350"/>
            </w:tabs>
            <w:rPr>
              <w:rFonts w:asciiTheme="minorHAnsi" w:eastAsiaTheme="minorEastAsia" w:hAnsiTheme="minorHAnsi" w:cstheme="minorBidi"/>
              <w:noProof/>
              <w:sz w:val="22"/>
              <w:szCs w:val="22"/>
              <w:lang w:val="en-IN"/>
            </w:rPr>
          </w:pPr>
          <w:hyperlink w:anchor="_Toc236412214" w:history="1">
            <w:r w:rsidRPr="00887CC3">
              <w:rPr>
                <w:rStyle w:val="Hyperlink"/>
                <w:noProof/>
              </w:rPr>
              <w:t>4.2 Discuss Project Viability</w:t>
            </w:r>
            <w:r>
              <w:rPr>
                <w:noProof/>
                <w:webHidden/>
              </w:rPr>
              <w:tab/>
            </w:r>
            <w:r>
              <w:rPr>
                <w:noProof/>
                <w:webHidden/>
              </w:rPr>
              <w:fldChar w:fldCharType="begin"/>
            </w:r>
            <w:r>
              <w:rPr>
                <w:noProof/>
                <w:webHidden/>
              </w:rPr>
              <w:instrText xml:space="preserve"> PAGEREF _Toc236412214 \h </w:instrText>
            </w:r>
            <w:r>
              <w:rPr>
                <w:noProof/>
                <w:webHidden/>
              </w:rPr>
            </w:r>
            <w:r>
              <w:rPr>
                <w:noProof/>
                <w:webHidden/>
              </w:rPr>
              <w:fldChar w:fldCharType="separate"/>
            </w:r>
            <w:r w:rsidR="009A030F">
              <w:rPr>
                <w:noProof/>
                <w:webHidden/>
              </w:rPr>
              <w:t>24</w:t>
            </w:r>
            <w:r>
              <w:rPr>
                <w:noProof/>
                <w:webHidden/>
              </w:rPr>
              <w:fldChar w:fldCharType="end"/>
            </w:r>
          </w:hyperlink>
        </w:p>
        <w:p w14:paraId="29E294C4" w14:textId="67544639" w:rsidR="00C45D4B" w:rsidRDefault="00C45D4B">
          <w:pPr>
            <w:pStyle w:val="TOC3"/>
            <w:tabs>
              <w:tab w:val="right" w:pos="9350"/>
            </w:tabs>
            <w:rPr>
              <w:rFonts w:asciiTheme="minorHAnsi" w:eastAsiaTheme="minorEastAsia" w:hAnsiTheme="minorHAnsi" w:cstheme="minorBidi"/>
              <w:noProof/>
              <w:sz w:val="22"/>
              <w:szCs w:val="22"/>
              <w:lang w:val="en-IN"/>
            </w:rPr>
          </w:pPr>
          <w:hyperlink w:anchor="_Toc236412215" w:history="1">
            <w:r w:rsidRPr="00887CC3">
              <w:rPr>
                <w:rStyle w:val="Hyperlink"/>
                <w:noProof/>
              </w:rPr>
              <w:t>4.2.1 Project A Appraisal</w:t>
            </w:r>
            <w:r>
              <w:rPr>
                <w:noProof/>
                <w:webHidden/>
              </w:rPr>
              <w:tab/>
            </w:r>
            <w:r>
              <w:rPr>
                <w:noProof/>
                <w:webHidden/>
              </w:rPr>
              <w:fldChar w:fldCharType="begin"/>
            </w:r>
            <w:r>
              <w:rPr>
                <w:noProof/>
                <w:webHidden/>
              </w:rPr>
              <w:instrText xml:space="preserve"> PAGEREF _Toc236412215 \h </w:instrText>
            </w:r>
            <w:r>
              <w:rPr>
                <w:noProof/>
                <w:webHidden/>
              </w:rPr>
            </w:r>
            <w:r>
              <w:rPr>
                <w:noProof/>
                <w:webHidden/>
              </w:rPr>
              <w:fldChar w:fldCharType="separate"/>
            </w:r>
            <w:r w:rsidR="009A030F">
              <w:rPr>
                <w:noProof/>
                <w:webHidden/>
              </w:rPr>
              <w:t>24</w:t>
            </w:r>
            <w:r>
              <w:rPr>
                <w:noProof/>
                <w:webHidden/>
              </w:rPr>
              <w:fldChar w:fldCharType="end"/>
            </w:r>
          </w:hyperlink>
        </w:p>
        <w:p w14:paraId="7471EF07" w14:textId="3D862B65" w:rsidR="00C45D4B" w:rsidRDefault="00C45D4B">
          <w:pPr>
            <w:pStyle w:val="TOC3"/>
            <w:tabs>
              <w:tab w:val="right" w:pos="9350"/>
            </w:tabs>
            <w:rPr>
              <w:rFonts w:asciiTheme="minorHAnsi" w:eastAsiaTheme="minorEastAsia" w:hAnsiTheme="minorHAnsi" w:cstheme="minorBidi"/>
              <w:noProof/>
              <w:sz w:val="22"/>
              <w:szCs w:val="22"/>
              <w:lang w:val="en-IN"/>
            </w:rPr>
          </w:pPr>
          <w:hyperlink w:anchor="_Toc236412216" w:history="1">
            <w:r w:rsidRPr="00887CC3">
              <w:rPr>
                <w:rStyle w:val="Hyperlink"/>
                <w:noProof/>
              </w:rPr>
              <w:t>4.2.2 Project B Appraisal</w:t>
            </w:r>
            <w:r>
              <w:rPr>
                <w:noProof/>
                <w:webHidden/>
              </w:rPr>
              <w:tab/>
            </w:r>
            <w:r>
              <w:rPr>
                <w:noProof/>
                <w:webHidden/>
              </w:rPr>
              <w:fldChar w:fldCharType="begin"/>
            </w:r>
            <w:r>
              <w:rPr>
                <w:noProof/>
                <w:webHidden/>
              </w:rPr>
              <w:instrText xml:space="preserve"> PAGEREF _Toc236412216 \h </w:instrText>
            </w:r>
            <w:r>
              <w:rPr>
                <w:noProof/>
                <w:webHidden/>
              </w:rPr>
            </w:r>
            <w:r>
              <w:rPr>
                <w:noProof/>
                <w:webHidden/>
              </w:rPr>
              <w:fldChar w:fldCharType="separate"/>
            </w:r>
            <w:r w:rsidR="009A030F">
              <w:rPr>
                <w:noProof/>
                <w:webHidden/>
              </w:rPr>
              <w:t>27</w:t>
            </w:r>
            <w:r>
              <w:rPr>
                <w:noProof/>
                <w:webHidden/>
              </w:rPr>
              <w:fldChar w:fldCharType="end"/>
            </w:r>
          </w:hyperlink>
        </w:p>
        <w:p w14:paraId="51EBD8DA" w14:textId="5B8A25A9" w:rsidR="00C45D4B" w:rsidRDefault="00C45D4B">
          <w:pPr>
            <w:pStyle w:val="TOC3"/>
            <w:tabs>
              <w:tab w:val="right" w:pos="9350"/>
            </w:tabs>
            <w:rPr>
              <w:rFonts w:asciiTheme="minorHAnsi" w:eastAsiaTheme="minorEastAsia" w:hAnsiTheme="minorHAnsi" w:cstheme="minorBidi"/>
              <w:noProof/>
              <w:sz w:val="22"/>
              <w:szCs w:val="22"/>
              <w:lang w:val="en-IN"/>
            </w:rPr>
          </w:pPr>
          <w:hyperlink w:anchor="_Toc236412217" w:history="1">
            <w:r w:rsidRPr="00887CC3">
              <w:rPr>
                <w:rStyle w:val="Hyperlink"/>
                <w:noProof/>
              </w:rPr>
              <w:t>4.2.3 Project C Appraisal</w:t>
            </w:r>
            <w:r>
              <w:rPr>
                <w:noProof/>
                <w:webHidden/>
              </w:rPr>
              <w:tab/>
            </w:r>
            <w:r>
              <w:rPr>
                <w:noProof/>
                <w:webHidden/>
              </w:rPr>
              <w:fldChar w:fldCharType="begin"/>
            </w:r>
            <w:r>
              <w:rPr>
                <w:noProof/>
                <w:webHidden/>
              </w:rPr>
              <w:instrText xml:space="preserve"> PAGEREF _Toc236412217 \h </w:instrText>
            </w:r>
            <w:r>
              <w:rPr>
                <w:noProof/>
                <w:webHidden/>
              </w:rPr>
            </w:r>
            <w:r>
              <w:rPr>
                <w:noProof/>
                <w:webHidden/>
              </w:rPr>
              <w:fldChar w:fldCharType="separate"/>
            </w:r>
            <w:r w:rsidR="009A030F">
              <w:rPr>
                <w:noProof/>
                <w:webHidden/>
              </w:rPr>
              <w:t>30</w:t>
            </w:r>
            <w:r>
              <w:rPr>
                <w:noProof/>
                <w:webHidden/>
              </w:rPr>
              <w:fldChar w:fldCharType="end"/>
            </w:r>
          </w:hyperlink>
        </w:p>
        <w:p w14:paraId="5FEB0008" w14:textId="30F24169" w:rsidR="00C45D4B" w:rsidRDefault="00C45D4B">
          <w:pPr>
            <w:pStyle w:val="TOC2"/>
            <w:tabs>
              <w:tab w:val="right" w:pos="9350"/>
            </w:tabs>
            <w:rPr>
              <w:rFonts w:asciiTheme="minorHAnsi" w:eastAsiaTheme="minorEastAsia" w:hAnsiTheme="minorHAnsi" w:cstheme="minorBidi"/>
              <w:noProof/>
              <w:sz w:val="22"/>
              <w:szCs w:val="22"/>
              <w:lang w:val="en-IN"/>
            </w:rPr>
          </w:pPr>
          <w:hyperlink w:anchor="_Toc236412218" w:history="1">
            <w:r w:rsidRPr="00887CC3">
              <w:rPr>
                <w:rStyle w:val="Hyperlink"/>
                <w:noProof/>
              </w:rPr>
              <w:t>4.3 Recommendation based on the company financial performance</w:t>
            </w:r>
            <w:r>
              <w:rPr>
                <w:noProof/>
                <w:webHidden/>
              </w:rPr>
              <w:tab/>
            </w:r>
            <w:r>
              <w:rPr>
                <w:noProof/>
                <w:webHidden/>
              </w:rPr>
              <w:fldChar w:fldCharType="begin"/>
            </w:r>
            <w:r>
              <w:rPr>
                <w:noProof/>
                <w:webHidden/>
              </w:rPr>
              <w:instrText xml:space="preserve"> PAGEREF _Toc236412218 \h </w:instrText>
            </w:r>
            <w:r>
              <w:rPr>
                <w:noProof/>
                <w:webHidden/>
              </w:rPr>
            </w:r>
            <w:r>
              <w:rPr>
                <w:noProof/>
                <w:webHidden/>
              </w:rPr>
              <w:fldChar w:fldCharType="separate"/>
            </w:r>
            <w:r w:rsidR="009A030F">
              <w:rPr>
                <w:noProof/>
                <w:webHidden/>
              </w:rPr>
              <w:t>32</w:t>
            </w:r>
            <w:r>
              <w:rPr>
                <w:noProof/>
                <w:webHidden/>
              </w:rPr>
              <w:fldChar w:fldCharType="end"/>
            </w:r>
          </w:hyperlink>
        </w:p>
        <w:p w14:paraId="556D0EC4" w14:textId="043608B8" w:rsidR="00C45D4B" w:rsidRDefault="00C45D4B">
          <w:pPr>
            <w:pStyle w:val="TOC3"/>
            <w:tabs>
              <w:tab w:val="right" w:pos="9350"/>
            </w:tabs>
            <w:rPr>
              <w:rFonts w:asciiTheme="minorHAnsi" w:eastAsiaTheme="minorEastAsia" w:hAnsiTheme="minorHAnsi" w:cstheme="minorBidi"/>
              <w:noProof/>
              <w:sz w:val="22"/>
              <w:szCs w:val="22"/>
              <w:lang w:val="en-IN"/>
            </w:rPr>
          </w:pPr>
          <w:hyperlink w:anchor="_Toc236412219" w:history="1">
            <w:r w:rsidRPr="00887CC3">
              <w:rPr>
                <w:rStyle w:val="Hyperlink"/>
                <w:noProof/>
              </w:rPr>
              <w:t>4.3.1 Selection of project</w:t>
            </w:r>
            <w:r>
              <w:rPr>
                <w:noProof/>
                <w:webHidden/>
              </w:rPr>
              <w:tab/>
            </w:r>
            <w:r>
              <w:rPr>
                <w:noProof/>
                <w:webHidden/>
              </w:rPr>
              <w:fldChar w:fldCharType="begin"/>
            </w:r>
            <w:r>
              <w:rPr>
                <w:noProof/>
                <w:webHidden/>
              </w:rPr>
              <w:instrText xml:space="preserve"> PAGEREF _Toc236412219 \h </w:instrText>
            </w:r>
            <w:r>
              <w:rPr>
                <w:noProof/>
                <w:webHidden/>
              </w:rPr>
            </w:r>
            <w:r>
              <w:rPr>
                <w:noProof/>
                <w:webHidden/>
              </w:rPr>
              <w:fldChar w:fldCharType="separate"/>
            </w:r>
            <w:r w:rsidR="009A030F">
              <w:rPr>
                <w:noProof/>
                <w:webHidden/>
              </w:rPr>
              <w:t>32</w:t>
            </w:r>
            <w:r>
              <w:rPr>
                <w:noProof/>
                <w:webHidden/>
              </w:rPr>
              <w:fldChar w:fldCharType="end"/>
            </w:r>
          </w:hyperlink>
        </w:p>
        <w:p w14:paraId="53DC6991" w14:textId="6D54CC5C" w:rsidR="00C45D4B" w:rsidRDefault="00C45D4B">
          <w:pPr>
            <w:pStyle w:val="TOC3"/>
            <w:tabs>
              <w:tab w:val="right" w:pos="9350"/>
            </w:tabs>
            <w:rPr>
              <w:rFonts w:asciiTheme="minorHAnsi" w:eastAsiaTheme="minorEastAsia" w:hAnsiTheme="minorHAnsi" w:cstheme="minorBidi"/>
              <w:noProof/>
              <w:sz w:val="22"/>
              <w:szCs w:val="22"/>
              <w:lang w:val="en-IN"/>
            </w:rPr>
          </w:pPr>
          <w:hyperlink w:anchor="_Toc236412220" w:history="1">
            <w:r w:rsidRPr="00887CC3">
              <w:rPr>
                <w:rStyle w:val="Hyperlink"/>
                <w:noProof/>
              </w:rPr>
              <w:t>4.3.2 Financial performance</w:t>
            </w:r>
            <w:r>
              <w:rPr>
                <w:noProof/>
                <w:webHidden/>
              </w:rPr>
              <w:tab/>
            </w:r>
            <w:r>
              <w:rPr>
                <w:noProof/>
                <w:webHidden/>
              </w:rPr>
              <w:fldChar w:fldCharType="begin"/>
            </w:r>
            <w:r>
              <w:rPr>
                <w:noProof/>
                <w:webHidden/>
              </w:rPr>
              <w:instrText xml:space="preserve"> PAGEREF _Toc236412220 \h </w:instrText>
            </w:r>
            <w:r>
              <w:rPr>
                <w:noProof/>
                <w:webHidden/>
              </w:rPr>
            </w:r>
            <w:r>
              <w:rPr>
                <w:noProof/>
                <w:webHidden/>
              </w:rPr>
              <w:fldChar w:fldCharType="separate"/>
            </w:r>
            <w:r w:rsidR="009A030F">
              <w:rPr>
                <w:noProof/>
                <w:webHidden/>
              </w:rPr>
              <w:t>32</w:t>
            </w:r>
            <w:r>
              <w:rPr>
                <w:noProof/>
                <w:webHidden/>
              </w:rPr>
              <w:fldChar w:fldCharType="end"/>
            </w:r>
          </w:hyperlink>
        </w:p>
        <w:p w14:paraId="49CABCE3" w14:textId="33A73B4E" w:rsidR="00C45D4B" w:rsidRDefault="00C45D4B">
          <w:pPr>
            <w:pStyle w:val="TOC3"/>
            <w:tabs>
              <w:tab w:val="right" w:pos="9350"/>
            </w:tabs>
            <w:rPr>
              <w:rFonts w:asciiTheme="minorHAnsi" w:eastAsiaTheme="minorEastAsia" w:hAnsiTheme="minorHAnsi" w:cstheme="minorBidi"/>
              <w:noProof/>
              <w:sz w:val="22"/>
              <w:szCs w:val="22"/>
              <w:lang w:val="en-IN"/>
            </w:rPr>
          </w:pPr>
          <w:hyperlink w:anchor="_Toc236412221" w:history="1">
            <w:r w:rsidRPr="00887CC3">
              <w:rPr>
                <w:rStyle w:val="Hyperlink"/>
                <w:noProof/>
              </w:rPr>
              <w:t>4.3.3 Non-Financial Risk</w:t>
            </w:r>
            <w:r>
              <w:rPr>
                <w:noProof/>
                <w:webHidden/>
              </w:rPr>
              <w:tab/>
            </w:r>
            <w:r>
              <w:rPr>
                <w:noProof/>
                <w:webHidden/>
              </w:rPr>
              <w:fldChar w:fldCharType="begin"/>
            </w:r>
            <w:r>
              <w:rPr>
                <w:noProof/>
                <w:webHidden/>
              </w:rPr>
              <w:instrText xml:space="preserve"> PAGEREF _Toc236412221 \h </w:instrText>
            </w:r>
            <w:r>
              <w:rPr>
                <w:noProof/>
                <w:webHidden/>
              </w:rPr>
            </w:r>
            <w:r>
              <w:rPr>
                <w:noProof/>
                <w:webHidden/>
              </w:rPr>
              <w:fldChar w:fldCharType="separate"/>
            </w:r>
            <w:r w:rsidR="009A030F">
              <w:rPr>
                <w:noProof/>
                <w:webHidden/>
              </w:rPr>
              <w:t>33</w:t>
            </w:r>
            <w:r>
              <w:rPr>
                <w:noProof/>
                <w:webHidden/>
              </w:rPr>
              <w:fldChar w:fldCharType="end"/>
            </w:r>
          </w:hyperlink>
        </w:p>
        <w:p w14:paraId="01BD28CF" w14:textId="2CE936EB" w:rsidR="00C45D4B" w:rsidRDefault="00C45D4B">
          <w:pPr>
            <w:pStyle w:val="TOC2"/>
            <w:tabs>
              <w:tab w:val="right" w:pos="9350"/>
            </w:tabs>
            <w:rPr>
              <w:rFonts w:asciiTheme="minorHAnsi" w:eastAsiaTheme="minorEastAsia" w:hAnsiTheme="minorHAnsi" w:cstheme="minorBidi"/>
              <w:noProof/>
              <w:sz w:val="22"/>
              <w:szCs w:val="22"/>
              <w:lang w:val="en-IN"/>
            </w:rPr>
          </w:pPr>
          <w:hyperlink w:anchor="_Toc236412222" w:history="1">
            <w:r w:rsidRPr="00887CC3">
              <w:rPr>
                <w:rStyle w:val="Hyperlink"/>
                <w:noProof/>
              </w:rPr>
              <w:t>4.4 Capital Rationing Analysis (£100 Million Limit)</w:t>
            </w:r>
            <w:r>
              <w:rPr>
                <w:noProof/>
                <w:webHidden/>
              </w:rPr>
              <w:tab/>
            </w:r>
            <w:r>
              <w:rPr>
                <w:noProof/>
                <w:webHidden/>
              </w:rPr>
              <w:fldChar w:fldCharType="begin"/>
            </w:r>
            <w:r>
              <w:rPr>
                <w:noProof/>
                <w:webHidden/>
              </w:rPr>
              <w:instrText xml:space="preserve"> PAGEREF _Toc236412222 \h </w:instrText>
            </w:r>
            <w:r>
              <w:rPr>
                <w:noProof/>
                <w:webHidden/>
              </w:rPr>
            </w:r>
            <w:r>
              <w:rPr>
                <w:noProof/>
                <w:webHidden/>
              </w:rPr>
              <w:fldChar w:fldCharType="separate"/>
            </w:r>
            <w:r w:rsidR="009A030F">
              <w:rPr>
                <w:noProof/>
                <w:webHidden/>
              </w:rPr>
              <w:t>34</w:t>
            </w:r>
            <w:r>
              <w:rPr>
                <w:noProof/>
                <w:webHidden/>
              </w:rPr>
              <w:fldChar w:fldCharType="end"/>
            </w:r>
          </w:hyperlink>
        </w:p>
        <w:p w14:paraId="50D34698" w14:textId="2106042C" w:rsidR="00C45D4B" w:rsidRDefault="00C45D4B">
          <w:pPr>
            <w:pStyle w:val="TOC1"/>
            <w:tabs>
              <w:tab w:val="right" w:pos="9350"/>
            </w:tabs>
            <w:rPr>
              <w:rFonts w:asciiTheme="minorHAnsi" w:eastAsiaTheme="minorEastAsia" w:hAnsiTheme="minorHAnsi" w:cstheme="minorBidi"/>
              <w:noProof/>
              <w:sz w:val="22"/>
              <w:szCs w:val="22"/>
              <w:lang w:val="en-IN"/>
            </w:rPr>
          </w:pPr>
          <w:hyperlink w:anchor="_Toc236412223" w:history="1">
            <w:r w:rsidRPr="00887CC3">
              <w:rPr>
                <w:rStyle w:val="Hyperlink"/>
                <w:noProof/>
              </w:rPr>
              <w:t>5. Critical Reflection on Artificial Intelligence Usage</w:t>
            </w:r>
            <w:r>
              <w:rPr>
                <w:noProof/>
                <w:webHidden/>
              </w:rPr>
              <w:tab/>
            </w:r>
            <w:r>
              <w:rPr>
                <w:noProof/>
                <w:webHidden/>
              </w:rPr>
              <w:fldChar w:fldCharType="begin"/>
            </w:r>
            <w:r>
              <w:rPr>
                <w:noProof/>
                <w:webHidden/>
              </w:rPr>
              <w:instrText xml:space="preserve"> PAGEREF _Toc236412223 \h </w:instrText>
            </w:r>
            <w:r>
              <w:rPr>
                <w:noProof/>
                <w:webHidden/>
              </w:rPr>
            </w:r>
            <w:r>
              <w:rPr>
                <w:noProof/>
                <w:webHidden/>
              </w:rPr>
              <w:fldChar w:fldCharType="separate"/>
            </w:r>
            <w:r w:rsidR="009A030F">
              <w:rPr>
                <w:noProof/>
                <w:webHidden/>
              </w:rPr>
              <w:t>36</w:t>
            </w:r>
            <w:r>
              <w:rPr>
                <w:noProof/>
                <w:webHidden/>
              </w:rPr>
              <w:fldChar w:fldCharType="end"/>
            </w:r>
          </w:hyperlink>
        </w:p>
        <w:p w14:paraId="5448144E" w14:textId="25B7E12A" w:rsidR="00C45D4B" w:rsidRDefault="00C45D4B">
          <w:pPr>
            <w:pStyle w:val="TOC2"/>
            <w:tabs>
              <w:tab w:val="right" w:pos="9350"/>
            </w:tabs>
            <w:rPr>
              <w:rFonts w:asciiTheme="minorHAnsi" w:eastAsiaTheme="minorEastAsia" w:hAnsiTheme="minorHAnsi" w:cstheme="minorBidi"/>
              <w:noProof/>
              <w:sz w:val="22"/>
              <w:szCs w:val="22"/>
              <w:lang w:val="en-IN"/>
            </w:rPr>
          </w:pPr>
          <w:hyperlink w:anchor="_Toc236412224" w:history="1">
            <w:r w:rsidRPr="00887CC3">
              <w:rPr>
                <w:rStyle w:val="Hyperlink"/>
                <w:noProof/>
              </w:rPr>
              <w:t>5.1 AI tools and Acknowledgement</w:t>
            </w:r>
            <w:r>
              <w:rPr>
                <w:noProof/>
                <w:webHidden/>
              </w:rPr>
              <w:tab/>
            </w:r>
            <w:r>
              <w:rPr>
                <w:noProof/>
                <w:webHidden/>
              </w:rPr>
              <w:fldChar w:fldCharType="begin"/>
            </w:r>
            <w:r>
              <w:rPr>
                <w:noProof/>
                <w:webHidden/>
              </w:rPr>
              <w:instrText xml:space="preserve"> PAGEREF _Toc236412224 \h </w:instrText>
            </w:r>
            <w:r>
              <w:rPr>
                <w:noProof/>
                <w:webHidden/>
              </w:rPr>
            </w:r>
            <w:r>
              <w:rPr>
                <w:noProof/>
                <w:webHidden/>
              </w:rPr>
              <w:fldChar w:fldCharType="separate"/>
            </w:r>
            <w:r w:rsidR="009A030F">
              <w:rPr>
                <w:noProof/>
                <w:webHidden/>
              </w:rPr>
              <w:t>36</w:t>
            </w:r>
            <w:r>
              <w:rPr>
                <w:noProof/>
                <w:webHidden/>
              </w:rPr>
              <w:fldChar w:fldCharType="end"/>
            </w:r>
          </w:hyperlink>
        </w:p>
        <w:p w14:paraId="6C3FD212" w14:textId="5939B48A" w:rsidR="00C45D4B" w:rsidRDefault="00C45D4B">
          <w:pPr>
            <w:pStyle w:val="TOC2"/>
            <w:tabs>
              <w:tab w:val="right" w:pos="9350"/>
            </w:tabs>
            <w:rPr>
              <w:rFonts w:asciiTheme="minorHAnsi" w:eastAsiaTheme="minorEastAsia" w:hAnsiTheme="minorHAnsi" w:cstheme="minorBidi"/>
              <w:noProof/>
              <w:sz w:val="22"/>
              <w:szCs w:val="22"/>
              <w:lang w:val="en-IN"/>
            </w:rPr>
          </w:pPr>
          <w:hyperlink w:anchor="_Toc236412225" w:history="1">
            <w:r w:rsidRPr="00887CC3">
              <w:rPr>
                <w:rStyle w:val="Hyperlink"/>
                <w:noProof/>
              </w:rPr>
              <w:t>5.2 Evaluation of AI Outputs</w:t>
            </w:r>
            <w:r>
              <w:rPr>
                <w:noProof/>
                <w:webHidden/>
              </w:rPr>
              <w:tab/>
            </w:r>
            <w:r>
              <w:rPr>
                <w:noProof/>
                <w:webHidden/>
              </w:rPr>
              <w:fldChar w:fldCharType="begin"/>
            </w:r>
            <w:r>
              <w:rPr>
                <w:noProof/>
                <w:webHidden/>
              </w:rPr>
              <w:instrText xml:space="preserve"> PAGEREF _Toc236412225 \h </w:instrText>
            </w:r>
            <w:r>
              <w:rPr>
                <w:noProof/>
                <w:webHidden/>
              </w:rPr>
            </w:r>
            <w:r>
              <w:rPr>
                <w:noProof/>
                <w:webHidden/>
              </w:rPr>
              <w:fldChar w:fldCharType="separate"/>
            </w:r>
            <w:r w:rsidR="009A030F">
              <w:rPr>
                <w:noProof/>
                <w:webHidden/>
              </w:rPr>
              <w:t>36</w:t>
            </w:r>
            <w:r>
              <w:rPr>
                <w:noProof/>
                <w:webHidden/>
              </w:rPr>
              <w:fldChar w:fldCharType="end"/>
            </w:r>
          </w:hyperlink>
        </w:p>
        <w:p w14:paraId="676ADF4B" w14:textId="34D2F48D" w:rsidR="00C45D4B" w:rsidRDefault="00C45D4B">
          <w:pPr>
            <w:pStyle w:val="TOC2"/>
            <w:tabs>
              <w:tab w:val="right" w:pos="9350"/>
            </w:tabs>
            <w:rPr>
              <w:rFonts w:asciiTheme="minorHAnsi" w:eastAsiaTheme="minorEastAsia" w:hAnsiTheme="minorHAnsi" w:cstheme="minorBidi"/>
              <w:noProof/>
              <w:sz w:val="22"/>
              <w:szCs w:val="22"/>
              <w:lang w:val="en-IN"/>
            </w:rPr>
          </w:pPr>
          <w:hyperlink w:anchor="_Toc236412226" w:history="1">
            <w:r w:rsidRPr="00887CC3">
              <w:rPr>
                <w:rStyle w:val="Hyperlink"/>
                <w:noProof/>
              </w:rPr>
              <w:t>5.3 Contribution Analysis</w:t>
            </w:r>
            <w:r>
              <w:rPr>
                <w:noProof/>
                <w:webHidden/>
              </w:rPr>
              <w:tab/>
            </w:r>
            <w:r>
              <w:rPr>
                <w:noProof/>
                <w:webHidden/>
              </w:rPr>
              <w:fldChar w:fldCharType="begin"/>
            </w:r>
            <w:r>
              <w:rPr>
                <w:noProof/>
                <w:webHidden/>
              </w:rPr>
              <w:instrText xml:space="preserve"> PAGEREF _Toc236412226 \h </w:instrText>
            </w:r>
            <w:r>
              <w:rPr>
                <w:noProof/>
                <w:webHidden/>
              </w:rPr>
            </w:r>
            <w:r>
              <w:rPr>
                <w:noProof/>
                <w:webHidden/>
              </w:rPr>
              <w:fldChar w:fldCharType="separate"/>
            </w:r>
            <w:r w:rsidR="009A030F">
              <w:rPr>
                <w:noProof/>
                <w:webHidden/>
              </w:rPr>
              <w:t>36</w:t>
            </w:r>
            <w:r>
              <w:rPr>
                <w:noProof/>
                <w:webHidden/>
              </w:rPr>
              <w:fldChar w:fldCharType="end"/>
            </w:r>
          </w:hyperlink>
        </w:p>
        <w:p w14:paraId="0A0529AC" w14:textId="29AE9FD6" w:rsidR="00C45D4B" w:rsidRDefault="00C45D4B">
          <w:pPr>
            <w:pStyle w:val="TOC3"/>
            <w:tabs>
              <w:tab w:val="right" w:pos="9350"/>
            </w:tabs>
            <w:rPr>
              <w:rFonts w:asciiTheme="minorHAnsi" w:eastAsiaTheme="minorEastAsia" w:hAnsiTheme="minorHAnsi" w:cstheme="minorBidi"/>
              <w:noProof/>
              <w:sz w:val="22"/>
              <w:szCs w:val="22"/>
              <w:lang w:val="en-IN"/>
            </w:rPr>
          </w:pPr>
          <w:hyperlink w:anchor="_Toc236412227" w:history="1">
            <w:r w:rsidRPr="00887CC3">
              <w:rPr>
                <w:rStyle w:val="Hyperlink"/>
                <w:noProof/>
              </w:rPr>
              <w:t>5.3.1 AI-Generated Contributions</w:t>
            </w:r>
            <w:r>
              <w:rPr>
                <w:noProof/>
                <w:webHidden/>
              </w:rPr>
              <w:tab/>
            </w:r>
            <w:r>
              <w:rPr>
                <w:noProof/>
                <w:webHidden/>
              </w:rPr>
              <w:fldChar w:fldCharType="begin"/>
            </w:r>
            <w:r>
              <w:rPr>
                <w:noProof/>
                <w:webHidden/>
              </w:rPr>
              <w:instrText xml:space="preserve"> PAGEREF _Toc236412227 \h </w:instrText>
            </w:r>
            <w:r>
              <w:rPr>
                <w:noProof/>
                <w:webHidden/>
              </w:rPr>
            </w:r>
            <w:r>
              <w:rPr>
                <w:noProof/>
                <w:webHidden/>
              </w:rPr>
              <w:fldChar w:fldCharType="separate"/>
            </w:r>
            <w:r w:rsidR="009A030F">
              <w:rPr>
                <w:noProof/>
                <w:webHidden/>
              </w:rPr>
              <w:t>36</w:t>
            </w:r>
            <w:r>
              <w:rPr>
                <w:noProof/>
                <w:webHidden/>
              </w:rPr>
              <w:fldChar w:fldCharType="end"/>
            </w:r>
          </w:hyperlink>
        </w:p>
        <w:p w14:paraId="031C74C5" w14:textId="1970E256" w:rsidR="00C45D4B" w:rsidRDefault="00C45D4B">
          <w:pPr>
            <w:pStyle w:val="TOC3"/>
            <w:tabs>
              <w:tab w:val="right" w:pos="9350"/>
            </w:tabs>
            <w:rPr>
              <w:rFonts w:asciiTheme="minorHAnsi" w:eastAsiaTheme="minorEastAsia" w:hAnsiTheme="minorHAnsi" w:cstheme="minorBidi"/>
              <w:noProof/>
              <w:sz w:val="22"/>
              <w:szCs w:val="22"/>
              <w:lang w:val="en-IN"/>
            </w:rPr>
          </w:pPr>
          <w:hyperlink w:anchor="_Toc236412228" w:history="1">
            <w:r w:rsidRPr="00887CC3">
              <w:rPr>
                <w:rStyle w:val="Hyperlink"/>
                <w:noProof/>
              </w:rPr>
              <w:t>5.3.2 Independent Critical Analysis</w:t>
            </w:r>
            <w:r>
              <w:rPr>
                <w:noProof/>
                <w:webHidden/>
              </w:rPr>
              <w:tab/>
            </w:r>
            <w:r>
              <w:rPr>
                <w:noProof/>
                <w:webHidden/>
              </w:rPr>
              <w:fldChar w:fldCharType="begin"/>
            </w:r>
            <w:r>
              <w:rPr>
                <w:noProof/>
                <w:webHidden/>
              </w:rPr>
              <w:instrText xml:space="preserve"> PAGEREF _Toc236412228 \h </w:instrText>
            </w:r>
            <w:r>
              <w:rPr>
                <w:noProof/>
                <w:webHidden/>
              </w:rPr>
            </w:r>
            <w:r>
              <w:rPr>
                <w:noProof/>
                <w:webHidden/>
              </w:rPr>
              <w:fldChar w:fldCharType="separate"/>
            </w:r>
            <w:r w:rsidR="009A030F">
              <w:rPr>
                <w:noProof/>
                <w:webHidden/>
              </w:rPr>
              <w:t>37</w:t>
            </w:r>
            <w:r>
              <w:rPr>
                <w:noProof/>
                <w:webHidden/>
              </w:rPr>
              <w:fldChar w:fldCharType="end"/>
            </w:r>
          </w:hyperlink>
        </w:p>
        <w:p w14:paraId="75B84F67" w14:textId="700FFA9F" w:rsidR="00C45D4B" w:rsidRDefault="00C45D4B">
          <w:pPr>
            <w:pStyle w:val="TOC2"/>
            <w:tabs>
              <w:tab w:val="right" w:pos="9350"/>
            </w:tabs>
            <w:rPr>
              <w:rFonts w:asciiTheme="minorHAnsi" w:eastAsiaTheme="minorEastAsia" w:hAnsiTheme="minorHAnsi" w:cstheme="minorBidi"/>
              <w:noProof/>
              <w:sz w:val="22"/>
              <w:szCs w:val="22"/>
              <w:lang w:val="en-IN"/>
            </w:rPr>
          </w:pPr>
          <w:hyperlink w:anchor="_Toc236412229" w:history="1">
            <w:r w:rsidRPr="00887CC3">
              <w:rPr>
                <w:rStyle w:val="Hyperlink"/>
                <w:noProof/>
              </w:rPr>
              <w:t>5.4 Ethical and Professional Reflection</w:t>
            </w:r>
            <w:r>
              <w:rPr>
                <w:noProof/>
                <w:webHidden/>
              </w:rPr>
              <w:tab/>
            </w:r>
            <w:r>
              <w:rPr>
                <w:noProof/>
                <w:webHidden/>
              </w:rPr>
              <w:fldChar w:fldCharType="begin"/>
            </w:r>
            <w:r>
              <w:rPr>
                <w:noProof/>
                <w:webHidden/>
              </w:rPr>
              <w:instrText xml:space="preserve"> PAGEREF _Toc236412229 \h </w:instrText>
            </w:r>
            <w:r>
              <w:rPr>
                <w:noProof/>
                <w:webHidden/>
              </w:rPr>
            </w:r>
            <w:r>
              <w:rPr>
                <w:noProof/>
                <w:webHidden/>
              </w:rPr>
              <w:fldChar w:fldCharType="separate"/>
            </w:r>
            <w:r w:rsidR="009A030F">
              <w:rPr>
                <w:noProof/>
                <w:webHidden/>
              </w:rPr>
              <w:t>37</w:t>
            </w:r>
            <w:r>
              <w:rPr>
                <w:noProof/>
                <w:webHidden/>
              </w:rPr>
              <w:fldChar w:fldCharType="end"/>
            </w:r>
          </w:hyperlink>
        </w:p>
        <w:p w14:paraId="3ACB1835" w14:textId="1E4825C9" w:rsidR="00C45D4B" w:rsidRDefault="00C45D4B">
          <w:pPr>
            <w:pStyle w:val="TOC1"/>
            <w:tabs>
              <w:tab w:val="right" w:pos="9350"/>
            </w:tabs>
            <w:rPr>
              <w:rFonts w:asciiTheme="minorHAnsi" w:eastAsiaTheme="minorEastAsia" w:hAnsiTheme="minorHAnsi" w:cstheme="minorBidi"/>
              <w:noProof/>
              <w:sz w:val="22"/>
              <w:szCs w:val="22"/>
              <w:lang w:val="en-IN"/>
            </w:rPr>
          </w:pPr>
          <w:hyperlink w:anchor="_Toc236412230" w:history="1">
            <w:r w:rsidRPr="00887CC3">
              <w:rPr>
                <w:rStyle w:val="Hyperlink"/>
                <w:noProof/>
              </w:rPr>
              <w:t>References</w:t>
            </w:r>
            <w:r>
              <w:rPr>
                <w:noProof/>
                <w:webHidden/>
              </w:rPr>
              <w:tab/>
            </w:r>
            <w:r>
              <w:rPr>
                <w:noProof/>
                <w:webHidden/>
              </w:rPr>
              <w:fldChar w:fldCharType="begin"/>
            </w:r>
            <w:r>
              <w:rPr>
                <w:noProof/>
                <w:webHidden/>
              </w:rPr>
              <w:instrText xml:space="preserve"> PAGEREF _Toc236412230 \h </w:instrText>
            </w:r>
            <w:r>
              <w:rPr>
                <w:noProof/>
                <w:webHidden/>
              </w:rPr>
            </w:r>
            <w:r>
              <w:rPr>
                <w:noProof/>
                <w:webHidden/>
              </w:rPr>
              <w:fldChar w:fldCharType="separate"/>
            </w:r>
            <w:r w:rsidR="009A030F">
              <w:rPr>
                <w:noProof/>
                <w:webHidden/>
              </w:rPr>
              <w:t>38</w:t>
            </w:r>
            <w:r>
              <w:rPr>
                <w:noProof/>
                <w:webHidden/>
              </w:rPr>
              <w:fldChar w:fldCharType="end"/>
            </w:r>
          </w:hyperlink>
        </w:p>
        <w:p w14:paraId="1C6C887E" w14:textId="6DC57045" w:rsidR="00C45D4B" w:rsidRDefault="00C45D4B">
          <w:pPr>
            <w:pStyle w:val="TOC1"/>
            <w:tabs>
              <w:tab w:val="right" w:pos="9350"/>
            </w:tabs>
            <w:rPr>
              <w:rFonts w:asciiTheme="minorHAnsi" w:eastAsiaTheme="minorEastAsia" w:hAnsiTheme="minorHAnsi" w:cstheme="minorBidi"/>
              <w:noProof/>
              <w:sz w:val="22"/>
              <w:szCs w:val="22"/>
              <w:lang w:val="en-IN"/>
            </w:rPr>
          </w:pPr>
          <w:hyperlink w:anchor="_Toc236412231" w:history="1">
            <w:r w:rsidRPr="00887CC3">
              <w:rPr>
                <w:rStyle w:val="Hyperlink"/>
                <w:noProof/>
              </w:rPr>
              <w:t>Appendices</w:t>
            </w:r>
            <w:r>
              <w:rPr>
                <w:noProof/>
                <w:webHidden/>
              </w:rPr>
              <w:tab/>
            </w:r>
            <w:r>
              <w:rPr>
                <w:noProof/>
                <w:webHidden/>
              </w:rPr>
              <w:fldChar w:fldCharType="begin"/>
            </w:r>
            <w:r>
              <w:rPr>
                <w:noProof/>
                <w:webHidden/>
              </w:rPr>
              <w:instrText xml:space="preserve"> PAGEREF _Toc236412231 \h </w:instrText>
            </w:r>
            <w:r>
              <w:rPr>
                <w:noProof/>
                <w:webHidden/>
              </w:rPr>
            </w:r>
            <w:r>
              <w:rPr>
                <w:noProof/>
                <w:webHidden/>
              </w:rPr>
              <w:fldChar w:fldCharType="separate"/>
            </w:r>
            <w:r w:rsidR="009A030F">
              <w:rPr>
                <w:noProof/>
                <w:webHidden/>
              </w:rPr>
              <w:t>43</w:t>
            </w:r>
            <w:r>
              <w:rPr>
                <w:noProof/>
                <w:webHidden/>
              </w:rPr>
              <w:fldChar w:fldCharType="end"/>
            </w:r>
          </w:hyperlink>
        </w:p>
        <w:p w14:paraId="0ABCF815" w14:textId="39CCB4F8" w:rsidR="00C45D4B" w:rsidRDefault="00C45D4B">
          <w:pPr>
            <w:pStyle w:val="TOC2"/>
            <w:tabs>
              <w:tab w:val="right" w:pos="9350"/>
            </w:tabs>
            <w:rPr>
              <w:rFonts w:asciiTheme="minorHAnsi" w:eastAsiaTheme="minorEastAsia" w:hAnsiTheme="minorHAnsi" w:cstheme="minorBidi"/>
              <w:noProof/>
              <w:sz w:val="22"/>
              <w:szCs w:val="22"/>
              <w:lang w:val="en-IN"/>
            </w:rPr>
          </w:pPr>
          <w:hyperlink w:anchor="_Toc236412232" w:history="1">
            <w:r w:rsidRPr="00887CC3">
              <w:rPr>
                <w:rStyle w:val="Hyperlink"/>
                <w:noProof/>
              </w:rPr>
              <w:t>Appendix 1: Ratio Analysis</w:t>
            </w:r>
            <w:r>
              <w:rPr>
                <w:noProof/>
                <w:webHidden/>
              </w:rPr>
              <w:tab/>
            </w:r>
            <w:r>
              <w:rPr>
                <w:noProof/>
                <w:webHidden/>
              </w:rPr>
              <w:fldChar w:fldCharType="begin"/>
            </w:r>
            <w:r>
              <w:rPr>
                <w:noProof/>
                <w:webHidden/>
              </w:rPr>
              <w:instrText xml:space="preserve"> PAGEREF _Toc236412232 \h </w:instrText>
            </w:r>
            <w:r>
              <w:rPr>
                <w:noProof/>
                <w:webHidden/>
              </w:rPr>
            </w:r>
            <w:r>
              <w:rPr>
                <w:noProof/>
                <w:webHidden/>
              </w:rPr>
              <w:fldChar w:fldCharType="separate"/>
            </w:r>
            <w:r w:rsidR="009A030F">
              <w:rPr>
                <w:noProof/>
                <w:webHidden/>
              </w:rPr>
              <w:t>43</w:t>
            </w:r>
            <w:r>
              <w:rPr>
                <w:noProof/>
                <w:webHidden/>
              </w:rPr>
              <w:fldChar w:fldCharType="end"/>
            </w:r>
          </w:hyperlink>
        </w:p>
        <w:p w14:paraId="0E85FAD9" w14:textId="6776CBAC" w:rsidR="00C45D4B" w:rsidRDefault="00C45D4B">
          <w:pPr>
            <w:pStyle w:val="TOC2"/>
            <w:tabs>
              <w:tab w:val="right" w:pos="9350"/>
            </w:tabs>
            <w:rPr>
              <w:rFonts w:asciiTheme="minorHAnsi" w:eastAsiaTheme="minorEastAsia" w:hAnsiTheme="minorHAnsi" w:cstheme="minorBidi"/>
              <w:noProof/>
              <w:sz w:val="22"/>
              <w:szCs w:val="22"/>
              <w:lang w:val="en-IN"/>
            </w:rPr>
          </w:pPr>
          <w:hyperlink w:anchor="_Toc236412233" w:history="1">
            <w:r w:rsidRPr="00887CC3">
              <w:rPr>
                <w:rStyle w:val="Hyperlink"/>
                <w:noProof/>
              </w:rPr>
              <w:t>Appendix 2: Capital Rationing Analysis</w:t>
            </w:r>
            <w:r>
              <w:rPr>
                <w:noProof/>
                <w:webHidden/>
              </w:rPr>
              <w:tab/>
            </w:r>
            <w:r>
              <w:rPr>
                <w:noProof/>
                <w:webHidden/>
              </w:rPr>
              <w:fldChar w:fldCharType="begin"/>
            </w:r>
            <w:r>
              <w:rPr>
                <w:noProof/>
                <w:webHidden/>
              </w:rPr>
              <w:instrText xml:space="preserve"> PAGEREF _Toc236412233 \h </w:instrText>
            </w:r>
            <w:r>
              <w:rPr>
                <w:noProof/>
                <w:webHidden/>
              </w:rPr>
            </w:r>
            <w:r>
              <w:rPr>
                <w:noProof/>
                <w:webHidden/>
              </w:rPr>
              <w:fldChar w:fldCharType="separate"/>
            </w:r>
            <w:r w:rsidR="009A030F">
              <w:rPr>
                <w:noProof/>
                <w:webHidden/>
              </w:rPr>
              <w:t>46</w:t>
            </w:r>
            <w:r>
              <w:rPr>
                <w:noProof/>
                <w:webHidden/>
              </w:rPr>
              <w:fldChar w:fldCharType="end"/>
            </w:r>
          </w:hyperlink>
        </w:p>
        <w:p w14:paraId="44F519AB" w14:textId="6A9A4AFC" w:rsidR="00C45D4B" w:rsidRDefault="00C45D4B">
          <w:pPr>
            <w:pStyle w:val="TOC2"/>
            <w:tabs>
              <w:tab w:val="right" w:pos="9350"/>
            </w:tabs>
            <w:rPr>
              <w:rFonts w:asciiTheme="minorHAnsi" w:eastAsiaTheme="minorEastAsia" w:hAnsiTheme="minorHAnsi" w:cstheme="minorBidi"/>
              <w:noProof/>
              <w:sz w:val="22"/>
              <w:szCs w:val="22"/>
              <w:lang w:val="en-IN"/>
            </w:rPr>
          </w:pPr>
          <w:hyperlink w:anchor="_Toc236412234" w:history="1">
            <w:r w:rsidRPr="00887CC3">
              <w:rPr>
                <w:rStyle w:val="Hyperlink"/>
                <w:noProof/>
              </w:rPr>
              <w:t>Appendix 3: : Income Statement of 2021 and 2022</w:t>
            </w:r>
            <w:r>
              <w:rPr>
                <w:noProof/>
                <w:webHidden/>
              </w:rPr>
              <w:tab/>
            </w:r>
            <w:r>
              <w:rPr>
                <w:noProof/>
                <w:webHidden/>
              </w:rPr>
              <w:fldChar w:fldCharType="begin"/>
            </w:r>
            <w:r>
              <w:rPr>
                <w:noProof/>
                <w:webHidden/>
              </w:rPr>
              <w:instrText xml:space="preserve"> PAGEREF _Toc236412234 \h </w:instrText>
            </w:r>
            <w:r>
              <w:rPr>
                <w:noProof/>
                <w:webHidden/>
              </w:rPr>
            </w:r>
            <w:r>
              <w:rPr>
                <w:noProof/>
                <w:webHidden/>
              </w:rPr>
              <w:fldChar w:fldCharType="separate"/>
            </w:r>
            <w:r w:rsidR="009A030F">
              <w:rPr>
                <w:noProof/>
                <w:webHidden/>
              </w:rPr>
              <w:t>47</w:t>
            </w:r>
            <w:r>
              <w:rPr>
                <w:noProof/>
                <w:webHidden/>
              </w:rPr>
              <w:fldChar w:fldCharType="end"/>
            </w:r>
          </w:hyperlink>
        </w:p>
        <w:p w14:paraId="09E68FDD" w14:textId="0827C611" w:rsidR="00C45D4B" w:rsidRDefault="00C45D4B">
          <w:pPr>
            <w:pStyle w:val="TOC2"/>
            <w:tabs>
              <w:tab w:val="right" w:pos="9350"/>
            </w:tabs>
            <w:rPr>
              <w:rFonts w:asciiTheme="minorHAnsi" w:eastAsiaTheme="minorEastAsia" w:hAnsiTheme="minorHAnsi" w:cstheme="minorBidi"/>
              <w:noProof/>
              <w:sz w:val="22"/>
              <w:szCs w:val="22"/>
              <w:lang w:val="en-IN"/>
            </w:rPr>
          </w:pPr>
          <w:hyperlink w:anchor="_Toc236412235" w:history="1">
            <w:r w:rsidRPr="00887CC3">
              <w:rPr>
                <w:rStyle w:val="Hyperlink"/>
                <w:noProof/>
              </w:rPr>
              <w:t>Appendix 4: : Income Statement of 2023 and 2024</w:t>
            </w:r>
            <w:r>
              <w:rPr>
                <w:noProof/>
                <w:webHidden/>
              </w:rPr>
              <w:tab/>
            </w:r>
            <w:r>
              <w:rPr>
                <w:noProof/>
                <w:webHidden/>
              </w:rPr>
              <w:fldChar w:fldCharType="begin"/>
            </w:r>
            <w:r>
              <w:rPr>
                <w:noProof/>
                <w:webHidden/>
              </w:rPr>
              <w:instrText xml:space="preserve"> PAGEREF _Toc236412235 \h </w:instrText>
            </w:r>
            <w:r>
              <w:rPr>
                <w:noProof/>
                <w:webHidden/>
              </w:rPr>
            </w:r>
            <w:r>
              <w:rPr>
                <w:noProof/>
                <w:webHidden/>
              </w:rPr>
              <w:fldChar w:fldCharType="separate"/>
            </w:r>
            <w:r w:rsidR="009A030F">
              <w:rPr>
                <w:noProof/>
                <w:webHidden/>
              </w:rPr>
              <w:t>48</w:t>
            </w:r>
            <w:r>
              <w:rPr>
                <w:noProof/>
                <w:webHidden/>
              </w:rPr>
              <w:fldChar w:fldCharType="end"/>
            </w:r>
          </w:hyperlink>
        </w:p>
        <w:p w14:paraId="6D29C37C" w14:textId="1BD140F8" w:rsidR="00C45D4B" w:rsidRDefault="00C45D4B">
          <w:pPr>
            <w:pStyle w:val="TOC2"/>
            <w:tabs>
              <w:tab w:val="right" w:pos="9350"/>
            </w:tabs>
            <w:rPr>
              <w:rFonts w:asciiTheme="minorHAnsi" w:eastAsiaTheme="minorEastAsia" w:hAnsiTheme="minorHAnsi" w:cstheme="minorBidi"/>
              <w:noProof/>
              <w:sz w:val="22"/>
              <w:szCs w:val="22"/>
              <w:lang w:val="en-IN"/>
            </w:rPr>
          </w:pPr>
          <w:hyperlink w:anchor="_Toc236412236" w:history="1">
            <w:r w:rsidRPr="00887CC3">
              <w:rPr>
                <w:rStyle w:val="Hyperlink"/>
                <w:noProof/>
              </w:rPr>
              <w:t>Appendix 5: Income Statement of 2025</w:t>
            </w:r>
            <w:r>
              <w:rPr>
                <w:noProof/>
                <w:webHidden/>
              </w:rPr>
              <w:tab/>
            </w:r>
            <w:r>
              <w:rPr>
                <w:noProof/>
                <w:webHidden/>
              </w:rPr>
              <w:fldChar w:fldCharType="begin"/>
            </w:r>
            <w:r>
              <w:rPr>
                <w:noProof/>
                <w:webHidden/>
              </w:rPr>
              <w:instrText xml:space="preserve"> PAGEREF _Toc236412236 \h </w:instrText>
            </w:r>
            <w:r>
              <w:rPr>
                <w:noProof/>
                <w:webHidden/>
              </w:rPr>
            </w:r>
            <w:r>
              <w:rPr>
                <w:noProof/>
                <w:webHidden/>
              </w:rPr>
              <w:fldChar w:fldCharType="separate"/>
            </w:r>
            <w:r w:rsidR="009A030F">
              <w:rPr>
                <w:noProof/>
                <w:webHidden/>
              </w:rPr>
              <w:t>49</w:t>
            </w:r>
            <w:r>
              <w:rPr>
                <w:noProof/>
                <w:webHidden/>
              </w:rPr>
              <w:fldChar w:fldCharType="end"/>
            </w:r>
          </w:hyperlink>
        </w:p>
        <w:p w14:paraId="24BE78A6" w14:textId="763D60B5" w:rsidR="0081565C" w:rsidRDefault="00C45D4B">
          <w:pPr>
            <w:widowControl w:val="0"/>
            <w:tabs>
              <w:tab w:val="right" w:pos="12000"/>
            </w:tabs>
            <w:spacing w:before="60" w:line="240" w:lineRule="auto"/>
            <w:ind w:left="360"/>
            <w:jc w:val="left"/>
            <w:rPr>
              <w:color w:val="000000"/>
            </w:rPr>
          </w:pPr>
          <w:r>
            <w:fldChar w:fldCharType="end"/>
          </w:r>
        </w:p>
      </w:sdtContent>
    </w:sdt>
    <w:p w14:paraId="24BE78A7" w14:textId="77777777" w:rsidR="0081565C" w:rsidRDefault="00C45D4B">
      <w:pPr>
        <w:jc w:val="center"/>
      </w:pPr>
      <w:r>
        <w:br w:type="page"/>
      </w:r>
    </w:p>
    <w:p w14:paraId="24BE78A8" w14:textId="77777777" w:rsidR="0081565C" w:rsidRDefault="00C45D4B">
      <w:pPr>
        <w:pStyle w:val="Heading1"/>
      </w:pPr>
      <w:bookmarkStart w:id="3" w:name="_Toc236412178"/>
      <w:r>
        <w:lastRenderedPageBreak/>
        <w:t>1. Financial Health Check</w:t>
      </w:r>
      <w:bookmarkEnd w:id="3"/>
      <w:r>
        <w:t xml:space="preserve"> </w:t>
      </w:r>
    </w:p>
    <w:p w14:paraId="24BE78A9" w14:textId="77777777" w:rsidR="0081565C" w:rsidRDefault="00C45D4B">
      <w:pPr>
        <w:pStyle w:val="Heading2"/>
      </w:pPr>
      <w:bookmarkStart w:id="4" w:name="_Toc236412179"/>
      <w:r>
        <w:t>1.1 Five-Year Financial Performance of Whitbread Plc</w:t>
      </w:r>
      <w:bookmarkEnd w:id="4"/>
      <w:r>
        <w:t xml:space="preserve"> </w:t>
      </w:r>
    </w:p>
    <w:p w14:paraId="24BE78AA" w14:textId="77777777" w:rsidR="0081565C" w:rsidRDefault="00C45D4B">
      <w:pPr>
        <w:pStyle w:val="Heading3"/>
      </w:pPr>
      <w:bookmarkStart w:id="5" w:name="_Toc236412180"/>
      <w:r>
        <w:t>1.1.1 Income statement analysis</w:t>
      </w:r>
      <w:bookmarkEnd w:id="5"/>
      <w:r>
        <w:t xml:space="preserve"> </w:t>
      </w:r>
    </w:p>
    <w:p w14:paraId="24BE78AB" w14:textId="77777777" w:rsidR="0081565C" w:rsidRDefault="00C45D4B">
      <w:r>
        <w:t xml:space="preserve">The key income statement analysis also illustrates a strong trend towards improving Whitbread Plc operational standards in post pandemic recovery between 2021-2025. The cumulative growth of revenue is also identified as 396% from “£589.4 million in 2021 to £2,921.9 million in 2025”. For instance, Whitbread Plc also opened 1000 new premier rooms with forward booking service that enable higher guest access in the UK and Germany (Withers, 2025). As a result, operation profit also improved with recovering key loss £839.1 million to profit £509.3 million in 2025. This expansion was also helpful to support net profitability with recovering losses £906.5 million to make stable profit £253.7 million in 2025. </w:t>
      </w:r>
    </w:p>
    <w:p w14:paraId="616E0576" w14:textId="6AB2969A" w:rsidR="00292CEF" w:rsidRDefault="00292CEF" w:rsidP="00292CEF">
      <w:pPr>
        <w:jc w:val="center"/>
      </w:pPr>
      <w:r w:rsidRPr="00292CEF">
        <w:rPr>
          <w:noProof/>
        </w:rPr>
        <w:drawing>
          <wp:inline distT="0" distB="0" distL="0" distR="0" wp14:anchorId="60488CC0" wp14:editId="5A4C96C9">
            <wp:extent cx="4867954" cy="828791"/>
            <wp:effectExtent l="0" t="0" r="0" b="952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867954" cy="828791"/>
                    </a:xfrm>
                    <a:prstGeom prst="rect">
                      <a:avLst/>
                    </a:prstGeom>
                  </pic:spPr>
                </pic:pic>
              </a:graphicData>
            </a:graphic>
          </wp:inline>
        </w:drawing>
      </w:r>
    </w:p>
    <w:p w14:paraId="24BE78AC" w14:textId="77777777" w:rsidR="0081565C" w:rsidRDefault="00C45D4B">
      <w:pPr>
        <w:jc w:val="center"/>
      </w:pPr>
      <w:r>
        <w:rPr>
          <w:noProof/>
        </w:rPr>
        <w:drawing>
          <wp:inline distT="114300" distB="114300" distL="114300" distR="114300" wp14:anchorId="24BE7C00" wp14:editId="24BE7C01">
            <wp:extent cx="4567238" cy="2744734"/>
            <wp:effectExtent l="0" t="0" r="0" b="0"/>
            <wp:docPr id="14"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9"/>
                    <a:srcRect/>
                    <a:stretch>
                      <a:fillRect/>
                    </a:stretch>
                  </pic:blipFill>
                  <pic:spPr>
                    <a:xfrm>
                      <a:off x="0" y="0"/>
                      <a:ext cx="4567238" cy="2744734"/>
                    </a:xfrm>
                    <a:prstGeom prst="rect">
                      <a:avLst/>
                    </a:prstGeom>
                    <a:ln/>
                  </pic:spPr>
                </pic:pic>
              </a:graphicData>
            </a:graphic>
          </wp:inline>
        </w:drawing>
      </w:r>
    </w:p>
    <w:p w14:paraId="24BE78AD" w14:textId="77777777" w:rsidR="0081565C" w:rsidRDefault="00C45D4B">
      <w:pPr>
        <w:jc w:val="center"/>
        <w:rPr>
          <w:b/>
          <w:bCs/>
        </w:rPr>
      </w:pPr>
      <w:r>
        <w:rPr>
          <w:b/>
          <w:bCs/>
        </w:rPr>
        <w:t xml:space="preserve">Figure 1: Income statement </w:t>
      </w:r>
    </w:p>
    <w:p w14:paraId="24BE78AE" w14:textId="77777777" w:rsidR="0081565C" w:rsidRDefault="00C45D4B">
      <w:pPr>
        <w:jc w:val="center"/>
      </w:pPr>
      <w:r>
        <w:t>(Source: Whitbread Plc, 2021; Whitbread Plc, 2023; Whitbread PLC, 2025)</w:t>
      </w:r>
    </w:p>
    <w:p w14:paraId="24BE78AF" w14:textId="77777777" w:rsidR="0081565C" w:rsidRDefault="00C45D4B">
      <w:pPr>
        <w:pStyle w:val="Heading3"/>
      </w:pPr>
      <w:bookmarkStart w:id="6" w:name="_Toc236412181"/>
      <w:r>
        <w:lastRenderedPageBreak/>
        <w:t>1.1.2 Balance sheet analysis</w:t>
      </w:r>
      <w:bookmarkEnd w:id="6"/>
      <w:r>
        <w:t xml:space="preserve"> </w:t>
      </w:r>
    </w:p>
    <w:p w14:paraId="3BDD2B17" w14:textId="4E804572" w:rsidR="00A767DA" w:rsidRPr="00A767DA" w:rsidRDefault="00A767DA" w:rsidP="00A767DA">
      <w:pPr>
        <w:jc w:val="center"/>
      </w:pPr>
      <w:r w:rsidRPr="00A767DA">
        <w:rPr>
          <w:noProof/>
        </w:rPr>
        <w:drawing>
          <wp:inline distT="0" distB="0" distL="0" distR="0" wp14:anchorId="29F503A0" wp14:editId="3798E977">
            <wp:extent cx="5258534" cy="838317"/>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58534" cy="838317"/>
                    </a:xfrm>
                    <a:prstGeom prst="rect">
                      <a:avLst/>
                    </a:prstGeom>
                  </pic:spPr>
                </pic:pic>
              </a:graphicData>
            </a:graphic>
          </wp:inline>
        </w:drawing>
      </w:r>
    </w:p>
    <w:p w14:paraId="24BE78B0" w14:textId="77777777" w:rsidR="0081565C" w:rsidRDefault="00C45D4B">
      <w:pPr>
        <w:jc w:val="center"/>
      </w:pPr>
      <w:r>
        <w:rPr>
          <w:noProof/>
        </w:rPr>
        <w:drawing>
          <wp:inline distT="114300" distB="114300" distL="114300" distR="114300" wp14:anchorId="24BE7C02" wp14:editId="24BE7C03">
            <wp:extent cx="4548188" cy="2733286"/>
            <wp:effectExtent l="0" t="0" r="0" b="0"/>
            <wp:docPr id="18"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1"/>
                    <a:srcRect/>
                    <a:stretch>
                      <a:fillRect/>
                    </a:stretch>
                  </pic:blipFill>
                  <pic:spPr>
                    <a:xfrm>
                      <a:off x="0" y="0"/>
                      <a:ext cx="4548188" cy="2733286"/>
                    </a:xfrm>
                    <a:prstGeom prst="rect">
                      <a:avLst/>
                    </a:prstGeom>
                    <a:ln/>
                  </pic:spPr>
                </pic:pic>
              </a:graphicData>
            </a:graphic>
          </wp:inline>
        </w:drawing>
      </w:r>
    </w:p>
    <w:p w14:paraId="24BE78B1" w14:textId="77777777" w:rsidR="0081565C" w:rsidRDefault="00C45D4B">
      <w:pPr>
        <w:jc w:val="center"/>
        <w:rPr>
          <w:b/>
          <w:bCs/>
        </w:rPr>
      </w:pPr>
      <w:r>
        <w:rPr>
          <w:b/>
          <w:bCs/>
        </w:rPr>
        <w:t>Figure 2: Balance sheet</w:t>
      </w:r>
    </w:p>
    <w:p w14:paraId="24BE78B2" w14:textId="77777777" w:rsidR="0081565C" w:rsidRDefault="00C45D4B">
      <w:pPr>
        <w:jc w:val="center"/>
      </w:pPr>
      <w:r>
        <w:t>(Source: Whitbread Plc, 2021; Whitbread Plc, 2023; Whitbread PLC, 2025)</w:t>
      </w:r>
    </w:p>
    <w:p w14:paraId="24BE78B3" w14:textId="77777777" w:rsidR="0081565C" w:rsidRDefault="00C45D4B">
      <w:r>
        <w:t xml:space="preserve">The Whitbread also assured stable balance sheet position with diversifying key instability in liquidity position from 2021-2025. This strong asset base is supported through stable current asset position £9.90 billion in 2025 also be 4% higher as compared to £9.52 billion in 2024. As is ensure strong expansion of property and plan inventory position £4.68 billion and use to right asset value £3.66 billion. On the other hand, current liabilities rose by 70.1% from £775.3 million to £1,319.0 million indicating most pressure on management short term liquidity position of Whitbread Plc. Overall, rise in </w:t>
      </w:r>
      <w:proofErr w:type="gramStart"/>
      <w:r>
        <w:t>short term</w:t>
      </w:r>
      <w:proofErr w:type="gramEnd"/>
      <w:r>
        <w:t xml:space="preserve"> borrowing about £450.0 million influence balancing cash flow position of organization. </w:t>
      </w:r>
    </w:p>
    <w:p w14:paraId="24BE78B4" w14:textId="77777777" w:rsidR="0081565C" w:rsidRDefault="00C45D4B">
      <w:pPr>
        <w:pStyle w:val="Heading2"/>
      </w:pPr>
      <w:bookmarkStart w:id="7" w:name="_Toc236412182"/>
      <w:r>
        <w:t>1.2 Liquidity Ratios</w:t>
      </w:r>
      <w:bookmarkEnd w:id="7"/>
      <w:r>
        <w:t xml:space="preserve"> </w:t>
      </w:r>
    </w:p>
    <w:p w14:paraId="24BE78B5" w14:textId="77777777" w:rsidR="0081565C" w:rsidRDefault="00C45D4B">
      <w:r>
        <w:rPr>
          <w:noProof/>
        </w:rPr>
        <w:drawing>
          <wp:inline distT="114300" distB="114300" distL="114300" distR="114300" wp14:anchorId="24BE7C04" wp14:editId="24BE7C05">
            <wp:extent cx="5943600" cy="1066800"/>
            <wp:effectExtent l="0" t="0" r="0" b="0"/>
            <wp:docPr id="36"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12"/>
                    <a:srcRect/>
                    <a:stretch>
                      <a:fillRect/>
                    </a:stretch>
                  </pic:blipFill>
                  <pic:spPr>
                    <a:xfrm>
                      <a:off x="0" y="0"/>
                      <a:ext cx="5943600" cy="1066800"/>
                    </a:xfrm>
                    <a:prstGeom prst="rect">
                      <a:avLst/>
                    </a:prstGeom>
                    <a:ln/>
                  </pic:spPr>
                </pic:pic>
              </a:graphicData>
            </a:graphic>
          </wp:inline>
        </w:drawing>
      </w:r>
    </w:p>
    <w:p w14:paraId="24BE78B6" w14:textId="77777777" w:rsidR="0081565C" w:rsidRDefault="00C45D4B">
      <w:pPr>
        <w:jc w:val="center"/>
      </w:pPr>
      <w:r>
        <w:rPr>
          <w:noProof/>
        </w:rPr>
        <w:lastRenderedPageBreak/>
        <w:drawing>
          <wp:inline distT="114300" distB="114300" distL="114300" distR="114300" wp14:anchorId="24BE7C06" wp14:editId="24BE7C07">
            <wp:extent cx="4643438" cy="2790527"/>
            <wp:effectExtent l="0" t="0" r="0" b="0"/>
            <wp:docPr id="34"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13"/>
                    <a:srcRect/>
                    <a:stretch>
                      <a:fillRect/>
                    </a:stretch>
                  </pic:blipFill>
                  <pic:spPr>
                    <a:xfrm>
                      <a:off x="0" y="0"/>
                      <a:ext cx="4643438" cy="2790527"/>
                    </a:xfrm>
                    <a:prstGeom prst="rect">
                      <a:avLst/>
                    </a:prstGeom>
                    <a:ln/>
                  </pic:spPr>
                </pic:pic>
              </a:graphicData>
            </a:graphic>
          </wp:inline>
        </w:drawing>
      </w:r>
    </w:p>
    <w:p w14:paraId="24BE78B7" w14:textId="77777777" w:rsidR="0081565C" w:rsidRDefault="00C45D4B">
      <w:pPr>
        <w:jc w:val="center"/>
        <w:rPr>
          <w:b/>
          <w:bCs/>
        </w:rPr>
      </w:pPr>
      <w:r>
        <w:rPr>
          <w:b/>
          <w:bCs/>
        </w:rPr>
        <w:t>Figure 3: Liquidity ratios</w:t>
      </w:r>
    </w:p>
    <w:p w14:paraId="24BE78B8" w14:textId="77777777" w:rsidR="0081565C" w:rsidRDefault="00C45D4B">
      <w:pPr>
        <w:jc w:val="center"/>
      </w:pPr>
      <w:r>
        <w:t>(Source: Whitbread Plc, 2021; Whitbread Plc, 2023; Whitbread PLC, 2025)</w:t>
      </w:r>
    </w:p>
    <w:p w14:paraId="24BE78B9" w14:textId="77777777" w:rsidR="0081565C" w:rsidRDefault="00C45D4B">
      <w:pPr>
        <w:rPr>
          <w:b/>
          <w:bCs/>
        </w:rPr>
      </w:pPr>
      <w:r>
        <w:rPr>
          <w:b/>
          <w:bCs/>
        </w:rPr>
        <w:t>Market Trends</w:t>
      </w:r>
    </w:p>
    <w:p w14:paraId="24BE78BA" w14:textId="77777777" w:rsidR="0081565C" w:rsidRDefault="00C45D4B">
      <w:r>
        <w:t xml:space="preserve">In the current scenario, Whitbread Plc has achieved a consistent downtrend in its current ratios “Current Assets ÷ Current Liabilities,” to 0.81 due to selling of business units in 2025. The company has sold hotels worth $2bn for managing its operational losses (Martin, 2026). In addition, Whitbread has also declined its quick ratio “(Current Assets - Inventory) ÷ Current Liabilities” by 53.75%, signifying asset conversion issues in its business operations. The company has also witnessed the absence of adequate financial resources due to the low performance in the cash ratio “(Cash ÷ Current Liability)” to 0.69 in 2025 (Whitbread PLC, 2025). Thus, the existence of low business investments has hampered the service quality of the </w:t>
      </w:r>
      <w:proofErr w:type="spellStart"/>
      <w:r>
        <w:t>organisation</w:t>
      </w:r>
      <w:proofErr w:type="spellEnd"/>
      <w:r>
        <w:t xml:space="preserve">. </w:t>
      </w:r>
    </w:p>
    <w:p w14:paraId="24BE78BB" w14:textId="77777777" w:rsidR="0081565C" w:rsidRDefault="00C45D4B">
      <w:pPr>
        <w:rPr>
          <w:b/>
          <w:bCs/>
        </w:rPr>
      </w:pPr>
      <w:r>
        <w:rPr>
          <w:b/>
          <w:bCs/>
        </w:rPr>
        <w:t>Strength</w:t>
      </w:r>
    </w:p>
    <w:p w14:paraId="24BE78BC" w14:textId="77777777" w:rsidR="0081565C" w:rsidRDefault="00C45D4B">
      <w:r>
        <w:t>Strong cash reserves and effective asset management also manage a better operational liquidity position for long-term value creation.</w:t>
      </w:r>
    </w:p>
    <w:p w14:paraId="24BE78BD" w14:textId="77777777" w:rsidR="0081565C" w:rsidRDefault="00C45D4B">
      <w:pPr>
        <w:rPr>
          <w:b/>
          <w:bCs/>
        </w:rPr>
      </w:pPr>
      <w:r>
        <w:rPr>
          <w:b/>
          <w:bCs/>
        </w:rPr>
        <w:t>Threat</w:t>
      </w:r>
    </w:p>
    <w:p w14:paraId="24BE78BE" w14:textId="77777777" w:rsidR="0081565C" w:rsidRDefault="00C45D4B">
      <w:r>
        <w:t>The decline in current ratio has also hampered the ability of the organization in meeting the financial and operational short-term requirements of business.</w:t>
      </w:r>
    </w:p>
    <w:p w14:paraId="24BE78BF" w14:textId="77777777" w:rsidR="0081565C" w:rsidRDefault="00C45D4B">
      <w:pPr>
        <w:pStyle w:val="Heading2"/>
      </w:pPr>
      <w:bookmarkStart w:id="8" w:name="_Toc236412183"/>
      <w:r>
        <w:lastRenderedPageBreak/>
        <w:t>1.3 Efficiency Ratios</w:t>
      </w:r>
      <w:bookmarkEnd w:id="8"/>
      <w:r>
        <w:t xml:space="preserve"> </w:t>
      </w:r>
    </w:p>
    <w:p w14:paraId="24BE78C0" w14:textId="77777777" w:rsidR="0081565C" w:rsidRDefault="00C45D4B">
      <w:r>
        <w:rPr>
          <w:noProof/>
        </w:rPr>
        <w:drawing>
          <wp:inline distT="114300" distB="114300" distL="114300" distR="114300" wp14:anchorId="24BE7C08" wp14:editId="24BE7C09">
            <wp:extent cx="5943600" cy="2019300"/>
            <wp:effectExtent l="0" t="0" r="0" b="0"/>
            <wp:docPr id="1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4"/>
                    <a:srcRect/>
                    <a:stretch>
                      <a:fillRect/>
                    </a:stretch>
                  </pic:blipFill>
                  <pic:spPr>
                    <a:xfrm>
                      <a:off x="0" y="0"/>
                      <a:ext cx="5943600" cy="2019300"/>
                    </a:xfrm>
                    <a:prstGeom prst="rect">
                      <a:avLst/>
                    </a:prstGeom>
                    <a:ln/>
                  </pic:spPr>
                </pic:pic>
              </a:graphicData>
            </a:graphic>
          </wp:inline>
        </w:drawing>
      </w:r>
    </w:p>
    <w:p w14:paraId="24BE78C1" w14:textId="77777777" w:rsidR="0081565C" w:rsidRDefault="00C45D4B">
      <w:pPr>
        <w:jc w:val="center"/>
      </w:pPr>
      <w:r>
        <w:rPr>
          <w:noProof/>
        </w:rPr>
        <w:drawing>
          <wp:inline distT="114300" distB="114300" distL="114300" distR="114300" wp14:anchorId="24BE7C0A" wp14:editId="24BE7C0B">
            <wp:extent cx="4672013" cy="2807700"/>
            <wp:effectExtent l="0" t="0" r="0" b="0"/>
            <wp:docPr id="39"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5"/>
                    <a:srcRect/>
                    <a:stretch>
                      <a:fillRect/>
                    </a:stretch>
                  </pic:blipFill>
                  <pic:spPr>
                    <a:xfrm>
                      <a:off x="0" y="0"/>
                      <a:ext cx="4672013" cy="2807700"/>
                    </a:xfrm>
                    <a:prstGeom prst="rect">
                      <a:avLst/>
                    </a:prstGeom>
                    <a:ln/>
                  </pic:spPr>
                </pic:pic>
              </a:graphicData>
            </a:graphic>
          </wp:inline>
        </w:drawing>
      </w:r>
    </w:p>
    <w:p w14:paraId="24BE78C2" w14:textId="77777777" w:rsidR="0081565C" w:rsidRDefault="00C45D4B">
      <w:pPr>
        <w:jc w:val="center"/>
        <w:rPr>
          <w:b/>
          <w:bCs/>
        </w:rPr>
      </w:pPr>
      <w:r>
        <w:rPr>
          <w:b/>
          <w:bCs/>
        </w:rPr>
        <w:t>Figure 4: Efficiency ratios</w:t>
      </w:r>
    </w:p>
    <w:p w14:paraId="24BE78C3" w14:textId="77777777" w:rsidR="0081565C" w:rsidRDefault="00C45D4B">
      <w:pPr>
        <w:jc w:val="center"/>
      </w:pPr>
      <w:r>
        <w:t>(Source: Whitbread Plc, 2021; Whitbread Plc, 2023; Whitbread PLC, 2025)</w:t>
      </w:r>
    </w:p>
    <w:p w14:paraId="24BE78C4" w14:textId="77777777" w:rsidR="0081565C" w:rsidRDefault="00C45D4B">
      <w:pPr>
        <w:rPr>
          <w:b/>
          <w:bCs/>
        </w:rPr>
      </w:pPr>
      <w:r>
        <w:rPr>
          <w:b/>
          <w:bCs/>
        </w:rPr>
        <w:t>Market Trends</w:t>
      </w:r>
    </w:p>
    <w:p w14:paraId="24BE78C5" w14:textId="77777777" w:rsidR="0081565C" w:rsidRDefault="00C45D4B">
      <w:r>
        <w:t xml:space="preserve">The Inventory turnover days of Whitbread Plc are designed by “Average Inventory ÷ Cost of Sales × 365” with a 33.33% increase in 2022 and a decrease of 25% in 2025. Decrease in inventory days is due to operational restructuring at Whitbread Plc by affecting its “Accelerating Growth Plan” by a shift in the employment of employees (Whitbread PLC, 2025). Receivable turnover days are designed by “(Average Trade Payables ÷ Cost of Sales × 365)” decreased to 86.84%. Decline in receivable turnover days is due to poor credit facilities and operational delay due to tight capital management. Payable turnover </w:t>
      </w:r>
      <w:r>
        <w:lastRenderedPageBreak/>
        <w:t xml:space="preserve">days “(Average Trade Payables ÷ Cost of Sales × 365)” increased by 14.94% to address better cash flow with strong liquidity maintenance. </w:t>
      </w:r>
    </w:p>
    <w:p w14:paraId="24BE78C6" w14:textId="77777777" w:rsidR="0081565C" w:rsidRDefault="00C45D4B">
      <w:pPr>
        <w:rPr>
          <w:b/>
          <w:bCs/>
        </w:rPr>
      </w:pPr>
      <w:r>
        <w:rPr>
          <w:b/>
          <w:bCs/>
        </w:rPr>
        <w:t>Strength</w:t>
      </w:r>
    </w:p>
    <w:p w14:paraId="24BE78C7" w14:textId="77777777" w:rsidR="0081565C" w:rsidRDefault="00C45D4B">
      <w:r>
        <w:t xml:space="preserve">Whitbread Plc enhanced its operational efficiency through reliable maintenance of cash, leading to enhanced restructuring. </w:t>
      </w:r>
    </w:p>
    <w:p w14:paraId="24BE78C8" w14:textId="77777777" w:rsidR="0081565C" w:rsidRDefault="00C45D4B">
      <w:pPr>
        <w:rPr>
          <w:b/>
          <w:bCs/>
        </w:rPr>
      </w:pPr>
      <w:r>
        <w:rPr>
          <w:b/>
          <w:bCs/>
        </w:rPr>
        <w:t>Threats</w:t>
      </w:r>
    </w:p>
    <w:p w14:paraId="24BE78C9" w14:textId="77777777" w:rsidR="0081565C" w:rsidRDefault="00C45D4B">
      <w:r>
        <w:t xml:space="preserve">Whitbread Plc distorted its capital due to surging with employment affecting the “Accelerating Growth Plan”. </w:t>
      </w:r>
    </w:p>
    <w:p w14:paraId="24BE78CA" w14:textId="77777777" w:rsidR="0081565C" w:rsidRDefault="00C45D4B">
      <w:pPr>
        <w:pStyle w:val="Heading2"/>
      </w:pPr>
      <w:bookmarkStart w:id="9" w:name="_Toc236412184"/>
      <w:r>
        <w:t>1.4 Profitability Ratios</w:t>
      </w:r>
      <w:bookmarkEnd w:id="9"/>
      <w:r>
        <w:t xml:space="preserve"> </w:t>
      </w:r>
    </w:p>
    <w:p w14:paraId="24BE78CB" w14:textId="77777777" w:rsidR="0081565C" w:rsidRDefault="00C45D4B">
      <w:r>
        <w:rPr>
          <w:noProof/>
        </w:rPr>
        <w:drawing>
          <wp:inline distT="114300" distB="114300" distL="114300" distR="114300" wp14:anchorId="24BE7C0C" wp14:editId="24BE7C0D">
            <wp:extent cx="5943600" cy="1295400"/>
            <wp:effectExtent l="0" t="0" r="0" b="0"/>
            <wp:docPr id="1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5943600" cy="1295400"/>
                    </a:xfrm>
                    <a:prstGeom prst="rect">
                      <a:avLst/>
                    </a:prstGeom>
                    <a:ln/>
                  </pic:spPr>
                </pic:pic>
              </a:graphicData>
            </a:graphic>
          </wp:inline>
        </w:drawing>
      </w:r>
    </w:p>
    <w:p w14:paraId="24BE78CC" w14:textId="77777777" w:rsidR="0081565C" w:rsidRDefault="00C45D4B">
      <w:pPr>
        <w:jc w:val="center"/>
      </w:pPr>
      <w:r>
        <w:rPr>
          <w:noProof/>
        </w:rPr>
        <w:drawing>
          <wp:inline distT="114300" distB="114300" distL="114300" distR="114300" wp14:anchorId="24BE7C0E" wp14:editId="24BE7C0F">
            <wp:extent cx="4576763" cy="2779796"/>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a:srcRect/>
                    <a:stretch>
                      <a:fillRect/>
                    </a:stretch>
                  </pic:blipFill>
                  <pic:spPr>
                    <a:xfrm>
                      <a:off x="0" y="0"/>
                      <a:ext cx="4576763" cy="2779796"/>
                    </a:xfrm>
                    <a:prstGeom prst="rect">
                      <a:avLst/>
                    </a:prstGeom>
                    <a:ln/>
                  </pic:spPr>
                </pic:pic>
              </a:graphicData>
            </a:graphic>
          </wp:inline>
        </w:drawing>
      </w:r>
    </w:p>
    <w:p w14:paraId="24BE78CD" w14:textId="77777777" w:rsidR="0081565C" w:rsidRDefault="00C45D4B">
      <w:pPr>
        <w:jc w:val="center"/>
        <w:rPr>
          <w:b/>
          <w:bCs/>
        </w:rPr>
      </w:pPr>
      <w:r>
        <w:rPr>
          <w:b/>
          <w:bCs/>
        </w:rPr>
        <w:t>Figure 5: Profitability ratios</w:t>
      </w:r>
    </w:p>
    <w:p w14:paraId="24BE78CE" w14:textId="77777777" w:rsidR="0081565C" w:rsidRDefault="00C45D4B">
      <w:pPr>
        <w:jc w:val="center"/>
      </w:pPr>
      <w:r>
        <w:t>(Source: Whitbread Plc, 2021; Whitbread Plc, 2023; Whitbread PLC, 2025)</w:t>
      </w:r>
    </w:p>
    <w:p w14:paraId="24BE78CF" w14:textId="77777777" w:rsidR="0081565C" w:rsidRDefault="00C45D4B">
      <w:pPr>
        <w:rPr>
          <w:b/>
          <w:bCs/>
        </w:rPr>
      </w:pPr>
      <w:r>
        <w:rPr>
          <w:b/>
          <w:bCs/>
        </w:rPr>
        <w:t>Market trend</w:t>
      </w:r>
    </w:p>
    <w:p w14:paraId="24BE78D0" w14:textId="77777777" w:rsidR="0081565C" w:rsidRDefault="00C45D4B">
      <w:r>
        <w:t xml:space="preserve">The net profit marginal value can also be calculated through “(Net Profit ÷ Revenue × 100)” as it is in peak 10.62% in 2023 from recovering key loss -153.80% in 2021. However, its slightly down 8.68% in 2025 indicated higher financial cost £188.5 million for </w:t>
      </w:r>
      <w:r>
        <w:lastRenderedPageBreak/>
        <w:t xml:space="preserve">adjusting profit after tax in 2025. ROCE was also to be increased from “-10.46% in 2021 to 5.93% in 2025” with its peak value of 6.38 in 2024 “[Operating Profit ÷ (Total Assets – Current Liabilities) × 100]”. However, it slightly declined in 2025 as capital employment reached £8,585.7 million indicating more stability and a </w:t>
      </w:r>
      <w:proofErr w:type="gramStart"/>
      <w:r>
        <w:t>long term</w:t>
      </w:r>
      <w:proofErr w:type="gramEnd"/>
      <w:r>
        <w:t xml:space="preserve"> position creation of Whitbread Plc (Yahoo Finance, 2025).</w:t>
      </w:r>
    </w:p>
    <w:p w14:paraId="24BE78D1" w14:textId="77777777" w:rsidR="0081565C" w:rsidRDefault="00C45D4B">
      <w:r>
        <w:t>ROE is also calculated through “(Net Profit ÷ Equity × 100)” to make a high position in 2024 with declining 7.61% in 2025. The decline of shareholders equity position “£5,854.1 million to £3,334.5 million” indicated losing shareholder confidence towards enabling long term investment creation in Whitbread Plc (Whitbread PLC, 2025).</w:t>
      </w:r>
    </w:p>
    <w:p w14:paraId="24BE78D2" w14:textId="77777777" w:rsidR="0081565C" w:rsidRDefault="00C45D4B">
      <w:pPr>
        <w:rPr>
          <w:b/>
          <w:bCs/>
        </w:rPr>
      </w:pPr>
      <w:r>
        <w:rPr>
          <w:b/>
          <w:bCs/>
        </w:rPr>
        <w:t>Strength</w:t>
      </w:r>
    </w:p>
    <w:p w14:paraId="24BE78D3" w14:textId="77777777" w:rsidR="0081565C" w:rsidRDefault="00C45D4B">
      <w:r>
        <w:t xml:space="preserve">Strong profitability recovery, improving ROCE and ROE demonstrate efficient operations, capital </w:t>
      </w:r>
      <w:proofErr w:type="spellStart"/>
      <w:r>
        <w:t>utilisation</w:t>
      </w:r>
      <w:proofErr w:type="spellEnd"/>
      <w:r>
        <w:t>, and sustainable shareholder value creation.</w:t>
      </w:r>
    </w:p>
    <w:p w14:paraId="24BE78D4" w14:textId="77777777" w:rsidR="0081565C" w:rsidRDefault="00C45D4B">
      <w:pPr>
        <w:rPr>
          <w:b/>
          <w:bCs/>
        </w:rPr>
      </w:pPr>
      <w:r>
        <w:rPr>
          <w:b/>
          <w:bCs/>
        </w:rPr>
        <w:t>Threats</w:t>
      </w:r>
    </w:p>
    <w:p w14:paraId="24BE78D5" w14:textId="77777777" w:rsidR="0081565C" w:rsidRDefault="00C45D4B">
      <w:r>
        <w:t>Declining 2025 margins, rising finance costs, and lower equity could weaken future profitability and investor confidence.</w:t>
      </w:r>
    </w:p>
    <w:p w14:paraId="24BE78D6" w14:textId="77777777" w:rsidR="0081565C" w:rsidRDefault="00C45D4B">
      <w:pPr>
        <w:pStyle w:val="Heading2"/>
      </w:pPr>
      <w:bookmarkStart w:id="10" w:name="_Toc236412185"/>
      <w:r>
        <w:t>1.5 Gearing Ratios</w:t>
      </w:r>
      <w:bookmarkEnd w:id="10"/>
      <w:r>
        <w:t xml:space="preserve"> </w:t>
      </w:r>
    </w:p>
    <w:p w14:paraId="24BE78D7" w14:textId="77777777" w:rsidR="0081565C" w:rsidRDefault="00C45D4B">
      <w:r>
        <w:rPr>
          <w:noProof/>
        </w:rPr>
        <w:drawing>
          <wp:inline distT="114300" distB="114300" distL="114300" distR="114300" wp14:anchorId="24BE7C10" wp14:editId="24BE7C11">
            <wp:extent cx="5943600" cy="1358900"/>
            <wp:effectExtent l="0" t="0" r="0" b="0"/>
            <wp:docPr id="28"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18"/>
                    <a:srcRect/>
                    <a:stretch>
                      <a:fillRect/>
                    </a:stretch>
                  </pic:blipFill>
                  <pic:spPr>
                    <a:xfrm>
                      <a:off x="0" y="0"/>
                      <a:ext cx="5943600" cy="1358900"/>
                    </a:xfrm>
                    <a:prstGeom prst="rect">
                      <a:avLst/>
                    </a:prstGeom>
                    <a:ln/>
                  </pic:spPr>
                </pic:pic>
              </a:graphicData>
            </a:graphic>
          </wp:inline>
        </w:drawing>
      </w:r>
    </w:p>
    <w:p w14:paraId="24BE78D8" w14:textId="77777777" w:rsidR="0081565C" w:rsidRDefault="00C45D4B">
      <w:pPr>
        <w:jc w:val="center"/>
      </w:pPr>
      <w:r>
        <w:rPr>
          <w:noProof/>
        </w:rPr>
        <w:lastRenderedPageBreak/>
        <w:drawing>
          <wp:inline distT="114300" distB="114300" distL="114300" distR="114300" wp14:anchorId="24BE7C12" wp14:editId="24BE7C13">
            <wp:extent cx="4681538" cy="2813424"/>
            <wp:effectExtent l="0" t="0" r="0" b="0"/>
            <wp:docPr id="46" name="image44.png"/>
            <wp:cNvGraphicFramePr/>
            <a:graphic xmlns:a="http://schemas.openxmlformats.org/drawingml/2006/main">
              <a:graphicData uri="http://schemas.openxmlformats.org/drawingml/2006/picture">
                <pic:pic xmlns:pic="http://schemas.openxmlformats.org/drawingml/2006/picture">
                  <pic:nvPicPr>
                    <pic:cNvPr id="0" name="image44.png"/>
                    <pic:cNvPicPr preferRelativeResize="0"/>
                  </pic:nvPicPr>
                  <pic:blipFill>
                    <a:blip r:embed="rId19"/>
                    <a:srcRect/>
                    <a:stretch>
                      <a:fillRect/>
                    </a:stretch>
                  </pic:blipFill>
                  <pic:spPr>
                    <a:xfrm>
                      <a:off x="0" y="0"/>
                      <a:ext cx="4681538" cy="2813424"/>
                    </a:xfrm>
                    <a:prstGeom prst="rect">
                      <a:avLst/>
                    </a:prstGeom>
                    <a:ln/>
                  </pic:spPr>
                </pic:pic>
              </a:graphicData>
            </a:graphic>
          </wp:inline>
        </w:drawing>
      </w:r>
    </w:p>
    <w:p w14:paraId="24BE78D9" w14:textId="77777777" w:rsidR="0081565C" w:rsidRDefault="00C45D4B">
      <w:pPr>
        <w:jc w:val="center"/>
        <w:rPr>
          <w:b/>
          <w:bCs/>
        </w:rPr>
      </w:pPr>
      <w:r>
        <w:rPr>
          <w:b/>
          <w:bCs/>
        </w:rPr>
        <w:t>Figure 6: Gearing ratios</w:t>
      </w:r>
    </w:p>
    <w:p w14:paraId="24BE78DA" w14:textId="77777777" w:rsidR="0081565C" w:rsidRDefault="00C45D4B">
      <w:pPr>
        <w:jc w:val="center"/>
      </w:pPr>
      <w:r>
        <w:t>(Source: Whitbread Plc, 2021; Whitbread Plc, 2023; Whitbread PLC, 2025)</w:t>
      </w:r>
    </w:p>
    <w:p w14:paraId="24BE78DB" w14:textId="77777777" w:rsidR="0081565C" w:rsidRDefault="00C45D4B">
      <w:pPr>
        <w:rPr>
          <w:b/>
          <w:bCs/>
        </w:rPr>
      </w:pPr>
      <w:r>
        <w:rPr>
          <w:b/>
          <w:bCs/>
        </w:rPr>
        <w:t>Market Trends</w:t>
      </w:r>
    </w:p>
    <w:p w14:paraId="24BE78DC" w14:textId="66A9B96E" w:rsidR="0081565C" w:rsidRDefault="00C45D4B">
      <w:r>
        <w:t>Gearing ratio measures the company’s “debt to equity” by assessing financial stability in managing business operations. Debt/capital ratio is determined by “Total Debts ÷ (Total Debts</w:t>
      </w:r>
      <w:r w:rsidR="00841AC9">
        <w:t xml:space="preserve"> </w:t>
      </w:r>
      <w:r>
        <w:t>+</w:t>
      </w:r>
      <w:r w:rsidR="00841AC9">
        <w:t xml:space="preserve"> </w:t>
      </w:r>
      <w:r>
        <w:t xml:space="preserve">Total Equity)” increases 131.76% due to high rises of borrowing for the maturing of green bonds. The company manages its corporate debt in issuing £300m in green bonds (Whitbread PLC, 2025) that will mature by 2027. Debt/Equity ratio is determined by “(Total Debts ÷ Total Equity)” decreases 55.07% by re-evaluation of assets, which enhances overall equity value. Interest coverage ratio (IC) is determined by “(Operating Income ÷ Interest Expense)”. It increases 45.24% due to high rises in business earnings, enhancing overall sales of the business. </w:t>
      </w:r>
    </w:p>
    <w:p w14:paraId="24BE78DD" w14:textId="77777777" w:rsidR="0081565C" w:rsidRDefault="00C45D4B">
      <w:pPr>
        <w:rPr>
          <w:b/>
          <w:bCs/>
        </w:rPr>
      </w:pPr>
      <w:r>
        <w:rPr>
          <w:b/>
          <w:bCs/>
        </w:rPr>
        <w:t>Strength</w:t>
      </w:r>
    </w:p>
    <w:p w14:paraId="24BE78DE" w14:textId="77777777" w:rsidR="0081565C" w:rsidRDefault="00C45D4B">
      <w:r>
        <w:t xml:space="preserve">Whitbread Plc improves its borrowing along with adoption of green bonds, which leads to slowing down corporate debt. </w:t>
      </w:r>
    </w:p>
    <w:p w14:paraId="24BE78DF" w14:textId="77777777" w:rsidR="0081565C" w:rsidRDefault="00C45D4B">
      <w:pPr>
        <w:rPr>
          <w:b/>
          <w:bCs/>
        </w:rPr>
      </w:pPr>
      <w:r>
        <w:rPr>
          <w:b/>
          <w:bCs/>
        </w:rPr>
        <w:t>Threats</w:t>
      </w:r>
    </w:p>
    <w:p w14:paraId="24BE78E0" w14:textId="77777777" w:rsidR="0081565C" w:rsidRDefault="00C45D4B">
      <w:r>
        <w:t xml:space="preserve">Whitbread Plc faces high borrowing issues due to credit pressure which affects overall revenue of the business. </w:t>
      </w:r>
    </w:p>
    <w:p w14:paraId="24BE78E1" w14:textId="77777777" w:rsidR="0081565C" w:rsidRDefault="00C45D4B">
      <w:pPr>
        <w:pStyle w:val="Heading2"/>
      </w:pPr>
      <w:bookmarkStart w:id="11" w:name="_Toc236412186"/>
      <w:r>
        <w:lastRenderedPageBreak/>
        <w:t>1.6 Investment Ratios</w:t>
      </w:r>
      <w:bookmarkEnd w:id="11"/>
    </w:p>
    <w:p w14:paraId="24BE78E2" w14:textId="77777777" w:rsidR="0081565C" w:rsidRDefault="00C45D4B" w:rsidP="006F27E1">
      <w:bookmarkStart w:id="12" w:name="_srwtv2jn5tig" w:colFirst="0" w:colLast="0"/>
      <w:bookmarkEnd w:id="12"/>
      <w:r>
        <w:rPr>
          <w:noProof/>
        </w:rPr>
        <w:drawing>
          <wp:inline distT="114300" distB="114300" distL="114300" distR="114300" wp14:anchorId="24BE7C14" wp14:editId="24BE7C15">
            <wp:extent cx="5943600" cy="584200"/>
            <wp:effectExtent l="0" t="0" r="0" b="0"/>
            <wp:docPr id="25"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20"/>
                    <a:srcRect/>
                    <a:stretch>
                      <a:fillRect/>
                    </a:stretch>
                  </pic:blipFill>
                  <pic:spPr>
                    <a:xfrm>
                      <a:off x="0" y="0"/>
                      <a:ext cx="5943600" cy="584200"/>
                    </a:xfrm>
                    <a:prstGeom prst="rect">
                      <a:avLst/>
                    </a:prstGeom>
                    <a:ln/>
                  </pic:spPr>
                </pic:pic>
              </a:graphicData>
            </a:graphic>
          </wp:inline>
        </w:drawing>
      </w:r>
      <w:r>
        <w:t xml:space="preserve"> </w:t>
      </w:r>
    </w:p>
    <w:p w14:paraId="24BE78E3" w14:textId="77777777" w:rsidR="0081565C" w:rsidRDefault="00C45D4B">
      <w:pPr>
        <w:jc w:val="center"/>
      </w:pPr>
      <w:r>
        <w:rPr>
          <w:noProof/>
        </w:rPr>
        <w:drawing>
          <wp:inline distT="114300" distB="114300" distL="114300" distR="114300" wp14:anchorId="24BE7C16" wp14:editId="24BE7C17">
            <wp:extent cx="4681538" cy="2813424"/>
            <wp:effectExtent l="0" t="0" r="0" b="0"/>
            <wp:docPr id="26"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21"/>
                    <a:srcRect/>
                    <a:stretch>
                      <a:fillRect/>
                    </a:stretch>
                  </pic:blipFill>
                  <pic:spPr>
                    <a:xfrm>
                      <a:off x="0" y="0"/>
                      <a:ext cx="4681538" cy="2813424"/>
                    </a:xfrm>
                    <a:prstGeom prst="rect">
                      <a:avLst/>
                    </a:prstGeom>
                    <a:ln/>
                  </pic:spPr>
                </pic:pic>
              </a:graphicData>
            </a:graphic>
          </wp:inline>
        </w:drawing>
      </w:r>
    </w:p>
    <w:p w14:paraId="24BE78E4" w14:textId="77777777" w:rsidR="0081565C" w:rsidRDefault="00C45D4B">
      <w:pPr>
        <w:jc w:val="center"/>
        <w:rPr>
          <w:b/>
          <w:bCs/>
        </w:rPr>
      </w:pPr>
      <w:r>
        <w:rPr>
          <w:b/>
          <w:bCs/>
        </w:rPr>
        <w:t>Figure 7: Investment Ratios</w:t>
      </w:r>
    </w:p>
    <w:p w14:paraId="24BE78E5" w14:textId="77777777" w:rsidR="0081565C" w:rsidRDefault="00C45D4B">
      <w:pPr>
        <w:jc w:val="center"/>
        <w:rPr>
          <w:b/>
          <w:bCs/>
        </w:rPr>
      </w:pPr>
      <w:r>
        <w:t>(Source: Whitbread Plc, 2021; Whitbread Plc, 2023; Whitbread PLC, 2025)</w:t>
      </w:r>
    </w:p>
    <w:p w14:paraId="24BE78E6" w14:textId="77777777" w:rsidR="0081565C" w:rsidRDefault="00C45D4B">
      <w:pPr>
        <w:rPr>
          <w:b/>
          <w:bCs/>
        </w:rPr>
      </w:pPr>
      <w:r>
        <w:rPr>
          <w:b/>
          <w:bCs/>
        </w:rPr>
        <w:t>Market Trends</w:t>
      </w:r>
    </w:p>
    <w:p w14:paraId="24BE78E7" w14:textId="77777777" w:rsidR="0081565C" w:rsidRDefault="00C45D4B">
      <w:r>
        <w:t>The investment ratio is a significant parameter that discloses the market performance of the company and strengthens the financial interests of its shareholders. Whitbread Plc has achieved a positive trend in its EPS “(Net Income ÷ Outstanding Shares)” to 577% that illustrates an enhancement in its trust level among investors. For instance, the company has increased its net income by £154m due to improvement in its service quality in 2025 (London Stock Exchange, 2025). Thus, the improvement in the revenue has provided opportunities for Whitbread Plc in providing strong returns to the investments of its shareholders.</w:t>
      </w:r>
    </w:p>
    <w:p w14:paraId="24BE78E8" w14:textId="77777777" w:rsidR="0081565C" w:rsidRDefault="00C45D4B">
      <w:pPr>
        <w:rPr>
          <w:b/>
          <w:bCs/>
        </w:rPr>
      </w:pPr>
      <w:r>
        <w:rPr>
          <w:b/>
          <w:bCs/>
        </w:rPr>
        <w:t>Strength</w:t>
      </w:r>
    </w:p>
    <w:p w14:paraId="24BE78E9" w14:textId="77777777" w:rsidR="0081565C" w:rsidRDefault="00C45D4B">
      <w:r>
        <w:t>The availability of a higher EPS value has also improved the market growth of Whitbread Plc.</w:t>
      </w:r>
    </w:p>
    <w:p w14:paraId="24BE78EA" w14:textId="77777777" w:rsidR="0081565C" w:rsidRDefault="00C45D4B">
      <w:pPr>
        <w:rPr>
          <w:b/>
          <w:bCs/>
        </w:rPr>
      </w:pPr>
      <w:r>
        <w:rPr>
          <w:b/>
          <w:bCs/>
        </w:rPr>
        <w:t>Threat</w:t>
      </w:r>
    </w:p>
    <w:p w14:paraId="24BE78EB" w14:textId="77777777" w:rsidR="0081565C" w:rsidRDefault="00C45D4B">
      <w:r>
        <w:lastRenderedPageBreak/>
        <w:t>The rapid valuation of the shareholder wealth of Whitbread Plc has caused overvaluation of its investments that has hampered the growth of the shares.</w:t>
      </w:r>
    </w:p>
    <w:p w14:paraId="24BE78EC" w14:textId="77777777" w:rsidR="0081565C" w:rsidRDefault="00C45D4B">
      <w:pPr>
        <w:pStyle w:val="Heading2"/>
      </w:pPr>
      <w:bookmarkStart w:id="13" w:name="_Toc236412187"/>
      <w:r>
        <w:t>1.7 Cash Flow Ratios</w:t>
      </w:r>
      <w:bookmarkEnd w:id="13"/>
      <w:r>
        <w:t xml:space="preserve"> </w:t>
      </w:r>
    </w:p>
    <w:p w14:paraId="24BE78ED" w14:textId="77777777" w:rsidR="0081565C" w:rsidRDefault="00C45D4B">
      <w:r>
        <w:rPr>
          <w:noProof/>
        </w:rPr>
        <w:drawing>
          <wp:inline distT="114300" distB="114300" distL="114300" distR="114300" wp14:anchorId="24BE7C18" wp14:editId="24BE7C19">
            <wp:extent cx="5943600" cy="825500"/>
            <wp:effectExtent l="0" t="0" r="0" b="0"/>
            <wp:docPr id="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2"/>
                    <a:srcRect/>
                    <a:stretch>
                      <a:fillRect/>
                    </a:stretch>
                  </pic:blipFill>
                  <pic:spPr>
                    <a:xfrm>
                      <a:off x="0" y="0"/>
                      <a:ext cx="5943600" cy="825500"/>
                    </a:xfrm>
                    <a:prstGeom prst="rect">
                      <a:avLst/>
                    </a:prstGeom>
                    <a:ln/>
                  </pic:spPr>
                </pic:pic>
              </a:graphicData>
            </a:graphic>
          </wp:inline>
        </w:drawing>
      </w:r>
    </w:p>
    <w:p w14:paraId="24BE78EE" w14:textId="77777777" w:rsidR="0081565C" w:rsidRDefault="00C45D4B">
      <w:pPr>
        <w:jc w:val="center"/>
      </w:pPr>
      <w:r>
        <w:rPr>
          <w:noProof/>
        </w:rPr>
        <w:drawing>
          <wp:inline distT="114300" distB="114300" distL="114300" distR="114300" wp14:anchorId="24BE7C1A" wp14:editId="24BE7C1B">
            <wp:extent cx="4700588" cy="2824872"/>
            <wp:effectExtent l="0" t="0" r="0" b="0"/>
            <wp:docPr id="27"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23"/>
                    <a:srcRect/>
                    <a:stretch>
                      <a:fillRect/>
                    </a:stretch>
                  </pic:blipFill>
                  <pic:spPr>
                    <a:xfrm>
                      <a:off x="0" y="0"/>
                      <a:ext cx="4700588" cy="2824872"/>
                    </a:xfrm>
                    <a:prstGeom prst="rect">
                      <a:avLst/>
                    </a:prstGeom>
                    <a:ln/>
                  </pic:spPr>
                </pic:pic>
              </a:graphicData>
            </a:graphic>
          </wp:inline>
        </w:drawing>
      </w:r>
    </w:p>
    <w:p w14:paraId="24BE78EF" w14:textId="77777777" w:rsidR="0081565C" w:rsidRDefault="00C45D4B">
      <w:pPr>
        <w:jc w:val="center"/>
        <w:rPr>
          <w:b/>
          <w:bCs/>
        </w:rPr>
      </w:pPr>
      <w:r>
        <w:rPr>
          <w:b/>
          <w:bCs/>
        </w:rPr>
        <w:t>Figure 8: Cash Flow ratios</w:t>
      </w:r>
    </w:p>
    <w:p w14:paraId="24BE78F0" w14:textId="77777777" w:rsidR="0081565C" w:rsidRDefault="00C45D4B">
      <w:pPr>
        <w:jc w:val="center"/>
      </w:pPr>
      <w:r>
        <w:t>(Source: Whitbread Plc, 2021; Whitbread Plc, 2023; Whitbread PLC, 2025)</w:t>
      </w:r>
    </w:p>
    <w:p w14:paraId="24BE78F1" w14:textId="77777777" w:rsidR="0081565C" w:rsidRDefault="00C45D4B">
      <w:pPr>
        <w:rPr>
          <w:b/>
          <w:bCs/>
        </w:rPr>
      </w:pPr>
      <w:r>
        <w:rPr>
          <w:b/>
          <w:bCs/>
        </w:rPr>
        <w:t>Market trend</w:t>
      </w:r>
    </w:p>
    <w:p w14:paraId="24BE78F2" w14:textId="77777777" w:rsidR="0081565C" w:rsidRDefault="00C45D4B">
      <w:r>
        <w:t xml:space="preserve">The operating position of cash flow “(Cash Flow from Operations ÷ Current Liabilities)” also rose 216.0% as compared to -0.50 in 2021 with its peak value of more than industry benchmark 1 associated 2024. Thus, falling cash flow position 13.2% about £761.7 million is a key reason for instability in managing the positional value of Whitbread Plc (Whitbread PLC, 2025). </w:t>
      </w:r>
    </w:p>
    <w:p w14:paraId="24BE78F3" w14:textId="77777777" w:rsidR="0081565C" w:rsidRDefault="00C45D4B">
      <w:r>
        <w:t xml:space="preserve">“Cash Return on Assets” is generally 300% improvement within a time period of five years calculated through “(Cash Flow from Operations ÷ Total Assets)”. Hence, increased total asset value £9,904.7 million make strong support for manage return position with diversifying operational cash needed for business progression. </w:t>
      </w:r>
    </w:p>
    <w:p w14:paraId="24BE78F4" w14:textId="77777777" w:rsidR="0081565C" w:rsidRDefault="00C45D4B">
      <w:pPr>
        <w:rPr>
          <w:b/>
          <w:bCs/>
        </w:rPr>
      </w:pPr>
      <w:r>
        <w:rPr>
          <w:b/>
          <w:bCs/>
        </w:rPr>
        <w:t>Strength</w:t>
      </w:r>
    </w:p>
    <w:p w14:paraId="24BE78F5" w14:textId="77777777" w:rsidR="0081565C" w:rsidRDefault="00C45D4B">
      <w:r>
        <w:lastRenderedPageBreak/>
        <w:t xml:space="preserve">Strong operating cash generation and efficient asset </w:t>
      </w:r>
      <w:proofErr w:type="spellStart"/>
      <w:r>
        <w:t>utilisation</w:t>
      </w:r>
      <w:proofErr w:type="spellEnd"/>
      <w:r>
        <w:t xml:space="preserve"> enhance liquidity, position for maintaining long-term financial stability.</w:t>
      </w:r>
    </w:p>
    <w:p w14:paraId="24BE78F6" w14:textId="77777777" w:rsidR="0081565C" w:rsidRDefault="00C45D4B">
      <w:pPr>
        <w:rPr>
          <w:b/>
          <w:bCs/>
        </w:rPr>
      </w:pPr>
      <w:r>
        <w:rPr>
          <w:b/>
          <w:bCs/>
        </w:rPr>
        <w:t>Threats</w:t>
      </w:r>
    </w:p>
    <w:p w14:paraId="24BE78F7" w14:textId="77777777" w:rsidR="0081565C" w:rsidRDefault="00C45D4B">
      <w:r>
        <w:t>Declining operating cash flow and rising current liabilities may weaken liquidity and short-term debt repayment capacity.</w:t>
      </w:r>
    </w:p>
    <w:p w14:paraId="24BE78F8" w14:textId="77777777" w:rsidR="0081565C" w:rsidRDefault="00C45D4B">
      <w:pPr>
        <w:pStyle w:val="Heading2"/>
      </w:pPr>
      <w:bookmarkStart w:id="14" w:name="_Toc236412188"/>
      <w:r>
        <w:t>1.8 Liquidity ratio comparison</w:t>
      </w:r>
      <w:bookmarkEnd w:id="14"/>
      <w:r>
        <w:t xml:space="preserve"> </w:t>
      </w:r>
    </w:p>
    <w:p w14:paraId="24BE78F9" w14:textId="77777777" w:rsidR="0081565C" w:rsidRDefault="00C45D4B">
      <w:pPr>
        <w:pStyle w:val="Heading3"/>
      </w:pPr>
      <w:bookmarkStart w:id="15" w:name="_Toc236412189"/>
      <w:r>
        <w:t>1.8.1 Evaluation with Liquidity ratio with industry benchmark</w:t>
      </w:r>
      <w:bookmarkEnd w:id="15"/>
      <w:r>
        <w:t xml:space="preserve"> </w:t>
      </w:r>
    </w:p>
    <w:p w14:paraId="24BE78FA" w14:textId="77777777" w:rsidR="0081565C" w:rsidRDefault="00C45D4B">
      <w:r>
        <w:t xml:space="preserve">The liquidity performance of Whitbread Plc is a concern as it has not surpassed the industrial average of 2 adopted in the hospitality sector. In addition, the results have also hampered the business investment growth of the </w:t>
      </w:r>
      <w:proofErr w:type="spellStart"/>
      <w:r>
        <w:t>organisation</w:t>
      </w:r>
      <w:proofErr w:type="spellEnd"/>
      <w:r>
        <w:t xml:space="preserve">. Whitbread Plc has lowered its cash value to £5.4m due to enhancement in its prepaid taxes in 2025 (London Stock Exchange, 2025). The decline in the monetary resources has also caused delays in the provision of proper service to the guests. Overall, the weakening of the customer relationship due to poor quality services has lowered the brand growth of the </w:t>
      </w:r>
      <w:proofErr w:type="spellStart"/>
      <w:r>
        <w:t>organisation</w:t>
      </w:r>
      <w:proofErr w:type="spellEnd"/>
      <w:r>
        <w:t>.</w:t>
      </w:r>
    </w:p>
    <w:p w14:paraId="24BE78FB" w14:textId="77777777" w:rsidR="0081565C" w:rsidRDefault="00C45D4B">
      <w:pPr>
        <w:pStyle w:val="Heading3"/>
      </w:pPr>
      <w:bookmarkStart w:id="16" w:name="_Toc236412190"/>
      <w:r>
        <w:t>1.8.2 Impact of firm performance based on liquidity ratio</w:t>
      </w:r>
      <w:bookmarkEnd w:id="16"/>
      <w:r>
        <w:t xml:space="preserve"> </w:t>
      </w:r>
    </w:p>
    <w:p w14:paraId="24BE78FC" w14:textId="77777777" w:rsidR="0081565C" w:rsidRDefault="00C45D4B">
      <w:r>
        <w:t xml:space="preserve">Whitbread PLC's current ratio decreases 53.45% due to reduction in cash reserves affecting the “Accelerating Growth Plan”. The company drained its cash reserves by investing in the growth of the business and its shift in Germany and the UK. In addition, the current ratio of UK hotels increased from 1.2 to 2.0, which indicates a lower rate due to rapid inventory turnover and “short-term debt” maintenance (Hospitality industry, 2024). Thus, increases in the current ratio in the hospitality industry are more reliable for adapting operational decisions and managing clients with payment discounts for accommodation to enhance business performance. </w:t>
      </w:r>
    </w:p>
    <w:p w14:paraId="24BE78FD" w14:textId="77777777" w:rsidR="0081565C" w:rsidRDefault="00C45D4B">
      <w:pPr>
        <w:pStyle w:val="Heading1"/>
      </w:pPr>
      <w:bookmarkStart w:id="17" w:name="_qc0c7onvoya5" w:colFirst="0" w:colLast="0"/>
      <w:bookmarkEnd w:id="17"/>
      <w:r>
        <w:br w:type="page"/>
      </w:r>
    </w:p>
    <w:p w14:paraId="24BE78FE" w14:textId="77777777" w:rsidR="0081565C" w:rsidRDefault="00C45D4B">
      <w:pPr>
        <w:pStyle w:val="Heading1"/>
      </w:pPr>
      <w:bookmarkStart w:id="18" w:name="_Toc236412191"/>
      <w:r>
        <w:lastRenderedPageBreak/>
        <w:t>2. Working Capital Management Analysis</w:t>
      </w:r>
      <w:bookmarkEnd w:id="18"/>
      <w:r>
        <w:t xml:space="preserve"> </w:t>
      </w:r>
    </w:p>
    <w:p w14:paraId="24BE78FF" w14:textId="77777777" w:rsidR="0081565C" w:rsidRDefault="00C45D4B">
      <w:pPr>
        <w:pStyle w:val="Heading2"/>
      </w:pPr>
      <w:bookmarkStart w:id="19" w:name="_Toc236412192"/>
      <w:r>
        <w:t>2.1 Discussion of Cash Operating Cycle Performance</w:t>
      </w:r>
      <w:bookmarkEnd w:id="19"/>
      <w:r>
        <w:t xml:space="preserve"> </w:t>
      </w:r>
    </w:p>
    <w:p w14:paraId="24BE7900" w14:textId="77777777" w:rsidR="0081565C" w:rsidRDefault="00C45D4B">
      <w:pPr>
        <w:numPr>
          <w:ilvl w:val="0"/>
          <w:numId w:val="4"/>
        </w:numPr>
        <w:rPr>
          <w:b/>
          <w:bCs/>
        </w:rPr>
      </w:pPr>
      <w:r>
        <w:rPr>
          <w:b/>
          <w:bCs/>
        </w:rPr>
        <w:t>Receivable Collection Period</w:t>
      </w:r>
    </w:p>
    <w:p w14:paraId="24BE7901" w14:textId="77777777" w:rsidR="0081565C" w:rsidRDefault="00C45D4B">
      <w:pPr>
        <w:jc w:val="center"/>
        <w:rPr>
          <w:b/>
          <w:bCs/>
        </w:rPr>
      </w:pPr>
      <w:r>
        <w:rPr>
          <w:b/>
          <w:bCs/>
          <w:noProof/>
        </w:rPr>
        <w:drawing>
          <wp:inline distT="114300" distB="114300" distL="114300" distR="114300" wp14:anchorId="24BE7C1C" wp14:editId="24BE7C1D">
            <wp:extent cx="5772150" cy="1409700"/>
            <wp:effectExtent l="0" t="0" r="0" b="0"/>
            <wp:docPr id="2"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4"/>
                    <a:srcRect/>
                    <a:stretch>
                      <a:fillRect/>
                    </a:stretch>
                  </pic:blipFill>
                  <pic:spPr>
                    <a:xfrm>
                      <a:off x="0" y="0"/>
                      <a:ext cx="5772150" cy="1409700"/>
                    </a:xfrm>
                    <a:prstGeom prst="rect">
                      <a:avLst/>
                    </a:prstGeom>
                    <a:ln/>
                  </pic:spPr>
                </pic:pic>
              </a:graphicData>
            </a:graphic>
          </wp:inline>
        </w:drawing>
      </w:r>
    </w:p>
    <w:p w14:paraId="24BE7902" w14:textId="77777777" w:rsidR="0081565C" w:rsidRDefault="00C45D4B">
      <w:pPr>
        <w:jc w:val="center"/>
        <w:rPr>
          <w:b/>
          <w:bCs/>
        </w:rPr>
      </w:pPr>
      <w:r>
        <w:rPr>
          <w:b/>
          <w:bCs/>
          <w:noProof/>
        </w:rPr>
        <w:drawing>
          <wp:inline distT="114300" distB="114300" distL="114300" distR="114300" wp14:anchorId="24BE7C1E" wp14:editId="24BE7C1F">
            <wp:extent cx="4652963" cy="2796252"/>
            <wp:effectExtent l="0" t="0" r="0" b="0"/>
            <wp:docPr id="45" name="image45.png"/>
            <wp:cNvGraphicFramePr/>
            <a:graphic xmlns:a="http://schemas.openxmlformats.org/drawingml/2006/main">
              <a:graphicData uri="http://schemas.openxmlformats.org/drawingml/2006/picture">
                <pic:pic xmlns:pic="http://schemas.openxmlformats.org/drawingml/2006/picture">
                  <pic:nvPicPr>
                    <pic:cNvPr id="0" name="image45.png"/>
                    <pic:cNvPicPr preferRelativeResize="0"/>
                  </pic:nvPicPr>
                  <pic:blipFill>
                    <a:blip r:embed="rId25"/>
                    <a:srcRect/>
                    <a:stretch>
                      <a:fillRect/>
                    </a:stretch>
                  </pic:blipFill>
                  <pic:spPr>
                    <a:xfrm>
                      <a:off x="0" y="0"/>
                      <a:ext cx="4652963" cy="2796252"/>
                    </a:xfrm>
                    <a:prstGeom prst="rect">
                      <a:avLst/>
                    </a:prstGeom>
                    <a:ln/>
                  </pic:spPr>
                </pic:pic>
              </a:graphicData>
            </a:graphic>
          </wp:inline>
        </w:drawing>
      </w:r>
    </w:p>
    <w:p w14:paraId="24BE7903" w14:textId="77777777" w:rsidR="0081565C" w:rsidRDefault="00C45D4B">
      <w:pPr>
        <w:jc w:val="center"/>
        <w:rPr>
          <w:b/>
          <w:bCs/>
        </w:rPr>
      </w:pPr>
      <w:r>
        <w:rPr>
          <w:b/>
          <w:bCs/>
        </w:rPr>
        <w:t xml:space="preserve">Figure 9: Receivable Collection Period </w:t>
      </w:r>
    </w:p>
    <w:p w14:paraId="24BE7905" w14:textId="4501ED3A" w:rsidR="0081565C" w:rsidRPr="002F4C30" w:rsidRDefault="00C45D4B" w:rsidP="002F4C30">
      <w:pPr>
        <w:jc w:val="center"/>
      </w:pPr>
      <w:r>
        <w:t>(Source: Whitbread Plc, 2021; Whitbread Plc, 2023; Whitbread PLC, 2025)</w:t>
      </w:r>
    </w:p>
    <w:p w14:paraId="24BE7906" w14:textId="77777777" w:rsidR="0081565C" w:rsidRDefault="00C45D4B" w:rsidP="002F4C30">
      <w:r>
        <w:t xml:space="preserve">Whitbread Plc has lowered the growth of its average “net receivable value” to £123.2m due to enhancement in consumer </w:t>
      </w:r>
      <w:proofErr w:type="spellStart"/>
      <w:r>
        <w:t>overdues</w:t>
      </w:r>
      <w:proofErr w:type="spellEnd"/>
      <w:r>
        <w:t xml:space="preserve"> in 2025. The decline in recovery efficiency has also hampered the fund enhancement initiatives of the </w:t>
      </w:r>
      <w:proofErr w:type="spellStart"/>
      <w:r>
        <w:t>organisation</w:t>
      </w:r>
      <w:proofErr w:type="spellEnd"/>
      <w:r>
        <w:t>. In addition, Whitbread Plc has also increased its customer dues to £300m in 2025 (Whitbread, 2026). Hence, the absence of effective recovery policies has lowered the growth of the company.</w:t>
      </w:r>
    </w:p>
    <w:p w14:paraId="24BE7907" w14:textId="77777777" w:rsidR="0081565C" w:rsidRDefault="00C45D4B">
      <w:pPr>
        <w:numPr>
          <w:ilvl w:val="0"/>
          <w:numId w:val="8"/>
        </w:numPr>
        <w:rPr>
          <w:b/>
          <w:bCs/>
        </w:rPr>
      </w:pPr>
      <w:r>
        <w:rPr>
          <w:b/>
          <w:bCs/>
        </w:rPr>
        <w:t>Payable Payment Period</w:t>
      </w:r>
    </w:p>
    <w:p w14:paraId="24BE7908" w14:textId="77777777" w:rsidR="0081565C" w:rsidRDefault="00C45D4B">
      <w:pPr>
        <w:jc w:val="center"/>
        <w:rPr>
          <w:b/>
          <w:bCs/>
        </w:rPr>
      </w:pPr>
      <w:r>
        <w:rPr>
          <w:b/>
          <w:bCs/>
          <w:noProof/>
        </w:rPr>
        <w:lastRenderedPageBreak/>
        <w:drawing>
          <wp:inline distT="114300" distB="114300" distL="114300" distR="114300" wp14:anchorId="24BE7C20" wp14:editId="24BE7C21">
            <wp:extent cx="5791200" cy="1457325"/>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6"/>
                    <a:srcRect/>
                    <a:stretch>
                      <a:fillRect/>
                    </a:stretch>
                  </pic:blipFill>
                  <pic:spPr>
                    <a:xfrm>
                      <a:off x="0" y="0"/>
                      <a:ext cx="5791200" cy="1457325"/>
                    </a:xfrm>
                    <a:prstGeom prst="rect">
                      <a:avLst/>
                    </a:prstGeom>
                    <a:ln/>
                  </pic:spPr>
                </pic:pic>
              </a:graphicData>
            </a:graphic>
          </wp:inline>
        </w:drawing>
      </w:r>
    </w:p>
    <w:p w14:paraId="24BE7909" w14:textId="77777777" w:rsidR="0081565C" w:rsidRDefault="00C45D4B">
      <w:pPr>
        <w:jc w:val="center"/>
        <w:rPr>
          <w:b/>
          <w:bCs/>
        </w:rPr>
      </w:pPr>
      <w:r>
        <w:rPr>
          <w:b/>
          <w:bCs/>
          <w:noProof/>
        </w:rPr>
        <w:drawing>
          <wp:inline distT="114300" distB="114300" distL="114300" distR="114300" wp14:anchorId="24BE7C22" wp14:editId="24BE7C23">
            <wp:extent cx="4605338" cy="2767631"/>
            <wp:effectExtent l="0" t="0" r="0" b="0"/>
            <wp:docPr id="21" name="image47.png"/>
            <wp:cNvGraphicFramePr/>
            <a:graphic xmlns:a="http://schemas.openxmlformats.org/drawingml/2006/main">
              <a:graphicData uri="http://schemas.openxmlformats.org/drawingml/2006/picture">
                <pic:pic xmlns:pic="http://schemas.openxmlformats.org/drawingml/2006/picture">
                  <pic:nvPicPr>
                    <pic:cNvPr id="0" name="image47.png"/>
                    <pic:cNvPicPr preferRelativeResize="0"/>
                  </pic:nvPicPr>
                  <pic:blipFill>
                    <a:blip r:embed="rId27"/>
                    <a:srcRect/>
                    <a:stretch>
                      <a:fillRect/>
                    </a:stretch>
                  </pic:blipFill>
                  <pic:spPr>
                    <a:xfrm>
                      <a:off x="0" y="0"/>
                      <a:ext cx="4605338" cy="2767631"/>
                    </a:xfrm>
                    <a:prstGeom prst="rect">
                      <a:avLst/>
                    </a:prstGeom>
                    <a:ln/>
                  </pic:spPr>
                </pic:pic>
              </a:graphicData>
            </a:graphic>
          </wp:inline>
        </w:drawing>
      </w:r>
    </w:p>
    <w:p w14:paraId="24BE790A" w14:textId="77777777" w:rsidR="0081565C" w:rsidRDefault="00C45D4B">
      <w:pPr>
        <w:jc w:val="center"/>
        <w:rPr>
          <w:b/>
          <w:bCs/>
        </w:rPr>
      </w:pPr>
      <w:r>
        <w:rPr>
          <w:b/>
          <w:bCs/>
        </w:rPr>
        <w:t>Figure 10: Payment Deferral Period</w:t>
      </w:r>
    </w:p>
    <w:p w14:paraId="24BE790B" w14:textId="77777777" w:rsidR="0081565C" w:rsidRDefault="00C45D4B">
      <w:pPr>
        <w:jc w:val="center"/>
      </w:pPr>
      <w:r>
        <w:t>(Source: Whitbread Plc, 2021; Whitbread Plc, 2023; Whitbread PLC, 2025)</w:t>
      </w:r>
    </w:p>
    <w:p w14:paraId="24BE790C" w14:textId="77777777" w:rsidR="0081565C" w:rsidRDefault="00C45D4B">
      <w:r>
        <w:t xml:space="preserve">The enhancement of the “Payable Payment Period” to “100 days” has lowered the operational efficiency of Whitbread Plc and hampered its supply of raw materials. As an instance, the creditor value of the </w:t>
      </w:r>
      <w:proofErr w:type="spellStart"/>
      <w:r>
        <w:t>organisation</w:t>
      </w:r>
      <w:proofErr w:type="spellEnd"/>
      <w:r>
        <w:t xml:space="preserve"> has increased to £292m due to low earnings of its operating income (</w:t>
      </w:r>
      <w:proofErr w:type="spellStart"/>
      <w:r>
        <w:t>PayPoint</w:t>
      </w:r>
      <w:proofErr w:type="spellEnd"/>
      <w:r>
        <w:t xml:space="preserve">, 2025). Hence, the enhancement in the internal debts has caused financial instability to the </w:t>
      </w:r>
      <w:proofErr w:type="spellStart"/>
      <w:r>
        <w:t>organisation</w:t>
      </w:r>
      <w:proofErr w:type="spellEnd"/>
      <w:r>
        <w:t xml:space="preserve">. </w:t>
      </w:r>
    </w:p>
    <w:p w14:paraId="24BE790D" w14:textId="77777777" w:rsidR="0081565C" w:rsidRDefault="00C45D4B">
      <w:pPr>
        <w:numPr>
          <w:ilvl w:val="0"/>
          <w:numId w:val="9"/>
        </w:numPr>
        <w:rPr>
          <w:b/>
          <w:bCs/>
        </w:rPr>
      </w:pPr>
      <w:r>
        <w:rPr>
          <w:b/>
          <w:bCs/>
        </w:rPr>
        <w:t>Inventory Management Period</w:t>
      </w:r>
    </w:p>
    <w:p w14:paraId="24BE790E" w14:textId="77777777" w:rsidR="0081565C" w:rsidRDefault="00C45D4B">
      <w:pPr>
        <w:jc w:val="center"/>
        <w:rPr>
          <w:b/>
          <w:bCs/>
        </w:rPr>
      </w:pPr>
      <w:r>
        <w:rPr>
          <w:b/>
          <w:bCs/>
          <w:noProof/>
        </w:rPr>
        <w:drawing>
          <wp:inline distT="114300" distB="114300" distL="114300" distR="114300" wp14:anchorId="24BE7C24" wp14:editId="24BE7C25">
            <wp:extent cx="5772150" cy="1419225"/>
            <wp:effectExtent l="0" t="0" r="0" b="0"/>
            <wp:docPr id="15"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8"/>
                    <a:srcRect/>
                    <a:stretch>
                      <a:fillRect/>
                    </a:stretch>
                  </pic:blipFill>
                  <pic:spPr>
                    <a:xfrm>
                      <a:off x="0" y="0"/>
                      <a:ext cx="5772150" cy="1419225"/>
                    </a:xfrm>
                    <a:prstGeom prst="rect">
                      <a:avLst/>
                    </a:prstGeom>
                    <a:ln/>
                  </pic:spPr>
                </pic:pic>
              </a:graphicData>
            </a:graphic>
          </wp:inline>
        </w:drawing>
      </w:r>
    </w:p>
    <w:p w14:paraId="24BE790F" w14:textId="77777777" w:rsidR="0081565C" w:rsidRDefault="00C45D4B">
      <w:pPr>
        <w:jc w:val="center"/>
        <w:rPr>
          <w:b/>
          <w:bCs/>
        </w:rPr>
      </w:pPr>
      <w:r>
        <w:rPr>
          <w:b/>
          <w:bCs/>
          <w:noProof/>
        </w:rPr>
        <w:lastRenderedPageBreak/>
        <w:drawing>
          <wp:inline distT="114300" distB="114300" distL="114300" distR="114300" wp14:anchorId="24BE7C26" wp14:editId="24BE7C27">
            <wp:extent cx="4624388" cy="2616040"/>
            <wp:effectExtent l="0" t="0" r="0" b="0"/>
            <wp:docPr id="47" name="image42.png"/>
            <wp:cNvGraphicFramePr/>
            <a:graphic xmlns:a="http://schemas.openxmlformats.org/drawingml/2006/main">
              <a:graphicData uri="http://schemas.openxmlformats.org/drawingml/2006/picture">
                <pic:pic xmlns:pic="http://schemas.openxmlformats.org/drawingml/2006/picture">
                  <pic:nvPicPr>
                    <pic:cNvPr id="0" name="image42.png"/>
                    <pic:cNvPicPr preferRelativeResize="0"/>
                  </pic:nvPicPr>
                  <pic:blipFill>
                    <a:blip r:embed="rId29"/>
                    <a:srcRect/>
                    <a:stretch>
                      <a:fillRect/>
                    </a:stretch>
                  </pic:blipFill>
                  <pic:spPr>
                    <a:xfrm>
                      <a:off x="0" y="0"/>
                      <a:ext cx="4624388" cy="2616040"/>
                    </a:xfrm>
                    <a:prstGeom prst="rect">
                      <a:avLst/>
                    </a:prstGeom>
                    <a:ln/>
                  </pic:spPr>
                </pic:pic>
              </a:graphicData>
            </a:graphic>
          </wp:inline>
        </w:drawing>
      </w:r>
    </w:p>
    <w:p w14:paraId="24BE7910" w14:textId="77777777" w:rsidR="0081565C" w:rsidRDefault="00C45D4B">
      <w:pPr>
        <w:jc w:val="center"/>
        <w:rPr>
          <w:b/>
          <w:bCs/>
        </w:rPr>
      </w:pPr>
      <w:r>
        <w:rPr>
          <w:b/>
          <w:bCs/>
        </w:rPr>
        <w:t>Figure 11: Inventory Holding Period</w:t>
      </w:r>
    </w:p>
    <w:p w14:paraId="24BE7911" w14:textId="77777777" w:rsidR="0081565C" w:rsidRDefault="00C45D4B">
      <w:pPr>
        <w:jc w:val="center"/>
        <w:rPr>
          <w:b/>
          <w:bCs/>
        </w:rPr>
      </w:pPr>
      <w:r>
        <w:t>(Source: Whitbread Plc, 2021; Whitbread Plc, 2023; Whitbread PLC, 2025)</w:t>
      </w:r>
    </w:p>
    <w:p w14:paraId="24BE7912" w14:textId="77777777" w:rsidR="0081565C" w:rsidRDefault="00C45D4B">
      <w:pPr>
        <w:rPr>
          <w:b/>
          <w:bCs/>
        </w:rPr>
      </w:pPr>
      <w:r>
        <w:t xml:space="preserve">The “Inventory Management Period” at Whitbread PLC is roughly 3 days due to reliable asset maintenance and checking of stocks of “Revenue Per Available Room”. The decrease in inventory days is due to the shifting of restaurant options and adoption of a unique ownership model for accessing competitive edge among its rivals (Whitbread PLC, 2025). Thus, streamline stock management by efficient control of stock and reduction of waste. </w:t>
      </w:r>
    </w:p>
    <w:p w14:paraId="24BE7913" w14:textId="77777777" w:rsidR="0081565C" w:rsidRDefault="00C45D4B">
      <w:pPr>
        <w:numPr>
          <w:ilvl w:val="0"/>
          <w:numId w:val="7"/>
        </w:numPr>
        <w:rPr>
          <w:b/>
          <w:bCs/>
        </w:rPr>
      </w:pPr>
      <w:r>
        <w:rPr>
          <w:b/>
          <w:bCs/>
        </w:rPr>
        <w:t>Cash Conversion Period</w:t>
      </w:r>
    </w:p>
    <w:p w14:paraId="24BE7914" w14:textId="77777777" w:rsidR="0081565C" w:rsidRDefault="00C45D4B">
      <w:pPr>
        <w:rPr>
          <w:b/>
          <w:bCs/>
        </w:rPr>
      </w:pPr>
      <w:r>
        <w:rPr>
          <w:b/>
          <w:bCs/>
          <w:noProof/>
        </w:rPr>
        <w:drawing>
          <wp:inline distT="114300" distB="114300" distL="114300" distR="114300" wp14:anchorId="24BE7C28" wp14:editId="24BE7C29">
            <wp:extent cx="5772150" cy="1638300"/>
            <wp:effectExtent l="0" t="0" r="0" b="0"/>
            <wp:docPr id="20"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30"/>
                    <a:srcRect/>
                    <a:stretch>
                      <a:fillRect/>
                    </a:stretch>
                  </pic:blipFill>
                  <pic:spPr>
                    <a:xfrm>
                      <a:off x="0" y="0"/>
                      <a:ext cx="5772150" cy="1638300"/>
                    </a:xfrm>
                    <a:prstGeom prst="rect">
                      <a:avLst/>
                    </a:prstGeom>
                    <a:ln/>
                  </pic:spPr>
                </pic:pic>
              </a:graphicData>
            </a:graphic>
          </wp:inline>
        </w:drawing>
      </w:r>
    </w:p>
    <w:p w14:paraId="24BE7915" w14:textId="77777777" w:rsidR="0081565C" w:rsidRDefault="00C45D4B">
      <w:pPr>
        <w:jc w:val="center"/>
        <w:rPr>
          <w:b/>
          <w:bCs/>
        </w:rPr>
      </w:pPr>
      <w:r>
        <w:rPr>
          <w:b/>
          <w:bCs/>
        </w:rPr>
        <w:t xml:space="preserve"> Figure 12: Cash Operating Cycle Evaluation</w:t>
      </w:r>
    </w:p>
    <w:p w14:paraId="24BE7916" w14:textId="77777777" w:rsidR="0081565C" w:rsidRDefault="00C45D4B">
      <w:pPr>
        <w:jc w:val="center"/>
        <w:rPr>
          <w:b/>
          <w:bCs/>
        </w:rPr>
      </w:pPr>
      <w:r>
        <w:t>(Source: Whitbread Plc, 2021; Whitbread Plc, 2023; Whitbread PLC, 2025)</w:t>
      </w:r>
    </w:p>
    <w:p w14:paraId="24BE7917" w14:textId="77777777" w:rsidR="0081565C" w:rsidRDefault="00C45D4B">
      <w:r>
        <w:t xml:space="preserve">In 2021, “Cash Operating Cycle” (COC) is about 30 days, which decreases 373.33% in 2025 due to faster selling of products from inventory in response to consumer demand. The company manages its capital strategy with guaranteed notes by issuing £400 million </w:t>
      </w:r>
      <w:r>
        <w:lastRenderedPageBreak/>
        <w:t xml:space="preserve">in 2025 by adoption of recycling (Whitbread PLC, 2025). Thus, a decrease in COC is beneficial for managing better efficiency in business to less requirement of loans. </w:t>
      </w:r>
    </w:p>
    <w:p w14:paraId="24BE7918" w14:textId="77777777" w:rsidR="0081565C" w:rsidRDefault="00C45D4B">
      <w:pPr>
        <w:pStyle w:val="Heading2"/>
      </w:pPr>
      <w:bookmarkStart w:id="20" w:name="_Toc236412193"/>
      <w:r>
        <w:t>2.2 Working Capital Challenges</w:t>
      </w:r>
      <w:bookmarkEnd w:id="20"/>
      <w:r>
        <w:t xml:space="preserve"> </w:t>
      </w:r>
    </w:p>
    <w:p w14:paraId="24BE7919" w14:textId="77777777" w:rsidR="0081565C" w:rsidRDefault="00C45D4B">
      <w:pPr>
        <w:rPr>
          <w:b/>
          <w:bCs/>
        </w:rPr>
      </w:pPr>
      <w:r>
        <w:rPr>
          <w:b/>
          <w:bCs/>
        </w:rPr>
        <w:t>Low Credit Value</w:t>
      </w:r>
    </w:p>
    <w:p w14:paraId="24BE791A" w14:textId="77777777" w:rsidR="0081565C" w:rsidRDefault="00C45D4B">
      <w:r>
        <w:t xml:space="preserve">Whitbread Plc has a low credit value that has lowered the brand reputation of the company. The </w:t>
      </w:r>
      <w:proofErr w:type="spellStart"/>
      <w:r>
        <w:t>organisation</w:t>
      </w:r>
      <w:proofErr w:type="spellEnd"/>
      <w:r>
        <w:t xml:space="preserve"> has also achieved an inferior rating of “BBB-‌” due to the decline of its EBIT income to £110m in 2025 (Fitch Ratings, 2026). In addition, the </w:t>
      </w:r>
      <w:proofErr w:type="spellStart"/>
      <w:r>
        <w:t>organisation</w:t>
      </w:r>
      <w:proofErr w:type="spellEnd"/>
      <w:r>
        <w:t xml:space="preserve"> has also observed a decline in its revenue growth by 5% due to inflationary pressure. Hence, the decline in the profit value and low brand image has increased the financial concern level of the </w:t>
      </w:r>
      <w:proofErr w:type="spellStart"/>
      <w:r>
        <w:t>organisation</w:t>
      </w:r>
      <w:proofErr w:type="spellEnd"/>
      <w:r>
        <w:t xml:space="preserve">. </w:t>
      </w:r>
    </w:p>
    <w:p w14:paraId="24BE791B" w14:textId="77777777" w:rsidR="0081565C" w:rsidRDefault="00C45D4B">
      <w:pPr>
        <w:pStyle w:val="Heading2"/>
      </w:pPr>
      <w:bookmarkStart w:id="21" w:name="_Toc236412194"/>
      <w:r>
        <w:t>2.3 Recommendation to improve liquidity of working capital</w:t>
      </w:r>
      <w:bookmarkEnd w:id="21"/>
      <w:r>
        <w:t xml:space="preserve"> </w:t>
      </w:r>
    </w:p>
    <w:p w14:paraId="24BE791C" w14:textId="77777777" w:rsidR="0081565C" w:rsidRDefault="00C45D4B">
      <w:pPr>
        <w:pStyle w:val="Heading3"/>
      </w:pPr>
      <w:bookmarkStart w:id="22" w:name="_Toc236412195"/>
      <w:r>
        <w:t xml:space="preserve">2.3.1 </w:t>
      </w:r>
      <w:proofErr w:type="spellStart"/>
      <w:r>
        <w:t>Optimising</w:t>
      </w:r>
      <w:proofErr w:type="spellEnd"/>
      <w:r>
        <w:t xml:space="preserve"> inventory</w:t>
      </w:r>
      <w:bookmarkEnd w:id="22"/>
      <w:r>
        <w:t xml:space="preserve"> </w:t>
      </w:r>
    </w:p>
    <w:p w14:paraId="24BE791D" w14:textId="77777777" w:rsidR="0081565C" w:rsidRDefault="00C45D4B">
      <w:r>
        <w:t xml:space="preserve">Whitbread PLC enhanced its inventory management across strategic restructuring and involvement of the suppliers for its warehouse expansion in Germany. The company </w:t>
      </w:r>
      <w:proofErr w:type="spellStart"/>
      <w:r>
        <w:t>optimises</w:t>
      </w:r>
      <w:proofErr w:type="spellEnd"/>
      <w:r>
        <w:t xml:space="preserve"> its growth by improving its reach to about 125,000 rooms by highlighting its reliable expansion in Ireland and the UK (Whitbread, 2023). The capacity expansion of rooms leads to a rise of 96,000, which will be achieved by 2030 to 2031, accessing consumer preferences in the UK. That strategic opportunity of Whitbread PLC achieved its ambition in Germany with a rise of 18,000 room capability by 2030 to 2031, leading to enhanced overall brand revenue. </w:t>
      </w:r>
    </w:p>
    <w:p w14:paraId="24BE791E" w14:textId="77777777" w:rsidR="0081565C" w:rsidRDefault="00C45D4B">
      <w:pPr>
        <w:pStyle w:val="Heading3"/>
      </w:pPr>
      <w:r>
        <w:t xml:space="preserve"> </w:t>
      </w:r>
      <w:bookmarkStart w:id="23" w:name="_Toc236412196"/>
      <w:r>
        <w:t>2.3.2 Streamlining improvement in accounts receivable</w:t>
      </w:r>
      <w:bookmarkEnd w:id="23"/>
      <w:r>
        <w:t xml:space="preserve"> </w:t>
      </w:r>
    </w:p>
    <w:p w14:paraId="24BE791F" w14:textId="77777777" w:rsidR="0081565C" w:rsidRDefault="00C45D4B">
      <w:r>
        <w:t xml:space="preserve">Whitbread PLC enhances improvement in accounts receivable with "short-term payments” by reducing overall credit facilities. The company collaborated with “C2FO” for the “Whitbread Early Payment Program,” enhancing overall cash flow of the business (C2FO, 2026). This mechanism serves suppliers with cash discounts by analyzing cash invoices, which enhances overall liquidity maintenance. Apart from that, Whitbread PLC manages its bad debts by “Pre-booked revenue,” by the ability to remove credit exposure, enhancing overall sales of the business. </w:t>
      </w:r>
    </w:p>
    <w:p w14:paraId="24BE7920" w14:textId="77777777" w:rsidR="0081565C" w:rsidRDefault="00C45D4B">
      <w:pPr>
        <w:pStyle w:val="Heading2"/>
      </w:pPr>
      <w:bookmarkStart w:id="24" w:name="_Toc236412197"/>
      <w:r>
        <w:t>2.4 Comparison of financing option</w:t>
      </w:r>
      <w:bookmarkEnd w:id="24"/>
      <w:r>
        <w:t xml:space="preserve"> </w:t>
      </w:r>
    </w:p>
    <w:p w14:paraId="24BE7921" w14:textId="77777777" w:rsidR="0081565C" w:rsidRDefault="00C45D4B">
      <w:pPr>
        <w:pStyle w:val="Heading3"/>
      </w:pPr>
      <w:bookmarkStart w:id="25" w:name="_Toc236412198"/>
      <w:r>
        <w:t>2.4.1 Short-Term Financing Options</w:t>
      </w:r>
      <w:bookmarkEnd w:id="25"/>
      <w:r>
        <w:t xml:space="preserve"> </w:t>
      </w:r>
    </w:p>
    <w:p w14:paraId="24BE7922" w14:textId="77777777" w:rsidR="0081565C" w:rsidRDefault="00C45D4B">
      <w:pPr>
        <w:rPr>
          <w:b/>
          <w:bCs/>
        </w:rPr>
      </w:pPr>
      <w:r>
        <w:rPr>
          <w:b/>
          <w:bCs/>
        </w:rPr>
        <w:t>Trade Credit</w:t>
      </w:r>
    </w:p>
    <w:p w14:paraId="24BE7923" w14:textId="77777777" w:rsidR="0081565C" w:rsidRDefault="00C45D4B">
      <w:r>
        <w:lastRenderedPageBreak/>
        <w:t xml:space="preserve">The “Trade Credit” method provides emergency fund sources to companies in meeting the requirements of its business operations. Whitbread Plc has acquired credit notes worth £400m for financing its expansion operations till 2032 (Whitbread, 2026). Hence, the availability of proper monetary facilities has assisted the company in overcoming market uncertainties and meeting client requirements effectively. </w:t>
      </w:r>
    </w:p>
    <w:p w14:paraId="24BE7924" w14:textId="77777777" w:rsidR="0081565C" w:rsidRDefault="00C45D4B">
      <w:pPr>
        <w:rPr>
          <w:b/>
          <w:bCs/>
        </w:rPr>
      </w:pPr>
      <w:r>
        <w:rPr>
          <w:b/>
          <w:bCs/>
        </w:rPr>
        <w:t>Short-Term Loans</w:t>
      </w:r>
    </w:p>
    <w:p w14:paraId="24BE7925" w14:textId="77777777" w:rsidR="0081565C" w:rsidRDefault="00C45D4B">
      <w:r>
        <w:t xml:space="preserve">This technique looks after the day-to-day monetary requirements of the company for meeting the expenditure of its venture. Whitbread Plc has increased its cash flow value to £2.5bn due to improvement in its pre-tax profit in 2025 (Yahoo Finance, 2026). Thus, the improvement in the cash margin has provided financial support to the infrastructural projects of the </w:t>
      </w:r>
      <w:proofErr w:type="spellStart"/>
      <w:r>
        <w:t>organisation</w:t>
      </w:r>
      <w:proofErr w:type="spellEnd"/>
      <w:r>
        <w:t xml:space="preserve">. </w:t>
      </w:r>
    </w:p>
    <w:p w14:paraId="24BE7926" w14:textId="77777777" w:rsidR="0081565C" w:rsidRDefault="00C45D4B">
      <w:pPr>
        <w:pStyle w:val="Heading3"/>
      </w:pPr>
      <w:bookmarkStart w:id="26" w:name="_Toc236412199"/>
      <w:r>
        <w:t>2.4.2 Long-Term Financing Options</w:t>
      </w:r>
      <w:bookmarkEnd w:id="26"/>
      <w:r>
        <w:t xml:space="preserve"> </w:t>
      </w:r>
    </w:p>
    <w:p w14:paraId="24BE7927" w14:textId="77777777" w:rsidR="0081565C" w:rsidRDefault="00C45D4B">
      <w:pPr>
        <w:rPr>
          <w:b/>
          <w:bCs/>
        </w:rPr>
      </w:pPr>
      <w:r>
        <w:rPr>
          <w:b/>
          <w:bCs/>
        </w:rPr>
        <w:t>Equity Capital</w:t>
      </w:r>
    </w:p>
    <w:p w14:paraId="24BE7928" w14:textId="30257234" w:rsidR="0081565C" w:rsidRDefault="00C45D4B">
      <w:r>
        <w:t xml:space="preserve">Whitbread Plc has provided strength to its market </w:t>
      </w:r>
      <w:proofErr w:type="spellStart"/>
      <w:r>
        <w:t>capitalisation</w:t>
      </w:r>
      <w:proofErr w:type="spellEnd"/>
      <w:r>
        <w:t xml:space="preserve"> through fund diversification strategy and improved its value to £4.5bn in 2025 (AJ Bell, 2026). Hence, the existence of a flexible internal capital structure has assisted the </w:t>
      </w:r>
      <w:proofErr w:type="spellStart"/>
      <w:r>
        <w:t>organisation</w:t>
      </w:r>
      <w:proofErr w:type="spellEnd"/>
      <w:r>
        <w:t xml:space="preserve"> in reducing delays in the completion of its business </w:t>
      </w:r>
      <w:r w:rsidR="00841AC9">
        <w:t>operations.</w:t>
      </w:r>
      <w:r>
        <w:t xml:space="preserve"> </w:t>
      </w:r>
    </w:p>
    <w:p w14:paraId="24BE7929" w14:textId="77777777" w:rsidR="0081565C" w:rsidRDefault="00C45D4B">
      <w:pPr>
        <w:rPr>
          <w:b/>
          <w:bCs/>
        </w:rPr>
      </w:pPr>
      <w:r>
        <w:rPr>
          <w:b/>
          <w:bCs/>
        </w:rPr>
        <w:t>Debenture Bonds</w:t>
      </w:r>
    </w:p>
    <w:p w14:paraId="24BE792A" w14:textId="77777777" w:rsidR="0081565C" w:rsidRDefault="00C45D4B">
      <w:r>
        <w:t>Whitbread Plc has also issued debenture bonds worth £400m for meeting its high debt value and recovering dues from the customers and suppliers in 2025 (</w:t>
      </w:r>
      <w:proofErr w:type="spellStart"/>
      <w:r>
        <w:t>Cbonds</w:t>
      </w:r>
      <w:proofErr w:type="spellEnd"/>
      <w:r>
        <w:t xml:space="preserve">, 2025). Hence, the strengthening of the resource recovery activities has assisted the </w:t>
      </w:r>
      <w:proofErr w:type="spellStart"/>
      <w:r>
        <w:t>organisation</w:t>
      </w:r>
      <w:proofErr w:type="spellEnd"/>
      <w:r>
        <w:t xml:space="preserve"> in reducing market competition. </w:t>
      </w:r>
    </w:p>
    <w:p w14:paraId="24BE792B" w14:textId="77777777" w:rsidR="0081565C" w:rsidRDefault="00C45D4B">
      <w:pPr>
        <w:pStyle w:val="Heading3"/>
      </w:pPr>
      <w:bookmarkStart w:id="27" w:name="_Toc236412200"/>
      <w:r>
        <w:t>2.4.3 Comparative Analysis</w:t>
      </w:r>
      <w:bookmarkEnd w:id="27"/>
      <w:r>
        <w:t xml:space="preserve"> </w:t>
      </w:r>
    </w:p>
    <w:p w14:paraId="24BE792C" w14:textId="77777777" w:rsidR="0081565C" w:rsidRDefault="00C45D4B">
      <w:r>
        <w:t xml:space="preserve">Whitbread Plc has acquired the opportunity of utilizing the short-term and long-term financial sources that will ensure smooth execution of its business operations. As an instance, the availability of equity and bond capital will strengthen the internal management activities of the company. On the other hand, trade credits will improve the brand reputation level. </w:t>
      </w:r>
      <w:r>
        <w:br w:type="page"/>
      </w:r>
    </w:p>
    <w:p w14:paraId="24BE792D" w14:textId="77777777" w:rsidR="0081565C" w:rsidRDefault="00C45D4B">
      <w:pPr>
        <w:pStyle w:val="Heading1"/>
      </w:pPr>
      <w:bookmarkStart w:id="28" w:name="_Toc236412201"/>
      <w:r>
        <w:lastRenderedPageBreak/>
        <w:t>3. Strategic Financial Restructuring Plan</w:t>
      </w:r>
      <w:bookmarkEnd w:id="28"/>
      <w:r>
        <w:t xml:space="preserve"> </w:t>
      </w:r>
    </w:p>
    <w:p w14:paraId="24BE792E" w14:textId="77777777" w:rsidR="0081565C" w:rsidRDefault="00C45D4B">
      <w:pPr>
        <w:pStyle w:val="Heading2"/>
      </w:pPr>
      <w:bookmarkStart w:id="29" w:name="_Toc236412202"/>
      <w:r>
        <w:t>3.1 Recommended Financial Restructuring Options</w:t>
      </w:r>
      <w:bookmarkEnd w:id="29"/>
      <w:r>
        <w:t xml:space="preserve"> </w:t>
      </w:r>
    </w:p>
    <w:p w14:paraId="24BE792F" w14:textId="77777777" w:rsidR="0081565C" w:rsidRDefault="00C45D4B">
      <w:pPr>
        <w:numPr>
          <w:ilvl w:val="0"/>
          <w:numId w:val="6"/>
        </w:numPr>
        <w:rPr>
          <w:b/>
          <w:bCs/>
        </w:rPr>
      </w:pPr>
      <w:r>
        <w:rPr>
          <w:b/>
          <w:bCs/>
        </w:rPr>
        <w:t xml:space="preserve">Divestiture </w:t>
      </w:r>
    </w:p>
    <w:p w14:paraId="24BE7930" w14:textId="0262EFAE" w:rsidR="0081565C" w:rsidRDefault="00C45D4B">
      <w:r>
        <w:t xml:space="preserve">Divestiture helpful to closure of low value business units towards captivating new investors of higher growth pattern in future (Chen, 2026). Thus, Whitbread Plc also diversified </w:t>
      </w:r>
      <w:r w:rsidR="00841AC9">
        <w:t>non-core</w:t>
      </w:r>
      <w:r>
        <w:t xml:space="preserve"> hotel assets towards enabling investment in high-performing Premier Inn locations to enhance ROCE from 5.93%.</w:t>
      </w:r>
    </w:p>
    <w:p w14:paraId="24BE7931" w14:textId="77777777" w:rsidR="0081565C" w:rsidRDefault="00C45D4B">
      <w:pPr>
        <w:numPr>
          <w:ilvl w:val="0"/>
          <w:numId w:val="13"/>
        </w:numPr>
        <w:rPr>
          <w:b/>
          <w:bCs/>
        </w:rPr>
      </w:pPr>
      <w:r>
        <w:rPr>
          <w:b/>
          <w:bCs/>
        </w:rPr>
        <w:t xml:space="preserve">Equity Injection Strategy </w:t>
      </w:r>
    </w:p>
    <w:p w14:paraId="24BE7932" w14:textId="77777777" w:rsidR="0081565C" w:rsidRDefault="00C45D4B">
      <w:r>
        <w:t xml:space="preserve">Equity injection ensures more recovering additional </w:t>
      </w:r>
      <w:proofErr w:type="spellStart"/>
      <w:r>
        <w:t>capitalised</w:t>
      </w:r>
      <w:proofErr w:type="spellEnd"/>
      <w:r>
        <w:t xml:space="preserve"> value from shareholders towards strengthening company position (Banton, 2026). Hence, issues of new shares also enable reduce risk decline equity value £3.33 billion in 2025 make additional equity beneficial for long term growth.</w:t>
      </w:r>
    </w:p>
    <w:p w14:paraId="24BE7933" w14:textId="77777777" w:rsidR="0081565C" w:rsidRDefault="00C45D4B">
      <w:pPr>
        <w:numPr>
          <w:ilvl w:val="0"/>
          <w:numId w:val="1"/>
        </w:numPr>
        <w:rPr>
          <w:b/>
          <w:bCs/>
        </w:rPr>
      </w:pPr>
      <w:r>
        <w:rPr>
          <w:b/>
          <w:bCs/>
        </w:rPr>
        <w:t xml:space="preserve">Merger and Acquisition </w:t>
      </w:r>
    </w:p>
    <w:p w14:paraId="24BE7934" w14:textId="77777777" w:rsidR="0081565C" w:rsidRDefault="00C45D4B">
      <w:r>
        <w:t xml:space="preserve">The merger and acquisition process enables the opportunity to expand, combining business segments to achieve growth, market expansion, and operational synergies. Hence, regional hotels located in Germany and the UK should be acquired by Whitbread Plc to improve European market share effectively. </w:t>
      </w:r>
    </w:p>
    <w:p w14:paraId="24BE7935" w14:textId="77777777" w:rsidR="0081565C" w:rsidRDefault="00C45D4B">
      <w:pPr>
        <w:pStyle w:val="Heading2"/>
      </w:pPr>
      <w:bookmarkStart w:id="30" w:name="_Toc236412203"/>
      <w:r>
        <w:t>3.2 Impact on Financial Restructuring</w:t>
      </w:r>
      <w:bookmarkEnd w:id="30"/>
      <w:r>
        <w:t xml:space="preserve"> </w:t>
      </w:r>
    </w:p>
    <w:p w14:paraId="24BE7936" w14:textId="77777777" w:rsidR="0081565C" w:rsidRDefault="00C45D4B">
      <w:pPr>
        <w:pStyle w:val="Heading3"/>
      </w:pPr>
      <w:bookmarkStart w:id="31" w:name="_Toc236412204"/>
      <w:r>
        <w:t>3.2.1 Significance on Shareholder Value</w:t>
      </w:r>
      <w:bookmarkEnd w:id="31"/>
      <w:r>
        <w:t xml:space="preserve"> </w:t>
      </w:r>
    </w:p>
    <w:p w14:paraId="24BE7937" w14:textId="77777777" w:rsidR="0081565C" w:rsidRDefault="00C45D4B">
      <w:r>
        <w:t xml:space="preserve">Financial restructuring has a reliable impact on shareholder value along with decline in capital cost and enhanced cash flow stability. Whitbread Plc eliminated its capital cost by selling £1.5 billion of property, accessing a shift towards a “pure-play hotel” led to the cut of 3,800 job roles (Reuters Staff, 2026). Thus, a reduction of capital cost is due to selling property, which reduces overall earnings of the business. </w:t>
      </w:r>
    </w:p>
    <w:p w14:paraId="24BE7938" w14:textId="77777777" w:rsidR="0081565C" w:rsidRDefault="00C45D4B">
      <w:pPr>
        <w:pStyle w:val="Heading3"/>
      </w:pPr>
      <w:bookmarkStart w:id="32" w:name="_Toc236412205"/>
      <w:r>
        <w:t>3.2.2 Significance of Debt Structure</w:t>
      </w:r>
      <w:bookmarkEnd w:id="32"/>
      <w:r>
        <w:t xml:space="preserve"> </w:t>
      </w:r>
    </w:p>
    <w:p w14:paraId="24BE7939" w14:textId="77777777" w:rsidR="0081565C" w:rsidRDefault="00C45D4B">
      <w:r>
        <w:t xml:space="preserve">The company reshapes its debt structure by financial restructuring, changes in repayment, and extension of loans. Whitbread Group Plc revolves around its credit of about £775 million that will mature by 2029, enhancing the liquidity profile (Fitch Rating, 2026). This investment </w:t>
      </w:r>
      <w:proofErr w:type="spellStart"/>
      <w:r>
        <w:t>optimises</w:t>
      </w:r>
      <w:proofErr w:type="spellEnd"/>
      <w:r>
        <w:t xml:space="preserve"> its cash flow by improving credit facilities by accessing strategic opportunities in business. Thus, maintaining debt structure reduce </w:t>
      </w:r>
      <w:proofErr w:type="spellStart"/>
      <w:r>
        <w:t>investors</w:t>
      </w:r>
      <w:proofErr w:type="spellEnd"/>
      <w:r>
        <w:t xml:space="preserve"> confidence by responding with shift in market. </w:t>
      </w:r>
    </w:p>
    <w:p w14:paraId="24BE793A" w14:textId="77777777" w:rsidR="0081565C" w:rsidRDefault="00C45D4B">
      <w:pPr>
        <w:pStyle w:val="Heading3"/>
      </w:pPr>
      <w:bookmarkStart w:id="33" w:name="_Toc236412206"/>
      <w:r>
        <w:lastRenderedPageBreak/>
        <w:t>3.2.3 Significance of Operational Flexibility</w:t>
      </w:r>
      <w:bookmarkEnd w:id="33"/>
      <w:r>
        <w:t xml:space="preserve"> </w:t>
      </w:r>
    </w:p>
    <w:p w14:paraId="24BE793B" w14:textId="77777777" w:rsidR="0081565C" w:rsidRDefault="00C45D4B">
      <w:r>
        <w:t xml:space="preserve">Financial restructuring has a reliable effect on the operational flexibility of the business by reducing debt and quickly adjusting cash due to market changes. Whitbread Plc enhances its profitability in the German market with branded budget hotel preferences of about 11% and non-branded hotels is about 68% (Strategist and Architect, 2025). Reduction of the hotel room share accessed through property recycling leads to a slowdown of restaurants. Thus, unlocking profitability is due to RevPAR enhancing the overall financial performance of the business. </w:t>
      </w:r>
    </w:p>
    <w:p w14:paraId="24BE793C" w14:textId="77777777" w:rsidR="0081565C" w:rsidRDefault="00C45D4B">
      <w:pPr>
        <w:jc w:val="center"/>
      </w:pPr>
      <w:r>
        <w:rPr>
          <w:noProof/>
        </w:rPr>
        <w:drawing>
          <wp:inline distT="114300" distB="114300" distL="114300" distR="114300" wp14:anchorId="24BE7C2A" wp14:editId="24BE7C2B">
            <wp:extent cx="5943600" cy="3340100"/>
            <wp:effectExtent l="0" t="0" r="0" b="0"/>
            <wp:docPr id="30"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31"/>
                    <a:srcRect/>
                    <a:stretch>
                      <a:fillRect/>
                    </a:stretch>
                  </pic:blipFill>
                  <pic:spPr>
                    <a:xfrm>
                      <a:off x="0" y="0"/>
                      <a:ext cx="5943600" cy="3340100"/>
                    </a:xfrm>
                    <a:prstGeom prst="rect">
                      <a:avLst/>
                    </a:prstGeom>
                    <a:ln/>
                  </pic:spPr>
                </pic:pic>
              </a:graphicData>
            </a:graphic>
          </wp:inline>
        </w:drawing>
      </w:r>
    </w:p>
    <w:p w14:paraId="24BE793D" w14:textId="77777777" w:rsidR="0081565C" w:rsidRDefault="00C45D4B">
      <w:pPr>
        <w:jc w:val="center"/>
        <w:rPr>
          <w:b/>
          <w:bCs/>
        </w:rPr>
      </w:pPr>
      <w:r>
        <w:rPr>
          <w:b/>
          <w:bCs/>
        </w:rPr>
        <w:t xml:space="preserve"> Figure 13: Market share of Whitbread Plc hotels in Germany and UK</w:t>
      </w:r>
    </w:p>
    <w:p w14:paraId="24BE793E" w14:textId="77777777" w:rsidR="0081565C" w:rsidRDefault="00C45D4B">
      <w:pPr>
        <w:jc w:val="center"/>
      </w:pPr>
      <w:r>
        <w:t xml:space="preserve">(Source: Strategist and Architect, 2025) </w:t>
      </w:r>
    </w:p>
    <w:p w14:paraId="24BE793F" w14:textId="77777777" w:rsidR="0081565C" w:rsidRDefault="00C45D4B">
      <w:pPr>
        <w:pStyle w:val="Heading2"/>
      </w:pPr>
      <w:bookmarkStart w:id="34" w:name="_Toc236412207"/>
      <w:r>
        <w:t>3.3 International Financial Considerations</w:t>
      </w:r>
      <w:bookmarkEnd w:id="34"/>
      <w:r>
        <w:t xml:space="preserve"> </w:t>
      </w:r>
    </w:p>
    <w:p w14:paraId="24BE7940" w14:textId="77777777" w:rsidR="0081565C" w:rsidRDefault="00C45D4B">
      <w:pPr>
        <w:pStyle w:val="Heading3"/>
      </w:pPr>
      <w:bookmarkStart w:id="35" w:name="_Toc236412208"/>
      <w:r>
        <w:t>3.3.1 Taxation Considerations</w:t>
      </w:r>
      <w:bookmarkEnd w:id="35"/>
      <w:r>
        <w:t xml:space="preserve"> </w:t>
      </w:r>
    </w:p>
    <w:p w14:paraId="24BE7941" w14:textId="73129A02" w:rsidR="0081565C" w:rsidRDefault="00C45D4B">
      <w:r>
        <w:t xml:space="preserve">Taxation also refers to the key business tax paid by corporate authority to run business segments in an effective manner. Hence, the corporate rate is about 26.5% in the UK as compared to lower than 30% of Germany expansion (Bilal, 2026; Trading Economics, 2026). Hence, UK is becoming low risk adheres to expansion in premier Inn in </w:t>
      </w:r>
      <w:r w:rsidR="00841AC9">
        <w:t>Germany</w:t>
      </w:r>
      <w:r>
        <w:t xml:space="preserve"> for long term. </w:t>
      </w:r>
    </w:p>
    <w:p w14:paraId="24BE7942" w14:textId="77777777" w:rsidR="0081565C" w:rsidRDefault="00C45D4B">
      <w:pPr>
        <w:jc w:val="center"/>
      </w:pPr>
      <w:r>
        <w:rPr>
          <w:noProof/>
        </w:rPr>
        <w:lastRenderedPageBreak/>
        <w:drawing>
          <wp:inline distT="114300" distB="114300" distL="114300" distR="114300" wp14:anchorId="24BE7C2C" wp14:editId="24BE7C2D">
            <wp:extent cx="3386138" cy="3386138"/>
            <wp:effectExtent l="0" t="0" r="0" b="0"/>
            <wp:docPr id="43" name="image46.png"/>
            <wp:cNvGraphicFramePr/>
            <a:graphic xmlns:a="http://schemas.openxmlformats.org/drawingml/2006/main">
              <a:graphicData uri="http://schemas.openxmlformats.org/drawingml/2006/picture">
                <pic:pic xmlns:pic="http://schemas.openxmlformats.org/drawingml/2006/picture">
                  <pic:nvPicPr>
                    <pic:cNvPr id="0" name="image46.png"/>
                    <pic:cNvPicPr preferRelativeResize="0"/>
                  </pic:nvPicPr>
                  <pic:blipFill>
                    <a:blip r:embed="rId32"/>
                    <a:srcRect/>
                    <a:stretch>
                      <a:fillRect/>
                    </a:stretch>
                  </pic:blipFill>
                  <pic:spPr>
                    <a:xfrm>
                      <a:off x="0" y="0"/>
                      <a:ext cx="3386138" cy="3386138"/>
                    </a:xfrm>
                    <a:prstGeom prst="rect">
                      <a:avLst/>
                    </a:prstGeom>
                    <a:ln/>
                  </pic:spPr>
                </pic:pic>
              </a:graphicData>
            </a:graphic>
          </wp:inline>
        </w:drawing>
      </w:r>
    </w:p>
    <w:p w14:paraId="24BE7943" w14:textId="77777777" w:rsidR="0081565C" w:rsidRDefault="00C45D4B">
      <w:pPr>
        <w:jc w:val="center"/>
        <w:rPr>
          <w:b/>
          <w:bCs/>
        </w:rPr>
      </w:pPr>
      <w:r>
        <w:rPr>
          <w:b/>
          <w:bCs/>
        </w:rPr>
        <w:t>Figure 14: Corporate Tax Rate of UK</w:t>
      </w:r>
    </w:p>
    <w:p w14:paraId="24BE7944" w14:textId="77777777" w:rsidR="0081565C" w:rsidRDefault="00C45D4B">
      <w:pPr>
        <w:jc w:val="center"/>
      </w:pPr>
      <w:r>
        <w:t>(Source: Bilal, 2026)</w:t>
      </w:r>
    </w:p>
    <w:p w14:paraId="24BE7945" w14:textId="77777777" w:rsidR="0081565C" w:rsidRDefault="00C45D4B">
      <w:pPr>
        <w:pStyle w:val="Heading3"/>
      </w:pPr>
      <w:bookmarkStart w:id="36" w:name="_Toc236412209"/>
      <w:r>
        <w:t>3.3.2 Currency Risk</w:t>
      </w:r>
      <w:bookmarkEnd w:id="36"/>
      <w:r>
        <w:t xml:space="preserve"> </w:t>
      </w:r>
    </w:p>
    <w:p w14:paraId="24BE7946" w14:textId="77777777" w:rsidR="0081565C" w:rsidRDefault="00C45D4B">
      <w:r>
        <w:t>The fluctuation of exchange rates highly influences current risk exposure in business progression of Whitbread Plc. Hence, the GBP/EUR exchange rate also increased by 3.1% “€1.145 in February to €1.180 in July” also indicated the opportunity of forward contracts with expansion of Premier Inn opportunities towards reducing transaction risk.</w:t>
      </w:r>
    </w:p>
    <w:p w14:paraId="24BE7947" w14:textId="77777777" w:rsidR="0081565C" w:rsidRDefault="00C45D4B">
      <w:pPr>
        <w:jc w:val="center"/>
      </w:pPr>
      <w:r>
        <w:rPr>
          <w:noProof/>
        </w:rPr>
        <w:lastRenderedPageBreak/>
        <w:drawing>
          <wp:inline distT="114300" distB="114300" distL="114300" distR="114300" wp14:anchorId="24BE7C2E" wp14:editId="24BE7C2F">
            <wp:extent cx="5943600" cy="3238500"/>
            <wp:effectExtent l="0" t="0" r="0" b="0"/>
            <wp:docPr id="9" name="image43.png"/>
            <wp:cNvGraphicFramePr/>
            <a:graphic xmlns:a="http://schemas.openxmlformats.org/drawingml/2006/main">
              <a:graphicData uri="http://schemas.openxmlformats.org/drawingml/2006/picture">
                <pic:pic xmlns:pic="http://schemas.openxmlformats.org/drawingml/2006/picture">
                  <pic:nvPicPr>
                    <pic:cNvPr id="0" name="image43.png"/>
                    <pic:cNvPicPr preferRelativeResize="0"/>
                  </pic:nvPicPr>
                  <pic:blipFill>
                    <a:blip r:embed="rId33"/>
                    <a:srcRect/>
                    <a:stretch>
                      <a:fillRect/>
                    </a:stretch>
                  </pic:blipFill>
                  <pic:spPr>
                    <a:xfrm>
                      <a:off x="0" y="0"/>
                      <a:ext cx="5943600" cy="3238500"/>
                    </a:xfrm>
                    <a:prstGeom prst="rect">
                      <a:avLst/>
                    </a:prstGeom>
                    <a:ln/>
                  </pic:spPr>
                </pic:pic>
              </a:graphicData>
            </a:graphic>
          </wp:inline>
        </w:drawing>
      </w:r>
    </w:p>
    <w:p w14:paraId="24BE7948" w14:textId="77777777" w:rsidR="0081565C" w:rsidRDefault="00C45D4B">
      <w:pPr>
        <w:jc w:val="center"/>
        <w:rPr>
          <w:b/>
          <w:bCs/>
        </w:rPr>
      </w:pPr>
      <w:r>
        <w:rPr>
          <w:b/>
          <w:bCs/>
        </w:rPr>
        <w:t>Figure 15: Exchange rate</w:t>
      </w:r>
    </w:p>
    <w:p w14:paraId="24BE7949" w14:textId="77777777" w:rsidR="0081565C" w:rsidRDefault="00C45D4B">
      <w:pPr>
        <w:jc w:val="center"/>
      </w:pPr>
      <w:r>
        <w:t xml:space="preserve">(Source: </w:t>
      </w:r>
      <w:proofErr w:type="spellStart"/>
      <w:r>
        <w:t>TradingView</w:t>
      </w:r>
      <w:proofErr w:type="spellEnd"/>
      <w:r>
        <w:t>, 2026)</w:t>
      </w:r>
    </w:p>
    <w:p w14:paraId="24BE794A" w14:textId="77777777" w:rsidR="0081565C" w:rsidRDefault="00C45D4B">
      <w:pPr>
        <w:pStyle w:val="Heading3"/>
      </w:pPr>
      <w:bookmarkStart w:id="37" w:name="_Toc236412210"/>
      <w:r>
        <w:t>3.3.3 Inflation Risk</w:t>
      </w:r>
      <w:bookmarkEnd w:id="37"/>
      <w:r>
        <w:t xml:space="preserve"> </w:t>
      </w:r>
    </w:p>
    <w:p w14:paraId="24BE794B" w14:textId="77777777" w:rsidR="0081565C" w:rsidRDefault="00C45D4B">
      <w:r>
        <w:t xml:space="preserve">Inflation risk also indicates the rise of operational cost to improve premier occupancy rates and reduce consumer purchasing power directly impact business. For instance, reducing the inflation rate in the UK by about 2.6% in June as compared to Germany's 2.2% indicated more opportunity and less risk in UK operations associated with rising </w:t>
      </w:r>
      <w:proofErr w:type="spellStart"/>
      <w:r>
        <w:t>labour</w:t>
      </w:r>
      <w:proofErr w:type="spellEnd"/>
      <w:r>
        <w:t xml:space="preserve">, food, utility, and maintenance costs (Trading Economics, 2026). </w:t>
      </w:r>
    </w:p>
    <w:p w14:paraId="24BE794C" w14:textId="77777777" w:rsidR="0081565C" w:rsidRDefault="00C45D4B">
      <w:r>
        <w:rPr>
          <w:noProof/>
        </w:rPr>
        <w:drawing>
          <wp:inline distT="114300" distB="114300" distL="114300" distR="114300" wp14:anchorId="24BE7C30" wp14:editId="24BE7C31">
            <wp:extent cx="5943600" cy="2565400"/>
            <wp:effectExtent l="0" t="0" r="0" b="0"/>
            <wp:docPr id="11"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34"/>
                    <a:srcRect/>
                    <a:stretch>
                      <a:fillRect/>
                    </a:stretch>
                  </pic:blipFill>
                  <pic:spPr>
                    <a:xfrm>
                      <a:off x="0" y="0"/>
                      <a:ext cx="5943600" cy="2565400"/>
                    </a:xfrm>
                    <a:prstGeom prst="rect">
                      <a:avLst/>
                    </a:prstGeom>
                    <a:ln/>
                  </pic:spPr>
                </pic:pic>
              </a:graphicData>
            </a:graphic>
          </wp:inline>
        </w:drawing>
      </w:r>
    </w:p>
    <w:p w14:paraId="24BE794D" w14:textId="77777777" w:rsidR="0081565C" w:rsidRDefault="00C45D4B">
      <w:pPr>
        <w:jc w:val="center"/>
        <w:rPr>
          <w:b/>
          <w:bCs/>
        </w:rPr>
      </w:pPr>
      <w:r>
        <w:rPr>
          <w:b/>
          <w:bCs/>
        </w:rPr>
        <w:lastRenderedPageBreak/>
        <w:t>Figure 16: CPI inflation rate UK</w:t>
      </w:r>
    </w:p>
    <w:p w14:paraId="24BE794E" w14:textId="77777777" w:rsidR="0081565C" w:rsidRDefault="00C45D4B">
      <w:pPr>
        <w:jc w:val="center"/>
      </w:pPr>
      <w:r>
        <w:t>(Source: Trading Economics, 2026)</w:t>
      </w:r>
    </w:p>
    <w:p w14:paraId="24BE794F" w14:textId="77777777" w:rsidR="0081565C" w:rsidRDefault="00C45D4B">
      <w:pPr>
        <w:pStyle w:val="Heading2"/>
      </w:pPr>
      <w:bookmarkStart w:id="38" w:name="_Toc236412211"/>
      <w:r>
        <w:t>3.4 Discussion on the Ethical and ESG Operations</w:t>
      </w:r>
      <w:bookmarkEnd w:id="38"/>
      <w:r>
        <w:t xml:space="preserve"> </w:t>
      </w:r>
    </w:p>
    <w:p w14:paraId="24BE7950" w14:textId="77777777" w:rsidR="0081565C" w:rsidRDefault="00C45D4B">
      <w:pPr>
        <w:numPr>
          <w:ilvl w:val="0"/>
          <w:numId w:val="11"/>
        </w:numPr>
        <w:rPr>
          <w:b/>
          <w:bCs/>
        </w:rPr>
      </w:pPr>
      <w:r>
        <w:rPr>
          <w:b/>
          <w:bCs/>
        </w:rPr>
        <w:t xml:space="preserve">Corporate Social Responsibility </w:t>
      </w:r>
    </w:p>
    <w:p w14:paraId="24BE7951" w14:textId="77777777" w:rsidR="0081565C" w:rsidRDefault="00C45D4B">
      <w:r>
        <w:t xml:space="preserve">Whitbread Plc has collaborated with “Great Ormond Street Hospital Children's Charity” worth £20m for promoting importance of health and hygiene to children and young adults in 2025 (Gosh Charity, 2025). In addition, the business tie-up has also provided opportunities for the company in providing employment to local skilled individuals. Thus, the adoption of the community development partnerships has improved the goodwill of Whitbread among its stakeholders. </w:t>
      </w:r>
    </w:p>
    <w:p w14:paraId="24BE7952" w14:textId="77777777" w:rsidR="0081565C" w:rsidRDefault="00C45D4B">
      <w:pPr>
        <w:numPr>
          <w:ilvl w:val="0"/>
          <w:numId w:val="14"/>
        </w:numPr>
        <w:rPr>
          <w:b/>
          <w:bCs/>
        </w:rPr>
      </w:pPr>
      <w:r>
        <w:rPr>
          <w:b/>
          <w:bCs/>
        </w:rPr>
        <w:t xml:space="preserve">Environmental Sustainability </w:t>
      </w:r>
    </w:p>
    <w:p w14:paraId="24BE7953" w14:textId="77777777" w:rsidR="0081565C" w:rsidRDefault="00C45D4B">
      <w:r>
        <w:t xml:space="preserve">Whitbread has executed an environmental </w:t>
      </w:r>
      <w:proofErr w:type="spellStart"/>
      <w:r>
        <w:t>programme</w:t>
      </w:r>
      <w:proofErr w:type="spellEnd"/>
      <w:r>
        <w:t xml:space="preserve"> worth £7bn that promotes the use of sustainable timber materials for developing hotel furniture (Whitbread, 2026). The investment has also reduced the carbon valuation of the business operations carried out by the </w:t>
      </w:r>
      <w:proofErr w:type="spellStart"/>
      <w:r>
        <w:t>organisation</w:t>
      </w:r>
      <w:proofErr w:type="spellEnd"/>
      <w:r>
        <w:t xml:space="preserve">. Hence, the adoption of organic wood has assisted the </w:t>
      </w:r>
      <w:proofErr w:type="spellStart"/>
      <w:r>
        <w:t>organisation</w:t>
      </w:r>
      <w:proofErr w:type="spellEnd"/>
      <w:r>
        <w:t xml:space="preserve"> in improving sustainability in its business operations. </w:t>
      </w:r>
    </w:p>
    <w:p w14:paraId="24BE7954" w14:textId="77777777" w:rsidR="0081565C" w:rsidRDefault="00C45D4B">
      <w:pPr>
        <w:numPr>
          <w:ilvl w:val="0"/>
          <w:numId w:val="2"/>
        </w:numPr>
        <w:rPr>
          <w:b/>
          <w:bCs/>
        </w:rPr>
      </w:pPr>
      <w:r>
        <w:rPr>
          <w:b/>
          <w:bCs/>
        </w:rPr>
        <w:t xml:space="preserve">ESG Performance and Reporting </w:t>
      </w:r>
    </w:p>
    <w:p w14:paraId="24BE7955" w14:textId="77777777" w:rsidR="0081565C" w:rsidRDefault="00C45D4B">
      <w:r>
        <w:t xml:space="preserve">Whitbread Plc has developed </w:t>
      </w:r>
      <w:proofErr w:type="spellStart"/>
      <w:r>
        <w:t>programmes</w:t>
      </w:r>
      <w:proofErr w:type="spellEnd"/>
      <w:r>
        <w:t xml:space="preserve"> such as “Winning Teams”, “Force </w:t>
      </w:r>
      <w:proofErr w:type="gramStart"/>
      <w:r>
        <w:t>For</w:t>
      </w:r>
      <w:proofErr w:type="gramEnd"/>
      <w:r>
        <w:t xml:space="preserve"> Good” with an intent to promote sustainability and teamwork within its work environment (Whitbread, 2024). Thus, the adoption of the initiatives has ensured smooth transmission of service information and improved its operational stability. </w:t>
      </w:r>
      <w:r>
        <w:br w:type="page"/>
      </w:r>
    </w:p>
    <w:p w14:paraId="24BE7956" w14:textId="77777777" w:rsidR="0081565C" w:rsidRDefault="00C45D4B">
      <w:pPr>
        <w:pStyle w:val="Heading1"/>
      </w:pPr>
      <w:bookmarkStart w:id="39" w:name="_Toc236412212"/>
      <w:r>
        <w:lastRenderedPageBreak/>
        <w:t>4. Investment Appraisal and Capital Budgeting</w:t>
      </w:r>
      <w:bookmarkEnd w:id="39"/>
      <w:r>
        <w:t xml:space="preserve"> </w:t>
      </w:r>
    </w:p>
    <w:p w14:paraId="24BE7957" w14:textId="77777777" w:rsidR="0081565C" w:rsidRDefault="00C45D4B">
      <w:pPr>
        <w:pStyle w:val="Heading2"/>
      </w:pPr>
      <w:bookmarkStart w:id="40" w:name="_Toc236412213"/>
      <w:r>
        <w:t>4.1 Project Overview</w:t>
      </w:r>
      <w:bookmarkEnd w:id="40"/>
      <w:r>
        <w:t xml:space="preserve"> </w:t>
      </w:r>
    </w:p>
    <w:p w14:paraId="24BE7958" w14:textId="77777777" w:rsidR="0081565C" w:rsidRDefault="00C45D4B">
      <w:r>
        <w:t xml:space="preserve">Investment appraisal is a reliable process to develop a business by NPV, ARR, IRR, PBP, and PI to manage overall cash flow. As stated by Andon, Baxter and Chua (2023), the significance of investment appraisal highlights the overall viability of the project </w:t>
      </w:r>
      <w:proofErr w:type="spellStart"/>
      <w:r>
        <w:t>analysing</w:t>
      </w:r>
      <w:proofErr w:type="spellEnd"/>
      <w:r>
        <w:t xml:space="preserve"> financial stability and reliable resource allocation to ensure strategic alignment. Initial investment of Project A is £50m, with its cash inflow of about £54m, with the annual depreciation of about £10m per year. However, Project B has a cash inflow of about £55m, with a PBP of about 4.55 years in Year 4 by maximizing its return to enhance profitability. Cash flow at Project C is about £60m, with its PBP of 3.6 years in Year 3 with reliable recovery of cash with shorter payback and operational adjustment. Project B serves faster liquidity, whereas Project C serves profitability by responding to operational delays and shifts in the market. Project A manages its cash flow in lowering cash flows compared to Project C. However, Project B has the ability to pay short bills and resolve credit lines with flexible loans. Project C achieves its nominal return of cash enhanced operational disruption enhance value creation in the project. </w:t>
      </w:r>
    </w:p>
    <w:p w14:paraId="24BE7959" w14:textId="77777777" w:rsidR="0081565C" w:rsidRDefault="00C45D4B">
      <w:pPr>
        <w:pStyle w:val="Heading2"/>
      </w:pPr>
      <w:bookmarkStart w:id="41" w:name="_Toc236412214"/>
      <w:r>
        <w:t>4.2 Discuss Project Viability</w:t>
      </w:r>
      <w:bookmarkEnd w:id="41"/>
      <w:r>
        <w:t xml:space="preserve"> </w:t>
      </w:r>
    </w:p>
    <w:p w14:paraId="24BE795A" w14:textId="77777777" w:rsidR="0081565C" w:rsidRDefault="00C45D4B">
      <w:pPr>
        <w:pStyle w:val="Heading3"/>
      </w:pPr>
      <w:bookmarkStart w:id="42" w:name="_Toc236412215"/>
      <w:r>
        <w:t xml:space="preserve">4.2.1 Project </w:t>
      </w:r>
      <w:proofErr w:type="gramStart"/>
      <w:r>
        <w:t>A</w:t>
      </w:r>
      <w:proofErr w:type="gramEnd"/>
      <w:r>
        <w:t xml:space="preserve"> Appraisal</w:t>
      </w:r>
      <w:bookmarkEnd w:id="42"/>
      <w:r>
        <w:t xml:space="preserve"> </w:t>
      </w:r>
    </w:p>
    <w:p w14:paraId="24BE795B" w14:textId="77777777" w:rsidR="0081565C" w:rsidRDefault="00C45D4B">
      <w:pPr>
        <w:jc w:val="center"/>
      </w:pPr>
      <w:r>
        <w:rPr>
          <w:noProof/>
        </w:rPr>
        <w:drawing>
          <wp:inline distT="114300" distB="114300" distL="114300" distR="114300" wp14:anchorId="24BE7C32" wp14:editId="24BE7C33">
            <wp:extent cx="5772150" cy="1847850"/>
            <wp:effectExtent l="0" t="0" r="0" b="0"/>
            <wp:docPr id="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35"/>
                    <a:srcRect/>
                    <a:stretch>
                      <a:fillRect/>
                    </a:stretch>
                  </pic:blipFill>
                  <pic:spPr>
                    <a:xfrm>
                      <a:off x="0" y="0"/>
                      <a:ext cx="5772150" cy="1847850"/>
                    </a:xfrm>
                    <a:prstGeom prst="rect">
                      <a:avLst/>
                    </a:prstGeom>
                    <a:ln/>
                  </pic:spPr>
                </pic:pic>
              </a:graphicData>
            </a:graphic>
          </wp:inline>
        </w:drawing>
      </w:r>
    </w:p>
    <w:p w14:paraId="24BE795C" w14:textId="77777777" w:rsidR="0081565C" w:rsidRDefault="00C45D4B">
      <w:pPr>
        <w:jc w:val="center"/>
        <w:rPr>
          <w:b/>
          <w:bCs/>
        </w:rPr>
      </w:pPr>
      <w:r>
        <w:rPr>
          <w:b/>
          <w:bCs/>
        </w:rPr>
        <w:t>Figure 17: NPV</w:t>
      </w:r>
    </w:p>
    <w:p w14:paraId="24BE795D" w14:textId="77777777" w:rsidR="0081565C" w:rsidRDefault="00C45D4B">
      <w:pPr>
        <w:jc w:val="center"/>
        <w:rPr>
          <w:b/>
          <w:bCs/>
        </w:rPr>
      </w:pPr>
      <w:r>
        <w:t>(Source: Self-developed)</w:t>
      </w:r>
    </w:p>
    <w:p w14:paraId="24BE795E" w14:textId="3865A536" w:rsidR="0081565C" w:rsidRDefault="00C45D4B">
      <w:r>
        <w:t xml:space="preserve">The use of NPV is reliable for analyzing the profitability position of an organization by linking its present value of investment (Fernando, 2026). Hence, this NPV analysis also </w:t>
      </w:r>
      <w:r>
        <w:lastRenderedPageBreak/>
        <w:t>assures unviable investment opportunity for project A within 8% discounting rate. Present value of cash flow generating negative NPV £6.54 million reduces shareholders returns.</w:t>
      </w:r>
    </w:p>
    <w:p w14:paraId="24BE795F" w14:textId="77777777" w:rsidR="0081565C" w:rsidRDefault="00C45D4B">
      <w:pPr>
        <w:jc w:val="center"/>
      </w:pPr>
      <w:r>
        <w:rPr>
          <w:noProof/>
        </w:rPr>
        <w:drawing>
          <wp:inline distT="114300" distB="114300" distL="114300" distR="114300" wp14:anchorId="24BE7C34" wp14:editId="24BE7C35">
            <wp:extent cx="5772150" cy="2447925"/>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6"/>
                    <a:srcRect/>
                    <a:stretch>
                      <a:fillRect/>
                    </a:stretch>
                  </pic:blipFill>
                  <pic:spPr>
                    <a:xfrm>
                      <a:off x="0" y="0"/>
                      <a:ext cx="5772150" cy="2447925"/>
                    </a:xfrm>
                    <a:prstGeom prst="rect">
                      <a:avLst/>
                    </a:prstGeom>
                    <a:ln/>
                  </pic:spPr>
                </pic:pic>
              </a:graphicData>
            </a:graphic>
          </wp:inline>
        </w:drawing>
      </w:r>
    </w:p>
    <w:p w14:paraId="24BE7960" w14:textId="77777777" w:rsidR="0081565C" w:rsidRDefault="00C45D4B">
      <w:pPr>
        <w:jc w:val="center"/>
        <w:rPr>
          <w:b/>
          <w:bCs/>
        </w:rPr>
      </w:pPr>
      <w:r>
        <w:rPr>
          <w:b/>
          <w:bCs/>
        </w:rPr>
        <w:t>Figure 18: PBP</w:t>
      </w:r>
    </w:p>
    <w:p w14:paraId="24BE7961" w14:textId="77777777" w:rsidR="0081565C" w:rsidRDefault="00C45D4B">
      <w:pPr>
        <w:jc w:val="center"/>
        <w:rPr>
          <w:b/>
          <w:bCs/>
        </w:rPr>
      </w:pPr>
      <w:r>
        <w:t>(Source: Self-developed)</w:t>
      </w:r>
    </w:p>
    <w:p w14:paraId="24BE7962" w14:textId="77777777" w:rsidR="0081565C" w:rsidRDefault="00C45D4B">
      <w:r>
        <w:t>The PBP value also assures shareholders about the returning period of actual investment for generating positive cash flow through investment (Kagan, 2026). Hence, initial investor cover in 4.50 years indicated a long payback period and also to raise debenture value of investment for Whitbread Plc.</w:t>
      </w:r>
    </w:p>
    <w:p w14:paraId="24BE7963" w14:textId="77777777" w:rsidR="0081565C" w:rsidRDefault="00C45D4B">
      <w:pPr>
        <w:jc w:val="center"/>
      </w:pPr>
      <w:r>
        <w:rPr>
          <w:noProof/>
        </w:rPr>
        <w:drawing>
          <wp:inline distT="114300" distB="114300" distL="114300" distR="114300" wp14:anchorId="24BE7C36" wp14:editId="24BE7C37">
            <wp:extent cx="5791200" cy="1447800"/>
            <wp:effectExtent l="0" t="0" r="0" b="0"/>
            <wp:docPr id="23"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37"/>
                    <a:srcRect/>
                    <a:stretch>
                      <a:fillRect/>
                    </a:stretch>
                  </pic:blipFill>
                  <pic:spPr>
                    <a:xfrm>
                      <a:off x="0" y="0"/>
                      <a:ext cx="5791200" cy="1447800"/>
                    </a:xfrm>
                    <a:prstGeom prst="rect">
                      <a:avLst/>
                    </a:prstGeom>
                    <a:ln/>
                  </pic:spPr>
                </pic:pic>
              </a:graphicData>
            </a:graphic>
          </wp:inline>
        </w:drawing>
      </w:r>
    </w:p>
    <w:p w14:paraId="24BE7964" w14:textId="77777777" w:rsidR="0081565C" w:rsidRDefault="00C45D4B">
      <w:pPr>
        <w:jc w:val="center"/>
        <w:rPr>
          <w:b/>
          <w:bCs/>
        </w:rPr>
      </w:pPr>
      <w:r>
        <w:rPr>
          <w:b/>
          <w:bCs/>
        </w:rPr>
        <w:t>Figure 19: ARR</w:t>
      </w:r>
    </w:p>
    <w:p w14:paraId="24BE7965" w14:textId="77777777" w:rsidR="0081565C" w:rsidRDefault="00C45D4B">
      <w:pPr>
        <w:jc w:val="center"/>
        <w:rPr>
          <w:b/>
          <w:bCs/>
        </w:rPr>
      </w:pPr>
      <w:r>
        <w:t>(Source: Self-developed)</w:t>
      </w:r>
    </w:p>
    <w:p w14:paraId="24BE7966" w14:textId="77777777" w:rsidR="0081565C" w:rsidRDefault="00C45D4B">
      <w:r>
        <w:t>The ARR value is significant for defining annual average return potentiality of a project within a particular time for investment period (Hargrave, 2025). Thus, an average invested value of £25 million also assured profit for Whitbread Plc about £0.8 million. Overall, ARR 3.2% indicated lower return capability falling below investment target.</w:t>
      </w:r>
    </w:p>
    <w:p w14:paraId="24BE7967" w14:textId="77777777" w:rsidR="0081565C" w:rsidRDefault="00C45D4B">
      <w:pPr>
        <w:jc w:val="center"/>
      </w:pPr>
      <w:r>
        <w:rPr>
          <w:noProof/>
        </w:rPr>
        <w:lastRenderedPageBreak/>
        <w:drawing>
          <wp:inline distT="114300" distB="114300" distL="114300" distR="114300" wp14:anchorId="24BE7C38" wp14:editId="24BE7C39">
            <wp:extent cx="5772150" cy="4067175"/>
            <wp:effectExtent l="0" t="0" r="0" b="0"/>
            <wp:docPr id="35"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38"/>
                    <a:srcRect/>
                    <a:stretch>
                      <a:fillRect/>
                    </a:stretch>
                  </pic:blipFill>
                  <pic:spPr>
                    <a:xfrm>
                      <a:off x="0" y="0"/>
                      <a:ext cx="5772150" cy="4067175"/>
                    </a:xfrm>
                    <a:prstGeom prst="rect">
                      <a:avLst/>
                    </a:prstGeom>
                    <a:ln/>
                  </pic:spPr>
                </pic:pic>
              </a:graphicData>
            </a:graphic>
          </wp:inline>
        </w:drawing>
      </w:r>
    </w:p>
    <w:p w14:paraId="24BE7968" w14:textId="77777777" w:rsidR="0081565C" w:rsidRDefault="00C45D4B">
      <w:pPr>
        <w:jc w:val="center"/>
        <w:rPr>
          <w:b/>
          <w:bCs/>
        </w:rPr>
      </w:pPr>
      <w:r>
        <w:rPr>
          <w:b/>
          <w:bCs/>
        </w:rPr>
        <w:t>Figure 20: IRR</w:t>
      </w:r>
    </w:p>
    <w:p w14:paraId="24BE7969" w14:textId="77777777" w:rsidR="0081565C" w:rsidRDefault="00C45D4B">
      <w:pPr>
        <w:jc w:val="center"/>
      </w:pPr>
      <w:r>
        <w:t>(Source: Self-developed)</w:t>
      </w:r>
    </w:p>
    <w:p w14:paraId="24BE796A" w14:textId="77777777" w:rsidR="0081565C" w:rsidRDefault="00C45D4B">
      <w:r>
        <w:rPr>
          <w:rFonts w:ascii="Arial Unicode MS" w:eastAsia="Arial Unicode MS" w:hAnsi="Arial Unicode MS" w:cs="Arial Unicode MS"/>
        </w:rPr>
        <w:t>The IRR is a significant financial appraisal technique that approves discounting rates to maintain NPV position zero effectively (Fernando, 2026). Hence, in this case interpolation of 0% and 8% also raised NPV value £4 million and −£6.54 million respectively. Overall, IRR below 8% assure rejection from shareholders to fail minimum criteria of investment.</w:t>
      </w:r>
    </w:p>
    <w:p w14:paraId="24BE796B" w14:textId="77777777" w:rsidR="0081565C" w:rsidRDefault="00C45D4B">
      <w:pPr>
        <w:jc w:val="center"/>
      </w:pPr>
      <w:r>
        <w:rPr>
          <w:noProof/>
        </w:rPr>
        <w:lastRenderedPageBreak/>
        <w:drawing>
          <wp:inline distT="114300" distB="114300" distL="114300" distR="114300" wp14:anchorId="24BE7C3A" wp14:editId="24BE7C3B">
            <wp:extent cx="5772150" cy="2276475"/>
            <wp:effectExtent l="0" t="0" r="0" b="0"/>
            <wp:docPr id="42"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39"/>
                    <a:srcRect/>
                    <a:stretch>
                      <a:fillRect/>
                    </a:stretch>
                  </pic:blipFill>
                  <pic:spPr>
                    <a:xfrm>
                      <a:off x="0" y="0"/>
                      <a:ext cx="5772150" cy="2276475"/>
                    </a:xfrm>
                    <a:prstGeom prst="rect">
                      <a:avLst/>
                    </a:prstGeom>
                    <a:ln/>
                  </pic:spPr>
                </pic:pic>
              </a:graphicData>
            </a:graphic>
          </wp:inline>
        </w:drawing>
      </w:r>
    </w:p>
    <w:p w14:paraId="24BE796C" w14:textId="77777777" w:rsidR="0081565C" w:rsidRDefault="00C45D4B">
      <w:pPr>
        <w:jc w:val="center"/>
        <w:rPr>
          <w:b/>
          <w:bCs/>
        </w:rPr>
      </w:pPr>
      <w:r>
        <w:rPr>
          <w:b/>
          <w:bCs/>
        </w:rPr>
        <w:t>Figure 21: PI</w:t>
      </w:r>
    </w:p>
    <w:p w14:paraId="24BE796D" w14:textId="77777777" w:rsidR="0081565C" w:rsidRDefault="00C45D4B">
      <w:pPr>
        <w:jc w:val="center"/>
        <w:rPr>
          <w:b/>
          <w:bCs/>
        </w:rPr>
      </w:pPr>
      <w:r>
        <w:t>(Source: Self-developed)</w:t>
      </w:r>
    </w:p>
    <w:p w14:paraId="24BE796E" w14:textId="77777777" w:rsidR="0081565C" w:rsidRDefault="00C45D4B">
      <w:r>
        <w:t>The PI value most significant for investors for analysis key future cash flow generation against investment of per £1. Hence, in this case PI of 0.87 indicated “for every £1 invested return potentiality about £0.87 indicated loss for a longer time period.</w:t>
      </w:r>
    </w:p>
    <w:p w14:paraId="24BE796F" w14:textId="77777777" w:rsidR="0081565C" w:rsidRDefault="00C45D4B">
      <w:pPr>
        <w:pStyle w:val="Heading3"/>
      </w:pPr>
      <w:bookmarkStart w:id="43" w:name="_Toc236412216"/>
      <w:r>
        <w:t>4.2.2 Project B Appraisal</w:t>
      </w:r>
      <w:bookmarkEnd w:id="43"/>
      <w:r>
        <w:t xml:space="preserve"> </w:t>
      </w:r>
    </w:p>
    <w:p w14:paraId="24BE7970" w14:textId="77777777" w:rsidR="0081565C" w:rsidRDefault="00C45D4B">
      <w:pPr>
        <w:jc w:val="center"/>
      </w:pPr>
      <w:r>
        <w:rPr>
          <w:noProof/>
        </w:rPr>
        <w:drawing>
          <wp:inline distT="114300" distB="114300" distL="114300" distR="114300" wp14:anchorId="24BE7C3C" wp14:editId="24BE7C3D">
            <wp:extent cx="5772150" cy="1866900"/>
            <wp:effectExtent l="0" t="0" r="0" b="0"/>
            <wp:docPr id="40" name="image40.png"/>
            <wp:cNvGraphicFramePr/>
            <a:graphic xmlns:a="http://schemas.openxmlformats.org/drawingml/2006/main">
              <a:graphicData uri="http://schemas.openxmlformats.org/drawingml/2006/picture">
                <pic:pic xmlns:pic="http://schemas.openxmlformats.org/drawingml/2006/picture">
                  <pic:nvPicPr>
                    <pic:cNvPr id="0" name="image40.png"/>
                    <pic:cNvPicPr preferRelativeResize="0"/>
                  </pic:nvPicPr>
                  <pic:blipFill>
                    <a:blip r:embed="rId40"/>
                    <a:srcRect/>
                    <a:stretch>
                      <a:fillRect/>
                    </a:stretch>
                  </pic:blipFill>
                  <pic:spPr>
                    <a:xfrm>
                      <a:off x="0" y="0"/>
                      <a:ext cx="5772150" cy="1866900"/>
                    </a:xfrm>
                    <a:prstGeom prst="rect">
                      <a:avLst/>
                    </a:prstGeom>
                    <a:ln/>
                  </pic:spPr>
                </pic:pic>
              </a:graphicData>
            </a:graphic>
          </wp:inline>
        </w:drawing>
      </w:r>
    </w:p>
    <w:p w14:paraId="24BE7971" w14:textId="77777777" w:rsidR="0081565C" w:rsidRDefault="00C45D4B">
      <w:pPr>
        <w:jc w:val="center"/>
        <w:rPr>
          <w:b/>
          <w:bCs/>
        </w:rPr>
      </w:pPr>
      <w:r>
        <w:rPr>
          <w:b/>
          <w:bCs/>
        </w:rPr>
        <w:t>Figure 22: NPV</w:t>
      </w:r>
    </w:p>
    <w:p w14:paraId="24BE7972" w14:textId="77777777" w:rsidR="0081565C" w:rsidRDefault="00C45D4B">
      <w:pPr>
        <w:jc w:val="center"/>
      </w:pPr>
      <w:r>
        <w:t>(Source: Self-Developed)</w:t>
      </w:r>
    </w:p>
    <w:p w14:paraId="24BE7973" w14:textId="77777777" w:rsidR="0081565C" w:rsidRDefault="00C45D4B">
      <w:r>
        <w:t xml:space="preserve">Project B has experienced a negative NPV of -£6.07m due to its low present value of £43.93m in 5 years. Hence, the decline in the income of the business plan has also reduced its feasibility of a viable funding option among the investors. </w:t>
      </w:r>
    </w:p>
    <w:p w14:paraId="24BE7974" w14:textId="77777777" w:rsidR="0081565C" w:rsidRDefault="00C45D4B">
      <w:pPr>
        <w:jc w:val="center"/>
      </w:pPr>
      <w:r>
        <w:rPr>
          <w:noProof/>
        </w:rPr>
        <w:lastRenderedPageBreak/>
        <w:drawing>
          <wp:inline distT="114300" distB="114300" distL="114300" distR="114300" wp14:anchorId="24BE7C3E" wp14:editId="24BE7C3F">
            <wp:extent cx="5772150" cy="2466975"/>
            <wp:effectExtent l="0" t="0" r="0" b="0"/>
            <wp:docPr id="4"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41"/>
                    <a:srcRect/>
                    <a:stretch>
                      <a:fillRect/>
                    </a:stretch>
                  </pic:blipFill>
                  <pic:spPr>
                    <a:xfrm>
                      <a:off x="0" y="0"/>
                      <a:ext cx="5772150" cy="2466975"/>
                    </a:xfrm>
                    <a:prstGeom prst="rect">
                      <a:avLst/>
                    </a:prstGeom>
                    <a:ln/>
                  </pic:spPr>
                </pic:pic>
              </a:graphicData>
            </a:graphic>
          </wp:inline>
        </w:drawing>
      </w:r>
    </w:p>
    <w:p w14:paraId="24BE7975" w14:textId="77777777" w:rsidR="0081565C" w:rsidRDefault="00C45D4B">
      <w:pPr>
        <w:jc w:val="center"/>
        <w:rPr>
          <w:b/>
          <w:bCs/>
        </w:rPr>
      </w:pPr>
      <w:r>
        <w:rPr>
          <w:b/>
          <w:bCs/>
        </w:rPr>
        <w:t>Figure 23: PBP</w:t>
      </w:r>
    </w:p>
    <w:p w14:paraId="24BE7976" w14:textId="77777777" w:rsidR="0081565C" w:rsidRDefault="00C45D4B">
      <w:pPr>
        <w:jc w:val="center"/>
      </w:pPr>
      <w:r>
        <w:t>(Source: Self-Developed)</w:t>
      </w:r>
    </w:p>
    <w:p w14:paraId="24BE7977" w14:textId="77777777" w:rsidR="0081565C" w:rsidRDefault="00C45D4B">
      <w:r>
        <w:t>The project has witnessed the existence of an unrecovered investment of £6m that has increased its PBP value to 4.55 years. Overall, the occurrence of delay in acquiring proper returns to the funding amount has also lowered the credibility of the business plan among companies such as Whitbread Plc.</w:t>
      </w:r>
    </w:p>
    <w:p w14:paraId="24BE7978" w14:textId="77777777" w:rsidR="0081565C" w:rsidRDefault="00C45D4B">
      <w:pPr>
        <w:jc w:val="center"/>
      </w:pPr>
      <w:r>
        <w:rPr>
          <w:noProof/>
        </w:rPr>
        <w:drawing>
          <wp:inline distT="114300" distB="114300" distL="114300" distR="114300" wp14:anchorId="24BE7C40" wp14:editId="24BE7C41">
            <wp:extent cx="5781675" cy="1447800"/>
            <wp:effectExtent l="0" t="0" r="0" b="0"/>
            <wp:docPr id="1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42"/>
                    <a:srcRect/>
                    <a:stretch>
                      <a:fillRect/>
                    </a:stretch>
                  </pic:blipFill>
                  <pic:spPr>
                    <a:xfrm>
                      <a:off x="0" y="0"/>
                      <a:ext cx="5781675" cy="1447800"/>
                    </a:xfrm>
                    <a:prstGeom prst="rect">
                      <a:avLst/>
                    </a:prstGeom>
                    <a:ln/>
                  </pic:spPr>
                </pic:pic>
              </a:graphicData>
            </a:graphic>
          </wp:inline>
        </w:drawing>
      </w:r>
    </w:p>
    <w:p w14:paraId="24BE7979" w14:textId="77777777" w:rsidR="0081565C" w:rsidRDefault="00C45D4B">
      <w:pPr>
        <w:jc w:val="center"/>
        <w:rPr>
          <w:b/>
          <w:bCs/>
        </w:rPr>
      </w:pPr>
      <w:r>
        <w:rPr>
          <w:b/>
          <w:bCs/>
        </w:rPr>
        <w:t>Figure 24: ARR</w:t>
      </w:r>
    </w:p>
    <w:p w14:paraId="24BE797A" w14:textId="77777777" w:rsidR="0081565C" w:rsidRDefault="00C45D4B">
      <w:pPr>
        <w:jc w:val="center"/>
      </w:pPr>
      <w:r>
        <w:t>(Source: Self-Developed)</w:t>
      </w:r>
    </w:p>
    <w:p w14:paraId="24BE797B" w14:textId="77777777" w:rsidR="0081565C" w:rsidRDefault="00C45D4B">
      <w:r>
        <w:t>Project B has also provided a low average return of £1m to the invested amount of £25% in the 5 years. In addition, it also has a lower ARR value of 4% in comparison to other business plans. Hence, the provision of low profits has reduced the investor engagement level of the project.</w:t>
      </w:r>
    </w:p>
    <w:p w14:paraId="24BE797C" w14:textId="77777777" w:rsidR="0081565C" w:rsidRDefault="00C45D4B">
      <w:pPr>
        <w:jc w:val="center"/>
      </w:pPr>
      <w:r>
        <w:rPr>
          <w:noProof/>
        </w:rPr>
        <w:lastRenderedPageBreak/>
        <w:drawing>
          <wp:inline distT="114300" distB="114300" distL="114300" distR="114300" wp14:anchorId="24BE7C42" wp14:editId="24BE7C43">
            <wp:extent cx="5791200" cy="4038600"/>
            <wp:effectExtent l="0" t="0" r="0" b="0"/>
            <wp:docPr id="44" name="image41.png"/>
            <wp:cNvGraphicFramePr/>
            <a:graphic xmlns:a="http://schemas.openxmlformats.org/drawingml/2006/main">
              <a:graphicData uri="http://schemas.openxmlformats.org/drawingml/2006/picture">
                <pic:pic xmlns:pic="http://schemas.openxmlformats.org/drawingml/2006/picture">
                  <pic:nvPicPr>
                    <pic:cNvPr id="0" name="image41.png"/>
                    <pic:cNvPicPr preferRelativeResize="0"/>
                  </pic:nvPicPr>
                  <pic:blipFill>
                    <a:blip r:embed="rId43"/>
                    <a:srcRect/>
                    <a:stretch>
                      <a:fillRect/>
                    </a:stretch>
                  </pic:blipFill>
                  <pic:spPr>
                    <a:xfrm>
                      <a:off x="0" y="0"/>
                      <a:ext cx="5791200" cy="4038600"/>
                    </a:xfrm>
                    <a:prstGeom prst="rect">
                      <a:avLst/>
                    </a:prstGeom>
                    <a:ln/>
                  </pic:spPr>
                </pic:pic>
              </a:graphicData>
            </a:graphic>
          </wp:inline>
        </w:drawing>
      </w:r>
    </w:p>
    <w:p w14:paraId="24BE797D" w14:textId="77777777" w:rsidR="0081565C" w:rsidRDefault="00C45D4B">
      <w:pPr>
        <w:jc w:val="center"/>
        <w:rPr>
          <w:b/>
          <w:bCs/>
        </w:rPr>
      </w:pPr>
      <w:r>
        <w:rPr>
          <w:b/>
          <w:bCs/>
        </w:rPr>
        <w:t>Figure 25: IRR</w:t>
      </w:r>
    </w:p>
    <w:p w14:paraId="24BE797E" w14:textId="77777777" w:rsidR="0081565C" w:rsidRDefault="00C45D4B">
      <w:pPr>
        <w:jc w:val="center"/>
      </w:pPr>
      <w:r>
        <w:t>(Source: Self-Developed)</w:t>
      </w:r>
    </w:p>
    <w:p w14:paraId="24BE797F" w14:textId="77777777" w:rsidR="0081565C" w:rsidRDefault="00C45D4B">
      <w:r>
        <w:t>The PV value of Project B has declined from £10.19m in year 1 to £7.49m in year 5. On the other hand, the IRR growth of the business plan has also reduced to 3.61% due to low project value. Thus, the decline in investments has reduced the revenue enhancement of the business plan.</w:t>
      </w:r>
    </w:p>
    <w:p w14:paraId="24BE7980" w14:textId="77777777" w:rsidR="0081565C" w:rsidRDefault="00C45D4B">
      <w:pPr>
        <w:jc w:val="center"/>
      </w:pPr>
      <w:r>
        <w:rPr>
          <w:noProof/>
        </w:rPr>
        <w:drawing>
          <wp:inline distT="114300" distB="114300" distL="114300" distR="114300" wp14:anchorId="24BE7C44" wp14:editId="24BE7C45">
            <wp:extent cx="5772150" cy="2276475"/>
            <wp:effectExtent l="0" t="0" r="0" b="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44"/>
                    <a:srcRect/>
                    <a:stretch>
                      <a:fillRect/>
                    </a:stretch>
                  </pic:blipFill>
                  <pic:spPr>
                    <a:xfrm>
                      <a:off x="0" y="0"/>
                      <a:ext cx="5772150" cy="2276475"/>
                    </a:xfrm>
                    <a:prstGeom prst="rect">
                      <a:avLst/>
                    </a:prstGeom>
                    <a:ln/>
                  </pic:spPr>
                </pic:pic>
              </a:graphicData>
            </a:graphic>
          </wp:inline>
        </w:drawing>
      </w:r>
    </w:p>
    <w:p w14:paraId="24BE7981" w14:textId="77777777" w:rsidR="0081565C" w:rsidRDefault="00C45D4B">
      <w:pPr>
        <w:jc w:val="center"/>
        <w:rPr>
          <w:b/>
          <w:bCs/>
        </w:rPr>
      </w:pPr>
      <w:r>
        <w:rPr>
          <w:b/>
          <w:bCs/>
        </w:rPr>
        <w:lastRenderedPageBreak/>
        <w:t>Figure 26: PI</w:t>
      </w:r>
    </w:p>
    <w:p w14:paraId="24BE7982" w14:textId="77777777" w:rsidR="0081565C" w:rsidRDefault="00C45D4B">
      <w:pPr>
        <w:jc w:val="center"/>
      </w:pPr>
      <w:r>
        <w:t>(Source: Self-Developed)</w:t>
      </w:r>
    </w:p>
    <w:p w14:paraId="24BE7983" w14:textId="77777777" w:rsidR="0081565C" w:rsidRDefault="00C45D4B">
      <w:r>
        <w:t xml:space="preserve">The "Profitability Index” score of Project B is 0.88 that signifies lower income growth of the investment operations. Thus, the decline in the profits will reduce the goodwill of the business plan among investors </w:t>
      </w:r>
    </w:p>
    <w:p w14:paraId="24BE7984" w14:textId="77777777" w:rsidR="0081565C" w:rsidRDefault="00C45D4B">
      <w:pPr>
        <w:pStyle w:val="Heading3"/>
      </w:pPr>
      <w:bookmarkStart w:id="44" w:name="_Toc236412217"/>
      <w:r>
        <w:t>4.2.3 Project C Appraisal</w:t>
      </w:r>
      <w:bookmarkEnd w:id="44"/>
    </w:p>
    <w:p w14:paraId="24BE7985" w14:textId="77777777" w:rsidR="0081565C" w:rsidRDefault="00C45D4B">
      <w:pPr>
        <w:jc w:val="center"/>
      </w:pPr>
      <w:r>
        <w:rPr>
          <w:noProof/>
        </w:rPr>
        <w:drawing>
          <wp:inline distT="114300" distB="114300" distL="114300" distR="114300" wp14:anchorId="24BE7C46" wp14:editId="24BE7C47">
            <wp:extent cx="5772150" cy="1885950"/>
            <wp:effectExtent l="0" t="0" r="0" b="0"/>
            <wp:docPr id="29"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45"/>
                    <a:srcRect/>
                    <a:stretch>
                      <a:fillRect/>
                    </a:stretch>
                  </pic:blipFill>
                  <pic:spPr>
                    <a:xfrm>
                      <a:off x="0" y="0"/>
                      <a:ext cx="5772150" cy="1885950"/>
                    </a:xfrm>
                    <a:prstGeom prst="rect">
                      <a:avLst/>
                    </a:prstGeom>
                    <a:ln/>
                  </pic:spPr>
                </pic:pic>
              </a:graphicData>
            </a:graphic>
          </wp:inline>
        </w:drawing>
      </w:r>
    </w:p>
    <w:p w14:paraId="24BE7986" w14:textId="77777777" w:rsidR="0081565C" w:rsidRDefault="00C45D4B">
      <w:pPr>
        <w:jc w:val="center"/>
        <w:rPr>
          <w:b/>
          <w:bCs/>
        </w:rPr>
      </w:pPr>
      <w:r>
        <w:rPr>
          <w:b/>
          <w:bCs/>
        </w:rPr>
        <w:t>Figure 27: NPV</w:t>
      </w:r>
    </w:p>
    <w:p w14:paraId="24BE7987" w14:textId="77777777" w:rsidR="0081565C" w:rsidRDefault="00C45D4B">
      <w:pPr>
        <w:jc w:val="center"/>
        <w:rPr>
          <w:b/>
          <w:bCs/>
        </w:rPr>
      </w:pPr>
      <w:r>
        <w:t>(Source: Self-Developed)</w:t>
      </w:r>
    </w:p>
    <w:p w14:paraId="24BE7988" w14:textId="77777777" w:rsidR="0081565C" w:rsidRDefault="00C45D4B">
      <w:r>
        <w:t xml:space="preserve">Project C has a present value £-50m, with its total cash inflow about £65m and the total NPV is about £0.87m. The positive NPV lowers the initial cost by ability to raise its capital, which leads to a boost in overall sales volume of the business by refinancing of debt. </w:t>
      </w:r>
    </w:p>
    <w:p w14:paraId="24BE7989" w14:textId="77777777" w:rsidR="0081565C" w:rsidRDefault="00C45D4B">
      <w:pPr>
        <w:jc w:val="center"/>
      </w:pPr>
      <w:r>
        <w:rPr>
          <w:noProof/>
        </w:rPr>
        <w:drawing>
          <wp:inline distT="114300" distB="114300" distL="114300" distR="114300" wp14:anchorId="24BE7C48" wp14:editId="24BE7C49">
            <wp:extent cx="5762625" cy="2228850"/>
            <wp:effectExtent l="0" t="0" r="0" b="0"/>
            <wp:docPr id="22"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46"/>
                    <a:srcRect/>
                    <a:stretch>
                      <a:fillRect/>
                    </a:stretch>
                  </pic:blipFill>
                  <pic:spPr>
                    <a:xfrm>
                      <a:off x="0" y="0"/>
                      <a:ext cx="5762625" cy="2228850"/>
                    </a:xfrm>
                    <a:prstGeom prst="rect">
                      <a:avLst/>
                    </a:prstGeom>
                    <a:ln/>
                  </pic:spPr>
                </pic:pic>
              </a:graphicData>
            </a:graphic>
          </wp:inline>
        </w:drawing>
      </w:r>
    </w:p>
    <w:p w14:paraId="24BE798A" w14:textId="77777777" w:rsidR="0081565C" w:rsidRDefault="00C45D4B">
      <w:pPr>
        <w:jc w:val="center"/>
        <w:rPr>
          <w:b/>
          <w:bCs/>
        </w:rPr>
      </w:pPr>
      <w:r>
        <w:rPr>
          <w:b/>
          <w:bCs/>
        </w:rPr>
        <w:t>Figure 28: PBP</w:t>
      </w:r>
    </w:p>
    <w:p w14:paraId="24BE798B" w14:textId="77777777" w:rsidR="0081565C" w:rsidRDefault="00C45D4B">
      <w:pPr>
        <w:jc w:val="center"/>
        <w:rPr>
          <w:b/>
          <w:bCs/>
        </w:rPr>
      </w:pPr>
      <w:r>
        <w:t>(Source: Self-Developed)</w:t>
      </w:r>
    </w:p>
    <w:p w14:paraId="24BE798C" w14:textId="77777777" w:rsidR="0081565C" w:rsidRDefault="00C45D4B">
      <w:r>
        <w:lastRenderedPageBreak/>
        <w:t>The PBP for Project C is 3.60 years, managing its cash flow of about £25m in Year 4, which lowers the risk of addressing faster cash flow. Project C reduces its cash exposure by highlighting long-term shifts for value creation of the project.</w:t>
      </w:r>
    </w:p>
    <w:p w14:paraId="24BE798D" w14:textId="77777777" w:rsidR="0081565C" w:rsidRDefault="00C45D4B">
      <w:pPr>
        <w:jc w:val="center"/>
      </w:pPr>
      <w:r>
        <w:rPr>
          <w:noProof/>
        </w:rPr>
        <w:drawing>
          <wp:inline distT="114300" distB="114300" distL="114300" distR="114300" wp14:anchorId="24BE7C4A" wp14:editId="24BE7C4B">
            <wp:extent cx="5781675" cy="1495425"/>
            <wp:effectExtent l="0" t="0" r="0" b="0"/>
            <wp:docPr id="24"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47"/>
                    <a:srcRect/>
                    <a:stretch>
                      <a:fillRect/>
                    </a:stretch>
                  </pic:blipFill>
                  <pic:spPr>
                    <a:xfrm>
                      <a:off x="0" y="0"/>
                      <a:ext cx="5781675" cy="1495425"/>
                    </a:xfrm>
                    <a:prstGeom prst="rect">
                      <a:avLst/>
                    </a:prstGeom>
                    <a:ln/>
                  </pic:spPr>
                </pic:pic>
              </a:graphicData>
            </a:graphic>
          </wp:inline>
        </w:drawing>
      </w:r>
    </w:p>
    <w:p w14:paraId="24BE798E" w14:textId="77777777" w:rsidR="0081565C" w:rsidRDefault="00C45D4B">
      <w:pPr>
        <w:jc w:val="center"/>
        <w:rPr>
          <w:b/>
          <w:bCs/>
        </w:rPr>
      </w:pPr>
      <w:r>
        <w:rPr>
          <w:b/>
          <w:bCs/>
        </w:rPr>
        <w:t>Figure 29: ARR</w:t>
      </w:r>
    </w:p>
    <w:p w14:paraId="24BE798F" w14:textId="77777777" w:rsidR="0081565C" w:rsidRDefault="00C45D4B">
      <w:pPr>
        <w:jc w:val="center"/>
        <w:rPr>
          <w:b/>
          <w:bCs/>
        </w:rPr>
      </w:pPr>
      <w:r>
        <w:t>(Source: Self-Developed)</w:t>
      </w:r>
    </w:p>
    <w:p w14:paraId="24BE7990" w14:textId="77777777" w:rsidR="0081565C" w:rsidRDefault="00C45D4B">
      <w:r>
        <w:t xml:space="preserve">Project C has an ARR of about 12.0%, with its annual profit of about £3m addressed by accessing the revenue of the project. This rise in ARR is achieved in acquiring new customers, highlighting stable progress to respond with failure in the market. </w:t>
      </w:r>
    </w:p>
    <w:p w14:paraId="24BE7991" w14:textId="77777777" w:rsidR="0081565C" w:rsidRDefault="00C45D4B">
      <w:pPr>
        <w:jc w:val="center"/>
      </w:pPr>
      <w:r>
        <w:rPr>
          <w:noProof/>
        </w:rPr>
        <w:drawing>
          <wp:inline distT="114300" distB="114300" distL="114300" distR="114300" wp14:anchorId="24BE7C4C" wp14:editId="24BE7C4D">
            <wp:extent cx="5781675" cy="4048125"/>
            <wp:effectExtent l="0" t="0" r="0" b="0"/>
            <wp:docPr id="31"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48"/>
                    <a:srcRect/>
                    <a:stretch>
                      <a:fillRect/>
                    </a:stretch>
                  </pic:blipFill>
                  <pic:spPr>
                    <a:xfrm>
                      <a:off x="0" y="0"/>
                      <a:ext cx="5781675" cy="4048125"/>
                    </a:xfrm>
                    <a:prstGeom prst="rect">
                      <a:avLst/>
                    </a:prstGeom>
                    <a:ln/>
                  </pic:spPr>
                </pic:pic>
              </a:graphicData>
            </a:graphic>
          </wp:inline>
        </w:drawing>
      </w:r>
    </w:p>
    <w:p w14:paraId="24BE7992" w14:textId="77777777" w:rsidR="0081565C" w:rsidRDefault="00C45D4B">
      <w:pPr>
        <w:jc w:val="center"/>
        <w:rPr>
          <w:b/>
          <w:bCs/>
        </w:rPr>
      </w:pPr>
      <w:r>
        <w:rPr>
          <w:b/>
          <w:bCs/>
        </w:rPr>
        <w:t>Figure 30: IRR</w:t>
      </w:r>
    </w:p>
    <w:p w14:paraId="24BE7993" w14:textId="77777777" w:rsidR="0081565C" w:rsidRDefault="00C45D4B">
      <w:pPr>
        <w:jc w:val="center"/>
        <w:rPr>
          <w:b/>
          <w:bCs/>
        </w:rPr>
      </w:pPr>
      <w:r>
        <w:lastRenderedPageBreak/>
        <w:t>(Source: Self-Developed)</w:t>
      </w:r>
    </w:p>
    <w:p w14:paraId="24BE7994" w14:textId="77777777" w:rsidR="0081565C" w:rsidRDefault="00C45D4B">
      <w:r>
        <w:t xml:space="preserve"> Project C has an IRR rate of about 8.61% with its PV of £0.87m at an 8% discount rate and £1.98m at 10% discount rate. 8.61% IRR is considered good, due to stable debt and the ability to invest on bonds to reduce debt which leads to low risk at the project. </w:t>
      </w:r>
    </w:p>
    <w:p w14:paraId="24BE7995" w14:textId="77777777" w:rsidR="0081565C" w:rsidRDefault="00C45D4B">
      <w:pPr>
        <w:jc w:val="center"/>
      </w:pPr>
      <w:r>
        <w:rPr>
          <w:noProof/>
        </w:rPr>
        <w:drawing>
          <wp:inline distT="114300" distB="114300" distL="114300" distR="114300" wp14:anchorId="24BE7C4E" wp14:editId="24BE7C4F">
            <wp:extent cx="5791200" cy="2228850"/>
            <wp:effectExtent l="0" t="0" r="0" b="0"/>
            <wp:docPr id="33"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49"/>
                    <a:srcRect/>
                    <a:stretch>
                      <a:fillRect/>
                    </a:stretch>
                  </pic:blipFill>
                  <pic:spPr>
                    <a:xfrm>
                      <a:off x="0" y="0"/>
                      <a:ext cx="5791200" cy="2228850"/>
                    </a:xfrm>
                    <a:prstGeom prst="rect">
                      <a:avLst/>
                    </a:prstGeom>
                    <a:ln/>
                  </pic:spPr>
                </pic:pic>
              </a:graphicData>
            </a:graphic>
          </wp:inline>
        </w:drawing>
      </w:r>
    </w:p>
    <w:p w14:paraId="24BE7996" w14:textId="77777777" w:rsidR="0081565C" w:rsidRDefault="00C45D4B">
      <w:pPr>
        <w:jc w:val="center"/>
        <w:rPr>
          <w:b/>
          <w:bCs/>
        </w:rPr>
      </w:pPr>
      <w:r>
        <w:rPr>
          <w:b/>
          <w:bCs/>
        </w:rPr>
        <w:t xml:space="preserve">Figure 31: PI </w:t>
      </w:r>
    </w:p>
    <w:p w14:paraId="24BE7997" w14:textId="77777777" w:rsidR="0081565C" w:rsidRDefault="00C45D4B">
      <w:pPr>
        <w:jc w:val="center"/>
      </w:pPr>
      <w:r>
        <w:t>(Source: Self-Developed)</w:t>
      </w:r>
    </w:p>
    <w:p w14:paraId="24BE7998" w14:textId="77777777" w:rsidR="0081565C" w:rsidRDefault="00C45D4B">
      <w:r>
        <w:t xml:space="preserve">Project C has a PI of about £1.02m, with its profit volume about £50.87m, which is due to positive NPV with its initial investment in managing cash. This enhances the positive return by accessing errors in managing cash flow and significant investment in managing cash return. </w:t>
      </w:r>
    </w:p>
    <w:p w14:paraId="24BE7999" w14:textId="77777777" w:rsidR="0081565C" w:rsidRDefault="00C45D4B">
      <w:pPr>
        <w:pStyle w:val="Heading2"/>
      </w:pPr>
      <w:bookmarkStart w:id="45" w:name="_Toc236412218"/>
      <w:r>
        <w:t>4.3 Recommendation based on the company financial performance</w:t>
      </w:r>
      <w:bookmarkEnd w:id="45"/>
      <w:r>
        <w:t xml:space="preserve"> </w:t>
      </w:r>
    </w:p>
    <w:p w14:paraId="24BE799A" w14:textId="77777777" w:rsidR="0081565C" w:rsidRDefault="00C45D4B">
      <w:pPr>
        <w:pStyle w:val="Heading3"/>
      </w:pPr>
      <w:bookmarkStart w:id="46" w:name="_Toc236412219"/>
      <w:r>
        <w:t>4.3.1 Selection of project</w:t>
      </w:r>
      <w:bookmarkEnd w:id="46"/>
      <w:r>
        <w:t xml:space="preserve"> </w:t>
      </w:r>
    </w:p>
    <w:p w14:paraId="24BE799B" w14:textId="77777777" w:rsidR="0081565C" w:rsidRDefault="00C45D4B">
      <w:r>
        <w:t xml:space="preserve">From the overall project, Project C is the reliable option with its positive NPV, which leads to enhanced wealth for the shareholders. This project has a high ARR, accessing overall profit along with initial investment. IRR rate is financially acceptable, as it manages cash flow by reinvestment process. </w:t>
      </w:r>
    </w:p>
    <w:p w14:paraId="24BE799C" w14:textId="77777777" w:rsidR="0081565C" w:rsidRDefault="00C45D4B">
      <w:pPr>
        <w:pStyle w:val="Heading3"/>
      </w:pPr>
      <w:bookmarkStart w:id="47" w:name="_Toc236412220"/>
      <w:r>
        <w:t>4.3.2 Financial performance</w:t>
      </w:r>
      <w:bookmarkEnd w:id="47"/>
      <w:r>
        <w:t xml:space="preserve"> </w:t>
      </w:r>
    </w:p>
    <w:p w14:paraId="24BE799D" w14:textId="77777777" w:rsidR="0081565C" w:rsidRDefault="00C45D4B">
      <w:pPr>
        <w:numPr>
          <w:ilvl w:val="0"/>
          <w:numId w:val="3"/>
        </w:numPr>
        <w:rPr>
          <w:b/>
          <w:bCs/>
        </w:rPr>
      </w:pPr>
      <w:r>
        <w:rPr>
          <w:b/>
          <w:bCs/>
        </w:rPr>
        <w:t>Liquidity</w:t>
      </w:r>
    </w:p>
    <w:p w14:paraId="24BE799E" w14:textId="77777777" w:rsidR="0081565C" w:rsidRDefault="00C45D4B">
      <w:r>
        <w:t xml:space="preserve">The adoption of Project C will provide opportunities for Whitbread in enhancing its cash flow value by £10m that will also strengthen its internal financial structure. As an example, the company has increased its property investments by £1.5bn for expanding its infrastructural units and catering the needs of a large consumer base (LSE, 2026). Thus, </w:t>
      </w:r>
      <w:r>
        <w:lastRenderedPageBreak/>
        <w:t>the strengthening of the cash flow position has assisted Whitbread in overcoming the financial crisis.</w:t>
      </w:r>
    </w:p>
    <w:p w14:paraId="24BE799F" w14:textId="77777777" w:rsidR="0081565C" w:rsidRDefault="00C45D4B">
      <w:pPr>
        <w:numPr>
          <w:ilvl w:val="0"/>
          <w:numId w:val="10"/>
        </w:numPr>
        <w:rPr>
          <w:b/>
          <w:bCs/>
        </w:rPr>
      </w:pPr>
      <w:r>
        <w:rPr>
          <w:b/>
          <w:bCs/>
        </w:rPr>
        <w:t xml:space="preserve">Profitability </w:t>
      </w:r>
    </w:p>
    <w:p w14:paraId="24BE79A0" w14:textId="77777777" w:rsidR="0081565C" w:rsidRDefault="00C45D4B">
      <w:r>
        <w:t xml:space="preserve">Project C will also provide a higher PI score of 1.03 to Whitbread Plc that will assist in improving the market position of the </w:t>
      </w:r>
      <w:proofErr w:type="spellStart"/>
      <w:r>
        <w:t>organisation</w:t>
      </w:r>
      <w:proofErr w:type="spellEnd"/>
      <w:r>
        <w:t>. The company will achieve a net income growth of 12% due to steady consumer demands in 2029. Thus, the adoption of the long-term project investment strategy will help Whitbread Plc in strengthening its brand image and acquire competitive advantage.</w:t>
      </w:r>
    </w:p>
    <w:p w14:paraId="24BE79A1" w14:textId="77777777" w:rsidR="0081565C" w:rsidRDefault="00C45D4B">
      <w:pPr>
        <w:jc w:val="center"/>
      </w:pPr>
      <w:r>
        <w:rPr>
          <w:noProof/>
        </w:rPr>
        <w:drawing>
          <wp:inline distT="114300" distB="114300" distL="114300" distR="114300" wp14:anchorId="24BE7C50" wp14:editId="64697040">
            <wp:extent cx="3371850" cy="2543175"/>
            <wp:effectExtent l="0" t="0" r="0" b="9525"/>
            <wp:docPr id="32"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50"/>
                    <a:srcRect/>
                    <a:stretch>
                      <a:fillRect/>
                    </a:stretch>
                  </pic:blipFill>
                  <pic:spPr>
                    <a:xfrm>
                      <a:off x="0" y="0"/>
                      <a:ext cx="3371850" cy="2543175"/>
                    </a:xfrm>
                    <a:prstGeom prst="rect">
                      <a:avLst/>
                    </a:prstGeom>
                    <a:ln/>
                  </pic:spPr>
                </pic:pic>
              </a:graphicData>
            </a:graphic>
          </wp:inline>
        </w:drawing>
      </w:r>
    </w:p>
    <w:p w14:paraId="24BE79A2" w14:textId="77777777" w:rsidR="0081565C" w:rsidRDefault="00C45D4B">
      <w:pPr>
        <w:jc w:val="center"/>
        <w:rPr>
          <w:b/>
          <w:bCs/>
        </w:rPr>
      </w:pPr>
      <w:r>
        <w:rPr>
          <w:b/>
          <w:bCs/>
        </w:rPr>
        <w:t>Figure 32: Net Income Growth</w:t>
      </w:r>
    </w:p>
    <w:p w14:paraId="24BE79A3" w14:textId="77777777" w:rsidR="0081565C" w:rsidRDefault="00C45D4B">
      <w:pPr>
        <w:jc w:val="center"/>
      </w:pPr>
      <w:r>
        <w:t>(Source: Market Screener, 2026)</w:t>
      </w:r>
    </w:p>
    <w:p w14:paraId="24BE79A4" w14:textId="77777777" w:rsidR="0081565C" w:rsidRDefault="00C45D4B">
      <w:pPr>
        <w:pStyle w:val="Heading3"/>
      </w:pPr>
      <w:bookmarkStart w:id="48" w:name="_Toc236412221"/>
      <w:r>
        <w:t>4.3.3 Non-Financial Risk</w:t>
      </w:r>
      <w:bookmarkEnd w:id="48"/>
      <w:r>
        <w:t xml:space="preserve"> </w:t>
      </w:r>
    </w:p>
    <w:p w14:paraId="24BE79A5" w14:textId="77777777" w:rsidR="0081565C" w:rsidRDefault="00C45D4B">
      <w:pPr>
        <w:numPr>
          <w:ilvl w:val="0"/>
          <w:numId w:val="5"/>
        </w:numPr>
        <w:rPr>
          <w:b/>
          <w:bCs/>
        </w:rPr>
      </w:pPr>
      <w:r>
        <w:rPr>
          <w:b/>
          <w:bCs/>
        </w:rPr>
        <w:t xml:space="preserve">Customer loyalty </w:t>
      </w:r>
    </w:p>
    <w:p w14:paraId="24BE79A6" w14:textId="77777777" w:rsidR="0081565C" w:rsidRDefault="00C45D4B">
      <w:r>
        <w:t xml:space="preserve">Project C has a strong cash inflow to build a loyal customer base, which reduces borrowing risk. In UK hospitals, changes in consumer preferences are based on “digital booking", service quality and sustainability initiatives enhance the reputation of the brand. Whitbread Plc has 73% of loyal customers relying on the quality of the accommodation facilities, enhancing operational capability (Whitbread, 2024). This leads to high rates of guest retention and repeat customer leads to enhance overall profit of business. </w:t>
      </w:r>
    </w:p>
    <w:p w14:paraId="24BE79A7" w14:textId="77777777" w:rsidR="0081565C" w:rsidRDefault="00C45D4B">
      <w:pPr>
        <w:jc w:val="center"/>
      </w:pPr>
      <w:r>
        <w:rPr>
          <w:noProof/>
        </w:rPr>
        <w:lastRenderedPageBreak/>
        <w:drawing>
          <wp:inline distT="114300" distB="114300" distL="114300" distR="114300" wp14:anchorId="24BE7C52" wp14:editId="71BE6BC2">
            <wp:extent cx="5276850" cy="2400300"/>
            <wp:effectExtent l="0" t="0" r="0" b="0"/>
            <wp:docPr id="16"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51"/>
                    <a:srcRect/>
                    <a:stretch>
                      <a:fillRect/>
                    </a:stretch>
                  </pic:blipFill>
                  <pic:spPr>
                    <a:xfrm>
                      <a:off x="0" y="0"/>
                      <a:ext cx="5276850" cy="2400300"/>
                    </a:xfrm>
                    <a:prstGeom prst="rect">
                      <a:avLst/>
                    </a:prstGeom>
                    <a:ln/>
                  </pic:spPr>
                </pic:pic>
              </a:graphicData>
            </a:graphic>
          </wp:inline>
        </w:drawing>
      </w:r>
      <w:r>
        <w:t xml:space="preserve"> </w:t>
      </w:r>
    </w:p>
    <w:p w14:paraId="24BE79A8" w14:textId="77777777" w:rsidR="0081565C" w:rsidRDefault="00C45D4B">
      <w:pPr>
        <w:jc w:val="center"/>
        <w:rPr>
          <w:b/>
          <w:bCs/>
        </w:rPr>
      </w:pPr>
      <w:r>
        <w:rPr>
          <w:b/>
          <w:bCs/>
        </w:rPr>
        <w:t xml:space="preserve"> Figure 33: customer loyalty </w:t>
      </w:r>
    </w:p>
    <w:p w14:paraId="24BE79A9" w14:textId="77777777" w:rsidR="0081565C" w:rsidRDefault="00C45D4B">
      <w:pPr>
        <w:jc w:val="center"/>
      </w:pPr>
      <w:r>
        <w:t>(Source: Whitbread, 2024)</w:t>
      </w:r>
    </w:p>
    <w:p w14:paraId="24BE79AA" w14:textId="77777777" w:rsidR="0081565C" w:rsidRDefault="00C45D4B">
      <w:pPr>
        <w:numPr>
          <w:ilvl w:val="0"/>
          <w:numId w:val="12"/>
        </w:numPr>
        <w:rPr>
          <w:b/>
          <w:bCs/>
        </w:rPr>
      </w:pPr>
      <w:r>
        <w:rPr>
          <w:b/>
          <w:bCs/>
        </w:rPr>
        <w:t xml:space="preserve">Political risk </w:t>
      </w:r>
    </w:p>
    <w:p w14:paraId="24BE79AB" w14:textId="77777777" w:rsidR="0081565C" w:rsidRDefault="00C45D4B">
      <w:r>
        <w:t xml:space="preserve">Project C faced political risk due to rises in operational costs and changes in taxation affecting the overall reputation of the project. Whitbread Plc raised its business rate about £40–50 million due to changes in tax affecting overall cash flow of the business. This in turn leads to strategic changes in business planning due to weaker consumer spending. </w:t>
      </w:r>
    </w:p>
    <w:p w14:paraId="24BE79AC" w14:textId="77777777" w:rsidR="0081565C" w:rsidRDefault="00C45D4B">
      <w:pPr>
        <w:pStyle w:val="Heading2"/>
      </w:pPr>
      <w:bookmarkStart w:id="49" w:name="_Toc236412222"/>
      <w:r>
        <w:t>4.4 Capital Rationing Analysis (£100 Million Limit)</w:t>
      </w:r>
      <w:bookmarkEnd w:id="49"/>
      <w:r>
        <w:t xml:space="preserve"> </w:t>
      </w:r>
    </w:p>
    <w:p w14:paraId="24BE79AD" w14:textId="22AFA1EB" w:rsidR="0081565C" w:rsidRDefault="00C45D4B">
      <w:r>
        <w:t xml:space="preserve">The capital allocation of £100 Million Limit also makes project B and project C most suitable optimal investment while maintaining a combined NPV position -£5.20 million. It is also the highest NPV with </w:t>
      </w:r>
      <w:r w:rsidR="0087763C">
        <w:t>PI</w:t>
      </w:r>
      <w:r>
        <w:t xml:space="preserve"> value 0.95 and ARR value 8% ensuring smooth investment recovery through a </w:t>
      </w:r>
      <w:proofErr w:type="gramStart"/>
      <w:r>
        <w:t>five year</w:t>
      </w:r>
      <w:proofErr w:type="gramEnd"/>
      <w:r>
        <w:t xml:space="preserve"> time period. Overall, lesser payback with 4 </w:t>
      </w:r>
      <w:r w:rsidR="0087763C">
        <w:t>years’ time</w:t>
      </w:r>
      <w:r>
        <w:t xml:space="preserve"> period also indicated positive investment flow in project B and C combination.</w:t>
      </w:r>
    </w:p>
    <w:p w14:paraId="24BE79AE" w14:textId="77777777" w:rsidR="0081565C" w:rsidRDefault="00C45D4B">
      <w:pPr>
        <w:jc w:val="center"/>
      </w:pPr>
      <w:r>
        <w:rPr>
          <w:noProof/>
        </w:rPr>
        <w:drawing>
          <wp:inline distT="114300" distB="114300" distL="114300" distR="114300" wp14:anchorId="24BE7C54" wp14:editId="24BE7C55">
            <wp:extent cx="5781675" cy="1866900"/>
            <wp:effectExtent l="0" t="0" r="0" b="0"/>
            <wp:docPr id="38"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52"/>
                    <a:srcRect/>
                    <a:stretch>
                      <a:fillRect/>
                    </a:stretch>
                  </pic:blipFill>
                  <pic:spPr>
                    <a:xfrm>
                      <a:off x="0" y="0"/>
                      <a:ext cx="5781675" cy="1866900"/>
                    </a:xfrm>
                    <a:prstGeom prst="rect">
                      <a:avLst/>
                    </a:prstGeom>
                    <a:ln/>
                  </pic:spPr>
                </pic:pic>
              </a:graphicData>
            </a:graphic>
          </wp:inline>
        </w:drawing>
      </w:r>
    </w:p>
    <w:p w14:paraId="24BE79AF" w14:textId="77777777" w:rsidR="0081565C" w:rsidRDefault="00C45D4B">
      <w:pPr>
        <w:jc w:val="center"/>
        <w:rPr>
          <w:b/>
          <w:bCs/>
        </w:rPr>
      </w:pPr>
      <w:r>
        <w:rPr>
          <w:b/>
          <w:bCs/>
        </w:rPr>
        <w:t>Figure 34: Capital rationing</w:t>
      </w:r>
    </w:p>
    <w:p w14:paraId="24BE79B0" w14:textId="77777777" w:rsidR="0081565C" w:rsidRDefault="00C45D4B">
      <w:pPr>
        <w:jc w:val="center"/>
      </w:pPr>
      <w:r>
        <w:lastRenderedPageBreak/>
        <w:t>(Source: Self-developed)</w:t>
      </w:r>
    </w:p>
    <w:p w14:paraId="24BE79B1" w14:textId="77777777" w:rsidR="0081565C" w:rsidRDefault="00C45D4B">
      <w:r>
        <w:br w:type="page"/>
      </w:r>
    </w:p>
    <w:p w14:paraId="24BE79B2" w14:textId="77777777" w:rsidR="0081565C" w:rsidRDefault="00C45D4B">
      <w:pPr>
        <w:pStyle w:val="Heading1"/>
      </w:pPr>
      <w:bookmarkStart w:id="50" w:name="_Toc236412223"/>
      <w:r>
        <w:lastRenderedPageBreak/>
        <w:t>5. Critical Reflection on Artificial Intelligence Usage</w:t>
      </w:r>
      <w:bookmarkEnd w:id="50"/>
      <w:r>
        <w:t xml:space="preserve"> </w:t>
      </w:r>
    </w:p>
    <w:p w14:paraId="24BE79B3" w14:textId="77777777" w:rsidR="0081565C" w:rsidRDefault="00C45D4B">
      <w:pPr>
        <w:pStyle w:val="Heading2"/>
      </w:pPr>
      <w:bookmarkStart w:id="51" w:name="_Toc236412224"/>
      <w:r>
        <w:t>5.1 AI tools and Acknowledgement</w:t>
      </w:r>
      <w:bookmarkEnd w:id="51"/>
      <w:r>
        <w:t xml:space="preserve"> </w:t>
      </w:r>
    </w:p>
    <w:p w14:paraId="24BE79B4" w14:textId="1D2DAD90" w:rsidR="0081565C" w:rsidRDefault="00C45D4B">
      <w:r>
        <w:t xml:space="preserve">The adoption of ChatGPT, Gemini and Claude are more effective for completing this task by providing reliable financial </w:t>
      </w:r>
      <w:r w:rsidR="00526A91">
        <w:t xml:space="preserve">ratio making </w:t>
      </w:r>
      <w:r>
        <w:t xml:space="preserve">information and drawing conclusions in achieving project objectives (Wójcik et al., 2025). The uses of these tools serve reliable information regarding financial concepts, investment proposals, accounting procedures and financial formula of ratios for accessing trends of the business. However, this tool provides </w:t>
      </w:r>
      <w:proofErr w:type="spellStart"/>
      <w:r>
        <w:t>generalised</w:t>
      </w:r>
      <w:proofErr w:type="spellEnd"/>
      <w:r>
        <w:t xml:space="preserve"> help to assess the financial value of slightly differ that is addressed in analyzing the annual report of the company for reliable decision-making. Predictive forecasting of the company is accessed verifying past data and trends in highlighting cash flow and revenue (</w:t>
      </w:r>
      <w:proofErr w:type="spellStart"/>
      <w:r>
        <w:t>Jenčová</w:t>
      </w:r>
      <w:proofErr w:type="spellEnd"/>
      <w:r>
        <w:t xml:space="preserve"> et al., 2025). The financial instruction provided by the prompt serves structured results such as cash flow planning and variance analysis, and enhances professional integrity. In order to gather financial predictions, the use of Excel tools is more reliable to predict accurate results by ability to achieve reliable insights. </w:t>
      </w:r>
    </w:p>
    <w:p w14:paraId="24BE79B5" w14:textId="77777777" w:rsidR="0081565C" w:rsidRDefault="00C45D4B">
      <w:pPr>
        <w:pStyle w:val="Heading2"/>
      </w:pPr>
      <w:bookmarkStart w:id="52" w:name="_Toc236412225"/>
      <w:r>
        <w:t>5.2 Evaluation of AI Outputs</w:t>
      </w:r>
      <w:bookmarkEnd w:id="52"/>
      <w:r>
        <w:t xml:space="preserve"> </w:t>
      </w:r>
    </w:p>
    <w:p w14:paraId="24BE79B6" w14:textId="7C682940" w:rsidR="0081565C" w:rsidRDefault="00C45D4B">
      <w:r>
        <w:t xml:space="preserve">“Cross-Document Verification” and “Retrieval-Augmented Generation” are methods used for accessing financial interpretation (Malali, 2025). Use of this method helps to carry out financial insights and cash flow statements of the business. Verifying accuracy in information is carried out by the use of annual reports by preventing hallucinations. AI-generated output gathered along with the use of ChatGPT, Gemini, and Claude enhances overall accuracy in describing reliable information. The financial information used for accomplishing this task includes liquidity, profitability, solvency, and investment ratios (Agusta and Hati, 2018). These calculations are supported by Excel analysis with manual putting data for preventing disparity provided in AI </w:t>
      </w:r>
      <w:proofErr w:type="spellStart"/>
      <w:r>
        <w:t>recognisation</w:t>
      </w:r>
      <w:proofErr w:type="spellEnd"/>
      <w:r>
        <w:t xml:space="preserve">. “Potential hallucinations” are identified by accessing AI-generated information throughout the research and use of original source checking by following potential integrity. </w:t>
      </w:r>
    </w:p>
    <w:p w14:paraId="24BE79B7" w14:textId="77777777" w:rsidR="0081565C" w:rsidRDefault="00C45D4B">
      <w:pPr>
        <w:pStyle w:val="Heading2"/>
      </w:pPr>
      <w:bookmarkStart w:id="53" w:name="_Toc236412226"/>
      <w:r>
        <w:t>5.3 Contribution Analysis</w:t>
      </w:r>
      <w:bookmarkEnd w:id="53"/>
      <w:r>
        <w:t xml:space="preserve"> </w:t>
      </w:r>
    </w:p>
    <w:p w14:paraId="24BE79B8" w14:textId="77777777" w:rsidR="0081565C" w:rsidRDefault="00C45D4B">
      <w:pPr>
        <w:pStyle w:val="Heading3"/>
      </w:pPr>
      <w:bookmarkStart w:id="54" w:name="_Toc236412227"/>
      <w:r>
        <w:t>5.3.1 AI-Generated Contributions</w:t>
      </w:r>
      <w:bookmarkEnd w:id="54"/>
      <w:r>
        <w:t xml:space="preserve"> </w:t>
      </w:r>
    </w:p>
    <w:p w14:paraId="24BE79B9" w14:textId="77777777" w:rsidR="0081565C" w:rsidRDefault="00C45D4B">
      <w:r>
        <w:t xml:space="preserve">The inclusion of the AI tools has assisted me in strengthening the authenticity of my calculations and research formulas that also improved my investigation outlook. Although, I had observed contradicting responses from the technology during the development of </w:t>
      </w:r>
      <w:r>
        <w:lastRenderedPageBreak/>
        <w:t>the project appraisals that has negligibly altered the values of my project. Overall, the AI tools have improved the structural and technical quality of my research regarding the financial performance of Whitbread Plc.</w:t>
      </w:r>
    </w:p>
    <w:p w14:paraId="24BE79BA" w14:textId="77777777" w:rsidR="0081565C" w:rsidRDefault="00C45D4B">
      <w:pPr>
        <w:pStyle w:val="Heading3"/>
      </w:pPr>
      <w:bookmarkStart w:id="55" w:name="_Toc236412228"/>
      <w:r>
        <w:t>5.3.2 Independent Critical Analysis</w:t>
      </w:r>
      <w:bookmarkEnd w:id="55"/>
      <w:r>
        <w:t xml:space="preserve"> </w:t>
      </w:r>
    </w:p>
    <w:p w14:paraId="24BE79BB" w14:textId="77777777" w:rsidR="0081565C" w:rsidRDefault="00C45D4B">
      <w:r>
        <w:t xml:space="preserve">My independent critical analysis aspect illustrates personal contributions towards the completion of the research project. As an instance, I utilized company accounts and annual reports for acquiring financial data of 5 years regarding Whitbread Plc. I also assembled the information and adopted ratio tools for understanding the growth trend of the company. In addition, I also carried out </w:t>
      </w:r>
      <w:proofErr w:type="gramStart"/>
      <w:r>
        <w:t>a detailed research</w:t>
      </w:r>
      <w:proofErr w:type="gramEnd"/>
      <w:r>
        <w:t xml:space="preserve"> regarding operational activities of the </w:t>
      </w:r>
      <w:proofErr w:type="spellStart"/>
      <w:r>
        <w:t>organisation</w:t>
      </w:r>
      <w:proofErr w:type="spellEnd"/>
      <w:r>
        <w:t xml:space="preserve"> by utilizing peer-reviewed journals and updated new articles. Thus, the adoption of the financial and non-financial tools has assisted me in improving my research capacity.</w:t>
      </w:r>
    </w:p>
    <w:p w14:paraId="24BE79BC" w14:textId="77777777" w:rsidR="0081565C" w:rsidRDefault="00C45D4B">
      <w:pPr>
        <w:pStyle w:val="Heading2"/>
      </w:pPr>
      <w:bookmarkStart w:id="56" w:name="_Toc236412229"/>
      <w:r>
        <w:t>5.4 Ethical and Professional Reflection</w:t>
      </w:r>
      <w:bookmarkEnd w:id="56"/>
      <w:r>
        <w:t xml:space="preserve"> </w:t>
      </w:r>
    </w:p>
    <w:p w14:paraId="24BE79BD" w14:textId="77777777" w:rsidR="0081565C" w:rsidRDefault="00C45D4B">
      <w:r>
        <w:t xml:space="preserve">In the research work, I have focused on executing the completion of the aspects through my own efforts that has also improved my professional confidence. The information included in the investigation process has been in alignment with the guidelines of the “Copyright and Patent Act (1988)” (Government of UK, 1988). This has also improved the ethical standard of my investigation process. I have also included the financial data from the annual report and authentic company websites for </w:t>
      </w:r>
      <w:proofErr w:type="spellStart"/>
      <w:r>
        <w:t>analysing</w:t>
      </w:r>
      <w:proofErr w:type="spellEnd"/>
      <w:r>
        <w:t xml:space="preserve"> its operational performance. According to Chen et al. (2024), the adoption of </w:t>
      </w:r>
      <w:proofErr w:type="spellStart"/>
      <w:r>
        <w:t>organisational</w:t>
      </w:r>
      <w:proofErr w:type="spellEnd"/>
      <w:r>
        <w:t xml:space="preserve"> information within the research work has improved the quality and authenticity of the investigation process. Hence, the strengthening of the ethical standards of the collected data has improved the quality of my project. </w:t>
      </w:r>
    </w:p>
    <w:p w14:paraId="24BE79BE" w14:textId="77777777" w:rsidR="0081565C" w:rsidRDefault="0081565C"/>
    <w:p w14:paraId="24BE79BF" w14:textId="77777777" w:rsidR="0081565C" w:rsidRDefault="00C45D4B">
      <w:r>
        <w:br w:type="page"/>
      </w:r>
    </w:p>
    <w:p w14:paraId="24BE79C0" w14:textId="77777777" w:rsidR="0081565C" w:rsidRDefault="00C45D4B">
      <w:pPr>
        <w:pStyle w:val="Heading1"/>
        <w:rPr>
          <w:sz w:val="36"/>
          <w:szCs w:val="36"/>
        </w:rPr>
      </w:pPr>
      <w:bookmarkStart w:id="57" w:name="_Toc236412230"/>
      <w:r>
        <w:lastRenderedPageBreak/>
        <w:t>References</w:t>
      </w:r>
      <w:bookmarkEnd w:id="57"/>
    </w:p>
    <w:p w14:paraId="71B2AD81" w14:textId="77777777" w:rsidR="00404D67" w:rsidRPr="00404D67" w:rsidRDefault="00404D67">
      <w:pPr>
        <w:spacing w:after="240"/>
      </w:pPr>
      <w:r w:rsidRPr="00404D67">
        <w:t xml:space="preserve">Agusta, R.F. and Hati, S.W. (2018). </w:t>
      </w:r>
      <w:r w:rsidRPr="00404D67">
        <w:rPr>
          <w:i/>
          <w:iCs/>
        </w:rPr>
        <w:t>Calculation of Liquidity, Solvency and Profitability Ratio in Manufacturing Company</w:t>
      </w:r>
      <w:r w:rsidRPr="00404D67">
        <w:t xml:space="preserve">. [online] </w:t>
      </w:r>
      <w:r w:rsidRPr="00404D67">
        <w:rPr>
          <w:i/>
          <w:iCs/>
        </w:rPr>
        <w:t>ResearchGate</w:t>
      </w:r>
      <w:r w:rsidRPr="00404D67">
        <w:t xml:space="preserve">. </w:t>
      </w:r>
      <w:proofErr w:type="spellStart"/>
      <w:r w:rsidRPr="00404D67">
        <w:t>Politeknik</w:t>
      </w:r>
      <w:proofErr w:type="spellEnd"/>
      <w:r w:rsidRPr="00404D67">
        <w:t xml:space="preserve"> Negeri Batam. Available at: https://www.researchgate.net/publication/344794916_Calculation_of_Liquidity_Solvency_and_Profitability_Ratio_in_Manufacturing_Compan</w:t>
      </w:r>
    </w:p>
    <w:p w14:paraId="6EB72273" w14:textId="77777777" w:rsidR="00404D67" w:rsidRPr="00404D67" w:rsidRDefault="00404D67">
      <w:pPr>
        <w:spacing w:after="240"/>
      </w:pPr>
      <w:r w:rsidRPr="00404D67">
        <w:t xml:space="preserve">AJ Bell (2026). </w:t>
      </w:r>
      <w:r w:rsidRPr="00404D67">
        <w:rPr>
          <w:i/>
          <w:iCs/>
        </w:rPr>
        <w:t>Whitbread PLC share price (</w:t>
      </w:r>
      <w:proofErr w:type="gramStart"/>
      <w:r w:rsidRPr="00404D67">
        <w:rPr>
          <w:i/>
          <w:iCs/>
        </w:rPr>
        <w:t>LSE:WTB</w:t>
      </w:r>
      <w:proofErr w:type="gramEnd"/>
      <w:r w:rsidRPr="00404D67">
        <w:rPr>
          <w:i/>
          <w:iCs/>
        </w:rPr>
        <w:t>) | AJ Bell</w:t>
      </w:r>
      <w:r w:rsidRPr="00404D67">
        <w:t>. [online] Ajbell.co.uk. Available at: https://www.ajbell.co.uk/market-research/LSE:WTB.</w:t>
      </w:r>
    </w:p>
    <w:p w14:paraId="02B187E6" w14:textId="77777777" w:rsidR="00404D67" w:rsidRPr="00404D67" w:rsidRDefault="00404D67">
      <w:pPr>
        <w:spacing w:after="240"/>
      </w:pPr>
      <w:r w:rsidRPr="00404D67">
        <w:t>Andon, P., Baxter, J. and Chua, W.F. (2023). Affect and Reason in Uncertain Accounting Settings: The Case of Capital Investment Appraisal. doi:10.1111/acfi.13185.</w:t>
      </w:r>
    </w:p>
    <w:p w14:paraId="6FB7283E" w14:textId="77777777" w:rsidR="00404D67" w:rsidRPr="00404D67" w:rsidRDefault="00404D67">
      <w:pPr>
        <w:spacing w:after="240"/>
      </w:pPr>
      <w:r w:rsidRPr="00404D67">
        <w:t xml:space="preserve">Banton, C. (2026). </w:t>
      </w:r>
      <w:r w:rsidRPr="00404D67">
        <w:rPr>
          <w:i/>
          <w:iCs/>
        </w:rPr>
        <w:t>How Capital Injections Keep Companies Afloat</w:t>
      </w:r>
      <w:r w:rsidRPr="00404D67">
        <w:t xml:space="preserve">. [online] </w:t>
      </w:r>
      <w:r w:rsidRPr="00404D67">
        <w:rPr>
          <w:i/>
          <w:iCs/>
        </w:rPr>
        <w:t>Investopedia</w:t>
      </w:r>
      <w:r w:rsidRPr="00404D67">
        <w:t xml:space="preserve">. Available at: https://www.investopedia.com/terms/c/capital-injection.asp </w:t>
      </w:r>
    </w:p>
    <w:p w14:paraId="608FBA60" w14:textId="77777777" w:rsidR="00404D67" w:rsidRPr="00404D67" w:rsidRDefault="00404D67">
      <w:pPr>
        <w:spacing w:after="240"/>
      </w:pPr>
      <w:r w:rsidRPr="00404D67">
        <w:t xml:space="preserve">Bilal, M. (2026). </w:t>
      </w:r>
      <w:r w:rsidRPr="00404D67">
        <w:rPr>
          <w:i/>
          <w:iCs/>
        </w:rPr>
        <w:t xml:space="preserve">Corporation Tax UK 2026: Rates &amp; How to Reduce It | </w:t>
      </w:r>
      <w:proofErr w:type="spellStart"/>
      <w:r w:rsidRPr="00404D67">
        <w:rPr>
          <w:i/>
          <w:iCs/>
        </w:rPr>
        <w:t>Protax</w:t>
      </w:r>
      <w:proofErr w:type="spellEnd"/>
      <w:r w:rsidRPr="00404D67">
        <w:t xml:space="preserve">. [online] </w:t>
      </w:r>
      <w:proofErr w:type="spellStart"/>
      <w:r w:rsidRPr="00404D67">
        <w:t>Protax</w:t>
      </w:r>
      <w:proofErr w:type="spellEnd"/>
      <w:r w:rsidRPr="00404D67">
        <w:t xml:space="preserve"> Consultants. Available at: https://www.protax.org.uk/articles/corporation-tax-uk-2026-rates-deadlines/ </w:t>
      </w:r>
    </w:p>
    <w:p w14:paraId="04EDDC5B" w14:textId="77777777" w:rsidR="00404D67" w:rsidRPr="00404D67" w:rsidRDefault="00404D67">
      <w:pPr>
        <w:spacing w:after="240"/>
      </w:pPr>
      <w:r w:rsidRPr="00404D67">
        <w:t xml:space="preserve">C2FO (2026). </w:t>
      </w:r>
      <w:r w:rsidRPr="00404D67">
        <w:rPr>
          <w:i/>
          <w:iCs/>
        </w:rPr>
        <w:t>Whitbread Early Payment Program | C2FO</w:t>
      </w:r>
      <w:r w:rsidRPr="00404D67">
        <w:t xml:space="preserve">. [online] Whitbread Early Payment | C2FO. Available at: https://whitbread.c2fo.com/ </w:t>
      </w:r>
    </w:p>
    <w:p w14:paraId="342B3C9E" w14:textId="77777777" w:rsidR="00404D67" w:rsidRPr="00404D67" w:rsidRDefault="00404D67">
      <w:pPr>
        <w:spacing w:after="240"/>
      </w:pPr>
      <w:proofErr w:type="spellStart"/>
      <w:r w:rsidRPr="00404D67">
        <w:t>Cbonds</w:t>
      </w:r>
      <w:proofErr w:type="spellEnd"/>
      <w:r w:rsidRPr="00404D67">
        <w:t xml:space="preserve"> (2025). </w:t>
      </w:r>
      <w:proofErr w:type="spellStart"/>
      <w:r w:rsidRPr="00404D67">
        <w:rPr>
          <w:i/>
          <w:iCs/>
        </w:rPr>
        <w:t>Cbonds</w:t>
      </w:r>
      <w:proofErr w:type="spellEnd"/>
      <w:r w:rsidRPr="00404D67">
        <w:t xml:space="preserve">. [online] </w:t>
      </w:r>
      <w:proofErr w:type="spellStart"/>
      <w:r w:rsidRPr="00404D67">
        <w:t>Cbonds</w:t>
      </w:r>
      <w:proofErr w:type="spellEnd"/>
      <w:r w:rsidRPr="00404D67">
        <w:t>. Available at: https://cbonds.com/bonds/146257/.</w:t>
      </w:r>
    </w:p>
    <w:p w14:paraId="79C13DA8" w14:textId="77777777" w:rsidR="00404D67" w:rsidRPr="00404D67" w:rsidRDefault="00404D67">
      <w:pPr>
        <w:spacing w:after="240"/>
      </w:pPr>
      <w:r w:rsidRPr="00404D67">
        <w:t xml:space="preserve">Chen, J. (2026). </w:t>
      </w:r>
      <w:r w:rsidRPr="00404D67">
        <w:rPr>
          <w:i/>
          <w:iCs/>
        </w:rPr>
        <w:t>What happens in divestitures</w:t>
      </w:r>
      <w:r w:rsidRPr="00404D67">
        <w:t xml:space="preserve">. [online] </w:t>
      </w:r>
      <w:r w:rsidRPr="00404D67">
        <w:rPr>
          <w:i/>
          <w:iCs/>
        </w:rPr>
        <w:t>Investopedia</w:t>
      </w:r>
      <w:r w:rsidRPr="00404D67">
        <w:t xml:space="preserve">. Available at: https://www.investopedia.com/terms/d/divestiture.asp </w:t>
      </w:r>
    </w:p>
    <w:p w14:paraId="05674215" w14:textId="77777777" w:rsidR="00404D67" w:rsidRPr="00404D67" w:rsidRDefault="00404D67">
      <w:pPr>
        <w:spacing w:after="240"/>
      </w:pPr>
      <w:r w:rsidRPr="00404D67">
        <w:t xml:space="preserve">Chen, W., Wu, W., Ouyang, Z., Fu, Y., Li, M. and Huang, G.Q. (2024). Event-based data authenticity analytics for IoT and blockchain-enabled ESG disclosure. </w:t>
      </w:r>
      <w:r w:rsidRPr="00404D67">
        <w:rPr>
          <w:i/>
          <w:iCs/>
        </w:rPr>
        <w:t>Computers &amp; Industrial Engineering</w:t>
      </w:r>
      <w:r w:rsidRPr="00404D67">
        <w:t xml:space="preserve">, pp.109992–109992. </w:t>
      </w:r>
      <w:proofErr w:type="gramStart"/>
      <w:r w:rsidRPr="00404D67">
        <w:t>doi:10.1016/j.cie</w:t>
      </w:r>
      <w:proofErr w:type="gramEnd"/>
      <w:r w:rsidRPr="00404D67">
        <w:t>.2024.109992.</w:t>
      </w:r>
    </w:p>
    <w:p w14:paraId="655ED068" w14:textId="77777777" w:rsidR="00404D67" w:rsidRPr="00404D67" w:rsidRDefault="00404D67">
      <w:pPr>
        <w:spacing w:after="240"/>
      </w:pPr>
      <w:r w:rsidRPr="00404D67">
        <w:t xml:space="preserve">Fernando, J. (2026a). </w:t>
      </w:r>
      <w:r w:rsidRPr="00404D67">
        <w:rPr>
          <w:i/>
          <w:iCs/>
        </w:rPr>
        <w:t>Internal Rate of Return (IRR): Formula and Examples</w:t>
      </w:r>
      <w:r w:rsidRPr="00404D67">
        <w:t xml:space="preserve">. [online] </w:t>
      </w:r>
      <w:r w:rsidRPr="00404D67">
        <w:rPr>
          <w:i/>
          <w:iCs/>
        </w:rPr>
        <w:t>Investopedia</w:t>
      </w:r>
      <w:r w:rsidRPr="00404D67">
        <w:t xml:space="preserve">. Available at: https://www.investopedia.com/terms/i/irr.asp </w:t>
      </w:r>
    </w:p>
    <w:p w14:paraId="016E0924" w14:textId="77777777" w:rsidR="00404D67" w:rsidRPr="00404D67" w:rsidRDefault="00404D67">
      <w:pPr>
        <w:spacing w:after="240"/>
      </w:pPr>
      <w:r w:rsidRPr="00404D67">
        <w:lastRenderedPageBreak/>
        <w:t xml:space="preserve">Fernando, J. (2026b). </w:t>
      </w:r>
      <w:r w:rsidRPr="00404D67">
        <w:rPr>
          <w:i/>
          <w:iCs/>
        </w:rPr>
        <w:t>Net present value (NPV): What it Means and Steps to Calculate It</w:t>
      </w:r>
      <w:r w:rsidRPr="00404D67">
        <w:t xml:space="preserve">. [online] </w:t>
      </w:r>
      <w:r w:rsidRPr="00404D67">
        <w:rPr>
          <w:i/>
          <w:iCs/>
        </w:rPr>
        <w:t>Investopedia</w:t>
      </w:r>
      <w:r w:rsidRPr="00404D67">
        <w:t xml:space="preserve">. Available at: https://www.investopedia.com/terms/n/npv.asp </w:t>
      </w:r>
    </w:p>
    <w:p w14:paraId="75615802" w14:textId="77777777" w:rsidR="00404D67" w:rsidRPr="00404D67" w:rsidRDefault="00404D67">
      <w:pPr>
        <w:spacing w:after="240"/>
      </w:pPr>
      <w:r w:rsidRPr="00404D67">
        <w:t xml:space="preserve">Fitch Rating (2026). </w:t>
      </w:r>
      <w:r w:rsidRPr="00404D67">
        <w:rPr>
          <w:i/>
          <w:iCs/>
        </w:rPr>
        <w:t xml:space="preserve">Fitch Downgrades Whitbread to “BBB-”; Outlook </w:t>
      </w:r>
      <w:proofErr w:type="gramStart"/>
      <w:r w:rsidRPr="00404D67">
        <w:rPr>
          <w:i/>
          <w:iCs/>
        </w:rPr>
        <w:t xml:space="preserve">Stable </w:t>
      </w:r>
      <w:r w:rsidRPr="00404D67">
        <w:t>.</w:t>
      </w:r>
      <w:proofErr w:type="gramEnd"/>
      <w:r w:rsidRPr="00404D67">
        <w:t xml:space="preserve"> [online] Fitchratings.com. Available at: https://www.fitchratings.com/research/corporate-finance/fitch-downgrades-whitbread-to-bbb-outlook-stable-19-05-2026</w:t>
      </w:r>
    </w:p>
    <w:p w14:paraId="327A2BD5" w14:textId="77777777" w:rsidR="00404D67" w:rsidRPr="00404D67" w:rsidRDefault="00404D67">
      <w:pPr>
        <w:spacing w:after="240"/>
      </w:pPr>
      <w:r w:rsidRPr="00404D67">
        <w:t>Fitch Ratings (2026). [online] Fitchratings.com. Available at: https://www.fitchratings.com/research/corporate-finance/fitch-downgrades-whitbread-to-bbb-outlook-stable-19-05-2026.</w:t>
      </w:r>
    </w:p>
    <w:p w14:paraId="13F04700" w14:textId="77777777" w:rsidR="00404D67" w:rsidRPr="00404D67" w:rsidRDefault="00404D67">
      <w:pPr>
        <w:spacing w:after="240"/>
      </w:pPr>
      <w:r w:rsidRPr="00404D67">
        <w:t xml:space="preserve">Gosh Charity (2025). </w:t>
      </w:r>
      <w:r w:rsidRPr="00404D67">
        <w:rPr>
          <w:i/>
          <w:iCs/>
        </w:rPr>
        <w:t>Meet Our Partners</w:t>
      </w:r>
      <w:r w:rsidRPr="00404D67">
        <w:t xml:space="preserve">. [online] </w:t>
      </w:r>
      <w:r w:rsidRPr="00404D67">
        <w:rPr>
          <w:i/>
          <w:iCs/>
        </w:rPr>
        <w:t>GOSH Charity</w:t>
      </w:r>
      <w:r w:rsidRPr="00404D67">
        <w:t>. Available at: https://www.gosh.org/get-involved/corporate-fundraising/meet-our-supporters/.</w:t>
      </w:r>
    </w:p>
    <w:p w14:paraId="03E07C75" w14:textId="77777777" w:rsidR="00404D67" w:rsidRPr="00404D67" w:rsidRDefault="00404D67">
      <w:pPr>
        <w:spacing w:after="240"/>
      </w:pPr>
      <w:r w:rsidRPr="00404D67">
        <w:t xml:space="preserve">Government of UK (1988). </w:t>
      </w:r>
      <w:r w:rsidRPr="00404D67">
        <w:rPr>
          <w:i/>
          <w:iCs/>
        </w:rPr>
        <w:t>Copyright, Designs and Patents Act 1988</w:t>
      </w:r>
      <w:r w:rsidRPr="00404D67">
        <w:t xml:space="preserve">. [online] </w:t>
      </w:r>
      <w:r w:rsidRPr="00404D67">
        <w:rPr>
          <w:i/>
          <w:iCs/>
        </w:rPr>
        <w:t>Legislation.gov.uk</w:t>
      </w:r>
      <w:r w:rsidRPr="00404D67">
        <w:t>. www.legislation.gov.uk. Available at: https://www.legislation.gov.uk/ukpga/1988/48/contents.</w:t>
      </w:r>
    </w:p>
    <w:p w14:paraId="5613437C" w14:textId="77777777" w:rsidR="00404D67" w:rsidRPr="00404D67" w:rsidRDefault="00404D67">
      <w:pPr>
        <w:spacing w:after="240"/>
      </w:pPr>
      <w:r w:rsidRPr="00404D67">
        <w:t xml:space="preserve">Hargrave, M. (2025). </w:t>
      </w:r>
      <w:r w:rsidRPr="00404D67">
        <w:rPr>
          <w:i/>
          <w:iCs/>
        </w:rPr>
        <w:t>Should You Be Using Average Return or Geometric Mean?</w:t>
      </w:r>
      <w:r w:rsidRPr="00404D67">
        <w:t xml:space="preserve"> [online] </w:t>
      </w:r>
      <w:r w:rsidRPr="00404D67">
        <w:rPr>
          <w:i/>
          <w:iCs/>
        </w:rPr>
        <w:t>Investopedia</w:t>
      </w:r>
      <w:r w:rsidRPr="00404D67">
        <w:t>. Available at: https://www.investopedia.com/terms/a/averagereturn.asp</w:t>
      </w:r>
    </w:p>
    <w:p w14:paraId="3C10C19E" w14:textId="77777777" w:rsidR="00404D67" w:rsidRPr="00404D67" w:rsidRDefault="00404D67">
      <w:pPr>
        <w:spacing w:after="240"/>
      </w:pPr>
      <w:r w:rsidRPr="00404D67">
        <w:t xml:space="preserve">Hospitality industry (2024). </w:t>
      </w:r>
      <w:r w:rsidRPr="00404D67">
        <w:rPr>
          <w:i/>
          <w:iCs/>
        </w:rPr>
        <w:t xml:space="preserve">Key liquidity ratios for hotel financial health | </w:t>
      </w:r>
      <w:proofErr w:type="spellStart"/>
      <w:r w:rsidRPr="00404D67">
        <w:rPr>
          <w:i/>
          <w:iCs/>
        </w:rPr>
        <w:t>Hospitality.Institute</w:t>
      </w:r>
      <w:proofErr w:type="spellEnd"/>
      <w:r w:rsidRPr="00404D67">
        <w:t xml:space="preserve">. [online] </w:t>
      </w:r>
      <w:proofErr w:type="spellStart"/>
      <w:r w:rsidRPr="00404D67">
        <w:rPr>
          <w:i/>
          <w:iCs/>
        </w:rPr>
        <w:t>Hospitality.Institute</w:t>
      </w:r>
      <w:proofErr w:type="spellEnd"/>
      <w:r w:rsidRPr="00404D67">
        <w:t xml:space="preserve">. Available at: https://hospitality.institute/mha805/key-liquidity-ratios-hotel-financial-health/ </w:t>
      </w:r>
    </w:p>
    <w:p w14:paraId="69E08E82" w14:textId="77777777" w:rsidR="00404D67" w:rsidRPr="00404D67" w:rsidRDefault="00404D67">
      <w:pPr>
        <w:spacing w:after="240"/>
      </w:pPr>
      <w:r w:rsidRPr="00404D67">
        <w:t xml:space="preserve">Jenčová, S., </w:t>
      </w:r>
      <w:proofErr w:type="spellStart"/>
      <w:r w:rsidRPr="00404D67">
        <w:t>Vašaničová</w:t>
      </w:r>
      <w:proofErr w:type="spellEnd"/>
      <w:r w:rsidRPr="00404D67">
        <w:t xml:space="preserve">, P., Košíková, M. and </w:t>
      </w:r>
      <w:proofErr w:type="spellStart"/>
      <w:r w:rsidRPr="00404D67">
        <w:t>Miškufová</w:t>
      </w:r>
      <w:proofErr w:type="spellEnd"/>
      <w:r w:rsidRPr="00404D67">
        <w:t xml:space="preserve">, M. (2025). A Time Series Approach to Forecasting Financial Indicators in the Wholesale and Retail Trade. </w:t>
      </w:r>
      <w:r w:rsidRPr="00404D67">
        <w:rPr>
          <w:i/>
          <w:iCs/>
        </w:rPr>
        <w:t>World</w:t>
      </w:r>
      <w:r w:rsidRPr="00404D67">
        <w:t>, 6(1), pp.5–5. doi:10.3390/world6010005.</w:t>
      </w:r>
    </w:p>
    <w:p w14:paraId="66C7EF56" w14:textId="77777777" w:rsidR="00404D67" w:rsidRPr="00404D67" w:rsidRDefault="00404D67">
      <w:pPr>
        <w:spacing w:after="240"/>
      </w:pPr>
      <w:r w:rsidRPr="00404D67">
        <w:t xml:space="preserve">Kagan, J. (2026). </w:t>
      </w:r>
      <w:r w:rsidRPr="00404D67">
        <w:rPr>
          <w:i/>
          <w:iCs/>
        </w:rPr>
        <w:t>Payback period: Definition, formula, and calculation</w:t>
      </w:r>
      <w:r w:rsidRPr="00404D67">
        <w:t xml:space="preserve">. [online] </w:t>
      </w:r>
      <w:r w:rsidRPr="00404D67">
        <w:rPr>
          <w:i/>
          <w:iCs/>
        </w:rPr>
        <w:t>Investopedia</w:t>
      </w:r>
      <w:r w:rsidRPr="00404D67">
        <w:t xml:space="preserve">. Available at: https://www.investopedia.com/terms/p/paybackperiod.asp </w:t>
      </w:r>
    </w:p>
    <w:p w14:paraId="1F35957A" w14:textId="77777777" w:rsidR="00404D67" w:rsidRPr="00404D67" w:rsidRDefault="00404D67">
      <w:pPr>
        <w:spacing w:after="240"/>
      </w:pPr>
      <w:r w:rsidRPr="00404D67">
        <w:t xml:space="preserve">London Stock Exchange (2025). </w:t>
      </w:r>
      <w:r w:rsidRPr="00404D67">
        <w:rPr>
          <w:i/>
          <w:iCs/>
        </w:rPr>
        <w:t>London Stock Exchange | London Stock Exchange</w:t>
      </w:r>
      <w:r w:rsidRPr="00404D67">
        <w:t xml:space="preserve">. [online] </w:t>
      </w:r>
      <w:r w:rsidRPr="00404D67">
        <w:rPr>
          <w:i/>
          <w:iCs/>
        </w:rPr>
        <w:t>Londonstockexchange.com</w:t>
      </w:r>
      <w:r w:rsidRPr="00404D67">
        <w:t xml:space="preserve">. Available at: </w:t>
      </w:r>
      <w:r w:rsidRPr="00404D67">
        <w:lastRenderedPageBreak/>
        <w:t>https://www.londonstockexchange.com/news-article/WTB/whitbread-interim-results/17280887.</w:t>
      </w:r>
    </w:p>
    <w:p w14:paraId="65B43DFD" w14:textId="77777777" w:rsidR="00404D67" w:rsidRPr="00404D67" w:rsidRDefault="00404D67">
      <w:pPr>
        <w:spacing w:after="240"/>
      </w:pPr>
      <w:r w:rsidRPr="00404D67">
        <w:t xml:space="preserve">LSE (2026). </w:t>
      </w:r>
      <w:r w:rsidRPr="00404D67">
        <w:rPr>
          <w:i/>
          <w:iCs/>
        </w:rPr>
        <w:t>London Stock Exchange | London Stock Exchange</w:t>
      </w:r>
      <w:r w:rsidRPr="00404D67">
        <w:t>. [online] Londonstockexchange.com. Available at: https://www.londonstockexchange.com/news-article/wtb/outcome-of-business-review/17570770.</w:t>
      </w:r>
    </w:p>
    <w:p w14:paraId="4EBAF67D" w14:textId="77777777" w:rsidR="00404D67" w:rsidRPr="00404D67" w:rsidRDefault="00404D67">
      <w:pPr>
        <w:spacing w:after="240"/>
      </w:pPr>
      <w:r w:rsidRPr="00404D67">
        <w:t xml:space="preserve">Malali, N. (2025). The role of retrieval-augmented generation (RAG) in financial document processing: Automating compliance and reporting. </w:t>
      </w:r>
      <w:r w:rsidRPr="00404D67">
        <w:rPr>
          <w:i/>
          <w:iCs/>
        </w:rPr>
        <w:t>International Journal of Management Technology</w:t>
      </w:r>
      <w:r w:rsidRPr="00404D67">
        <w:t>, 12(3), pp.26–46. doi:10.37745/ijmt.2013/vol12n32646.</w:t>
      </w:r>
    </w:p>
    <w:p w14:paraId="758F029B" w14:textId="77777777" w:rsidR="00404D67" w:rsidRPr="00404D67" w:rsidRDefault="00404D67">
      <w:pPr>
        <w:spacing w:after="240"/>
      </w:pPr>
      <w:r w:rsidRPr="00404D67">
        <w:t xml:space="preserve">Market Screener (2026). </w:t>
      </w:r>
      <w:r w:rsidRPr="00404D67">
        <w:rPr>
          <w:i/>
          <w:iCs/>
        </w:rPr>
        <w:t>Whitbread Plc</w:t>
      </w:r>
      <w:r w:rsidRPr="00404D67">
        <w:t xml:space="preserve">. [online] </w:t>
      </w:r>
      <w:proofErr w:type="spellStart"/>
      <w:r w:rsidRPr="00404D67">
        <w:rPr>
          <w:i/>
          <w:iCs/>
        </w:rPr>
        <w:t>MarketScreener</w:t>
      </w:r>
      <w:proofErr w:type="spellEnd"/>
      <w:r w:rsidRPr="00404D67">
        <w:rPr>
          <w:i/>
          <w:iCs/>
        </w:rPr>
        <w:t xml:space="preserve"> India</w:t>
      </w:r>
      <w:r w:rsidRPr="00404D67">
        <w:t>. Available at: https://in.marketscreener.com/quote/stock/WHITBREAD-PLC-4006657/.</w:t>
      </w:r>
    </w:p>
    <w:p w14:paraId="0A63F56A" w14:textId="77777777" w:rsidR="00404D67" w:rsidRPr="00404D67" w:rsidRDefault="00404D67">
      <w:pPr>
        <w:spacing w:after="240"/>
      </w:pPr>
      <w:r w:rsidRPr="00404D67">
        <w:t xml:space="preserve">Martin, L. (2026). </w:t>
      </w:r>
      <w:r w:rsidRPr="00404D67">
        <w:rPr>
          <w:i/>
          <w:iCs/>
        </w:rPr>
        <w:t>Whitbread to Sell $2 Billion in Hotels and Cut 3,800 Jobs in Strategic Overhaul</w:t>
      </w:r>
      <w:r w:rsidRPr="00404D67">
        <w:t xml:space="preserve">. [online] </w:t>
      </w:r>
      <w:r w:rsidRPr="00404D67">
        <w:rPr>
          <w:i/>
          <w:iCs/>
        </w:rPr>
        <w:t>Skift</w:t>
      </w:r>
      <w:r w:rsidRPr="00404D67">
        <w:t>. Available at: https://skift.com/2026/04/30/whitbread-sell-hotels-cut-jobs-strategic-overhaul/.</w:t>
      </w:r>
    </w:p>
    <w:p w14:paraId="37CA95C9" w14:textId="77777777" w:rsidR="00404D67" w:rsidRPr="00404D67" w:rsidRDefault="00404D67">
      <w:pPr>
        <w:spacing w:after="240"/>
      </w:pPr>
      <w:proofErr w:type="spellStart"/>
      <w:r w:rsidRPr="00404D67">
        <w:t>PayPoint</w:t>
      </w:r>
      <w:proofErr w:type="spellEnd"/>
      <w:r w:rsidRPr="00404D67">
        <w:t xml:space="preserve"> (2025). [online] Available at: https://www.investegate.co.uk/announcement/rns/whitbread--</w:t>
      </w:r>
      <w:proofErr w:type="spellStart"/>
      <w:r w:rsidRPr="00404D67">
        <w:t>wtb</w:t>
      </w:r>
      <w:proofErr w:type="spellEnd"/>
      <w:r w:rsidRPr="00404D67">
        <w:t>/preliminary-results-announcement/9545332.</w:t>
      </w:r>
    </w:p>
    <w:p w14:paraId="71E11549" w14:textId="77777777" w:rsidR="00404D67" w:rsidRPr="00404D67" w:rsidRDefault="00404D67">
      <w:pPr>
        <w:spacing w:after="240"/>
      </w:pPr>
      <w:r w:rsidRPr="00404D67">
        <w:t xml:space="preserve">Reuters Staff (2026). Premier Inn owner Whitbread to cut up to 3,800 jobs in strategy shift. </w:t>
      </w:r>
      <w:r w:rsidRPr="00404D67">
        <w:rPr>
          <w:i/>
          <w:iCs/>
        </w:rPr>
        <w:t>Reuters</w:t>
      </w:r>
      <w:r w:rsidRPr="00404D67">
        <w:t xml:space="preserve">. [online] 30 Apr. Available at: https://www.reuters.com/sustainability/sustainable-finance-reporting/premier-inn-owner-whitbread-extends-restaurant-overhaul-all-sites-cut-3800-jobs-2026-04-30/ </w:t>
      </w:r>
    </w:p>
    <w:p w14:paraId="62FA867B" w14:textId="77777777" w:rsidR="00404D67" w:rsidRPr="00404D67" w:rsidRDefault="00404D67">
      <w:pPr>
        <w:spacing w:after="240"/>
      </w:pPr>
      <w:r w:rsidRPr="00404D67">
        <w:t xml:space="preserve">Strategist, S. and Architect (2025). </w:t>
      </w:r>
      <w:r w:rsidRPr="00404D67">
        <w:rPr>
          <w:i/>
          <w:iCs/>
        </w:rPr>
        <w:t>Whitbread PLC - Overview &amp; Highlights</w:t>
      </w:r>
      <w:r w:rsidRPr="00404D67">
        <w:t xml:space="preserve">. [online] </w:t>
      </w:r>
      <w:r w:rsidRPr="00404D67">
        <w:rPr>
          <w:i/>
          <w:iCs/>
        </w:rPr>
        <w:t>Substack.com</w:t>
      </w:r>
      <w:r w:rsidRPr="00404D67">
        <w:t xml:space="preserve">. The Small Cap Strategist. Available at: </w:t>
      </w:r>
      <w:proofErr w:type="gramStart"/>
      <w:r w:rsidRPr="00404D67">
        <w:t>https://tscsw.substack.com/p/whitbread-plc-overview-and-highlights .</w:t>
      </w:r>
      <w:proofErr w:type="gramEnd"/>
    </w:p>
    <w:p w14:paraId="40060B5A" w14:textId="77777777" w:rsidR="00404D67" w:rsidRPr="00404D67" w:rsidRDefault="00404D67">
      <w:pPr>
        <w:spacing w:after="240"/>
      </w:pPr>
      <w:r w:rsidRPr="00404D67">
        <w:t xml:space="preserve">Trading Economics (2026). </w:t>
      </w:r>
      <w:r w:rsidRPr="00404D67">
        <w:rPr>
          <w:i/>
          <w:iCs/>
        </w:rPr>
        <w:t>United Kingdom Inflation Rate</w:t>
      </w:r>
      <w:r w:rsidRPr="00404D67">
        <w:t xml:space="preserve">. [online] </w:t>
      </w:r>
      <w:r w:rsidRPr="00404D67">
        <w:rPr>
          <w:i/>
          <w:iCs/>
        </w:rPr>
        <w:t>Trading Economics</w:t>
      </w:r>
      <w:r w:rsidRPr="00404D67">
        <w:t xml:space="preserve">. Available at: https://tradingeconomics.com/united-kingdom/inflation-cpi </w:t>
      </w:r>
    </w:p>
    <w:p w14:paraId="42EE6066" w14:textId="77777777" w:rsidR="00404D67" w:rsidRPr="00404D67" w:rsidRDefault="00404D67">
      <w:pPr>
        <w:spacing w:after="240"/>
      </w:pPr>
      <w:r w:rsidRPr="00404D67">
        <w:lastRenderedPageBreak/>
        <w:t xml:space="preserve">Trading Economics (2026a). </w:t>
      </w:r>
      <w:r w:rsidRPr="00404D67">
        <w:rPr>
          <w:i/>
          <w:iCs/>
        </w:rPr>
        <w:t>Germany corporate tax rate</w:t>
      </w:r>
      <w:r w:rsidRPr="00404D67">
        <w:t xml:space="preserve">. [online] </w:t>
      </w:r>
      <w:r w:rsidRPr="00404D67">
        <w:rPr>
          <w:i/>
          <w:iCs/>
        </w:rPr>
        <w:t>Tradingeconomics.com</w:t>
      </w:r>
      <w:r w:rsidRPr="00404D67">
        <w:t>. TRADING ECONOMICS. Available at: https://tradingeconomics.com/germany/corporate-tax-rate.</w:t>
      </w:r>
    </w:p>
    <w:p w14:paraId="4DF507B0" w14:textId="77777777" w:rsidR="00404D67" w:rsidRPr="00404D67" w:rsidRDefault="00404D67">
      <w:pPr>
        <w:spacing w:after="240"/>
      </w:pPr>
      <w:proofErr w:type="spellStart"/>
      <w:r w:rsidRPr="00404D67">
        <w:t>TradingView</w:t>
      </w:r>
      <w:proofErr w:type="spellEnd"/>
      <w:r w:rsidRPr="00404D67">
        <w:t xml:space="preserve"> (2026). [online] </w:t>
      </w:r>
      <w:proofErr w:type="spellStart"/>
      <w:r w:rsidRPr="00404D67">
        <w:t>TradingView</w:t>
      </w:r>
      <w:proofErr w:type="spellEnd"/>
      <w:r w:rsidRPr="00404D67">
        <w:t xml:space="preserve">. Available at: https://in.tradingview.com/chart/?symbol=FX_IDC%3AGBPEUR </w:t>
      </w:r>
    </w:p>
    <w:p w14:paraId="4C34D496" w14:textId="77777777" w:rsidR="00404D67" w:rsidRPr="00404D67" w:rsidRDefault="00404D67">
      <w:pPr>
        <w:spacing w:after="240"/>
      </w:pPr>
      <w:r w:rsidRPr="00404D67">
        <w:t xml:space="preserve">Whitbread (2023). </w:t>
      </w:r>
      <w:r w:rsidRPr="00404D67">
        <w:rPr>
          <w:i/>
          <w:iCs/>
        </w:rPr>
        <w:t>Why Invest?</w:t>
      </w:r>
      <w:r w:rsidRPr="00404D67">
        <w:t xml:space="preserve"> [online] </w:t>
      </w:r>
      <w:r w:rsidRPr="00404D67">
        <w:rPr>
          <w:i/>
          <w:iCs/>
        </w:rPr>
        <w:t>Whitbread PLC</w:t>
      </w:r>
      <w:r w:rsidRPr="00404D67">
        <w:t xml:space="preserve">. Available at: https://www.whitbread.co.uk/investors/why-invest/ </w:t>
      </w:r>
    </w:p>
    <w:p w14:paraId="21CC5CAE" w14:textId="77777777" w:rsidR="00404D67" w:rsidRPr="00404D67" w:rsidRDefault="00404D67">
      <w:pPr>
        <w:spacing w:after="240"/>
      </w:pPr>
      <w:r w:rsidRPr="00404D67">
        <w:t>Whitbread (2024). [online] Available at: https://cdn.whitbread.co.uk/media/2023/05/Corporate-Governance-Statement.pdf.</w:t>
      </w:r>
    </w:p>
    <w:p w14:paraId="380C3F0D" w14:textId="77777777" w:rsidR="00404D67" w:rsidRPr="00404D67" w:rsidRDefault="00404D67">
      <w:pPr>
        <w:spacing w:after="240"/>
      </w:pPr>
      <w:r w:rsidRPr="00404D67">
        <w:t xml:space="preserve">Whitbread (2024). </w:t>
      </w:r>
      <w:r w:rsidRPr="00404D67">
        <w:rPr>
          <w:i/>
          <w:iCs/>
        </w:rPr>
        <w:t>Whitbread NPS &amp; Customer Reviews</w:t>
      </w:r>
      <w:r w:rsidRPr="00404D67">
        <w:t xml:space="preserve">. [online] </w:t>
      </w:r>
      <w:r w:rsidRPr="00404D67">
        <w:rPr>
          <w:i/>
          <w:iCs/>
        </w:rPr>
        <w:t>Comparably</w:t>
      </w:r>
      <w:r w:rsidRPr="00404D67">
        <w:t xml:space="preserve">. Available at: https://www.comparably.com/brands/whitbread-22458 </w:t>
      </w:r>
    </w:p>
    <w:p w14:paraId="48DBA645" w14:textId="77777777" w:rsidR="00404D67" w:rsidRPr="00404D67" w:rsidRDefault="00404D67">
      <w:pPr>
        <w:spacing w:after="240"/>
      </w:pPr>
      <w:r w:rsidRPr="00404D67">
        <w:t xml:space="preserve">Whitbread (2026). </w:t>
      </w:r>
      <w:r w:rsidRPr="00404D67">
        <w:rPr>
          <w:i/>
          <w:iCs/>
        </w:rPr>
        <w:t>Corporate debt</w:t>
      </w:r>
      <w:r w:rsidRPr="00404D67">
        <w:t xml:space="preserve">. [online] </w:t>
      </w:r>
      <w:r w:rsidRPr="00404D67">
        <w:rPr>
          <w:i/>
          <w:iCs/>
        </w:rPr>
        <w:t>Whitbread PLC</w:t>
      </w:r>
      <w:r w:rsidRPr="00404D67">
        <w:t>. Available at: https://www.whitbread.co.uk/investors/corporate-debt/.</w:t>
      </w:r>
    </w:p>
    <w:p w14:paraId="2D868906" w14:textId="77777777" w:rsidR="00404D67" w:rsidRPr="00404D67" w:rsidRDefault="00404D67">
      <w:pPr>
        <w:spacing w:after="240"/>
      </w:pPr>
      <w:r w:rsidRPr="00404D67">
        <w:t>Whitbread Plc (2021). Premier Inn Annual Report and Accounts 2021/22. [online] Available at: https://cdn.whitbread.co.uk/media/2022/05/Whitbread_AR21-1.pdf.</w:t>
      </w:r>
    </w:p>
    <w:p w14:paraId="1D436A7F" w14:textId="77777777" w:rsidR="00404D67" w:rsidRPr="00404D67" w:rsidRDefault="00404D67">
      <w:pPr>
        <w:spacing w:after="240"/>
      </w:pPr>
      <w:r w:rsidRPr="00404D67">
        <w:t xml:space="preserve">Whitbread Plc (2023). Building advantage on </w:t>
      </w:r>
      <w:proofErr w:type="spellStart"/>
      <w:proofErr w:type="gramStart"/>
      <w:r w:rsidRPr="00404D67">
        <w:t>our</w:t>
      </w:r>
      <w:proofErr w:type="spellEnd"/>
      <w:proofErr w:type="gramEnd"/>
      <w:r w:rsidRPr="00404D67">
        <w:t>. [online] Available at: https://cdn.whitbread.co.uk/media/2024/05/Whitbread-PLC-Annual-Report-and-Accounts-2023_Single_pages-1.pdf.</w:t>
      </w:r>
    </w:p>
    <w:p w14:paraId="3E595045" w14:textId="77777777" w:rsidR="00404D67" w:rsidRPr="00404D67" w:rsidRDefault="00404D67">
      <w:pPr>
        <w:spacing w:after="240"/>
      </w:pPr>
      <w:r w:rsidRPr="00404D67">
        <w:t xml:space="preserve">Whitbread PLC (2025). </w:t>
      </w:r>
      <w:r w:rsidRPr="00404D67">
        <w:rPr>
          <w:i/>
          <w:iCs/>
        </w:rPr>
        <w:t xml:space="preserve">FY25 </w:t>
      </w:r>
      <w:proofErr w:type="gramStart"/>
      <w:r w:rsidRPr="00404D67">
        <w:rPr>
          <w:i/>
          <w:iCs/>
        </w:rPr>
        <w:t xml:space="preserve">Results </w:t>
      </w:r>
      <w:r w:rsidRPr="00404D67">
        <w:t>.</w:t>
      </w:r>
      <w:proofErr w:type="gramEnd"/>
      <w:r w:rsidRPr="00404D67">
        <w:t xml:space="preserve"> [online] Available at: https://cdn.whitbread.co.uk/media/2025/05/Whitbread-FY25-RNS.pdf.</w:t>
      </w:r>
    </w:p>
    <w:p w14:paraId="03694182" w14:textId="77777777" w:rsidR="00404D67" w:rsidRPr="00404D67" w:rsidRDefault="00404D67">
      <w:pPr>
        <w:spacing w:after="240"/>
      </w:pPr>
      <w:r w:rsidRPr="00404D67">
        <w:t>Whitbread Plc (2025). Investing in growth Annual Report and Accounts 2024/25. [online] Available at: https://cdn.whitbread.co.uk/media/2025/05/Whitbread-PLC-Annual-Report-and-Accounts-2024-25.pdf.</w:t>
      </w:r>
    </w:p>
    <w:p w14:paraId="7802D4EA" w14:textId="77777777" w:rsidR="00404D67" w:rsidRPr="00404D67" w:rsidRDefault="00404D67">
      <w:pPr>
        <w:spacing w:after="240"/>
      </w:pPr>
      <w:r w:rsidRPr="00404D67">
        <w:t xml:space="preserve">Whitbread PLC (2025). </w:t>
      </w:r>
      <w:r w:rsidRPr="00404D67">
        <w:rPr>
          <w:i/>
          <w:iCs/>
        </w:rPr>
        <w:t>Our Business Model and Strategy</w:t>
      </w:r>
      <w:r w:rsidRPr="00404D67">
        <w:t xml:space="preserve">. [online] </w:t>
      </w:r>
      <w:r w:rsidRPr="00404D67">
        <w:rPr>
          <w:i/>
          <w:iCs/>
        </w:rPr>
        <w:t>Whitbread PLC</w:t>
      </w:r>
      <w:r w:rsidRPr="00404D67">
        <w:t xml:space="preserve">. Available at: https://www.whitbread.co.uk/about-us/our-business-model/ </w:t>
      </w:r>
    </w:p>
    <w:p w14:paraId="1FAF1A28" w14:textId="77777777" w:rsidR="00404D67" w:rsidRPr="00404D67" w:rsidRDefault="00404D67">
      <w:pPr>
        <w:spacing w:after="240"/>
      </w:pPr>
      <w:r w:rsidRPr="00404D67">
        <w:lastRenderedPageBreak/>
        <w:t xml:space="preserve">Whitbread, S. (2026). </w:t>
      </w:r>
      <w:r w:rsidRPr="00404D67">
        <w:rPr>
          <w:i/>
          <w:iCs/>
        </w:rPr>
        <w:t>Supporting the use of timber grown in suitable locations in Britain also contributes to our natural capital, ecosystem service benefits, nature recovery, environmental improvement and climate resilience too.</w:t>
      </w:r>
      <w:r w:rsidRPr="00404D67">
        <w:t xml:space="preserve"> [online] LinkedIn. Available at: https://www.linkedin.com/posts/steve-whitbread-771a1766_supporting-the-use-of-timber-grown-in-suitable-activity-7453684025447333888-LkwL/.</w:t>
      </w:r>
    </w:p>
    <w:p w14:paraId="1B8B41D5" w14:textId="77777777" w:rsidR="00404D67" w:rsidRPr="00404D67" w:rsidRDefault="00404D67">
      <w:pPr>
        <w:spacing w:after="240"/>
      </w:pPr>
      <w:r w:rsidRPr="00404D67">
        <w:t xml:space="preserve">Withers, P. (2025). </w:t>
      </w:r>
      <w:r w:rsidRPr="00404D67">
        <w:rPr>
          <w:i/>
          <w:iCs/>
        </w:rPr>
        <w:t>Whitbread opens 1,000 new Premier Inn rooms since March 2024 - Whitbread Plc</w:t>
      </w:r>
      <w:r w:rsidRPr="00404D67">
        <w:t xml:space="preserve">. [online] </w:t>
      </w:r>
      <w:r w:rsidRPr="00404D67">
        <w:rPr>
          <w:i/>
          <w:iCs/>
        </w:rPr>
        <w:t>Whitbread PLC</w:t>
      </w:r>
      <w:r w:rsidRPr="00404D67">
        <w:t xml:space="preserve">. Available at: https://www.whitbread.co.uk/whitbread-opens-1000-new-premier-inn-rooms-since-march-2024/ </w:t>
      </w:r>
    </w:p>
    <w:p w14:paraId="48693EED" w14:textId="77777777" w:rsidR="00404D67" w:rsidRPr="00404D67" w:rsidRDefault="00404D67">
      <w:pPr>
        <w:spacing w:after="240"/>
      </w:pPr>
      <w:r w:rsidRPr="00404D67">
        <w:t xml:space="preserve">Wójcik, D., Adamiak, O., Czerepak, G., Tokarczuk, O. and Szalewski, L. (2025). A bi-linguistic comparative analysis of ChatGPT-4, Gemini, and Claude performance on polish medical–dental final examinations. </w:t>
      </w:r>
      <w:r w:rsidRPr="00404D67">
        <w:rPr>
          <w:i/>
          <w:iCs/>
        </w:rPr>
        <w:t>Scientific Reports</w:t>
      </w:r>
      <w:r w:rsidRPr="00404D67">
        <w:t>, [online] 15(1). doi:10.1038/s41598-025-17030-0.</w:t>
      </w:r>
    </w:p>
    <w:p w14:paraId="089FECEF" w14:textId="77777777" w:rsidR="00404D67" w:rsidRPr="00404D67" w:rsidRDefault="00404D67">
      <w:pPr>
        <w:spacing w:after="240"/>
      </w:pPr>
      <w:r w:rsidRPr="00404D67">
        <w:t xml:space="preserve">Yahoo Finance (2025). </w:t>
      </w:r>
      <w:r w:rsidRPr="00404D67">
        <w:rPr>
          <w:i/>
          <w:iCs/>
        </w:rPr>
        <w:t>Whitbread plc (WTB.L) Income Statement - Yahoo Finance</w:t>
      </w:r>
      <w:r w:rsidRPr="00404D67">
        <w:t xml:space="preserve">. [online] </w:t>
      </w:r>
      <w:r w:rsidRPr="00404D67">
        <w:rPr>
          <w:i/>
          <w:iCs/>
        </w:rPr>
        <w:t>Yahoo Finance</w:t>
      </w:r>
      <w:r w:rsidRPr="00404D67">
        <w:t xml:space="preserve">. Available at: https://finance.yahoo.com/quote/WTB.L/financials/ </w:t>
      </w:r>
    </w:p>
    <w:p w14:paraId="7A513056" w14:textId="77777777" w:rsidR="00404D67" w:rsidRPr="00404D67" w:rsidRDefault="00404D67">
      <w:pPr>
        <w:spacing w:after="240"/>
        <w:rPr>
          <w:sz w:val="36"/>
          <w:szCs w:val="36"/>
        </w:rPr>
      </w:pPr>
      <w:r w:rsidRPr="00404D67">
        <w:t xml:space="preserve">Yahoo Finance (2026). </w:t>
      </w:r>
      <w:r w:rsidRPr="00404D67">
        <w:rPr>
          <w:i/>
          <w:iCs/>
        </w:rPr>
        <w:t>Whitbread H2 Earnings Call Highlights</w:t>
      </w:r>
      <w:r w:rsidRPr="00404D67">
        <w:t xml:space="preserve">. [online] Yahoo Finance. Available at: </w:t>
      </w:r>
      <w:hyperlink r:id="rId53">
        <w:r w:rsidRPr="00404D67">
          <w:t>https://finance.yahoo.com/markets/stocks/articles/whitbread-h2-earnings-call-highlights-132014600.html</w:t>
        </w:r>
      </w:hyperlink>
    </w:p>
    <w:p w14:paraId="24BE79ED" w14:textId="77777777" w:rsidR="0081565C" w:rsidRDefault="0081565C">
      <w:pPr>
        <w:spacing w:after="240"/>
      </w:pPr>
    </w:p>
    <w:p w14:paraId="732CEDC5" w14:textId="77777777" w:rsidR="00404D67" w:rsidRDefault="00404D67">
      <w:pPr>
        <w:rPr>
          <w:b/>
          <w:bCs/>
          <w:sz w:val="28"/>
          <w:szCs w:val="28"/>
        </w:rPr>
      </w:pPr>
      <w:r>
        <w:br w:type="page"/>
      </w:r>
    </w:p>
    <w:p w14:paraId="24BE79EE" w14:textId="2EC2686D" w:rsidR="0081565C" w:rsidRDefault="00C45D4B">
      <w:pPr>
        <w:pStyle w:val="Heading1"/>
      </w:pPr>
      <w:bookmarkStart w:id="58" w:name="_Toc236412231"/>
      <w:r>
        <w:lastRenderedPageBreak/>
        <w:t>Appendices</w:t>
      </w:r>
      <w:bookmarkEnd w:id="58"/>
    </w:p>
    <w:p w14:paraId="24BE79F0" w14:textId="3F3C0680" w:rsidR="0081565C" w:rsidRDefault="00C45D4B" w:rsidP="00404D67">
      <w:pPr>
        <w:pStyle w:val="Heading2"/>
      </w:pPr>
      <w:bookmarkStart w:id="59" w:name="_Toc236412232"/>
      <w:r>
        <w:t>Appendix 1: Ratio Analysis</w:t>
      </w:r>
      <w:bookmarkEnd w:id="59"/>
    </w:p>
    <w:tbl>
      <w:tblPr>
        <w:tblStyle w:val="a"/>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793"/>
        <w:gridCol w:w="816"/>
        <w:gridCol w:w="1120"/>
        <w:gridCol w:w="1120"/>
        <w:gridCol w:w="1120"/>
        <w:gridCol w:w="1271"/>
        <w:gridCol w:w="1120"/>
      </w:tblGrid>
      <w:tr w:rsidR="0081565C" w14:paraId="24BE79F2" w14:textId="77777777">
        <w:trPr>
          <w:trHeight w:val="300"/>
        </w:trPr>
        <w:tc>
          <w:tcPr>
            <w:tcW w:w="9355" w:type="dxa"/>
            <w:gridSpan w:val="7"/>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center"/>
          </w:tcPr>
          <w:p w14:paraId="24BE79F1" w14:textId="77777777" w:rsidR="0081565C" w:rsidRDefault="00C45D4B">
            <w:pPr>
              <w:jc w:val="center"/>
              <w:rPr>
                <w:rFonts w:ascii="Calibri" w:eastAsia="Calibri" w:hAnsi="Calibri" w:cs="Calibri"/>
                <w:sz w:val="22"/>
                <w:szCs w:val="22"/>
              </w:rPr>
            </w:pPr>
            <w:r>
              <w:rPr>
                <w:b/>
                <w:bCs/>
              </w:rPr>
              <w:t>Profitability Ratios:</w:t>
            </w:r>
          </w:p>
        </w:tc>
      </w:tr>
      <w:tr w:rsidR="0081565C" w14:paraId="24BE79FA" w14:textId="77777777">
        <w:trPr>
          <w:trHeight w:val="300"/>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4BE79F3" w14:textId="77777777" w:rsidR="0081565C" w:rsidRDefault="00C45D4B">
            <w:pPr>
              <w:jc w:val="center"/>
              <w:rPr>
                <w:rFonts w:ascii="Calibri" w:eastAsia="Calibri" w:hAnsi="Calibri" w:cs="Calibri"/>
                <w:sz w:val="22"/>
                <w:szCs w:val="22"/>
              </w:rPr>
            </w:pPr>
            <w:r>
              <w:rPr>
                <w:b/>
                <w:bCs/>
              </w:rPr>
              <w:t>Particulars</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4BE79F4" w14:textId="77777777" w:rsidR="0081565C" w:rsidRDefault="00C45D4B">
            <w:pPr>
              <w:jc w:val="center"/>
              <w:rPr>
                <w:rFonts w:ascii="Calibri" w:eastAsia="Calibri" w:hAnsi="Calibri" w:cs="Calibri"/>
                <w:sz w:val="22"/>
                <w:szCs w:val="22"/>
              </w:rPr>
            </w:pPr>
            <w:r>
              <w:rPr>
                <w:b/>
                <w:bCs/>
              </w:rPr>
              <w:t>Details</w:t>
            </w:r>
          </w:p>
        </w:tc>
        <w:tc>
          <w:tcPr>
            <w:tcW w:w="1119" w:type="dxa"/>
            <w:tcBorders>
              <w:top w:val="single" w:sz="6" w:space="0" w:color="CCCCCC"/>
              <w:left w:val="single" w:sz="6" w:space="0" w:color="CCCCCC"/>
              <w:bottom w:val="single" w:sz="6" w:space="0" w:color="000000"/>
              <w:right w:val="single" w:sz="6" w:space="0" w:color="000000"/>
            </w:tcBorders>
            <w:shd w:val="clear" w:color="auto" w:fill="E5F3EB"/>
            <w:tcMar>
              <w:top w:w="0" w:type="dxa"/>
              <w:left w:w="40" w:type="dxa"/>
              <w:bottom w:w="0" w:type="dxa"/>
              <w:right w:w="40" w:type="dxa"/>
            </w:tcMar>
            <w:vAlign w:val="center"/>
          </w:tcPr>
          <w:p w14:paraId="24BE79F5" w14:textId="77777777" w:rsidR="0081565C" w:rsidRDefault="00C45D4B">
            <w:pPr>
              <w:jc w:val="center"/>
              <w:rPr>
                <w:rFonts w:ascii="Calibri" w:eastAsia="Calibri" w:hAnsi="Calibri" w:cs="Calibri"/>
                <w:sz w:val="22"/>
                <w:szCs w:val="22"/>
              </w:rPr>
            </w:pPr>
            <w:r>
              <w:rPr>
                <w:b/>
                <w:bCs/>
              </w:rPr>
              <w:t>2021</w:t>
            </w:r>
          </w:p>
        </w:tc>
        <w:tc>
          <w:tcPr>
            <w:tcW w:w="1119" w:type="dxa"/>
            <w:tcBorders>
              <w:top w:val="single" w:sz="6" w:space="0" w:color="CCCCCC"/>
              <w:left w:val="single" w:sz="6" w:space="0" w:color="CCCCCC"/>
              <w:bottom w:val="single" w:sz="6" w:space="0" w:color="000000"/>
              <w:right w:val="single" w:sz="6" w:space="0" w:color="000000"/>
            </w:tcBorders>
            <w:shd w:val="clear" w:color="auto" w:fill="E5F3EB"/>
            <w:tcMar>
              <w:top w:w="0" w:type="dxa"/>
              <w:left w:w="40" w:type="dxa"/>
              <w:bottom w:w="0" w:type="dxa"/>
              <w:right w:w="40" w:type="dxa"/>
            </w:tcMar>
            <w:vAlign w:val="center"/>
          </w:tcPr>
          <w:p w14:paraId="24BE79F6" w14:textId="77777777" w:rsidR="0081565C" w:rsidRDefault="00C45D4B">
            <w:pPr>
              <w:jc w:val="center"/>
              <w:rPr>
                <w:rFonts w:ascii="Calibri" w:eastAsia="Calibri" w:hAnsi="Calibri" w:cs="Calibri"/>
                <w:sz w:val="22"/>
                <w:szCs w:val="22"/>
              </w:rPr>
            </w:pPr>
            <w:r>
              <w:rPr>
                <w:b/>
                <w:bCs/>
              </w:rPr>
              <w:t>2022</w:t>
            </w:r>
          </w:p>
        </w:tc>
        <w:tc>
          <w:tcPr>
            <w:tcW w:w="1119" w:type="dxa"/>
            <w:tcBorders>
              <w:top w:val="single" w:sz="6" w:space="0" w:color="CCCCCC"/>
              <w:left w:val="single" w:sz="6" w:space="0" w:color="CCCCCC"/>
              <w:bottom w:val="single" w:sz="6" w:space="0" w:color="000000"/>
              <w:right w:val="single" w:sz="6" w:space="0" w:color="000000"/>
            </w:tcBorders>
            <w:shd w:val="clear" w:color="auto" w:fill="E5F3EB"/>
            <w:tcMar>
              <w:top w:w="0" w:type="dxa"/>
              <w:left w:w="40" w:type="dxa"/>
              <w:bottom w:w="0" w:type="dxa"/>
              <w:right w:w="40" w:type="dxa"/>
            </w:tcMar>
            <w:vAlign w:val="center"/>
          </w:tcPr>
          <w:p w14:paraId="24BE79F7" w14:textId="77777777" w:rsidR="0081565C" w:rsidRDefault="00C45D4B">
            <w:pPr>
              <w:jc w:val="center"/>
              <w:rPr>
                <w:rFonts w:ascii="Calibri" w:eastAsia="Calibri" w:hAnsi="Calibri" w:cs="Calibri"/>
                <w:sz w:val="22"/>
                <w:szCs w:val="22"/>
              </w:rPr>
            </w:pPr>
            <w:r>
              <w:rPr>
                <w:b/>
                <w:bCs/>
              </w:rPr>
              <w:t>2023</w:t>
            </w:r>
          </w:p>
        </w:tc>
        <w:tc>
          <w:tcPr>
            <w:tcW w:w="1270" w:type="dxa"/>
            <w:tcBorders>
              <w:top w:val="single" w:sz="6" w:space="0" w:color="CCCCCC"/>
              <w:left w:val="single" w:sz="6" w:space="0" w:color="CCCCCC"/>
              <w:bottom w:val="single" w:sz="6" w:space="0" w:color="000000"/>
              <w:right w:val="single" w:sz="6" w:space="0" w:color="000000"/>
            </w:tcBorders>
            <w:shd w:val="clear" w:color="auto" w:fill="E5F3EB"/>
            <w:tcMar>
              <w:top w:w="0" w:type="dxa"/>
              <w:left w:w="40" w:type="dxa"/>
              <w:bottom w:w="0" w:type="dxa"/>
              <w:right w:w="40" w:type="dxa"/>
            </w:tcMar>
            <w:vAlign w:val="center"/>
          </w:tcPr>
          <w:p w14:paraId="24BE79F8" w14:textId="77777777" w:rsidR="0081565C" w:rsidRDefault="00C45D4B">
            <w:pPr>
              <w:jc w:val="center"/>
              <w:rPr>
                <w:rFonts w:ascii="Calibri" w:eastAsia="Calibri" w:hAnsi="Calibri" w:cs="Calibri"/>
                <w:sz w:val="22"/>
                <w:szCs w:val="22"/>
              </w:rPr>
            </w:pPr>
            <w:r>
              <w:rPr>
                <w:b/>
                <w:bCs/>
              </w:rPr>
              <w:t>2024</w:t>
            </w:r>
          </w:p>
        </w:tc>
        <w:tc>
          <w:tcPr>
            <w:tcW w:w="1119" w:type="dxa"/>
            <w:tcBorders>
              <w:top w:val="single" w:sz="6" w:space="0" w:color="CCCCCC"/>
              <w:left w:val="single" w:sz="6" w:space="0" w:color="CCCCCC"/>
              <w:bottom w:val="single" w:sz="6" w:space="0" w:color="000000"/>
              <w:right w:val="single" w:sz="6" w:space="0" w:color="000000"/>
            </w:tcBorders>
            <w:shd w:val="clear" w:color="auto" w:fill="E5F3EB"/>
            <w:tcMar>
              <w:top w:w="0" w:type="dxa"/>
              <w:left w:w="40" w:type="dxa"/>
              <w:bottom w:w="0" w:type="dxa"/>
              <w:right w:w="40" w:type="dxa"/>
            </w:tcMar>
            <w:vAlign w:val="center"/>
          </w:tcPr>
          <w:p w14:paraId="24BE79F9" w14:textId="77777777" w:rsidR="0081565C" w:rsidRDefault="00C45D4B">
            <w:pPr>
              <w:jc w:val="center"/>
              <w:rPr>
                <w:rFonts w:ascii="Calibri" w:eastAsia="Calibri" w:hAnsi="Calibri" w:cs="Calibri"/>
                <w:sz w:val="22"/>
                <w:szCs w:val="22"/>
              </w:rPr>
            </w:pPr>
            <w:r>
              <w:rPr>
                <w:b/>
                <w:bCs/>
              </w:rPr>
              <w:t>2025</w:t>
            </w:r>
          </w:p>
        </w:tc>
      </w:tr>
      <w:tr w:rsidR="0081565C" w14:paraId="24BE7A02" w14:textId="77777777">
        <w:trPr>
          <w:trHeight w:val="300"/>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4BE79FB" w14:textId="77777777" w:rsidR="0081565C" w:rsidRDefault="00C45D4B">
            <w:pPr>
              <w:jc w:val="center"/>
              <w:rPr>
                <w:rFonts w:ascii="Calibri" w:eastAsia="Calibri" w:hAnsi="Calibri" w:cs="Calibri"/>
                <w:sz w:val="22"/>
                <w:szCs w:val="22"/>
              </w:rPr>
            </w:pPr>
            <w:r>
              <w:t>Revenue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4BE79FC" w14:textId="77777777" w:rsidR="0081565C" w:rsidRDefault="00C45D4B">
            <w:pPr>
              <w:jc w:val="center"/>
              <w:rPr>
                <w:rFonts w:ascii="Calibri" w:eastAsia="Calibri" w:hAnsi="Calibri" w:cs="Calibri"/>
                <w:sz w:val="22"/>
                <w:szCs w:val="22"/>
              </w:rPr>
            </w:pPr>
            <w:r>
              <w:t>A</w:t>
            </w:r>
          </w:p>
        </w:tc>
        <w:tc>
          <w:tcPr>
            <w:tcW w:w="1119" w:type="dxa"/>
            <w:tcBorders>
              <w:top w:val="single" w:sz="6" w:space="0" w:color="CCCCCC"/>
              <w:left w:val="single" w:sz="6" w:space="0" w:color="CCCCCC"/>
              <w:bottom w:val="single" w:sz="6" w:space="0" w:color="000000"/>
              <w:right w:val="single" w:sz="6" w:space="0" w:color="000000"/>
            </w:tcBorders>
            <w:shd w:val="clear" w:color="auto" w:fill="FCFCFF"/>
            <w:tcMar>
              <w:top w:w="0" w:type="dxa"/>
              <w:left w:w="40" w:type="dxa"/>
              <w:bottom w:w="0" w:type="dxa"/>
              <w:right w:w="40" w:type="dxa"/>
            </w:tcMar>
            <w:vAlign w:val="center"/>
          </w:tcPr>
          <w:p w14:paraId="24BE79FD" w14:textId="77777777" w:rsidR="0081565C" w:rsidRDefault="00C45D4B">
            <w:pPr>
              <w:jc w:val="center"/>
              <w:rPr>
                <w:rFonts w:ascii="Calibri" w:eastAsia="Calibri" w:hAnsi="Calibri" w:cs="Calibri"/>
                <w:sz w:val="22"/>
                <w:szCs w:val="22"/>
              </w:rPr>
            </w:pPr>
            <w:r>
              <w:t>589.40</w:t>
            </w:r>
          </w:p>
        </w:tc>
        <w:tc>
          <w:tcPr>
            <w:tcW w:w="1119" w:type="dxa"/>
            <w:tcBorders>
              <w:top w:val="single" w:sz="6" w:space="0" w:color="CCCCCC"/>
              <w:left w:val="single" w:sz="6" w:space="0" w:color="CCCCCC"/>
              <w:bottom w:val="single" w:sz="6" w:space="0" w:color="000000"/>
              <w:right w:val="single" w:sz="6" w:space="0" w:color="000000"/>
            </w:tcBorders>
            <w:shd w:val="clear" w:color="auto" w:fill="EAF5F0"/>
            <w:tcMar>
              <w:top w:w="0" w:type="dxa"/>
              <w:left w:w="40" w:type="dxa"/>
              <w:bottom w:w="0" w:type="dxa"/>
              <w:right w:w="40" w:type="dxa"/>
            </w:tcMar>
            <w:vAlign w:val="center"/>
          </w:tcPr>
          <w:p w14:paraId="24BE79FE" w14:textId="77777777" w:rsidR="0081565C" w:rsidRDefault="00C45D4B">
            <w:pPr>
              <w:jc w:val="center"/>
              <w:rPr>
                <w:rFonts w:ascii="Calibri" w:eastAsia="Calibri" w:hAnsi="Calibri" w:cs="Calibri"/>
                <w:sz w:val="22"/>
                <w:szCs w:val="22"/>
              </w:rPr>
            </w:pPr>
            <w:r>
              <w:t>1,703.40</w:t>
            </w:r>
          </w:p>
        </w:tc>
        <w:tc>
          <w:tcPr>
            <w:tcW w:w="1119" w:type="dxa"/>
            <w:tcBorders>
              <w:top w:val="single" w:sz="6" w:space="0" w:color="CCCCCC"/>
              <w:left w:val="single" w:sz="6" w:space="0" w:color="CCCCCC"/>
              <w:bottom w:val="single" w:sz="6" w:space="0" w:color="000000"/>
              <w:right w:val="single" w:sz="6" w:space="0" w:color="000000"/>
            </w:tcBorders>
            <w:shd w:val="clear" w:color="auto" w:fill="DBEFE3"/>
            <w:tcMar>
              <w:top w:w="0" w:type="dxa"/>
              <w:left w:w="40" w:type="dxa"/>
              <w:bottom w:w="0" w:type="dxa"/>
              <w:right w:w="40" w:type="dxa"/>
            </w:tcMar>
            <w:vAlign w:val="center"/>
          </w:tcPr>
          <w:p w14:paraId="24BE79FF" w14:textId="77777777" w:rsidR="0081565C" w:rsidRDefault="00C45D4B">
            <w:pPr>
              <w:jc w:val="center"/>
              <w:rPr>
                <w:rFonts w:ascii="Calibri" w:eastAsia="Calibri" w:hAnsi="Calibri" w:cs="Calibri"/>
                <w:sz w:val="22"/>
                <w:szCs w:val="22"/>
              </w:rPr>
            </w:pPr>
            <w:r>
              <w:t>2,625.20</w:t>
            </w:r>
          </w:p>
        </w:tc>
        <w:tc>
          <w:tcPr>
            <w:tcW w:w="1270" w:type="dxa"/>
            <w:tcBorders>
              <w:top w:val="single" w:sz="6" w:space="0" w:color="CCCCCC"/>
              <w:left w:val="single" w:sz="6" w:space="0" w:color="CCCCCC"/>
              <w:bottom w:val="single" w:sz="6" w:space="0" w:color="000000"/>
              <w:right w:val="single" w:sz="6" w:space="0" w:color="000000"/>
            </w:tcBorders>
            <w:shd w:val="clear" w:color="auto" w:fill="D5EDDE"/>
            <w:tcMar>
              <w:top w:w="0" w:type="dxa"/>
              <w:left w:w="40" w:type="dxa"/>
              <w:bottom w:w="0" w:type="dxa"/>
              <w:right w:w="40" w:type="dxa"/>
            </w:tcMar>
            <w:vAlign w:val="center"/>
          </w:tcPr>
          <w:p w14:paraId="24BE7A00" w14:textId="77777777" w:rsidR="0081565C" w:rsidRDefault="00C45D4B">
            <w:pPr>
              <w:jc w:val="center"/>
              <w:rPr>
                <w:rFonts w:ascii="Calibri" w:eastAsia="Calibri" w:hAnsi="Calibri" w:cs="Calibri"/>
                <w:sz w:val="22"/>
                <w:szCs w:val="22"/>
              </w:rPr>
            </w:pPr>
            <w:r>
              <w:t>2,959.90</w:t>
            </w:r>
          </w:p>
        </w:tc>
        <w:tc>
          <w:tcPr>
            <w:tcW w:w="1119" w:type="dxa"/>
            <w:tcBorders>
              <w:top w:val="single" w:sz="6" w:space="0" w:color="CCCCCC"/>
              <w:left w:val="single" w:sz="6" w:space="0" w:color="CCCCCC"/>
              <w:bottom w:val="single" w:sz="6" w:space="0" w:color="000000"/>
              <w:right w:val="single" w:sz="6" w:space="0" w:color="000000"/>
            </w:tcBorders>
            <w:shd w:val="clear" w:color="auto" w:fill="D6EDDE"/>
            <w:tcMar>
              <w:top w:w="0" w:type="dxa"/>
              <w:left w:w="40" w:type="dxa"/>
              <w:bottom w:w="0" w:type="dxa"/>
              <w:right w:w="40" w:type="dxa"/>
            </w:tcMar>
            <w:vAlign w:val="center"/>
          </w:tcPr>
          <w:p w14:paraId="24BE7A01" w14:textId="77777777" w:rsidR="0081565C" w:rsidRDefault="00C45D4B">
            <w:pPr>
              <w:jc w:val="center"/>
              <w:rPr>
                <w:rFonts w:ascii="Calibri" w:eastAsia="Calibri" w:hAnsi="Calibri" w:cs="Calibri"/>
                <w:sz w:val="22"/>
                <w:szCs w:val="22"/>
              </w:rPr>
            </w:pPr>
            <w:r>
              <w:t>2,921.90</w:t>
            </w:r>
          </w:p>
        </w:tc>
      </w:tr>
      <w:tr w:rsidR="0081565C" w14:paraId="24BE7A0A" w14:textId="77777777">
        <w:trPr>
          <w:trHeight w:val="300"/>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4BE7A03" w14:textId="77777777" w:rsidR="0081565C" w:rsidRDefault="00C45D4B">
            <w:pPr>
              <w:jc w:val="center"/>
              <w:rPr>
                <w:rFonts w:ascii="Calibri" w:eastAsia="Calibri" w:hAnsi="Calibri" w:cs="Calibri"/>
                <w:sz w:val="22"/>
                <w:szCs w:val="22"/>
              </w:rPr>
            </w:pPr>
            <w:r>
              <w:t>Operating Profit/(Loss)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4BE7A04" w14:textId="77777777" w:rsidR="0081565C" w:rsidRDefault="00C45D4B">
            <w:pPr>
              <w:jc w:val="center"/>
              <w:rPr>
                <w:rFonts w:ascii="Calibri" w:eastAsia="Calibri" w:hAnsi="Calibri" w:cs="Calibri"/>
                <w:sz w:val="22"/>
                <w:szCs w:val="22"/>
              </w:rPr>
            </w:pPr>
            <w:r>
              <w:t>B</w:t>
            </w:r>
          </w:p>
        </w:tc>
        <w:tc>
          <w:tcPr>
            <w:tcW w:w="1119" w:type="dxa"/>
            <w:tcBorders>
              <w:top w:val="single" w:sz="6" w:space="0" w:color="CCCCCC"/>
              <w:left w:val="single" w:sz="6" w:space="0" w:color="CCCCCC"/>
              <w:bottom w:val="single" w:sz="6" w:space="0" w:color="000000"/>
              <w:right w:val="single" w:sz="6" w:space="0" w:color="000000"/>
            </w:tcBorders>
            <w:shd w:val="clear" w:color="auto" w:fill="F86F71"/>
            <w:tcMar>
              <w:top w:w="0" w:type="dxa"/>
              <w:left w:w="40" w:type="dxa"/>
              <w:bottom w:w="0" w:type="dxa"/>
              <w:right w:w="40" w:type="dxa"/>
            </w:tcMar>
            <w:vAlign w:val="center"/>
          </w:tcPr>
          <w:p w14:paraId="24BE7A05" w14:textId="77777777" w:rsidR="0081565C" w:rsidRDefault="00C45D4B">
            <w:pPr>
              <w:jc w:val="center"/>
              <w:rPr>
                <w:rFonts w:ascii="Calibri" w:eastAsia="Calibri" w:hAnsi="Calibri" w:cs="Calibri"/>
                <w:sz w:val="22"/>
                <w:szCs w:val="22"/>
              </w:rPr>
            </w:pPr>
            <w:r>
              <w:t>(839.10)</w:t>
            </w:r>
          </w:p>
        </w:tc>
        <w:tc>
          <w:tcPr>
            <w:tcW w:w="1119" w:type="dxa"/>
            <w:tcBorders>
              <w:top w:val="single" w:sz="6" w:space="0" w:color="CCCCCC"/>
              <w:left w:val="single" w:sz="6" w:space="0" w:color="CCCCCC"/>
              <w:bottom w:val="single" w:sz="6" w:space="0" w:color="000000"/>
              <w:right w:val="single" w:sz="6" w:space="0" w:color="000000"/>
            </w:tcBorders>
            <w:shd w:val="clear" w:color="auto" w:fill="FBD9DC"/>
            <w:tcMar>
              <w:top w:w="0" w:type="dxa"/>
              <w:left w:w="40" w:type="dxa"/>
              <w:bottom w:w="0" w:type="dxa"/>
              <w:right w:w="40" w:type="dxa"/>
            </w:tcMar>
            <w:vAlign w:val="center"/>
          </w:tcPr>
          <w:p w14:paraId="24BE7A06" w14:textId="77777777" w:rsidR="0081565C" w:rsidRDefault="00C45D4B">
            <w:pPr>
              <w:jc w:val="center"/>
              <w:rPr>
                <w:rFonts w:ascii="Calibri" w:eastAsia="Calibri" w:hAnsi="Calibri" w:cs="Calibri"/>
                <w:sz w:val="22"/>
                <w:szCs w:val="22"/>
              </w:rPr>
            </w:pPr>
            <w:r>
              <w:t>227.30</w:t>
            </w:r>
          </w:p>
        </w:tc>
        <w:tc>
          <w:tcPr>
            <w:tcW w:w="1119" w:type="dxa"/>
            <w:tcBorders>
              <w:top w:val="single" w:sz="6" w:space="0" w:color="CCCCCC"/>
              <w:left w:val="single" w:sz="6" w:space="0" w:color="CCCCCC"/>
              <w:bottom w:val="single" w:sz="6" w:space="0" w:color="000000"/>
              <w:right w:val="single" w:sz="6" w:space="0" w:color="000000"/>
            </w:tcBorders>
            <w:shd w:val="clear" w:color="auto" w:fill="FBF5F8"/>
            <w:tcMar>
              <w:top w:w="0" w:type="dxa"/>
              <w:left w:w="40" w:type="dxa"/>
              <w:bottom w:w="0" w:type="dxa"/>
              <w:right w:w="40" w:type="dxa"/>
            </w:tcMar>
            <w:vAlign w:val="center"/>
          </w:tcPr>
          <w:p w14:paraId="24BE7A07" w14:textId="77777777" w:rsidR="0081565C" w:rsidRDefault="00C45D4B">
            <w:pPr>
              <w:jc w:val="center"/>
              <w:rPr>
                <w:rFonts w:ascii="Calibri" w:eastAsia="Calibri" w:hAnsi="Calibri" w:cs="Calibri"/>
                <w:sz w:val="22"/>
                <w:szCs w:val="22"/>
              </w:rPr>
            </w:pPr>
            <w:r>
              <w:t>502.70</w:t>
            </w:r>
          </w:p>
        </w:tc>
        <w:tc>
          <w:tcPr>
            <w:tcW w:w="1270" w:type="dxa"/>
            <w:tcBorders>
              <w:top w:val="single" w:sz="6" w:space="0" w:color="CCCCCC"/>
              <w:left w:val="single" w:sz="6" w:space="0" w:color="CCCCCC"/>
              <w:bottom w:val="single" w:sz="6" w:space="0" w:color="000000"/>
              <w:right w:val="single" w:sz="6" w:space="0" w:color="000000"/>
            </w:tcBorders>
            <w:shd w:val="clear" w:color="auto" w:fill="FBFAFD"/>
            <w:tcMar>
              <w:top w:w="0" w:type="dxa"/>
              <w:left w:w="40" w:type="dxa"/>
              <w:bottom w:w="0" w:type="dxa"/>
              <w:right w:w="40" w:type="dxa"/>
            </w:tcMar>
            <w:vAlign w:val="center"/>
          </w:tcPr>
          <w:p w14:paraId="24BE7A08" w14:textId="77777777" w:rsidR="0081565C" w:rsidRDefault="00C45D4B">
            <w:pPr>
              <w:jc w:val="center"/>
              <w:rPr>
                <w:rFonts w:ascii="Calibri" w:eastAsia="Calibri" w:hAnsi="Calibri" w:cs="Calibri"/>
                <w:sz w:val="22"/>
                <w:szCs w:val="22"/>
              </w:rPr>
            </w:pPr>
            <w:r>
              <w:t>551.80</w:t>
            </w:r>
          </w:p>
        </w:tc>
        <w:tc>
          <w:tcPr>
            <w:tcW w:w="1119" w:type="dxa"/>
            <w:tcBorders>
              <w:top w:val="single" w:sz="6" w:space="0" w:color="CCCCCC"/>
              <w:left w:val="single" w:sz="6" w:space="0" w:color="CCCCCC"/>
              <w:bottom w:val="single" w:sz="6" w:space="0" w:color="000000"/>
              <w:right w:val="single" w:sz="6" w:space="0" w:color="000000"/>
            </w:tcBorders>
            <w:shd w:val="clear" w:color="auto" w:fill="FBF5F8"/>
            <w:tcMar>
              <w:top w:w="0" w:type="dxa"/>
              <w:left w:w="40" w:type="dxa"/>
              <w:bottom w:w="0" w:type="dxa"/>
              <w:right w:w="40" w:type="dxa"/>
            </w:tcMar>
            <w:vAlign w:val="center"/>
          </w:tcPr>
          <w:p w14:paraId="24BE7A09" w14:textId="77777777" w:rsidR="0081565C" w:rsidRDefault="00C45D4B">
            <w:pPr>
              <w:jc w:val="center"/>
              <w:rPr>
                <w:rFonts w:ascii="Calibri" w:eastAsia="Calibri" w:hAnsi="Calibri" w:cs="Calibri"/>
                <w:sz w:val="22"/>
                <w:szCs w:val="22"/>
              </w:rPr>
            </w:pPr>
            <w:r>
              <w:t>509.30</w:t>
            </w:r>
          </w:p>
        </w:tc>
      </w:tr>
      <w:tr w:rsidR="0081565C" w14:paraId="24BE7A12" w14:textId="77777777">
        <w:trPr>
          <w:trHeight w:val="300"/>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4BE7A0B" w14:textId="77777777" w:rsidR="0081565C" w:rsidRDefault="00C45D4B">
            <w:pPr>
              <w:jc w:val="center"/>
              <w:rPr>
                <w:rFonts w:ascii="Calibri" w:eastAsia="Calibri" w:hAnsi="Calibri" w:cs="Calibri"/>
                <w:sz w:val="22"/>
                <w:szCs w:val="22"/>
              </w:rPr>
            </w:pPr>
            <w:r>
              <w:t>Net Profit/(Loss)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4BE7A0C" w14:textId="77777777" w:rsidR="0081565C" w:rsidRDefault="00C45D4B">
            <w:pPr>
              <w:jc w:val="center"/>
              <w:rPr>
                <w:rFonts w:ascii="Calibri" w:eastAsia="Calibri" w:hAnsi="Calibri" w:cs="Calibri"/>
                <w:sz w:val="22"/>
                <w:szCs w:val="22"/>
              </w:rPr>
            </w:pPr>
            <w:r>
              <w:t>C</w:t>
            </w:r>
          </w:p>
        </w:tc>
        <w:tc>
          <w:tcPr>
            <w:tcW w:w="1119" w:type="dxa"/>
            <w:tcBorders>
              <w:top w:val="single" w:sz="6" w:space="0" w:color="CCCCCC"/>
              <w:left w:val="single" w:sz="6" w:space="0" w:color="CCCCCC"/>
              <w:bottom w:val="single" w:sz="6" w:space="0" w:color="000000"/>
              <w:right w:val="single" w:sz="6" w:space="0" w:color="000000"/>
            </w:tcBorders>
            <w:shd w:val="clear" w:color="auto" w:fill="F8696B"/>
            <w:tcMar>
              <w:top w:w="0" w:type="dxa"/>
              <w:left w:w="40" w:type="dxa"/>
              <w:bottom w:w="0" w:type="dxa"/>
              <w:right w:w="40" w:type="dxa"/>
            </w:tcMar>
            <w:vAlign w:val="center"/>
          </w:tcPr>
          <w:p w14:paraId="24BE7A0D" w14:textId="77777777" w:rsidR="0081565C" w:rsidRDefault="00C45D4B">
            <w:pPr>
              <w:jc w:val="center"/>
              <w:rPr>
                <w:rFonts w:ascii="Calibri" w:eastAsia="Calibri" w:hAnsi="Calibri" w:cs="Calibri"/>
                <w:sz w:val="22"/>
                <w:szCs w:val="22"/>
              </w:rPr>
            </w:pPr>
            <w:r>
              <w:t>(906.50)</w:t>
            </w:r>
          </w:p>
        </w:tc>
        <w:tc>
          <w:tcPr>
            <w:tcW w:w="1119" w:type="dxa"/>
            <w:tcBorders>
              <w:top w:val="single" w:sz="6" w:space="0" w:color="CCCCCC"/>
              <w:left w:val="single" w:sz="6" w:space="0" w:color="CCCCCC"/>
              <w:bottom w:val="single" w:sz="6" w:space="0" w:color="000000"/>
              <w:right w:val="single" w:sz="6" w:space="0" w:color="000000"/>
            </w:tcBorders>
            <w:shd w:val="clear" w:color="auto" w:fill="FAC7CA"/>
            <w:tcMar>
              <w:top w:w="0" w:type="dxa"/>
              <w:left w:w="40" w:type="dxa"/>
              <w:bottom w:w="0" w:type="dxa"/>
              <w:right w:w="40" w:type="dxa"/>
            </w:tcMar>
            <w:vAlign w:val="center"/>
          </w:tcPr>
          <w:p w14:paraId="24BE7A0E" w14:textId="77777777" w:rsidR="0081565C" w:rsidRDefault="00C45D4B">
            <w:pPr>
              <w:jc w:val="center"/>
              <w:rPr>
                <w:rFonts w:ascii="Calibri" w:eastAsia="Calibri" w:hAnsi="Calibri" w:cs="Calibri"/>
                <w:sz w:val="22"/>
                <w:szCs w:val="22"/>
              </w:rPr>
            </w:pPr>
            <w:r>
              <w:t>42.50</w:t>
            </w:r>
          </w:p>
        </w:tc>
        <w:tc>
          <w:tcPr>
            <w:tcW w:w="1119" w:type="dxa"/>
            <w:tcBorders>
              <w:top w:val="single" w:sz="6" w:space="0" w:color="CCCCCC"/>
              <w:left w:val="single" w:sz="6" w:space="0" w:color="CCCCCC"/>
              <w:bottom w:val="single" w:sz="6" w:space="0" w:color="000000"/>
              <w:right w:val="single" w:sz="6" w:space="0" w:color="000000"/>
            </w:tcBorders>
            <w:shd w:val="clear" w:color="auto" w:fill="FBDEE1"/>
            <w:tcMar>
              <w:top w:w="0" w:type="dxa"/>
              <w:left w:w="40" w:type="dxa"/>
              <w:bottom w:w="0" w:type="dxa"/>
              <w:right w:w="40" w:type="dxa"/>
            </w:tcMar>
            <w:vAlign w:val="center"/>
          </w:tcPr>
          <w:p w14:paraId="24BE7A0F" w14:textId="77777777" w:rsidR="0081565C" w:rsidRDefault="00C45D4B">
            <w:pPr>
              <w:jc w:val="center"/>
              <w:rPr>
                <w:rFonts w:ascii="Calibri" w:eastAsia="Calibri" w:hAnsi="Calibri" w:cs="Calibri"/>
                <w:sz w:val="22"/>
                <w:szCs w:val="22"/>
              </w:rPr>
            </w:pPr>
            <w:r>
              <w:t>278.80</w:t>
            </w:r>
          </w:p>
        </w:tc>
        <w:tc>
          <w:tcPr>
            <w:tcW w:w="1270" w:type="dxa"/>
            <w:tcBorders>
              <w:top w:val="single" w:sz="6" w:space="0" w:color="CCCCCC"/>
              <w:left w:val="single" w:sz="6" w:space="0" w:color="CCCCCC"/>
              <w:bottom w:val="single" w:sz="6" w:space="0" w:color="000000"/>
              <w:right w:val="single" w:sz="6" w:space="0" w:color="000000"/>
            </w:tcBorders>
            <w:shd w:val="clear" w:color="auto" w:fill="FBE2E5"/>
            <w:tcMar>
              <w:top w:w="0" w:type="dxa"/>
              <w:left w:w="40" w:type="dxa"/>
              <w:bottom w:w="0" w:type="dxa"/>
              <w:right w:w="40" w:type="dxa"/>
            </w:tcMar>
            <w:vAlign w:val="center"/>
          </w:tcPr>
          <w:p w14:paraId="24BE7A10" w14:textId="77777777" w:rsidR="0081565C" w:rsidRDefault="00C45D4B">
            <w:pPr>
              <w:jc w:val="center"/>
              <w:rPr>
                <w:rFonts w:ascii="Calibri" w:eastAsia="Calibri" w:hAnsi="Calibri" w:cs="Calibri"/>
                <w:sz w:val="22"/>
                <w:szCs w:val="22"/>
              </w:rPr>
            </w:pPr>
            <w:r>
              <w:t>312.10</w:t>
            </w:r>
          </w:p>
        </w:tc>
        <w:tc>
          <w:tcPr>
            <w:tcW w:w="1119" w:type="dxa"/>
            <w:tcBorders>
              <w:top w:val="single" w:sz="6" w:space="0" w:color="CCCCCC"/>
              <w:left w:val="single" w:sz="6" w:space="0" w:color="CCCCCC"/>
              <w:bottom w:val="single" w:sz="6" w:space="0" w:color="000000"/>
              <w:right w:val="single" w:sz="6" w:space="0" w:color="000000"/>
            </w:tcBorders>
            <w:shd w:val="clear" w:color="auto" w:fill="FBDCDF"/>
            <w:tcMar>
              <w:top w:w="0" w:type="dxa"/>
              <w:left w:w="40" w:type="dxa"/>
              <w:bottom w:w="0" w:type="dxa"/>
              <w:right w:w="40" w:type="dxa"/>
            </w:tcMar>
            <w:vAlign w:val="center"/>
          </w:tcPr>
          <w:p w14:paraId="24BE7A11" w14:textId="77777777" w:rsidR="0081565C" w:rsidRDefault="00C45D4B">
            <w:pPr>
              <w:jc w:val="center"/>
              <w:rPr>
                <w:rFonts w:ascii="Calibri" w:eastAsia="Calibri" w:hAnsi="Calibri" w:cs="Calibri"/>
                <w:sz w:val="22"/>
                <w:szCs w:val="22"/>
              </w:rPr>
            </w:pPr>
            <w:r>
              <w:t>253.70</w:t>
            </w:r>
          </w:p>
        </w:tc>
      </w:tr>
      <w:tr w:rsidR="0081565C" w14:paraId="24BE7A1A" w14:textId="77777777">
        <w:trPr>
          <w:trHeight w:val="300"/>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4BE7A13" w14:textId="77777777" w:rsidR="0081565C" w:rsidRDefault="00C45D4B">
            <w:pPr>
              <w:jc w:val="center"/>
              <w:rPr>
                <w:rFonts w:ascii="Calibri" w:eastAsia="Calibri" w:hAnsi="Calibri" w:cs="Calibri"/>
                <w:sz w:val="22"/>
                <w:szCs w:val="22"/>
              </w:rPr>
            </w:pPr>
            <w:r>
              <w:t>Total Assets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4BE7A14" w14:textId="77777777" w:rsidR="0081565C" w:rsidRDefault="00C45D4B">
            <w:pPr>
              <w:jc w:val="center"/>
              <w:rPr>
                <w:rFonts w:ascii="Calibri" w:eastAsia="Calibri" w:hAnsi="Calibri" w:cs="Calibri"/>
                <w:sz w:val="22"/>
                <w:szCs w:val="22"/>
              </w:rPr>
            </w:pPr>
            <w:r>
              <w:t>D</w:t>
            </w:r>
          </w:p>
        </w:tc>
        <w:tc>
          <w:tcPr>
            <w:tcW w:w="1119" w:type="dxa"/>
            <w:tcBorders>
              <w:top w:val="single" w:sz="6" w:space="0" w:color="CCCCCC"/>
              <w:left w:val="single" w:sz="6" w:space="0" w:color="CCCCCC"/>
              <w:bottom w:val="single" w:sz="6" w:space="0" w:color="000000"/>
              <w:right w:val="single" w:sz="6" w:space="0" w:color="000000"/>
            </w:tcBorders>
            <w:shd w:val="clear" w:color="auto" w:fill="76C68C"/>
            <w:tcMar>
              <w:top w:w="0" w:type="dxa"/>
              <w:left w:w="40" w:type="dxa"/>
              <w:bottom w:w="0" w:type="dxa"/>
              <w:right w:w="40" w:type="dxa"/>
            </w:tcMar>
            <w:vAlign w:val="center"/>
          </w:tcPr>
          <w:p w14:paraId="24BE7A15" w14:textId="77777777" w:rsidR="0081565C" w:rsidRDefault="00C45D4B">
            <w:pPr>
              <w:jc w:val="center"/>
              <w:rPr>
                <w:rFonts w:ascii="Calibri" w:eastAsia="Calibri" w:hAnsi="Calibri" w:cs="Calibri"/>
                <w:sz w:val="22"/>
                <w:szCs w:val="22"/>
              </w:rPr>
            </w:pPr>
            <w:r>
              <w:t>8,798.60</w:t>
            </w:r>
          </w:p>
        </w:tc>
        <w:tc>
          <w:tcPr>
            <w:tcW w:w="1119" w:type="dxa"/>
            <w:tcBorders>
              <w:top w:val="single" w:sz="6" w:space="0" w:color="CCCCCC"/>
              <w:left w:val="single" w:sz="6" w:space="0" w:color="CCCCCC"/>
              <w:bottom w:val="single" w:sz="6" w:space="0" w:color="000000"/>
              <w:right w:val="single" w:sz="6" w:space="0" w:color="000000"/>
            </w:tcBorders>
            <w:shd w:val="clear" w:color="auto" w:fill="6AC181"/>
            <w:tcMar>
              <w:top w:w="0" w:type="dxa"/>
              <w:left w:w="40" w:type="dxa"/>
              <w:bottom w:w="0" w:type="dxa"/>
              <w:right w:w="40" w:type="dxa"/>
            </w:tcMar>
            <w:vAlign w:val="center"/>
          </w:tcPr>
          <w:p w14:paraId="24BE7A16" w14:textId="77777777" w:rsidR="0081565C" w:rsidRDefault="00C45D4B">
            <w:pPr>
              <w:jc w:val="center"/>
              <w:rPr>
                <w:rFonts w:ascii="Calibri" w:eastAsia="Calibri" w:hAnsi="Calibri" w:cs="Calibri"/>
                <w:sz w:val="22"/>
                <w:szCs w:val="22"/>
              </w:rPr>
            </w:pPr>
            <w:r>
              <w:t>9,566.50</w:t>
            </w:r>
          </w:p>
        </w:tc>
        <w:tc>
          <w:tcPr>
            <w:tcW w:w="1119" w:type="dxa"/>
            <w:tcBorders>
              <w:top w:val="single" w:sz="6" w:space="0" w:color="CCCCCC"/>
              <w:left w:val="single" w:sz="6" w:space="0" w:color="CCCCCC"/>
              <w:bottom w:val="single" w:sz="6" w:space="0" w:color="000000"/>
              <w:right w:val="single" w:sz="6" w:space="0" w:color="000000"/>
            </w:tcBorders>
            <w:shd w:val="clear" w:color="auto" w:fill="63BE7B"/>
            <w:tcMar>
              <w:top w:w="0" w:type="dxa"/>
              <w:left w:w="40" w:type="dxa"/>
              <w:bottom w:w="0" w:type="dxa"/>
              <w:right w:w="40" w:type="dxa"/>
            </w:tcMar>
            <w:vAlign w:val="center"/>
          </w:tcPr>
          <w:p w14:paraId="24BE7A17" w14:textId="77777777" w:rsidR="0081565C" w:rsidRDefault="00C45D4B">
            <w:pPr>
              <w:jc w:val="center"/>
              <w:rPr>
                <w:rFonts w:ascii="Calibri" w:eastAsia="Calibri" w:hAnsi="Calibri" w:cs="Calibri"/>
                <w:sz w:val="22"/>
                <w:szCs w:val="22"/>
              </w:rPr>
            </w:pPr>
            <w:r>
              <w:t>9,942.80</w:t>
            </w:r>
          </w:p>
        </w:tc>
        <w:tc>
          <w:tcPr>
            <w:tcW w:w="1270" w:type="dxa"/>
            <w:tcBorders>
              <w:top w:val="single" w:sz="6" w:space="0" w:color="CCCCCC"/>
              <w:left w:val="single" w:sz="6" w:space="0" w:color="CCCCCC"/>
              <w:bottom w:val="single" w:sz="6" w:space="0" w:color="000000"/>
              <w:right w:val="single" w:sz="6" w:space="0" w:color="000000"/>
            </w:tcBorders>
            <w:shd w:val="clear" w:color="auto" w:fill="6AC181"/>
            <w:tcMar>
              <w:top w:w="0" w:type="dxa"/>
              <w:left w:w="40" w:type="dxa"/>
              <w:bottom w:w="0" w:type="dxa"/>
              <w:right w:w="40" w:type="dxa"/>
            </w:tcMar>
            <w:vAlign w:val="center"/>
          </w:tcPr>
          <w:p w14:paraId="24BE7A18" w14:textId="77777777" w:rsidR="0081565C" w:rsidRDefault="00C45D4B">
            <w:pPr>
              <w:jc w:val="center"/>
              <w:rPr>
                <w:rFonts w:ascii="Calibri" w:eastAsia="Calibri" w:hAnsi="Calibri" w:cs="Calibri"/>
                <w:sz w:val="22"/>
                <w:szCs w:val="22"/>
              </w:rPr>
            </w:pPr>
            <w:r>
              <w:t>9,521.30</w:t>
            </w:r>
          </w:p>
        </w:tc>
        <w:tc>
          <w:tcPr>
            <w:tcW w:w="1119" w:type="dxa"/>
            <w:tcBorders>
              <w:top w:val="single" w:sz="6" w:space="0" w:color="CCCCCC"/>
              <w:left w:val="single" w:sz="6" w:space="0" w:color="CCCCCC"/>
              <w:bottom w:val="single" w:sz="6" w:space="0" w:color="000000"/>
              <w:right w:val="single" w:sz="6" w:space="0" w:color="000000"/>
            </w:tcBorders>
            <w:shd w:val="clear" w:color="auto" w:fill="64BF7C"/>
            <w:tcMar>
              <w:top w:w="0" w:type="dxa"/>
              <w:left w:w="40" w:type="dxa"/>
              <w:bottom w:w="0" w:type="dxa"/>
              <w:right w:w="40" w:type="dxa"/>
            </w:tcMar>
            <w:vAlign w:val="center"/>
          </w:tcPr>
          <w:p w14:paraId="24BE7A19" w14:textId="77777777" w:rsidR="0081565C" w:rsidRDefault="00C45D4B">
            <w:pPr>
              <w:jc w:val="center"/>
              <w:rPr>
                <w:rFonts w:ascii="Calibri" w:eastAsia="Calibri" w:hAnsi="Calibri" w:cs="Calibri"/>
                <w:sz w:val="22"/>
                <w:szCs w:val="22"/>
              </w:rPr>
            </w:pPr>
            <w:r>
              <w:t>9,904.70</w:t>
            </w:r>
          </w:p>
        </w:tc>
      </w:tr>
      <w:tr w:rsidR="0081565C" w14:paraId="24BE7A22" w14:textId="77777777">
        <w:trPr>
          <w:trHeight w:val="300"/>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4BE7A1B" w14:textId="77777777" w:rsidR="0081565C" w:rsidRDefault="00C45D4B">
            <w:pPr>
              <w:jc w:val="center"/>
              <w:rPr>
                <w:rFonts w:ascii="Calibri" w:eastAsia="Calibri" w:hAnsi="Calibri" w:cs="Calibri"/>
                <w:sz w:val="22"/>
                <w:szCs w:val="22"/>
              </w:rPr>
            </w:pPr>
            <w:r>
              <w:t>Current Liabilities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4BE7A1C" w14:textId="77777777" w:rsidR="0081565C" w:rsidRDefault="00C45D4B">
            <w:pPr>
              <w:jc w:val="center"/>
              <w:rPr>
                <w:rFonts w:ascii="Calibri" w:eastAsia="Calibri" w:hAnsi="Calibri" w:cs="Calibri"/>
                <w:sz w:val="22"/>
                <w:szCs w:val="22"/>
              </w:rPr>
            </w:pPr>
            <w:r>
              <w:t>E</w:t>
            </w:r>
          </w:p>
        </w:tc>
        <w:tc>
          <w:tcPr>
            <w:tcW w:w="1119" w:type="dxa"/>
            <w:tcBorders>
              <w:top w:val="single" w:sz="6" w:space="0" w:color="CCCCCC"/>
              <w:left w:val="single" w:sz="6" w:space="0" w:color="CCCCCC"/>
              <w:bottom w:val="single" w:sz="6" w:space="0" w:color="000000"/>
              <w:right w:val="single" w:sz="6" w:space="0" w:color="000000"/>
            </w:tcBorders>
            <w:shd w:val="clear" w:color="auto" w:fill="F9FBFD"/>
            <w:tcMar>
              <w:top w:w="0" w:type="dxa"/>
              <w:left w:w="40" w:type="dxa"/>
              <w:bottom w:w="0" w:type="dxa"/>
              <w:right w:w="40" w:type="dxa"/>
            </w:tcMar>
            <w:vAlign w:val="center"/>
          </w:tcPr>
          <w:p w14:paraId="24BE7A1D" w14:textId="77777777" w:rsidR="0081565C" w:rsidRDefault="00C45D4B">
            <w:pPr>
              <w:jc w:val="center"/>
              <w:rPr>
                <w:rFonts w:ascii="Calibri" w:eastAsia="Calibri" w:hAnsi="Calibri" w:cs="Calibri"/>
                <w:sz w:val="22"/>
                <w:szCs w:val="22"/>
              </w:rPr>
            </w:pPr>
            <w:r>
              <w:t>775.30</w:t>
            </w:r>
          </w:p>
        </w:tc>
        <w:tc>
          <w:tcPr>
            <w:tcW w:w="1119" w:type="dxa"/>
            <w:tcBorders>
              <w:top w:val="single" w:sz="6" w:space="0" w:color="CCCCCC"/>
              <w:left w:val="single" w:sz="6" w:space="0" w:color="CCCCCC"/>
              <w:bottom w:val="single" w:sz="6" w:space="0" w:color="000000"/>
              <w:right w:val="single" w:sz="6" w:space="0" w:color="000000"/>
            </w:tcBorders>
            <w:shd w:val="clear" w:color="auto" w:fill="FAFCFD"/>
            <w:tcMar>
              <w:top w:w="0" w:type="dxa"/>
              <w:left w:w="40" w:type="dxa"/>
              <w:bottom w:w="0" w:type="dxa"/>
              <w:right w:w="40" w:type="dxa"/>
            </w:tcMar>
            <w:vAlign w:val="center"/>
          </w:tcPr>
          <w:p w14:paraId="24BE7A1E" w14:textId="77777777" w:rsidR="0081565C" w:rsidRDefault="00C45D4B">
            <w:pPr>
              <w:jc w:val="center"/>
              <w:rPr>
                <w:rFonts w:ascii="Calibri" w:eastAsia="Calibri" w:hAnsi="Calibri" w:cs="Calibri"/>
                <w:sz w:val="22"/>
                <w:szCs w:val="22"/>
              </w:rPr>
            </w:pPr>
            <w:r>
              <w:t>719.60</w:t>
            </w:r>
          </w:p>
        </w:tc>
        <w:tc>
          <w:tcPr>
            <w:tcW w:w="1119" w:type="dxa"/>
            <w:tcBorders>
              <w:top w:val="single" w:sz="6" w:space="0" w:color="CCCCCC"/>
              <w:left w:val="single" w:sz="6" w:space="0" w:color="CCCCCC"/>
              <w:bottom w:val="single" w:sz="6" w:space="0" w:color="000000"/>
              <w:right w:val="single" w:sz="6" w:space="0" w:color="000000"/>
            </w:tcBorders>
            <w:shd w:val="clear" w:color="auto" w:fill="F8FBFC"/>
            <w:tcMar>
              <w:top w:w="0" w:type="dxa"/>
              <w:left w:w="40" w:type="dxa"/>
              <w:bottom w:w="0" w:type="dxa"/>
              <w:right w:w="40" w:type="dxa"/>
            </w:tcMar>
            <w:vAlign w:val="center"/>
          </w:tcPr>
          <w:p w14:paraId="24BE7A1F" w14:textId="77777777" w:rsidR="0081565C" w:rsidRDefault="00C45D4B">
            <w:pPr>
              <w:jc w:val="center"/>
              <w:rPr>
                <w:rFonts w:ascii="Calibri" w:eastAsia="Calibri" w:hAnsi="Calibri" w:cs="Calibri"/>
                <w:sz w:val="22"/>
                <w:szCs w:val="22"/>
              </w:rPr>
            </w:pPr>
            <w:r>
              <w:t>845.60</w:t>
            </w:r>
          </w:p>
        </w:tc>
        <w:tc>
          <w:tcPr>
            <w:tcW w:w="1270" w:type="dxa"/>
            <w:tcBorders>
              <w:top w:val="single" w:sz="6" w:space="0" w:color="CCCCCC"/>
              <w:left w:val="single" w:sz="6" w:space="0" w:color="CCCCCC"/>
              <w:bottom w:val="single" w:sz="6" w:space="0" w:color="000000"/>
              <w:right w:val="single" w:sz="6" w:space="0" w:color="000000"/>
            </w:tcBorders>
            <w:shd w:val="clear" w:color="auto" w:fill="F8FBFB"/>
            <w:tcMar>
              <w:top w:w="0" w:type="dxa"/>
              <w:left w:w="40" w:type="dxa"/>
              <w:bottom w:w="0" w:type="dxa"/>
              <w:right w:w="40" w:type="dxa"/>
            </w:tcMar>
            <w:vAlign w:val="center"/>
          </w:tcPr>
          <w:p w14:paraId="24BE7A20" w14:textId="77777777" w:rsidR="0081565C" w:rsidRDefault="00C45D4B">
            <w:pPr>
              <w:jc w:val="center"/>
              <w:rPr>
                <w:rFonts w:ascii="Calibri" w:eastAsia="Calibri" w:hAnsi="Calibri" w:cs="Calibri"/>
                <w:sz w:val="22"/>
                <w:szCs w:val="22"/>
              </w:rPr>
            </w:pPr>
            <w:r>
              <w:t>870.40</w:t>
            </w:r>
          </w:p>
        </w:tc>
        <w:tc>
          <w:tcPr>
            <w:tcW w:w="1119" w:type="dxa"/>
            <w:tcBorders>
              <w:top w:val="single" w:sz="6" w:space="0" w:color="CCCCCC"/>
              <w:left w:val="single" w:sz="6" w:space="0" w:color="CCCCCC"/>
              <w:bottom w:val="single" w:sz="6" w:space="0" w:color="000000"/>
              <w:right w:val="single" w:sz="6" w:space="0" w:color="000000"/>
            </w:tcBorders>
            <w:shd w:val="clear" w:color="auto" w:fill="F0F8F5"/>
            <w:tcMar>
              <w:top w:w="0" w:type="dxa"/>
              <w:left w:w="40" w:type="dxa"/>
              <w:bottom w:w="0" w:type="dxa"/>
              <w:right w:w="40" w:type="dxa"/>
            </w:tcMar>
            <w:vAlign w:val="center"/>
          </w:tcPr>
          <w:p w14:paraId="24BE7A21" w14:textId="77777777" w:rsidR="0081565C" w:rsidRDefault="00C45D4B">
            <w:pPr>
              <w:jc w:val="center"/>
              <w:rPr>
                <w:rFonts w:ascii="Calibri" w:eastAsia="Calibri" w:hAnsi="Calibri" w:cs="Calibri"/>
                <w:sz w:val="22"/>
                <w:szCs w:val="22"/>
              </w:rPr>
            </w:pPr>
            <w:r>
              <w:t>1,319.00</w:t>
            </w:r>
          </w:p>
        </w:tc>
      </w:tr>
      <w:tr w:rsidR="0081565C" w14:paraId="24BE7A2A" w14:textId="77777777">
        <w:trPr>
          <w:trHeight w:val="300"/>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4BE7A23" w14:textId="77777777" w:rsidR="0081565C" w:rsidRDefault="00C45D4B">
            <w:pPr>
              <w:jc w:val="center"/>
              <w:rPr>
                <w:rFonts w:ascii="Calibri" w:eastAsia="Calibri" w:hAnsi="Calibri" w:cs="Calibri"/>
                <w:sz w:val="22"/>
                <w:szCs w:val="22"/>
              </w:rPr>
            </w:pPr>
            <w:r>
              <w:t>Equity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4BE7A24" w14:textId="77777777" w:rsidR="0081565C" w:rsidRDefault="00C45D4B">
            <w:pPr>
              <w:jc w:val="center"/>
              <w:rPr>
                <w:rFonts w:ascii="Calibri" w:eastAsia="Calibri" w:hAnsi="Calibri" w:cs="Calibri"/>
                <w:sz w:val="22"/>
                <w:szCs w:val="22"/>
              </w:rPr>
            </w:pPr>
            <w:r>
              <w:t>F</w:t>
            </w:r>
          </w:p>
        </w:tc>
        <w:tc>
          <w:tcPr>
            <w:tcW w:w="1119" w:type="dxa"/>
            <w:tcBorders>
              <w:top w:val="single" w:sz="6" w:space="0" w:color="CCCCCC"/>
              <w:left w:val="single" w:sz="6" w:space="0" w:color="CCCCCC"/>
              <w:bottom w:val="single" w:sz="6" w:space="0" w:color="000000"/>
              <w:right w:val="single" w:sz="6" w:space="0" w:color="000000"/>
            </w:tcBorders>
            <w:shd w:val="clear" w:color="auto" w:fill="A6DAB5"/>
            <w:tcMar>
              <w:top w:w="0" w:type="dxa"/>
              <w:left w:w="40" w:type="dxa"/>
              <w:bottom w:w="0" w:type="dxa"/>
              <w:right w:w="40" w:type="dxa"/>
            </w:tcMar>
            <w:vAlign w:val="center"/>
          </w:tcPr>
          <w:p w14:paraId="24BE7A25" w14:textId="77777777" w:rsidR="0081565C" w:rsidRDefault="00C45D4B">
            <w:pPr>
              <w:jc w:val="center"/>
              <w:rPr>
                <w:rFonts w:ascii="Calibri" w:eastAsia="Calibri" w:hAnsi="Calibri" w:cs="Calibri"/>
                <w:sz w:val="22"/>
                <w:szCs w:val="22"/>
              </w:rPr>
            </w:pPr>
            <w:r>
              <w:t>5,854.10</w:t>
            </w:r>
          </w:p>
        </w:tc>
        <w:tc>
          <w:tcPr>
            <w:tcW w:w="1119" w:type="dxa"/>
            <w:tcBorders>
              <w:top w:val="single" w:sz="6" w:space="0" w:color="CCCCCC"/>
              <w:left w:val="single" w:sz="6" w:space="0" w:color="CCCCCC"/>
              <w:bottom w:val="single" w:sz="6" w:space="0" w:color="000000"/>
              <w:right w:val="single" w:sz="6" w:space="0" w:color="000000"/>
            </w:tcBorders>
            <w:shd w:val="clear" w:color="auto" w:fill="C3E5CE"/>
            <w:tcMar>
              <w:top w:w="0" w:type="dxa"/>
              <w:left w:w="40" w:type="dxa"/>
              <w:bottom w:w="0" w:type="dxa"/>
              <w:right w:w="40" w:type="dxa"/>
            </w:tcMar>
            <w:vAlign w:val="center"/>
          </w:tcPr>
          <w:p w14:paraId="24BE7A26" w14:textId="77777777" w:rsidR="0081565C" w:rsidRDefault="00C45D4B">
            <w:pPr>
              <w:jc w:val="center"/>
              <w:rPr>
                <w:rFonts w:ascii="Calibri" w:eastAsia="Calibri" w:hAnsi="Calibri" w:cs="Calibri"/>
                <w:sz w:val="22"/>
                <w:szCs w:val="22"/>
              </w:rPr>
            </w:pPr>
            <w:r>
              <w:t>4,119.00</w:t>
            </w:r>
          </w:p>
        </w:tc>
        <w:tc>
          <w:tcPr>
            <w:tcW w:w="1119" w:type="dxa"/>
            <w:tcBorders>
              <w:top w:val="single" w:sz="6" w:space="0" w:color="CCCCCC"/>
              <w:left w:val="single" w:sz="6" w:space="0" w:color="CCCCCC"/>
              <w:bottom w:val="single" w:sz="6" w:space="0" w:color="000000"/>
              <w:right w:val="single" w:sz="6" w:space="0" w:color="000000"/>
            </w:tcBorders>
            <w:shd w:val="clear" w:color="auto" w:fill="C3E5CE"/>
            <w:tcMar>
              <w:top w:w="0" w:type="dxa"/>
              <w:left w:w="40" w:type="dxa"/>
              <w:bottom w:w="0" w:type="dxa"/>
              <w:right w:w="40" w:type="dxa"/>
            </w:tcMar>
            <w:vAlign w:val="center"/>
          </w:tcPr>
          <w:p w14:paraId="24BE7A27" w14:textId="77777777" w:rsidR="0081565C" w:rsidRDefault="00C45D4B">
            <w:pPr>
              <w:jc w:val="center"/>
              <w:rPr>
                <w:rFonts w:ascii="Calibri" w:eastAsia="Calibri" w:hAnsi="Calibri" w:cs="Calibri"/>
                <w:sz w:val="22"/>
                <w:szCs w:val="22"/>
              </w:rPr>
            </w:pPr>
            <w:r>
              <w:t>4,111.40</w:t>
            </w:r>
          </w:p>
        </w:tc>
        <w:tc>
          <w:tcPr>
            <w:tcW w:w="1270" w:type="dxa"/>
            <w:tcBorders>
              <w:top w:val="single" w:sz="6" w:space="0" w:color="CCCCCC"/>
              <w:left w:val="single" w:sz="6" w:space="0" w:color="CCCCCC"/>
              <w:bottom w:val="single" w:sz="6" w:space="0" w:color="000000"/>
              <w:right w:val="single" w:sz="6" w:space="0" w:color="000000"/>
            </w:tcBorders>
            <w:shd w:val="clear" w:color="auto" w:fill="CCE9D6"/>
            <w:tcMar>
              <w:top w:w="0" w:type="dxa"/>
              <w:left w:w="40" w:type="dxa"/>
              <w:bottom w:w="0" w:type="dxa"/>
              <w:right w:w="40" w:type="dxa"/>
            </w:tcMar>
            <w:vAlign w:val="center"/>
          </w:tcPr>
          <w:p w14:paraId="24BE7A28" w14:textId="77777777" w:rsidR="0081565C" w:rsidRDefault="00C45D4B">
            <w:pPr>
              <w:jc w:val="center"/>
              <w:rPr>
                <w:rFonts w:ascii="Calibri" w:eastAsia="Calibri" w:hAnsi="Calibri" w:cs="Calibri"/>
                <w:sz w:val="22"/>
                <w:szCs w:val="22"/>
              </w:rPr>
            </w:pPr>
            <w:r>
              <w:t>3,519.40</w:t>
            </w:r>
          </w:p>
        </w:tc>
        <w:tc>
          <w:tcPr>
            <w:tcW w:w="1119" w:type="dxa"/>
            <w:tcBorders>
              <w:top w:val="single" w:sz="6" w:space="0" w:color="CCCCCC"/>
              <w:left w:val="single" w:sz="6" w:space="0" w:color="CCCCCC"/>
              <w:bottom w:val="single" w:sz="6" w:space="0" w:color="000000"/>
              <w:right w:val="single" w:sz="6" w:space="0" w:color="000000"/>
            </w:tcBorders>
            <w:shd w:val="clear" w:color="auto" w:fill="CFEAD9"/>
            <w:tcMar>
              <w:top w:w="0" w:type="dxa"/>
              <w:left w:w="40" w:type="dxa"/>
              <w:bottom w:w="0" w:type="dxa"/>
              <w:right w:w="40" w:type="dxa"/>
            </w:tcMar>
            <w:vAlign w:val="center"/>
          </w:tcPr>
          <w:p w14:paraId="24BE7A29" w14:textId="77777777" w:rsidR="0081565C" w:rsidRDefault="00C45D4B">
            <w:pPr>
              <w:jc w:val="center"/>
              <w:rPr>
                <w:rFonts w:ascii="Calibri" w:eastAsia="Calibri" w:hAnsi="Calibri" w:cs="Calibri"/>
                <w:sz w:val="22"/>
                <w:szCs w:val="22"/>
              </w:rPr>
            </w:pPr>
            <w:r>
              <w:t>3,334.50</w:t>
            </w:r>
          </w:p>
        </w:tc>
      </w:tr>
      <w:tr w:rsidR="0081565C" w14:paraId="24BE7A32" w14:textId="77777777">
        <w:trPr>
          <w:trHeight w:val="300"/>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4BE7A2B" w14:textId="77777777" w:rsidR="0081565C" w:rsidRDefault="00C45D4B">
            <w:pPr>
              <w:jc w:val="center"/>
              <w:rPr>
                <w:rFonts w:ascii="Calibri" w:eastAsia="Calibri" w:hAnsi="Calibri" w:cs="Calibri"/>
                <w:sz w:val="22"/>
                <w:szCs w:val="22"/>
              </w:rPr>
            </w:pPr>
            <w:r>
              <w:rPr>
                <w:b/>
                <w:bCs/>
              </w:rPr>
              <w:t>Net Margin</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4BE7A2C" w14:textId="77777777" w:rsidR="0081565C" w:rsidRDefault="00C45D4B">
            <w:pPr>
              <w:jc w:val="center"/>
              <w:rPr>
                <w:rFonts w:ascii="Calibri" w:eastAsia="Calibri" w:hAnsi="Calibri" w:cs="Calibri"/>
                <w:sz w:val="22"/>
                <w:szCs w:val="22"/>
              </w:rPr>
            </w:pPr>
            <w:r>
              <w:rPr>
                <w:b/>
                <w:bCs/>
              </w:rPr>
              <w:t>C/A</w:t>
            </w:r>
          </w:p>
        </w:tc>
        <w:tc>
          <w:tcPr>
            <w:tcW w:w="1119" w:type="dxa"/>
            <w:tcBorders>
              <w:top w:val="single" w:sz="6" w:space="0" w:color="CCCCCC"/>
              <w:left w:val="single" w:sz="6" w:space="0" w:color="CCCCCC"/>
              <w:bottom w:val="single" w:sz="6" w:space="0" w:color="000000"/>
              <w:right w:val="single" w:sz="6" w:space="0" w:color="000000"/>
            </w:tcBorders>
            <w:shd w:val="clear" w:color="auto" w:fill="FAC3C5"/>
            <w:tcMar>
              <w:top w:w="0" w:type="dxa"/>
              <w:left w:w="40" w:type="dxa"/>
              <w:bottom w:w="0" w:type="dxa"/>
              <w:right w:w="40" w:type="dxa"/>
            </w:tcMar>
            <w:vAlign w:val="center"/>
          </w:tcPr>
          <w:p w14:paraId="24BE7A2D" w14:textId="77777777" w:rsidR="0081565C" w:rsidRDefault="00C45D4B">
            <w:pPr>
              <w:jc w:val="center"/>
              <w:rPr>
                <w:rFonts w:ascii="Calibri" w:eastAsia="Calibri" w:hAnsi="Calibri" w:cs="Calibri"/>
                <w:sz w:val="22"/>
                <w:szCs w:val="22"/>
              </w:rPr>
            </w:pPr>
            <w:r>
              <w:rPr>
                <w:b/>
                <w:bCs/>
              </w:rPr>
              <w:t>-153.80%</w:t>
            </w:r>
          </w:p>
        </w:tc>
        <w:tc>
          <w:tcPr>
            <w:tcW w:w="1119" w:type="dxa"/>
            <w:tcBorders>
              <w:top w:val="single" w:sz="6" w:space="0" w:color="CCCCCC"/>
              <w:left w:val="single" w:sz="6" w:space="0" w:color="CCCCCC"/>
              <w:bottom w:val="single" w:sz="6" w:space="0" w:color="000000"/>
              <w:right w:val="single" w:sz="6" w:space="0" w:color="000000"/>
            </w:tcBorders>
            <w:shd w:val="clear" w:color="auto" w:fill="FAC3C5"/>
            <w:tcMar>
              <w:top w:w="0" w:type="dxa"/>
              <w:left w:w="40" w:type="dxa"/>
              <w:bottom w:w="0" w:type="dxa"/>
              <w:right w:w="40" w:type="dxa"/>
            </w:tcMar>
            <w:vAlign w:val="center"/>
          </w:tcPr>
          <w:p w14:paraId="24BE7A2E" w14:textId="77777777" w:rsidR="0081565C" w:rsidRDefault="00C45D4B">
            <w:pPr>
              <w:jc w:val="center"/>
              <w:rPr>
                <w:rFonts w:ascii="Calibri" w:eastAsia="Calibri" w:hAnsi="Calibri" w:cs="Calibri"/>
                <w:sz w:val="22"/>
                <w:szCs w:val="22"/>
              </w:rPr>
            </w:pPr>
            <w:r>
              <w:rPr>
                <w:b/>
                <w:bCs/>
              </w:rPr>
              <w:t>2.50%</w:t>
            </w:r>
          </w:p>
        </w:tc>
        <w:tc>
          <w:tcPr>
            <w:tcW w:w="1119" w:type="dxa"/>
            <w:tcBorders>
              <w:top w:val="single" w:sz="6" w:space="0" w:color="CCCCCC"/>
              <w:left w:val="single" w:sz="6" w:space="0" w:color="CCCCCC"/>
              <w:bottom w:val="single" w:sz="6" w:space="0" w:color="000000"/>
              <w:right w:val="single" w:sz="6" w:space="0" w:color="000000"/>
            </w:tcBorders>
            <w:shd w:val="clear" w:color="auto" w:fill="FAC3C5"/>
            <w:tcMar>
              <w:top w:w="0" w:type="dxa"/>
              <w:left w:w="40" w:type="dxa"/>
              <w:bottom w:w="0" w:type="dxa"/>
              <w:right w:w="40" w:type="dxa"/>
            </w:tcMar>
            <w:vAlign w:val="center"/>
          </w:tcPr>
          <w:p w14:paraId="24BE7A2F" w14:textId="77777777" w:rsidR="0081565C" w:rsidRDefault="00C45D4B">
            <w:pPr>
              <w:jc w:val="center"/>
              <w:rPr>
                <w:rFonts w:ascii="Calibri" w:eastAsia="Calibri" w:hAnsi="Calibri" w:cs="Calibri"/>
                <w:sz w:val="22"/>
                <w:szCs w:val="22"/>
              </w:rPr>
            </w:pPr>
            <w:r>
              <w:rPr>
                <w:b/>
                <w:bCs/>
              </w:rPr>
              <w:t>10.62%</w:t>
            </w:r>
          </w:p>
        </w:tc>
        <w:tc>
          <w:tcPr>
            <w:tcW w:w="1270" w:type="dxa"/>
            <w:tcBorders>
              <w:top w:val="single" w:sz="6" w:space="0" w:color="CCCCCC"/>
              <w:left w:val="single" w:sz="6" w:space="0" w:color="CCCCCC"/>
              <w:bottom w:val="single" w:sz="6" w:space="0" w:color="000000"/>
              <w:right w:val="single" w:sz="6" w:space="0" w:color="000000"/>
            </w:tcBorders>
            <w:shd w:val="clear" w:color="auto" w:fill="FAC3C5"/>
            <w:tcMar>
              <w:top w:w="0" w:type="dxa"/>
              <w:left w:w="40" w:type="dxa"/>
              <w:bottom w:w="0" w:type="dxa"/>
              <w:right w:w="40" w:type="dxa"/>
            </w:tcMar>
            <w:vAlign w:val="center"/>
          </w:tcPr>
          <w:p w14:paraId="24BE7A30" w14:textId="77777777" w:rsidR="0081565C" w:rsidRDefault="00C45D4B">
            <w:pPr>
              <w:jc w:val="center"/>
              <w:rPr>
                <w:rFonts w:ascii="Calibri" w:eastAsia="Calibri" w:hAnsi="Calibri" w:cs="Calibri"/>
                <w:sz w:val="22"/>
                <w:szCs w:val="22"/>
              </w:rPr>
            </w:pPr>
            <w:r>
              <w:rPr>
                <w:b/>
                <w:bCs/>
              </w:rPr>
              <w:t>10.54%</w:t>
            </w:r>
          </w:p>
        </w:tc>
        <w:tc>
          <w:tcPr>
            <w:tcW w:w="1119" w:type="dxa"/>
            <w:tcBorders>
              <w:top w:val="single" w:sz="6" w:space="0" w:color="CCCCCC"/>
              <w:left w:val="single" w:sz="6" w:space="0" w:color="CCCCCC"/>
              <w:bottom w:val="single" w:sz="6" w:space="0" w:color="000000"/>
              <w:right w:val="single" w:sz="6" w:space="0" w:color="000000"/>
            </w:tcBorders>
            <w:shd w:val="clear" w:color="auto" w:fill="FAC3C5"/>
            <w:tcMar>
              <w:top w:w="0" w:type="dxa"/>
              <w:left w:w="40" w:type="dxa"/>
              <w:bottom w:w="0" w:type="dxa"/>
              <w:right w:w="40" w:type="dxa"/>
            </w:tcMar>
            <w:vAlign w:val="center"/>
          </w:tcPr>
          <w:p w14:paraId="24BE7A31" w14:textId="77777777" w:rsidR="0081565C" w:rsidRDefault="00C45D4B">
            <w:pPr>
              <w:jc w:val="center"/>
              <w:rPr>
                <w:rFonts w:ascii="Calibri" w:eastAsia="Calibri" w:hAnsi="Calibri" w:cs="Calibri"/>
                <w:sz w:val="22"/>
                <w:szCs w:val="22"/>
              </w:rPr>
            </w:pPr>
            <w:r>
              <w:rPr>
                <w:b/>
                <w:bCs/>
              </w:rPr>
              <w:t>8.68%</w:t>
            </w:r>
          </w:p>
        </w:tc>
      </w:tr>
      <w:tr w:rsidR="0081565C" w14:paraId="24BE7A3A" w14:textId="77777777">
        <w:trPr>
          <w:trHeight w:val="55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4BE7A33" w14:textId="77777777" w:rsidR="0081565C" w:rsidRDefault="00C45D4B">
            <w:pPr>
              <w:jc w:val="center"/>
              <w:rPr>
                <w:rFonts w:ascii="Calibri" w:eastAsia="Calibri" w:hAnsi="Calibri" w:cs="Calibri"/>
                <w:sz w:val="22"/>
                <w:szCs w:val="22"/>
              </w:rPr>
            </w:pPr>
            <w:r>
              <w:rPr>
                <w:b/>
                <w:bCs/>
              </w:rPr>
              <w:t>Return on Capital Employed (ROCE)</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4BE7A34" w14:textId="77777777" w:rsidR="0081565C" w:rsidRDefault="00C45D4B">
            <w:pPr>
              <w:jc w:val="center"/>
              <w:rPr>
                <w:rFonts w:ascii="Calibri" w:eastAsia="Calibri" w:hAnsi="Calibri" w:cs="Calibri"/>
                <w:sz w:val="22"/>
                <w:szCs w:val="22"/>
              </w:rPr>
            </w:pPr>
            <w:r>
              <w:rPr>
                <w:b/>
                <w:bCs/>
              </w:rPr>
              <w:t>B/(D-E)</w:t>
            </w:r>
          </w:p>
        </w:tc>
        <w:tc>
          <w:tcPr>
            <w:tcW w:w="1119" w:type="dxa"/>
            <w:tcBorders>
              <w:top w:val="single" w:sz="6" w:space="0" w:color="CCCCCC"/>
              <w:left w:val="single" w:sz="6" w:space="0" w:color="CCCCCC"/>
              <w:bottom w:val="single" w:sz="6" w:space="0" w:color="000000"/>
              <w:right w:val="single" w:sz="6" w:space="0" w:color="000000"/>
            </w:tcBorders>
            <w:shd w:val="clear" w:color="auto" w:fill="FAC3C5"/>
            <w:tcMar>
              <w:top w:w="0" w:type="dxa"/>
              <w:left w:w="40" w:type="dxa"/>
              <w:bottom w:w="0" w:type="dxa"/>
              <w:right w:w="40" w:type="dxa"/>
            </w:tcMar>
            <w:vAlign w:val="center"/>
          </w:tcPr>
          <w:p w14:paraId="24BE7A35" w14:textId="77777777" w:rsidR="0081565C" w:rsidRDefault="00C45D4B">
            <w:pPr>
              <w:jc w:val="center"/>
              <w:rPr>
                <w:rFonts w:ascii="Calibri" w:eastAsia="Calibri" w:hAnsi="Calibri" w:cs="Calibri"/>
                <w:sz w:val="22"/>
                <w:szCs w:val="22"/>
              </w:rPr>
            </w:pPr>
            <w:r>
              <w:rPr>
                <w:b/>
                <w:bCs/>
              </w:rPr>
              <w:t>-10.46%</w:t>
            </w:r>
          </w:p>
        </w:tc>
        <w:tc>
          <w:tcPr>
            <w:tcW w:w="1119" w:type="dxa"/>
            <w:tcBorders>
              <w:top w:val="single" w:sz="6" w:space="0" w:color="CCCCCC"/>
              <w:left w:val="single" w:sz="6" w:space="0" w:color="CCCCCC"/>
              <w:bottom w:val="single" w:sz="6" w:space="0" w:color="000000"/>
              <w:right w:val="single" w:sz="6" w:space="0" w:color="000000"/>
            </w:tcBorders>
            <w:shd w:val="clear" w:color="auto" w:fill="FAC3C5"/>
            <w:tcMar>
              <w:top w:w="0" w:type="dxa"/>
              <w:left w:w="40" w:type="dxa"/>
              <w:bottom w:w="0" w:type="dxa"/>
              <w:right w:w="40" w:type="dxa"/>
            </w:tcMar>
            <w:vAlign w:val="center"/>
          </w:tcPr>
          <w:p w14:paraId="24BE7A36" w14:textId="77777777" w:rsidR="0081565C" w:rsidRDefault="00C45D4B">
            <w:pPr>
              <w:jc w:val="center"/>
              <w:rPr>
                <w:rFonts w:ascii="Calibri" w:eastAsia="Calibri" w:hAnsi="Calibri" w:cs="Calibri"/>
                <w:sz w:val="22"/>
                <w:szCs w:val="22"/>
              </w:rPr>
            </w:pPr>
            <w:r>
              <w:rPr>
                <w:b/>
                <w:bCs/>
              </w:rPr>
              <w:t>2.57%</w:t>
            </w:r>
          </w:p>
        </w:tc>
        <w:tc>
          <w:tcPr>
            <w:tcW w:w="1119" w:type="dxa"/>
            <w:tcBorders>
              <w:top w:val="single" w:sz="6" w:space="0" w:color="CCCCCC"/>
              <w:left w:val="single" w:sz="6" w:space="0" w:color="CCCCCC"/>
              <w:bottom w:val="single" w:sz="6" w:space="0" w:color="000000"/>
              <w:right w:val="single" w:sz="6" w:space="0" w:color="000000"/>
            </w:tcBorders>
            <w:shd w:val="clear" w:color="auto" w:fill="FAC3C5"/>
            <w:tcMar>
              <w:top w:w="0" w:type="dxa"/>
              <w:left w:w="40" w:type="dxa"/>
              <w:bottom w:w="0" w:type="dxa"/>
              <w:right w:w="40" w:type="dxa"/>
            </w:tcMar>
            <w:vAlign w:val="center"/>
          </w:tcPr>
          <w:p w14:paraId="24BE7A37" w14:textId="77777777" w:rsidR="0081565C" w:rsidRDefault="00C45D4B">
            <w:pPr>
              <w:jc w:val="center"/>
              <w:rPr>
                <w:rFonts w:ascii="Calibri" w:eastAsia="Calibri" w:hAnsi="Calibri" w:cs="Calibri"/>
                <w:sz w:val="22"/>
                <w:szCs w:val="22"/>
              </w:rPr>
            </w:pPr>
            <w:r>
              <w:rPr>
                <w:b/>
                <w:bCs/>
              </w:rPr>
              <w:t>5.53%</w:t>
            </w:r>
          </w:p>
        </w:tc>
        <w:tc>
          <w:tcPr>
            <w:tcW w:w="1270" w:type="dxa"/>
            <w:tcBorders>
              <w:top w:val="single" w:sz="6" w:space="0" w:color="CCCCCC"/>
              <w:left w:val="single" w:sz="6" w:space="0" w:color="CCCCCC"/>
              <w:bottom w:val="single" w:sz="6" w:space="0" w:color="000000"/>
              <w:right w:val="single" w:sz="6" w:space="0" w:color="000000"/>
            </w:tcBorders>
            <w:shd w:val="clear" w:color="auto" w:fill="FAC3C5"/>
            <w:tcMar>
              <w:top w:w="0" w:type="dxa"/>
              <w:left w:w="40" w:type="dxa"/>
              <w:bottom w:w="0" w:type="dxa"/>
              <w:right w:w="40" w:type="dxa"/>
            </w:tcMar>
            <w:vAlign w:val="center"/>
          </w:tcPr>
          <w:p w14:paraId="24BE7A38" w14:textId="77777777" w:rsidR="0081565C" w:rsidRDefault="00C45D4B">
            <w:pPr>
              <w:jc w:val="center"/>
              <w:rPr>
                <w:rFonts w:ascii="Calibri" w:eastAsia="Calibri" w:hAnsi="Calibri" w:cs="Calibri"/>
                <w:sz w:val="22"/>
                <w:szCs w:val="22"/>
              </w:rPr>
            </w:pPr>
            <w:r>
              <w:rPr>
                <w:b/>
                <w:bCs/>
              </w:rPr>
              <w:t>6.38%</w:t>
            </w:r>
          </w:p>
        </w:tc>
        <w:tc>
          <w:tcPr>
            <w:tcW w:w="1119" w:type="dxa"/>
            <w:tcBorders>
              <w:top w:val="single" w:sz="6" w:space="0" w:color="CCCCCC"/>
              <w:left w:val="single" w:sz="6" w:space="0" w:color="CCCCCC"/>
              <w:bottom w:val="single" w:sz="6" w:space="0" w:color="000000"/>
              <w:right w:val="single" w:sz="6" w:space="0" w:color="000000"/>
            </w:tcBorders>
            <w:shd w:val="clear" w:color="auto" w:fill="FAC3C5"/>
            <w:tcMar>
              <w:top w:w="0" w:type="dxa"/>
              <w:left w:w="40" w:type="dxa"/>
              <w:bottom w:w="0" w:type="dxa"/>
              <w:right w:w="40" w:type="dxa"/>
            </w:tcMar>
            <w:vAlign w:val="center"/>
          </w:tcPr>
          <w:p w14:paraId="24BE7A39" w14:textId="77777777" w:rsidR="0081565C" w:rsidRDefault="00C45D4B">
            <w:pPr>
              <w:jc w:val="center"/>
              <w:rPr>
                <w:rFonts w:ascii="Calibri" w:eastAsia="Calibri" w:hAnsi="Calibri" w:cs="Calibri"/>
                <w:sz w:val="22"/>
                <w:szCs w:val="22"/>
              </w:rPr>
            </w:pPr>
            <w:r>
              <w:rPr>
                <w:b/>
                <w:bCs/>
              </w:rPr>
              <w:t>5.93%</w:t>
            </w:r>
          </w:p>
        </w:tc>
      </w:tr>
      <w:tr w:rsidR="0081565C" w14:paraId="24BE7A42" w14:textId="77777777">
        <w:trPr>
          <w:trHeight w:val="300"/>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4BE7A3B" w14:textId="77777777" w:rsidR="0081565C" w:rsidRDefault="00C45D4B">
            <w:pPr>
              <w:jc w:val="center"/>
              <w:rPr>
                <w:rFonts w:ascii="Calibri" w:eastAsia="Calibri" w:hAnsi="Calibri" w:cs="Calibri"/>
                <w:sz w:val="22"/>
                <w:szCs w:val="22"/>
              </w:rPr>
            </w:pPr>
            <w:r>
              <w:rPr>
                <w:b/>
                <w:bCs/>
              </w:rPr>
              <w:t>Return on Equity (ROE)</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4BE7A3C" w14:textId="77777777" w:rsidR="0081565C" w:rsidRDefault="00C45D4B">
            <w:pPr>
              <w:jc w:val="center"/>
              <w:rPr>
                <w:rFonts w:ascii="Calibri" w:eastAsia="Calibri" w:hAnsi="Calibri" w:cs="Calibri"/>
                <w:sz w:val="22"/>
                <w:szCs w:val="22"/>
              </w:rPr>
            </w:pPr>
            <w:r>
              <w:rPr>
                <w:b/>
                <w:bCs/>
              </w:rPr>
              <w:t>C/F</w:t>
            </w:r>
          </w:p>
        </w:tc>
        <w:tc>
          <w:tcPr>
            <w:tcW w:w="1119" w:type="dxa"/>
            <w:tcBorders>
              <w:top w:val="single" w:sz="6" w:space="0" w:color="CCCCCC"/>
              <w:left w:val="single" w:sz="6" w:space="0" w:color="CCCCCC"/>
              <w:bottom w:val="single" w:sz="6" w:space="0" w:color="000000"/>
              <w:right w:val="single" w:sz="6" w:space="0" w:color="000000"/>
            </w:tcBorders>
            <w:shd w:val="clear" w:color="auto" w:fill="FAC3C5"/>
            <w:tcMar>
              <w:top w:w="0" w:type="dxa"/>
              <w:left w:w="40" w:type="dxa"/>
              <w:bottom w:w="0" w:type="dxa"/>
              <w:right w:w="40" w:type="dxa"/>
            </w:tcMar>
            <w:vAlign w:val="center"/>
          </w:tcPr>
          <w:p w14:paraId="24BE7A3D" w14:textId="77777777" w:rsidR="0081565C" w:rsidRDefault="00C45D4B">
            <w:pPr>
              <w:jc w:val="center"/>
              <w:rPr>
                <w:rFonts w:ascii="Calibri" w:eastAsia="Calibri" w:hAnsi="Calibri" w:cs="Calibri"/>
                <w:sz w:val="22"/>
                <w:szCs w:val="22"/>
              </w:rPr>
            </w:pPr>
            <w:r>
              <w:rPr>
                <w:b/>
                <w:bCs/>
              </w:rPr>
              <w:t>-15.48%</w:t>
            </w:r>
          </w:p>
        </w:tc>
        <w:tc>
          <w:tcPr>
            <w:tcW w:w="1119" w:type="dxa"/>
            <w:tcBorders>
              <w:top w:val="single" w:sz="6" w:space="0" w:color="CCCCCC"/>
              <w:left w:val="single" w:sz="6" w:space="0" w:color="CCCCCC"/>
              <w:bottom w:val="single" w:sz="6" w:space="0" w:color="000000"/>
              <w:right w:val="single" w:sz="6" w:space="0" w:color="000000"/>
            </w:tcBorders>
            <w:shd w:val="clear" w:color="auto" w:fill="FAC3C5"/>
            <w:tcMar>
              <w:top w:w="0" w:type="dxa"/>
              <w:left w:w="40" w:type="dxa"/>
              <w:bottom w:w="0" w:type="dxa"/>
              <w:right w:w="40" w:type="dxa"/>
            </w:tcMar>
            <w:vAlign w:val="center"/>
          </w:tcPr>
          <w:p w14:paraId="24BE7A3E" w14:textId="77777777" w:rsidR="0081565C" w:rsidRDefault="00C45D4B">
            <w:pPr>
              <w:jc w:val="center"/>
              <w:rPr>
                <w:rFonts w:ascii="Calibri" w:eastAsia="Calibri" w:hAnsi="Calibri" w:cs="Calibri"/>
                <w:sz w:val="22"/>
                <w:szCs w:val="22"/>
              </w:rPr>
            </w:pPr>
            <w:r>
              <w:rPr>
                <w:b/>
                <w:bCs/>
              </w:rPr>
              <w:t>1.03%</w:t>
            </w:r>
          </w:p>
        </w:tc>
        <w:tc>
          <w:tcPr>
            <w:tcW w:w="1119" w:type="dxa"/>
            <w:tcBorders>
              <w:top w:val="single" w:sz="6" w:space="0" w:color="CCCCCC"/>
              <w:left w:val="single" w:sz="6" w:space="0" w:color="CCCCCC"/>
              <w:bottom w:val="single" w:sz="6" w:space="0" w:color="000000"/>
              <w:right w:val="single" w:sz="6" w:space="0" w:color="000000"/>
            </w:tcBorders>
            <w:shd w:val="clear" w:color="auto" w:fill="FAC3C5"/>
            <w:tcMar>
              <w:top w:w="0" w:type="dxa"/>
              <w:left w:w="40" w:type="dxa"/>
              <w:bottom w:w="0" w:type="dxa"/>
              <w:right w:w="40" w:type="dxa"/>
            </w:tcMar>
            <w:vAlign w:val="center"/>
          </w:tcPr>
          <w:p w14:paraId="24BE7A3F" w14:textId="77777777" w:rsidR="0081565C" w:rsidRDefault="00C45D4B">
            <w:pPr>
              <w:jc w:val="center"/>
              <w:rPr>
                <w:rFonts w:ascii="Calibri" w:eastAsia="Calibri" w:hAnsi="Calibri" w:cs="Calibri"/>
                <w:sz w:val="22"/>
                <w:szCs w:val="22"/>
              </w:rPr>
            </w:pPr>
            <w:r>
              <w:rPr>
                <w:b/>
                <w:bCs/>
              </w:rPr>
              <w:t>6.78%</w:t>
            </w:r>
          </w:p>
        </w:tc>
        <w:tc>
          <w:tcPr>
            <w:tcW w:w="1270" w:type="dxa"/>
            <w:tcBorders>
              <w:top w:val="single" w:sz="6" w:space="0" w:color="CCCCCC"/>
              <w:left w:val="single" w:sz="6" w:space="0" w:color="CCCCCC"/>
              <w:bottom w:val="single" w:sz="6" w:space="0" w:color="000000"/>
              <w:right w:val="single" w:sz="6" w:space="0" w:color="000000"/>
            </w:tcBorders>
            <w:shd w:val="clear" w:color="auto" w:fill="FAC3C5"/>
            <w:tcMar>
              <w:top w:w="0" w:type="dxa"/>
              <w:left w:w="40" w:type="dxa"/>
              <w:bottom w:w="0" w:type="dxa"/>
              <w:right w:w="40" w:type="dxa"/>
            </w:tcMar>
            <w:vAlign w:val="center"/>
          </w:tcPr>
          <w:p w14:paraId="24BE7A40" w14:textId="77777777" w:rsidR="0081565C" w:rsidRDefault="00C45D4B">
            <w:pPr>
              <w:jc w:val="center"/>
              <w:rPr>
                <w:rFonts w:ascii="Calibri" w:eastAsia="Calibri" w:hAnsi="Calibri" w:cs="Calibri"/>
                <w:sz w:val="22"/>
                <w:szCs w:val="22"/>
              </w:rPr>
            </w:pPr>
            <w:r>
              <w:rPr>
                <w:b/>
                <w:bCs/>
              </w:rPr>
              <w:t>8.87%</w:t>
            </w:r>
          </w:p>
        </w:tc>
        <w:tc>
          <w:tcPr>
            <w:tcW w:w="1119" w:type="dxa"/>
            <w:tcBorders>
              <w:top w:val="single" w:sz="6" w:space="0" w:color="CCCCCC"/>
              <w:left w:val="single" w:sz="6" w:space="0" w:color="CCCCCC"/>
              <w:bottom w:val="single" w:sz="6" w:space="0" w:color="000000"/>
              <w:right w:val="single" w:sz="6" w:space="0" w:color="000000"/>
            </w:tcBorders>
            <w:shd w:val="clear" w:color="auto" w:fill="FAC3C5"/>
            <w:tcMar>
              <w:top w:w="0" w:type="dxa"/>
              <w:left w:w="40" w:type="dxa"/>
              <w:bottom w:w="0" w:type="dxa"/>
              <w:right w:w="40" w:type="dxa"/>
            </w:tcMar>
            <w:vAlign w:val="center"/>
          </w:tcPr>
          <w:p w14:paraId="24BE7A41" w14:textId="77777777" w:rsidR="0081565C" w:rsidRDefault="00C45D4B">
            <w:pPr>
              <w:jc w:val="center"/>
              <w:rPr>
                <w:rFonts w:ascii="Calibri" w:eastAsia="Calibri" w:hAnsi="Calibri" w:cs="Calibri"/>
                <w:sz w:val="22"/>
                <w:szCs w:val="22"/>
              </w:rPr>
            </w:pPr>
            <w:r>
              <w:rPr>
                <w:b/>
                <w:bCs/>
              </w:rPr>
              <w:t>7.61%</w:t>
            </w:r>
          </w:p>
        </w:tc>
      </w:tr>
      <w:tr w:rsidR="0081565C" w14:paraId="24BE7A4A" w14:textId="77777777">
        <w:trPr>
          <w:trHeight w:val="300"/>
        </w:trPr>
        <w:tc>
          <w:tcPr>
            <w:tcW w:w="2793"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24BE7A43" w14:textId="77777777" w:rsidR="0081565C" w:rsidRDefault="0081565C">
            <w:pPr>
              <w:rPr>
                <w:rFonts w:ascii="Calibri" w:eastAsia="Calibri" w:hAnsi="Calibri" w:cs="Calibri"/>
                <w:sz w:val="22"/>
                <w:szCs w:val="22"/>
              </w:rPr>
            </w:pPr>
          </w:p>
        </w:tc>
        <w:tc>
          <w:tcPr>
            <w:tcW w:w="816"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24BE7A44" w14:textId="77777777" w:rsidR="0081565C" w:rsidRDefault="0081565C">
            <w:pPr>
              <w:rPr>
                <w:rFonts w:ascii="Calibri" w:eastAsia="Calibri" w:hAnsi="Calibri" w:cs="Calibri"/>
                <w:sz w:val="22"/>
                <w:szCs w:val="22"/>
              </w:rPr>
            </w:pPr>
          </w:p>
        </w:tc>
        <w:tc>
          <w:tcPr>
            <w:tcW w:w="1119"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24BE7A45" w14:textId="77777777" w:rsidR="0081565C" w:rsidRDefault="0081565C">
            <w:pPr>
              <w:rPr>
                <w:rFonts w:ascii="Calibri" w:eastAsia="Calibri" w:hAnsi="Calibri" w:cs="Calibri"/>
                <w:sz w:val="22"/>
                <w:szCs w:val="22"/>
              </w:rPr>
            </w:pPr>
          </w:p>
        </w:tc>
        <w:tc>
          <w:tcPr>
            <w:tcW w:w="1119"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24BE7A46" w14:textId="77777777" w:rsidR="0081565C" w:rsidRDefault="0081565C">
            <w:pPr>
              <w:rPr>
                <w:rFonts w:ascii="Calibri" w:eastAsia="Calibri" w:hAnsi="Calibri" w:cs="Calibri"/>
                <w:sz w:val="22"/>
                <w:szCs w:val="22"/>
              </w:rPr>
            </w:pPr>
          </w:p>
        </w:tc>
        <w:tc>
          <w:tcPr>
            <w:tcW w:w="1119"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24BE7A47" w14:textId="77777777" w:rsidR="0081565C" w:rsidRDefault="0081565C">
            <w:pPr>
              <w:rPr>
                <w:rFonts w:ascii="Calibri" w:eastAsia="Calibri" w:hAnsi="Calibri" w:cs="Calibri"/>
                <w:sz w:val="22"/>
                <w:szCs w:val="22"/>
              </w:rPr>
            </w:pPr>
          </w:p>
        </w:tc>
        <w:tc>
          <w:tcPr>
            <w:tcW w:w="127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24BE7A48" w14:textId="77777777" w:rsidR="0081565C" w:rsidRDefault="0081565C">
            <w:pPr>
              <w:rPr>
                <w:rFonts w:ascii="Calibri" w:eastAsia="Calibri" w:hAnsi="Calibri" w:cs="Calibri"/>
                <w:sz w:val="22"/>
                <w:szCs w:val="22"/>
              </w:rPr>
            </w:pPr>
          </w:p>
        </w:tc>
        <w:tc>
          <w:tcPr>
            <w:tcW w:w="1119"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24BE7A49" w14:textId="77777777" w:rsidR="0081565C" w:rsidRDefault="0081565C">
            <w:pPr>
              <w:rPr>
                <w:rFonts w:ascii="Calibri" w:eastAsia="Calibri" w:hAnsi="Calibri" w:cs="Calibri"/>
                <w:sz w:val="22"/>
                <w:szCs w:val="22"/>
              </w:rPr>
            </w:pPr>
          </w:p>
        </w:tc>
      </w:tr>
      <w:tr w:rsidR="0081565C" w14:paraId="24BE7A52" w14:textId="77777777">
        <w:trPr>
          <w:trHeight w:val="300"/>
        </w:trPr>
        <w:tc>
          <w:tcPr>
            <w:tcW w:w="2793"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24BE7A4B" w14:textId="77777777" w:rsidR="0081565C" w:rsidRDefault="0081565C">
            <w:pPr>
              <w:rPr>
                <w:rFonts w:ascii="Calibri" w:eastAsia="Calibri" w:hAnsi="Calibri" w:cs="Calibri"/>
                <w:sz w:val="22"/>
                <w:szCs w:val="22"/>
              </w:rPr>
            </w:pPr>
          </w:p>
        </w:tc>
        <w:tc>
          <w:tcPr>
            <w:tcW w:w="816"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24BE7A4C" w14:textId="77777777" w:rsidR="0081565C" w:rsidRDefault="0081565C">
            <w:pPr>
              <w:rPr>
                <w:rFonts w:ascii="Calibri" w:eastAsia="Calibri" w:hAnsi="Calibri" w:cs="Calibri"/>
                <w:sz w:val="22"/>
                <w:szCs w:val="22"/>
              </w:rPr>
            </w:pPr>
          </w:p>
        </w:tc>
        <w:tc>
          <w:tcPr>
            <w:tcW w:w="1119"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24BE7A4D" w14:textId="77777777" w:rsidR="0081565C" w:rsidRDefault="0081565C">
            <w:pPr>
              <w:rPr>
                <w:rFonts w:ascii="Calibri" w:eastAsia="Calibri" w:hAnsi="Calibri" w:cs="Calibri"/>
                <w:sz w:val="22"/>
                <w:szCs w:val="22"/>
              </w:rPr>
            </w:pPr>
          </w:p>
        </w:tc>
        <w:tc>
          <w:tcPr>
            <w:tcW w:w="1119"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24BE7A4E" w14:textId="77777777" w:rsidR="0081565C" w:rsidRDefault="0081565C">
            <w:pPr>
              <w:rPr>
                <w:rFonts w:ascii="Calibri" w:eastAsia="Calibri" w:hAnsi="Calibri" w:cs="Calibri"/>
                <w:sz w:val="22"/>
                <w:szCs w:val="22"/>
              </w:rPr>
            </w:pPr>
          </w:p>
        </w:tc>
        <w:tc>
          <w:tcPr>
            <w:tcW w:w="1119"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24BE7A4F" w14:textId="77777777" w:rsidR="0081565C" w:rsidRDefault="0081565C">
            <w:pPr>
              <w:rPr>
                <w:rFonts w:ascii="Calibri" w:eastAsia="Calibri" w:hAnsi="Calibri" w:cs="Calibri"/>
                <w:sz w:val="22"/>
                <w:szCs w:val="22"/>
              </w:rPr>
            </w:pPr>
          </w:p>
        </w:tc>
        <w:tc>
          <w:tcPr>
            <w:tcW w:w="127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24BE7A50" w14:textId="77777777" w:rsidR="0081565C" w:rsidRDefault="0081565C">
            <w:pPr>
              <w:rPr>
                <w:rFonts w:ascii="Calibri" w:eastAsia="Calibri" w:hAnsi="Calibri" w:cs="Calibri"/>
                <w:sz w:val="22"/>
                <w:szCs w:val="22"/>
              </w:rPr>
            </w:pPr>
          </w:p>
        </w:tc>
        <w:tc>
          <w:tcPr>
            <w:tcW w:w="1119"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24BE7A51" w14:textId="77777777" w:rsidR="0081565C" w:rsidRDefault="0081565C">
            <w:pPr>
              <w:rPr>
                <w:rFonts w:ascii="Calibri" w:eastAsia="Calibri" w:hAnsi="Calibri" w:cs="Calibri"/>
                <w:sz w:val="22"/>
                <w:szCs w:val="22"/>
              </w:rPr>
            </w:pPr>
          </w:p>
        </w:tc>
      </w:tr>
      <w:tr w:rsidR="0081565C" w14:paraId="24BE7A54" w14:textId="77777777">
        <w:trPr>
          <w:trHeight w:val="300"/>
        </w:trPr>
        <w:tc>
          <w:tcPr>
            <w:tcW w:w="9355" w:type="dxa"/>
            <w:gridSpan w:val="7"/>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center"/>
          </w:tcPr>
          <w:p w14:paraId="24BE7A53" w14:textId="77777777" w:rsidR="0081565C" w:rsidRDefault="00C45D4B">
            <w:pPr>
              <w:jc w:val="center"/>
              <w:rPr>
                <w:rFonts w:ascii="Calibri" w:eastAsia="Calibri" w:hAnsi="Calibri" w:cs="Calibri"/>
                <w:sz w:val="22"/>
                <w:szCs w:val="22"/>
              </w:rPr>
            </w:pPr>
            <w:r>
              <w:rPr>
                <w:b/>
                <w:bCs/>
              </w:rPr>
              <w:t xml:space="preserve">Liquidity </w:t>
            </w:r>
            <w:proofErr w:type="gramStart"/>
            <w:r>
              <w:rPr>
                <w:b/>
                <w:bCs/>
              </w:rPr>
              <w:t>Ratios:-</w:t>
            </w:r>
            <w:proofErr w:type="gramEnd"/>
          </w:p>
        </w:tc>
      </w:tr>
      <w:tr w:rsidR="0081565C" w14:paraId="24BE7A5C" w14:textId="77777777">
        <w:trPr>
          <w:trHeight w:val="300"/>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4BE7A55" w14:textId="77777777" w:rsidR="0081565C" w:rsidRDefault="00C45D4B">
            <w:pPr>
              <w:jc w:val="center"/>
              <w:rPr>
                <w:rFonts w:ascii="Calibri" w:eastAsia="Calibri" w:hAnsi="Calibri" w:cs="Calibri"/>
                <w:sz w:val="22"/>
                <w:szCs w:val="22"/>
              </w:rPr>
            </w:pPr>
            <w:r>
              <w:rPr>
                <w:b/>
                <w:bCs/>
              </w:rPr>
              <w:t>Particulars</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4BE7A56" w14:textId="77777777" w:rsidR="0081565C" w:rsidRDefault="00C45D4B">
            <w:pPr>
              <w:jc w:val="center"/>
              <w:rPr>
                <w:rFonts w:ascii="Calibri" w:eastAsia="Calibri" w:hAnsi="Calibri" w:cs="Calibri"/>
                <w:sz w:val="22"/>
                <w:szCs w:val="22"/>
              </w:rPr>
            </w:pPr>
            <w:r>
              <w:rPr>
                <w:b/>
                <w:bCs/>
              </w:rPr>
              <w:t>Details</w:t>
            </w:r>
          </w:p>
        </w:tc>
        <w:tc>
          <w:tcPr>
            <w:tcW w:w="1119" w:type="dxa"/>
            <w:tcBorders>
              <w:top w:val="single" w:sz="6" w:space="0" w:color="CCCCCC"/>
              <w:left w:val="single" w:sz="6" w:space="0" w:color="CCCCCC"/>
              <w:bottom w:val="single" w:sz="6" w:space="0" w:color="000000"/>
              <w:right w:val="single" w:sz="6" w:space="0" w:color="000000"/>
            </w:tcBorders>
            <w:shd w:val="clear" w:color="auto" w:fill="64BF7C"/>
            <w:tcMar>
              <w:top w:w="0" w:type="dxa"/>
              <w:left w:w="40" w:type="dxa"/>
              <w:bottom w:w="0" w:type="dxa"/>
              <w:right w:w="40" w:type="dxa"/>
            </w:tcMar>
            <w:vAlign w:val="center"/>
          </w:tcPr>
          <w:p w14:paraId="24BE7A57" w14:textId="77777777" w:rsidR="0081565C" w:rsidRDefault="00C45D4B">
            <w:pPr>
              <w:jc w:val="center"/>
              <w:rPr>
                <w:rFonts w:ascii="Calibri" w:eastAsia="Calibri" w:hAnsi="Calibri" w:cs="Calibri"/>
                <w:sz w:val="22"/>
                <w:szCs w:val="22"/>
              </w:rPr>
            </w:pPr>
            <w:r>
              <w:rPr>
                <w:b/>
                <w:bCs/>
              </w:rPr>
              <w:t>2021</w:t>
            </w:r>
          </w:p>
        </w:tc>
        <w:tc>
          <w:tcPr>
            <w:tcW w:w="1119" w:type="dxa"/>
            <w:tcBorders>
              <w:top w:val="single" w:sz="6" w:space="0" w:color="CCCCCC"/>
              <w:left w:val="single" w:sz="6" w:space="0" w:color="CCCCCC"/>
              <w:bottom w:val="single" w:sz="6" w:space="0" w:color="000000"/>
              <w:right w:val="single" w:sz="6" w:space="0" w:color="000000"/>
            </w:tcBorders>
            <w:shd w:val="clear" w:color="auto" w:fill="64BF7C"/>
            <w:tcMar>
              <w:top w:w="0" w:type="dxa"/>
              <w:left w:w="40" w:type="dxa"/>
              <w:bottom w:w="0" w:type="dxa"/>
              <w:right w:w="40" w:type="dxa"/>
            </w:tcMar>
            <w:vAlign w:val="center"/>
          </w:tcPr>
          <w:p w14:paraId="24BE7A58" w14:textId="77777777" w:rsidR="0081565C" w:rsidRDefault="00C45D4B">
            <w:pPr>
              <w:jc w:val="center"/>
              <w:rPr>
                <w:rFonts w:ascii="Calibri" w:eastAsia="Calibri" w:hAnsi="Calibri" w:cs="Calibri"/>
                <w:sz w:val="22"/>
                <w:szCs w:val="22"/>
              </w:rPr>
            </w:pPr>
            <w:r>
              <w:rPr>
                <w:b/>
                <w:bCs/>
              </w:rPr>
              <w:t>2022</w:t>
            </w:r>
          </w:p>
        </w:tc>
        <w:tc>
          <w:tcPr>
            <w:tcW w:w="1119" w:type="dxa"/>
            <w:tcBorders>
              <w:top w:val="single" w:sz="6" w:space="0" w:color="CCCCCC"/>
              <w:left w:val="single" w:sz="6" w:space="0" w:color="CCCCCC"/>
              <w:bottom w:val="single" w:sz="6" w:space="0" w:color="000000"/>
              <w:right w:val="single" w:sz="6" w:space="0" w:color="000000"/>
            </w:tcBorders>
            <w:shd w:val="clear" w:color="auto" w:fill="64BF7C"/>
            <w:tcMar>
              <w:top w:w="0" w:type="dxa"/>
              <w:left w:w="40" w:type="dxa"/>
              <w:bottom w:w="0" w:type="dxa"/>
              <w:right w:w="40" w:type="dxa"/>
            </w:tcMar>
            <w:vAlign w:val="center"/>
          </w:tcPr>
          <w:p w14:paraId="24BE7A59" w14:textId="77777777" w:rsidR="0081565C" w:rsidRDefault="00C45D4B">
            <w:pPr>
              <w:jc w:val="center"/>
              <w:rPr>
                <w:rFonts w:ascii="Calibri" w:eastAsia="Calibri" w:hAnsi="Calibri" w:cs="Calibri"/>
                <w:sz w:val="22"/>
                <w:szCs w:val="22"/>
              </w:rPr>
            </w:pPr>
            <w:r>
              <w:rPr>
                <w:b/>
                <w:bCs/>
              </w:rPr>
              <w:t>2023</w:t>
            </w:r>
          </w:p>
        </w:tc>
        <w:tc>
          <w:tcPr>
            <w:tcW w:w="1270" w:type="dxa"/>
            <w:tcBorders>
              <w:top w:val="single" w:sz="6" w:space="0" w:color="CCCCCC"/>
              <w:left w:val="single" w:sz="6" w:space="0" w:color="CCCCCC"/>
              <w:bottom w:val="single" w:sz="6" w:space="0" w:color="000000"/>
              <w:right w:val="single" w:sz="6" w:space="0" w:color="000000"/>
            </w:tcBorders>
            <w:shd w:val="clear" w:color="auto" w:fill="64BF7C"/>
            <w:tcMar>
              <w:top w:w="0" w:type="dxa"/>
              <w:left w:w="40" w:type="dxa"/>
              <w:bottom w:w="0" w:type="dxa"/>
              <w:right w:w="40" w:type="dxa"/>
            </w:tcMar>
            <w:vAlign w:val="center"/>
          </w:tcPr>
          <w:p w14:paraId="24BE7A5A" w14:textId="77777777" w:rsidR="0081565C" w:rsidRDefault="00C45D4B">
            <w:pPr>
              <w:jc w:val="center"/>
              <w:rPr>
                <w:rFonts w:ascii="Calibri" w:eastAsia="Calibri" w:hAnsi="Calibri" w:cs="Calibri"/>
                <w:sz w:val="22"/>
                <w:szCs w:val="22"/>
              </w:rPr>
            </w:pPr>
            <w:r>
              <w:rPr>
                <w:b/>
                <w:bCs/>
              </w:rPr>
              <w:t>2024</w:t>
            </w:r>
          </w:p>
        </w:tc>
        <w:tc>
          <w:tcPr>
            <w:tcW w:w="1119" w:type="dxa"/>
            <w:tcBorders>
              <w:top w:val="single" w:sz="6" w:space="0" w:color="CCCCCC"/>
              <w:left w:val="single" w:sz="6" w:space="0" w:color="CCCCCC"/>
              <w:bottom w:val="single" w:sz="6" w:space="0" w:color="000000"/>
              <w:right w:val="single" w:sz="6" w:space="0" w:color="000000"/>
            </w:tcBorders>
            <w:shd w:val="clear" w:color="auto" w:fill="63BE7B"/>
            <w:tcMar>
              <w:top w:w="0" w:type="dxa"/>
              <w:left w:w="40" w:type="dxa"/>
              <w:bottom w:w="0" w:type="dxa"/>
              <w:right w:w="40" w:type="dxa"/>
            </w:tcMar>
            <w:vAlign w:val="center"/>
          </w:tcPr>
          <w:p w14:paraId="24BE7A5B" w14:textId="77777777" w:rsidR="0081565C" w:rsidRDefault="00C45D4B">
            <w:pPr>
              <w:jc w:val="center"/>
              <w:rPr>
                <w:rFonts w:ascii="Calibri" w:eastAsia="Calibri" w:hAnsi="Calibri" w:cs="Calibri"/>
                <w:sz w:val="22"/>
                <w:szCs w:val="22"/>
              </w:rPr>
            </w:pPr>
            <w:r>
              <w:rPr>
                <w:b/>
                <w:bCs/>
              </w:rPr>
              <w:t>2025</w:t>
            </w:r>
          </w:p>
        </w:tc>
      </w:tr>
      <w:tr w:rsidR="0081565C" w14:paraId="24BE7A64" w14:textId="77777777">
        <w:trPr>
          <w:trHeight w:val="300"/>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4BE7A5D" w14:textId="77777777" w:rsidR="0081565C" w:rsidRDefault="00C45D4B">
            <w:pPr>
              <w:jc w:val="center"/>
              <w:rPr>
                <w:rFonts w:ascii="Calibri" w:eastAsia="Calibri" w:hAnsi="Calibri" w:cs="Calibri"/>
                <w:sz w:val="22"/>
                <w:szCs w:val="22"/>
              </w:rPr>
            </w:pPr>
            <w:r>
              <w:t>Current Assets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4BE7A5E" w14:textId="77777777" w:rsidR="0081565C" w:rsidRDefault="00C45D4B">
            <w:pPr>
              <w:jc w:val="center"/>
              <w:rPr>
                <w:rFonts w:ascii="Calibri" w:eastAsia="Calibri" w:hAnsi="Calibri" w:cs="Calibri"/>
                <w:sz w:val="22"/>
                <w:szCs w:val="22"/>
              </w:rPr>
            </w:pPr>
            <w:r>
              <w:t>A</w:t>
            </w:r>
          </w:p>
        </w:tc>
        <w:tc>
          <w:tcPr>
            <w:tcW w:w="1119" w:type="dxa"/>
            <w:tcBorders>
              <w:top w:val="single" w:sz="6" w:space="0" w:color="CCCCCC"/>
              <w:left w:val="single" w:sz="6" w:space="0" w:color="CCCCCC"/>
              <w:bottom w:val="single" w:sz="6" w:space="0" w:color="000000"/>
              <w:right w:val="single" w:sz="6" w:space="0" w:color="000000"/>
            </w:tcBorders>
            <w:shd w:val="clear" w:color="auto" w:fill="A1D8B1"/>
            <w:tcMar>
              <w:top w:w="0" w:type="dxa"/>
              <w:left w:w="40" w:type="dxa"/>
              <w:bottom w:w="0" w:type="dxa"/>
              <w:right w:w="40" w:type="dxa"/>
            </w:tcMar>
            <w:vAlign w:val="center"/>
          </w:tcPr>
          <w:p w14:paraId="24BE7A5F" w14:textId="77777777" w:rsidR="0081565C" w:rsidRDefault="00C45D4B">
            <w:pPr>
              <w:jc w:val="center"/>
              <w:rPr>
                <w:rFonts w:ascii="Calibri" w:eastAsia="Calibri" w:hAnsi="Calibri" w:cs="Calibri"/>
                <w:sz w:val="22"/>
                <w:szCs w:val="22"/>
              </w:rPr>
            </w:pPr>
            <w:r>
              <w:t>1,350.50</w:t>
            </w:r>
          </w:p>
        </w:tc>
        <w:tc>
          <w:tcPr>
            <w:tcW w:w="1119" w:type="dxa"/>
            <w:tcBorders>
              <w:top w:val="single" w:sz="6" w:space="0" w:color="CCCCCC"/>
              <w:left w:val="single" w:sz="6" w:space="0" w:color="CCCCCC"/>
              <w:bottom w:val="single" w:sz="6" w:space="0" w:color="000000"/>
              <w:right w:val="single" w:sz="6" w:space="0" w:color="000000"/>
            </w:tcBorders>
            <w:shd w:val="clear" w:color="auto" w:fill="A9DBB7"/>
            <w:tcMar>
              <w:top w:w="0" w:type="dxa"/>
              <w:left w:w="40" w:type="dxa"/>
              <w:bottom w:w="0" w:type="dxa"/>
              <w:right w:w="40" w:type="dxa"/>
            </w:tcMar>
            <w:vAlign w:val="center"/>
          </w:tcPr>
          <w:p w14:paraId="24BE7A60" w14:textId="77777777" w:rsidR="0081565C" w:rsidRDefault="00C45D4B">
            <w:pPr>
              <w:jc w:val="center"/>
              <w:rPr>
                <w:rFonts w:ascii="Calibri" w:eastAsia="Calibri" w:hAnsi="Calibri" w:cs="Calibri"/>
                <w:sz w:val="22"/>
                <w:szCs w:val="22"/>
              </w:rPr>
            </w:pPr>
            <w:r>
              <w:t>1,268.20</w:t>
            </w:r>
          </w:p>
        </w:tc>
        <w:tc>
          <w:tcPr>
            <w:tcW w:w="1119" w:type="dxa"/>
            <w:tcBorders>
              <w:top w:val="single" w:sz="6" w:space="0" w:color="CCCCCC"/>
              <w:left w:val="single" w:sz="6" w:space="0" w:color="CCCCCC"/>
              <w:bottom w:val="single" w:sz="6" w:space="0" w:color="000000"/>
              <w:right w:val="single" w:sz="6" w:space="0" w:color="000000"/>
            </w:tcBorders>
            <w:shd w:val="clear" w:color="auto" w:fill="A3D8B3"/>
            <w:tcMar>
              <w:top w:w="0" w:type="dxa"/>
              <w:left w:w="40" w:type="dxa"/>
              <w:bottom w:w="0" w:type="dxa"/>
              <w:right w:w="40" w:type="dxa"/>
            </w:tcMar>
            <w:vAlign w:val="center"/>
          </w:tcPr>
          <w:p w14:paraId="24BE7A61" w14:textId="77777777" w:rsidR="0081565C" w:rsidRDefault="00C45D4B">
            <w:pPr>
              <w:jc w:val="center"/>
              <w:rPr>
                <w:rFonts w:ascii="Calibri" w:eastAsia="Calibri" w:hAnsi="Calibri" w:cs="Calibri"/>
                <w:sz w:val="22"/>
                <w:szCs w:val="22"/>
              </w:rPr>
            </w:pPr>
            <w:r>
              <w:t>1,328.30</w:t>
            </w:r>
          </w:p>
        </w:tc>
        <w:tc>
          <w:tcPr>
            <w:tcW w:w="1270" w:type="dxa"/>
            <w:tcBorders>
              <w:top w:val="single" w:sz="6" w:space="0" w:color="CCCCCC"/>
              <w:left w:val="single" w:sz="6" w:space="0" w:color="CCCCCC"/>
              <w:bottom w:val="single" w:sz="6" w:space="0" w:color="000000"/>
              <w:right w:val="single" w:sz="6" w:space="0" w:color="000000"/>
            </w:tcBorders>
            <w:shd w:val="clear" w:color="auto" w:fill="D1EBDA"/>
            <w:tcMar>
              <w:top w:w="0" w:type="dxa"/>
              <w:left w:w="40" w:type="dxa"/>
              <w:bottom w:w="0" w:type="dxa"/>
              <w:right w:w="40" w:type="dxa"/>
            </w:tcMar>
            <w:vAlign w:val="center"/>
          </w:tcPr>
          <w:p w14:paraId="24BE7A62" w14:textId="77777777" w:rsidR="0081565C" w:rsidRDefault="00C45D4B">
            <w:pPr>
              <w:jc w:val="center"/>
              <w:rPr>
                <w:rFonts w:ascii="Calibri" w:eastAsia="Calibri" w:hAnsi="Calibri" w:cs="Calibri"/>
                <w:sz w:val="22"/>
                <w:szCs w:val="22"/>
              </w:rPr>
            </w:pPr>
            <w:r>
              <w:t>837.20</w:t>
            </w:r>
          </w:p>
        </w:tc>
        <w:tc>
          <w:tcPr>
            <w:tcW w:w="1119" w:type="dxa"/>
            <w:tcBorders>
              <w:top w:val="single" w:sz="6" w:space="0" w:color="CCCCCC"/>
              <w:left w:val="single" w:sz="6" w:space="0" w:color="CCCCCC"/>
              <w:bottom w:val="single" w:sz="6" w:space="0" w:color="000000"/>
              <w:right w:val="single" w:sz="6" w:space="0" w:color="000000"/>
            </w:tcBorders>
            <w:shd w:val="clear" w:color="auto" w:fill="BBE2C7"/>
            <w:tcMar>
              <w:top w:w="0" w:type="dxa"/>
              <w:left w:w="40" w:type="dxa"/>
              <w:bottom w:w="0" w:type="dxa"/>
              <w:right w:w="40" w:type="dxa"/>
            </w:tcMar>
            <w:vAlign w:val="center"/>
          </w:tcPr>
          <w:p w14:paraId="24BE7A63" w14:textId="77777777" w:rsidR="0081565C" w:rsidRDefault="00C45D4B">
            <w:pPr>
              <w:jc w:val="center"/>
              <w:rPr>
                <w:rFonts w:ascii="Calibri" w:eastAsia="Calibri" w:hAnsi="Calibri" w:cs="Calibri"/>
                <w:sz w:val="22"/>
                <w:szCs w:val="22"/>
              </w:rPr>
            </w:pPr>
            <w:r>
              <w:t>1,073.10</w:t>
            </w:r>
          </w:p>
        </w:tc>
      </w:tr>
      <w:tr w:rsidR="0081565C" w14:paraId="24BE7A6C" w14:textId="77777777">
        <w:trPr>
          <w:trHeight w:val="300"/>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4BE7A65" w14:textId="77777777" w:rsidR="0081565C" w:rsidRDefault="00C45D4B">
            <w:pPr>
              <w:jc w:val="center"/>
              <w:rPr>
                <w:rFonts w:ascii="Calibri" w:eastAsia="Calibri" w:hAnsi="Calibri" w:cs="Calibri"/>
                <w:sz w:val="22"/>
                <w:szCs w:val="22"/>
              </w:rPr>
            </w:pPr>
            <w:r>
              <w:t>Inventories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4BE7A66" w14:textId="77777777" w:rsidR="0081565C" w:rsidRDefault="00C45D4B">
            <w:pPr>
              <w:jc w:val="center"/>
              <w:rPr>
                <w:rFonts w:ascii="Calibri" w:eastAsia="Calibri" w:hAnsi="Calibri" w:cs="Calibri"/>
                <w:sz w:val="22"/>
                <w:szCs w:val="22"/>
              </w:rPr>
            </w:pPr>
            <w:r>
              <w:t>B</w:t>
            </w:r>
          </w:p>
        </w:tc>
        <w:tc>
          <w:tcPr>
            <w:tcW w:w="1119" w:type="dxa"/>
            <w:tcBorders>
              <w:top w:val="single" w:sz="6" w:space="0" w:color="CCCCCC"/>
              <w:left w:val="single" w:sz="6" w:space="0" w:color="CCCCCC"/>
              <w:bottom w:val="single" w:sz="6" w:space="0" w:color="000000"/>
              <w:right w:val="single" w:sz="6" w:space="0" w:color="000000"/>
            </w:tcBorders>
            <w:shd w:val="clear" w:color="auto" w:fill="F86D6F"/>
            <w:tcMar>
              <w:top w:w="0" w:type="dxa"/>
              <w:left w:w="40" w:type="dxa"/>
              <w:bottom w:w="0" w:type="dxa"/>
              <w:right w:w="40" w:type="dxa"/>
            </w:tcMar>
            <w:vAlign w:val="center"/>
          </w:tcPr>
          <w:p w14:paraId="24BE7A67" w14:textId="77777777" w:rsidR="0081565C" w:rsidRDefault="00C45D4B">
            <w:pPr>
              <w:jc w:val="center"/>
              <w:rPr>
                <w:rFonts w:ascii="Calibri" w:eastAsia="Calibri" w:hAnsi="Calibri" w:cs="Calibri"/>
                <w:sz w:val="22"/>
                <w:szCs w:val="22"/>
              </w:rPr>
            </w:pPr>
            <w:r>
              <w:t>12.10</w:t>
            </w:r>
          </w:p>
        </w:tc>
        <w:tc>
          <w:tcPr>
            <w:tcW w:w="1119" w:type="dxa"/>
            <w:tcBorders>
              <w:top w:val="single" w:sz="6" w:space="0" w:color="CCCCCC"/>
              <w:left w:val="single" w:sz="6" w:space="0" w:color="CCCCCC"/>
              <w:bottom w:val="single" w:sz="6" w:space="0" w:color="000000"/>
              <w:right w:val="single" w:sz="6" w:space="0" w:color="000000"/>
            </w:tcBorders>
            <w:shd w:val="clear" w:color="auto" w:fill="F87072"/>
            <w:tcMar>
              <w:top w:w="0" w:type="dxa"/>
              <w:left w:w="40" w:type="dxa"/>
              <w:bottom w:w="0" w:type="dxa"/>
              <w:right w:w="40" w:type="dxa"/>
            </w:tcMar>
            <w:vAlign w:val="center"/>
          </w:tcPr>
          <w:p w14:paraId="24BE7A68" w14:textId="77777777" w:rsidR="0081565C" w:rsidRDefault="00C45D4B">
            <w:pPr>
              <w:jc w:val="center"/>
              <w:rPr>
                <w:rFonts w:ascii="Calibri" w:eastAsia="Calibri" w:hAnsi="Calibri" w:cs="Calibri"/>
                <w:sz w:val="22"/>
                <w:szCs w:val="22"/>
              </w:rPr>
            </w:pPr>
            <w:r>
              <w:t>19.40</w:t>
            </w:r>
          </w:p>
        </w:tc>
        <w:tc>
          <w:tcPr>
            <w:tcW w:w="1119" w:type="dxa"/>
            <w:tcBorders>
              <w:top w:val="single" w:sz="6" w:space="0" w:color="CCCCCC"/>
              <w:left w:val="single" w:sz="6" w:space="0" w:color="CCCCCC"/>
              <w:bottom w:val="single" w:sz="6" w:space="0" w:color="000000"/>
              <w:right w:val="single" w:sz="6" w:space="0" w:color="000000"/>
            </w:tcBorders>
            <w:shd w:val="clear" w:color="auto" w:fill="F87173"/>
            <w:tcMar>
              <w:top w:w="0" w:type="dxa"/>
              <w:left w:w="40" w:type="dxa"/>
              <w:bottom w:w="0" w:type="dxa"/>
              <w:right w:w="40" w:type="dxa"/>
            </w:tcMar>
            <w:vAlign w:val="center"/>
          </w:tcPr>
          <w:p w14:paraId="24BE7A69" w14:textId="77777777" w:rsidR="0081565C" w:rsidRDefault="00C45D4B">
            <w:pPr>
              <w:jc w:val="center"/>
              <w:rPr>
                <w:rFonts w:ascii="Calibri" w:eastAsia="Calibri" w:hAnsi="Calibri" w:cs="Calibri"/>
                <w:sz w:val="22"/>
                <w:szCs w:val="22"/>
              </w:rPr>
            </w:pPr>
            <w:r>
              <w:t>21.70</w:t>
            </w:r>
          </w:p>
        </w:tc>
        <w:tc>
          <w:tcPr>
            <w:tcW w:w="1270" w:type="dxa"/>
            <w:tcBorders>
              <w:top w:val="single" w:sz="6" w:space="0" w:color="CCCCCC"/>
              <w:left w:val="single" w:sz="6" w:space="0" w:color="CCCCCC"/>
              <w:bottom w:val="single" w:sz="6" w:space="0" w:color="000000"/>
              <w:right w:val="single" w:sz="6" w:space="0" w:color="000000"/>
            </w:tcBorders>
            <w:shd w:val="clear" w:color="auto" w:fill="F87173"/>
            <w:tcMar>
              <w:top w:w="0" w:type="dxa"/>
              <w:left w:w="40" w:type="dxa"/>
              <w:bottom w:w="0" w:type="dxa"/>
              <w:right w:w="40" w:type="dxa"/>
            </w:tcMar>
            <w:vAlign w:val="center"/>
          </w:tcPr>
          <w:p w14:paraId="24BE7A6A" w14:textId="77777777" w:rsidR="0081565C" w:rsidRDefault="00C45D4B">
            <w:pPr>
              <w:jc w:val="center"/>
              <w:rPr>
                <w:rFonts w:ascii="Calibri" w:eastAsia="Calibri" w:hAnsi="Calibri" w:cs="Calibri"/>
                <w:sz w:val="22"/>
                <w:szCs w:val="22"/>
              </w:rPr>
            </w:pPr>
            <w:r>
              <w:t>21.20</w:t>
            </w:r>
          </w:p>
        </w:tc>
        <w:tc>
          <w:tcPr>
            <w:tcW w:w="1119" w:type="dxa"/>
            <w:tcBorders>
              <w:top w:val="single" w:sz="6" w:space="0" w:color="CCCCCC"/>
              <w:left w:val="single" w:sz="6" w:space="0" w:color="CCCCCC"/>
              <w:bottom w:val="single" w:sz="6" w:space="0" w:color="000000"/>
              <w:right w:val="single" w:sz="6" w:space="0" w:color="000000"/>
            </w:tcBorders>
            <w:shd w:val="clear" w:color="auto" w:fill="F86F71"/>
            <w:tcMar>
              <w:top w:w="0" w:type="dxa"/>
              <w:left w:w="40" w:type="dxa"/>
              <w:bottom w:w="0" w:type="dxa"/>
              <w:right w:w="40" w:type="dxa"/>
            </w:tcMar>
            <w:vAlign w:val="center"/>
          </w:tcPr>
          <w:p w14:paraId="24BE7A6B" w14:textId="77777777" w:rsidR="0081565C" w:rsidRDefault="00C45D4B">
            <w:pPr>
              <w:jc w:val="center"/>
              <w:rPr>
                <w:rFonts w:ascii="Calibri" w:eastAsia="Calibri" w:hAnsi="Calibri" w:cs="Calibri"/>
                <w:sz w:val="22"/>
                <w:szCs w:val="22"/>
              </w:rPr>
            </w:pPr>
            <w:r>
              <w:t>17.10</w:t>
            </w:r>
          </w:p>
        </w:tc>
      </w:tr>
      <w:tr w:rsidR="0081565C" w14:paraId="24BE7A74" w14:textId="77777777">
        <w:trPr>
          <w:trHeight w:val="300"/>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4BE7A6D" w14:textId="77777777" w:rsidR="0081565C" w:rsidRDefault="00C45D4B">
            <w:pPr>
              <w:jc w:val="center"/>
              <w:rPr>
                <w:rFonts w:ascii="Calibri" w:eastAsia="Calibri" w:hAnsi="Calibri" w:cs="Calibri"/>
                <w:sz w:val="22"/>
                <w:szCs w:val="22"/>
              </w:rPr>
            </w:pPr>
            <w:r>
              <w:t>Current Liabilities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4BE7A6E" w14:textId="77777777" w:rsidR="0081565C" w:rsidRDefault="00C45D4B">
            <w:pPr>
              <w:jc w:val="center"/>
              <w:rPr>
                <w:rFonts w:ascii="Calibri" w:eastAsia="Calibri" w:hAnsi="Calibri" w:cs="Calibri"/>
                <w:sz w:val="22"/>
                <w:szCs w:val="22"/>
              </w:rPr>
            </w:pPr>
            <w:r>
              <w:t>C</w:t>
            </w:r>
          </w:p>
        </w:tc>
        <w:tc>
          <w:tcPr>
            <w:tcW w:w="1119" w:type="dxa"/>
            <w:tcBorders>
              <w:top w:val="single" w:sz="6" w:space="0" w:color="CCCCCC"/>
              <w:left w:val="single" w:sz="6" w:space="0" w:color="CCCCCC"/>
              <w:bottom w:val="single" w:sz="6" w:space="0" w:color="000000"/>
              <w:right w:val="single" w:sz="6" w:space="0" w:color="000000"/>
            </w:tcBorders>
            <w:shd w:val="clear" w:color="auto" w:fill="D6EDDF"/>
            <w:tcMar>
              <w:top w:w="0" w:type="dxa"/>
              <w:left w:w="40" w:type="dxa"/>
              <w:bottom w:w="0" w:type="dxa"/>
              <w:right w:w="40" w:type="dxa"/>
            </w:tcMar>
            <w:vAlign w:val="center"/>
          </w:tcPr>
          <w:p w14:paraId="24BE7A6F" w14:textId="77777777" w:rsidR="0081565C" w:rsidRDefault="00C45D4B">
            <w:pPr>
              <w:jc w:val="center"/>
              <w:rPr>
                <w:rFonts w:ascii="Calibri" w:eastAsia="Calibri" w:hAnsi="Calibri" w:cs="Calibri"/>
                <w:sz w:val="22"/>
                <w:szCs w:val="22"/>
              </w:rPr>
            </w:pPr>
            <w:r>
              <w:t>775.30</w:t>
            </w:r>
          </w:p>
        </w:tc>
        <w:tc>
          <w:tcPr>
            <w:tcW w:w="1119" w:type="dxa"/>
            <w:tcBorders>
              <w:top w:val="single" w:sz="6" w:space="0" w:color="CCCCCC"/>
              <w:left w:val="single" w:sz="6" w:space="0" w:color="CCCCCC"/>
              <w:bottom w:val="single" w:sz="6" w:space="0" w:color="000000"/>
              <w:right w:val="single" w:sz="6" w:space="0" w:color="000000"/>
            </w:tcBorders>
            <w:shd w:val="clear" w:color="auto" w:fill="DBEFE3"/>
            <w:tcMar>
              <w:top w:w="0" w:type="dxa"/>
              <w:left w:w="40" w:type="dxa"/>
              <w:bottom w:w="0" w:type="dxa"/>
              <w:right w:w="40" w:type="dxa"/>
            </w:tcMar>
            <w:vAlign w:val="center"/>
          </w:tcPr>
          <w:p w14:paraId="24BE7A70" w14:textId="77777777" w:rsidR="0081565C" w:rsidRDefault="00C45D4B">
            <w:pPr>
              <w:jc w:val="center"/>
              <w:rPr>
                <w:rFonts w:ascii="Calibri" w:eastAsia="Calibri" w:hAnsi="Calibri" w:cs="Calibri"/>
                <w:sz w:val="22"/>
                <w:szCs w:val="22"/>
              </w:rPr>
            </w:pPr>
            <w:r>
              <w:t>719.60</w:t>
            </w:r>
          </w:p>
        </w:tc>
        <w:tc>
          <w:tcPr>
            <w:tcW w:w="1119" w:type="dxa"/>
            <w:tcBorders>
              <w:top w:val="single" w:sz="6" w:space="0" w:color="CCCCCC"/>
              <w:left w:val="single" w:sz="6" w:space="0" w:color="CCCCCC"/>
              <w:bottom w:val="single" w:sz="6" w:space="0" w:color="000000"/>
              <w:right w:val="single" w:sz="6" w:space="0" w:color="000000"/>
            </w:tcBorders>
            <w:shd w:val="clear" w:color="auto" w:fill="D0EAD9"/>
            <w:tcMar>
              <w:top w:w="0" w:type="dxa"/>
              <w:left w:w="40" w:type="dxa"/>
              <w:bottom w:w="0" w:type="dxa"/>
              <w:right w:w="40" w:type="dxa"/>
            </w:tcMar>
            <w:vAlign w:val="center"/>
          </w:tcPr>
          <w:p w14:paraId="24BE7A71" w14:textId="77777777" w:rsidR="0081565C" w:rsidRDefault="00C45D4B">
            <w:pPr>
              <w:jc w:val="center"/>
              <w:rPr>
                <w:rFonts w:ascii="Calibri" w:eastAsia="Calibri" w:hAnsi="Calibri" w:cs="Calibri"/>
                <w:sz w:val="22"/>
                <w:szCs w:val="22"/>
              </w:rPr>
            </w:pPr>
            <w:r>
              <w:t>845.60</w:t>
            </w:r>
          </w:p>
        </w:tc>
        <w:tc>
          <w:tcPr>
            <w:tcW w:w="1270" w:type="dxa"/>
            <w:tcBorders>
              <w:top w:val="single" w:sz="6" w:space="0" w:color="CCCCCC"/>
              <w:left w:val="single" w:sz="6" w:space="0" w:color="CCCCCC"/>
              <w:bottom w:val="single" w:sz="6" w:space="0" w:color="000000"/>
              <w:right w:val="single" w:sz="6" w:space="0" w:color="000000"/>
            </w:tcBorders>
            <w:shd w:val="clear" w:color="auto" w:fill="CEE9D7"/>
            <w:tcMar>
              <w:top w:w="0" w:type="dxa"/>
              <w:left w:w="40" w:type="dxa"/>
              <w:bottom w:w="0" w:type="dxa"/>
              <w:right w:w="40" w:type="dxa"/>
            </w:tcMar>
            <w:vAlign w:val="center"/>
          </w:tcPr>
          <w:p w14:paraId="24BE7A72" w14:textId="77777777" w:rsidR="0081565C" w:rsidRDefault="00C45D4B">
            <w:pPr>
              <w:jc w:val="center"/>
              <w:rPr>
                <w:rFonts w:ascii="Calibri" w:eastAsia="Calibri" w:hAnsi="Calibri" w:cs="Calibri"/>
                <w:sz w:val="22"/>
                <w:szCs w:val="22"/>
              </w:rPr>
            </w:pPr>
            <w:r>
              <w:t>870.40</w:t>
            </w:r>
          </w:p>
        </w:tc>
        <w:tc>
          <w:tcPr>
            <w:tcW w:w="1119" w:type="dxa"/>
            <w:tcBorders>
              <w:top w:val="single" w:sz="6" w:space="0" w:color="CCCCCC"/>
              <w:left w:val="single" w:sz="6" w:space="0" w:color="CCCCCC"/>
              <w:bottom w:val="single" w:sz="6" w:space="0" w:color="000000"/>
              <w:right w:val="single" w:sz="6" w:space="0" w:color="000000"/>
            </w:tcBorders>
            <w:shd w:val="clear" w:color="auto" w:fill="A4D9B3"/>
            <w:tcMar>
              <w:top w:w="0" w:type="dxa"/>
              <w:left w:w="40" w:type="dxa"/>
              <w:bottom w:w="0" w:type="dxa"/>
              <w:right w:w="40" w:type="dxa"/>
            </w:tcMar>
            <w:vAlign w:val="center"/>
          </w:tcPr>
          <w:p w14:paraId="24BE7A73" w14:textId="77777777" w:rsidR="0081565C" w:rsidRDefault="00C45D4B">
            <w:pPr>
              <w:jc w:val="center"/>
              <w:rPr>
                <w:rFonts w:ascii="Calibri" w:eastAsia="Calibri" w:hAnsi="Calibri" w:cs="Calibri"/>
                <w:sz w:val="22"/>
                <w:szCs w:val="22"/>
              </w:rPr>
            </w:pPr>
            <w:r>
              <w:t>1,319.00</w:t>
            </w:r>
          </w:p>
        </w:tc>
      </w:tr>
      <w:tr w:rsidR="0081565C" w14:paraId="24BE7A7C" w14:textId="77777777">
        <w:trPr>
          <w:trHeight w:val="300"/>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4BE7A75" w14:textId="77777777" w:rsidR="0081565C" w:rsidRDefault="00C45D4B">
            <w:pPr>
              <w:jc w:val="center"/>
              <w:rPr>
                <w:rFonts w:ascii="Calibri" w:eastAsia="Calibri" w:hAnsi="Calibri" w:cs="Calibri"/>
                <w:sz w:val="22"/>
                <w:szCs w:val="22"/>
              </w:rPr>
            </w:pPr>
            <w:r>
              <w:t>Cash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4BE7A76" w14:textId="77777777" w:rsidR="0081565C" w:rsidRDefault="00C45D4B">
            <w:pPr>
              <w:jc w:val="center"/>
              <w:rPr>
                <w:rFonts w:ascii="Calibri" w:eastAsia="Calibri" w:hAnsi="Calibri" w:cs="Calibri"/>
                <w:sz w:val="22"/>
                <w:szCs w:val="22"/>
              </w:rPr>
            </w:pPr>
            <w:r>
              <w:t>D</w:t>
            </w:r>
          </w:p>
        </w:tc>
        <w:tc>
          <w:tcPr>
            <w:tcW w:w="1119" w:type="dxa"/>
            <w:tcBorders>
              <w:top w:val="single" w:sz="6" w:space="0" w:color="CCCCCC"/>
              <w:left w:val="single" w:sz="6" w:space="0" w:color="CCCCCC"/>
              <w:bottom w:val="single" w:sz="6" w:space="0" w:color="000000"/>
              <w:right w:val="single" w:sz="6" w:space="0" w:color="000000"/>
            </w:tcBorders>
            <w:shd w:val="clear" w:color="auto" w:fill="AADBB8"/>
            <w:tcMar>
              <w:top w:w="0" w:type="dxa"/>
              <w:left w:w="40" w:type="dxa"/>
              <w:bottom w:w="0" w:type="dxa"/>
              <w:right w:w="40" w:type="dxa"/>
            </w:tcMar>
            <w:vAlign w:val="center"/>
          </w:tcPr>
          <w:p w14:paraId="24BE7A77" w14:textId="77777777" w:rsidR="0081565C" w:rsidRDefault="00C45D4B">
            <w:pPr>
              <w:jc w:val="center"/>
              <w:rPr>
                <w:rFonts w:ascii="Calibri" w:eastAsia="Calibri" w:hAnsi="Calibri" w:cs="Calibri"/>
                <w:sz w:val="22"/>
                <w:szCs w:val="22"/>
              </w:rPr>
            </w:pPr>
            <w:r>
              <w:t>1,256.00</w:t>
            </w:r>
          </w:p>
        </w:tc>
        <w:tc>
          <w:tcPr>
            <w:tcW w:w="1119" w:type="dxa"/>
            <w:tcBorders>
              <w:top w:val="single" w:sz="6" w:space="0" w:color="CCCCCC"/>
              <w:left w:val="single" w:sz="6" w:space="0" w:color="CCCCCC"/>
              <w:bottom w:val="single" w:sz="6" w:space="0" w:color="000000"/>
              <w:right w:val="single" w:sz="6" w:space="0" w:color="000000"/>
            </w:tcBorders>
            <w:shd w:val="clear" w:color="auto" w:fill="B5E0C2"/>
            <w:tcMar>
              <w:top w:w="0" w:type="dxa"/>
              <w:left w:w="40" w:type="dxa"/>
              <w:bottom w:w="0" w:type="dxa"/>
              <w:right w:w="40" w:type="dxa"/>
            </w:tcMar>
            <w:vAlign w:val="center"/>
          </w:tcPr>
          <w:p w14:paraId="24BE7A78" w14:textId="77777777" w:rsidR="0081565C" w:rsidRDefault="00C45D4B">
            <w:pPr>
              <w:jc w:val="center"/>
              <w:rPr>
                <w:rFonts w:ascii="Calibri" w:eastAsia="Calibri" w:hAnsi="Calibri" w:cs="Calibri"/>
                <w:sz w:val="22"/>
                <w:szCs w:val="22"/>
              </w:rPr>
            </w:pPr>
            <w:r>
              <w:t>1,132.40</w:t>
            </w:r>
          </w:p>
        </w:tc>
        <w:tc>
          <w:tcPr>
            <w:tcW w:w="1119" w:type="dxa"/>
            <w:tcBorders>
              <w:top w:val="single" w:sz="6" w:space="0" w:color="CCCCCC"/>
              <w:left w:val="single" w:sz="6" w:space="0" w:color="CCCCCC"/>
              <w:bottom w:val="single" w:sz="6" w:space="0" w:color="000000"/>
              <w:right w:val="single" w:sz="6" w:space="0" w:color="000000"/>
            </w:tcBorders>
            <w:shd w:val="clear" w:color="auto" w:fill="B3DFC0"/>
            <w:tcMar>
              <w:top w:w="0" w:type="dxa"/>
              <w:left w:w="40" w:type="dxa"/>
              <w:bottom w:w="0" w:type="dxa"/>
              <w:right w:w="40" w:type="dxa"/>
            </w:tcMar>
            <w:vAlign w:val="center"/>
          </w:tcPr>
          <w:p w14:paraId="24BE7A79" w14:textId="77777777" w:rsidR="0081565C" w:rsidRDefault="00C45D4B">
            <w:pPr>
              <w:jc w:val="center"/>
              <w:rPr>
                <w:rFonts w:ascii="Calibri" w:eastAsia="Calibri" w:hAnsi="Calibri" w:cs="Calibri"/>
                <w:sz w:val="22"/>
                <w:szCs w:val="22"/>
              </w:rPr>
            </w:pPr>
            <w:r>
              <w:t>1,164.80</w:t>
            </w:r>
          </w:p>
        </w:tc>
        <w:tc>
          <w:tcPr>
            <w:tcW w:w="1270" w:type="dxa"/>
            <w:tcBorders>
              <w:top w:val="single" w:sz="6" w:space="0" w:color="CCCCCC"/>
              <w:left w:val="single" w:sz="6" w:space="0" w:color="CCCCCC"/>
              <w:bottom w:val="single" w:sz="6" w:space="0" w:color="000000"/>
              <w:right w:val="single" w:sz="6" w:space="0" w:color="000000"/>
            </w:tcBorders>
            <w:shd w:val="clear" w:color="auto" w:fill="DEF0E5"/>
            <w:tcMar>
              <w:top w:w="0" w:type="dxa"/>
              <w:left w:w="40" w:type="dxa"/>
              <w:bottom w:w="0" w:type="dxa"/>
              <w:right w:w="40" w:type="dxa"/>
            </w:tcMar>
            <w:vAlign w:val="center"/>
          </w:tcPr>
          <w:p w14:paraId="24BE7A7A" w14:textId="77777777" w:rsidR="0081565C" w:rsidRDefault="00C45D4B">
            <w:pPr>
              <w:jc w:val="center"/>
              <w:rPr>
                <w:rFonts w:ascii="Calibri" w:eastAsia="Calibri" w:hAnsi="Calibri" w:cs="Calibri"/>
                <w:sz w:val="22"/>
                <w:szCs w:val="22"/>
              </w:rPr>
            </w:pPr>
            <w:r>
              <w:t>696.70</w:t>
            </w:r>
          </w:p>
        </w:tc>
        <w:tc>
          <w:tcPr>
            <w:tcW w:w="1119" w:type="dxa"/>
            <w:tcBorders>
              <w:top w:val="single" w:sz="6" w:space="0" w:color="CCCCCC"/>
              <w:left w:val="single" w:sz="6" w:space="0" w:color="CCCCCC"/>
              <w:bottom w:val="single" w:sz="6" w:space="0" w:color="000000"/>
              <w:right w:val="single" w:sz="6" w:space="0" w:color="000000"/>
            </w:tcBorders>
            <w:shd w:val="clear" w:color="auto" w:fill="CAE8D4"/>
            <w:tcMar>
              <w:top w:w="0" w:type="dxa"/>
              <w:left w:w="40" w:type="dxa"/>
              <w:bottom w:w="0" w:type="dxa"/>
              <w:right w:w="40" w:type="dxa"/>
            </w:tcMar>
            <w:vAlign w:val="center"/>
          </w:tcPr>
          <w:p w14:paraId="24BE7A7B" w14:textId="77777777" w:rsidR="0081565C" w:rsidRDefault="00C45D4B">
            <w:pPr>
              <w:jc w:val="center"/>
              <w:rPr>
                <w:rFonts w:ascii="Calibri" w:eastAsia="Calibri" w:hAnsi="Calibri" w:cs="Calibri"/>
                <w:sz w:val="22"/>
                <w:szCs w:val="22"/>
              </w:rPr>
            </w:pPr>
            <w:r>
              <w:t>909.00</w:t>
            </w:r>
          </w:p>
        </w:tc>
      </w:tr>
      <w:tr w:rsidR="0081565C" w14:paraId="24BE7A84"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4BE7A7D" w14:textId="77777777" w:rsidR="0081565C" w:rsidRDefault="00C45D4B">
            <w:pPr>
              <w:jc w:val="center"/>
              <w:rPr>
                <w:rFonts w:ascii="Calibri" w:eastAsia="Calibri" w:hAnsi="Calibri" w:cs="Calibri"/>
                <w:sz w:val="22"/>
                <w:szCs w:val="22"/>
              </w:rPr>
            </w:pPr>
            <w:r>
              <w:rPr>
                <w:b/>
                <w:bCs/>
              </w:rPr>
              <w:t>Current Ratio</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4BE7A7E" w14:textId="77777777" w:rsidR="0081565C" w:rsidRDefault="00C45D4B">
            <w:pPr>
              <w:jc w:val="center"/>
              <w:rPr>
                <w:rFonts w:ascii="Calibri" w:eastAsia="Calibri" w:hAnsi="Calibri" w:cs="Calibri"/>
                <w:sz w:val="22"/>
                <w:szCs w:val="22"/>
              </w:rPr>
            </w:pPr>
            <w:r>
              <w:rPr>
                <w:b/>
                <w:bCs/>
              </w:rPr>
              <w:t>A/C</w:t>
            </w:r>
          </w:p>
        </w:tc>
        <w:tc>
          <w:tcPr>
            <w:tcW w:w="1119" w:type="dxa"/>
            <w:tcBorders>
              <w:top w:val="single" w:sz="6" w:space="0" w:color="CCCCCC"/>
              <w:left w:val="single" w:sz="6" w:space="0" w:color="CCCCCC"/>
              <w:bottom w:val="single" w:sz="6" w:space="0" w:color="000000"/>
              <w:right w:val="single" w:sz="6" w:space="0" w:color="000000"/>
            </w:tcBorders>
            <w:shd w:val="clear" w:color="auto" w:fill="F8696B"/>
            <w:tcMar>
              <w:top w:w="0" w:type="dxa"/>
              <w:left w:w="40" w:type="dxa"/>
              <w:bottom w:w="0" w:type="dxa"/>
              <w:right w:w="40" w:type="dxa"/>
            </w:tcMar>
            <w:vAlign w:val="center"/>
          </w:tcPr>
          <w:p w14:paraId="24BE7A7F" w14:textId="77777777" w:rsidR="0081565C" w:rsidRDefault="00C45D4B">
            <w:pPr>
              <w:jc w:val="center"/>
              <w:rPr>
                <w:rFonts w:ascii="Calibri" w:eastAsia="Calibri" w:hAnsi="Calibri" w:cs="Calibri"/>
                <w:sz w:val="22"/>
                <w:szCs w:val="22"/>
              </w:rPr>
            </w:pPr>
            <w:r>
              <w:rPr>
                <w:b/>
                <w:bCs/>
              </w:rPr>
              <w:t>1.74</w:t>
            </w:r>
          </w:p>
        </w:tc>
        <w:tc>
          <w:tcPr>
            <w:tcW w:w="1119" w:type="dxa"/>
            <w:tcBorders>
              <w:top w:val="single" w:sz="6" w:space="0" w:color="CCCCCC"/>
              <w:left w:val="single" w:sz="6" w:space="0" w:color="CCCCCC"/>
              <w:bottom w:val="single" w:sz="6" w:space="0" w:color="000000"/>
              <w:right w:val="single" w:sz="6" w:space="0" w:color="000000"/>
            </w:tcBorders>
            <w:shd w:val="clear" w:color="auto" w:fill="F8696B"/>
            <w:tcMar>
              <w:top w:w="0" w:type="dxa"/>
              <w:left w:w="40" w:type="dxa"/>
              <w:bottom w:w="0" w:type="dxa"/>
              <w:right w:w="40" w:type="dxa"/>
            </w:tcMar>
            <w:vAlign w:val="center"/>
          </w:tcPr>
          <w:p w14:paraId="24BE7A80" w14:textId="77777777" w:rsidR="0081565C" w:rsidRDefault="00C45D4B">
            <w:pPr>
              <w:jc w:val="center"/>
              <w:rPr>
                <w:rFonts w:ascii="Calibri" w:eastAsia="Calibri" w:hAnsi="Calibri" w:cs="Calibri"/>
                <w:sz w:val="22"/>
                <w:szCs w:val="22"/>
              </w:rPr>
            </w:pPr>
            <w:r>
              <w:rPr>
                <w:b/>
                <w:bCs/>
              </w:rPr>
              <w:t>1.76</w:t>
            </w:r>
          </w:p>
        </w:tc>
        <w:tc>
          <w:tcPr>
            <w:tcW w:w="1119" w:type="dxa"/>
            <w:tcBorders>
              <w:top w:val="single" w:sz="6" w:space="0" w:color="CCCCCC"/>
              <w:left w:val="single" w:sz="6" w:space="0" w:color="CCCCCC"/>
              <w:bottom w:val="single" w:sz="6" w:space="0" w:color="000000"/>
              <w:right w:val="single" w:sz="6" w:space="0" w:color="000000"/>
            </w:tcBorders>
            <w:shd w:val="clear" w:color="auto" w:fill="F8696B"/>
            <w:tcMar>
              <w:top w:w="0" w:type="dxa"/>
              <w:left w:w="40" w:type="dxa"/>
              <w:bottom w:w="0" w:type="dxa"/>
              <w:right w:w="40" w:type="dxa"/>
            </w:tcMar>
            <w:vAlign w:val="center"/>
          </w:tcPr>
          <w:p w14:paraId="24BE7A81" w14:textId="77777777" w:rsidR="0081565C" w:rsidRDefault="00C45D4B">
            <w:pPr>
              <w:jc w:val="center"/>
              <w:rPr>
                <w:rFonts w:ascii="Calibri" w:eastAsia="Calibri" w:hAnsi="Calibri" w:cs="Calibri"/>
                <w:sz w:val="22"/>
                <w:szCs w:val="22"/>
              </w:rPr>
            </w:pPr>
            <w:r>
              <w:rPr>
                <w:b/>
                <w:bCs/>
              </w:rPr>
              <w:t>1.57</w:t>
            </w:r>
          </w:p>
        </w:tc>
        <w:tc>
          <w:tcPr>
            <w:tcW w:w="1270" w:type="dxa"/>
            <w:tcBorders>
              <w:top w:val="single" w:sz="6" w:space="0" w:color="CCCCCC"/>
              <w:left w:val="single" w:sz="6" w:space="0" w:color="CCCCCC"/>
              <w:bottom w:val="single" w:sz="6" w:space="0" w:color="000000"/>
              <w:right w:val="single" w:sz="6" w:space="0" w:color="000000"/>
            </w:tcBorders>
            <w:shd w:val="clear" w:color="auto" w:fill="F8696B"/>
            <w:tcMar>
              <w:top w:w="0" w:type="dxa"/>
              <w:left w:w="40" w:type="dxa"/>
              <w:bottom w:w="0" w:type="dxa"/>
              <w:right w:w="40" w:type="dxa"/>
            </w:tcMar>
            <w:vAlign w:val="center"/>
          </w:tcPr>
          <w:p w14:paraId="24BE7A82" w14:textId="77777777" w:rsidR="0081565C" w:rsidRDefault="00C45D4B">
            <w:pPr>
              <w:jc w:val="center"/>
              <w:rPr>
                <w:rFonts w:ascii="Calibri" w:eastAsia="Calibri" w:hAnsi="Calibri" w:cs="Calibri"/>
                <w:sz w:val="22"/>
                <w:szCs w:val="22"/>
              </w:rPr>
            </w:pPr>
            <w:r>
              <w:rPr>
                <w:b/>
                <w:bCs/>
              </w:rPr>
              <w:t>0.96</w:t>
            </w:r>
          </w:p>
        </w:tc>
        <w:tc>
          <w:tcPr>
            <w:tcW w:w="1119" w:type="dxa"/>
            <w:tcBorders>
              <w:top w:val="single" w:sz="6" w:space="0" w:color="CCCCCC"/>
              <w:left w:val="single" w:sz="6" w:space="0" w:color="CCCCCC"/>
              <w:bottom w:val="single" w:sz="6" w:space="0" w:color="000000"/>
              <w:right w:val="single" w:sz="6" w:space="0" w:color="000000"/>
            </w:tcBorders>
            <w:shd w:val="clear" w:color="auto" w:fill="F8696B"/>
            <w:tcMar>
              <w:top w:w="0" w:type="dxa"/>
              <w:left w:w="40" w:type="dxa"/>
              <w:bottom w:w="0" w:type="dxa"/>
              <w:right w:w="40" w:type="dxa"/>
            </w:tcMar>
            <w:vAlign w:val="center"/>
          </w:tcPr>
          <w:p w14:paraId="24BE7A83" w14:textId="77777777" w:rsidR="0081565C" w:rsidRDefault="00C45D4B">
            <w:pPr>
              <w:jc w:val="center"/>
              <w:rPr>
                <w:rFonts w:ascii="Calibri" w:eastAsia="Calibri" w:hAnsi="Calibri" w:cs="Calibri"/>
                <w:sz w:val="22"/>
                <w:szCs w:val="22"/>
              </w:rPr>
            </w:pPr>
            <w:r>
              <w:rPr>
                <w:b/>
                <w:bCs/>
              </w:rPr>
              <w:t>0.81</w:t>
            </w:r>
          </w:p>
        </w:tc>
      </w:tr>
      <w:tr w:rsidR="0081565C" w14:paraId="24BE7A8C"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4BE7A85" w14:textId="77777777" w:rsidR="0081565C" w:rsidRDefault="00C45D4B">
            <w:pPr>
              <w:jc w:val="center"/>
              <w:rPr>
                <w:rFonts w:ascii="Calibri" w:eastAsia="Calibri" w:hAnsi="Calibri" w:cs="Calibri"/>
                <w:sz w:val="22"/>
                <w:szCs w:val="22"/>
              </w:rPr>
            </w:pPr>
            <w:r>
              <w:rPr>
                <w:b/>
                <w:bCs/>
              </w:rPr>
              <w:t>Quick Ratio</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4BE7A86" w14:textId="77777777" w:rsidR="0081565C" w:rsidRDefault="00C45D4B">
            <w:pPr>
              <w:jc w:val="center"/>
              <w:rPr>
                <w:rFonts w:ascii="Calibri" w:eastAsia="Calibri" w:hAnsi="Calibri" w:cs="Calibri"/>
                <w:sz w:val="22"/>
                <w:szCs w:val="22"/>
              </w:rPr>
            </w:pPr>
            <w:r>
              <w:rPr>
                <w:b/>
                <w:bCs/>
              </w:rPr>
              <w:t>(A-B)/C</w:t>
            </w:r>
          </w:p>
        </w:tc>
        <w:tc>
          <w:tcPr>
            <w:tcW w:w="1119" w:type="dxa"/>
            <w:tcBorders>
              <w:top w:val="single" w:sz="6" w:space="0" w:color="CCCCCC"/>
              <w:left w:val="single" w:sz="6" w:space="0" w:color="CCCCCC"/>
              <w:bottom w:val="single" w:sz="6" w:space="0" w:color="000000"/>
              <w:right w:val="single" w:sz="6" w:space="0" w:color="000000"/>
            </w:tcBorders>
            <w:shd w:val="clear" w:color="auto" w:fill="F8696B"/>
            <w:tcMar>
              <w:top w:w="0" w:type="dxa"/>
              <w:left w:w="40" w:type="dxa"/>
              <w:bottom w:w="0" w:type="dxa"/>
              <w:right w:w="40" w:type="dxa"/>
            </w:tcMar>
            <w:vAlign w:val="center"/>
          </w:tcPr>
          <w:p w14:paraId="24BE7A87" w14:textId="77777777" w:rsidR="0081565C" w:rsidRDefault="00C45D4B">
            <w:pPr>
              <w:jc w:val="center"/>
              <w:rPr>
                <w:rFonts w:ascii="Calibri" w:eastAsia="Calibri" w:hAnsi="Calibri" w:cs="Calibri"/>
                <w:sz w:val="22"/>
                <w:szCs w:val="22"/>
              </w:rPr>
            </w:pPr>
            <w:r>
              <w:rPr>
                <w:b/>
                <w:bCs/>
              </w:rPr>
              <w:t>1.73</w:t>
            </w:r>
          </w:p>
        </w:tc>
        <w:tc>
          <w:tcPr>
            <w:tcW w:w="1119" w:type="dxa"/>
            <w:tcBorders>
              <w:top w:val="single" w:sz="6" w:space="0" w:color="CCCCCC"/>
              <w:left w:val="single" w:sz="6" w:space="0" w:color="CCCCCC"/>
              <w:bottom w:val="single" w:sz="6" w:space="0" w:color="000000"/>
              <w:right w:val="single" w:sz="6" w:space="0" w:color="000000"/>
            </w:tcBorders>
            <w:shd w:val="clear" w:color="auto" w:fill="F8696B"/>
            <w:tcMar>
              <w:top w:w="0" w:type="dxa"/>
              <w:left w:w="40" w:type="dxa"/>
              <w:bottom w:w="0" w:type="dxa"/>
              <w:right w:w="40" w:type="dxa"/>
            </w:tcMar>
            <w:vAlign w:val="center"/>
          </w:tcPr>
          <w:p w14:paraId="24BE7A88" w14:textId="77777777" w:rsidR="0081565C" w:rsidRDefault="00C45D4B">
            <w:pPr>
              <w:jc w:val="center"/>
              <w:rPr>
                <w:rFonts w:ascii="Calibri" w:eastAsia="Calibri" w:hAnsi="Calibri" w:cs="Calibri"/>
                <w:sz w:val="22"/>
                <w:szCs w:val="22"/>
              </w:rPr>
            </w:pPr>
            <w:r>
              <w:rPr>
                <w:b/>
                <w:bCs/>
              </w:rPr>
              <w:t>1.74</w:t>
            </w:r>
          </w:p>
        </w:tc>
        <w:tc>
          <w:tcPr>
            <w:tcW w:w="1119" w:type="dxa"/>
            <w:tcBorders>
              <w:top w:val="single" w:sz="6" w:space="0" w:color="CCCCCC"/>
              <w:left w:val="single" w:sz="6" w:space="0" w:color="CCCCCC"/>
              <w:bottom w:val="single" w:sz="6" w:space="0" w:color="000000"/>
              <w:right w:val="single" w:sz="6" w:space="0" w:color="000000"/>
            </w:tcBorders>
            <w:shd w:val="clear" w:color="auto" w:fill="F8696B"/>
            <w:tcMar>
              <w:top w:w="0" w:type="dxa"/>
              <w:left w:w="40" w:type="dxa"/>
              <w:bottom w:w="0" w:type="dxa"/>
              <w:right w:w="40" w:type="dxa"/>
            </w:tcMar>
            <w:vAlign w:val="center"/>
          </w:tcPr>
          <w:p w14:paraId="24BE7A89" w14:textId="77777777" w:rsidR="0081565C" w:rsidRDefault="00C45D4B">
            <w:pPr>
              <w:jc w:val="center"/>
              <w:rPr>
                <w:rFonts w:ascii="Calibri" w:eastAsia="Calibri" w:hAnsi="Calibri" w:cs="Calibri"/>
                <w:sz w:val="22"/>
                <w:szCs w:val="22"/>
              </w:rPr>
            </w:pPr>
            <w:r>
              <w:rPr>
                <w:b/>
                <w:bCs/>
              </w:rPr>
              <w:t>1.55</w:t>
            </w:r>
          </w:p>
        </w:tc>
        <w:tc>
          <w:tcPr>
            <w:tcW w:w="1270" w:type="dxa"/>
            <w:tcBorders>
              <w:top w:val="single" w:sz="6" w:space="0" w:color="CCCCCC"/>
              <w:left w:val="single" w:sz="6" w:space="0" w:color="CCCCCC"/>
              <w:bottom w:val="single" w:sz="6" w:space="0" w:color="000000"/>
              <w:right w:val="single" w:sz="6" w:space="0" w:color="000000"/>
            </w:tcBorders>
            <w:shd w:val="clear" w:color="auto" w:fill="F8696B"/>
            <w:tcMar>
              <w:top w:w="0" w:type="dxa"/>
              <w:left w:w="40" w:type="dxa"/>
              <w:bottom w:w="0" w:type="dxa"/>
              <w:right w:w="40" w:type="dxa"/>
            </w:tcMar>
            <w:vAlign w:val="center"/>
          </w:tcPr>
          <w:p w14:paraId="24BE7A8A" w14:textId="77777777" w:rsidR="0081565C" w:rsidRDefault="00C45D4B">
            <w:pPr>
              <w:jc w:val="center"/>
              <w:rPr>
                <w:rFonts w:ascii="Calibri" w:eastAsia="Calibri" w:hAnsi="Calibri" w:cs="Calibri"/>
                <w:sz w:val="22"/>
                <w:szCs w:val="22"/>
              </w:rPr>
            </w:pPr>
            <w:r>
              <w:rPr>
                <w:b/>
                <w:bCs/>
              </w:rPr>
              <w:t>0.94</w:t>
            </w:r>
          </w:p>
        </w:tc>
        <w:tc>
          <w:tcPr>
            <w:tcW w:w="1119" w:type="dxa"/>
            <w:tcBorders>
              <w:top w:val="single" w:sz="6" w:space="0" w:color="CCCCCC"/>
              <w:left w:val="single" w:sz="6" w:space="0" w:color="CCCCCC"/>
              <w:bottom w:val="single" w:sz="6" w:space="0" w:color="000000"/>
              <w:right w:val="single" w:sz="6" w:space="0" w:color="000000"/>
            </w:tcBorders>
            <w:shd w:val="clear" w:color="auto" w:fill="F8696B"/>
            <w:tcMar>
              <w:top w:w="0" w:type="dxa"/>
              <w:left w:w="40" w:type="dxa"/>
              <w:bottom w:w="0" w:type="dxa"/>
              <w:right w:w="40" w:type="dxa"/>
            </w:tcMar>
            <w:vAlign w:val="center"/>
          </w:tcPr>
          <w:p w14:paraId="24BE7A8B" w14:textId="77777777" w:rsidR="0081565C" w:rsidRDefault="00C45D4B">
            <w:pPr>
              <w:jc w:val="center"/>
              <w:rPr>
                <w:rFonts w:ascii="Calibri" w:eastAsia="Calibri" w:hAnsi="Calibri" w:cs="Calibri"/>
                <w:sz w:val="22"/>
                <w:szCs w:val="22"/>
              </w:rPr>
            </w:pPr>
            <w:r>
              <w:rPr>
                <w:b/>
                <w:bCs/>
              </w:rPr>
              <w:t>0.80</w:t>
            </w:r>
          </w:p>
        </w:tc>
      </w:tr>
      <w:tr w:rsidR="0081565C" w14:paraId="24BE7A94"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4BE7A8D" w14:textId="77777777" w:rsidR="0081565C" w:rsidRDefault="00C45D4B">
            <w:pPr>
              <w:jc w:val="center"/>
              <w:rPr>
                <w:rFonts w:ascii="Calibri" w:eastAsia="Calibri" w:hAnsi="Calibri" w:cs="Calibri"/>
                <w:sz w:val="22"/>
                <w:szCs w:val="22"/>
              </w:rPr>
            </w:pPr>
            <w:r>
              <w:rPr>
                <w:b/>
                <w:bCs/>
              </w:rPr>
              <w:t>Cash Ratio</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4BE7A8E" w14:textId="77777777" w:rsidR="0081565C" w:rsidRDefault="00C45D4B">
            <w:pPr>
              <w:jc w:val="center"/>
              <w:rPr>
                <w:rFonts w:ascii="Calibri" w:eastAsia="Calibri" w:hAnsi="Calibri" w:cs="Calibri"/>
                <w:sz w:val="22"/>
                <w:szCs w:val="22"/>
              </w:rPr>
            </w:pPr>
            <w:r>
              <w:rPr>
                <w:b/>
                <w:bCs/>
              </w:rPr>
              <w:t>D/C</w:t>
            </w:r>
          </w:p>
        </w:tc>
        <w:tc>
          <w:tcPr>
            <w:tcW w:w="1119" w:type="dxa"/>
            <w:tcBorders>
              <w:top w:val="single" w:sz="6" w:space="0" w:color="CCCCCC"/>
              <w:left w:val="single" w:sz="6" w:space="0" w:color="CCCCCC"/>
              <w:bottom w:val="single" w:sz="6" w:space="0" w:color="000000"/>
              <w:right w:val="single" w:sz="6" w:space="0" w:color="000000"/>
            </w:tcBorders>
            <w:shd w:val="clear" w:color="auto" w:fill="F8696B"/>
            <w:tcMar>
              <w:top w:w="0" w:type="dxa"/>
              <w:left w:w="40" w:type="dxa"/>
              <w:bottom w:w="0" w:type="dxa"/>
              <w:right w:w="40" w:type="dxa"/>
            </w:tcMar>
            <w:vAlign w:val="center"/>
          </w:tcPr>
          <w:p w14:paraId="24BE7A8F" w14:textId="77777777" w:rsidR="0081565C" w:rsidRDefault="00C45D4B">
            <w:pPr>
              <w:jc w:val="center"/>
              <w:rPr>
                <w:rFonts w:ascii="Calibri" w:eastAsia="Calibri" w:hAnsi="Calibri" w:cs="Calibri"/>
                <w:sz w:val="22"/>
                <w:szCs w:val="22"/>
              </w:rPr>
            </w:pPr>
            <w:r>
              <w:rPr>
                <w:b/>
                <w:bCs/>
              </w:rPr>
              <w:t>1.62</w:t>
            </w:r>
          </w:p>
        </w:tc>
        <w:tc>
          <w:tcPr>
            <w:tcW w:w="1119" w:type="dxa"/>
            <w:tcBorders>
              <w:top w:val="single" w:sz="6" w:space="0" w:color="CCCCCC"/>
              <w:left w:val="single" w:sz="6" w:space="0" w:color="CCCCCC"/>
              <w:bottom w:val="single" w:sz="6" w:space="0" w:color="000000"/>
              <w:right w:val="single" w:sz="6" w:space="0" w:color="000000"/>
            </w:tcBorders>
            <w:shd w:val="clear" w:color="auto" w:fill="F8696B"/>
            <w:tcMar>
              <w:top w:w="0" w:type="dxa"/>
              <w:left w:w="40" w:type="dxa"/>
              <w:bottom w:w="0" w:type="dxa"/>
              <w:right w:w="40" w:type="dxa"/>
            </w:tcMar>
            <w:vAlign w:val="center"/>
          </w:tcPr>
          <w:p w14:paraId="24BE7A90" w14:textId="77777777" w:rsidR="0081565C" w:rsidRDefault="00C45D4B">
            <w:pPr>
              <w:jc w:val="center"/>
              <w:rPr>
                <w:rFonts w:ascii="Calibri" w:eastAsia="Calibri" w:hAnsi="Calibri" w:cs="Calibri"/>
                <w:sz w:val="22"/>
                <w:szCs w:val="22"/>
              </w:rPr>
            </w:pPr>
            <w:r>
              <w:rPr>
                <w:b/>
                <w:bCs/>
              </w:rPr>
              <w:t>1.57</w:t>
            </w:r>
          </w:p>
        </w:tc>
        <w:tc>
          <w:tcPr>
            <w:tcW w:w="1119" w:type="dxa"/>
            <w:tcBorders>
              <w:top w:val="single" w:sz="6" w:space="0" w:color="CCCCCC"/>
              <w:left w:val="single" w:sz="6" w:space="0" w:color="CCCCCC"/>
              <w:bottom w:val="single" w:sz="6" w:space="0" w:color="000000"/>
              <w:right w:val="single" w:sz="6" w:space="0" w:color="000000"/>
            </w:tcBorders>
            <w:shd w:val="clear" w:color="auto" w:fill="F8696B"/>
            <w:tcMar>
              <w:top w:w="0" w:type="dxa"/>
              <w:left w:w="40" w:type="dxa"/>
              <w:bottom w:w="0" w:type="dxa"/>
              <w:right w:w="40" w:type="dxa"/>
            </w:tcMar>
            <w:vAlign w:val="center"/>
          </w:tcPr>
          <w:p w14:paraId="24BE7A91" w14:textId="77777777" w:rsidR="0081565C" w:rsidRDefault="00C45D4B">
            <w:pPr>
              <w:jc w:val="center"/>
              <w:rPr>
                <w:rFonts w:ascii="Calibri" w:eastAsia="Calibri" w:hAnsi="Calibri" w:cs="Calibri"/>
                <w:sz w:val="22"/>
                <w:szCs w:val="22"/>
              </w:rPr>
            </w:pPr>
            <w:r>
              <w:rPr>
                <w:b/>
                <w:bCs/>
              </w:rPr>
              <w:t>1.38</w:t>
            </w:r>
          </w:p>
        </w:tc>
        <w:tc>
          <w:tcPr>
            <w:tcW w:w="1270" w:type="dxa"/>
            <w:tcBorders>
              <w:top w:val="single" w:sz="6" w:space="0" w:color="CCCCCC"/>
              <w:left w:val="single" w:sz="6" w:space="0" w:color="CCCCCC"/>
              <w:bottom w:val="single" w:sz="6" w:space="0" w:color="000000"/>
              <w:right w:val="single" w:sz="6" w:space="0" w:color="000000"/>
            </w:tcBorders>
            <w:shd w:val="clear" w:color="auto" w:fill="F8696B"/>
            <w:tcMar>
              <w:top w:w="0" w:type="dxa"/>
              <w:left w:w="40" w:type="dxa"/>
              <w:bottom w:w="0" w:type="dxa"/>
              <w:right w:w="40" w:type="dxa"/>
            </w:tcMar>
            <w:vAlign w:val="center"/>
          </w:tcPr>
          <w:p w14:paraId="24BE7A92" w14:textId="77777777" w:rsidR="0081565C" w:rsidRDefault="00C45D4B">
            <w:pPr>
              <w:jc w:val="center"/>
              <w:rPr>
                <w:rFonts w:ascii="Calibri" w:eastAsia="Calibri" w:hAnsi="Calibri" w:cs="Calibri"/>
                <w:sz w:val="22"/>
                <w:szCs w:val="22"/>
              </w:rPr>
            </w:pPr>
            <w:r>
              <w:rPr>
                <w:b/>
                <w:bCs/>
              </w:rPr>
              <w:t>0.80</w:t>
            </w:r>
          </w:p>
        </w:tc>
        <w:tc>
          <w:tcPr>
            <w:tcW w:w="1119" w:type="dxa"/>
            <w:tcBorders>
              <w:top w:val="single" w:sz="6" w:space="0" w:color="CCCCCC"/>
              <w:left w:val="single" w:sz="6" w:space="0" w:color="CCCCCC"/>
              <w:bottom w:val="single" w:sz="6" w:space="0" w:color="000000"/>
              <w:right w:val="single" w:sz="6" w:space="0" w:color="000000"/>
            </w:tcBorders>
            <w:shd w:val="clear" w:color="auto" w:fill="F8696B"/>
            <w:tcMar>
              <w:top w:w="0" w:type="dxa"/>
              <w:left w:w="40" w:type="dxa"/>
              <w:bottom w:w="0" w:type="dxa"/>
              <w:right w:w="40" w:type="dxa"/>
            </w:tcMar>
            <w:vAlign w:val="center"/>
          </w:tcPr>
          <w:p w14:paraId="24BE7A93" w14:textId="77777777" w:rsidR="0081565C" w:rsidRDefault="00C45D4B">
            <w:pPr>
              <w:jc w:val="center"/>
              <w:rPr>
                <w:rFonts w:ascii="Calibri" w:eastAsia="Calibri" w:hAnsi="Calibri" w:cs="Calibri"/>
                <w:sz w:val="22"/>
                <w:szCs w:val="22"/>
              </w:rPr>
            </w:pPr>
            <w:r>
              <w:rPr>
                <w:b/>
                <w:bCs/>
              </w:rPr>
              <w:t>0.69</w:t>
            </w:r>
          </w:p>
        </w:tc>
      </w:tr>
      <w:tr w:rsidR="0081565C" w14:paraId="24BE7A9C" w14:textId="77777777">
        <w:trPr>
          <w:trHeight w:val="315"/>
        </w:trPr>
        <w:tc>
          <w:tcPr>
            <w:tcW w:w="2793"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24BE7A95" w14:textId="77777777" w:rsidR="0081565C" w:rsidRDefault="0081565C">
            <w:pPr>
              <w:rPr>
                <w:rFonts w:ascii="Calibri" w:eastAsia="Calibri" w:hAnsi="Calibri" w:cs="Calibri"/>
                <w:sz w:val="22"/>
                <w:szCs w:val="22"/>
              </w:rPr>
            </w:pPr>
          </w:p>
        </w:tc>
        <w:tc>
          <w:tcPr>
            <w:tcW w:w="816"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24BE7A96" w14:textId="77777777" w:rsidR="0081565C" w:rsidRDefault="0081565C">
            <w:pPr>
              <w:rPr>
                <w:rFonts w:ascii="Calibri" w:eastAsia="Calibri" w:hAnsi="Calibri" w:cs="Calibri"/>
                <w:sz w:val="22"/>
                <w:szCs w:val="22"/>
              </w:rPr>
            </w:pPr>
          </w:p>
        </w:tc>
        <w:tc>
          <w:tcPr>
            <w:tcW w:w="1119"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24BE7A97" w14:textId="77777777" w:rsidR="0081565C" w:rsidRDefault="0081565C">
            <w:pPr>
              <w:rPr>
                <w:rFonts w:ascii="Calibri" w:eastAsia="Calibri" w:hAnsi="Calibri" w:cs="Calibri"/>
                <w:sz w:val="22"/>
                <w:szCs w:val="22"/>
              </w:rPr>
            </w:pPr>
          </w:p>
        </w:tc>
        <w:tc>
          <w:tcPr>
            <w:tcW w:w="1119"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24BE7A98" w14:textId="77777777" w:rsidR="0081565C" w:rsidRDefault="0081565C">
            <w:pPr>
              <w:rPr>
                <w:rFonts w:ascii="Calibri" w:eastAsia="Calibri" w:hAnsi="Calibri" w:cs="Calibri"/>
                <w:sz w:val="22"/>
                <w:szCs w:val="22"/>
              </w:rPr>
            </w:pPr>
          </w:p>
        </w:tc>
        <w:tc>
          <w:tcPr>
            <w:tcW w:w="1119"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24BE7A99" w14:textId="77777777" w:rsidR="0081565C" w:rsidRDefault="0081565C">
            <w:pPr>
              <w:rPr>
                <w:rFonts w:ascii="Calibri" w:eastAsia="Calibri" w:hAnsi="Calibri" w:cs="Calibri"/>
                <w:sz w:val="22"/>
                <w:szCs w:val="22"/>
              </w:rPr>
            </w:pPr>
          </w:p>
        </w:tc>
        <w:tc>
          <w:tcPr>
            <w:tcW w:w="127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24BE7A9A" w14:textId="77777777" w:rsidR="0081565C" w:rsidRDefault="0081565C">
            <w:pPr>
              <w:rPr>
                <w:rFonts w:ascii="Calibri" w:eastAsia="Calibri" w:hAnsi="Calibri" w:cs="Calibri"/>
                <w:sz w:val="22"/>
                <w:szCs w:val="22"/>
              </w:rPr>
            </w:pPr>
          </w:p>
        </w:tc>
        <w:tc>
          <w:tcPr>
            <w:tcW w:w="1119"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24BE7A9B" w14:textId="77777777" w:rsidR="0081565C" w:rsidRDefault="0081565C">
            <w:pPr>
              <w:rPr>
                <w:rFonts w:ascii="Calibri" w:eastAsia="Calibri" w:hAnsi="Calibri" w:cs="Calibri"/>
                <w:sz w:val="22"/>
                <w:szCs w:val="22"/>
              </w:rPr>
            </w:pPr>
          </w:p>
        </w:tc>
      </w:tr>
      <w:tr w:rsidR="0081565C" w14:paraId="24BE7A9E" w14:textId="77777777">
        <w:trPr>
          <w:trHeight w:val="315"/>
        </w:trPr>
        <w:tc>
          <w:tcPr>
            <w:tcW w:w="9355" w:type="dxa"/>
            <w:gridSpan w:val="7"/>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center"/>
          </w:tcPr>
          <w:p w14:paraId="24BE7A9D" w14:textId="77777777" w:rsidR="0081565C" w:rsidRDefault="00C45D4B">
            <w:pPr>
              <w:jc w:val="center"/>
              <w:rPr>
                <w:rFonts w:ascii="Calibri" w:eastAsia="Calibri" w:hAnsi="Calibri" w:cs="Calibri"/>
                <w:sz w:val="22"/>
                <w:szCs w:val="22"/>
              </w:rPr>
            </w:pPr>
            <w:r>
              <w:rPr>
                <w:b/>
                <w:bCs/>
              </w:rPr>
              <w:lastRenderedPageBreak/>
              <w:t xml:space="preserve">Gearing </w:t>
            </w:r>
            <w:proofErr w:type="gramStart"/>
            <w:r>
              <w:rPr>
                <w:b/>
                <w:bCs/>
              </w:rPr>
              <w:t>Ratios:-</w:t>
            </w:r>
            <w:proofErr w:type="gramEnd"/>
          </w:p>
        </w:tc>
      </w:tr>
      <w:tr w:rsidR="0081565C" w14:paraId="24BE7AA6"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4BE7A9F" w14:textId="77777777" w:rsidR="0081565C" w:rsidRDefault="00C45D4B">
            <w:pPr>
              <w:jc w:val="center"/>
              <w:rPr>
                <w:rFonts w:ascii="Calibri" w:eastAsia="Calibri" w:hAnsi="Calibri" w:cs="Calibri"/>
                <w:sz w:val="22"/>
                <w:szCs w:val="22"/>
              </w:rPr>
            </w:pPr>
            <w:r>
              <w:rPr>
                <w:b/>
                <w:bCs/>
              </w:rPr>
              <w:t>Particulars</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4BE7AA0" w14:textId="77777777" w:rsidR="0081565C" w:rsidRDefault="00C45D4B">
            <w:pPr>
              <w:jc w:val="center"/>
              <w:rPr>
                <w:rFonts w:ascii="Calibri" w:eastAsia="Calibri" w:hAnsi="Calibri" w:cs="Calibri"/>
                <w:sz w:val="22"/>
                <w:szCs w:val="22"/>
              </w:rPr>
            </w:pPr>
            <w:r>
              <w:rPr>
                <w:b/>
                <w:bCs/>
              </w:rPr>
              <w:t>Details</w:t>
            </w:r>
          </w:p>
        </w:tc>
        <w:tc>
          <w:tcPr>
            <w:tcW w:w="1119" w:type="dxa"/>
            <w:tcBorders>
              <w:top w:val="single" w:sz="6" w:space="0" w:color="CCCCCC"/>
              <w:left w:val="single" w:sz="6" w:space="0" w:color="CCCCCC"/>
              <w:bottom w:val="single" w:sz="6" w:space="0" w:color="000000"/>
              <w:right w:val="single" w:sz="6" w:space="0" w:color="000000"/>
            </w:tcBorders>
            <w:shd w:val="clear" w:color="auto" w:fill="E7F4ED"/>
            <w:tcMar>
              <w:top w:w="0" w:type="dxa"/>
              <w:left w:w="40" w:type="dxa"/>
              <w:bottom w:w="0" w:type="dxa"/>
              <w:right w:w="40" w:type="dxa"/>
            </w:tcMar>
            <w:vAlign w:val="center"/>
          </w:tcPr>
          <w:p w14:paraId="24BE7AA1" w14:textId="77777777" w:rsidR="0081565C" w:rsidRDefault="00C45D4B">
            <w:pPr>
              <w:jc w:val="center"/>
              <w:rPr>
                <w:rFonts w:ascii="Calibri" w:eastAsia="Calibri" w:hAnsi="Calibri" w:cs="Calibri"/>
                <w:sz w:val="22"/>
                <w:szCs w:val="22"/>
              </w:rPr>
            </w:pPr>
            <w:r>
              <w:rPr>
                <w:b/>
                <w:bCs/>
              </w:rPr>
              <w:t>2021</w:t>
            </w:r>
          </w:p>
        </w:tc>
        <w:tc>
          <w:tcPr>
            <w:tcW w:w="1119" w:type="dxa"/>
            <w:tcBorders>
              <w:top w:val="single" w:sz="6" w:space="0" w:color="CCCCCC"/>
              <w:left w:val="single" w:sz="6" w:space="0" w:color="CCCCCC"/>
              <w:bottom w:val="single" w:sz="6" w:space="0" w:color="000000"/>
              <w:right w:val="single" w:sz="6" w:space="0" w:color="000000"/>
            </w:tcBorders>
            <w:shd w:val="clear" w:color="auto" w:fill="E7F4ED"/>
            <w:tcMar>
              <w:top w:w="0" w:type="dxa"/>
              <w:left w:w="40" w:type="dxa"/>
              <w:bottom w:w="0" w:type="dxa"/>
              <w:right w:w="40" w:type="dxa"/>
            </w:tcMar>
            <w:vAlign w:val="center"/>
          </w:tcPr>
          <w:p w14:paraId="24BE7AA2" w14:textId="77777777" w:rsidR="0081565C" w:rsidRDefault="00C45D4B">
            <w:pPr>
              <w:jc w:val="center"/>
              <w:rPr>
                <w:rFonts w:ascii="Calibri" w:eastAsia="Calibri" w:hAnsi="Calibri" w:cs="Calibri"/>
                <w:sz w:val="22"/>
                <w:szCs w:val="22"/>
              </w:rPr>
            </w:pPr>
            <w:r>
              <w:rPr>
                <w:b/>
                <w:bCs/>
              </w:rPr>
              <w:t>2022</w:t>
            </w:r>
          </w:p>
        </w:tc>
        <w:tc>
          <w:tcPr>
            <w:tcW w:w="1119" w:type="dxa"/>
            <w:tcBorders>
              <w:top w:val="single" w:sz="6" w:space="0" w:color="CCCCCC"/>
              <w:left w:val="single" w:sz="6" w:space="0" w:color="CCCCCC"/>
              <w:bottom w:val="single" w:sz="6" w:space="0" w:color="000000"/>
              <w:right w:val="single" w:sz="6" w:space="0" w:color="000000"/>
            </w:tcBorders>
            <w:shd w:val="clear" w:color="auto" w:fill="E7F4ED"/>
            <w:tcMar>
              <w:top w:w="0" w:type="dxa"/>
              <w:left w:w="40" w:type="dxa"/>
              <w:bottom w:w="0" w:type="dxa"/>
              <w:right w:w="40" w:type="dxa"/>
            </w:tcMar>
            <w:vAlign w:val="center"/>
          </w:tcPr>
          <w:p w14:paraId="24BE7AA3" w14:textId="77777777" w:rsidR="0081565C" w:rsidRDefault="00C45D4B">
            <w:pPr>
              <w:jc w:val="center"/>
              <w:rPr>
                <w:rFonts w:ascii="Calibri" w:eastAsia="Calibri" w:hAnsi="Calibri" w:cs="Calibri"/>
                <w:sz w:val="22"/>
                <w:szCs w:val="22"/>
              </w:rPr>
            </w:pPr>
            <w:r>
              <w:rPr>
                <w:b/>
                <w:bCs/>
              </w:rPr>
              <w:t>2023</w:t>
            </w:r>
          </w:p>
        </w:tc>
        <w:tc>
          <w:tcPr>
            <w:tcW w:w="1270" w:type="dxa"/>
            <w:tcBorders>
              <w:top w:val="single" w:sz="6" w:space="0" w:color="CCCCCC"/>
              <w:left w:val="single" w:sz="6" w:space="0" w:color="CCCCCC"/>
              <w:bottom w:val="single" w:sz="6" w:space="0" w:color="000000"/>
              <w:right w:val="single" w:sz="6" w:space="0" w:color="000000"/>
            </w:tcBorders>
            <w:shd w:val="clear" w:color="auto" w:fill="E7F4ED"/>
            <w:tcMar>
              <w:top w:w="0" w:type="dxa"/>
              <w:left w:w="40" w:type="dxa"/>
              <w:bottom w:w="0" w:type="dxa"/>
              <w:right w:w="40" w:type="dxa"/>
            </w:tcMar>
            <w:vAlign w:val="center"/>
          </w:tcPr>
          <w:p w14:paraId="24BE7AA4" w14:textId="77777777" w:rsidR="0081565C" w:rsidRDefault="00C45D4B">
            <w:pPr>
              <w:jc w:val="center"/>
              <w:rPr>
                <w:rFonts w:ascii="Calibri" w:eastAsia="Calibri" w:hAnsi="Calibri" w:cs="Calibri"/>
                <w:sz w:val="22"/>
                <w:szCs w:val="22"/>
              </w:rPr>
            </w:pPr>
            <w:r>
              <w:rPr>
                <w:b/>
                <w:bCs/>
              </w:rPr>
              <w:t>2024</w:t>
            </w:r>
          </w:p>
        </w:tc>
        <w:tc>
          <w:tcPr>
            <w:tcW w:w="1119" w:type="dxa"/>
            <w:tcBorders>
              <w:top w:val="single" w:sz="6" w:space="0" w:color="CCCCCC"/>
              <w:left w:val="single" w:sz="6" w:space="0" w:color="CCCCCC"/>
              <w:bottom w:val="single" w:sz="6" w:space="0" w:color="000000"/>
              <w:right w:val="single" w:sz="6" w:space="0" w:color="000000"/>
            </w:tcBorders>
            <w:shd w:val="clear" w:color="auto" w:fill="E7F4ED"/>
            <w:tcMar>
              <w:top w:w="0" w:type="dxa"/>
              <w:left w:w="40" w:type="dxa"/>
              <w:bottom w:w="0" w:type="dxa"/>
              <w:right w:w="40" w:type="dxa"/>
            </w:tcMar>
            <w:vAlign w:val="center"/>
          </w:tcPr>
          <w:p w14:paraId="24BE7AA5" w14:textId="77777777" w:rsidR="0081565C" w:rsidRDefault="00C45D4B">
            <w:pPr>
              <w:jc w:val="center"/>
              <w:rPr>
                <w:rFonts w:ascii="Calibri" w:eastAsia="Calibri" w:hAnsi="Calibri" w:cs="Calibri"/>
                <w:sz w:val="22"/>
                <w:szCs w:val="22"/>
              </w:rPr>
            </w:pPr>
            <w:r>
              <w:rPr>
                <w:b/>
                <w:bCs/>
              </w:rPr>
              <w:t>2025</w:t>
            </w:r>
          </w:p>
        </w:tc>
      </w:tr>
      <w:tr w:rsidR="0081565C" w14:paraId="24BE7AAE"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4BE7AA7" w14:textId="77777777" w:rsidR="0081565C" w:rsidRDefault="00C45D4B">
            <w:pPr>
              <w:jc w:val="center"/>
              <w:rPr>
                <w:rFonts w:ascii="Calibri" w:eastAsia="Calibri" w:hAnsi="Calibri" w:cs="Calibri"/>
                <w:sz w:val="22"/>
                <w:szCs w:val="22"/>
              </w:rPr>
            </w:pPr>
            <w:r>
              <w:t>Total Liabilities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4BE7AA8" w14:textId="77777777" w:rsidR="0081565C" w:rsidRDefault="00C45D4B">
            <w:pPr>
              <w:jc w:val="center"/>
              <w:rPr>
                <w:rFonts w:ascii="Calibri" w:eastAsia="Calibri" w:hAnsi="Calibri" w:cs="Calibri"/>
                <w:sz w:val="22"/>
                <w:szCs w:val="22"/>
              </w:rPr>
            </w:pPr>
            <w:r>
              <w:t>A</w:t>
            </w:r>
          </w:p>
        </w:tc>
        <w:tc>
          <w:tcPr>
            <w:tcW w:w="1119" w:type="dxa"/>
            <w:tcBorders>
              <w:top w:val="single" w:sz="6" w:space="0" w:color="CCCCCC"/>
              <w:left w:val="single" w:sz="6" w:space="0" w:color="CCCCCC"/>
              <w:bottom w:val="single" w:sz="6" w:space="0" w:color="000000"/>
              <w:right w:val="single" w:sz="6" w:space="0" w:color="000000"/>
            </w:tcBorders>
            <w:shd w:val="clear" w:color="auto" w:fill="92D1A4"/>
            <w:tcMar>
              <w:top w:w="0" w:type="dxa"/>
              <w:left w:w="40" w:type="dxa"/>
              <w:bottom w:w="0" w:type="dxa"/>
              <w:right w:w="40" w:type="dxa"/>
            </w:tcMar>
            <w:vAlign w:val="center"/>
          </w:tcPr>
          <w:p w14:paraId="24BE7AA9" w14:textId="77777777" w:rsidR="0081565C" w:rsidRDefault="00C45D4B">
            <w:pPr>
              <w:jc w:val="center"/>
              <w:rPr>
                <w:rFonts w:ascii="Calibri" w:eastAsia="Calibri" w:hAnsi="Calibri" w:cs="Calibri"/>
                <w:sz w:val="22"/>
                <w:szCs w:val="22"/>
              </w:rPr>
            </w:pPr>
            <w:r>
              <w:t>4,964.50</w:t>
            </w:r>
          </w:p>
        </w:tc>
        <w:tc>
          <w:tcPr>
            <w:tcW w:w="1119" w:type="dxa"/>
            <w:tcBorders>
              <w:top w:val="single" w:sz="6" w:space="0" w:color="CCCCCC"/>
              <w:left w:val="single" w:sz="6" w:space="0" w:color="CCCCCC"/>
              <w:bottom w:val="single" w:sz="6" w:space="0" w:color="000000"/>
              <w:right w:val="single" w:sz="6" w:space="0" w:color="000000"/>
            </w:tcBorders>
            <w:shd w:val="clear" w:color="auto" w:fill="84CC98"/>
            <w:tcMar>
              <w:top w:w="0" w:type="dxa"/>
              <w:left w:w="40" w:type="dxa"/>
              <w:bottom w:w="0" w:type="dxa"/>
              <w:right w:w="40" w:type="dxa"/>
            </w:tcMar>
            <w:vAlign w:val="center"/>
          </w:tcPr>
          <w:p w14:paraId="24BE7AAA" w14:textId="77777777" w:rsidR="0081565C" w:rsidRDefault="00C45D4B">
            <w:pPr>
              <w:jc w:val="center"/>
              <w:rPr>
                <w:rFonts w:ascii="Calibri" w:eastAsia="Calibri" w:hAnsi="Calibri" w:cs="Calibri"/>
                <w:sz w:val="22"/>
                <w:szCs w:val="22"/>
              </w:rPr>
            </w:pPr>
            <w:r>
              <w:t>5,447.50</w:t>
            </w:r>
          </w:p>
        </w:tc>
        <w:tc>
          <w:tcPr>
            <w:tcW w:w="1119" w:type="dxa"/>
            <w:tcBorders>
              <w:top w:val="single" w:sz="6" w:space="0" w:color="CCCCCC"/>
              <w:left w:val="single" w:sz="6" w:space="0" w:color="CCCCCC"/>
              <w:bottom w:val="single" w:sz="6" w:space="0" w:color="000000"/>
              <w:right w:val="single" w:sz="6" w:space="0" w:color="000000"/>
            </w:tcBorders>
            <w:shd w:val="clear" w:color="auto" w:fill="79C78E"/>
            <w:tcMar>
              <w:top w:w="0" w:type="dxa"/>
              <w:left w:w="40" w:type="dxa"/>
              <w:bottom w:w="0" w:type="dxa"/>
              <w:right w:w="40" w:type="dxa"/>
            </w:tcMar>
            <w:vAlign w:val="center"/>
          </w:tcPr>
          <w:p w14:paraId="24BE7AAB" w14:textId="77777777" w:rsidR="0081565C" w:rsidRDefault="00C45D4B">
            <w:pPr>
              <w:jc w:val="center"/>
              <w:rPr>
                <w:rFonts w:ascii="Calibri" w:eastAsia="Calibri" w:hAnsi="Calibri" w:cs="Calibri"/>
                <w:sz w:val="22"/>
                <w:szCs w:val="22"/>
              </w:rPr>
            </w:pPr>
            <w:r>
              <w:t>5,831.40</w:t>
            </w:r>
          </w:p>
        </w:tc>
        <w:tc>
          <w:tcPr>
            <w:tcW w:w="1270" w:type="dxa"/>
            <w:tcBorders>
              <w:top w:val="single" w:sz="6" w:space="0" w:color="CCCCCC"/>
              <w:left w:val="single" w:sz="6" w:space="0" w:color="CCCCCC"/>
              <w:bottom w:val="single" w:sz="6" w:space="0" w:color="000000"/>
              <w:right w:val="single" w:sz="6" w:space="0" w:color="000000"/>
            </w:tcBorders>
            <w:shd w:val="clear" w:color="auto" w:fill="74C58A"/>
            <w:tcMar>
              <w:top w:w="0" w:type="dxa"/>
              <w:left w:w="40" w:type="dxa"/>
              <w:bottom w:w="0" w:type="dxa"/>
              <w:right w:w="40" w:type="dxa"/>
            </w:tcMar>
            <w:vAlign w:val="center"/>
          </w:tcPr>
          <w:p w14:paraId="24BE7AAC" w14:textId="77777777" w:rsidR="0081565C" w:rsidRDefault="00C45D4B">
            <w:pPr>
              <w:jc w:val="center"/>
              <w:rPr>
                <w:rFonts w:ascii="Calibri" w:eastAsia="Calibri" w:hAnsi="Calibri" w:cs="Calibri"/>
                <w:sz w:val="22"/>
                <w:szCs w:val="22"/>
              </w:rPr>
            </w:pPr>
            <w:r>
              <w:t>6,001.90</w:t>
            </w:r>
          </w:p>
        </w:tc>
        <w:tc>
          <w:tcPr>
            <w:tcW w:w="1119" w:type="dxa"/>
            <w:tcBorders>
              <w:top w:val="single" w:sz="6" w:space="0" w:color="CCCCCC"/>
              <w:left w:val="single" w:sz="6" w:space="0" w:color="CCCCCC"/>
              <w:bottom w:val="single" w:sz="6" w:space="0" w:color="000000"/>
              <w:right w:val="single" w:sz="6" w:space="0" w:color="000000"/>
            </w:tcBorders>
            <w:shd w:val="clear" w:color="auto" w:fill="63BE7B"/>
            <w:tcMar>
              <w:top w:w="0" w:type="dxa"/>
              <w:left w:w="40" w:type="dxa"/>
              <w:bottom w:w="0" w:type="dxa"/>
              <w:right w:w="40" w:type="dxa"/>
            </w:tcMar>
            <w:vAlign w:val="center"/>
          </w:tcPr>
          <w:p w14:paraId="24BE7AAD" w14:textId="77777777" w:rsidR="0081565C" w:rsidRDefault="00C45D4B">
            <w:pPr>
              <w:jc w:val="center"/>
              <w:rPr>
                <w:rFonts w:ascii="Calibri" w:eastAsia="Calibri" w:hAnsi="Calibri" w:cs="Calibri"/>
                <w:sz w:val="22"/>
                <w:szCs w:val="22"/>
              </w:rPr>
            </w:pPr>
            <w:r>
              <w:t>6,570.20</w:t>
            </w:r>
          </w:p>
        </w:tc>
      </w:tr>
      <w:tr w:rsidR="0081565C" w14:paraId="24BE7AB6"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4BE7AAF" w14:textId="77777777" w:rsidR="0081565C" w:rsidRDefault="00C45D4B">
            <w:pPr>
              <w:jc w:val="center"/>
              <w:rPr>
                <w:rFonts w:ascii="Calibri" w:eastAsia="Calibri" w:hAnsi="Calibri" w:cs="Calibri"/>
                <w:sz w:val="22"/>
                <w:szCs w:val="22"/>
              </w:rPr>
            </w:pPr>
            <w:r>
              <w:t>Total Equity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4BE7AB0" w14:textId="77777777" w:rsidR="0081565C" w:rsidRDefault="00C45D4B">
            <w:pPr>
              <w:jc w:val="center"/>
              <w:rPr>
                <w:rFonts w:ascii="Calibri" w:eastAsia="Calibri" w:hAnsi="Calibri" w:cs="Calibri"/>
                <w:sz w:val="22"/>
                <w:szCs w:val="22"/>
              </w:rPr>
            </w:pPr>
            <w:r>
              <w:t>B</w:t>
            </w:r>
          </w:p>
        </w:tc>
        <w:tc>
          <w:tcPr>
            <w:tcW w:w="1119" w:type="dxa"/>
            <w:tcBorders>
              <w:top w:val="single" w:sz="6" w:space="0" w:color="CCCCCC"/>
              <w:left w:val="single" w:sz="6" w:space="0" w:color="CCCCCC"/>
              <w:bottom w:val="single" w:sz="6" w:space="0" w:color="000000"/>
              <w:right w:val="single" w:sz="6" w:space="0" w:color="000000"/>
            </w:tcBorders>
            <w:shd w:val="clear" w:color="auto" w:fill="78C78D"/>
            <w:tcMar>
              <w:top w:w="0" w:type="dxa"/>
              <w:left w:w="40" w:type="dxa"/>
              <w:bottom w:w="0" w:type="dxa"/>
              <w:right w:w="40" w:type="dxa"/>
            </w:tcMar>
            <w:vAlign w:val="center"/>
          </w:tcPr>
          <w:p w14:paraId="24BE7AB1" w14:textId="77777777" w:rsidR="0081565C" w:rsidRDefault="00C45D4B">
            <w:pPr>
              <w:jc w:val="center"/>
              <w:rPr>
                <w:rFonts w:ascii="Calibri" w:eastAsia="Calibri" w:hAnsi="Calibri" w:cs="Calibri"/>
                <w:sz w:val="22"/>
                <w:szCs w:val="22"/>
              </w:rPr>
            </w:pPr>
            <w:r>
              <w:t>5,854.10</w:t>
            </w:r>
          </w:p>
        </w:tc>
        <w:tc>
          <w:tcPr>
            <w:tcW w:w="1119" w:type="dxa"/>
            <w:tcBorders>
              <w:top w:val="single" w:sz="6" w:space="0" w:color="CCCCCC"/>
              <w:left w:val="single" w:sz="6" w:space="0" w:color="CCCCCC"/>
              <w:bottom w:val="single" w:sz="6" w:space="0" w:color="000000"/>
              <w:right w:val="single" w:sz="6" w:space="0" w:color="000000"/>
            </w:tcBorders>
            <w:shd w:val="clear" w:color="auto" w:fill="AADBB9"/>
            <w:tcMar>
              <w:top w:w="0" w:type="dxa"/>
              <w:left w:w="40" w:type="dxa"/>
              <w:bottom w:w="0" w:type="dxa"/>
              <w:right w:w="40" w:type="dxa"/>
            </w:tcMar>
            <w:vAlign w:val="center"/>
          </w:tcPr>
          <w:p w14:paraId="24BE7AB2" w14:textId="77777777" w:rsidR="0081565C" w:rsidRDefault="00C45D4B">
            <w:pPr>
              <w:jc w:val="center"/>
              <w:rPr>
                <w:rFonts w:ascii="Calibri" w:eastAsia="Calibri" w:hAnsi="Calibri" w:cs="Calibri"/>
                <w:sz w:val="22"/>
                <w:szCs w:val="22"/>
              </w:rPr>
            </w:pPr>
            <w:r>
              <w:t>4,119.00</w:t>
            </w:r>
          </w:p>
        </w:tc>
        <w:tc>
          <w:tcPr>
            <w:tcW w:w="1119" w:type="dxa"/>
            <w:tcBorders>
              <w:top w:val="single" w:sz="6" w:space="0" w:color="CCCCCC"/>
              <w:left w:val="single" w:sz="6" w:space="0" w:color="CCCCCC"/>
              <w:bottom w:val="single" w:sz="6" w:space="0" w:color="000000"/>
              <w:right w:val="single" w:sz="6" w:space="0" w:color="000000"/>
            </w:tcBorders>
            <w:shd w:val="clear" w:color="auto" w:fill="ABDBB9"/>
            <w:tcMar>
              <w:top w:w="0" w:type="dxa"/>
              <w:left w:w="40" w:type="dxa"/>
              <w:bottom w:w="0" w:type="dxa"/>
              <w:right w:w="40" w:type="dxa"/>
            </w:tcMar>
            <w:vAlign w:val="center"/>
          </w:tcPr>
          <w:p w14:paraId="24BE7AB3" w14:textId="77777777" w:rsidR="0081565C" w:rsidRDefault="00C45D4B">
            <w:pPr>
              <w:jc w:val="center"/>
              <w:rPr>
                <w:rFonts w:ascii="Calibri" w:eastAsia="Calibri" w:hAnsi="Calibri" w:cs="Calibri"/>
                <w:sz w:val="22"/>
                <w:szCs w:val="22"/>
              </w:rPr>
            </w:pPr>
            <w:r>
              <w:t>4,111.40</w:t>
            </w:r>
          </w:p>
        </w:tc>
        <w:tc>
          <w:tcPr>
            <w:tcW w:w="1270" w:type="dxa"/>
            <w:tcBorders>
              <w:top w:val="single" w:sz="6" w:space="0" w:color="CCCCCC"/>
              <w:left w:val="single" w:sz="6" w:space="0" w:color="CCCCCC"/>
              <w:bottom w:val="single" w:sz="6" w:space="0" w:color="000000"/>
              <w:right w:val="single" w:sz="6" w:space="0" w:color="000000"/>
            </w:tcBorders>
            <w:shd w:val="clear" w:color="auto" w:fill="BCE2C8"/>
            <w:tcMar>
              <w:top w:w="0" w:type="dxa"/>
              <w:left w:w="40" w:type="dxa"/>
              <w:bottom w:w="0" w:type="dxa"/>
              <w:right w:w="40" w:type="dxa"/>
            </w:tcMar>
            <w:vAlign w:val="center"/>
          </w:tcPr>
          <w:p w14:paraId="24BE7AB4" w14:textId="77777777" w:rsidR="0081565C" w:rsidRDefault="00C45D4B">
            <w:pPr>
              <w:jc w:val="center"/>
              <w:rPr>
                <w:rFonts w:ascii="Calibri" w:eastAsia="Calibri" w:hAnsi="Calibri" w:cs="Calibri"/>
                <w:sz w:val="22"/>
                <w:szCs w:val="22"/>
              </w:rPr>
            </w:pPr>
            <w:r>
              <w:t>3,519.40</w:t>
            </w:r>
          </w:p>
        </w:tc>
        <w:tc>
          <w:tcPr>
            <w:tcW w:w="1119" w:type="dxa"/>
            <w:tcBorders>
              <w:top w:val="single" w:sz="6" w:space="0" w:color="CCCCCC"/>
              <w:left w:val="single" w:sz="6" w:space="0" w:color="CCCCCC"/>
              <w:bottom w:val="single" w:sz="6" w:space="0" w:color="000000"/>
              <w:right w:val="single" w:sz="6" w:space="0" w:color="000000"/>
            </w:tcBorders>
            <w:shd w:val="clear" w:color="auto" w:fill="C1E4CC"/>
            <w:tcMar>
              <w:top w:w="0" w:type="dxa"/>
              <w:left w:w="40" w:type="dxa"/>
              <w:bottom w:w="0" w:type="dxa"/>
              <w:right w:w="40" w:type="dxa"/>
            </w:tcMar>
            <w:vAlign w:val="center"/>
          </w:tcPr>
          <w:p w14:paraId="24BE7AB5" w14:textId="77777777" w:rsidR="0081565C" w:rsidRDefault="00C45D4B">
            <w:pPr>
              <w:jc w:val="center"/>
              <w:rPr>
                <w:rFonts w:ascii="Calibri" w:eastAsia="Calibri" w:hAnsi="Calibri" w:cs="Calibri"/>
                <w:sz w:val="22"/>
                <w:szCs w:val="22"/>
              </w:rPr>
            </w:pPr>
            <w:r>
              <w:t>3,334.50</w:t>
            </w:r>
          </w:p>
        </w:tc>
      </w:tr>
      <w:tr w:rsidR="0081565C" w14:paraId="24BE7ABE"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4BE7AB7" w14:textId="77777777" w:rsidR="0081565C" w:rsidRDefault="00C45D4B">
            <w:pPr>
              <w:jc w:val="center"/>
              <w:rPr>
                <w:rFonts w:ascii="Calibri" w:eastAsia="Calibri" w:hAnsi="Calibri" w:cs="Calibri"/>
                <w:sz w:val="22"/>
                <w:szCs w:val="22"/>
              </w:rPr>
            </w:pPr>
            <w:r>
              <w:t>Operating Profit/(Loss)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4BE7AB8" w14:textId="77777777" w:rsidR="0081565C" w:rsidRDefault="00C45D4B">
            <w:pPr>
              <w:jc w:val="center"/>
              <w:rPr>
                <w:rFonts w:ascii="Calibri" w:eastAsia="Calibri" w:hAnsi="Calibri" w:cs="Calibri"/>
                <w:sz w:val="22"/>
                <w:szCs w:val="22"/>
              </w:rPr>
            </w:pPr>
            <w:r>
              <w:t>C</w:t>
            </w:r>
          </w:p>
        </w:tc>
        <w:tc>
          <w:tcPr>
            <w:tcW w:w="1119" w:type="dxa"/>
            <w:tcBorders>
              <w:top w:val="single" w:sz="6" w:space="0" w:color="CCCCCC"/>
              <w:left w:val="single" w:sz="6" w:space="0" w:color="CCCCCC"/>
              <w:bottom w:val="single" w:sz="6" w:space="0" w:color="000000"/>
              <w:right w:val="single" w:sz="6" w:space="0" w:color="000000"/>
            </w:tcBorders>
            <w:shd w:val="clear" w:color="auto" w:fill="F8696B"/>
            <w:tcMar>
              <w:top w:w="0" w:type="dxa"/>
              <w:left w:w="40" w:type="dxa"/>
              <w:bottom w:w="0" w:type="dxa"/>
              <w:right w:w="40" w:type="dxa"/>
            </w:tcMar>
            <w:vAlign w:val="center"/>
          </w:tcPr>
          <w:p w14:paraId="24BE7AB9" w14:textId="77777777" w:rsidR="0081565C" w:rsidRDefault="00C45D4B">
            <w:pPr>
              <w:jc w:val="center"/>
              <w:rPr>
                <w:rFonts w:ascii="Calibri" w:eastAsia="Calibri" w:hAnsi="Calibri" w:cs="Calibri"/>
                <w:sz w:val="22"/>
                <w:szCs w:val="22"/>
              </w:rPr>
            </w:pPr>
            <w:r>
              <w:t>(839.10)</w:t>
            </w:r>
          </w:p>
        </w:tc>
        <w:tc>
          <w:tcPr>
            <w:tcW w:w="1119" w:type="dxa"/>
            <w:tcBorders>
              <w:top w:val="single" w:sz="6" w:space="0" w:color="CCCCCC"/>
              <w:left w:val="single" w:sz="6" w:space="0" w:color="CCCCCC"/>
              <w:bottom w:val="single" w:sz="6" w:space="0" w:color="000000"/>
              <w:right w:val="single" w:sz="6" w:space="0" w:color="000000"/>
            </w:tcBorders>
            <w:shd w:val="clear" w:color="auto" w:fill="FAB2B5"/>
            <w:tcMar>
              <w:top w:w="0" w:type="dxa"/>
              <w:left w:w="40" w:type="dxa"/>
              <w:bottom w:w="0" w:type="dxa"/>
              <w:right w:w="40" w:type="dxa"/>
            </w:tcMar>
            <w:vAlign w:val="center"/>
          </w:tcPr>
          <w:p w14:paraId="24BE7ABA" w14:textId="77777777" w:rsidR="0081565C" w:rsidRDefault="00C45D4B">
            <w:pPr>
              <w:jc w:val="center"/>
              <w:rPr>
                <w:rFonts w:ascii="Calibri" w:eastAsia="Calibri" w:hAnsi="Calibri" w:cs="Calibri"/>
                <w:sz w:val="22"/>
                <w:szCs w:val="22"/>
              </w:rPr>
            </w:pPr>
            <w:r>
              <w:t>227.30</w:t>
            </w:r>
          </w:p>
        </w:tc>
        <w:tc>
          <w:tcPr>
            <w:tcW w:w="1119" w:type="dxa"/>
            <w:tcBorders>
              <w:top w:val="single" w:sz="6" w:space="0" w:color="CCCCCC"/>
              <w:left w:val="single" w:sz="6" w:space="0" w:color="CCCCCC"/>
              <w:bottom w:val="single" w:sz="6" w:space="0" w:color="000000"/>
              <w:right w:val="single" w:sz="6" w:space="0" w:color="000000"/>
            </w:tcBorders>
            <w:shd w:val="clear" w:color="auto" w:fill="FAC5C8"/>
            <w:tcMar>
              <w:top w:w="0" w:type="dxa"/>
              <w:left w:w="40" w:type="dxa"/>
              <w:bottom w:w="0" w:type="dxa"/>
              <w:right w:w="40" w:type="dxa"/>
            </w:tcMar>
            <w:vAlign w:val="center"/>
          </w:tcPr>
          <w:p w14:paraId="24BE7ABB" w14:textId="77777777" w:rsidR="0081565C" w:rsidRDefault="00C45D4B">
            <w:pPr>
              <w:jc w:val="center"/>
              <w:rPr>
                <w:rFonts w:ascii="Calibri" w:eastAsia="Calibri" w:hAnsi="Calibri" w:cs="Calibri"/>
                <w:sz w:val="22"/>
                <w:szCs w:val="22"/>
              </w:rPr>
            </w:pPr>
            <w:r>
              <w:t>502.70</w:t>
            </w:r>
          </w:p>
        </w:tc>
        <w:tc>
          <w:tcPr>
            <w:tcW w:w="1270" w:type="dxa"/>
            <w:tcBorders>
              <w:top w:val="single" w:sz="6" w:space="0" w:color="CCCCCC"/>
              <w:left w:val="single" w:sz="6" w:space="0" w:color="CCCCCC"/>
              <w:bottom w:val="single" w:sz="6" w:space="0" w:color="000000"/>
              <w:right w:val="single" w:sz="6" w:space="0" w:color="000000"/>
            </w:tcBorders>
            <w:shd w:val="clear" w:color="auto" w:fill="FAC9CB"/>
            <w:tcMar>
              <w:top w:w="0" w:type="dxa"/>
              <w:left w:w="40" w:type="dxa"/>
              <w:bottom w:w="0" w:type="dxa"/>
              <w:right w:w="40" w:type="dxa"/>
            </w:tcMar>
            <w:vAlign w:val="center"/>
          </w:tcPr>
          <w:p w14:paraId="24BE7ABC" w14:textId="77777777" w:rsidR="0081565C" w:rsidRDefault="00C45D4B">
            <w:pPr>
              <w:jc w:val="center"/>
              <w:rPr>
                <w:rFonts w:ascii="Calibri" w:eastAsia="Calibri" w:hAnsi="Calibri" w:cs="Calibri"/>
                <w:sz w:val="22"/>
                <w:szCs w:val="22"/>
              </w:rPr>
            </w:pPr>
            <w:r>
              <w:t>551.80</w:t>
            </w:r>
          </w:p>
        </w:tc>
        <w:tc>
          <w:tcPr>
            <w:tcW w:w="1119" w:type="dxa"/>
            <w:tcBorders>
              <w:top w:val="single" w:sz="6" w:space="0" w:color="CCCCCC"/>
              <w:left w:val="single" w:sz="6" w:space="0" w:color="CCCCCC"/>
              <w:bottom w:val="single" w:sz="6" w:space="0" w:color="000000"/>
              <w:right w:val="single" w:sz="6" w:space="0" w:color="000000"/>
            </w:tcBorders>
            <w:shd w:val="clear" w:color="auto" w:fill="FAC6C8"/>
            <w:tcMar>
              <w:top w:w="0" w:type="dxa"/>
              <w:left w:w="40" w:type="dxa"/>
              <w:bottom w:w="0" w:type="dxa"/>
              <w:right w:w="40" w:type="dxa"/>
            </w:tcMar>
            <w:vAlign w:val="center"/>
          </w:tcPr>
          <w:p w14:paraId="24BE7ABD" w14:textId="77777777" w:rsidR="0081565C" w:rsidRDefault="00C45D4B">
            <w:pPr>
              <w:jc w:val="center"/>
              <w:rPr>
                <w:rFonts w:ascii="Calibri" w:eastAsia="Calibri" w:hAnsi="Calibri" w:cs="Calibri"/>
                <w:sz w:val="22"/>
                <w:szCs w:val="22"/>
              </w:rPr>
            </w:pPr>
            <w:r>
              <w:t>509.30</w:t>
            </w:r>
          </w:p>
        </w:tc>
      </w:tr>
      <w:tr w:rsidR="0081565C" w14:paraId="24BE7AC6"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4BE7ABF" w14:textId="77777777" w:rsidR="0081565C" w:rsidRDefault="00C45D4B">
            <w:pPr>
              <w:jc w:val="center"/>
              <w:rPr>
                <w:rFonts w:ascii="Calibri" w:eastAsia="Calibri" w:hAnsi="Calibri" w:cs="Calibri"/>
                <w:sz w:val="22"/>
                <w:szCs w:val="22"/>
              </w:rPr>
            </w:pPr>
            <w:r>
              <w:t>Interest Expense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4BE7AC0" w14:textId="77777777" w:rsidR="0081565C" w:rsidRDefault="00C45D4B">
            <w:pPr>
              <w:jc w:val="center"/>
              <w:rPr>
                <w:rFonts w:ascii="Calibri" w:eastAsia="Calibri" w:hAnsi="Calibri" w:cs="Calibri"/>
                <w:sz w:val="22"/>
                <w:szCs w:val="22"/>
              </w:rPr>
            </w:pPr>
            <w:r>
              <w:t>D</w:t>
            </w:r>
          </w:p>
        </w:tc>
        <w:tc>
          <w:tcPr>
            <w:tcW w:w="1119" w:type="dxa"/>
            <w:tcBorders>
              <w:top w:val="single" w:sz="6" w:space="0" w:color="CCCCCC"/>
              <w:left w:val="single" w:sz="6" w:space="0" w:color="CCCCCC"/>
              <w:bottom w:val="single" w:sz="6" w:space="0" w:color="000000"/>
              <w:right w:val="single" w:sz="6" w:space="0" w:color="000000"/>
            </w:tcBorders>
            <w:shd w:val="clear" w:color="auto" w:fill="F9ABAE"/>
            <w:tcMar>
              <w:top w:w="0" w:type="dxa"/>
              <w:left w:w="40" w:type="dxa"/>
              <w:bottom w:w="0" w:type="dxa"/>
              <w:right w:w="40" w:type="dxa"/>
            </w:tcMar>
            <w:vAlign w:val="center"/>
          </w:tcPr>
          <w:p w14:paraId="24BE7AC1" w14:textId="77777777" w:rsidR="0081565C" w:rsidRDefault="00C45D4B">
            <w:pPr>
              <w:jc w:val="center"/>
              <w:rPr>
                <w:rFonts w:ascii="Calibri" w:eastAsia="Calibri" w:hAnsi="Calibri" w:cs="Calibri"/>
                <w:sz w:val="22"/>
                <w:szCs w:val="22"/>
              </w:rPr>
            </w:pPr>
            <w:r>
              <w:t>123.20</w:t>
            </w:r>
          </w:p>
        </w:tc>
        <w:tc>
          <w:tcPr>
            <w:tcW w:w="1119" w:type="dxa"/>
            <w:tcBorders>
              <w:top w:val="single" w:sz="6" w:space="0" w:color="CCCCCC"/>
              <w:left w:val="single" w:sz="6" w:space="0" w:color="CCCCCC"/>
              <w:bottom w:val="single" w:sz="6" w:space="0" w:color="000000"/>
              <w:right w:val="single" w:sz="6" w:space="0" w:color="000000"/>
            </w:tcBorders>
            <w:shd w:val="clear" w:color="auto" w:fill="F9ACAE"/>
            <w:tcMar>
              <w:top w:w="0" w:type="dxa"/>
              <w:left w:w="40" w:type="dxa"/>
              <w:bottom w:w="0" w:type="dxa"/>
              <w:right w:w="40" w:type="dxa"/>
            </w:tcMar>
            <w:vAlign w:val="center"/>
          </w:tcPr>
          <w:p w14:paraId="24BE7AC2" w14:textId="77777777" w:rsidR="0081565C" w:rsidRDefault="00C45D4B">
            <w:pPr>
              <w:jc w:val="center"/>
              <w:rPr>
                <w:rFonts w:ascii="Calibri" w:eastAsia="Calibri" w:hAnsi="Calibri" w:cs="Calibri"/>
                <w:sz w:val="22"/>
                <w:szCs w:val="22"/>
              </w:rPr>
            </w:pPr>
            <w:r>
              <w:t>133.20</w:t>
            </w:r>
          </w:p>
        </w:tc>
        <w:tc>
          <w:tcPr>
            <w:tcW w:w="1119" w:type="dxa"/>
            <w:tcBorders>
              <w:top w:val="single" w:sz="6" w:space="0" w:color="CCCCCC"/>
              <w:left w:val="single" w:sz="6" w:space="0" w:color="CCCCCC"/>
              <w:bottom w:val="single" w:sz="6" w:space="0" w:color="000000"/>
              <w:right w:val="single" w:sz="6" w:space="0" w:color="000000"/>
            </w:tcBorders>
            <w:shd w:val="clear" w:color="auto" w:fill="F9ACAF"/>
            <w:tcMar>
              <w:top w:w="0" w:type="dxa"/>
              <w:left w:w="40" w:type="dxa"/>
              <w:bottom w:w="0" w:type="dxa"/>
              <w:right w:w="40" w:type="dxa"/>
            </w:tcMar>
            <w:vAlign w:val="center"/>
          </w:tcPr>
          <w:p w14:paraId="24BE7AC3" w14:textId="77777777" w:rsidR="0081565C" w:rsidRDefault="00C45D4B">
            <w:pPr>
              <w:jc w:val="center"/>
              <w:rPr>
                <w:rFonts w:ascii="Calibri" w:eastAsia="Calibri" w:hAnsi="Calibri" w:cs="Calibri"/>
                <w:sz w:val="22"/>
                <w:szCs w:val="22"/>
              </w:rPr>
            </w:pPr>
            <w:r>
              <w:t>138.70</w:t>
            </w:r>
          </w:p>
        </w:tc>
        <w:tc>
          <w:tcPr>
            <w:tcW w:w="1270" w:type="dxa"/>
            <w:tcBorders>
              <w:top w:val="single" w:sz="6" w:space="0" w:color="CCCCCC"/>
              <w:left w:val="single" w:sz="6" w:space="0" w:color="CCCCCC"/>
              <w:bottom w:val="single" w:sz="6" w:space="0" w:color="000000"/>
              <w:right w:val="single" w:sz="6" w:space="0" w:color="000000"/>
            </w:tcBorders>
            <w:shd w:val="clear" w:color="auto" w:fill="F9ADB0"/>
            <w:tcMar>
              <w:top w:w="0" w:type="dxa"/>
              <w:left w:w="40" w:type="dxa"/>
              <w:bottom w:w="0" w:type="dxa"/>
              <w:right w:w="40" w:type="dxa"/>
            </w:tcMar>
            <w:vAlign w:val="center"/>
          </w:tcPr>
          <w:p w14:paraId="24BE7AC4" w14:textId="77777777" w:rsidR="0081565C" w:rsidRDefault="00C45D4B">
            <w:pPr>
              <w:jc w:val="center"/>
              <w:rPr>
                <w:rFonts w:ascii="Calibri" w:eastAsia="Calibri" w:hAnsi="Calibri" w:cs="Calibri"/>
                <w:sz w:val="22"/>
                <w:szCs w:val="22"/>
              </w:rPr>
            </w:pPr>
            <w:r>
              <w:t>154.90</w:t>
            </w:r>
          </w:p>
        </w:tc>
        <w:tc>
          <w:tcPr>
            <w:tcW w:w="1119" w:type="dxa"/>
            <w:tcBorders>
              <w:top w:val="single" w:sz="6" w:space="0" w:color="CCCCCC"/>
              <w:left w:val="single" w:sz="6" w:space="0" w:color="CCCCCC"/>
              <w:bottom w:val="single" w:sz="6" w:space="0" w:color="000000"/>
              <w:right w:val="single" w:sz="6" w:space="0" w:color="000000"/>
            </w:tcBorders>
            <w:shd w:val="clear" w:color="auto" w:fill="F9AEB1"/>
            <w:tcMar>
              <w:top w:w="0" w:type="dxa"/>
              <w:left w:w="40" w:type="dxa"/>
              <w:bottom w:w="0" w:type="dxa"/>
              <w:right w:w="40" w:type="dxa"/>
            </w:tcMar>
            <w:vAlign w:val="center"/>
          </w:tcPr>
          <w:p w14:paraId="24BE7AC5" w14:textId="77777777" w:rsidR="0081565C" w:rsidRDefault="00C45D4B">
            <w:pPr>
              <w:jc w:val="center"/>
              <w:rPr>
                <w:rFonts w:ascii="Calibri" w:eastAsia="Calibri" w:hAnsi="Calibri" w:cs="Calibri"/>
                <w:sz w:val="22"/>
                <w:szCs w:val="22"/>
              </w:rPr>
            </w:pPr>
            <w:r>
              <w:t>166.70</w:t>
            </w:r>
          </w:p>
        </w:tc>
      </w:tr>
      <w:tr w:rsidR="0081565C" w14:paraId="24BE7ACE"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4BE7AC7" w14:textId="77777777" w:rsidR="0081565C" w:rsidRDefault="00C45D4B">
            <w:pPr>
              <w:jc w:val="center"/>
              <w:rPr>
                <w:rFonts w:ascii="Calibri" w:eastAsia="Calibri" w:hAnsi="Calibri" w:cs="Calibri"/>
                <w:sz w:val="22"/>
                <w:szCs w:val="22"/>
              </w:rPr>
            </w:pPr>
            <w:r>
              <w:t>Shareholders capital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4BE7AC8" w14:textId="77777777" w:rsidR="0081565C" w:rsidRDefault="00C45D4B">
            <w:pPr>
              <w:jc w:val="center"/>
              <w:rPr>
                <w:rFonts w:ascii="Calibri" w:eastAsia="Calibri" w:hAnsi="Calibri" w:cs="Calibri"/>
                <w:sz w:val="22"/>
                <w:szCs w:val="22"/>
              </w:rPr>
            </w:pPr>
            <w:r>
              <w:t>E</w:t>
            </w:r>
          </w:p>
        </w:tc>
        <w:tc>
          <w:tcPr>
            <w:tcW w:w="1119" w:type="dxa"/>
            <w:tcBorders>
              <w:top w:val="single" w:sz="6" w:space="0" w:color="CCCCCC"/>
              <w:left w:val="single" w:sz="6" w:space="0" w:color="CCCCCC"/>
              <w:bottom w:val="single" w:sz="6" w:space="0" w:color="000000"/>
              <w:right w:val="single" w:sz="6" w:space="0" w:color="000000"/>
            </w:tcBorders>
            <w:shd w:val="clear" w:color="auto" w:fill="78C78D"/>
            <w:tcMar>
              <w:top w:w="0" w:type="dxa"/>
              <w:left w:w="40" w:type="dxa"/>
              <w:bottom w:w="0" w:type="dxa"/>
              <w:right w:w="40" w:type="dxa"/>
            </w:tcMar>
            <w:vAlign w:val="center"/>
          </w:tcPr>
          <w:p w14:paraId="24BE7AC9" w14:textId="77777777" w:rsidR="0081565C" w:rsidRDefault="00C45D4B">
            <w:pPr>
              <w:jc w:val="center"/>
              <w:rPr>
                <w:rFonts w:ascii="Calibri" w:eastAsia="Calibri" w:hAnsi="Calibri" w:cs="Calibri"/>
                <w:sz w:val="22"/>
                <w:szCs w:val="22"/>
              </w:rPr>
            </w:pPr>
            <w:r>
              <w:t>5,854.10</w:t>
            </w:r>
          </w:p>
        </w:tc>
        <w:tc>
          <w:tcPr>
            <w:tcW w:w="1119" w:type="dxa"/>
            <w:tcBorders>
              <w:top w:val="single" w:sz="6" w:space="0" w:color="CCCCCC"/>
              <w:left w:val="single" w:sz="6" w:space="0" w:color="CCCCCC"/>
              <w:bottom w:val="single" w:sz="6" w:space="0" w:color="000000"/>
              <w:right w:val="single" w:sz="6" w:space="0" w:color="000000"/>
            </w:tcBorders>
            <w:shd w:val="clear" w:color="auto" w:fill="AADBB9"/>
            <w:tcMar>
              <w:top w:w="0" w:type="dxa"/>
              <w:left w:w="40" w:type="dxa"/>
              <w:bottom w:w="0" w:type="dxa"/>
              <w:right w:w="40" w:type="dxa"/>
            </w:tcMar>
            <w:vAlign w:val="center"/>
          </w:tcPr>
          <w:p w14:paraId="24BE7ACA" w14:textId="77777777" w:rsidR="0081565C" w:rsidRDefault="00C45D4B">
            <w:pPr>
              <w:jc w:val="center"/>
              <w:rPr>
                <w:rFonts w:ascii="Calibri" w:eastAsia="Calibri" w:hAnsi="Calibri" w:cs="Calibri"/>
                <w:sz w:val="22"/>
                <w:szCs w:val="22"/>
              </w:rPr>
            </w:pPr>
            <w:r>
              <w:t>4,119.00</w:t>
            </w:r>
          </w:p>
        </w:tc>
        <w:tc>
          <w:tcPr>
            <w:tcW w:w="1119" w:type="dxa"/>
            <w:tcBorders>
              <w:top w:val="single" w:sz="6" w:space="0" w:color="CCCCCC"/>
              <w:left w:val="single" w:sz="6" w:space="0" w:color="CCCCCC"/>
              <w:bottom w:val="single" w:sz="6" w:space="0" w:color="000000"/>
              <w:right w:val="single" w:sz="6" w:space="0" w:color="000000"/>
            </w:tcBorders>
            <w:shd w:val="clear" w:color="auto" w:fill="ABDBB9"/>
            <w:tcMar>
              <w:top w:w="0" w:type="dxa"/>
              <w:left w:w="40" w:type="dxa"/>
              <w:bottom w:w="0" w:type="dxa"/>
              <w:right w:w="40" w:type="dxa"/>
            </w:tcMar>
            <w:vAlign w:val="center"/>
          </w:tcPr>
          <w:p w14:paraId="24BE7ACB" w14:textId="77777777" w:rsidR="0081565C" w:rsidRDefault="00C45D4B">
            <w:pPr>
              <w:jc w:val="center"/>
              <w:rPr>
                <w:rFonts w:ascii="Calibri" w:eastAsia="Calibri" w:hAnsi="Calibri" w:cs="Calibri"/>
                <w:sz w:val="22"/>
                <w:szCs w:val="22"/>
              </w:rPr>
            </w:pPr>
            <w:r>
              <w:t>4,111.40</w:t>
            </w:r>
          </w:p>
        </w:tc>
        <w:tc>
          <w:tcPr>
            <w:tcW w:w="1270" w:type="dxa"/>
            <w:tcBorders>
              <w:top w:val="single" w:sz="6" w:space="0" w:color="CCCCCC"/>
              <w:left w:val="single" w:sz="6" w:space="0" w:color="CCCCCC"/>
              <w:bottom w:val="single" w:sz="6" w:space="0" w:color="000000"/>
              <w:right w:val="single" w:sz="6" w:space="0" w:color="000000"/>
            </w:tcBorders>
            <w:shd w:val="clear" w:color="auto" w:fill="BCE2C8"/>
            <w:tcMar>
              <w:top w:w="0" w:type="dxa"/>
              <w:left w:w="40" w:type="dxa"/>
              <w:bottom w:w="0" w:type="dxa"/>
              <w:right w:w="40" w:type="dxa"/>
            </w:tcMar>
            <w:vAlign w:val="center"/>
          </w:tcPr>
          <w:p w14:paraId="24BE7ACC" w14:textId="77777777" w:rsidR="0081565C" w:rsidRDefault="00C45D4B">
            <w:pPr>
              <w:jc w:val="center"/>
              <w:rPr>
                <w:rFonts w:ascii="Calibri" w:eastAsia="Calibri" w:hAnsi="Calibri" w:cs="Calibri"/>
                <w:sz w:val="22"/>
                <w:szCs w:val="22"/>
              </w:rPr>
            </w:pPr>
            <w:r>
              <w:t>3,519.40</w:t>
            </w:r>
          </w:p>
        </w:tc>
        <w:tc>
          <w:tcPr>
            <w:tcW w:w="1119" w:type="dxa"/>
            <w:tcBorders>
              <w:top w:val="single" w:sz="6" w:space="0" w:color="CCCCCC"/>
              <w:left w:val="single" w:sz="6" w:space="0" w:color="CCCCCC"/>
              <w:bottom w:val="single" w:sz="6" w:space="0" w:color="000000"/>
              <w:right w:val="single" w:sz="6" w:space="0" w:color="000000"/>
            </w:tcBorders>
            <w:shd w:val="clear" w:color="auto" w:fill="C1E4CC"/>
            <w:tcMar>
              <w:top w:w="0" w:type="dxa"/>
              <w:left w:w="40" w:type="dxa"/>
              <w:bottom w:w="0" w:type="dxa"/>
              <w:right w:w="40" w:type="dxa"/>
            </w:tcMar>
            <w:vAlign w:val="center"/>
          </w:tcPr>
          <w:p w14:paraId="24BE7ACD" w14:textId="77777777" w:rsidR="0081565C" w:rsidRDefault="00C45D4B">
            <w:pPr>
              <w:jc w:val="center"/>
              <w:rPr>
                <w:rFonts w:ascii="Calibri" w:eastAsia="Calibri" w:hAnsi="Calibri" w:cs="Calibri"/>
                <w:sz w:val="22"/>
                <w:szCs w:val="22"/>
              </w:rPr>
            </w:pPr>
            <w:r>
              <w:t>3,334.50</w:t>
            </w:r>
          </w:p>
        </w:tc>
      </w:tr>
      <w:tr w:rsidR="0081565C" w14:paraId="24BE7AD6"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4BE7ACF" w14:textId="77777777" w:rsidR="0081565C" w:rsidRDefault="00C45D4B">
            <w:pPr>
              <w:jc w:val="center"/>
              <w:rPr>
                <w:rFonts w:ascii="Calibri" w:eastAsia="Calibri" w:hAnsi="Calibri" w:cs="Calibri"/>
                <w:sz w:val="22"/>
                <w:szCs w:val="22"/>
              </w:rPr>
            </w:pPr>
            <w:r>
              <w:t>Total Debt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4BE7AD0" w14:textId="77777777" w:rsidR="0081565C" w:rsidRDefault="00C45D4B">
            <w:pPr>
              <w:jc w:val="center"/>
              <w:rPr>
                <w:rFonts w:ascii="Calibri" w:eastAsia="Calibri" w:hAnsi="Calibri" w:cs="Calibri"/>
                <w:sz w:val="22"/>
                <w:szCs w:val="22"/>
              </w:rPr>
            </w:pPr>
            <w:r>
              <w:t>F</w:t>
            </w:r>
          </w:p>
        </w:tc>
        <w:tc>
          <w:tcPr>
            <w:tcW w:w="1119" w:type="dxa"/>
            <w:tcBorders>
              <w:top w:val="single" w:sz="6" w:space="0" w:color="CCCCCC"/>
              <w:left w:val="single" w:sz="6" w:space="0" w:color="CCCCCC"/>
              <w:bottom w:val="single" w:sz="6" w:space="0" w:color="000000"/>
              <w:right w:val="single" w:sz="6" w:space="0" w:color="000000"/>
            </w:tcBorders>
            <w:shd w:val="clear" w:color="auto" w:fill="A8DAB7"/>
            <w:tcMar>
              <w:top w:w="0" w:type="dxa"/>
              <w:left w:w="40" w:type="dxa"/>
              <w:bottom w:w="0" w:type="dxa"/>
              <w:right w:w="40" w:type="dxa"/>
            </w:tcMar>
            <w:vAlign w:val="center"/>
          </w:tcPr>
          <w:p w14:paraId="24BE7AD1" w14:textId="77777777" w:rsidR="0081565C" w:rsidRDefault="00C45D4B">
            <w:pPr>
              <w:jc w:val="center"/>
              <w:rPr>
                <w:rFonts w:ascii="Calibri" w:eastAsia="Calibri" w:hAnsi="Calibri" w:cs="Calibri"/>
                <w:sz w:val="22"/>
                <w:szCs w:val="22"/>
              </w:rPr>
            </w:pPr>
            <w:r>
              <w:t>4,189.20</w:t>
            </w:r>
          </w:p>
        </w:tc>
        <w:tc>
          <w:tcPr>
            <w:tcW w:w="1119" w:type="dxa"/>
            <w:tcBorders>
              <w:top w:val="single" w:sz="6" w:space="0" w:color="CCCCCC"/>
              <w:left w:val="single" w:sz="6" w:space="0" w:color="CCCCCC"/>
              <w:bottom w:val="single" w:sz="6" w:space="0" w:color="000000"/>
              <w:right w:val="single" w:sz="6" w:space="0" w:color="000000"/>
            </w:tcBorders>
            <w:shd w:val="clear" w:color="auto" w:fill="99D4AA"/>
            <w:tcMar>
              <w:top w:w="0" w:type="dxa"/>
              <w:left w:w="40" w:type="dxa"/>
              <w:bottom w:w="0" w:type="dxa"/>
              <w:right w:w="40" w:type="dxa"/>
            </w:tcMar>
            <w:vAlign w:val="center"/>
          </w:tcPr>
          <w:p w14:paraId="24BE7AD2" w14:textId="77777777" w:rsidR="0081565C" w:rsidRDefault="00C45D4B">
            <w:pPr>
              <w:jc w:val="center"/>
              <w:rPr>
                <w:rFonts w:ascii="Calibri" w:eastAsia="Calibri" w:hAnsi="Calibri" w:cs="Calibri"/>
                <w:sz w:val="22"/>
                <w:szCs w:val="22"/>
              </w:rPr>
            </w:pPr>
            <w:r>
              <w:t>4,727.90</w:t>
            </w:r>
          </w:p>
        </w:tc>
        <w:tc>
          <w:tcPr>
            <w:tcW w:w="1119" w:type="dxa"/>
            <w:tcBorders>
              <w:top w:val="single" w:sz="6" w:space="0" w:color="CCCCCC"/>
              <w:left w:val="single" w:sz="6" w:space="0" w:color="CCCCCC"/>
              <w:bottom w:val="single" w:sz="6" w:space="0" w:color="000000"/>
              <w:right w:val="single" w:sz="6" w:space="0" w:color="000000"/>
            </w:tcBorders>
            <w:shd w:val="clear" w:color="auto" w:fill="91D1A3"/>
            <w:tcMar>
              <w:top w:w="0" w:type="dxa"/>
              <w:left w:w="40" w:type="dxa"/>
              <w:bottom w:w="0" w:type="dxa"/>
              <w:right w:w="40" w:type="dxa"/>
            </w:tcMar>
            <w:vAlign w:val="center"/>
          </w:tcPr>
          <w:p w14:paraId="24BE7AD3" w14:textId="77777777" w:rsidR="0081565C" w:rsidRDefault="00C45D4B">
            <w:pPr>
              <w:jc w:val="center"/>
              <w:rPr>
                <w:rFonts w:ascii="Calibri" w:eastAsia="Calibri" w:hAnsi="Calibri" w:cs="Calibri"/>
                <w:sz w:val="22"/>
                <w:szCs w:val="22"/>
              </w:rPr>
            </w:pPr>
            <w:r>
              <w:t>4,985.80</w:t>
            </w:r>
          </w:p>
        </w:tc>
        <w:tc>
          <w:tcPr>
            <w:tcW w:w="1270" w:type="dxa"/>
            <w:tcBorders>
              <w:top w:val="single" w:sz="6" w:space="0" w:color="CCCCCC"/>
              <w:left w:val="single" w:sz="6" w:space="0" w:color="CCCCCC"/>
              <w:bottom w:val="single" w:sz="6" w:space="0" w:color="000000"/>
              <w:right w:val="single" w:sz="6" w:space="0" w:color="000000"/>
            </w:tcBorders>
            <w:shd w:val="clear" w:color="auto" w:fill="8DCF9F"/>
            <w:tcMar>
              <w:top w:w="0" w:type="dxa"/>
              <w:left w:w="40" w:type="dxa"/>
              <w:bottom w:w="0" w:type="dxa"/>
              <w:right w:w="40" w:type="dxa"/>
            </w:tcMar>
            <w:vAlign w:val="center"/>
          </w:tcPr>
          <w:p w14:paraId="24BE7AD4" w14:textId="77777777" w:rsidR="0081565C" w:rsidRDefault="00C45D4B">
            <w:pPr>
              <w:jc w:val="center"/>
              <w:rPr>
                <w:rFonts w:ascii="Calibri" w:eastAsia="Calibri" w:hAnsi="Calibri" w:cs="Calibri"/>
                <w:sz w:val="22"/>
                <w:szCs w:val="22"/>
              </w:rPr>
            </w:pPr>
            <w:r>
              <w:t>5,131.50</w:t>
            </w:r>
          </w:p>
        </w:tc>
        <w:tc>
          <w:tcPr>
            <w:tcW w:w="1119" w:type="dxa"/>
            <w:tcBorders>
              <w:top w:val="single" w:sz="6" w:space="0" w:color="CCCCCC"/>
              <w:left w:val="single" w:sz="6" w:space="0" w:color="CCCCCC"/>
              <w:bottom w:val="single" w:sz="6" w:space="0" w:color="000000"/>
              <w:right w:val="single" w:sz="6" w:space="0" w:color="000000"/>
            </w:tcBorders>
            <w:shd w:val="clear" w:color="auto" w:fill="8ACE9C"/>
            <w:tcMar>
              <w:top w:w="0" w:type="dxa"/>
              <w:left w:w="40" w:type="dxa"/>
              <w:bottom w:w="0" w:type="dxa"/>
              <w:right w:w="40" w:type="dxa"/>
            </w:tcMar>
            <w:vAlign w:val="center"/>
          </w:tcPr>
          <w:p w14:paraId="24BE7AD5" w14:textId="77777777" w:rsidR="0081565C" w:rsidRDefault="00C45D4B">
            <w:pPr>
              <w:jc w:val="center"/>
              <w:rPr>
                <w:rFonts w:ascii="Calibri" w:eastAsia="Calibri" w:hAnsi="Calibri" w:cs="Calibri"/>
                <w:sz w:val="22"/>
                <w:szCs w:val="22"/>
              </w:rPr>
            </w:pPr>
            <w:r>
              <w:t>5,251.20</w:t>
            </w:r>
          </w:p>
        </w:tc>
      </w:tr>
      <w:tr w:rsidR="0081565C" w14:paraId="24BE7ADE"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4BE7AD7" w14:textId="77777777" w:rsidR="0081565C" w:rsidRDefault="00C45D4B">
            <w:pPr>
              <w:jc w:val="center"/>
              <w:rPr>
                <w:rFonts w:ascii="Calibri" w:eastAsia="Calibri" w:hAnsi="Calibri" w:cs="Calibri"/>
                <w:sz w:val="22"/>
                <w:szCs w:val="22"/>
              </w:rPr>
            </w:pPr>
            <w:r>
              <w:rPr>
                <w:b/>
                <w:bCs/>
              </w:rPr>
              <w:t>Debt/Equity Ratio</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4BE7AD8" w14:textId="77777777" w:rsidR="0081565C" w:rsidRDefault="00C45D4B">
            <w:pPr>
              <w:jc w:val="center"/>
              <w:rPr>
                <w:rFonts w:ascii="Calibri" w:eastAsia="Calibri" w:hAnsi="Calibri" w:cs="Calibri"/>
                <w:sz w:val="22"/>
                <w:szCs w:val="22"/>
              </w:rPr>
            </w:pPr>
            <w:r>
              <w:rPr>
                <w:b/>
                <w:bCs/>
              </w:rPr>
              <w:t>A/B</w:t>
            </w:r>
          </w:p>
        </w:tc>
        <w:tc>
          <w:tcPr>
            <w:tcW w:w="1119" w:type="dxa"/>
            <w:tcBorders>
              <w:top w:val="single" w:sz="6" w:space="0" w:color="CCCCCC"/>
              <w:left w:val="single" w:sz="6" w:space="0" w:color="CCCCCC"/>
              <w:bottom w:val="single" w:sz="6" w:space="0" w:color="000000"/>
              <w:right w:val="single" w:sz="6" w:space="0" w:color="000000"/>
            </w:tcBorders>
            <w:shd w:val="clear" w:color="auto" w:fill="F9A3A5"/>
            <w:tcMar>
              <w:top w:w="0" w:type="dxa"/>
              <w:left w:w="40" w:type="dxa"/>
              <w:bottom w:w="0" w:type="dxa"/>
              <w:right w:w="40" w:type="dxa"/>
            </w:tcMar>
            <w:vAlign w:val="center"/>
          </w:tcPr>
          <w:p w14:paraId="24BE7AD9" w14:textId="77777777" w:rsidR="0081565C" w:rsidRDefault="00C45D4B">
            <w:pPr>
              <w:jc w:val="center"/>
              <w:rPr>
                <w:rFonts w:ascii="Calibri" w:eastAsia="Calibri" w:hAnsi="Calibri" w:cs="Calibri"/>
                <w:sz w:val="22"/>
                <w:szCs w:val="22"/>
              </w:rPr>
            </w:pPr>
            <w:r>
              <w:rPr>
                <w:b/>
                <w:bCs/>
              </w:rPr>
              <w:t>0.85</w:t>
            </w:r>
          </w:p>
        </w:tc>
        <w:tc>
          <w:tcPr>
            <w:tcW w:w="1119" w:type="dxa"/>
            <w:tcBorders>
              <w:top w:val="single" w:sz="6" w:space="0" w:color="CCCCCC"/>
              <w:left w:val="single" w:sz="6" w:space="0" w:color="CCCCCC"/>
              <w:bottom w:val="single" w:sz="6" w:space="0" w:color="000000"/>
              <w:right w:val="single" w:sz="6" w:space="0" w:color="000000"/>
            </w:tcBorders>
            <w:shd w:val="clear" w:color="auto" w:fill="F9A3A5"/>
            <w:tcMar>
              <w:top w:w="0" w:type="dxa"/>
              <w:left w:w="40" w:type="dxa"/>
              <w:bottom w:w="0" w:type="dxa"/>
              <w:right w:w="40" w:type="dxa"/>
            </w:tcMar>
            <w:vAlign w:val="center"/>
          </w:tcPr>
          <w:p w14:paraId="24BE7ADA" w14:textId="77777777" w:rsidR="0081565C" w:rsidRDefault="00C45D4B">
            <w:pPr>
              <w:jc w:val="center"/>
              <w:rPr>
                <w:rFonts w:ascii="Calibri" w:eastAsia="Calibri" w:hAnsi="Calibri" w:cs="Calibri"/>
                <w:sz w:val="22"/>
                <w:szCs w:val="22"/>
              </w:rPr>
            </w:pPr>
            <w:r>
              <w:rPr>
                <w:b/>
                <w:bCs/>
              </w:rPr>
              <w:t>1.32</w:t>
            </w:r>
          </w:p>
        </w:tc>
        <w:tc>
          <w:tcPr>
            <w:tcW w:w="1119" w:type="dxa"/>
            <w:tcBorders>
              <w:top w:val="single" w:sz="6" w:space="0" w:color="CCCCCC"/>
              <w:left w:val="single" w:sz="6" w:space="0" w:color="CCCCCC"/>
              <w:bottom w:val="single" w:sz="6" w:space="0" w:color="000000"/>
              <w:right w:val="single" w:sz="6" w:space="0" w:color="000000"/>
            </w:tcBorders>
            <w:shd w:val="clear" w:color="auto" w:fill="F9A3A5"/>
            <w:tcMar>
              <w:top w:w="0" w:type="dxa"/>
              <w:left w:w="40" w:type="dxa"/>
              <w:bottom w:w="0" w:type="dxa"/>
              <w:right w:w="40" w:type="dxa"/>
            </w:tcMar>
            <w:vAlign w:val="center"/>
          </w:tcPr>
          <w:p w14:paraId="24BE7ADB" w14:textId="77777777" w:rsidR="0081565C" w:rsidRDefault="00C45D4B">
            <w:pPr>
              <w:jc w:val="center"/>
              <w:rPr>
                <w:rFonts w:ascii="Calibri" w:eastAsia="Calibri" w:hAnsi="Calibri" w:cs="Calibri"/>
                <w:sz w:val="22"/>
                <w:szCs w:val="22"/>
              </w:rPr>
            </w:pPr>
            <w:r>
              <w:rPr>
                <w:b/>
                <w:bCs/>
              </w:rPr>
              <w:t>1.42</w:t>
            </w:r>
          </w:p>
        </w:tc>
        <w:tc>
          <w:tcPr>
            <w:tcW w:w="1270" w:type="dxa"/>
            <w:tcBorders>
              <w:top w:val="single" w:sz="6" w:space="0" w:color="CCCCCC"/>
              <w:left w:val="single" w:sz="6" w:space="0" w:color="CCCCCC"/>
              <w:bottom w:val="single" w:sz="6" w:space="0" w:color="000000"/>
              <w:right w:val="single" w:sz="6" w:space="0" w:color="000000"/>
            </w:tcBorders>
            <w:shd w:val="clear" w:color="auto" w:fill="F9A3A5"/>
            <w:tcMar>
              <w:top w:w="0" w:type="dxa"/>
              <w:left w:w="40" w:type="dxa"/>
              <w:bottom w:w="0" w:type="dxa"/>
              <w:right w:w="40" w:type="dxa"/>
            </w:tcMar>
            <w:vAlign w:val="center"/>
          </w:tcPr>
          <w:p w14:paraId="24BE7ADC" w14:textId="77777777" w:rsidR="0081565C" w:rsidRDefault="00C45D4B">
            <w:pPr>
              <w:jc w:val="center"/>
              <w:rPr>
                <w:rFonts w:ascii="Calibri" w:eastAsia="Calibri" w:hAnsi="Calibri" w:cs="Calibri"/>
                <w:sz w:val="22"/>
                <w:szCs w:val="22"/>
              </w:rPr>
            </w:pPr>
            <w:r>
              <w:rPr>
                <w:b/>
                <w:bCs/>
              </w:rPr>
              <w:t>1.71</w:t>
            </w:r>
          </w:p>
        </w:tc>
        <w:tc>
          <w:tcPr>
            <w:tcW w:w="1119" w:type="dxa"/>
            <w:tcBorders>
              <w:top w:val="single" w:sz="6" w:space="0" w:color="CCCCCC"/>
              <w:left w:val="single" w:sz="6" w:space="0" w:color="CCCCCC"/>
              <w:bottom w:val="single" w:sz="6" w:space="0" w:color="000000"/>
              <w:right w:val="single" w:sz="6" w:space="0" w:color="000000"/>
            </w:tcBorders>
            <w:shd w:val="clear" w:color="auto" w:fill="F9A3A5"/>
            <w:tcMar>
              <w:top w:w="0" w:type="dxa"/>
              <w:left w:w="40" w:type="dxa"/>
              <w:bottom w:w="0" w:type="dxa"/>
              <w:right w:w="40" w:type="dxa"/>
            </w:tcMar>
            <w:vAlign w:val="center"/>
          </w:tcPr>
          <w:p w14:paraId="24BE7ADD" w14:textId="77777777" w:rsidR="0081565C" w:rsidRDefault="00C45D4B">
            <w:pPr>
              <w:jc w:val="center"/>
              <w:rPr>
                <w:rFonts w:ascii="Calibri" w:eastAsia="Calibri" w:hAnsi="Calibri" w:cs="Calibri"/>
                <w:sz w:val="22"/>
                <w:szCs w:val="22"/>
              </w:rPr>
            </w:pPr>
            <w:r>
              <w:rPr>
                <w:b/>
                <w:bCs/>
              </w:rPr>
              <w:t>1.97</w:t>
            </w:r>
          </w:p>
        </w:tc>
      </w:tr>
      <w:tr w:rsidR="0081565C" w14:paraId="24BE7AE6"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4BE7ADF" w14:textId="77777777" w:rsidR="0081565C" w:rsidRDefault="00C45D4B">
            <w:pPr>
              <w:jc w:val="center"/>
              <w:rPr>
                <w:rFonts w:ascii="Calibri" w:eastAsia="Calibri" w:hAnsi="Calibri" w:cs="Calibri"/>
                <w:sz w:val="22"/>
                <w:szCs w:val="22"/>
              </w:rPr>
            </w:pPr>
            <w:r>
              <w:rPr>
                <w:b/>
                <w:bCs/>
              </w:rPr>
              <w:t>Interest Coverage Ratio</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4BE7AE0" w14:textId="77777777" w:rsidR="0081565C" w:rsidRDefault="00C45D4B">
            <w:pPr>
              <w:jc w:val="center"/>
              <w:rPr>
                <w:rFonts w:ascii="Calibri" w:eastAsia="Calibri" w:hAnsi="Calibri" w:cs="Calibri"/>
                <w:sz w:val="22"/>
                <w:szCs w:val="22"/>
              </w:rPr>
            </w:pPr>
            <w:r>
              <w:rPr>
                <w:b/>
                <w:bCs/>
              </w:rPr>
              <w:t>C/D</w:t>
            </w:r>
          </w:p>
        </w:tc>
        <w:tc>
          <w:tcPr>
            <w:tcW w:w="1119" w:type="dxa"/>
            <w:tcBorders>
              <w:top w:val="single" w:sz="6" w:space="0" w:color="CCCCCC"/>
              <w:left w:val="single" w:sz="6" w:space="0" w:color="CCCCCC"/>
              <w:bottom w:val="single" w:sz="6" w:space="0" w:color="000000"/>
              <w:right w:val="single" w:sz="6" w:space="0" w:color="000000"/>
            </w:tcBorders>
            <w:shd w:val="clear" w:color="auto" w:fill="F9A2A4"/>
            <w:tcMar>
              <w:top w:w="0" w:type="dxa"/>
              <w:left w:w="40" w:type="dxa"/>
              <w:bottom w:w="0" w:type="dxa"/>
              <w:right w:w="40" w:type="dxa"/>
            </w:tcMar>
            <w:vAlign w:val="center"/>
          </w:tcPr>
          <w:p w14:paraId="24BE7AE1" w14:textId="77777777" w:rsidR="0081565C" w:rsidRDefault="00C45D4B">
            <w:pPr>
              <w:jc w:val="center"/>
              <w:rPr>
                <w:rFonts w:ascii="Calibri" w:eastAsia="Calibri" w:hAnsi="Calibri" w:cs="Calibri"/>
                <w:sz w:val="22"/>
                <w:szCs w:val="22"/>
              </w:rPr>
            </w:pPr>
            <w:r>
              <w:rPr>
                <w:b/>
                <w:bCs/>
              </w:rPr>
              <w:t>(6.81)</w:t>
            </w:r>
          </w:p>
        </w:tc>
        <w:tc>
          <w:tcPr>
            <w:tcW w:w="1119" w:type="dxa"/>
            <w:tcBorders>
              <w:top w:val="single" w:sz="6" w:space="0" w:color="CCCCCC"/>
              <w:left w:val="single" w:sz="6" w:space="0" w:color="CCCCCC"/>
              <w:bottom w:val="single" w:sz="6" w:space="0" w:color="000000"/>
              <w:right w:val="single" w:sz="6" w:space="0" w:color="000000"/>
            </w:tcBorders>
            <w:shd w:val="clear" w:color="auto" w:fill="F9A3A5"/>
            <w:tcMar>
              <w:top w:w="0" w:type="dxa"/>
              <w:left w:w="40" w:type="dxa"/>
              <w:bottom w:w="0" w:type="dxa"/>
              <w:right w:w="40" w:type="dxa"/>
            </w:tcMar>
            <w:vAlign w:val="center"/>
          </w:tcPr>
          <w:p w14:paraId="24BE7AE2" w14:textId="77777777" w:rsidR="0081565C" w:rsidRDefault="00C45D4B">
            <w:pPr>
              <w:jc w:val="center"/>
              <w:rPr>
                <w:rFonts w:ascii="Calibri" w:eastAsia="Calibri" w:hAnsi="Calibri" w:cs="Calibri"/>
                <w:sz w:val="22"/>
                <w:szCs w:val="22"/>
              </w:rPr>
            </w:pPr>
            <w:r>
              <w:rPr>
                <w:b/>
                <w:bCs/>
              </w:rPr>
              <w:t>1.71</w:t>
            </w:r>
          </w:p>
        </w:tc>
        <w:tc>
          <w:tcPr>
            <w:tcW w:w="1119" w:type="dxa"/>
            <w:tcBorders>
              <w:top w:val="single" w:sz="6" w:space="0" w:color="CCCCCC"/>
              <w:left w:val="single" w:sz="6" w:space="0" w:color="CCCCCC"/>
              <w:bottom w:val="single" w:sz="6" w:space="0" w:color="000000"/>
              <w:right w:val="single" w:sz="6" w:space="0" w:color="000000"/>
            </w:tcBorders>
            <w:shd w:val="clear" w:color="auto" w:fill="F9A3A5"/>
            <w:tcMar>
              <w:top w:w="0" w:type="dxa"/>
              <w:left w:w="40" w:type="dxa"/>
              <w:bottom w:w="0" w:type="dxa"/>
              <w:right w:w="40" w:type="dxa"/>
            </w:tcMar>
            <w:vAlign w:val="center"/>
          </w:tcPr>
          <w:p w14:paraId="24BE7AE3" w14:textId="77777777" w:rsidR="0081565C" w:rsidRDefault="00C45D4B">
            <w:pPr>
              <w:jc w:val="center"/>
              <w:rPr>
                <w:rFonts w:ascii="Calibri" w:eastAsia="Calibri" w:hAnsi="Calibri" w:cs="Calibri"/>
                <w:sz w:val="22"/>
                <w:szCs w:val="22"/>
              </w:rPr>
            </w:pPr>
            <w:r>
              <w:rPr>
                <w:b/>
                <w:bCs/>
              </w:rPr>
              <w:t>3.62</w:t>
            </w:r>
          </w:p>
        </w:tc>
        <w:tc>
          <w:tcPr>
            <w:tcW w:w="1270" w:type="dxa"/>
            <w:tcBorders>
              <w:top w:val="single" w:sz="6" w:space="0" w:color="CCCCCC"/>
              <w:left w:val="single" w:sz="6" w:space="0" w:color="CCCCCC"/>
              <w:bottom w:val="single" w:sz="6" w:space="0" w:color="000000"/>
              <w:right w:val="single" w:sz="6" w:space="0" w:color="000000"/>
            </w:tcBorders>
            <w:shd w:val="clear" w:color="auto" w:fill="F9A3A5"/>
            <w:tcMar>
              <w:top w:w="0" w:type="dxa"/>
              <w:left w:w="40" w:type="dxa"/>
              <w:bottom w:w="0" w:type="dxa"/>
              <w:right w:w="40" w:type="dxa"/>
            </w:tcMar>
            <w:vAlign w:val="center"/>
          </w:tcPr>
          <w:p w14:paraId="24BE7AE4" w14:textId="77777777" w:rsidR="0081565C" w:rsidRDefault="00C45D4B">
            <w:pPr>
              <w:jc w:val="center"/>
              <w:rPr>
                <w:rFonts w:ascii="Calibri" w:eastAsia="Calibri" w:hAnsi="Calibri" w:cs="Calibri"/>
                <w:sz w:val="22"/>
                <w:szCs w:val="22"/>
              </w:rPr>
            </w:pPr>
            <w:r>
              <w:rPr>
                <w:b/>
                <w:bCs/>
              </w:rPr>
              <w:t>3.56</w:t>
            </w:r>
          </w:p>
        </w:tc>
        <w:tc>
          <w:tcPr>
            <w:tcW w:w="1119" w:type="dxa"/>
            <w:tcBorders>
              <w:top w:val="single" w:sz="6" w:space="0" w:color="CCCCCC"/>
              <w:left w:val="single" w:sz="6" w:space="0" w:color="CCCCCC"/>
              <w:bottom w:val="single" w:sz="6" w:space="0" w:color="000000"/>
              <w:right w:val="single" w:sz="6" w:space="0" w:color="000000"/>
            </w:tcBorders>
            <w:shd w:val="clear" w:color="auto" w:fill="F9A3A5"/>
            <w:tcMar>
              <w:top w:w="0" w:type="dxa"/>
              <w:left w:w="40" w:type="dxa"/>
              <w:bottom w:w="0" w:type="dxa"/>
              <w:right w:w="40" w:type="dxa"/>
            </w:tcMar>
            <w:vAlign w:val="center"/>
          </w:tcPr>
          <w:p w14:paraId="24BE7AE5" w14:textId="77777777" w:rsidR="0081565C" w:rsidRDefault="00C45D4B">
            <w:pPr>
              <w:jc w:val="center"/>
              <w:rPr>
                <w:rFonts w:ascii="Calibri" w:eastAsia="Calibri" w:hAnsi="Calibri" w:cs="Calibri"/>
                <w:sz w:val="22"/>
                <w:szCs w:val="22"/>
              </w:rPr>
            </w:pPr>
            <w:r>
              <w:rPr>
                <w:b/>
                <w:bCs/>
              </w:rPr>
              <w:t>3.06</w:t>
            </w:r>
          </w:p>
        </w:tc>
      </w:tr>
      <w:tr w:rsidR="0081565C" w14:paraId="24BE7AEE"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4BE7AE7" w14:textId="77777777" w:rsidR="0081565C" w:rsidRDefault="00C45D4B">
            <w:pPr>
              <w:jc w:val="center"/>
              <w:rPr>
                <w:rFonts w:ascii="Calibri" w:eastAsia="Calibri" w:hAnsi="Calibri" w:cs="Calibri"/>
                <w:sz w:val="22"/>
                <w:szCs w:val="22"/>
              </w:rPr>
            </w:pPr>
            <w:r>
              <w:rPr>
                <w:b/>
                <w:bCs/>
              </w:rPr>
              <w:t>Debt/Capital Ratio</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4BE7AE8" w14:textId="77777777" w:rsidR="0081565C" w:rsidRDefault="00C45D4B">
            <w:pPr>
              <w:jc w:val="center"/>
              <w:rPr>
                <w:rFonts w:ascii="Calibri" w:eastAsia="Calibri" w:hAnsi="Calibri" w:cs="Calibri"/>
                <w:sz w:val="22"/>
                <w:szCs w:val="22"/>
              </w:rPr>
            </w:pPr>
            <w:r>
              <w:rPr>
                <w:b/>
                <w:bCs/>
              </w:rPr>
              <w:t>F/(F+E)</w:t>
            </w:r>
          </w:p>
        </w:tc>
        <w:tc>
          <w:tcPr>
            <w:tcW w:w="1119" w:type="dxa"/>
            <w:tcBorders>
              <w:top w:val="single" w:sz="6" w:space="0" w:color="CCCCCC"/>
              <w:left w:val="single" w:sz="6" w:space="0" w:color="CCCCCC"/>
              <w:bottom w:val="single" w:sz="6" w:space="0" w:color="000000"/>
              <w:right w:val="single" w:sz="6" w:space="0" w:color="000000"/>
            </w:tcBorders>
            <w:shd w:val="clear" w:color="auto" w:fill="F9A3A5"/>
            <w:tcMar>
              <w:top w:w="0" w:type="dxa"/>
              <w:left w:w="40" w:type="dxa"/>
              <w:bottom w:w="0" w:type="dxa"/>
              <w:right w:w="40" w:type="dxa"/>
            </w:tcMar>
            <w:vAlign w:val="center"/>
          </w:tcPr>
          <w:p w14:paraId="24BE7AE9" w14:textId="77777777" w:rsidR="0081565C" w:rsidRDefault="00C45D4B">
            <w:pPr>
              <w:jc w:val="center"/>
              <w:rPr>
                <w:rFonts w:ascii="Calibri" w:eastAsia="Calibri" w:hAnsi="Calibri" w:cs="Calibri"/>
                <w:sz w:val="22"/>
                <w:szCs w:val="22"/>
              </w:rPr>
            </w:pPr>
            <w:r>
              <w:rPr>
                <w:b/>
                <w:bCs/>
              </w:rPr>
              <w:t>0.42</w:t>
            </w:r>
          </w:p>
        </w:tc>
        <w:tc>
          <w:tcPr>
            <w:tcW w:w="1119" w:type="dxa"/>
            <w:tcBorders>
              <w:top w:val="single" w:sz="6" w:space="0" w:color="CCCCCC"/>
              <w:left w:val="single" w:sz="6" w:space="0" w:color="CCCCCC"/>
              <w:bottom w:val="single" w:sz="6" w:space="0" w:color="000000"/>
              <w:right w:val="single" w:sz="6" w:space="0" w:color="000000"/>
            </w:tcBorders>
            <w:shd w:val="clear" w:color="auto" w:fill="F9A3A5"/>
            <w:tcMar>
              <w:top w:w="0" w:type="dxa"/>
              <w:left w:w="40" w:type="dxa"/>
              <w:bottom w:w="0" w:type="dxa"/>
              <w:right w:w="40" w:type="dxa"/>
            </w:tcMar>
            <w:vAlign w:val="center"/>
          </w:tcPr>
          <w:p w14:paraId="24BE7AEA" w14:textId="77777777" w:rsidR="0081565C" w:rsidRDefault="00C45D4B">
            <w:pPr>
              <w:jc w:val="center"/>
              <w:rPr>
                <w:rFonts w:ascii="Calibri" w:eastAsia="Calibri" w:hAnsi="Calibri" w:cs="Calibri"/>
                <w:sz w:val="22"/>
                <w:szCs w:val="22"/>
              </w:rPr>
            </w:pPr>
            <w:r>
              <w:rPr>
                <w:b/>
                <w:bCs/>
              </w:rPr>
              <w:t>0.53</w:t>
            </w:r>
          </w:p>
        </w:tc>
        <w:tc>
          <w:tcPr>
            <w:tcW w:w="1119" w:type="dxa"/>
            <w:tcBorders>
              <w:top w:val="single" w:sz="6" w:space="0" w:color="CCCCCC"/>
              <w:left w:val="single" w:sz="6" w:space="0" w:color="CCCCCC"/>
              <w:bottom w:val="single" w:sz="6" w:space="0" w:color="000000"/>
              <w:right w:val="single" w:sz="6" w:space="0" w:color="000000"/>
            </w:tcBorders>
            <w:shd w:val="clear" w:color="auto" w:fill="F9A3A5"/>
            <w:tcMar>
              <w:top w:w="0" w:type="dxa"/>
              <w:left w:w="40" w:type="dxa"/>
              <w:bottom w:w="0" w:type="dxa"/>
              <w:right w:w="40" w:type="dxa"/>
            </w:tcMar>
            <w:vAlign w:val="center"/>
          </w:tcPr>
          <w:p w14:paraId="24BE7AEB" w14:textId="77777777" w:rsidR="0081565C" w:rsidRDefault="00C45D4B">
            <w:pPr>
              <w:jc w:val="center"/>
              <w:rPr>
                <w:rFonts w:ascii="Calibri" w:eastAsia="Calibri" w:hAnsi="Calibri" w:cs="Calibri"/>
                <w:sz w:val="22"/>
                <w:szCs w:val="22"/>
              </w:rPr>
            </w:pPr>
            <w:r>
              <w:rPr>
                <w:b/>
                <w:bCs/>
              </w:rPr>
              <w:t>0.55</w:t>
            </w:r>
          </w:p>
        </w:tc>
        <w:tc>
          <w:tcPr>
            <w:tcW w:w="1270" w:type="dxa"/>
            <w:tcBorders>
              <w:top w:val="single" w:sz="6" w:space="0" w:color="CCCCCC"/>
              <w:left w:val="single" w:sz="6" w:space="0" w:color="CCCCCC"/>
              <w:bottom w:val="single" w:sz="6" w:space="0" w:color="000000"/>
              <w:right w:val="single" w:sz="6" w:space="0" w:color="000000"/>
            </w:tcBorders>
            <w:shd w:val="clear" w:color="auto" w:fill="F9A3A5"/>
            <w:tcMar>
              <w:top w:w="0" w:type="dxa"/>
              <w:left w:w="40" w:type="dxa"/>
              <w:bottom w:w="0" w:type="dxa"/>
              <w:right w:w="40" w:type="dxa"/>
            </w:tcMar>
            <w:vAlign w:val="center"/>
          </w:tcPr>
          <w:p w14:paraId="24BE7AEC" w14:textId="77777777" w:rsidR="0081565C" w:rsidRDefault="00C45D4B">
            <w:pPr>
              <w:jc w:val="center"/>
              <w:rPr>
                <w:rFonts w:ascii="Calibri" w:eastAsia="Calibri" w:hAnsi="Calibri" w:cs="Calibri"/>
                <w:sz w:val="22"/>
                <w:szCs w:val="22"/>
              </w:rPr>
            </w:pPr>
            <w:r>
              <w:rPr>
                <w:b/>
                <w:bCs/>
              </w:rPr>
              <w:t>0.59</w:t>
            </w:r>
          </w:p>
        </w:tc>
        <w:tc>
          <w:tcPr>
            <w:tcW w:w="1119" w:type="dxa"/>
            <w:tcBorders>
              <w:top w:val="single" w:sz="6" w:space="0" w:color="CCCCCC"/>
              <w:left w:val="single" w:sz="6" w:space="0" w:color="CCCCCC"/>
              <w:bottom w:val="single" w:sz="6" w:space="0" w:color="000000"/>
              <w:right w:val="single" w:sz="6" w:space="0" w:color="000000"/>
            </w:tcBorders>
            <w:shd w:val="clear" w:color="auto" w:fill="F9A3A5"/>
            <w:tcMar>
              <w:top w:w="0" w:type="dxa"/>
              <w:left w:w="40" w:type="dxa"/>
              <w:bottom w:w="0" w:type="dxa"/>
              <w:right w:w="40" w:type="dxa"/>
            </w:tcMar>
            <w:vAlign w:val="center"/>
          </w:tcPr>
          <w:p w14:paraId="24BE7AED" w14:textId="77777777" w:rsidR="0081565C" w:rsidRDefault="00C45D4B">
            <w:pPr>
              <w:jc w:val="center"/>
              <w:rPr>
                <w:rFonts w:ascii="Calibri" w:eastAsia="Calibri" w:hAnsi="Calibri" w:cs="Calibri"/>
                <w:sz w:val="22"/>
                <w:szCs w:val="22"/>
              </w:rPr>
            </w:pPr>
            <w:r>
              <w:rPr>
                <w:b/>
                <w:bCs/>
              </w:rPr>
              <w:t>0.61</w:t>
            </w:r>
          </w:p>
        </w:tc>
      </w:tr>
      <w:tr w:rsidR="0081565C" w14:paraId="24BE7AF6" w14:textId="77777777">
        <w:trPr>
          <w:trHeight w:val="315"/>
        </w:trPr>
        <w:tc>
          <w:tcPr>
            <w:tcW w:w="2793"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24BE7AEF" w14:textId="77777777" w:rsidR="0081565C" w:rsidRDefault="0081565C">
            <w:pPr>
              <w:rPr>
                <w:rFonts w:ascii="Calibri" w:eastAsia="Calibri" w:hAnsi="Calibri" w:cs="Calibri"/>
                <w:sz w:val="22"/>
                <w:szCs w:val="22"/>
              </w:rPr>
            </w:pPr>
          </w:p>
        </w:tc>
        <w:tc>
          <w:tcPr>
            <w:tcW w:w="816"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24BE7AF0" w14:textId="77777777" w:rsidR="0081565C" w:rsidRDefault="0081565C">
            <w:pPr>
              <w:rPr>
                <w:rFonts w:ascii="Calibri" w:eastAsia="Calibri" w:hAnsi="Calibri" w:cs="Calibri"/>
                <w:sz w:val="22"/>
                <w:szCs w:val="22"/>
              </w:rPr>
            </w:pPr>
          </w:p>
        </w:tc>
        <w:tc>
          <w:tcPr>
            <w:tcW w:w="1119"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24BE7AF1" w14:textId="77777777" w:rsidR="0081565C" w:rsidRDefault="0081565C">
            <w:pPr>
              <w:rPr>
                <w:rFonts w:ascii="Calibri" w:eastAsia="Calibri" w:hAnsi="Calibri" w:cs="Calibri"/>
                <w:sz w:val="22"/>
                <w:szCs w:val="22"/>
              </w:rPr>
            </w:pPr>
          </w:p>
        </w:tc>
        <w:tc>
          <w:tcPr>
            <w:tcW w:w="1119"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24BE7AF2" w14:textId="77777777" w:rsidR="0081565C" w:rsidRDefault="0081565C">
            <w:pPr>
              <w:rPr>
                <w:rFonts w:ascii="Calibri" w:eastAsia="Calibri" w:hAnsi="Calibri" w:cs="Calibri"/>
                <w:sz w:val="22"/>
                <w:szCs w:val="22"/>
              </w:rPr>
            </w:pPr>
          </w:p>
        </w:tc>
        <w:tc>
          <w:tcPr>
            <w:tcW w:w="1119"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24BE7AF3" w14:textId="77777777" w:rsidR="0081565C" w:rsidRDefault="0081565C">
            <w:pPr>
              <w:rPr>
                <w:rFonts w:ascii="Calibri" w:eastAsia="Calibri" w:hAnsi="Calibri" w:cs="Calibri"/>
                <w:sz w:val="22"/>
                <w:szCs w:val="22"/>
              </w:rPr>
            </w:pPr>
          </w:p>
        </w:tc>
        <w:tc>
          <w:tcPr>
            <w:tcW w:w="127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24BE7AF4" w14:textId="77777777" w:rsidR="0081565C" w:rsidRDefault="0081565C">
            <w:pPr>
              <w:rPr>
                <w:rFonts w:ascii="Calibri" w:eastAsia="Calibri" w:hAnsi="Calibri" w:cs="Calibri"/>
                <w:sz w:val="22"/>
                <w:szCs w:val="22"/>
              </w:rPr>
            </w:pPr>
          </w:p>
        </w:tc>
        <w:tc>
          <w:tcPr>
            <w:tcW w:w="1119"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24BE7AF5" w14:textId="77777777" w:rsidR="0081565C" w:rsidRDefault="0081565C">
            <w:pPr>
              <w:rPr>
                <w:rFonts w:ascii="Calibri" w:eastAsia="Calibri" w:hAnsi="Calibri" w:cs="Calibri"/>
                <w:sz w:val="22"/>
                <w:szCs w:val="22"/>
              </w:rPr>
            </w:pPr>
          </w:p>
        </w:tc>
      </w:tr>
      <w:tr w:rsidR="0081565C" w14:paraId="24BE7AF8" w14:textId="77777777">
        <w:trPr>
          <w:trHeight w:val="315"/>
        </w:trPr>
        <w:tc>
          <w:tcPr>
            <w:tcW w:w="9355" w:type="dxa"/>
            <w:gridSpan w:val="7"/>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center"/>
          </w:tcPr>
          <w:p w14:paraId="24BE7AF7" w14:textId="77777777" w:rsidR="0081565C" w:rsidRDefault="00C45D4B">
            <w:pPr>
              <w:jc w:val="center"/>
              <w:rPr>
                <w:rFonts w:ascii="Calibri" w:eastAsia="Calibri" w:hAnsi="Calibri" w:cs="Calibri"/>
                <w:sz w:val="22"/>
                <w:szCs w:val="22"/>
              </w:rPr>
            </w:pPr>
            <w:r>
              <w:rPr>
                <w:b/>
                <w:bCs/>
              </w:rPr>
              <w:t xml:space="preserve">Efficiency </w:t>
            </w:r>
            <w:proofErr w:type="gramStart"/>
            <w:r>
              <w:rPr>
                <w:b/>
                <w:bCs/>
              </w:rPr>
              <w:t>Ratios:-</w:t>
            </w:r>
            <w:proofErr w:type="gramEnd"/>
          </w:p>
        </w:tc>
      </w:tr>
      <w:tr w:rsidR="0081565C" w14:paraId="24BE7B00"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4BE7AF9" w14:textId="77777777" w:rsidR="0081565C" w:rsidRDefault="00C45D4B">
            <w:pPr>
              <w:jc w:val="center"/>
              <w:rPr>
                <w:rFonts w:ascii="Calibri" w:eastAsia="Calibri" w:hAnsi="Calibri" w:cs="Calibri"/>
                <w:sz w:val="22"/>
                <w:szCs w:val="22"/>
              </w:rPr>
            </w:pPr>
            <w:r>
              <w:rPr>
                <w:b/>
                <w:bCs/>
              </w:rPr>
              <w:t>Particulars</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4BE7AFA" w14:textId="77777777" w:rsidR="0081565C" w:rsidRDefault="00C45D4B">
            <w:pPr>
              <w:jc w:val="center"/>
              <w:rPr>
                <w:rFonts w:ascii="Calibri" w:eastAsia="Calibri" w:hAnsi="Calibri" w:cs="Calibri"/>
                <w:sz w:val="22"/>
                <w:szCs w:val="22"/>
              </w:rPr>
            </w:pPr>
            <w:r>
              <w:rPr>
                <w:b/>
                <w:bCs/>
              </w:rPr>
              <w:t>Details</w:t>
            </w:r>
          </w:p>
        </w:tc>
        <w:tc>
          <w:tcPr>
            <w:tcW w:w="1119" w:type="dxa"/>
            <w:tcBorders>
              <w:top w:val="single" w:sz="6" w:space="0" w:color="CCCCCC"/>
              <w:left w:val="single" w:sz="6" w:space="0" w:color="CCCCCC"/>
              <w:bottom w:val="single" w:sz="6" w:space="0" w:color="000000"/>
              <w:right w:val="single" w:sz="6" w:space="0" w:color="000000"/>
            </w:tcBorders>
            <w:shd w:val="clear" w:color="auto" w:fill="96D3A7"/>
            <w:tcMar>
              <w:top w:w="0" w:type="dxa"/>
              <w:left w:w="40" w:type="dxa"/>
              <w:bottom w:w="0" w:type="dxa"/>
              <w:right w:w="40" w:type="dxa"/>
            </w:tcMar>
            <w:vAlign w:val="center"/>
          </w:tcPr>
          <w:p w14:paraId="24BE7AFB" w14:textId="77777777" w:rsidR="0081565C" w:rsidRDefault="00C45D4B">
            <w:pPr>
              <w:jc w:val="center"/>
              <w:rPr>
                <w:rFonts w:ascii="Calibri" w:eastAsia="Calibri" w:hAnsi="Calibri" w:cs="Calibri"/>
                <w:sz w:val="22"/>
                <w:szCs w:val="22"/>
              </w:rPr>
            </w:pPr>
            <w:r>
              <w:rPr>
                <w:b/>
                <w:bCs/>
              </w:rPr>
              <w:t>2021</w:t>
            </w:r>
          </w:p>
        </w:tc>
        <w:tc>
          <w:tcPr>
            <w:tcW w:w="1119" w:type="dxa"/>
            <w:tcBorders>
              <w:top w:val="single" w:sz="6" w:space="0" w:color="CCCCCC"/>
              <w:left w:val="single" w:sz="6" w:space="0" w:color="CCCCCC"/>
              <w:bottom w:val="single" w:sz="6" w:space="0" w:color="000000"/>
              <w:right w:val="single" w:sz="6" w:space="0" w:color="000000"/>
            </w:tcBorders>
            <w:shd w:val="clear" w:color="auto" w:fill="96D3A7"/>
            <w:tcMar>
              <w:top w:w="0" w:type="dxa"/>
              <w:left w:w="40" w:type="dxa"/>
              <w:bottom w:w="0" w:type="dxa"/>
              <w:right w:w="40" w:type="dxa"/>
            </w:tcMar>
            <w:vAlign w:val="center"/>
          </w:tcPr>
          <w:p w14:paraId="24BE7AFC" w14:textId="77777777" w:rsidR="0081565C" w:rsidRDefault="00C45D4B">
            <w:pPr>
              <w:jc w:val="center"/>
              <w:rPr>
                <w:rFonts w:ascii="Calibri" w:eastAsia="Calibri" w:hAnsi="Calibri" w:cs="Calibri"/>
                <w:sz w:val="22"/>
                <w:szCs w:val="22"/>
              </w:rPr>
            </w:pPr>
            <w:r>
              <w:rPr>
                <w:b/>
                <w:bCs/>
              </w:rPr>
              <w:t>2022</w:t>
            </w:r>
          </w:p>
        </w:tc>
        <w:tc>
          <w:tcPr>
            <w:tcW w:w="1119" w:type="dxa"/>
            <w:tcBorders>
              <w:top w:val="single" w:sz="6" w:space="0" w:color="CCCCCC"/>
              <w:left w:val="single" w:sz="6" w:space="0" w:color="CCCCCC"/>
              <w:bottom w:val="single" w:sz="6" w:space="0" w:color="000000"/>
              <w:right w:val="single" w:sz="6" w:space="0" w:color="000000"/>
            </w:tcBorders>
            <w:shd w:val="clear" w:color="auto" w:fill="96D3A7"/>
            <w:tcMar>
              <w:top w:w="0" w:type="dxa"/>
              <w:left w:w="40" w:type="dxa"/>
              <w:bottom w:w="0" w:type="dxa"/>
              <w:right w:w="40" w:type="dxa"/>
            </w:tcMar>
            <w:vAlign w:val="center"/>
          </w:tcPr>
          <w:p w14:paraId="24BE7AFD" w14:textId="77777777" w:rsidR="0081565C" w:rsidRDefault="00C45D4B">
            <w:pPr>
              <w:jc w:val="center"/>
              <w:rPr>
                <w:rFonts w:ascii="Calibri" w:eastAsia="Calibri" w:hAnsi="Calibri" w:cs="Calibri"/>
                <w:sz w:val="22"/>
                <w:szCs w:val="22"/>
              </w:rPr>
            </w:pPr>
            <w:r>
              <w:rPr>
                <w:b/>
                <w:bCs/>
              </w:rPr>
              <w:t>2023</w:t>
            </w:r>
          </w:p>
        </w:tc>
        <w:tc>
          <w:tcPr>
            <w:tcW w:w="1270" w:type="dxa"/>
            <w:tcBorders>
              <w:top w:val="single" w:sz="6" w:space="0" w:color="CCCCCC"/>
              <w:left w:val="single" w:sz="6" w:space="0" w:color="CCCCCC"/>
              <w:bottom w:val="single" w:sz="6" w:space="0" w:color="000000"/>
              <w:right w:val="single" w:sz="6" w:space="0" w:color="000000"/>
            </w:tcBorders>
            <w:shd w:val="clear" w:color="auto" w:fill="96D3A7"/>
            <w:tcMar>
              <w:top w:w="0" w:type="dxa"/>
              <w:left w:w="40" w:type="dxa"/>
              <w:bottom w:w="0" w:type="dxa"/>
              <w:right w:w="40" w:type="dxa"/>
            </w:tcMar>
            <w:vAlign w:val="center"/>
          </w:tcPr>
          <w:p w14:paraId="24BE7AFE" w14:textId="77777777" w:rsidR="0081565C" w:rsidRDefault="00C45D4B">
            <w:pPr>
              <w:jc w:val="center"/>
              <w:rPr>
                <w:rFonts w:ascii="Calibri" w:eastAsia="Calibri" w:hAnsi="Calibri" w:cs="Calibri"/>
                <w:sz w:val="22"/>
                <w:szCs w:val="22"/>
              </w:rPr>
            </w:pPr>
            <w:r>
              <w:rPr>
                <w:b/>
                <w:bCs/>
              </w:rPr>
              <w:t>2024</w:t>
            </w:r>
          </w:p>
        </w:tc>
        <w:tc>
          <w:tcPr>
            <w:tcW w:w="1119" w:type="dxa"/>
            <w:tcBorders>
              <w:top w:val="single" w:sz="6" w:space="0" w:color="CCCCCC"/>
              <w:left w:val="single" w:sz="6" w:space="0" w:color="CCCCCC"/>
              <w:bottom w:val="single" w:sz="6" w:space="0" w:color="000000"/>
              <w:right w:val="single" w:sz="6" w:space="0" w:color="000000"/>
            </w:tcBorders>
            <w:shd w:val="clear" w:color="auto" w:fill="96D3A7"/>
            <w:tcMar>
              <w:top w:w="0" w:type="dxa"/>
              <w:left w:w="40" w:type="dxa"/>
              <w:bottom w:w="0" w:type="dxa"/>
              <w:right w:w="40" w:type="dxa"/>
            </w:tcMar>
            <w:vAlign w:val="center"/>
          </w:tcPr>
          <w:p w14:paraId="24BE7AFF" w14:textId="77777777" w:rsidR="0081565C" w:rsidRDefault="00C45D4B">
            <w:pPr>
              <w:jc w:val="center"/>
              <w:rPr>
                <w:rFonts w:ascii="Calibri" w:eastAsia="Calibri" w:hAnsi="Calibri" w:cs="Calibri"/>
                <w:sz w:val="22"/>
                <w:szCs w:val="22"/>
              </w:rPr>
            </w:pPr>
            <w:r>
              <w:rPr>
                <w:b/>
                <w:bCs/>
              </w:rPr>
              <w:t>2025</w:t>
            </w:r>
          </w:p>
        </w:tc>
      </w:tr>
      <w:tr w:rsidR="0081565C" w14:paraId="24BE7B08"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4BE7B01" w14:textId="77777777" w:rsidR="0081565C" w:rsidRDefault="00C45D4B">
            <w:pPr>
              <w:jc w:val="center"/>
              <w:rPr>
                <w:rFonts w:ascii="Calibri" w:eastAsia="Calibri" w:hAnsi="Calibri" w:cs="Calibri"/>
                <w:sz w:val="22"/>
                <w:szCs w:val="22"/>
              </w:rPr>
            </w:pPr>
            <w:r>
              <w:t>Revenue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4BE7B02" w14:textId="77777777" w:rsidR="0081565C" w:rsidRDefault="00C45D4B">
            <w:pPr>
              <w:jc w:val="center"/>
              <w:rPr>
                <w:rFonts w:ascii="Calibri" w:eastAsia="Calibri" w:hAnsi="Calibri" w:cs="Calibri"/>
                <w:sz w:val="22"/>
                <w:szCs w:val="22"/>
              </w:rPr>
            </w:pPr>
            <w:r>
              <w:t>A</w:t>
            </w:r>
          </w:p>
        </w:tc>
        <w:tc>
          <w:tcPr>
            <w:tcW w:w="1119" w:type="dxa"/>
            <w:tcBorders>
              <w:top w:val="single" w:sz="6" w:space="0" w:color="CCCCCC"/>
              <w:left w:val="single" w:sz="6" w:space="0" w:color="CCCCCC"/>
              <w:bottom w:val="single" w:sz="6" w:space="0" w:color="000000"/>
              <w:right w:val="single" w:sz="6" w:space="0" w:color="000000"/>
            </w:tcBorders>
            <w:shd w:val="clear" w:color="auto" w:fill="E3F2EA"/>
            <w:tcMar>
              <w:top w:w="0" w:type="dxa"/>
              <w:left w:w="40" w:type="dxa"/>
              <w:bottom w:w="0" w:type="dxa"/>
              <w:right w:w="40" w:type="dxa"/>
            </w:tcMar>
            <w:vAlign w:val="center"/>
          </w:tcPr>
          <w:p w14:paraId="24BE7B03" w14:textId="77777777" w:rsidR="0081565C" w:rsidRDefault="00C45D4B">
            <w:pPr>
              <w:jc w:val="center"/>
              <w:rPr>
                <w:rFonts w:ascii="Calibri" w:eastAsia="Calibri" w:hAnsi="Calibri" w:cs="Calibri"/>
                <w:sz w:val="22"/>
                <w:szCs w:val="22"/>
              </w:rPr>
            </w:pPr>
            <w:r>
              <w:t>589.40</w:t>
            </w:r>
          </w:p>
        </w:tc>
        <w:tc>
          <w:tcPr>
            <w:tcW w:w="1119" w:type="dxa"/>
            <w:tcBorders>
              <w:top w:val="single" w:sz="6" w:space="0" w:color="CCCCCC"/>
              <w:left w:val="single" w:sz="6" w:space="0" w:color="CCCCCC"/>
              <w:bottom w:val="single" w:sz="6" w:space="0" w:color="000000"/>
              <w:right w:val="single" w:sz="6" w:space="0" w:color="000000"/>
            </w:tcBorders>
            <w:shd w:val="clear" w:color="auto" w:fill="A7DAB6"/>
            <w:tcMar>
              <w:top w:w="0" w:type="dxa"/>
              <w:left w:w="40" w:type="dxa"/>
              <w:bottom w:w="0" w:type="dxa"/>
              <w:right w:w="40" w:type="dxa"/>
            </w:tcMar>
            <w:vAlign w:val="center"/>
          </w:tcPr>
          <w:p w14:paraId="24BE7B04" w14:textId="77777777" w:rsidR="0081565C" w:rsidRDefault="00C45D4B">
            <w:pPr>
              <w:jc w:val="center"/>
              <w:rPr>
                <w:rFonts w:ascii="Calibri" w:eastAsia="Calibri" w:hAnsi="Calibri" w:cs="Calibri"/>
                <w:sz w:val="22"/>
                <w:szCs w:val="22"/>
              </w:rPr>
            </w:pPr>
            <w:r>
              <w:t>1,703.40</w:t>
            </w:r>
          </w:p>
        </w:tc>
        <w:tc>
          <w:tcPr>
            <w:tcW w:w="1119" w:type="dxa"/>
            <w:tcBorders>
              <w:top w:val="single" w:sz="6" w:space="0" w:color="CCCCCC"/>
              <w:left w:val="single" w:sz="6" w:space="0" w:color="CCCCCC"/>
              <w:bottom w:val="single" w:sz="6" w:space="0" w:color="000000"/>
              <w:right w:val="single" w:sz="6" w:space="0" w:color="000000"/>
            </w:tcBorders>
            <w:shd w:val="clear" w:color="auto" w:fill="76C68B"/>
            <w:tcMar>
              <w:top w:w="0" w:type="dxa"/>
              <w:left w:w="40" w:type="dxa"/>
              <w:bottom w:w="0" w:type="dxa"/>
              <w:right w:w="40" w:type="dxa"/>
            </w:tcMar>
            <w:vAlign w:val="center"/>
          </w:tcPr>
          <w:p w14:paraId="24BE7B05" w14:textId="77777777" w:rsidR="0081565C" w:rsidRDefault="00C45D4B">
            <w:pPr>
              <w:jc w:val="center"/>
              <w:rPr>
                <w:rFonts w:ascii="Calibri" w:eastAsia="Calibri" w:hAnsi="Calibri" w:cs="Calibri"/>
                <w:sz w:val="22"/>
                <w:szCs w:val="22"/>
              </w:rPr>
            </w:pPr>
            <w:r>
              <w:t>2,625.20</w:t>
            </w:r>
          </w:p>
        </w:tc>
        <w:tc>
          <w:tcPr>
            <w:tcW w:w="1270" w:type="dxa"/>
            <w:tcBorders>
              <w:top w:val="single" w:sz="6" w:space="0" w:color="CCCCCC"/>
              <w:left w:val="single" w:sz="6" w:space="0" w:color="CCCCCC"/>
              <w:bottom w:val="single" w:sz="6" w:space="0" w:color="000000"/>
              <w:right w:val="single" w:sz="6" w:space="0" w:color="000000"/>
            </w:tcBorders>
            <w:shd w:val="clear" w:color="auto" w:fill="63BE7B"/>
            <w:tcMar>
              <w:top w:w="0" w:type="dxa"/>
              <w:left w:w="40" w:type="dxa"/>
              <w:bottom w:w="0" w:type="dxa"/>
              <w:right w:w="40" w:type="dxa"/>
            </w:tcMar>
            <w:vAlign w:val="center"/>
          </w:tcPr>
          <w:p w14:paraId="24BE7B06" w14:textId="77777777" w:rsidR="0081565C" w:rsidRDefault="00C45D4B">
            <w:pPr>
              <w:jc w:val="center"/>
              <w:rPr>
                <w:rFonts w:ascii="Calibri" w:eastAsia="Calibri" w:hAnsi="Calibri" w:cs="Calibri"/>
                <w:sz w:val="22"/>
                <w:szCs w:val="22"/>
              </w:rPr>
            </w:pPr>
            <w:r>
              <w:t>2,959.90</w:t>
            </w:r>
          </w:p>
        </w:tc>
        <w:tc>
          <w:tcPr>
            <w:tcW w:w="1119" w:type="dxa"/>
            <w:tcBorders>
              <w:top w:val="single" w:sz="6" w:space="0" w:color="CCCCCC"/>
              <w:left w:val="single" w:sz="6" w:space="0" w:color="CCCCCC"/>
              <w:bottom w:val="single" w:sz="6" w:space="0" w:color="000000"/>
              <w:right w:val="single" w:sz="6" w:space="0" w:color="000000"/>
            </w:tcBorders>
            <w:shd w:val="clear" w:color="auto" w:fill="66BF7D"/>
            <w:tcMar>
              <w:top w:w="0" w:type="dxa"/>
              <w:left w:w="40" w:type="dxa"/>
              <w:bottom w:w="0" w:type="dxa"/>
              <w:right w:w="40" w:type="dxa"/>
            </w:tcMar>
            <w:vAlign w:val="center"/>
          </w:tcPr>
          <w:p w14:paraId="24BE7B07" w14:textId="77777777" w:rsidR="0081565C" w:rsidRDefault="00C45D4B">
            <w:pPr>
              <w:jc w:val="center"/>
              <w:rPr>
                <w:rFonts w:ascii="Calibri" w:eastAsia="Calibri" w:hAnsi="Calibri" w:cs="Calibri"/>
                <w:sz w:val="22"/>
                <w:szCs w:val="22"/>
              </w:rPr>
            </w:pPr>
            <w:r>
              <w:t>2,921.90</w:t>
            </w:r>
          </w:p>
        </w:tc>
      </w:tr>
      <w:tr w:rsidR="0081565C" w14:paraId="24BE7B10"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4BE7B09" w14:textId="77777777" w:rsidR="0081565C" w:rsidRDefault="00C45D4B">
            <w:pPr>
              <w:jc w:val="center"/>
              <w:rPr>
                <w:rFonts w:ascii="Calibri" w:eastAsia="Calibri" w:hAnsi="Calibri" w:cs="Calibri"/>
                <w:sz w:val="22"/>
                <w:szCs w:val="22"/>
              </w:rPr>
            </w:pPr>
            <w:r>
              <w:t>Cost of Sales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4BE7B0A" w14:textId="77777777" w:rsidR="0081565C" w:rsidRDefault="00C45D4B">
            <w:pPr>
              <w:jc w:val="center"/>
              <w:rPr>
                <w:rFonts w:ascii="Calibri" w:eastAsia="Calibri" w:hAnsi="Calibri" w:cs="Calibri"/>
                <w:sz w:val="22"/>
                <w:szCs w:val="22"/>
              </w:rPr>
            </w:pPr>
            <w:r>
              <w:t>B</w:t>
            </w:r>
          </w:p>
        </w:tc>
        <w:tc>
          <w:tcPr>
            <w:tcW w:w="1119" w:type="dxa"/>
            <w:tcBorders>
              <w:top w:val="single" w:sz="6" w:space="0" w:color="CCCCCC"/>
              <w:left w:val="single" w:sz="6" w:space="0" w:color="CCCCCC"/>
              <w:bottom w:val="single" w:sz="6" w:space="0" w:color="000000"/>
              <w:right w:val="single" w:sz="6" w:space="0" w:color="000000"/>
            </w:tcBorders>
            <w:shd w:val="clear" w:color="auto" w:fill="AEDDBC"/>
            <w:tcMar>
              <w:top w:w="0" w:type="dxa"/>
              <w:left w:w="40" w:type="dxa"/>
              <w:bottom w:w="0" w:type="dxa"/>
              <w:right w:w="40" w:type="dxa"/>
            </w:tcMar>
            <w:vAlign w:val="center"/>
          </w:tcPr>
          <w:p w14:paraId="24BE7B0B" w14:textId="77777777" w:rsidR="0081565C" w:rsidRDefault="00C45D4B">
            <w:pPr>
              <w:jc w:val="center"/>
              <w:rPr>
                <w:rFonts w:ascii="Calibri" w:eastAsia="Calibri" w:hAnsi="Calibri" w:cs="Calibri"/>
                <w:sz w:val="22"/>
                <w:szCs w:val="22"/>
              </w:rPr>
            </w:pPr>
            <w:r>
              <w:t>1,583.10</w:t>
            </w:r>
          </w:p>
        </w:tc>
        <w:tc>
          <w:tcPr>
            <w:tcW w:w="1119" w:type="dxa"/>
            <w:tcBorders>
              <w:top w:val="single" w:sz="6" w:space="0" w:color="CCCCCC"/>
              <w:left w:val="single" w:sz="6" w:space="0" w:color="CCCCCC"/>
              <w:bottom w:val="single" w:sz="6" w:space="0" w:color="000000"/>
              <w:right w:val="single" w:sz="6" w:space="0" w:color="000000"/>
            </w:tcBorders>
            <w:shd w:val="clear" w:color="auto" w:fill="ADDCBB"/>
            <w:tcMar>
              <w:top w:w="0" w:type="dxa"/>
              <w:left w:w="40" w:type="dxa"/>
              <w:bottom w:w="0" w:type="dxa"/>
              <w:right w:w="40" w:type="dxa"/>
            </w:tcMar>
            <w:vAlign w:val="center"/>
          </w:tcPr>
          <w:p w14:paraId="24BE7B0C" w14:textId="77777777" w:rsidR="0081565C" w:rsidRDefault="00C45D4B">
            <w:pPr>
              <w:jc w:val="center"/>
              <w:rPr>
                <w:rFonts w:ascii="Calibri" w:eastAsia="Calibri" w:hAnsi="Calibri" w:cs="Calibri"/>
                <w:sz w:val="22"/>
                <w:szCs w:val="22"/>
              </w:rPr>
            </w:pPr>
            <w:r>
              <w:t>1,605.80</w:t>
            </w:r>
          </w:p>
        </w:tc>
        <w:tc>
          <w:tcPr>
            <w:tcW w:w="1119" w:type="dxa"/>
            <w:tcBorders>
              <w:top w:val="single" w:sz="6" w:space="0" w:color="CCCCCC"/>
              <w:left w:val="single" w:sz="6" w:space="0" w:color="CCCCCC"/>
              <w:bottom w:val="single" w:sz="6" w:space="0" w:color="000000"/>
              <w:right w:val="single" w:sz="6" w:space="0" w:color="000000"/>
            </w:tcBorders>
            <w:shd w:val="clear" w:color="auto" w:fill="90D1A2"/>
            <w:tcMar>
              <w:top w:w="0" w:type="dxa"/>
              <w:left w:w="40" w:type="dxa"/>
              <w:bottom w:w="0" w:type="dxa"/>
              <w:right w:w="40" w:type="dxa"/>
            </w:tcMar>
            <w:vAlign w:val="center"/>
          </w:tcPr>
          <w:p w14:paraId="24BE7B0D" w14:textId="77777777" w:rsidR="0081565C" w:rsidRDefault="00C45D4B">
            <w:pPr>
              <w:jc w:val="center"/>
              <w:rPr>
                <w:rFonts w:ascii="Calibri" w:eastAsia="Calibri" w:hAnsi="Calibri" w:cs="Calibri"/>
                <w:sz w:val="22"/>
                <w:szCs w:val="22"/>
              </w:rPr>
            </w:pPr>
            <w:r>
              <w:t>2,133.70</w:t>
            </w:r>
          </w:p>
        </w:tc>
        <w:tc>
          <w:tcPr>
            <w:tcW w:w="1270" w:type="dxa"/>
            <w:tcBorders>
              <w:top w:val="single" w:sz="6" w:space="0" w:color="CCCCCC"/>
              <w:left w:val="single" w:sz="6" w:space="0" w:color="CCCCCC"/>
              <w:bottom w:val="single" w:sz="6" w:space="0" w:color="000000"/>
              <w:right w:val="single" w:sz="6" w:space="0" w:color="000000"/>
            </w:tcBorders>
            <w:shd w:val="clear" w:color="auto" w:fill="81CA95"/>
            <w:tcMar>
              <w:top w:w="0" w:type="dxa"/>
              <w:left w:w="40" w:type="dxa"/>
              <w:bottom w:w="0" w:type="dxa"/>
              <w:right w:w="40" w:type="dxa"/>
            </w:tcMar>
            <w:vAlign w:val="center"/>
          </w:tcPr>
          <w:p w14:paraId="24BE7B0E" w14:textId="77777777" w:rsidR="0081565C" w:rsidRDefault="00C45D4B">
            <w:pPr>
              <w:jc w:val="center"/>
              <w:rPr>
                <w:rFonts w:ascii="Calibri" w:eastAsia="Calibri" w:hAnsi="Calibri" w:cs="Calibri"/>
                <w:sz w:val="22"/>
                <w:szCs w:val="22"/>
              </w:rPr>
            </w:pPr>
            <w:r>
              <w:t>2,421.70</w:t>
            </w:r>
          </w:p>
        </w:tc>
        <w:tc>
          <w:tcPr>
            <w:tcW w:w="1119" w:type="dxa"/>
            <w:tcBorders>
              <w:top w:val="single" w:sz="6" w:space="0" w:color="CCCCCC"/>
              <w:left w:val="single" w:sz="6" w:space="0" w:color="CCCCCC"/>
              <w:bottom w:val="single" w:sz="6" w:space="0" w:color="000000"/>
              <w:right w:val="single" w:sz="6" w:space="0" w:color="000000"/>
            </w:tcBorders>
            <w:shd w:val="clear" w:color="auto" w:fill="81CA95"/>
            <w:tcMar>
              <w:top w:w="0" w:type="dxa"/>
              <w:left w:w="40" w:type="dxa"/>
              <w:bottom w:w="0" w:type="dxa"/>
              <w:right w:w="40" w:type="dxa"/>
            </w:tcMar>
            <w:vAlign w:val="center"/>
          </w:tcPr>
          <w:p w14:paraId="24BE7B0F" w14:textId="77777777" w:rsidR="0081565C" w:rsidRDefault="00C45D4B">
            <w:pPr>
              <w:jc w:val="center"/>
              <w:rPr>
                <w:rFonts w:ascii="Calibri" w:eastAsia="Calibri" w:hAnsi="Calibri" w:cs="Calibri"/>
                <w:sz w:val="22"/>
                <w:szCs w:val="22"/>
              </w:rPr>
            </w:pPr>
            <w:r>
              <w:t>2,420.00</w:t>
            </w:r>
          </w:p>
        </w:tc>
      </w:tr>
      <w:tr w:rsidR="0081565C" w14:paraId="24BE7B18"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4BE7B11" w14:textId="77777777" w:rsidR="0081565C" w:rsidRDefault="00C45D4B">
            <w:pPr>
              <w:jc w:val="center"/>
              <w:rPr>
                <w:rFonts w:ascii="Calibri" w:eastAsia="Calibri" w:hAnsi="Calibri" w:cs="Calibri"/>
                <w:sz w:val="22"/>
                <w:szCs w:val="22"/>
              </w:rPr>
            </w:pPr>
            <w:r>
              <w:t>Opening Inventories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4BE7B12" w14:textId="77777777" w:rsidR="0081565C" w:rsidRDefault="00C45D4B">
            <w:pPr>
              <w:jc w:val="center"/>
              <w:rPr>
                <w:rFonts w:ascii="Calibri" w:eastAsia="Calibri" w:hAnsi="Calibri" w:cs="Calibri"/>
                <w:sz w:val="22"/>
                <w:szCs w:val="22"/>
              </w:rPr>
            </w:pPr>
            <w:r>
              <w:t>C</w:t>
            </w:r>
          </w:p>
        </w:tc>
        <w:tc>
          <w:tcPr>
            <w:tcW w:w="1119" w:type="dxa"/>
            <w:tcBorders>
              <w:top w:val="single" w:sz="6" w:space="0" w:color="CCCCCC"/>
              <w:left w:val="single" w:sz="6" w:space="0" w:color="CCCCCC"/>
              <w:bottom w:val="single" w:sz="6" w:space="0" w:color="000000"/>
              <w:right w:val="single" w:sz="6" w:space="0" w:color="000000"/>
            </w:tcBorders>
            <w:shd w:val="clear" w:color="auto" w:fill="F87678"/>
            <w:tcMar>
              <w:top w:w="0" w:type="dxa"/>
              <w:left w:w="40" w:type="dxa"/>
              <w:bottom w:w="0" w:type="dxa"/>
              <w:right w:w="40" w:type="dxa"/>
            </w:tcMar>
            <w:vAlign w:val="center"/>
          </w:tcPr>
          <w:p w14:paraId="24BE7B13" w14:textId="77777777" w:rsidR="0081565C" w:rsidRDefault="00C45D4B">
            <w:pPr>
              <w:jc w:val="center"/>
              <w:rPr>
                <w:rFonts w:ascii="Calibri" w:eastAsia="Calibri" w:hAnsi="Calibri" w:cs="Calibri"/>
                <w:sz w:val="22"/>
                <w:szCs w:val="22"/>
              </w:rPr>
            </w:pPr>
            <w:r>
              <w:t>13.70</w:t>
            </w:r>
          </w:p>
        </w:tc>
        <w:tc>
          <w:tcPr>
            <w:tcW w:w="1119" w:type="dxa"/>
            <w:tcBorders>
              <w:top w:val="single" w:sz="6" w:space="0" w:color="CCCCCC"/>
              <w:left w:val="single" w:sz="6" w:space="0" w:color="CCCCCC"/>
              <w:bottom w:val="single" w:sz="6" w:space="0" w:color="000000"/>
              <w:right w:val="single" w:sz="6" w:space="0" w:color="000000"/>
            </w:tcBorders>
            <w:shd w:val="clear" w:color="auto" w:fill="F87476"/>
            <w:tcMar>
              <w:top w:w="0" w:type="dxa"/>
              <w:left w:w="40" w:type="dxa"/>
              <w:bottom w:w="0" w:type="dxa"/>
              <w:right w:w="40" w:type="dxa"/>
            </w:tcMar>
            <w:vAlign w:val="center"/>
          </w:tcPr>
          <w:p w14:paraId="24BE7B14" w14:textId="77777777" w:rsidR="0081565C" w:rsidRDefault="00C45D4B">
            <w:pPr>
              <w:jc w:val="center"/>
              <w:rPr>
                <w:rFonts w:ascii="Calibri" w:eastAsia="Calibri" w:hAnsi="Calibri" w:cs="Calibri"/>
                <w:sz w:val="22"/>
                <w:szCs w:val="22"/>
              </w:rPr>
            </w:pPr>
            <w:r>
              <w:t>12.10</w:t>
            </w:r>
          </w:p>
        </w:tc>
        <w:tc>
          <w:tcPr>
            <w:tcW w:w="1119" w:type="dxa"/>
            <w:tcBorders>
              <w:top w:val="single" w:sz="6" w:space="0" w:color="CCCCCC"/>
              <w:left w:val="single" w:sz="6" w:space="0" w:color="CCCCCC"/>
              <w:bottom w:val="single" w:sz="6" w:space="0" w:color="000000"/>
              <w:right w:val="single" w:sz="6" w:space="0" w:color="000000"/>
            </w:tcBorders>
            <w:shd w:val="clear" w:color="auto" w:fill="F87D7F"/>
            <w:tcMar>
              <w:top w:w="0" w:type="dxa"/>
              <w:left w:w="40" w:type="dxa"/>
              <w:bottom w:w="0" w:type="dxa"/>
              <w:right w:w="40" w:type="dxa"/>
            </w:tcMar>
            <w:vAlign w:val="center"/>
          </w:tcPr>
          <w:p w14:paraId="24BE7B15" w14:textId="77777777" w:rsidR="0081565C" w:rsidRDefault="00C45D4B">
            <w:pPr>
              <w:jc w:val="center"/>
              <w:rPr>
                <w:rFonts w:ascii="Calibri" w:eastAsia="Calibri" w:hAnsi="Calibri" w:cs="Calibri"/>
                <w:sz w:val="22"/>
                <w:szCs w:val="22"/>
              </w:rPr>
            </w:pPr>
            <w:r>
              <w:t>19.40</w:t>
            </w:r>
          </w:p>
        </w:tc>
        <w:tc>
          <w:tcPr>
            <w:tcW w:w="1270" w:type="dxa"/>
            <w:tcBorders>
              <w:top w:val="single" w:sz="6" w:space="0" w:color="CCCCCC"/>
              <w:left w:val="single" w:sz="6" w:space="0" w:color="CCCCCC"/>
              <w:bottom w:val="single" w:sz="6" w:space="0" w:color="000000"/>
              <w:right w:val="single" w:sz="6" w:space="0" w:color="000000"/>
            </w:tcBorders>
            <w:shd w:val="clear" w:color="auto" w:fill="F87F82"/>
            <w:tcMar>
              <w:top w:w="0" w:type="dxa"/>
              <w:left w:w="40" w:type="dxa"/>
              <w:bottom w:w="0" w:type="dxa"/>
              <w:right w:w="40" w:type="dxa"/>
            </w:tcMar>
            <w:vAlign w:val="center"/>
          </w:tcPr>
          <w:p w14:paraId="24BE7B16" w14:textId="77777777" w:rsidR="0081565C" w:rsidRDefault="00C45D4B">
            <w:pPr>
              <w:jc w:val="center"/>
              <w:rPr>
                <w:rFonts w:ascii="Calibri" w:eastAsia="Calibri" w:hAnsi="Calibri" w:cs="Calibri"/>
                <w:sz w:val="22"/>
                <w:szCs w:val="22"/>
              </w:rPr>
            </w:pPr>
            <w:r>
              <w:t>21.70</w:t>
            </w:r>
          </w:p>
        </w:tc>
        <w:tc>
          <w:tcPr>
            <w:tcW w:w="1119" w:type="dxa"/>
            <w:tcBorders>
              <w:top w:val="single" w:sz="6" w:space="0" w:color="CCCCCC"/>
              <w:left w:val="single" w:sz="6" w:space="0" w:color="CCCCCC"/>
              <w:bottom w:val="single" w:sz="6" w:space="0" w:color="000000"/>
              <w:right w:val="single" w:sz="6" w:space="0" w:color="000000"/>
            </w:tcBorders>
            <w:shd w:val="clear" w:color="auto" w:fill="F87F81"/>
            <w:tcMar>
              <w:top w:w="0" w:type="dxa"/>
              <w:left w:w="40" w:type="dxa"/>
              <w:bottom w:w="0" w:type="dxa"/>
              <w:right w:w="40" w:type="dxa"/>
            </w:tcMar>
            <w:vAlign w:val="center"/>
          </w:tcPr>
          <w:p w14:paraId="24BE7B17" w14:textId="77777777" w:rsidR="0081565C" w:rsidRDefault="00C45D4B">
            <w:pPr>
              <w:jc w:val="center"/>
              <w:rPr>
                <w:rFonts w:ascii="Calibri" w:eastAsia="Calibri" w:hAnsi="Calibri" w:cs="Calibri"/>
                <w:sz w:val="22"/>
                <w:szCs w:val="22"/>
              </w:rPr>
            </w:pPr>
            <w:r>
              <w:t>21.20</w:t>
            </w:r>
          </w:p>
        </w:tc>
      </w:tr>
      <w:tr w:rsidR="0081565C" w14:paraId="24BE7B20"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4BE7B19" w14:textId="77777777" w:rsidR="0081565C" w:rsidRDefault="00C45D4B">
            <w:pPr>
              <w:jc w:val="center"/>
              <w:rPr>
                <w:rFonts w:ascii="Calibri" w:eastAsia="Calibri" w:hAnsi="Calibri" w:cs="Calibri"/>
                <w:sz w:val="22"/>
                <w:szCs w:val="22"/>
              </w:rPr>
            </w:pPr>
            <w:r>
              <w:t>Closing Inventories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4BE7B1A" w14:textId="77777777" w:rsidR="0081565C" w:rsidRDefault="00C45D4B">
            <w:pPr>
              <w:jc w:val="center"/>
              <w:rPr>
                <w:rFonts w:ascii="Calibri" w:eastAsia="Calibri" w:hAnsi="Calibri" w:cs="Calibri"/>
                <w:sz w:val="22"/>
                <w:szCs w:val="22"/>
              </w:rPr>
            </w:pPr>
            <w:r>
              <w:t>D</w:t>
            </w:r>
          </w:p>
        </w:tc>
        <w:tc>
          <w:tcPr>
            <w:tcW w:w="1119" w:type="dxa"/>
            <w:tcBorders>
              <w:top w:val="single" w:sz="6" w:space="0" w:color="CCCCCC"/>
              <w:left w:val="single" w:sz="6" w:space="0" w:color="CCCCCC"/>
              <w:bottom w:val="single" w:sz="6" w:space="0" w:color="000000"/>
              <w:right w:val="single" w:sz="6" w:space="0" w:color="000000"/>
            </w:tcBorders>
            <w:shd w:val="clear" w:color="auto" w:fill="F87476"/>
            <w:tcMar>
              <w:top w:w="0" w:type="dxa"/>
              <w:left w:w="40" w:type="dxa"/>
              <w:bottom w:w="0" w:type="dxa"/>
              <w:right w:w="40" w:type="dxa"/>
            </w:tcMar>
            <w:vAlign w:val="center"/>
          </w:tcPr>
          <w:p w14:paraId="24BE7B1B" w14:textId="77777777" w:rsidR="0081565C" w:rsidRDefault="00C45D4B">
            <w:pPr>
              <w:jc w:val="center"/>
              <w:rPr>
                <w:rFonts w:ascii="Calibri" w:eastAsia="Calibri" w:hAnsi="Calibri" w:cs="Calibri"/>
                <w:sz w:val="22"/>
                <w:szCs w:val="22"/>
              </w:rPr>
            </w:pPr>
            <w:r>
              <w:t>12.10</w:t>
            </w:r>
          </w:p>
        </w:tc>
        <w:tc>
          <w:tcPr>
            <w:tcW w:w="1119" w:type="dxa"/>
            <w:tcBorders>
              <w:top w:val="single" w:sz="6" w:space="0" w:color="CCCCCC"/>
              <w:left w:val="single" w:sz="6" w:space="0" w:color="CCCCCC"/>
              <w:bottom w:val="single" w:sz="6" w:space="0" w:color="000000"/>
              <w:right w:val="single" w:sz="6" w:space="0" w:color="000000"/>
            </w:tcBorders>
            <w:shd w:val="clear" w:color="auto" w:fill="F87D7F"/>
            <w:tcMar>
              <w:top w:w="0" w:type="dxa"/>
              <w:left w:w="40" w:type="dxa"/>
              <w:bottom w:w="0" w:type="dxa"/>
              <w:right w:w="40" w:type="dxa"/>
            </w:tcMar>
            <w:vAlign w:val="center"/>
          </w:tcPr>
          <w:p w14:paraId="24BE7B1C" w14:textId="77777777" w:rsidR="0081565C" w:rsidRDefault="00C45D4B">
            <w:pPr>
              <w:jc w:val="center"/>
              <w:rPr>
                <w:rFonts w:ascii="Calibri" w:eastAsia="Calibri" w:hAnsi="Calibri" w:cs="Calibri"/>
                <w:sz w:val="22"/>
                <w:szCs w:val="22"/>
              </w:rPr>
            </w:pPr>
            <w:r>
              <w:t>19.40</w:t>
            </w:r>
          </w:p>
        </w:tc>
        <w:tc>
          <w:tcPr>
            <w:tcW w:w="1119" w:type="dxa"/>
            <w:tcBorders>
              <w:top w:val="single" w:sz="6" w:space="0" w:color="CCCCCC"/>
              <w:left w:val="single" w:sz="6" w:space="0" w:color="CCCCCC"/>
              <w:bottom w:val="single" w:sz="6" w:space="0" w:color="000000"/>
              <w:right w:val="single" w:sz="6" w:space="0" w:color="000000"/>
            </w:tcBorders>
            <w:shd w:val="clear" w:color="auto" w:fill="F87F82"/>
            <w:tcMar>
              <w:top w:w="0" w:type="dxa"/>
              <w:left w:w="40" w:type="dxa"/>
              <w:bottom w:w="0" w:type="dxa"/>
              <w:right w:w="40" w:type="dxa"/>
            </w:tcMar>
            <w:vAlign w:val="center"/>
          </w:tcPr>
          <w:p w14:paraId="24BE7B1D" w14:textId="77777777" w:rsidR="0081565C" w:rsidRDefault="00C45D4B">
            <w:pPr>
              <w:jc w:val="center"/>
              <w:rPr>
                <w:rFonts w:ascii="Calibri" w:eastAsia="Calibri" w:hAnsi="Calibri" w:cs="Calibri"/>
                <w:sz w:val="22"/>
                <w:szCs w:val="22"/>
              </w:rPr>
            </w:pPr>
            <w:r>
              <w:t>21.70</w:t>
            </w:r>
          </w:p>
        </w:tc>
        <w:tc>
          <w:tcPr>
            <w:tcW w:w="1270" w:type="dxa"/>
            <w:tcBorders>
              <w:top w:val="single" w:sz="6" w:space="0" w:color="CCCCCC"/>
              <w:left w:val="single" w:sz="6" w:space="0" w:color="CCCCCC"/>
              <w:bottom w:val="single" w:sz="6" w:space="0" w:color="000000"/>
              <w:right w:val="single" w:sz="6" w:space="0" w:color="000000"/>
            </w:tcBorders>
            <w:shd w:val="clear" w:color="auto" w:fill="F87F81"/>
            <w:tcMar>
              <w:top w:w="0" w:type="dxa"/>
              <w:left w:w="40" w:type="dxa"/>
              <w:bottom w:w="0" w:type="dxa"/>
              <w:right w:w="40" w:type="dxa"/>
            </w:tcMar>
            <w:vAlign w:val="center"/>
          </w:tcPr>
          <w:p w14:paraId="24BE7B1E" w14:textId="77777777" w:rsidR="0081565C" w:rsidRDefault="00C45D4B">
            <w:pPr>
              <w:jc w:val="center"/>
              <w:rPr>
                <w:rFonts w:ascii="Calibri" w:eastAsia="Calibri" w:hAnsi="Calibri" w:cs="Calibri"/>
                <w:sz w:val="22"/>
                <w:szCs w:val="22"/>
              </w:rPr>
            </w:pPr>
            <w:r>
              <w:t>21.20</w:t>
            </w:r>
          </w:p>
        </w:tc>
        <w:tc>
          <w:tcPr>
            <w:tcW w:w="1119" w:type="dxa"/>
            <w:tcBorders>
              <w:top w:val="single" w:sz="6" w:space="0" w:color="CCCCCC"/>
              <w:left w:val="single" w:sz="6" w:space="0" w:color="CCCCCC"/>
              <w:bottom w:val="single" w:sz="6" w:space="0" w:color="000000"/>
              <w:right w:val="single" w:sz="6" w:space="0" w:color="000000"/>
            </w:tcBorders>
            <w:shd w:val="clear" w:color="auto" w:fill="F87A7C"/>
            <w:tcMar>
              <w:top w:w="0" w:type="dxa"/>
              <w:left w:w="40" w:type="dxa"/>
              <w:bottom w:w="0" w:type="dxa"/>
              <w:right w:w="40" w:type="dxa"/>
            </w:tcMar>
            <w:vAlign w:val="center"/>
          </w:tcPr>
          <w:p w14:paraId="24BE7B1F" w14:textId="77777777" w:rsidR="0081565C" w:rsidRDefault="00C45D4B">
            <w:pPr>
              <w:jc w:val="center"/>
              <w:rPr>
                <w:rFonts w:ascii="Calibri" w:eastAsia="Calibri" w:hAnsi="Calibri" w:cs="Calibri"/>
                <w:sz w:val="22"/>
                <w:szCs w:val="22"/>
              </w:rPr>
            </w:pPr>
            <w:r>
              <w:t>17.10</w:t>
            </w:r>
          </w:p>
        </w:tc>
      </w:tr>
      <w:tr w:rsidR="0081565C" w14:paraId="24BE7B28" w14:textId="77777777">
        <w:trPr>
          <w:trHeight w:val="55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4BE7B21" w14:textId="77777777" w:rsidR="0081565C" w:rsidRDefault="00C45D4B">
            <w:pPr>
              <w:jc w:val="center"/>
              <w:rPr>
                <w:rFonts w:ascii="Calibri" w:eastAsia="Calibri" w:hAnsi="Calibri" w:cs="Calibri"/>
                <w:sz w:val="22"/>
                <w:szCs w:val="22"/>
              </w:rPr>
            </w:pPr>
            <w:r>
              <w:t>Average Inventories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4BE7B22" w14:textId="77777777" w:rsidR="0081565C" w:rsidRDefault="00C45D4B">
            <w:pPr>
              <w:jc w:val="center"/>
              <w:rPr>
                <w:rFonts w:ascii="Calibri" w:eastAsia="Calibri" w:hAnsi="Calibri" w:cs="Calibri"/>
                <w:sz w:val="22"/>
                <w:szCs w:val="22"/>
              </w:rPr>
            </w:pPr>
            <w:r>
              <w:t>E=(C+D)/2</w:t>
            </w:r>
          </w:p>
        </w:tc>
        <w:tc>
          <w:tcPr>
            <w:tcW w:w="1119" w:type="dxa"/>
            <w:tcBorders>
              <w:top w:val="single" w:sz="6" w:space="0" w:color="CCCCCC"/>
              <w:left w:val="single" w:sz="6" w:space="0" w:color="CCCCCC"/>
              <w:bottom w:val="single" w:sz="6" w:space="0" w:color="000000"/>
              <w:right w:val="single" w:sz="6" w:space="0" w:color="000000"/>
            </w:tcBorders>
            <w:shd w:val="clear" w:color="auto" w:fill="F87577"/>
            <w:tcMar>
              <w:top w:w="0" w:type="dxa"/>
              <w:left w:w="40" w:type="dxa"/>
              <w:bottom w:w="0" w:type="dxa"/>
              <w:right w:w="40" w:type="dxa"/>
            </w:tcMar>
            <w:vAlign w:val="center"/>
          </w:tcPr>
          <w:p w14:paraId="24BE7B23" w14:textId="77777777" w:rsidR="0081565C" w:rsidRDefault="00C45D4B">
            <w:pPr>
              <w:jc w:val="center"/>
              <w:rPr>
                <w:rFonts w:ascii="Calibri" w:eastAsia="Calibri" w:hAnsi="Calibri" w:cs="Calibri"/>
                <w:sz w:val="22"/>
                <w:szCs w:val="22"/>
              </w:rPr>
            </w:pPr>
            <w:r>
              <w:t>12.90</w:t>
            </w:r>
          </w:p>
        </w:tc>
        <w:tc>
          <w:tcPr>
            <w:tcW w:w="1119" w:type="dxa"/>
            <w:tcBorders>
              <w:top w:val="single" w:sz="6" w:space="0" w:color="CCCCCC"/>
              <w:left w:val="single" w:sz="6" w:space="0" w:color="CCCCCC"/>
              <w:bottom w:val="single" w:sz="6" w:space="0" w:color="000000"/>
              <w:right w:val="single" w:sz="6" w:space="0" w:color="000000"/>
            </w:tcBorders>
            <w:shd w:val="clear" w:color="auto" w:fill="F8787A"/>
            <w:tcMar>
              <w:top w:w="0" w:type="dxa"/>
              <w:left w:w="40" w:type="dxa"/>
              <w:bottom w:w="0" w:type="dxa"/>
              <w:right w:w="40" w:type="dxa"/>
            </w:tcMar>
            <w:vAlign w:val="center"/>
          </w:tcPr>
          <w:p w14:paraId="24BE7B24" w14:textId="77777777" w:rsidR="0081565C" w:rsidRDefault="00C45D4B">
            <w:pPr>
              <w:jc w:val="center"/>
              <w:rPr>
                <w:rFonts w:ascii="Calibri" w:eastAsia="Calibri" w:hAnsi="Calibri" w:cs="Calibri"/>
                <w:sz w:val="22"/>
                <w:szCs w:val="22"/>
              </w:rPr>
            </w:pPr>
            <w:r>
              <w:t>15.75</w:t>
            </w:r>
          </w:p>
        </w:tc>
        <w:tc>
          <w:tcPr>
            <w:tcW w:w="1119" w:type="dxa"/>
            <w:tcBorders>
              <w:top w:val="single" w:sz="6" w:space="0" w:color="CCCCCC"/>
              <w:left w:val="single" w:sz="6" w:space="0" w:color="CCCCCC"/>
              <w:bottom w:val="single" w:sz="6" w:space="0" w:color="000000"/>
              <w:right w:val="single" w:sz="6" w:space="0" w:color="000000"/>
            </w:tcBorders>
            <w:shd w:val="clear" w:color="auto" w:fill="F87E80"/>
            <w:tcMar>
              <w:top w:w="0" w:type="dxa"/>
              <w:left w:w="40" w:type="dxa"/>
              <w:bottom w:w="0" w:type="dxa"/>
              <w:right w:w="40" w:type="dxa"/>
            </w:tcMar>
            <w:vAlign w:val="center"/>
          </w:tcPr>
          <w:p w14:paraId="24BE7B25" w14:textId="77777777" w:rsidR="0081565C" w:rsidRDefault="00C45D4B">
            <w:pPr>
              <w:jc w:val="center"/>
              <w:rPr>
                <w:rFonts w:ascii="Calibri" w:eastAsia="Calibri" w:hAnsi="Calibri" w:cs="Calibri"/>
                <w:sz w:val="22"/>
                <w:szCs w:val="22"/>
              </w:rPr>
            </w:pPr>
            <w:r>
              <w:t>20.55</w:t>
            </w:r>
          </w:p>
        </w:tc>
        <w:tc>
          <w:tcPr>
            <w:tcW w:w="1270" w:type="dxa"/>
            <w:tcBorders>
              <w:top w:val="single" w:sz="6" w:space="0" w:color="CCCCCC"/>
              <w:left w:val="single" w:sz="6" w:space="0" w:color="CCCCCC"/>
              <w:bottom w:val="single" w:sz="6" w:space="0" w:color="000000"/>
              <w:right w:val="single" w:sz="6" w:space="0" w:color="000000"/>
            </w:tcBorders>
            <w:shd w:val="clear" w:color="auto" w:fill="F87F81"/>
            <w:tcMar>
              <w:top w:w="0" w:type="dxa"/>
              <w:left w:w="40" w:type="dxa"/>
              <w:bottom w:w="0" w:type="dxa"/>
              <w:right w:w="40" w:type="dxa"/>
            </w:tcMar>
            <w:vAlign w:val="center"/>
          </w:tcPr>
          <w:p w14:paraId="24BE7B26" w14:textId="77777777" w:rsidR="0081565C" w:rsidRDefault="00C45D4B">
            <w:pPr>
              <w:jc w:val="center"/>
              <w:rPr>
                <w:rFonts w:ascii="Calibri" w:eastAsia="Calibri" w:hAnsi="Calibri" w:cs="Calibri"/>
                <w:sz w:val="22"/>
                <w:szCs w:val="22"/>
              </w:rPr>
            </w:pPr>
            <w:r>
              <w:t>21.45</w:t>
            </w:r>
          </w:p>
        </w:tc>
        <w:tc>
          <w:tcPr>
            <w:tcW w:w="1119" w:type="dxa"/>
            <w:tcBorders>
              <w:top w:val="single" w:sz="6" w:space="0" w:color="CCCCCC"/>
              <w:left w:val="single" w:sz="6" w:space="0" w:color="CCCCCC"/>
              <w:bottom w:val="single" w:sz="6" w:space="0" w:color="000000"/>
              <w:right w:val="single" w:sz="6" w:space="0" w:color="000000"/>
            </w:tcBorders>
            <w:shd w:val="clear" w:color="auto" w:fill="F87C7F"/>
            <w:tcMar>
              <w:top w:w="0" w:type="dxa"/>
              <w:left w:w="40" w:type="dxa"/>
              <w:bottom w:w="0" w:type="dxa"/>
              <w:right w:w="40" w:type="dxa"/>
            </w:tcMar>
            <w:vAlign w:val="center"/>
          </w:tcPr>
          <w:p w14:paraId="24BE7B27" w14:textId="77777777" w:rsidR="0081565C" w:rsidRDefault="00C45D4B">
            <w:pPr>
              <w:jc w:val="center"/>
              <w:rPr>
                <w:rFonts w:ascii="Calibri" w:eastAsia="Calibri" w:hAnsi="Calibri" w:cs="Calibri"/>
                <w:sz w:val="22"/>
                <w:szCs w:val="22"/>
              </w:rPr>
            </w:pPr>
            <w:r>
              <w:t>19.15</w:t>
            </w:r>
          </w:p>
        </w:tc>
      </w:tr>
      <w:tr w:rsidR="0081565C" w14:paraId="24BE7B30"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4BE7B29" w14:textId="77777777" w:rsidR="0081565C" w:rsidRDefault="00C45D4B">
            <w:pPr>
              <w:jc w:val="center"/>
              <w:rPr>
                <w:rFonts w:ascii="Calibri" w:eastAsia="Calibri" w:hAnsi="Calibri" w:cs="Calibri"/>
                <w:sz w:val="22"/>
                <w:szCs w:val="22"/>
              </w:rPr>
            </w:pPr>
            <w:r>
              <w:t>Opening Receivables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4BE7B2A" w14:textId="77777777" w:rsidR="0081565C" w:rsidRDefault="00C45D4B">
            <w:pPr>
              <w:jc w:val="center"/>
              <w:rPr>
                <w:rFonts w:ascii="Calibri" w:eastAsia="Calibri" w:hAnsi="Calibri" w:cs="Calibri"/>
                <w:sz w:val="22"/>
                <w:szCs w:val="22"/>
              </w:rPr>
            </w:pPr>
            <w:r>
              <w:t>F</w:t>
            </w:r>
          </w:p>
        </w:tc>
        <w:tc>
          <w:tcPr>
            <w:tcW w:w="1119" w:type="dxa"/>
            <w:tcBorders>
              <w:top w:val="single" w:sz="6" w:space="0" w:color="CCCCCC"/>
              <w:left w:val="single" w:sz="6" w:space="0" w:color="CCCCCC"/>
              <w:bottom w:val="single" w:sz="6" w:space="0" w:color="000000"/>
              <w:right w:val="single" w:sz="6" w:space="0" w:color="000000"/>
            </w:tcBorders>
            <w:shd w:val="clear" w:color="auto" w:fill="F3F9F8"/>
            <w:tcMar>
              <w:top w:w="0" w:type="dxa"/>
              <w:left w:w="40" w:type="dxa"/>
              <w:bottom w:w="0" w:type="dxa"/>
              <w:right w:w="40" w:type="dxa"/>
            </w:tcMar>
            <w:vAlign w:val="center"/>
          </w:tcPr>
          <w:p w14:paraId="24BE7B2B" w14:textId="77777777" w:rsidR="0081565C" w:rsidRDefault="00C45D4B">
            <w:pPr>
              <w:jc w:val="center"/>
              <w:rPr>
                <w:rFonts w:ascii="Calibri" w:eastAsia="Calibri" w:hAnsi="Calibri" w:cs="Calibri"/>
                <w:sz w:val="22"/>
                <w:szCs w:val="22"/>
              </w:rPr>
            </w:pPr>
            <w:r>
              <w:t>292.80</w:t>
            </w:r>
          </w:p>
        </w:tc>
        <w:tc>
          <w:tcPr>
            <w:tcW w:w="1119" w:type="dxa"/>
            <w:tcBorders>
              <w:top w:val="single" w:sz="6" w:space="0" w:color="CCCCCC"/>
              <w:left w:val="single" w:sz="6" w:space="0" w:color="CCCCCC"/>
              <w:bottom w:val="single" w:sz="6" w:space="0" w:color="000000"/>
              <w:right w:val="single" w:sz="6" w:space="0" w:color="000000"/>
            </w:tcBorders>
            <w:shd w:val="clear" w:color="auto" w:fill="FAC0C2"/>
            <w:tcMar>
              <w:top w:w="0" w:type="dxa"/>
              <w:left w:w="40" w:type="dxa"/>
              <w:bottom w:w="0" w:type="dxa"/>
              <w:right w:w="40" w:type="dxa"/>
            </w:tcMar>
            <w:vAlign w:val="center"/>
          </w:tcPr>
          <w:p w14:paraId="24BE7B2C" w14:textId="77777777" w:rsidR="0081565C" w:rsidRDefault="00C45D4B">
            <w:pPr>
              <w:jc w:val="center"/>
              <w:rPr>
                <w:rFonts w:ascii="Calibri" w:eastAsia="Calibri" w:hAnsi="Calibri" w:cs="Calibri"/>
                <w:sz w:val="22"/>
                <w:szCs w:val="22"/>
              </w:rPr>
            </w:pPr>
            <w:r>
              <w:t>74.20</w:t>
            </w:r>
          </w:p>
        </w:tc>
        <w:tc>
          <w:tcPr>
            <w:tcW w:w="1119" w:type="dxa"/>
            <w:tcBorders>
              <w:top w:val="single" w:sz="6" w:space="0" w:color="CCCCCC"/>
              <w:left w:val="single" w:sz="6" w:space="0" w:color="CCCCCC"/>
              <w:bottom w:val="single" w:sz="6" w:space="0" w:color="000000"/>
              <w:right w:val="single" w:sz="6" w:space="0" w:color="000000"/>
            </w:tcBorders>
            <w:shd w:val="clear" w:color="auto" w:fill="FBF3F6"/>
            <w:tcMar>
              <w:top w:w="0" w:type="dxa"/>
              <w:left w:w="40" w:type="dxa"/>
              <w:bottom w:w="0" w:type="dxa"/>
              <w:right w:w="40" w:type="dxa"/>
            </w:tcMar>
            <w:vAlign w:val="center"/>
          </w:tcPr>
          <w:p w14:paraId="24BE7B2D" w14:textId="77777777" w:rsidR="0081565C" w:rsidRDefault="00C45D4B">
            <w:pPr>
              <w:jc w:val="center"/>
              <w:rPr>
                <w:rFonts w:ascii="Calibri" w:eastAsia="Calibri" w:hAnsi="Calibri" w:cs="Calibri"/>
                <w:sz w:val="22"/>
                <w:szCs w:val="22"/>
              </w:rPr>
            </w:pPr>
            <w:r>
              <w:t>116.40</w:t>
            </w:r>
          </w:p>
        </w:tc>
        <w:tc>
          <w:tcPr>
            <w:tcW w:w="1270" w:type="dxa"/>
            <w:tcBorders>
              <w:top w:val="single" w:sz="6" w:space="0" w:color="CCCCCC"/>
              <w:left w:val="single" w:sz="6" w:space="0" w:color="CCCCCC"/>
              <w:bottom w:val="single" w:sz="6" w:space="0" w:color="000000"/>
              <w:right w:val="single" w:sz="6" w:space="0" w:color="000000"/>
            </w:tcBorders>
            <w:shd w:val="clear" w:color="auto" w:fill="FBFCFF"/>
            <w:tcMar>
              <w:top w:w="0" w:type="dxa"/>
              <w:left w:w="40" w:type="dxa"/>
              <w:bottom w:w="0" w:type="dxa"/>
              <w:right w:w="40" w:type="dxa"/>
            </w:tcMar>
            <w:vAlign w:val="center"/>
          </w:tcPr>
          <w:p w14:paraId="24BE7B2E" w14:textId="77777777" w:rsidR="0081565C" w:rsidRDefault="00C45D4B">
            <w:pPr>
              <w:jc w:val="center"/>
              <w:rPr>
                <w:rFonts w:ascii="Calibri" w:eastAsia="Calibri" w:hAnsi="Calibri" w:cs="Calibri"/>
                <w:sz w:val="22"/>
                <w:szCs w:val="22"/>
              </w:rPr>
            </w:pPr>
            <w:r>
              <w:t>141.80</w:t>
            </w:r>
          </w:p>
        </w:tc>
        <w:tc>
          <w:tcPr>
            <w:tcW w:w="1119" w:type="dxa"/>
            <w:tcBorders>
              <w:top w:val="single" w:sz="6" w:space="0" w:color="CCCCCC"/>
              <w:left w:val="single" w:sz="6" w:space="0" w:color="CCCCCC"/>
              <w:bottom w:val="single" w:sz="6" w:space="0" w:color="000000"/>
              <w:right w:val="single" w:sz="6" w:space="0" w:color="000000"/>
            </w:tcBorders>
            <w:shd w:val="clear" w:color="auto" w:fill="FBF7FA"/>
            <w:tcMar>
              <w:top w:w="0" w:type="dxa"/>
              <w:left w:w="40" w:type="dxa"/>
              <w:bottom w:w="0" w:type="dxa"/>
              <w:right w:w="40" w:type="dxa"/>
            </w:tcMar>
            <w:vAlign w:val="center"/>
          </w:tcPr>
          <w:p w14:paraId="24BE7B2F" w14:textId="77777777" w:rsidR="0081565C" w:rsidRDefault="00C45D4B">
            <w:pPr>
              <w:jc w:val="center"/>
              <w:rPr>
                <w:rFonts w:ascii="Calibri" w:eastAsia="Calibri" w:hAnsi="Calibri" w:cs="Calibri"/>
                <w:sz w:val="22"/>
                <w:szCs w:val="22"/>
              </w:rPr>
            </w:pPr>
            <w:r>
              <w:t>119.30</w:t>
            </w:r>
          </w:p>
        </w:tc>
      </w:tr>
      <w:tr w:rsidR="0081565C" w14:paraId="24BE7B38"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4BE7B31" w14:textId="77777777" w:rsidR="0081565C" w:rsidRDefault="00C45D4B">
            <w:pPr>
              <w:jc w:val="center"/>
              <w:rPr>
                <w:rFonts w:ascii="Calibri" w:eastAsia="Calibri" w:hAnsi="Calibri" w:cs="Calibri"/>
                <w:sz w:val="22"/>
                <w:szCs w:val="22"/>
              </w:rPr>
            </w:pPr>
            <w:r>
              <w:t>Closing Receivables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4BE7B32" w14:textId="77777777" w:rsidR="0081565C" w:rsidRDefault="00C45D4B">
            <w:pPr>
              <w:jc w:val="center"/>
              <w:rPr>
                <w:rFonts w:ascii="Calibri" w:eastAsia="Calibri" w:hAnsi="Calibri" w:cs="Calibri"/>
                <w:sz w:val="22"/>
                <w:szCs w:val="22"/>
              </w:rPr>
            </w:pPr>
            <w:r>
              <w:t>G</w:t>
            </w:r>
          </w:p>
        </w:tc>
        <w:tc>
          <w:tcPr>
            <w:tcW w:w="1119" w:type="dxa"/>
            <w:tcBorders>
              <w:top w:val="single" w:sz="6" w:space="0" w:color="CCCCCC"/>
              <w:left w:val="single" w:sz="6" w:space="0" w:color="CCCCCC"/>
              <w:bottom w:val="single" w:sz="6" w:space="0" w:color="000000"/>
              <w:right w:val="single" w:sz="6" w:space="0" w:color="000000"/>
            </w:tcBorders>
            <w:shd w:val="clear" w:color="auto" w:fill="FAC0C2"/>
            <w:tcMar>
              <w:top w:w="0" w:type="dxa"/>
              <w:left w:w="40" w:type="dxa"/>
              <w:bottom w:w="0" w:type="dxa"/>
              <w:right w:w="40" w:type="dxa"/>
            </w:tcMar>
            <w:vAlign w:val="center"/>
          </w:tcPr>
          <w:p w14:paraId="24BE7B33" w14:textId="77777777" w:rsidR="0081565C" w:rsidRDefault="00C45D4B">
            <w:pPr>
              <w:jc w:val="center"/>
              <w:rPr>
                <w:rFonts w:ascii="Calibri" w:eastAsia="Calibri" w:hAnsi="Calibri" w:cs="Calibri"/>
                <w:sz w:val="22"/>
                <w:szCs w:val="22"/>
              </w:rPr>
            </w:pPr>
            <w:r>
              <w:t>74.20</w:t>
            </w:r>
          </w:p>
        </w:tc>
        <w:tc>
          <w:tcPr>
            <w:tcW w:w="1119" w:type="dxa"/>
            <w:tcBorders>
              <w:top w:val="single" w:sz="6" w:space="0" w:color="CCCCCC"/>
              <w:left w:val="single" w:sz="6" w:space="0" w:color="CCCCCC"/>
              <w:bottom w:val="single" w:sz="6" w:space="0" w:color="000000"/>
              <w:right w:val="single" w:sz="6" w:space="0" w:color="000000"/>
            </w:tcBorders>
            <w:shd w:val="clear" w:color="auto" w:fill="FBF3F6"/>
            <w:tcMar>
              <w:top w:w="0" w:type="dxa"/>
              <w:left w:w="40" w:type="dxa"/>
              <w:bottom w:w="0" w:type="dxa"/>
              <w:right w:w="40" w:type="dxa"/>
            </w:tcMar>
            <w:vAlign w:val="center"/>
          </w:tcPr>
          <w:p w14:paraId="24BE7B34" w14:textId="77777777" w:rsidR="0081565C" w:rsidRDefault="00C45D4B">
            <w:pPr>
              <w:jc w:val="center"/>
              <w:rPr>
                <w:rFonts w:ascii="Calibri" w:eastAsia="Calibri" w:hAnsi="Calibri" w:cs="Calibri"/>
                <w:sz w:val="22"/>
                <w:szCs w:val="22"/>
              </w:rPr>
            </w:pPr>
            <w:r>
              <w:t>116.40</w:t>
            </w:r>
          </w:p>
        </w:tc>
        <w:tc>
          <w:tcPr>
            <w:tcW w:w="1119" w:type="dxa"/>
            <w:tcBorders>
              <w:top w:val="single" w:sz="6" w:space="0" w:color="CCCCCC"/>
              <w:left w:val="single" w:sz="6" w:space="0" w:color="CCCCCC"/>
              <w:bottom w:val="single" w:sz="6" w:space="0" w:color="000000"/>
              <w:right w:val="single" w:sz="6" w:space="0" w:color="000000"/>
            </w:tcBorders>
            <w:shd w:val="clear" w:color="auto" w:fill="FBFCFF"/>
            <w:tcMar>
              <w:top w:w="0" w:type="dxa"/>
              <w:left w:w="40" w:type="dxa"/>
              <w:bottom w:w="0" w:type="dxa"/>
              <w:right w:w="40" w:type="dxa"/>
            </w:tcMar>
            <w:vAlign w:val="center"/>
          </w:tcPr>
          <w:p w14:paraId="24BE7B35" w14:textId="77777777" w:rsidR="0081565C" w:rsidRDefault="00C45D4B">
            <w:pPr>
              <w:jc w:val="center"/>
              <w:rPr>
                <w:rFonts w:ascii="Calibri" w:eastAsia="Calibri" w:hAnsi="Calibri" w:cs="Calibri"/>
                <w:sz w:val="22"/>
                <w:szCs w:val="22"/>
              </w:rPr>
            </w:pPr>
            <w:r>
              <w:t>141.80</w:t>
            </w:r>
          </w:p>
        </w:tc>
        <w:tc>
          <w:tcPr>
            <w:tcW w:w="1270" w:type="dxa"/>
            <w:tcBorders>
              <w:top w:val="single" w:sz="6" w:space="0" w:color="CCCCCC"/>
              <w:left w:val="single" w:sz="6" w:space="0" w:color="CCCCCC"/>
              <w:bottom w:val="single" w:sz="6" w:space="0" w:color="000000"/>
              <w:right w:val="single" w:sz="6" w:space="0" w:color="000000"/>
            </w:tcBorders>
            <w:shd w:val="clear" w:color="auto" w:fill="FBF7FA"/>
            <w:tcMar>
              <w:top w:w="0" w:type="dxa"/>
              <w:left w:w="40" w:type="dxa"/>
              <w:bottom w:w="0" w:type="dxa"/>
              <w:right w:w="40" w:type="dxa"/>
            </w:tcMar>
            <w:vAlign w:val="center"/>
          </w:tcPr>
          <w:p w14:paraId="24BE7B36" w14:textId="77777777" w:rsidR="0081565C" w:rsidRDefault="00C45D4B">
            <w:pPr>
              <w:jc w:val="center"/>
              <w:rPr>
                <w:rFonts w:ascii="Calibri" w:eastAsia="Calibri" w:hAnsi="Calibri" w:cs="Calibri"/>
                <w:sz w:val="22"/>
                <w:szCs w:val="22"/>
              </w:rPr>
            </w:pPr>
            <w:r>
              <w:t>119.30</w:t>
            </w:r>
          </w:p>
        </w:tc>
        <w:tc>
          <w:tcPr>
            <w:tcW w:w="1119" w:type="dxa"/>
            <w:tcBorders>
              <w:top w:val="single" w:sz="6" w:space="0" w:color="CCCCCC"/>
              <w:left w:val="single" w:sz="6" w:space="0" w:color="CCCCCC"/>
              <w:bottom w:val="single" w:sz="6" w:space="0" w:color="000000"/>
              <w:right w:val="single" w:sz="6" w:space="0" w:color="000000"/>
            </w:tcBorders>
            <w:shd w:val="clear" w:color="auto" w:fill="FCFCFF"/>
            <w:tcMar>
              <w:top w:w="0" w:type="dxa"/>
              <w:left w:w="40" w:type="dxa"/>
              <w:bottom w:w="0" w:type="dxa"/>
              <w:right w:w="40" w:type="dxa"/>
            </w:tcMar>
            <w:vAlign w:val="center"/>
          </w:tcPr>
          <w:p w14:paraId="24BE7B37" w14:textId="77777777" w:rsidR="0081565C" w:rsidRDefault="00C45D4B">
            <w:pPr>
              <w:jc w:val="center"/>
              <w:rPr>
                <w:rFonts w:ascii="Calibri" w:eastAsia="Calibri" w:hAnsi="Calibri" w:cs="Calibri"/>
                <w:sz w:val="22"/>
                <w:szCs w:val="22"/>
              </w:rPr>
            </w:pPr>
            <w:r>
              <w:t>127.10</w:t>
            </w:r>
          </w:p>
        </w:tc>
      </w:tr>
      <w:tr w:rsidR="0081565C" w14:paraId="24BE7B40" w14:textId="77777777">
        <w:trPr>
          <w:trHeight w:val="55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4BE7B39" w14:textId="77777777" w:rsidR="0081565C" w:rsidRDefault="00C45D4B">
            <w:pPr>
              <w:jc w:val="center"/>
              <w:rPr>
                <w:rFonts w:ascii="Calibri" w:eastAsia="Calibri" w:hAnsi="Calibri" w:cs="Calibri"/>
                <w:sz w:val="22"/>
                <w:szCs w:val="22"/>
              </w:rPr>
            </w:pPr>
            <w:r>
              <w:lastRenderedPageBreak/>
              <w:t>Average Receivables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4BE7B3A" w14:textId="77777777" w:rsidR="0081565C" w:rsidRDefault="00C45D4B">
            <w:pPr>
              <w:jc w:val="center"/>
              <w:rPr>
                <w:rFonts w:ascii="Calibri" w:eastAsia="Calibri" w:hAnsi="Calibri" w:cs="Calibri"/>
                <w:sz w:val="22"/>
                <w:szCs w:val="22"/>
              </w:rPr>
            </w:pPr>
            <w:r>
              <w:t>H=(F+G)/2</w:t>
            </w:r>
          </w:p>
        </w:tc>
        <w:tc>
          <w:tcPr>
            <w:tcW w:w="1119" w:type="dxa"/>
            <w:tcBorders>
              <w:top w:val="single" w:sz="6" w:space="0" w:color="CCCCCC"/>
              <w:left w:val="single" w:sz="6" w:space="0" w:color="CCCCCC"/>
              <w:bottom w:val="single" w:sz="6" w:space="0" w:color="000000"/>
              <w:right w:val="single" w:sz="6" w:space="0" w:color="000000"/>
            </w:tcBorders>
            <w:shd w:val="clear" w:color="auto" w:fill="F9FBFD"/>
            <w:tcMar>
              <w:top w:w="0" w:type="dxa"/>
              <w:left w:w="40" w:type="dxa"/>
              <w:bottom w:w="0" w:type="dxa"/>
              <w:right w:w="40" w:type="dxa"/>
            </w:tcMar>
            <w:vAlign w:val="center"/>
          </w:tcPr>
          <w:p w14:paraId="24BE7B3B" w14:textId="77777777" w:rsidR="0081565C" w:rsidRDefault="00C45D4B">
            <w:pPr>
              <w:jc w:val="center"/>
              <w:rPr>
                <w:rFonts w:ascii="Calibri" w:eastAsia="Calibri" w:hAnsi="Calibri" w:cs="Calibri"/>
                <w:sz w:val="22"/>
                <w:szCs w:val="22"/>
              </w:rPr>
            </w:pPr>
            <w:r>
              <w:t>183.50</w:t>
            </w:r>
          </w:p>
        </w:tc>
        <w:tc>
          <w:tcPr>
            <w:tcW w:w="1119" w:type="dxa"/>
            <w:tcBorders>
              <w:top w:val="single" w:sz="6" w:space="0" w:color="CCCCCC"/>
              <w:left w:val="single" w:sz="6" w:space="0" w:color="CCCCCC"/>
              <w:bottom w:val="single" w:sz="6" w:space="0" w:color="000000"/>
              <w:right w:val="single" w:sz="6" w:space="0" w:color="000000"/>
            </w:tcBorders>
            <w:shd w:val="clear" w:color="auto" w:fill="FBD9DC"/>
            <w:tcMar>
              <w:top w:w="0" w:type="dxa"/>
              <w:left w:w="40" w:type="dxa"/>
              <w:bottom w:w="0" w:type="dxa"/>
              <w:right w:w="40" w:type="dxa"/>
            </w:tcMar>
            <w:vAlign w:val="center"/>
          </w:tcPr>
          <w:p w14:paraId="24BE7B3C" w14:textId="77777777" w:rsidR="0081565C" w:rsidRDefault="00C45D4B">
            <w:pPr>
              <w:jc w:val="center"/>
              <w:rPr>
                <w:rFonts w:ascii="Calibri" w:eastAsia="Calibri" w:hAnsi="Calibri" w:cs="Calibri"/>
                <w:sz w:val="22"/>
                <w:szCs w:val="22"/>
              </w:rPr>
            </w:pPr>
            <w:r>
              <w:t>95.30</w:t>
            </w:r>
          </w:p>
        </w:tc>
        <w:tc>
          <w:tcPr>
            <w:tcW w:w="1119" w:type="dxa"/>
            <w:tcBorders>
              <w:top w:val="single" w:sz="6" w:space="0" w:color="CCCCCC"/>
              <w:left w:val="single" w:sz="6" w:space="0" w:color="CCCCCC"/>
              <w:bottom w:val="single" w:sz="6" w:space="0" w:color="000000"/>
              <w:right w:val="single" w:sz="6" w:space="0" w:color="000000"/>
            </w:tcBorders>
            <w:shd w:val="clear" w:color="auto" w:fill="FCFCFF"/>
            <w:tcMar>
              <w:top w:w="0" w:type="dxa"/>
              <w:left w:w="40" w:type="dxa"/>
              <w:bottom w:w="0" w:type="dxa"/>
              <w:right w:w="40" w:type="dxa"/>
            </w:tcMar>
            <w:vAlign w:val="center"/>
          </w:tcPr>
          <w:p w14:paraId="24BE7B3D" w14:textId="77777777" w:rsidR="0081565C" w:rsidRDefault="00C45D4B">
            <w:pPr>
              <w:jc w:val="center"/>
              <w:rPr>
                <w:rFonts w:ascii="Calibri" w:eastAsia="Calibri" w:hAnsi="Calibri" w:cs="Calibri"/>
                <w:sz w:val="22"/>
                <w:szCs w:val="22"/>
              </w:rPr>
            </w:pPr>
            <w:r>
              <w:t>129.10</w:t>
            </w:r>
          </w:p>
        </w:tc>
        <w:tc>
          <w:tcPr>
            <w:tcW w:w="1270" w:type="dxa"/>
            <w:tcBorders>
              <w:top w:val="single" w:sz="6" w:space="0" w:color="CCCCCC"/>
              <w:left w:val="single" w:sz="6" w:space="0" w:color="CCCCCC"/>
              <w:bottom w:val="single" w:sz="6" w:space="0" w:color="000000"/>
              <w:right w:val="single" w:sz="6" w:space="0" w:color="000000"/>
            </w:tcBorders>
            <w:shd w:val="clear" w:color="auto" w:fill="FCFCFF"/>
            <w:tcMar>
              <w:top w:w="0" w:type="dxa"/>
              <w:left w:w="40" w:type="dxa"/>
              <w:bottom w:w="0" w:type="dxa"/>
              <w:right w:w="40" w:type="dxa"/>
            </w:tcMar>
            <w:vAlign w:val="center"/>
          </w:tcPr>
          <w:p w14:paraId="24BE7B3E" w14:textId="77777777" w:rsidR="0081565C" w:rsidRDefault="00C45D4B">
            <w:pPr>
              <w:jc w:val="center"/>
              <w:rPr>
                <w:rFonts w:ascii="Calibri" w:eastAsia="Calibri" w:hAnsi="Calibri" w:cs="Calibri"/>
                <w:sz w:val="22"/>
                <w:szCs w:val="22"/>
              </w:rPr>
            </w:pPr>
            <w:r>
              <w:t>130.55</w:t>
            </w:r>
          </w:p>
        </w:tc>
        <w:tc>
          <w:tcPr>
            <w:tcW w:w="1119" w:type="dxa"/>
            <w:tcBorders>
              <w:top w:val="single" w:sz="6" w:space="0" w:color="CCCCCC"/>
              <w:left w:val="single" w:sz="6" w:space="0" w:color="CCCCCC"/>
              <w:bottom w:val="single" w:sz="6" w:space="0" w:color="000000"/>
              <w:right w:val="single" w:sz="6" w:space="0" w:color="000000"/>
            </w:tcBorders>
            <w:shd w:val="clear" w:color="auto" w:fill="FCFCFF"/>
            <w:tcMar>
              <w:top w:w="0" w:type="dxa"/>
              <w:left w:w="40" w:type="dxa"/>
              <w:bottom w:w="0" w:type="dxa"/>
              <w:right w:w="40" w:type="dxa"/>
            </w:tcMar>
            <w:vAlign w:val="center"/>
          </w:tcPr>
          <w:p w14:paraId="24BE7B3F" w14:textId="77777777" w:rsidR="0081565C" w:rsidRDefault="00C45D4B">
            <w:pPr>
              <w:jc w:val="center"/>
              <w:rPr>
                <w:rFonts w:ascii="Calibri" w:eastAsia="Calibri" w:hAnsi="Calibri" w:cs="Calibri"/>
                <w:sz w:val="22"/>
                <w:szCs w:val="22"/>
              </w:rPr>
            </w:pPr>
            <w:r>
              <w:t>123.20</w:t>
            </w:r>
          </w:p>
        </w:tc>
      </w:tr>
      <w:tr w:rsidR="0081565C" w14:paraId="24BE7B48"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4BE7B41" w14:textId="77777777" w:rsidR="0081565C" w:rsidRDefault="00C45D4B">
            <w:pPr>
              <w:jc w:val="center"/>
              <w:rPr>
                <w:rFonts w:ascii="Calibri" w:eastAsia="Calibri" w:hAnsi="Calibri" w:cs="Calibri"/>
                <w:sz w:val="22"/>
                <w:szCs w:val="22"/>
              </w:rPr>
            </w:pPr>
            <w:r>
              <w:t>Opening Payables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4BE7B42" w14:textId="77777777" w:rsidR="0081565C" w:rsidRDefault="00C45D4B">
            <w:pPr>
              <w:jc w:val="center"/>
              <w:rPr>
                <w:rFonts w:ascii="Calibri" w:eastAsia="Calibri" w:hAnsi="Calibri" w:cs="Calibri"/>
                <w:sz w:val="22"/>
                <w:szCs w:val="22"/>
              </w:rPr>
            </w:pPr>
            <w:r>
              <w:t>I</w:t>
            </w:r>
          </w:p>
        </w:tc>
        <w:tc>
          <w:tcPr>
            <w:tcW w:w="1119" w:type="dxa"/>
            <w:tcBorders>
              <w:top w:val="single" w:sz="6" w:space="0" w:color="CCCCCC"/>
              <w:left w:val="single" w:sz="6" w:space="0" w:color="CCCCCC"/>
              <w:bottom w:val="single" w:sz="6" w:space="0" w:color="000000"/>
              <w:right w:val="single" w:sz="6" w:space="0" w:color="000000"/>
            </w:tcBorders>
            <w:shd w:val="clear" w:color="auto" w:fill="EBF6F1"/>
            <w:tcMar>
              <w:top w:w="0" w:type="dxa"/>
              <w:left w:w="40" w:type="dxa"/>
              <w:bottom w:w="0" w:type="dxa"/>
              <w:right w:w="40" w:type="dxa"/>
            </w:tcMar>
            <w:vAlign w:val="center"/>
          </w:tcPr>
          <w:p w14:paraId="24BE7B43" w14:textId="77777777" w:rsidR="0081565C" w:rsidRDefault="00C45D4B">
            <w:pPr>
              <w:jc w:val="center"/>
              <w:rPr>
                <w:rFonts w:ascii="Calibri" w:eastAsia="Calibri" w:hAnsi="Calibri" w:cs="Calibri"/>
                <w:sz w:val="22"/>
                <w:szCs w:val="22"/>
              </w:rPr>
            </w:pPr>
            <w:r>
              <w:t>440.20</w:t>
            </w:r>
          </w:p>
        </w:tc>
        <w:tc>
          <w:tcPr>
            <w:tcW w:w="1119" w:type="dxa"/>
            <w:tcBorders>
              <w:top w:val="single" w:sz="6" w:space="0" w:color="CCCCCC"/>
              <w:left w:val="single" w:sz="6" w:space="0" w:color="CCCCCC"/>
              <w:bottom w:val="single" w:sz="6" w:space="0" w:color="000000"/>
              <w:right w:val="single" w:sz="6" w:space="0" w:color="000000"/>
            </w:tcBorders>
            <w:shd w:val="clear" w:color="auto" w:fill="F2F8F7"/>
            <w:tcMar>
              <w:top w:w="0" w:type="dxa"/>
              <w:left w:w="40" w:type="dxa"/>
              <w:bottom w:w="0" w:type="dxa"/>
              <w:right w:w="40" w:type="dxa"/>
            </w:tcMar>
            <w:vAlign w:val="center"/>
          </w:tcPr>
          <w:p w14:paraId="24BE7B44" w14:textId="77777777" w:rsidR="0081565C" w:rsidRDefault="00C45D4B">
            <w:pPr>
              <w:jc w:val="center"/>
              <w:rPr>
                <w:rFonts w:ascii="Calibri" w:eastAsia="Calibri" w:hAnsi="Calibri" w:cs="Calibri"/>
                <w:sz w:val="22"/>
                <w:szCs w:val="22"/>
              </w:rPr>
            </w:pPr>
            <w:r>
              <w:t>316.50</w:t>
            </w:r>
          </w:p>
        </w:tc>
        <w:tc>
          <w:tcPr>
            <w:tcW w:w="1119" w:type="dxa"/>
            <w:tcBorders>
              <w:top w:val="single" w:sz="6" w:space="0" w:color="CCCCCC"/>
              <w:left w:val="single" w:sz="6" w:space="0" w:color="CCCCCC"/>
              <w:bottom w:val="single" w:sz="6" w:space="0" w:color="000000"/>
              <w:right w:val="single" w:sz="6" w:space="0" w:color="000000"/>
            </w:tcBorders>
            <w:shd w:val="clear" w:color="auto" w:fill="E4F3EB"/>
            <w:tcMar>
              <w:top w:w="0" w:type="dxa"/>
              <w:left w:w="40" w:type="dxa"/>
              <w:bottom w:w="0" w:type="dxa"/>
              <w:right w:w="40" w:type="dxa"/>
            </w:tcMar>
            <w:vAlign w:val="center"/>
          </w:tcPr>
          <w:p w14:paraId="24BE7B45" w14:textId="77777777" w:rsidR="0081565C" w:rsidRDefault="00C45D4B">
            <w:pPr>
              <w:jc w:val="center"/>
              <w:rPr>
                <w:rFonts w:ascii="Calibri" w:eastAsia="Calibri" w:hAnsi="Calibri" w:cs="Calibri"/>
                <w:sz w:val="22"/>
                <w:szCs w:val="22"/>
              </w:rPr>
            </w:pPr>
            <w:r>
              <w:t>570.70</w:t>
            </w:r>
          </w:p>
        </w:tc>
        <w:tc>
          <w:tcPr>
            <w:tcW w:w="1270" w:type="dxa"/>
            <w:tcBorders>
              <w:top w:val="single" w:sz="6" w:space="0" w:color="CCCCCC"/>
              <w:left w:val="single" w:sz="6" w:space="0" w:color="CCCCCC"/>
              <w:bottom w:val="single" w:sz="6" w:space="0" w:color="000000"/>
              <w:right w:val="single" w:sz="6" w:space="0" w:color="000000"/>
            </w:tcBorders>
            <w:shd w:val="clear" w:color="auto" w:fill="DFF0E6"/>
            <w:tcMar>
              <w:top w:w="0" w:type="dxa"/>
              <w:left w:w="40" w:type="dxa"/>
              <w:bottom w:w="0" w:type="dxa"/>
              <w:right w:w="40" w:type="dxa"/>
            </w:tcMar>
            <w:vAlign w:val="center"/>
          </w:tcPr>
          <w:p w14:paraId="24BE7B46" w14:textId="77777777" w:rsidR="0081565C" w:rsidRDefault="00C45D4B">
            <w:pPr>
              <w:jc w:val="center"/>
              <w:rPr>
                <w:rFonts w:ascii="Calibri" w:eastAsia="Calibri" w:hAnsi="Calibri" w:cs="Calibri"/>
                <w:sz w:val="22"/>
                <w:szCs w:val="22"/>
              </w:rPr>
            </w:pPr>
            <w:r>
              <w:t>676.70</w:t>
            </w:r>
          </w:p>
        </w:tc>
        <w:tc>
          <w:tcPr>
            <w:tcW w:w="1119" w:type="dxa"/>
            <w:tcBorders>
              <w:top w:val="single" w:sz="6" w:space="0" w:color="CCCCCC"/>
              <w:left w:val="single" w:sz="6" w:space="0" w:color="CCCCCC"/>
              <w:bottom w:val="single" w:sz="6" w:space="0" w:color="000000"/>
              <w:right w:val="single" w:sz="6" w:space="0" w:color="000000"/>
            </w:tcBorders>
            <w:shd w:val="clear" w:color="auto" w:fill="DFF1E6"/>
            <w:tcMar>
              <w:top w:w="0" w:type="dxa"/>
              <w:left w:w="40" w:type="dxa"/>
              <w:bottom w:w="0" w:type="dxa"/>
              <w:right w:w="40" w:type="dxa"/>
            </w:tcMar>
            <w:vAlign w:val="center"/>
          </w:tcPr>
          <w:p w14:paraId="24BE7B47" w14:textId="77777777" w:rsidR="0081565C" w:rsidRDefault="00C45D4B">
            <w:pPr>
              <w:jc w:val="center"/>
              <w:rPr>
                <w:rFonts w:ascii="Calibri" w:eastAsia="Calibri" w:hAnsi="Calibri" w:cs="Calibri"/>
                <w:sz w:val="22"/>
                <w:szCs w:val="22"/>
              </w:rPr>
            </w:pPr>
            <w:r>
              <w:t>670.50</w:t>
            </w:r>
          </w:p>
        </w:tc>
      </w:tr>
      <w:tr w:rsidR="0081565C" w14:paraId="24BE7B50"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4BE7B49" w14:textId="77777777" w:rsidR="0081565C" w:rsidRDefault="00C45D4B">
            <w:pPr>
              <w:jc w:val="center"/>
              <w:rPr>
                <w:rFonts w:ascii="Calibri" w:eastAsia="Calibri" w:hAnsi="Calibri" w:cs="Calibri"/>
                <w:sz w:val="22"/>
                <w:szCs w:val="22"/>
              </w:rPr>
            </w:pPr>
            <w:r>
              <w:t>Closing Payables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4BE7B4A" w14:textId="77777777" w:rsidR="0081565C" w:rsidRDefault="00C45D4B">
            <w:pPr>
              <w:jc w:val="center"/>
              <w:rPr>
                <w:rFonts w:ascii="Calibri" w:eastAsia="Calibri" w:hAnsi="Calibri" w:cs="Calibri"/>
                <w:sz w:val="22"/>
                <w:szCs w:val="22"/>
              </w:rPr>
            </w:pPr>
            <w:r>
              <w:t>J</w:t>
            </w:r>
          </w:p>
        </w:tc>
        <w:tc>
          <w:tcPr>
            <w:tcW w:w="1119" w:type="dxa"/>
            <w:tcBorders>
              <w:top w:val="single" w:sz="6" w:space="0" w:color="CCCCCC"/>
              <w:left w:val="single" w:sz="6" w:space="0" w:color="CCCCCC"/>
              <w:bottom w:val="single" w:sz="6" w:space="0" w:color="000000"/>
              <w:right w:val="single" w:sz="6" w:space="0" w:color="000000"/>
            </w:tcBorders>
            <w:shd w:val="clear" w:color="auto" w:fill="F2F8F7"/>
            <w:tcMar>
              <w:top w:w="0" w:type="dxa"/>
              <w:left w:w="40" w:type="dxa"/>
              <w:bottom w:w="0" w:type="dxa"/>
              <w:right w:w="40" w:type="dxa"/>
            </w:tcMar>
            <w:vAlign w:val="center"/>
          </w:tcPr>
          <w:p w14:paraId="24BE7B4B" w14:textId="77777777" w:rsidR="0081565C" w:rsidRDefault="00C45D4B">
            <w:pPr>
              <w:jc w:val="center"/>
              <w:rPr>
                <w:rFonts w:ascii="Calibri" w:eastAsia="Calibri" w:hAnsi="Calibri" w:cs="Calibri"/>
                <w:sz w:val="22"/>
                <w:szCs w:val="22"/>
              </w:rPr>
            </w:pPr>
            <w:r>
              <w:t>316.50</w:t>
            </w:r>
          </w:p>
        </w:tc>
        <w:tc>
          <w:tcPr>
            <w:tcW w:w="1119" w:type="dxa"/>
            <w:tcBorders>
              <w:top w:val="single" w:sz="6" w:space="0" w:color="CCCCCC"/>
              <w:left w:val="single" w:sz="6" w:space="0" w:color="CCCCCC"/>
              <w:bottom w:val="single" w:sz="6" w:space="0" w:color="000000"/>
              <w:right w:val="single" w:sz="6" w:space="0" w:color="000000"/>
            </w:tcBorders>
            <w:shd w:val="clear" w:color="auto" w:fill="E4F3EB"/>
            <w:tcMar>
              <w:top w:w="0" w:type="dxa"/>
              <w:left w:w="40" w:type="dxa"/>
              <w:bottom w:w="0" w:type="dxa"/>
              <w:right w:w="40" w:type="dxa"/>
            </w:tcMar>
            <w:vAlign w:val="center"/>
          </w:tcPr>
          <w:p w14:paraId="24BE7B4C" w14:textId="77777777" w:rsidR="0081565C" w:rsidRDefault="00C45D4B">
            <w:pPr>
              <w:jc w:val="center"/>
              <w:rPr>
                <w:rFonts w:ascii="Calibri" w:eastAsia="Calibri" w:hAnsi="Calibri" w:cs="Calibri"/>
                <w:sz w:val="22"/>
                <w:szCs w:val="22"/>
              </w:rPr>
            </w:pPr>
            <w:r>
              <w:t>570.70</w:t>
            </w:r>
          </w:p>
        </w:tc>
        <w:tc>
          <w:tcPr>
            <w:tcW w:w="1119" w:type="dxa"/>
            <w:tcBorders>
              <w:top w:val="single" w:sz="6" w:space="0" w:color="CCCCCC"/>
              <w:left w:val="single" w:sz="6" w:space="0" w:color="CCCCCC"/>
              <w:bottom w:val="single" w:sz="6" w:space="0" w:color="000000"/>
              <w:right w:val="single" w:sz="6" w:space="0" w:color="000000"/>
            </w:tcBorders>
            <w:shd w:val="clear" w:color="auto" w:fill="DFF0E6"/>
            <w:tcMar>
              <w:top w:w="0" w:type="dxa"/>
              <w:left w:w="40" w:type="dxa"/>
              <w:bottom w:w="0" w:type="dxa"/>
              <w:right w:w="40" w:type="dxa"/>
            </w:tcMar>
            <w:vAlign w:val="center"/>
          </w:tcPr>
          <w:p w14:paraId="24BE7B4D" w14:textId="77777777" w:rsidR="0081565C" w:rsidRDefault="00C45D4B">
            <w:pPr>
              <w:jc w:val="center"/>
              <w:rPr>
                <w:rFonts w:ascii="Calibri" w:eastAsia="Calibri" w:hAnsi="Calibri" w:cs="Calibri"/>
                <w:sz w:val="22"/>
                <w:szCs w:val="22"/>
              </w:rPr>
            </w:pPr>
            <w:r>
              <w:t>676.70</w:t>
            </w:r>
          </w:p>
        </w:tc>
        <w:tc>
          <w:tcPr>
            <w:tcW w:w="1270" w:type="dxa"/>
            <w:tcBorders>
              <w:top w:val="single" w:sz="6" w:space="0" w:color="CCCCCC"/>
              <w:left w:val="single" w:sz="6" w:space="0" w:color="CCCCCC"/>
              <w:bottom w:val="single" w:sz="6" w:space="0" w:color="000000"/>
              <w:right w:val="single" w:sz="6" w:space="0" w:color="000000"/>
            </w:tcBorders>
            <w:shd w:val="clear" w:color="auto" w:fill="DFF1E6"/>
            <w:tcMar>
              <w:top w:w="0" w:type="dxa"/>
              <w:left w:w="40" w:type="dxa"/>
              <w:bottom w:w="0" w:type="dxa"/>
              <w:right w:w="40" w:type="dxa"/>
            </w:tcMar>
            <w:vAlign w:val="center"/>
          </w:tcPr>
          <w:p w14:paraId="24BE7B4E" w14:textId="77777777" w:rsidR="0081565C" w:rsidRDefault="00C45D4B">
            <w:pPr>
              <w:jc w:val="center"/>
              <w:rPr>
                <w:rFonts w:ascii="Calibri" w:eastAsia="Calibri" w:hAnsi="Calibri" w:cs="Calibri"/>
                <w:sz w:val="22"/>
                <w:szCs w:val="22"/>
              </w:rPr>
            </w:pPr>
            <w:r>
              <w:t>670.50</w:t>
            </w:r>
          </w:p>
        </w:tc>
        <w:tc>
          <w:tcPr>
            <w:tcW w:w="1119" w:type="dxa"/>
            <w:tcBorders>
              <w:top w:val="single" w:sz="6" w:space="0" w:color="CCCCCC"/>
              <w:left w:val="single" w:sz="6" w:space="0" w:color="CCCCCC"/>
              <w:bottom w:val="single" w:sz="6" w:space="0" w:color="000000"/>
              <w:right w:val="single" w:sz="6" w:space="0" w:color="000000"/>
            </w:tcBorders>
            <w:shd w:val="clear" w:color="auto" w:fill="E0F1E6"/>
            <w:tcMar>
              <w:top w:w="0" w:type="dxa"/>
              <w:left w:w="40" w:type="dxa"/>
              <w:bottom w:w="0" w:type="dxa"/>
              <w:right w:w="40" w:type="dxa"/>
            </w:tcMar>
            <w:vAlign w:val="center"/>
          </w:tcPr>
          <w:p w14:paraId="24BE7B4F" w14:textId="77777777" w:rsidR="0081565C" w:rsidRDefault="00C45D4B">
            <w:pPr>
              <w:jc w:val="center"/>
              <w:rPr>
                <w:rFonts w:ascii="Calibri" w:eastAsia="Calibri" w:hAnsi="Calibri" w:cs="Calibri"/>
                <w:sz w:val="22"/>
                <w:szCs w:val="22"/>
              </w:rPr>
            </w:pPr>
            <w:r>
              <w:t>660.80</w:t>
            </w:r>
          </w:p>
        </w:tc>
      </w:tr>
      <w:tr w:rsidR="0081565C" w14:paraId="24BE7B58"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4BE7B51" w14:textId="77777777" w:rsidR="0081565C" w:rsidRDefault="00C45D4B">
            <w:pPr>
              <w:jc w:val="center"/>
              <w:rPr>
                <w:rFonts w:ascii="Calibri" w:eastAsia="Calibri" w:hAnsi="Calibri" w:cs="Calibri"/>
                <w:sz w:val="22"/>
                <w:szCs w:val="22"/>
              </w:rPr>
            </w:pPr>
            <w:r>
              <w:t>Average Payables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4BE7B52" w14:textId="77777777" w:rsidR="0081565C" w:rsidRDefault="00C45D4B">
            <w:pPr>
              <w:jc w:val="center"/>
              <w:rPr>
                <w:rFonts w:ascii="Calibri" w:eastAsia="Calibri" w:hAnsi="Calibri" w:cs="Calibri"/>
                <w:sz w:val="22"/>
                <w:szCs w:val="22"/>
              </w:rPr>
            </w:pPr>
            <w:r>
              <w:t>K=(I+J)/2</w:t>
            </w:r>
          </w:p>
        </w:tc>
        <w:tc>
          <w:tcPr>
            <w:tcW w:w="1119" w:type="dxa"/>
            <w:tcBorders>
              <w:top w:val="single" w:sz="6" w:space="0" w:color="CCCCCC"/>
              <w:left w:val="single" w:sz="6" w:space="0" w:color="CCCCCC"/>
              <w:bottom w:val="single" w:sz="6" w:space="0" w:color="000000"/>
              <w:right w:val="single" w:sz="6" w:space="0" w:color="000000"/>
            </w:tcBorders>
            <w:shd w:val="clear" w:color="auto" w:fill="EFF7F4"/>
            <w:tcMar>
              <w:top w:w="0" w:type="dxa"/>
              <w:left w:w="40" w:type="dxa"/>
              <w:bottom w:w="0" w:type="dxa"/>
              <w:right w:w="40" w:type="dxa"/>
            </w:tcMar>
            <w:vAlign w:val="center"/>
          </w:tcPr>
          <w:p w14:paraId="24BE7B53" w14:textId="77777777" w:rsidR="0081565C" w:rsidRDefault="00C45D4B">
            <w:pPr>
              <w:jc w:val="center"/>
              <w:rPr>
                <w:rFonts w:ascii="Calibri" w:eastAsia="Calibri" w:hAnsi="Calibri" w:cs="Calibri"/>
                <w:sz w:val="22"/>
                <w:szCs w:val="22"/>
              </w:rPr>
            </w:pPr>
            <w:r>
              <w:t>378.35</w:t>
            </w:r>
          </w:p>
        </w:tc>
        <w:tc>
          <w:tcPr>
            <w:tcW w:w="1119" w:type="dxa"/>
            <w:tcBorders>
              <w:top w:val="single" w:sz="6" w:space="0" w:color="CCCCCC"/>
              <w:left w:val="single" w:sz="6" w:space="0" w:color="CCCCCC"/>
              <w:bottom w:val="single" w:sz="6" w:space="0" w:color="000000"/>
              <w:right w:val="single" w:sz="6" w:space="0" w:color="000000"/>
            </w:tcBorders>
            <w:shd w:val="clear" w:color="auto" w:fill="EBF5F1"/>
            <w:tcMar>
              <w:top w:w="0" w:type="dxa"/>
              <w:left w:w="40" w:type="dxa"/>
              <w:bottom w:w="0" w:type="dxa"/>
              <w:right w:w="40" w:type="dxa"/>
            </w:tcMar>
            <w:vAlign w:val="center"/>
          </w:tcPr>
          <w:p w14:paraId="24BE7B54" w14:textId="77777777" w:rsidR="0081565C" w:rsidRDefault="00C45D4B">
            <w:pPr>
              <w:jc w:val="center"/>
              <w:rPr>
                <w:rFonts w:ascii="Calibri" w:eastAsia="Calibri" w:hAnsi="Calibri" w:cs="Calibri"/>
                <w:sz w:val="22"/>
                <w:szCs w:val="22"/>
              </w:rPr>
            </w:pPr>
            <w:r>
              <w:t>443.60</w:t>
            </w:r>
          </w:p>
        </w:tc>
        <w:tc>
          <w:tcPr>
            <w:tcW w:w="1119" w:type="dxa"/>
            <w:tcBorders>
              <w:top w:val="single" w:sz="6" w:space="0" w:color="CCCCCC"/>
              <w:left w:val="single" w:sz="6" w:space="0" w:color="CCCCCC"/>
              <w:bottom w:val="single" w:sz="6" w:space="0" w:color="000000"/>
              <w:right w:val="single" w:sz="6" w:space="0" w:color="000000"/>
            </w:tcBorders>
            <w:shd w:val="clear" w:color="auto" w:fill="E2F2E8"/>
            <w:tcMar>
              <w:top w:w="0" w:type="dxa"/>
              <w:left w:w="40" w:type="dxa"/>
              <w:bottom w:w="0" w:type="dxa"/>
              <w:right w:w="40" w:type="dxa"/>
            </w:tcMar>
            <w:vAlign w:val="center"/>
          </w:tcPr>
          <w:p w14:paraId="24BE7B55" w14:textId="77777777" w:rsidR="0081565C" w:rsidRDefault="00C45D4B">
            <w:pPr>
              <w:jc w:val="center"/>
              <w:rPr>
                <w:rFonts w:ascii="Calibri" w:eastAsia="Calibri" w:hAnsi="Calibri" w:cs="Calibri"/>
                <w:sz w:val="22"/>
                <w:szCs w:val="22"/>
              </w:rPr>
            </w:pPr>
            <w:r>
              <w:t>623.70</w:t>
            </w:r>
          </w:p>
        </w:tc>
        <w:tc>
          <w:tcPr>
            <w:tcW w:w="1270" w:type="dxa"/>
            <w:tcBorders>
              <w:top w:val="single" w:sz="6" w:space="0" w:color="CCCCCC"/>
              <w:left w:val="single" w:sz="6" w:space="0" w:color="CCCCCC"/>
              <w:bottom w:val="single" w:sz="6" w:space="0" w:color="000000"/>
              <w:right w:val="single" w:sz="6" w:space="0" w:color="000000"/>
            </w:tcBorders>
            <w:shd w:val="clear" w:color="auto" w:fill="DFF0E6"/>
            <w:tcMar>
              <w:top w:w="0" w:type="dxa"/>
              <w:left w:w="40" w:type="dxa"/>
              <w:bottom w:w="0" w:type="dxa"/>
              <w:right w:w="40" w:type="dxa"/>
            </w:tcMar>
            <w:vAlign w:val="center"/>
          </w:tcPr>
          <w:p w14:paraId="24BE7B56" w14:textId="77777777" w:rsidR="0081565C" w:rsidRDefault="00C45D4B">
            <w:pPr>
              <w:jc w:val="center"/>
              <w:rPr>
                <w:rFonts w:ascii="Calibri" w:eastAsia="Calibri" w:hAnsi="Calibri" w:cs="Calibri"/>
                <w:sz w:val="22"/>
                <w:szCs w:val="22"/>
              </w:rPr>
            </w:pPr>
            <w:r>
              <w:t>673.60</w:t>
            </w:r>
          </w:p>
        </w:tc>
        <w:tc>
          <w:tcPr>
            <w:tcW w:w="1119" w:type="dxa"/>
            <w:tcBorders>
              <w:top w:val="single" w:sz="6" w:space="0" w:color="CCCCCC"/>
              <w:left w:val="single" w:sz="6" w:space="0" w:color="CCCCCC"/>
              <w:bottom w:val="single" w:sz="6" w:space="0" w:color="000000"/>
              <w:right w:val="single" w:sz="6" w:space="0" w:color="000000"/>
            </w:tcBorders>
            <w:shd w:val="clear" w:color="auto" w:fill="DFF1E6"/>
            <w:tcMar>
              <w:top w:w="0" w:type="dxa"/>
              <w:left w:w="40" w:type="dxa"/>
              <w:bottom w:w="0" w:type="dxa"/>
              <w:right w:w="40" w:type="dxa"/>
            </w:tcMar>
            <w:vAlign w:val="center"/>
          </w:tcPr>
          <w:p w14:paraId="24BE7B57" w14:textId="77777777" w:rsidR="0081565C" w:rsidRDefault="00C45D4B">
            <w:pPr>
              <w:jc w:val="center"/>
              <w:rPr>
                <w:rFonts w:ascii="Calibri" w:eastAsia="Calibri" w:hAnsi="Calibri" w:cs="Calibri"/>
                <w:sz w:val="22"/>
                <w:szCs w:val="22"/>
              </w:rPr>
            </w:pPr>
            <w:r>
              <w:t>665.65</w:t>
            </w:r>
          </w:p>
        </w:tc>
      </w:tr>
      <w:tr w:rsidR="0081565C" w14:paraId="24BE7B60"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4BE7B59" w14:textId="77777777" w:rsidR="0081565C" w:rsidRDefault="00C45D4B">
            <w:pPr>
              <w:jc w:val="center"/>
              <w:rPr>
                <w:rFonts w:ascii="Calibri" w:eastAsia="Calibri" w:hAnsi="Calibri" w:cs="Calibri"/>
                <w:sz w:val="22"/>
                <w:szCs w:val="22"/>
              </w:rPr>
            </w:pPr>
            <w:r>
              <w:rPr>
                <w:b/>
                <w:bCs/>
              </w:rPr>
              <w:t>Inventory Turnover Days</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4BE7B5A" w14:textId="77777777" w:rsidR="0081565C" w:rsidRDefault="00C45D4B">
            <w:pPr>
              <w:jc w:val="center"/>
              <w:rPr>
                <w:rFonts w:ascii="Calibri" w:eastAsia="Calibri" w:hAnsi="Calibri" w:cs="Calibri"/>
                <w:sz w:val="22"/>
                <w:szCs w:val="22"/>
              </w:rPr>
            </w:pPr>
            <w:r>
              <w:rPr>
                <w:b/>
                <w:bCs/>
              </w:rPr>
              <w:t>365/(B/E)</w:t>
            </w:r>
          </w:p>
        </w:tc>
        <w:tc>
          <w:tcPr>
            <w:tcW w:w="1119" w:type="dxa"/>
            <w:tcBorders>
              <w:top w:val="single" w:sz="6" w:space="0" w:color="CCCCCC"/>
              <w:left w:val="single" w:sz="6" w:space="0" w:color="CCCCCC"/>
              <w:bottom w:val="single" w:sz="6" w:space="0" w:color="000000"/>
              <w:right w:val="single" w:sz="6" w:space="0" w:color="000000"/>
            </w:tcBorders>
            <w:shd w:val="clear" w:color="auto" w:fill="F8696B"/>
            <w:tcMar>
              <w:top w:w="0" w:type="dxa"/>
              <w:left w:w="40" w:type="dxa"/>
              <w:bottom w:w="0" w:type="dxa"/>
              <w:right w:w="40" w:type="dxa"/>
            </w:tcMar>
            <w:vAlign w:val="center"/>
          </w:tcPr>
          <w:p w14:paraId="24BE7B5B" w14:textId="77777777" w:rsidR="0081565C" w:rsidRDefault="00C45D4B">
            <w:pPr>
              <w:jc w:val="center"/>
              <w:rPr>
                <w:rFonts w:ascii="Calibri" w:eastAsia="Calibri" w:hAnsi="Calibri" w:cs="Calibri"/>
                <w:sz w:val="22"/>
                <w:szCs w:val="22"/>
              </w:rPr>
            </w:pPr>
            <w:r>
              <w:rPr>
                <w:b/>
                <w:bCs/>
              </w:rPr>
              <w:t>3</w:t>
            </w:r>
          </w:p>
        </w:tc>
        <w:tc>
          <w:tcPr>
            <w:tcW w:w="1119" w:type="dxa"/>
            <w:tcBorders>
              <w:top w:val="single" w:sz="6" w:space="0" w:color="CCCCCC"/>
              <w:left w:val="single" w:sz="6" w:space="0" w:color="CCCCCC"/>
              <w:bottom w:val="single" w:sz="6" w:space="0" w:color="000000"/>
              <w:right w:val="single" w:sz="6" w:space="0" w:color="000000"/>
            </w:tcBorders>
            <w:shd w:val="clear" w:color="auto" w:fill="F8696B"/>
            <w:tcMar>
              <w:top w:w="0" w:type="dxa"/>
              <w:left w:w="40" w:type="dxa"/>
              <w:bottom w:w="0" w:type="dxa"/>
              <w:right w:w="40" w:type="dxa"/>
            </w:tcMar>
            <w:vAlign w:val="center"/>
          </w:tcPr>
          <w:p w14:paraId="24BE7B5C" w14:textId="77777777" w:rsidR="0081565C" w:rsidRDefault="00C45D4B">
            <w:pPr>
              <w:jc w:val="center"/>
              <w:rPr>
                <w:rFonts w:ascii="Calibri" w:eastAsia="Calibri" w:hAnsi="Calibri" w:cs="Calibri"/>
                <w:sz w:val="22"/>
                <w:szCs w:val="22"/>
              </w:rPr>
            </w:pPr>
            <w:r>
              <w:rPr>
                <w:b/>
                <w:bCs/>
              </w:rPr>
              <w:t>4</w:t>
            </w:r>
          </w:p>
        </w:tc>
        <w:tc>
          <w:tcPr>
            <w:tcW w:w="1119" w:type="dxa"/>
            <w:tcBorders>
              <w:top w:val="single" w:sz="6" w:space="0" w:color="CCCCCC"/>
              <w:left w:val="single" w:sz="6" w:space="0" w:color="CCCCCC"/>
              <w:bottom w:val="single" w:sz="6" w:space="0" w:color="000000"/>
              <w:right w:val="single" w:sz="6" w:space="0" w:color="000000"/>
            </w:tcBorders>
            <w:shd w:val="clear" w:color="auto" w:fill="F8696B"/>
            <w:tcMar>
              <w:top w:w="0" w:type="dxa"/>
              <w:left w:w="40" w:type="dxa"/>
              <w:bottom w:w="0" w:type="dxa"/>
              <w:right w:w="40" w:type="dxa"/>
            </w:tcMar>
            <w:vAlign w:val="center"/>
          </w:tcPr>
          <w:p w14:paraId="24BE7B5D" w14:textId="77777777" w:rsidR="0081565C" w:rsidRDefault="00C45D4B">
            <w:pPr>
              <w:jc w:val="center"/>
              <w:rPr>
                <w:rFonts w:ascii="Calibri" w:eastAsia="Calibri" w:hAnsi="Calibri" w:cs="Calibri"/>
                <w:sz w:val="22"/>
                <w:szCs w:val="22"/>
              </w:rPr>
            </w:pPr>
            <w:r>
              <w:rPr>
                <w:b/>
                <w:bCs/>
              </w:rPr>
              <w:t>4</w:t>
            </w:r>
          </w:p>
        </w:tc>
        <w:tc>
          <w:tcPr>
            <w:tcW w:w="1270" w:type="dxa"/>
            <w:tcBorders>
              <w:top w:val="single" w:sz="6" w:space="0" w:color="CCCCCC"/>
              <w:left w:val="single" w:sz="6" w:space="0" w:color="CCCCCC"/>
              <w:bottom w:val="single" w:sz="6" w:space="0" w:color="000000"/>
              <w:right w:val="single" w:sz="6" w:space="0" w:color="000000"/>
            </w:tcBorders>
            <w:shd w:val="clear" w:color="auto" w:fill="F8696B"/>
            <w:tcMar>
              <w:top w:w="0" w:type="dxa"/>
              <w:left w:w="40" w:type="dxa"/>
              <w:bottom w:w="0" w:type="dxa"/>
              <w:right w:w="40" w:type="dxa"/>
            </w:tcMar>
            <w:vAlign w:val="center"/>
          </w:tcPr>
          <w:p w14:paraId="24BE7B5E" w14:textId="77777777" w:rsidR="0081565C" w:rsidRDefault="00C45D4B">
            <w:pPr>
              <w:jc w:val="center"/>
              <w:rPr>
                <w:rFonts w:ascii="Calibri" w:eastAsia="Calibri" w:hAnsi="Calibri" w:cs="Calibri"/>
                <w:sz w:val="22"/>
                <w:szCs w:val="22"/>
              </w:rPr>
            </w:pPr>
            <w:r>
              <w:rPr>
                <w:b/>
                <w:bCs/>
              </w:rPr>
              <w:t>3</w:t>
            </w:r>
          </w:p>
        </w:tc>
        <w:tc>
          <w:tcPr>
            <w:tcW w:w="1119" w:type="dxa"/>
            <w:tcBorders>
              <w:top w:val="single" w:sz="6" w:space="0" w:color="CCCCCC"/>
              <w:left w:val="single" w:sz="6" w:space="0" w:color="CCCCCC"/>
              <w:bottom w:val="single" w:sz="6" w:space="0" w:color="000000"/>
              <w:right w:val="single" w:sz="6" w:space="0" w:color="000000"/>
            </w:tcBorders>
            <w:shd w:val="clear" w:color="auto" w:fill="F8696B"/>
            <w:tcMar>
              <w:top w:w="0" w:type="dxa"/>
              <w:left w:w="40" w:type="dxa"/>
              <w:bottom w:w="0" w:type="dxa"/>
              <w:right w:w="40" w:type="dxa"/>
            </w:tcMar>
            <w:vAlign w:val="center"/>
          </w:tcPr>
          <w:p w14:paraId="24BE7B5F" w14:textId="77777777" w:rsidR="0081565C" w:rsidRDefault="00C45D4B">
            <w:pPr>
              <w:jc w:val="center"/>
              <w:rPr>
                <w:rFonts w:ascii="Calibri" w:eastAsia="Calibri" w:hAnsi="Calibri" w:cs="Calibri"/>
                <w:sz w:val="22"/>
                <w:szCs w:val="22"/>
              </w:rPr>
            </w:pPr>
            <w:r>
              <w:rPr>
                <w:b/>
                <w:bCs/>
              </w:rPr>
              <w:t>3</w:t>
            </w:r>
          </w:p>
        </w:tc>
      </w:tr>
      <w:tr w:rsidR="0081565C" w14:paraId="24BE7B68"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4BE7B61" w14:textId="77777777" w:rsidR="0081565C" w:rsidRDefault="00C45D4B">
            <w:pPr>
              <w:jc w:val="center"/>
              <w:rPr>
                <w:rFonts w:ascii="Calibri" w:eastAsia="Calibri" w:hAnsi="Calibri" w:cs="Calibri"/>
                <w:sz w:val="22"/>
                <w:szCs w:val="22"/>
              </w:rPr>
            </w:pPr>
            <w:r>
              <w:rPr>
                <w:b/>
                <w:bCs/>
              </w:rPr>
              <w:t>Receivables Turnover Days</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4BE7B62" w14:textId="77777777" w:rsidR="0081565C" w:rsidRDefault="00C45D4B">
            <w:pPr>
              <w:jc w:val="center"/>
              <w:rPr>
                <w:rFonts w:ascii="Calibri" w:eastAsia="Calibri" w:hAnsi="Calibri" w:cs="Calibri"/>
                <w:sz w:val="22"/>
                <w:szCs w:val="22"/>
              </w:rPr>
            </w:pPr>
            <w:r>
              <w:rPr>
                <w:b/>
                <w:bCs/>
              </w:rPr>
              <w:t>365/(A/H)</w:t>
            </w:r>
          </w:p>
        </w:tc>
        <w:tc>
          <w:tcPr>
            <w:tcW w:w="1119" w:type="dxa"/>
            <w:tcBorders>
              <w:top w:val="single" w:sz="6" w:space="0" w:color="CCCCCC"/>
              <w:left w:val="single" w:sz="6" w:space="0" w:color="CCCCCC"/>
              <w:bottom w:val="single" w:sz="6" w:space="0" w:color="000000"/>
              <w:right w:val="single" w:sz="6" w:space="0" w:color="000000"/>
            </w:tcBorders>
            <w:shd w:val="clear" w:color="auto" w:fill="FBF0F3"/>
            <w:tcMar>
              <w:top w:w="0" w:type="dxa"/>
              <w:left w:w="40" w:type="dxa"/>
              <w:bottom w:w="0" w:type="dxa"/>
              <w:right w:w="40" w:type="dxa"/>
            </w:tcMar>
            <w:vAlign w:val="center"/>
          </w:tcPr>
          <w:p w14:paraId="24BE7B63" w14:textId="77777777" w:rsidR="0081565C" w:rsidRDefault="00C45D4B">
            <w:pPr>
              <w:jc w:val="center"/>
              <w:rPr>
                <w:rFonts w:ascii="Calibri" w:eastAsia="Calibri" w:hAnsi="Calibri" w:cs="Calibri"/>
                <w:sz w:val="22"/>
                <w:szCs w:val="22"/>
              </w:rPr>
            </w:pPr>
            <w:r>
              <w:rPr>
                <w:b/>
                <w:bCs/>
              </w:rPr>
              <w:t>114</w:t>
            </w:r>
          </w:p>
        </w:tc>
        <w:tc>
          <w:tcPr>
            <w:tcW w:w="1119" w:type="dxa"/>
            <w:tcBorders>
              <w:top w:val="single" w:sz="6" w:space="0" w:color="CCCCCC"/>
              <w:left w:val="single" w:sz="6" w:space="0" w:color="CCCCCC"/>
              <w:bottom w:val="single" w:sz="6" w:space="0" w:color="000000"/>
              <w:right w:val="single" w:sz="6" w:space="0" w:color="000000"/>
            </w:tcBorders>
            <w:shd w:val="clear" w:color="auto" w:fill="F87E80"/>
            <w:tcMar>
              <w:top w:w="0" w:type="dxa"/>
              <w:left w:w="40" w:type="dxa"/>
              <w:bottom w:w="0" w:type="dxa"/>
              <w:right w:w="40" w:type="dxa"/>
            </w:tcMar>
            <w:vAlign w:val="center"/>
          </w:tcPr>
          <w:p w14:paraId="24BE7B64" w14:textId="77777777" w:rsidR="0081565C" w:rsidRDefault="00C45D4B">
            <w:pPr>
              <w:jc w:val="center"/>
              <w:rPr>
                <w:rFonts w:ascii="Calibri" w:eastAsia="Calibri" w:hAnsi="Calibri" w:cs="Calibri"/>
                <w:sz w:val="22"/>
                <w:szCs w:val="22"/>
              </w:rPr>
            </w:pPr>
            <w:r>
              <w:rPr>
                <w:b/>
                <w:bCs/>
              </w:rPr>
              <w:t>20</w:t>
            </w:r>
          </w:p>
        </w:tc>
        <w:tc>
          <w:tcPr>
            <w:tcW w:w="1119" w:type="dxa"/>
            <w:tcBorders>
              <w:top w:val="single" w:sz="6" w:space="0" w:color="CCCCCC"/>
              <w:left w:val="single" w:sz="6" w:space="0" w:color="CCCCCC"/>
              <w:bottom w:val="single" w:sz="6" w:space="0" w:color="000000"/>
              <w:right w:val="single" w:sz="6" w:space="0" w:color="000000"/>
            </w:tcBorders>
            <w:shd w:val="clear" w:color="auto" w:fill="F87B7D"/>
            <w:tcMar>
              <w:top w:w="0" w:type="dxa"/>
              <w:left w:w="40" w:type="dxa"/>
              <w:bottom w:w="0" w:type="dxa"/>
              <w:right w:w="40" w:type="dxa"/>
            </w:tcMar>
            <w:vAlign w:val="center"/>
          </w:tcPr>
          <w:p w14:paraId="24BE7B65" w14:textId="77777777" w:rsidR="0081565C" w:rsidRDefault="00C45D4B">
            <w:pPr>
              <w:jc w:val="center"/>
              <w:rPr>
                <w:rFonts w:ascii="Calibri" w:eastAsia="Calibri" w:hAnsi="Calibri" w:cs="Calibri"/>
                <w:sz w:val="22"/>
                <w:szCs w:val="22"/>
              </w:rPr>
            </w:pPr>
            <w:r>
              <w:rPr>
                <w:b/>
                <w:bCs/>
              </w:rPr>
              <w:t>18</w:t>
            </w:r>
          </w:p>
        </w:tc>
        <w:tc>
          <w:tcPr>
            <w:tcW w:w="1270" w:type="dxa"/>
            <w:tcBorders>
              <w:top w:val="single" w:sz="6" w:space="0" w:color="CCCCCC"/>
              <w:left w:val="single" w:sz="6" w:space="0" w:color="CCCCCC"/>
              <w:bottom w:val="single" w:sz="6" w:space="0" w:color="000000"/>
              <w:right w:val="single" w:sz="6" w:space="0" w:color="000000"/>
            </w:tcBorders>
            <w:shd w:val="clear" w:color="auto" w:fill="F8797B"/>
            <w:tcMar>
              <w:top w:w="0" w:type="dxa"/>
              <w:left w:w="40" w:type="dxa"/>
              <w:bottom w:w="0" w:type="dxa"/>
              <w:right w:w="40" w:type="dxa"/>
            </w:tcMar>
            <w:vAlign w:val="center"/>
          </w:tcPr>
          <w:p w14:paraId="24BE7B66" w14:textId="77777777" w:rsidR="0081565C" w:rsidRDefault="00C45D4B">
            <w:pPr>
              <w:jc w:val="center"/>
              <w:rPr>
                <w:rFonts w:ascii="Calibri" w:eastAsia="Calibri" w:hAnsi="Calibri" w:cs="Calibri"/>
                <w:sz w:val="22"/>
                <w:szCs w:val="22"/>
              </w:rPr>
            </w:pPr>
            <w:r>
              <w:rPr>
                <w:b/>
                <w:bCs/>
              </w:rPr>
              <w:t>16</w:t>
            </w:r>
          </w:p>
        </w:tc>
        <w:tc>
          <w:tcPr>
            <w:tcW w:w="1119" w:type="dxa"/>
            <w:tcBorders>
              <w:top w:val="single" w:sz="6" w:space="0" w:color="CCCCCC"/>
              <w:left w:val="single" w:sz="6" w:space="0" w:color="CCCCCC"/>
              <w:bottom w:val="single" w:sz="6" w:space="0" w:color="000000"/>
              <w:right w:val="single" w:sz="6" w:space="0" w:color="000000"/>
            </w:tcBorders>
            <w:shd w:val="clear" w:color="auto" w:fill="F8787A"/>
            <w:tcMar>
              <w:top w:w="0" w:type="dxa"/>
              <w:left w:w="40" w:type="dxa"/>
              <w:bottom w:w="0" w:type="dxa"/>
              <w:right w:w="40" w:type="dxa"/>
            </w:tcMar>
            <w:vAlign w:val="center"/>
          </w:tcPr>
          <w:p w14:paraId="24BE7B67" w14:textId="77777777" w:rsidR="0081565C" w:rsidRDefault="00C45D4B">
            <w:pPr>
              <w:jc w:val="center"/>
              <w:rPr>
                <w:rFonts w:ascii="Calibri" w:eastAsia="Calibri" w:hAnsi="Calibri" w:cs="Calibri"/>
                <w:sz w:val="22"/>
                <w:szCs w:val="22"/>
              </w:rPr>
            </w:pPr>
            <w:r>
              <w:rPr>
                <w:b/>
                <w:bCs/>
              </w:rPr>
              <w:t>15</w:t>
            </w:r>
          </w:p>
        </w:tc>
      </w:tr>
      <w:tr w:rsidR="0081565C" w14:paraId="24BE7B70"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4BE7B69" w14:textId="77777777" w:rsidR="0081565C" w:rsidRDefault="00C45D4B">
            <w:pPr>
              <w:jc w:val="center"/>
              <w:rPr>
                <w:rFonts w:ascii="Calibri" w:eastAsia="Calibri" w:hAnsi="Calibri" w:cs="Calibri"/>
                <w:sz w:val="22"/>
                <w:szCs w:val="22"/>
              </w:rPr>
            </w:pPr>
            <w:r>
              <w:rPr>
                <w:b/>
                <w:bCs/>
              </w:rPr>
              <w:t>Payables Turnover Days</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4BE7B6A" w14:textId="77777777" w:rsidR="0081565C" w:rsidRDefault="00C45D4B">
            <w:pPr>
              <w:jc w:val="center"/>
              <w:rPr>
                <w:rFonts w:ascii="Calibri" w:eastAsia="Calibri" w:hAnsi="Calibri" w:cs="Calibri"/>
                <w:sz w:val="22"/>
                <w:szCs w:val="22"/>
              </w:rPr>
            </w:pPr>
            <w:r>
              <w:rPr>
                <w:b/>
                <w:bCs/>
              </w:rPr>
              <w:t>365/(B/K)</w:t>
            </w:r>
          </w:p>
        </w:tc>
        <w:tc>
          <w:tcPr>
            <w:tcW w:w="1119" w:type="dxa"/>
            <w:tcBorders>
              <w:top w:val="single" w:sz="6" w:space="0" w:color="CCCCCC"/>
              <w:left w:val="single" w:sz="6" w:space="0" w:color="CCCCCC"/>
              <w:bottom w:val="single" w:sz="6" w:space="0" w:color="000000"/>
              <w:right w:val="single" w:sz="6" w:space="0" w:color="000000"/>
            </w:tcBorders>
            <w:shd w:val="clear" w:color="auto" w:fill="FAD0D2"/>
            <w:tcMar>
              <w:top w:w="0" w:type="dxa"/>
              <w:left w:w="40" w:type="dxa"/>
              <w:bottom w:w="0" w:type="dxa"/>
              <w:right w:w="40" w:type="dxa"/>
            </w:tcMar>
            <w:vAlign w:val="center"/>
          </w:tcPr>
          <w:p w14:paraId="24BE7B6B" w14:textId="77777777" w:rsidR="0081565C" w:rsidRDefault="00C45D4B">
            <w:pPr>
              <w:jc w:val="center"/>
              <w:rPr>
                <w:rFonts w:ascii="Calibri" w:eastAsia="Calibri" w:hAnsi="Calibri" w:cs="Calibri"/>
                <w:sz w:val="22"/>
                <w:szCs w:val="22"/>
              </w:rPr>
            </w:pPr>
            <w:r>
              <w:rPr>
                <w:b/>
                <w:bCs/>
              </w:rPr>
              <w:t>87</w:t>
            </w:r>
          </w:p>
        </w:tc>
        <w:tc>
          <w:tcPr>
            <w:tcW w:w="1119" w:type="dxa"/>
            <w:tcBorders>
              <w:top w:val="single" w:sz="6" w:space="0" w:color="CCCCCC"/>
              <w:left w:val="single" w:sz="6" w:space="0" w:color="CCCCCC"/>
              <w:bottom w:val="single" w:sz="6" w:space="0" w:color="000000"/>
              <w:right w:val="single" w:sz="6" w:space="0" w:color="000000"/>
            </w:tcBorders>
            <w:shd w:val="clear" w:color="auto" w:fill="FBE0E3"/>
            <w:tcMar>
              <w:top w:w="0" w:type="dxa"/>
              <w:left w:w="40" w:type="dxa"/>
              <w:bottom w:w="0" w:type="dxa"/>
              <w:right w:w="40" w:type="dxa"/>
            </w:tcMar>
            <w:vAlign w:val="center"/>
          </w:tcPr>
          <w:p w14:paraId="24BE7B6C" w14:textId="77777777" w:rsidR="0081565C" w:rsidRDefault="00C45D4B">
            <w:pPr>
              <w:jc w:val="center"/>
              <w:rPr>
                <w:rFonts w:ascii="Calibri" w:eastAsia="Calibri" w:hAnsi="Calibri" w:cs="Calibri"/>
                <w:sz w:val="22"/>
                <w:szCs w:val="22"/>
              </w:rPr>
            </w:pPr>
            <w:r>
              <w:rPr>
                <w:b/>
                <w:bCs/>
              </w:rPr>
              <w:t>101</w:t>
            </w:r>
          </w:p>
        </w:tc>
        <w:tc>
          <w:tcPr>
            <w:tcW w:w="1119" w:type="dxa"/>
            <w:tcBorders>
              <w:top w:val="single" w:sz="6" w:space="0" w:color="CCCCCC"/>
              <w:left w:val="single" w:sz="6" w:space="0" w:color="CCCCCC"/>
              <w:bottom w:val="single" w:sz="6" w:space="0" w:color="000000"/>
              <w:right w:val="single" w:sz="6" w:space="0" w:color="000000"/>
            </w:tcBorders>
            <w:shd w:val="clear" w:color="auto" w:fill="FBE7EA"/>
            <w:tcMar>
              <w:top w:w="0" w:type="dxa"/>
              <w:left w:w="40" w:type="dxa"/>
              <w:bottom w:w="0" w:type="dxa"/>
              <w:right w:w="40" w:type="dxa"/>
            </w:tcMar>
            <w:vAlign w:val="center"/>
          </w:tcPr>
          <w:p w14:paraId="24BE7B6D" w14:textId="77777777" w:rsidR="0081565C" w:rsidRDefault="00C45D4B">
            <w:pPr>
              <w:jc w:val="center"/>
              <w:rPr>
                <w:rFonts w:ascii="Calibri" w:eastAsia="Calibri" w:hAnsi="Calibri" w:cs="Calibri"/>
                <w:sz w:val="22"/>
                <w:szCs w:val="22"/>
              </w:rPr>
            </w:pPr>
            <w:r>
              <w:rPr>
                <w:b/>
                <w:bCs/>
              </w:rPr>
              <w:t>107</w:t>
            </w:r>
          </w:p>
        </w:tc>
        <w:tc>
          <w:tcPr>
            <w:tcW w:w="1270" w:type="dxa"/>
            <w:tcBorders>
              <w:top w:val="single" w:sz="6" w:space="0" w:color="CCCCCC"/>
              <w:left w:val="single" w:sz="6" w:space="0" w:color="CCCCCC"/>
              <w:bottom w:val="single" w:sz="6" w:space="0" w:color="000000"/>
              <w:right w:val="single" w:sz="6" w:space="0" w:color="000000"/>
            </w:tcBorders>
            <w:shd w:val="clear" w:color="auto" w:fill="FBE1E4"/>
            <w:tcMar>
              <w:top w:w="0" w:type="dxa"/>
              <w:left w:w="40" w:type="dxa"/>
              <w:bottom w:w="0" w:type="dxa"/>
              <w:right w:w="40" w:type="dxa"/>
            </w:tcMar>
            <w:vAlign w:val="center"/>
          </w:tcPr>
          <w:p w14:paraId="24BE7B6E" w14:textId="77777777" w:rsidR="0081565C" w:rsidRDefault="00C45D4B">
            <w:pPr>
              <w:jc w:val="center"/>
              <w:rPr>
                <w:rFonts w:ascii="Calibri" w:eastAsia="Calibri" w:hAnsi="Calibri" w:cs="Calibri"/>
                <w:sz w:val="22"/>
                <w:szCs w:val="22"/>
              </w:rPr>
            </w:pPr>
            <w:r>
              <w:rPr>
                <w:b/>
                <w:bCs/>
              </w:rPr>
              <w:t>102</w:t>
            </w:r>
          </w:p>
        </w:tc>
        <w:tc>
          <w:tcPr>
            <w:tcW w:w="1119" w:type="dxa"/>
            <w:tcBorders>
              <w:top w:val="single" w:sz="6" w:space="0" w:color="CCCCCC"/>
              <w:left w:val="single" w:sz="6" w:space="0" w:color="CCCCCC"/>
              <w:bottom w:val="single" w:sz="6" w:space="0" w:color="000000"/>
              <w:right w:val="single" w:sz="6" w:space="0" w:color="000000"/>
            </w:tcBorders>
            <w:shd w:val="clear" w:color="auto" w:fill="FBE0E2"/>
            <w:tcMar>
              <w:top w:w="0" w:type="dxa"/>
              <w:left w:w="40" w:type="dxa"/>
              <w:bottom w:w="0" w:type="dxa"/>
              <w:right w:w="40" w:type="dxa"/>
            </w:tcMar>
            <w:vAlign w:val="center"/>
          </w:tcPr>
          <w:p w14:paraId="24BE7B6F" w14:textId="77777777" w:rsidR="0081565C" w:rsidRDefault="00C45D4B">
            <w:pPr>
              <w:jc w:val="center"/>
              <w:rPr>
                <w:rFonts w:ascii="Calibri" w:eastAsia="Calibri" w:hAnsi="Calibri" w:cs="Calibri"/>
                <w:sz w:val="22"/>
                <w:szCs w:val="22"/>
              </w:rPr>
            </w:pPr>
            <w:r>
              <w:rPr>
                <w:b/>
                <w:bCs/>
              </w:rPr>
              <w:t>100</w:t>
            </w:r>
          </w:p>
        </w:tc>
      </w:tr>
      <w:tr w:rsidR="0081565C" w14:paraId="24BE7B78" w14:textId="77777777">
        <w:trPr>
          <w:trHeight w:val="315"/>
        </w:trPr>
        <w:tc>
          <w:tcPr>
            <w:tcW w:w="2793"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24BE7B71" w14:textId="77777777" w:rsidR="0081565C" w:rsidRDefault="0081565C">
            <w:pPr>
              <w:rPr>
                <w:rFonts w:ascii="Calibri" w:eastAsia="Calibri" w:hAnsi="Calibri" w:cs="Calibri"/>
                <w:sz w:val="22"/>
                <w:szCs w:val="22"/>
              </w:rPr>
            </w:pPr>
          </w:p>
        </w:tc>
        <w:tc>
          <w:tcPr>
            <w:tcW w:w="816"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24BE7B72" w14:textId="77777777" w:rsidR="0081565C" w:rsidRDefault="0081565C">
            <w:pPr>
              <w:rPr>
                <w:rFonts w:ascii="Calibri" w:eastAsia="Calibri" w:hAnsi="Calibri" w:cs="Calibri"/>
                <w:sz w:val="22"/>
                <w:szCs w:val="22"/>
              </w:rPr>
            </w:pPr>
          </w:p>
        </w:tc>
        <w:tc>
          <w:tcPr>
            <w:tcW w:w="1119"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24BE7B73" w14:textId="77777777" w:rsidR="0081565C" w:rsidRDefault="0081565C">
            <w:pPr>
              <w:rPr>
                <w:rFonts w:ascii="Calibri" w:eastAsia="Calibri" w:hAnsi="Calibri" w:cs="Calibri"/>
                <w:sz w:val="22"/>
                <w:szCs w:val="22"/>
              </w:rPr>
            </w:pPr>
          </w:p>
        </w:tc>
        <w:tc>
          <w:tcPr>
            <w:tcW w:w="1119"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24BE7B74" w14:textId="77777777" w:rsidR="0081565C" w:rsidRDefault="0081565C">
            <w:pPr>
              <w:rPr>
                <w:rFonts w:ascii="Calibri" w:eastAsia="Calibri" w:hAnsi="Calibri" w:cs="Calibri"/>
                <w:sz w:val="22"/>
                <w:szCs w:val="22"/>
              </w:rPr>
            </w:pPr>
          </w:p>
        </w:tc>
        <w:tc>
          <w:tcPr>
            <w:tcW w:w="1119"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24BE7B75" w14:textId="77777777" w:rsidR="0081565C" w:rsidRDefault="0081565C">
            <w:pPr>
              <w:rPr>
                <w:rFonts w:ascii="Calibri" w:eastAsia="Calibri" w:hAnsi="Calibri" w:cs="Calibri"/>
                <w:sz w:val="22"/>
                <w:szCs w:val="22"/>
              </w:rPr>
            </w:pPr>
          </w:p>
        </w:tc>
        <w:tc>
          <w:tcPr>
            <w:tcW w:w="127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24BE7B76" w14:textId="77777777" w:rsidR="0081565C" w:rsidRDefault="0081565C">
            <w:pPr>
              <w:rPr>
                <w:rFonts w:ascii="Calibri" w:eastAsia="Calibri" w:hAnsi="Calibri" w:cs="Calibri"/>
                <w:sz w:val="22"/>
                <w:szCs w:val="22"/>
              </w:rPr>
            </w:pPr>
          </w:p>
        </w:tc>
        <w:tc>
          <w:tcPr>
            <w:tcW w:w="1119"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24BE7B77" w14:textId="77777777" w:rsidR="0081565C" w:rsidRDefault="0081565C">
            <w:pPr>
              <w:rPr>
                <w:rFonts w:ascii="Calibri" w:eastAsia="Calibri" w:hAnsi="Calibri" w:cs="Calibri"/>
                <w:sz w:val="22"/>
                <w:szCs w:val="22"/>
              </w:rPr>
            </w:pPr>
          </w:p>
        </w:tc>
      </w:tr>
      <w:tr w:rsidR="0081565C" w14:paraId="24BE7B7A" w14:textId="77777777">
        <w:trPr>
          <w:trHeight w:val="315"/>
        </w:trPr>
        <w:tc>
          <w:tcPr>
            <w:tcW w:w="9355" w:type="dxa"/>
            <w:gridSpan w:val="7"/>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center"/>
          </w:tcPr>
          <w:p w14:paraId="24BE7B79" w14:textId="77777777" w:rsidR="0081565C" w:rsidRDefault="00C45D4B">
            <w:pPr>
              <w:jc w:val="center"/>
              <w:rPr>
                <w:rFonts w:ascii="Calibri" w:eastAsia="Calibri" w:hAnsi="Calibri" w:cs="Calibri"/>
                <w:sz w:val="22"/>
                <w:szCs w:val="22"/>
              </w:rPr>
            </w:pPr>
            <w:r>
              <w:rPr>
                <w:b/>
                <w:bCs/>
              </w:rPr>
              <w:t xml:space="preserve">Investment </w:t>
            </w:r>
            <w:proofErr w:type="gramStart"/>
            <w:r>
              <w:rPr>
                <w:b/>
                <w:bCs/>
              </w:rPr>
              <w:t>Ratios:-</w:t>
            </w:r>
            <w:proofErr w:type="gramEnd"/>
          </w:p>
        </w:tc>
      </w:tr>
      <w:tr w:rsidR="0081565C" w14:paraId="24BE7B82"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4BE7B7B" w14:textId="77777777" w:rsidR="0081565C" w:rsidRDefault="00C45D4B">
            <w:pPr>
              <w:jc w:val="center"/>
              <w:rPr>
                <w:rFonts w:ascii="Calibri" w:eastAsia="Calibri" w:hAnsi="Calibri" w:cs="Calibri"/>
                <w:sz w:val="22"/>
                <w:szCs w:val="22"/>
              </w:rPr>
            </w:pPr>
            <w:r>
              <w:rPr>
                <w:b/>
                <w:bCs/>
              </w:rPr>
              <w:t>Particulars</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4BE7B7C" w14:textId="77777777" w:rsidR="0081565C" w:rsidRDefault="00C45D4B">
            <w:pPr>
              <w:jc w:val="center"/>
              <w:rPr>
                <w:rFonts w:ascii="Calibri" w:eastAsia="Calibri" w:hAnsi="Calibri" w:cs="Calibri"/>
                <w:sz w:val="22"/>
                <w:szCs w:val="22"/>
              </w:rPr>
            </w:pPr>
            <w:r>
              <w:rPr>
                <w:b/>
                <w:bCs/>
              </w:rPr>
              <w:t>Details</w:t>
            </w:r>
          </w:p>
        </w:tc>
        <w:tc>
          <w:tcPr>
            <w:tcW w:w="1119" w:type="dxa"/>
            <w:tcBorders>
              <w:top w:val="single" w:sz="6" w:space="0" w:color="CCCCCC"/>
              <w:left w:val="single" w:sz="6" w:space="0" w:color="CCCCCC"/>
              <w:bottom w:val="single" w:sz="6" w:space="0" w:color="000000"/>
              <w:right w:val="single" w:sz="6" w:space="0" w:color="000000"/>
            </w:tcBorders>
            <w:shd w:val="clear" w:color="auto" w:fill="64BF7C"/>
            <w:tcMar>
              <w:top w:w="0" w:type="dxa"/>
              <w:left w:w="40" w:type="dxa"/>
              <w:bottom w:w="0" w:type="dxa"/>
              <w:right w:w="40" w:type="dxa"/>
            </w:tcMar>
            <w:vAlign w:val="center"/>
          </w:tcPr>
          <w:p w14:paraId="24BE7B7D" w14:textId="77777777" w:rsidR="0081565C" w:rsidRDefault="00C45D4B">
            <w:pPr>
              <w:jc w:val="center"/>
              <w:rPr>
                <w:rFonts w:ascii="Calibri" w:eastAsia="Calibri" w:hAnsi="Calibri" w:cs="Calibri"/>
                <w:sz w:val="22"/>
                <w:szCs w:val="22"/>
              </w:rPr>
            </w:pPr>
            <w:r>
              <w:rPr>
                <w:b/>
                <w:bCs/>
              </w:rPr>
              <w:t>2021</w:t>
            </w:r>
          </w:p>
        </w:tc>
        <w:tc>
          <w:tcPr>
            <w:tcW w:w="1119" w:type="dxa"/>
            <w:tcBorders>
              <w:top w:val="single" w:sz="6" w:space="0" w:color="CCCCCC"/>
              <w:left w:val="single" w:sz="6" w:space="0" w:color="CCCCCC"/>
              <w:bottom w:val="single" w:sz="6" w:space="0" w:color="000000"/>
              <w:right w:val="single" w:sz="6" w:space="0" w:color="000000"/>
            </w:tcBorders>
            <w:shd w:val="clear" w:color="auto" w:fill="64BF7C"/>
            <w:tcMar>
              <w:top w:w="0" w:type="dxa"/>
              <w:left w:w="40" w:type="dxa"/>
              <w:bottom w:w="0" w:type="dxa"/>
              <w:right w:w="40" w:type="dxa"/>
            </w:tcMar>
            <w:vAlign w:val="center"/>
          </w:tcPr>
          <w:p w14:paraId="24BE7B7E" w14:textId="77777777" w:rsidR="0081565C" w:rsidRDefault="00C45D4B">
            <w:pPr>
              <w:jc w:val="center"/>
              <w:rPr>
                <w:rFonts w:ascii="Calibri" w:eastAsia="Calibri" w:hAnsi="Calibri" w:cs="Calibri"/>
                <w:sz w:val="22"/>
                <w:szCs w:val="22"/>
              </w:rPr>
            </w:pPr>
            <w:r>
              <w:rPr>
                <w:b/>
                <w:bCs/>
              </w:rPr>
              <w:t>2022</w:t>
            </w:r>
          </w:p>
        </w:tc>
        <w:tc>
          <w:tcPr>
            <w:tcW w:w="1119" w:type="dxa"/>
            <w:tcBorders>
              <w:top w:val="single" w:sz="6" w:space="0" w:color="CCCCCC"/>
              <w:left w:val="single" w:sz="6" w:space="0" w:color="CCCCCC"/>
              <w:bottom w:val="single" w:sz="6" w:space="0" w:color="000000"/>
              <w:right w:val="single" w:sz="6" w:space="0" w:color="000000"/>
            </w:tcBorders>
            <w:shd w:val="clear" w:color="auto" w:fill="64BF7C"/>
            <w:tcMar>
              <w:top w:w="0" w:type="dxa"/>
              <w:left w:w="40" w:type="dxa"/>
              <w:bottom w:w="0" w:type="dxa"/>
              <w:right w:w="40" w:type="dxa"/>
            </w:tcMar>
            <w:vAlign w:val="center"/>
          </w:tcPr>
          <w:p w14:paraId="24BE7B7F" w14:textId="77777777" w:rsidR="0081565C" w:rsidRDefault="00C45D4B">
            <w:pPr>
              <w:jc w:val="center"/>
              <w:rPr>
                <w:rFonts w:ascii="Calibri" w:eastAsia="Calibri" w:hAnsi="Calibri" w:cs="Calibri"/>
                <w:sz w:val="22"/>
                <w:szCs w:val="22"/>
              </w:rPr>
            </w:pPr>
            <w:r>
              <w:rPr>
                <w:b/>
                <w:bCs/>
              </w:rPr>
              <w:t>2023</w:t>
            </w:r>
          </w:p>
        </w:tc>
        <w:tc>
          <w:tcPr>
            <w:tcW w:w="1270" w:type="dxa"/>
            <w:tcBorders>
              <w:top w:val="single" w:sz="6" w:space="0" w:color="CCCCCC"/>
              <w:left w:val="single" w:sz="6" w:space="0" w:color="CCCCCC"/>
              <w:bottom w:val="single" w:sz="6" w:space="0" w:color="000000"/>
              <w:right w:val="single" w:sz="6" w:space="0" w:color="000000"/>
            </w:tcBorders>
            <w:shd w:val="clear" w:color="auto" w:fill="64BF7C"/>
            <w:tcMar>
              <w:top w:w="0" w:type="dxa"/>
              <w:left w:w="40" w:type="dxa"/>
              <w:bottom w:w="0" w:type="dxa"/>
              <w:right w:w="40" w:type="dxa"/>
            </w:tcMar>
            <w:vAlign w:val="center"/>
          </w:tcPr>
          <w:p w14:paraId="24BE7B80" w14:textId="77777777" w:rsidR="0081565C" w:rsidRDefault="00C45D4B">
            <w:pPr>
              <w:jc w:val="center"/>
              <w:rPr>
                <w:rFonts w:ascii="Calibri" w:eastAsia="Calibri" w:hAnsi="Calibri" w:cs="Calibri"/>
                <w:sz w:val="22"/>
                <w:szCs w:val="22"/>
              </w:rPr>
            </w:pPr>
            <w:r>
              <w:rPr>
                <w:b/>
                <w:bCs/>
              </w:rPr>
              <w:t>2024</w:t>
            </w:r>
          </w:p>
        </w:tc>
        <w:tc>
          <w:tcPr>
            <w:tcW w:w="1119" w:type="dxa"/>
            <w:tcBorders>
              <w:top w:val="single" w:sz="6" w:space="0" w:color="CCCCCC"/>
              <w:left w:val="single" w:sz="6" w:space="0" w:color="CCCCCC"/>
              <w:bottom w:val="single" w:sz="6" w:space="0" w:color="000000"/>
              <w:right w:val="single" w:sz="6" w:space="0" w:color="000000"/>
            </w:tcBorders>
            <w:shd w:val="clear" w:color="auto" w:fill="63BE7B"/>
            <w:tcMar>
              <w:top w:w="0" w:type="dxa"/>
              <w:left w:w="40" w:type="dxa"/>
              <w:bottom w:w="0" w:type="dxa"/>
              <w:right w:w="40" w:type="dxa"/>
            </w:tcMar>
            <w:vAlign w:val="center"/>
          </w:tcPr>
          <w:p w14:paraId="24BE7B81" w14:textId="77777777" w:rsidR="0081565C" w:rsidRDefault="00C45D4B">
            <w:pPr>
              <w:jc w:val="center"/>
              <w:rPr>
                <w:rFonts w:ascii="Calibri" w:eastAsia="Calibri" w:hAnsi="Calibri" w:cs="Calibri"/>
                <w:sz w:val="22"/>
                <w:szCs w:val="22"/>
              </w:rPr>
            </w:pPr>
            <w:r>
              <w:rPr>
                <w:b/>
                <w:bCs/>
              </w:rPr>
              <w:t>2025</w:t>
            </w:r>
          </w:p>
        </w:tc>
      </w:tr>
      <w:tr w:rsidR="0081565C" w14:paraId="24BE7B8A"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4BE7B83" w14:textId="77777777" w:rsidR="0081565C" w:rsidRDefault="00C45D4B">
            <w:pPr>
              <w:jc w:val="center"/>
              <w:rPr>
                <w:rFonts w:ascii="Calibri" w:eastAsia="Calibri" w:hAnsi="Calibri" w:cs="Calibri"/>
                <w:sz w:val="22"/>
                <w:szCs w:val="22"/>
              </w:rPr>
            </w:pPr>
            <w:r>
              <w:t>No Of Share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4BE7B84" w14:textId="77777777" w:rsidR="0081565C" w:rsidRDefault="00C45D4B">
            <w:pPr>
              <w:jc w:val="center"/>
              <w:rPr>
                <w:rFonts w:ascii="Calibri" w:eastAsia="Calibri" w:hAnsi="Calibri" w:cs="Calibri"/>
                <w:sz w:val="22"/>
                <w:szCs w:val="22"/>
              </w:rPr>
            </w:pPr>
            <w:r>
              <w:t>A</w:t>
            </w:r>
          </w:p>
        </w:tc>
        <w:tc>
          <w:tcPr>
            <w:tcW w:w="1119" w:type="dxa"/>
            <w:tcBorders>
              <w:top w:val="single" w:sz="6" w:space="0" w:color="CCCCCC"/>
              <w:left w:val="single" w:sz="6" w:space="0" w:color="CCCCCC"/>
              <w:bottom w:val="single" w:sz="6" w:space="0" w:color="000000"/>
              <w:right w:val="single" w:sz="6" w:space="0" w:color="000000"/>
            </w:tcBorders>
            <w:shd w:val="clear" w:color="auto" w:fill="FBFAFD"/>
            <w:tcMar>
              <w:top w:w="0" w:type="dxa"/>
              <w:left w:w="40" w:type="dxa"/>
              <w:bottom w:w="0" w:type="dxa"/>
              <w:right w:w="40" w:type="dxa"/>
            </w:tcMar>
            <w:vAlign w:val="center"/>
          </w:tcPr>
          <w:p w14:paraId="24BE7B85" w14:textId="77777777" w:rsidR="0081565C" w:rsidRDefault="00C45D4B">
            <w:pPr>
              <w:jc w:val="center"/>
              <w:rPr>
                <w:rFonts w:ascii="Calibri" w:eastAsia="Calibri" w:hAnsi="Calibri" w:cs="Calibri"/>
                <w:sz w:val="22"/>
                <w:szCs w:val="22"/>
              </w:rPr>
            </w:pPr>
            <w:r>
              <w:t>180.00</w:t>
            </w:r>
          </w:p>
        </w:tc>
        <w:tc>
          <w:tcPr>
            <w:tcW w:w="1119" w:type="dxa"/>
            <w:tcBorders>
              <w:top w:val="single" w:sz="6" w:space="0" w:color="CCCCCC"/>
              <w:left w:val="single" w:sz="6" w:space="0" w:color="CCCCCC"/>
              <w:bottom w:val="single" w:sz="6" w:space="0" w:color="000000"/>
              <w:right w:val="single" w:sz="6" w:space="0" w:color="000000"/>
            </w:tcBorders>
            <w:shd w:val="clear" w:color="auto" w:fill="FCFCFF"/>
            <w:tcMar>
              <w:top w:w="0" w:type="dxa"/>
              <w:left w:w="40" w:type="dxa"/>
              <w:bottom w:w="0" w:type="dxa"/>
              <w:right w:w="40" w:type="dxa"/>
            </w:tcMar>
            <w:vAlign w:val="center"/>
          </w:tcPr>
          <w:p w14:paraId="24BE7B86" w14:textId="77777777" w:rsidR="0081565C" w:rsidRDefault="00C45D4B">
            <w:pPr>
              <w:jc w:val="center"/>
              <w:rPr>
                <w:rFonts w:ascii="Calibri" w:eastAsia="Calibri" w:hAnsi="Calibri" w:cs="Calibri"/>
                <w:sz w:val="22"/>
                <w:szCs w:val="22"/>
              </w:rPr>
            </w:pPr>
            <w:r>
              <w:t>200.00</w:t>
            </w:r>
          </w:p>
        </w:tc>
        <w:tc>
          <w:tcPr>
            <w:tcW w:w="1119" w:type="dxa"/>
            <w:tcBorders>
              <w:top w:val="single" w:sz="6" w:space="0" w:color="CCCCCC"/>
              <w:left w:val="single" w:sz="6" w:space="0" w:color="CCCCCC"/>
              <w:bottom w:val="single" w:sz="6" w:space="0" w:color="000000"/>
              <w:right w:val="single" w:sz="6" w:space="0" w:color="000000"/>
            </w:tcBorders>
            <w:shd w:val="clear" w:color="auto" w:fill="FCFCFF"/>
            <w:tcMar>
              <w:top w:w="0" w:type="dxa"/>
              <w:left w:w="40" w:type="dxa"/>
              <w:bottom w:w="0" w:type="dxa"/>
              <w:right w:w="40" w:type="dxa"/>
            </w:tcMar>
            <w:vAlign w:val="center"/>
          </w:tcPr>
          <w:p w14:paraId="24BE7B87" w14:textId="77777777" w:rsidR="0081565C" w:rsidRDefault="00C45D4B">
            <w:pPr>
              <w:jc w:val="center"/>
              <w:rPr>
                <w:rFonts w:ascii="Calibri" w:eastAsia="Calibri" w:hAnsi="Calibri" w:cs="Calibri"/>
                <w:sz w:val="22"/>
                <w:szCs w:val="22"/>
              </w:rPr>
            </w:pPr>
            <w:r>
              <w:t>200.00</w:t>
            </w:r>
          </w:p>
        </w:tc>
        <w:tc>
          <w:tcPr>
            <w:tcW w:w="1270" w:type="dxa"/>
            <w:tcBorders>
              <w:top w:val="single" w:sz="6" w:space="0" w:color="CCCCCC"/>
              <w:left w:val="single" w:sz="6" w:space="0" w:color="CCCCCC"/>
              <w:bottom w:val="single" w:sz="6" w:space="0" w:color="000000"/>
              <w:right w:val="single" w:sz="6" w:space="0" w:color="000000"/>
            </w:tcBorders>
            <w:shd w:val="clear" w:color="auto" w:fill="FBFAFD"/>
            <w:tcMar>
              <w:top w:w="0" w:type="dxa"/>
              <w:left w:w="40" w:type="dxa"/>
              <w:bottom w:w="0" w:type="dxa"/>
              <w:right w:w="40" w:type="dxa"/>
            </w:tcMar>
            <w:vAlign w:val="center"/>
          </w:tcPr>
          <w:p w14:paraId="24BE7B88" w14:textId="77777777" w:rsidR="0081565C" w:rsidRDefault="00C45D4B">
            <w:pPr>
              <w:jc w:val="center"/>
              <w:rPr>
                <w:rFonts w:ascii="Calibri" w:eastAsia="Calibri" w:hAnsi="Calibri" w:cs="Calibri"/>
                <w:sz w:val="22"/>
                <w:szCs w:val="22"/>
              </w:rPr>
            </w:pPr>
            <w:r>
              <w:t>185.00</w:t>
            </w:r>
          </w:p>
        </w:tc>
        <w:tc>
          <w:tcPr>
            <w:tcW w:w="1119" w:type="dxa"/>
            <w:tcBorders>
              <w:top w:val="single" w:sz="6" w:space="0" w:color="CCCCCC"/>
              <w:left w:val="single" w:sz="6" w:space="0" w:color="CCCCCC"/>
              <w:bottom w:val="single" w:sz="6" w:space="0" w:color="000000"/>
              <w:right w:val="single" w:sz="6" w:space="0" w:color="000000"/>
            </w:tcBorders>
            <w:shd w:val="clear" w:color="auto" w:fill="FBFAFD"/>
            <w:tcMar>
              <w:top w:w="0" w:type="dxa"/>
              <w:left w:w="40" w:type="dxa"/>
              <w:bottom w:w="0" w:type="dxa"/>
              <w:right w:w="40" w:type="dxa"/>
            </w:tcMar>
            <w:vAlign w:val="center"/>
          </w:tcPr>
          <w:p w14:paraId="24BE7B89" w14:textId="77777777" w:rsidR="0081565C" w:rsidRDefault="00C45D4B">
            <w:pPr>
              <w:jc w:val="center"/>
              <w:rPr>
                <w:rFonts w:ascii="Calibri" w:eastAsia="Calibri" w:hAnsi="Calibri" w:cs="Calibri"/>
                <w:sz w:val="22"/>
                <w:szCs w:val="22"/>
              </w:rPr>
            </w:pPr>
            <w:r>
              <w:t>179.00</w:t>
            </w:r>
          </w:p>
        </w:tc>
      </w:tr>
      <w:tr w:rsidR="0081565C" w14:paraId="24BE7B92"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4BE7B8B" w14:textId="77777777" w:rsidR="0081565C" w:rsidRDefault="00C45D4B">
            <w:pPr>
              <w:jc w:val="center"/>
              <w:rPr>
                <w:rFonts w:ascii="Calibri" w:eastAsia="Calibri" w:hAnsi="Calibri" w:cs="Calibri"/>
                <w:sz w:val="22"/>
                <w:szCs w:val="22"/>
              </w:rPr>
            </w:pPr>
            <w:r>
              <w:t>Net Income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4BE7B8C" w14:textId="77777777" w:rsidR="0081565C" w:rsidRDefault="00C45D4B">
            <w:pPr>
              <w:jc w:val="center"/>
              <w:rPr>
                <w:rFonts w:ascii="Calibri" w:eastAsia="Calibri" w:hAnsi="Calibri" w:cs="Calibri"/>
                <w:sz w:val="22"/>
                <w:szCs w:val="22"/>
              </w:rPr>
            </w:pPr>
            <w:r>
              <w:t>B</w:t>
            </w:r>
          </w:p>
        </w:tc>
        <w:tc>
          <w:tcPr>
            <w:tcW w:w="1119" w:type="dxa"/>
            <w:tcBorders>
              <w:top w:val="single" w:sz="6" w:space="0" w:color="CCCCCC"/>
              <w:left w:val="single" w:sz="6" w:space="0" w:color="CCCCCC"/>
              <w:bottom w:val="single" w:sz="6" w:space="0" w:color="000000"/>
              <w:right w:val="single" w:sz="6" w:space="0" w:color="000000"/>
            </w:tcBorders>
            <w:shd w:val="clear" w:color="auto" w:fill="F8696B"/>
            <w:tcMar>
              <w:top w:w="0" w:type="dxa"/>
              <w:left w:w="40" w:type="dxa"/>
              <w:bottom w:w="0" w:type="dxa"/>
              <w:right w:w="40" w:type="dxa"/>
            </w:tcMar>
            <w:vAlign w:val="center"/>
          </w:tcPr>
          <w:p w14:paraId="24BE7B8D" w14:textId="77777777" w:rsidR="0081565C" w:rsidRDefault="00C45D4B">
            <w:pPr>
              <w:jc w:val="center"/>
              <w:rPr>
                <w:rFonts w:ascii="Calibri" w:eastAsia="Calibri" w:hAnsi="Calibri" w:cs="Calibri"/>
                <w:sz w:val="22"/>
                <w:szCs w:val="22"/>
              </w:rPr>
            </w:pPr>
            <w:r>
              <w:t>(906.50)</w:t>
            </w:r>
          </w:p>
        </w:tc>
        <w:tc>
          <w:tcPr>
            <w:tcW w:w="1119" w:type="dxa"/>
            <w:tcBorders>
              <w:top w:val="single" w:sz="6" w:space="0" w:color="CCCCCC"/>
              <w:left w:val="single" w:sz="6" w:space="0" w:color="CCCCCC"/>
              <w:bottom w:val="single" w:sz="6" w:space="0" w:color="000000"/>
              <w:right w:val="single" w:sz="6" w:space="0" w:color="000000"/>
            </w:tcBorders>
            <w:shd w:val="clear" w:color="auto" w:fill="FBE7EA"/>
            <w:tcMar>
              <w:top w:w="0" w:type="dxa"/>
              <w:left w:w="40" w:type="dxa"/>
              <w:bottom w:w="0" w:type="dxa"/>
              <w:right w:w="40" w:type="dxa"/>
            </w:tcMar>
            <w:vAlign w:val="center"/>
          </w:tcPr>
          <w:p w14:paraId="24BE7B8E" w14:textId="77777777" w:rsidR="0081565C" w:rsidRDefault="00C45D4B">
            <w:pPr>
              <w:jc w:val="center"/>
              <w:rPr>
                <w:rFonts w:ascii="Calibri" w:eastAsia="Calibri" w:hAnsi="Calibri" w:cs="Calibri"/>
                <w:sz w:val="22"/>
                <w:szCs w:val="22"/>
              </w:rPr>
            </w:pPr>
            <w:r>
              <w:t>42.50</w:t>
            </w:r>
          </w:p>
        </w:tc>
        <w:tc>
          <w:tcPr>
            <w:tcW w:w="1119" w:type="dxa"/>
            <w:tcBorders>
              <w:top w:val="single" w:sz="6" w:space="0" w:color="CCCCCC"/>
              <w:left w:val="single" w:sz="6" w:space="0" w:color="CCCCCC"/>
              <w:bottom w:val="single" w:sz="6" w:space="0" w:color="000000"/>
              <w:right w:val="single" w:sz="6" w:space="0" w:color="000000"/>
            </w:tcBorders>
            <w:shd w:val="clear" w:color="auto" w:fill="F5FAF9"/>
            <w:tcMar>
              <w:top w:w="0" w:type="dxa"/>
              <w:left w:w="40" w:type="dxa"/>
              <w:bottom w:w="0" w:type="dxa"/>
              <w:right w:w="40" w:type="dxa"/>
            </w:tcMar>
            <w:vAlign w:val="center"/>
          </w:tcPr>
          <w:p w14:paraId="24BE7B8F" w14:textId="77777777" w:rsidR="0081565C" w:rsidRDefault="00C45D4B">
            <w:pPr>
              <w:jc w:val="center"/>
              <w:rPr>
                <w:rFonts w:ascii="Calibri" w:eastAsia="Calibri" w:hAnsi="Calibri" w:cs="Calibri"/>
                <w:sz w:val="22"/>
                <w:szCs w:val="22"/>
              </w:rPr>
            </w:pPr>
            <w:r>
              <w:t>278.80</w:t>
            </w:r>
          </w:p>
        </w:tc>
        <w:tc>
          <w:tcPr>
            <w:tcW w:w="1270" w:type="dxa"/>
            <w:tcBorders>
              <w:top w:val="single" w:sz="6" w:space="0" w:color="CCCCCC"/>
              <w:left w:val="single" w:sz="6" w:space="0" w:color="CCCCCC"/>
              <w:bottom w:val="single" w:sz="6" w:space="0" w:color="000000"/>
              <w:right w:val="single" w:sz="6" w:space="0" w:color="000000"/>
            </w:tcBorders>
            <w:shd w:val="clear" w:color="auto" w:fill="F3F8F7"/>
            <w:tcMar>
              <w:top w:w="0" w:type="dxa"/>
              <w:left w:w="40" w:type="dxa"/>
              <w:bottom w:w="0" w:type="dxa"/>
              <w:right w:w="40" w:type="dxa"/>
            </w:tcMar>
            <w:vAlign w:val="center"/>
          </w:tcPr>
          <w:p w14:paraId="24BE7B90" w14:textId="77777777" w:rsidR="0081565C" w:rsidRDefault="00C45D4B">
            <w:pPr>
              <w:jc w:val="center"/>
              <w:rPr>
                <w:rFonts w:ascii="Calibri" w:eastAsia="Calibri" w:hAnsi="Calibri" w:cs="Calibri"/>
                <w:sz w:val="22"/>
                <w:szCs w:val="22"/>
              </w:rPr>
            </w:pPr>
            <w:r>
              <w:t>312.10</w:t>
            </w:r>
          </w:p>
        </w:tc>
        <w:tc>
          <w:tcPr>
            <w:tcW w:w="1119" w:type="dxa"/>
            <w:tcBorders>
              <w:top w:val="single" w:sz="6" w:space="0" w:color="CCCCCC"/>
              <w:left w:val="single" w:sz="6" w:space="0" w:color="CCCCCC"/>
              <w:bottom w:val="single" w:sz="6" w:space="0" w:color="000000"/>
              <w:right w:val="single" w:sz="6" w:space="0" w:color="000000"/>
            </w:tcBorders>
            <w:shd w:val="clear" w:color="auto" w:fill="F7FAFB"/>
            <w:tcMar>
              <w:top w:w="0" w:type="dxa"/>
              <w:left w:w="40" w:type="dxa"/>
              <w:bottom w:w="0" w:type="dxa"/>
              <w:right w:w="40" w:type="dxa"/>
            </w:tcMar>
            <w:vAlign w:val="center"/>
          </w:tcPr>
          <w:p w14:paraId="24BE7B91" w14:textId="77777777" w:rsidR="0081565C" w:rsidRDefault="00C45D4B">
            <w:pPr>
              <w:jc w:val="center"/>
              <w:rPr>
                <w:rFonts w:ascii="Calibri" w:eastAsia="Calibri" w:hAnsi="Calibri" w:cs="Calibri"/>
                <w:sz w:val="22"/>
                <w:szCs w:val="22"/>
              </w:rPr>
            </w:pPr>
            <w:r>
              <w:t>253.70</w:t>
            </w:r>
          </w:p>
        </w:tc>
      </w:tr>
      <w:tr w:rsidR="0081565C" w14:paraId="24BE7B9A"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4BE7B93" w14:textId="77777777" w:rsidR="0081565C" w:rsidRDefault="00C45D4B">
            <w:pPr>
              <w:jc w:val="center"/>
              <w:rPr>
                <w:rFonts w:ascii="Calibri" w:eastAsia="Calibri" w:hAnsi="Calibri" w:cs="Calibri"/>
                <w:sz w:val="22"/>
                <w:szCs w:val="22"/>
              </w:rPr>
            </w:pPr>
            <w:proofErr w:type="spellStart"/>
            <w:r>
              <w:rPr>
                <w:b/>
                <w:bCs/>
              </w:rPr>
              <w:t>Earning</w:t>
            </w:r>
            <w:proofErr w:type="spellEnd"/>
            <w:r>
              <w:rPr>
                <w:b/>
                <w:bCs/>
              </w:rPr>
              <w:t xml:space="preserve"> Per Share</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4BE7B94" w14:textId="77777777" w:rsidR="0081565C" w:rsidRDefault="00C45D4B">
            <w:pPr>
              <w:jc w:val="center"/>
              <w:rPr>
                <w:rFonts w:ascii="Calibri" w:eastAsia="Calibri" w:hAnsi="Calibri" w:cs="Calibri"/>
                <w:sz w:val="22"/>
                <w:szCs w:val="22"/>
              </w:rPr>
            </w:pPr>
            <w:r>
              <w:rPr>
                <w:b/>
                <w:bCs/>
              </w:rPr>
              <w:t>B/A</w:t>
            </w:r>
          </w:p>
        </w:tc>
        <w:tc>
          <w:tcPr>
            <w:tcW w:w="1119" w:type="dxa"/>
            <w:tcBorders>
              <w:top w:val="single" w:sz="6" w:space="0" w:color="CCCCCC"/>
              <w:left w:val="single" w:sz="6" w:space="0" w:color="CCCCCC"/>
              <w:bottom w:val="single" w:sz="6" w:space="0" w:color="000000"/>
              <w:right w:val="single" w:sz="6" w:space="0" w:color="000000"/>
            </w:tcBorders>
            <w:shd w:val="clear" w:color="auto" w:fill="FBE1E4"/>
            <w:tcMar>
              <w:top w:w="0" w:type="dxa"/>
              <w:left w:w="40" w:type="dxa"/>
              <w:bottom w:w="0" w:type="dxa"/>
              <w:right w:w="40" w:type="dxa"/>
            </w:tcMar>
            <w:vAlign w:val="center"/>
          </w:tcPr>
          <w:p w14:paraId="24BE7B95" w14:textId="77777777" w:rsidR="0081565C" w:rsidRDefault="00C45D4B">
            <w:pPr>
              <w:jc w:val="center"/>
              <w:rPr>
                <w:rFonts w:ascii="Calibri" w:eastAsia="Calibri" w:hAnsi="Calibri" w:cs="Calibri"/>
                <w:sz w:val="22"/>
                <w:szCs w:val="22"/>
              </w:rPr>
            </w:pPr>
            <w:r>
              <w:rPr>
                <w:b/>
                <w:bCs/>
              </w:rPr>
              <w:t>(5.04)</w:t>
            </w:r>
          </w:p>
        </w:tc>
        <w:tc>
          <w:tcPr>
            <w:tcW w:w="1119" w:type="dxa"/>
            <w:tcBorders>
              <w:top w:val="single" w:sz="6" w:space="0" w:color="CCCCCC"/>
              <w:left w:val="single" w:sz="6" w:space="0" w:color="CCCCCC"/>
              <w:bottom w:val="single" w:sz="6" w:space="0" w:color="000000"/>
              <w:right w:val="single" w:sz="6" w:space="0" w:color="000000"/>
            </w:tcBorders>
            <w:shd w:val="clear" w:color="auto" w:fill="FBE2E5"/>
            <w:tcMar>
              <w:top w:w="0" w:type="dxa"/>
              <w:left w:w="40" w:type="dxa"/>
              <w:bottom w:w="0" w:type="dxa"/>
              <w:right w:w="40" w:type="dxa"/>
            </w:tcMar>
            <w:vAlign w:val="center"/>
          </w:tcPr>
          <w:p w14:paraId="24BE7B96" w14:textId="77777777" w:rsidR="0081565C" w:rsidRDefault="00C45D4B">
            <w:pPr>
              <w:jc w:val="center"/>
              <w:rPr>
                <w:rFonts w:ascii="Calibri" w:eastAsia="Calibri" w:hAnsi="Calibri" w:cs="Calibri"/>
                <w:sz w:val="22"/>
                <w:szCs w:val="22"/>
              </w:rPr>
            </w:pPr>
            <w:r>
              <w:rPr>
                <w:b/>
                <w:bCs/>
              </w:rPr>
              <w:t>0.21</w:t>
            </w:r>
          </w:p>
        </w:tc>
        <w:tc>
          <w:tcPr>
            <w:tcW w:w="1119" w:type="dxa"/>
            <w:tcBorders>
              <w:top w:val="single" w:sz="6" w:space="0" w:color="CCCCCC"/>
              <w:left w:val="single" w:sz="6" w:space="0" w:color="CCCCCC"/>
              <w:bottom w:val="single" w:sz="6" w:space="0" w:color="000000"/>
              <w:right w:val="single" w:sz="6" w:space="0" w:color="000000"/>
            </w:tcBorders>
            <w:shd w:val="clear" w:color="auto" w:fill="FBE2E5"/>
            <w:tcMar>
              <w:top w:w="0" w:type="dxa"/>
              <w:left w:w="40" w:type="dxa"/>
              <w:bottom w:w="0" w:type="dxa"/>
              <w:right w:w="40" w:type="dxa"/>
            </w:tcMar>
            <w:vAlign w:val="center"/>
          </w:tcPr>
          <w:p w14:paraId="24BE7B97" w14:textId="77777777" w:rsidR="0081565C" w:rsidRDefault="00C45D4B">
            <w:pPr>
              <w:jc w:val="center"/>
              <w:rPr>
                <w:rFonts w:ascii="Calibri" w:eastAsia="Calibri" w:hAnsi="Calibri" w:cs="Calibri"/>
                <w:sz w:val="22"/>
                <w:szCs w:val="22"/>
              </w:rPr>
            </w:pPr>
            <w:r>
              <w:rPr>
                <w:b/>
                <w:bCs/>
              </w:rPr>
              <w:t>1.39</w:t>
            </w:r>
          </w:p>
        </w:tc>
        <w:tc>
          <w:tcPr>
            <w:tcW w:w="1270" w:type="dxa"/>
            <w:tcBorders>
              <w:top w:val="single" w:sz="6" w:space="0" w:color="CCCCCC"/>
              <w:left w:val="single" w:sz="6" w:space="0" w:color="CCCCCC"/>
              <w:bottom w:val="single" w:sz="6" w:space="0" w:color="000000"/>
              <w:right w:val="single" w:sz="6" w:space="0" w:color="000000"/>
            </w:tcBorders>
            <w:shd w:val="clear" w:color="auto" w:fill="FBE2E5"/>
            <w:tcMar>
              <w:top w:w="0" w:type="dxa"/>
              <w:left w:w="40" w:type="dxa"/>
              <w:bottom w:w="0" w:type="dxa"/>
              <w:right w:w="40" w:type="dxa"/>
            </w:tcMar>
            <w:vAlign w:val="center"/>
          </w:tcPr>
          <w:p w14:paraId="24BE7B98" w14:textId="77777777" w:rsidR="0081565C" w:rsidRDefault="00C45D4B">
            <w:pPr>
              <w:jc w:val="center"/>
              <w:rPr>
                <w:rFonts w:ascii="Calibri" w:eastAsia="Calibri" w:hAnsi="Calibri" w:cs="Calibri"/>
                <w:sz w:val="22"/>
                <w:szCs w:val="22"/>
              </w:rPr>
            </w:pPr>
            <w:r>
              <w:rPr>
                <w:b/>
                <w:bCs/>
              </w:rPr>
              <w:t>1.69</w:t>
            </w:r>
          </w:p>
        </w:tc>
        <w:tc>
          <w:tcPr>
            <w:tcW w:w="1119" w:type="dxa"/>
            <w:tcBorders>
              <w:top w:val="single" w:sz="6" w:space="0" w:color="CCCCCC"/>
              <w:left w:val="single" w:sz="6" w:space="0" w:color="CCCCCC"/>
              <w:bottom w:val="single" w:sz="6" w:space="0" w:color="000000"/>
              <w:right w:val="single" w:sz="6" w:space="0" w:color="000000"/>
            </w:tcBorders>
            <w:shd w:val="clear" w:color="auto" w:fill="FBE2E5"/>
            <w:tcMar>
              <w:top w:w="0" w:type="dxa"/>
              <w:left w:w="40" w:type="dxa"/>
              <w:bottom w:w="0" w:type="dxa"/>
              <w:right w:w="40" w:type="dxa"/>
            </w:tcMar>
            <w:vAlign w:val="center"/>
          </w:tcPr>
          <w:p w14:paraId="24BE7B99" w14:textId="77777777" w:rsidR="0081565C" w:rsidRDefault="00C45D4B">
            <w:pPr>
              <w:jc w:val="center"/>
              <w:rPr>
                <w:rFonts w:ascii="Calibri" w:eastAsia="Calibri" w:hAnsi="Calibri" w:cs="Calibri"/>
                <w:sz w:val="22"/>
                <w:szCs w:val="22"/>
              </w:rPr>
            </w:pPr>
            <w:r>
              <w:rPr>
                <w:b/>
                <w:bCs/>
              </w:rPr>
              <w:t>1.42</w:t>
            </w:r>
          </w:p>
        </w:tc>
      </w:tr>
      <w:tr w:rsidR="0081565C" w14:paraId="24BE7BA2" w14:textId="77777777">
        <w:trPr>
          <w:trHeight w:val="315"/>
        </w:trPr>
        <w:tc>
          <w:tcPr>
            <w:tcW w:w="2793"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24BE7B9B" w14:textId="77777777" w:rsidR="0081565C" w:rsidRDefault="0081565C">
            <w:pPr>
              <w:rPr>
                <w:rFonts w:ascii="Calibri" w:eastAsia="Calibri" w:hAnsi="Calibri" w:cs="Calibri"/>
                <w:sz w:val="22"/>
                <w:szCs w:val="22"/>
              </w:rPr>
            </w:pPr>
          </w:p>
        </w:tc>
        <w:tc>
          <w:tcPr>
            <w:tcW w:w="816"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24BE7B9C" w14:textId="77777777" w:rsidR="0081565C" w:rsidRDefault="0081565C">
            <w:pPr>
              <w:rPr>
                <w:rFonts w:ascii="Calibri" w:eastAsia="Calibri" w:hAnsi="Calibri" w:cs="Calibri"/>
                <w:sz w:val="22"/>
                <w:szCs w:val="22"/>
              </w:rPr>
            </w:pPr>
          </w:p>
        </w:tc>
        <w:tc>
          <w:tcPr>
            <w:tcW w:w="1119"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24BE7B9D" w14:textId="77777777" w:rsidR="0081565C" w:rsidRDefault="0081565C">
            <w:pPr>
              <w:rPr>
                <w:rFonts w:ascii="Calibri" w:eastAsia="Calibri" w:hAnsi="Calibri" w:cs="Calibri"/>
                <w:sz w:val="22"/>
                <w:szCs w:val="22"/>
              </w:rPr>
            </w:pPr>
          </w:p>
        </w:tc>
        <w:tc>
          <w:tcPr>
            <w:tcW w:w="1119"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24BE7B9E" w14:textId="77777777" w:rsidR="0081565C" w:rsidRDefault="0081565C">
            <w:pPr>
              <w:rPr>
                <w:rFonts w:ascii="Calibri" w:eastAsia="Calibri" w:hAnsi="Calibri" w:cs="Calibri"/>
                <w:sz w:val="22"/>
                <w:szCs w:val="22"/>
              </w:rPr>
            </w:pPr>
          </w:p>
        </w:tc>
        <w:tc>
          <w:tcPr>
            <w:tcW w:w="1119"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24BE7B9F" w14:textId="77777777" w:rsidR="0081565C" w:rsidRDefault="0081565C">
            <w:pPr>
              <w:rPr>
                <w:rFonts w:ascii="Calibri" w:eastAsia="Calibri" w:hAnsi="Calibri" w:cs="Calibri"/>
                <w:sz w:val="22"/>
                <w:szCs w:val="22"/>
              </w:rPr>
            </w:pPr>
          </w:p>
        </w:tc>
        <w:tc>
          <w:tcPr>
            <w:tcW w:w="127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24BE7BA0" w14:textId="77777777" w:rsidR="0081565C" w:rsidRDefault="0081565C">
            <w:pPr>
              <w:rPr>
                <w:rFonts w:ascii="Calibri" w:eastAsia="Calibri" w:hAnsi="Calibri" w:cs="Calibri"/>
                <w:sz w:val="22"/>
                <w:szCs w:val="22"/>
              </w:rPr>
            </w:pPr>
          </w:p>
        </w:tc>
        <w:tc>
          <w:tcPr>
            <w:tcW w:w="1119"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24BE7BA1" w14:textId="77777777" w:rsidR="0081565C" w:rsidRDefault="0081565C">
            <w:pPr>
              <w:rPr>
                <w:rFonts w:ascii="Calibri" w:eastAsia="Calibri" w:hAnsi="Calibri" w:cs="Calibri"/>
                <w:sz w:val="22"/>
                <w:szCs w:val="22"/>
              </w:rPr>
            </w:pPr>
          </w:p>
        </w:tc>
      </w:tr>
      <w:tr w:rsidR="0081565C" w14:paraId="24BE7BA4" w14:textId="77777777">
        <w:trPr>
          <w:trHeight w:val="315"/>
        </w:trPr>
        <w:tc>
          <w:tcPr>
            <w:tcW w:w="9355" w:type="dxa"/>
            <w:gridSpan w:val="7"/>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center"/>
          </w:tcPr>
          <w:p w14:paraId="24BE7BA3" w14:textId="77777777" w:rsidR="0081565C" w:rsidRDefault="00C45D4B">
            <w:pPr>
              <w:jc w:val="center"/>
              <w:rPr>
                <w:rFonts w:ascii="Calibri" w:eastAsia="Calibri" w:hAnsi="Calibri" w:cs="Calibri"/>
                <w:sz w:val="22"/>
                <w:szCs w:val="22"/>
              </w:rPr>
            </w:pPr>
            <w:r>
              <w:rPr>
                <w:b/>
                <w:bCs/>
              </w:rPr>
              <w:t xml:space="preserve">Cash Flow </w:t>
            </w:r>
            <w:proofErr w:type="gramStart"/>
            <w:r>
              <w:rPr>
                <w:b/>
                <w:bCs/>
              </w:rPr>
              <w:t>Ratios:-</w:t>
            </w:r>
            <w:proofErr w:type="gramEnd"/>
          </w:p>
        </w:tc>
      </w:tr>
      <w:tr w:rsidR="0081565C" w14:paraId="24BE7BAC"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4BE7BA5" w14:textId="77777777" w:rsidR="0081565C" w:rsidRDefault="00C45D4B">
            <w:pPr>
              <w:jc w:val="center"/>
              <w:rPr>
                <w:rFonts w:ascii="Calibri" w:eastAsia="Calibri" w:hAnsi="Calibri" w:cs="Calibri"/>
                <w:sz w:val="22"/>
                <w:szCs w:val="22"/>
              </w:rPr>
            </w:pPr>
            <w:r>
              <w:rPr>
                <w:b/>
                <w:bCs/>
              </w:rPr>
              <w:t>Particulars</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4BE7BA6" w14:textId="77777777" w:rsidR="0081565C" w:rsidRDefault="00C45D4B">
            <w:pPr>
              <w:jc w:val="center"/>
              <w:rPr>
                <w:rFonts w:ascii="Calibri" w:eastAsia="Calibri" w:hAnsi="Calibri" w:cs="Calibri"/>
                <w:sz w:val="22"/>
                <w:szCs w:val="22"/>
              </w:rPr>
            </w:pPr>
            <w:r>
              <w:rPr>
                <w:b/>
                <w:bCs/>
              </w:rPr>
              <w:t>Details</w:t>
            </w:r>
          </w:p>
        </w:tc>
        <w:tc>
          <w:tcPr>
            <w:tcW w:w="1119" w:type="dxa"/>
            <w:tcBorders>
              <w:top w:val="single" w:sz="6" w:space="0" w:color="CCCCCC"/>
              <w:left w:val="single" w:sz="6" w:space="0" w:color="CCCCCC"/>
              <w:bottom w:val="single" w:sz="6" w:space="0" w:color="000000"/>
              <w:right w:val="single" w:sz="6" w:space="0" w:color="000000"/>
            </w:tcBorders>
            <w:shd w:val="clear" w:color="auto" w:fill="E8F4EE"/>
            <w:tcMar>
              <w:top w:w="0" w:type="dxa"/>
              <w:left w:w="40" w:type="dxa"/>
              <w:bottom w:w="0" w:type="dxa"/>
              <w:right w:w="40" w:type="dxa"/>
            </w:tcMar>
            <w:vAlign w:val="center"/>
          </w:tcPr>
          <w:p w14:paraId="24BE7BA7" w14:textId="77777777" w:rsidR="0081565C" w:rsidRDefault="00C45D4B">
            <w:pPr>
              <w:jc w:val="center"/>
              <w:rPr>
                <w:rFonts w:ascii="Calibri" w:eastAsia="Calibri" w:hAnsi="Calibri" w:cs="Calibri"/>
                <w:sz w:val="22"/>
                <w:szCs w:val="22"/>
              </w:rPr>
            </w:pPr>
            <w:r>
              <w:rPr>
                <w:b/>
                <w:bCs/>
              </w:rPr>
              <w:t>2021</w:t>
            </w:r>
          </w:p>
        </w:tc>
        <w:tc>
          <w:tcPr>
            <w:tcW w:w="1119" w:type="dxa"/>
            <w:tcBorders>
              <w:top w:val="single" w:sz="6" w:space="0" w:color="CCCCCC"/>
              <w:left w:val="single" w:sz="6" w:space="0" w:color="CCCCCC"/>
              <w:bottom w:val="single" w:sz="6" w:space="0" w:color="000000"/>
              <w:right w:val="single" w:sz="6" w:space="0" w:color="000000"/>
            </w:tcBorders>
            <w:shd w:val="clear" w:color="auto" w:fill="E8F4EE"/>
            <w:tcMar>
              <w:top w:w="0" w:type="dxa"/>
              <w:left w:w="40" w:type="dxa"/>
              <w:bottom w:w="0" w:type="dxa"/>
              <w:right w:w="40" w:type="dxa"/>
            </w:tcMar>
            <w:vAlign w:val="center"/>
          </w:tcPr>
          <w:p w14:paraId="24BE7BA8" w14:textId="77777777" w:rsidR="0081565C" w:rsidRDefault="00C45D4B">
            <w:pPr>
              <w:jc w:val="center"/>
              <w:rPr>
                <w:rFonts w:ascii="Calibri" w:eastAsia="Calibri" w:hAnsi="Calibri" w:cs="Calibri"/>
                <w:sz w:val="22"/>
                <w:szCs w:val="22"/>
              </w:rPr>
            </w:pPr>
            <w:r>
              <w:rPr>
                <w:b/>
                <w:bCs/>
              </w:rPr>
              <w:t>2022</w:t>
            </w:r>
          </w:p>
        </w:tc>
        <w:tc>
          <w:tcPr>
            <w:tcW w:w="1119" w:type="dxa"/>
            <w:tcBorders>
              <w:top w:val="single" w:sz="6" w:space="0" w:color="CCCCCC"/>
              <w:left w:val="single" w:sz="6" w:space="0" w:color="CCCCCC"/>
              <w:bottom w:val="single" w:sz="6" w:space="0" w:color="000000"/>
              <w:right w:val="single" w:sz="6" w:space="0" w:color="000000"/>
            </w:tcBorders>
            <w:shd w:val="clear" w:color="auto" w:fill="E8F4EE"/>
            <w:tcMar>
              <w:top w:w="0" w:type="dxa"/>
              <w:left w:w="40" w:type="dxa"/>
              <w:bottom w:w="0" w:type="dxa"/>
              <w:right w:w="40" w:type="dxa"/>
            </w:tcMar>
            <w:vAlign w:val="center"/>
          </w:tcPr>
          <w:p w14:paraId="24BE7BA9" w14:textId="77777777" w:rsidR="0081565C" w:rsidRDefault="00C45D4B">
            <w:pPr>
              <w:jc w:val="center"/>
              <w:rPr>
                <w:rFonts w:ascii="Calibri" w:eastAsia="Calibri" w:hAnsi="Calibri" w:cs="Calibri"/>
                <w:sz w:val="22"/>
                <w:szCs w:val="22"/>
              </w:rPr>
            </w:pPr>
            <w:r>
              <w:rPr>
                <w:b/>
                <w:bCs/>
              </w:rPr>
              <w:t>2023</w:t>
            </w:r>
          </w:p>
        </w:tc>
        <w:tc>
          <w:tcPr>
            <w:tcW w:w="1270" w:type="dxa"/>
            <w:tcBorders>
              <w:top w:val="single" w:sz="6" w:space="0" w:color="CCCCCC"/>
              <w:left w:val="single" w:sz="6" w:space="0" w:color="CCCCCC"/>
              <w:bottom w:val="single" w:sz="6" w:space="0" w:color="000000"/>
              <w:right w:val="single" w:sz="6" w:space="0" w:color="000000"/>
            </w:tcBorders>
            <w:shd w:val="clear" w:color="auto" w:fill="E8F4EE"/>
            <w:tcMar>
              <w:top w:w="0" w:type="dxa"/>
              <w:left w:w="40" w:type="dxa"/>
              <w:bottom w:w="0" w:type="dxa"/>
              <w:right w:w="40" w:type="dxa"/>
            </w:tcMar>
            <w:vAlign w:val="center"/>
          </w:tcPr>
          <w:p w14:paraId="24BE7BAA" w14:textId="77777777" w:rsidR="0081565C" w:rsidRDefault="00C45D4B">
            <w:pPr>
              <w:jc w:val="center"/>
              <w:rPr>
                <w:rFonts w:ascii="Calibri" w:eastAsia="Calibri" w:hAnsi="Calibri" w:cs="Calibri"/>
                <w:sz w:val="22"/>
                <w:szCs w:val="22"/>
              </w:rPr>
            </w:pPr>
            <w:r>
              <w:rPr>
                <w:b/>
                <w:bCs/>
              </w:rPr>
              <w:t>2024</w:t>
            </w:r>
          </w:p>
        </w:tc>
        <w:tc>
          <w:tcPr>
            <w:tcW w:w="1119" w:type="dxa"/>
            <w:tcBorders>
              <w:top w:val="single" w:sz="6" w:space="0" w:color="CCCCCC"/>
              <w:left w:val="single" w:sz="6" w:space="0" w:color="CCCCCC"/>
              <w:bottom w:val="single" w:sz="6" w:space="0" w:color="000000"/>
              <w:right w:val="single" w:sz="6" w:space="0" w:color="000000"/>
            </w:tcBorders>
            <w:shd w:val="clear" w:color="auto" w:fill="E8F4EE"/>
            <w:tcMar>
              <w:top w:w="0" w:type="dxa"/>
              <w:left w:w="40" w:type="dxa"/>
              <w:bottom w:w="0" w:type="dxa"/>
              <w:right w:w="40" w:type="dxa"/>
            </w:tcMar>
            <w:vAlign w:val="center"/>
          </w:tcPr>
          <w:p w14:paraId="24BE7BAB" w14:textId="77777777" w:rsidR="0081565C" w:rsidRDefault="00C45D4B">
            <w:pPr>
              <w:jc w:val="center"/>
              <w:rPr>
                <w:rFonts w:ascii="Calibri" w:eastAsia="Calibri" w:hAnsi="Calibri" w:cs="Calibri"/>
                <w:sz w:val="22"/>
                <w:szCs w:val="22"/>
              </w:rPr>
            </w:pPr>
            <w:r>
              <w:rPr>
                <w:b/>
                <w:bCs/>
              </w:rPr>
              <w:t>2025</w:t>
            </w:r>
          </w:p>
        </w:tc>
      </w:tr>
      <w:tr w:rsidR="0081565C" w14:paraId="24BE7BB4"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4BE7BAD" w14:textId="77777777" w:rsidR="0081565C" w:rsidRDefault="00C45D4B">
            <w:pPr>
              <w:jc w:val="center"/>
              <w:rPr>
                <w:rFonts w:ascii="Calibri" w:eastAsia="Calibri" w:hAnsi="Calibri" w:cs="Calibri"/>
                <w:sz w:val="22"/>
                <w:szCs w:val="22"/>
              </w:rPr>
            </w:pPr>
            <w:r>
              <w:t xml:space="preserve">Cash Flow </w:t>
            </w:r>
            <w:proofErr w:type="gramStart"/>
            <w:r>
              <w:t>From</w:t>
            </w:r>
            <w:proofErr w:type="gramEnd"/>
            <w:r>
              <w:t xml:space="preserve"> Operation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4BE7BAE" w14:textId="77777777" w:rsidR="0081565C" w:rsidRDefault="00C45D4B">
            <w:pPr>
              <w:jc w:val="center"/>
              <w:rPr>
                <w:rFonts w:ascii="Calibri" w:eastAsia="Calibri" w:hAnsi="Calibri" w:cs="Calibri"/>
                <w:sz w:val="22"/>
                <w:szCs w:val="22"/>
              </w:rPr>
            </w:pPr>
            <w:r>
              <w:t>A</w:t>
            </w:r>
          </w:p>
        </w:tc>
        <w:tc>
          <w:tcPr>
            <w:tcW w:w="1119" w:type="dxa"/>
            <w:tcBorders>
              <w:top w:val="single" w:sz="6" w:space="0" w:color="CCCCCC"/>
              <w:left w:val="single" w:sz="6" w:space="0" w:color="CCCCCC"/>
              <w:bottom w:val="single" w:sz="6" w:space="0" w:color="000000"/>
              <w:right w:val="single" w:sz="6" w:space="0" w:color="000000"/>
            </w:tcBorders>
            <w:shd w:val="clear" w:color="auto" w:fill="F8696B"/>
            <w:tcMar>
              <w:top w:w="0" w:type="dxa"/>
              <w:left w:w="40" w:type="dxa"/>
              <w:bottom w:w="0" w:type="dxa"/>
              <w:right w:w="40" w:type="dxa"/>
            </w:tcMar>
            <w:vAlign w:val="center"/>
          </w:tcPr>
          <w:p w14:paraId="24BE7BAF" w14:textId="77777777" w:rsidR="0081565C" w:rsidRDefault="00C45D4B">
            <w:pPr>
              <w:jc w:val="center"/>
              <w:rPr>
                <w:rFonts w:ascii="Calibri" w:eastAsia="Calibri" w:hAnsi="Calibri" w:cs="Calibri"/>
                <w:sz w:val="22"/>
                <w:szCs w:val="22"/>
              </w:rPr>
            </w:pPr>
            <w:r>
              <w:t>(391.10)</w:t>
            </w:r>
          </w:p>
        </w:tc>
        <w:tc>
          <w:tcPr>
            <w:tcW w:w="1119" w:type="dxa"/>
            <w:tcBorders>
              <w:top w:val="single" w:sz="6" w:space="0" w:color="CCCCCC"/>
              <w:left w:val="single" w:sz="6" w:space="0" w:color="CCCCCC"/>
              <w:bottom w:val="single" w:sz="6" w:space="0" w:color="000000"/>
              <w:right w:val="single" w:sz="6" w:space="0" w:color="000000"/>
            </w:tcBorders>
            <w:shd w:val="clear" w:color="auto" w:fill="FBD9DB"/>
            <w:tcMar>
              <w:top w:w="0" w:type="dxa"/>
              <w:left w:w="40" w:type="dxa"/>
              <w:bottom w:w="0" w:type="dxa"/>
              <w:right w:w="40" w:type="dxa"/>
            </w:tcMar>
            <w:vAlign w:val="center"/>
          </w:tcPr>
          <w:p w14:paraId="24BE7BB0" w14:textId="77777777" w:rsidR="0081565C" w:rsidRDefault="00C45D4B">
            <w:pPr>
              <w:jc w:val="center"/>
              <w:rPr>
                <w:rFonts w:ascii="Calibri" w:eastAsia="Calibri" w:hAnsi="Calibri" w:cs="Calibri"/>
                <w:sz w:val="22"/>
                <w:szCs w:val="22"/>
              </w:rPr>
            </w:pPr>
            <w:r>
              <w:t>508.70</w:t>
            </w:r>
          </w:p>
        </w:tc>
        <w:tc>
          <w:tcPr>
            <w:tcW w:w="1119" w:type="dxa"/>
            <w:tcBorders>
              <w:top w:val="single" w:sz="6" w:space="0" w:color="CCCCCC"/>
              <w:left w:val="single" w:sz="6" w:space="0" w:color="CCCCCC"/>
              <w:bottom w:val="single" w:sz="6" w:space="0" w:color="000000"/>
              <w:right w:val="single" w:sz="6" w:space="0" w:color="000000"/>
            </w:tcBorders>
            <w:shd w:val="clear" w:color="auto" w:fill="FCFCFF"/>
            <w:tcMar>
              <w:top w:w="0" w:type="dxa"/>
              <w:left w:w="40" w:type="dxa"/>
              <w:bottom w:w="0" w:type="dxa"/>
              <w:right w:w="40" w:type="dxa"/>
            </w:tcMar>
            <w:vAlign w:val="center"/>
          </w:tcPr>
          <w:p w14:paraId="24BE7BB1" w14:textId="77777777" w:rsidR="0081565C" w:rsidRDefault="00C45D4B">
            <w:pPr>
              <w:jc w:val="center"/>
              <w:rPr>
                <w:rFonts w:ascii="Calibri" w:eastAsia="Calibri" w:hAnsi="Calibri" w:cs="Calibri"/>
                <w:sz w:val="22"/>
                <w:szCs w:val="22"/>
              </w:rPr>
            </w:pPr>
            <w:r>
              <w:t>799.90</w:t>
            </w:r>
          </w:p>
        </w:tc>
        <w:tc>
          <w:tcPr>
            <w:tcW w:w="1270" w:type="dxa"/>
            <w:tcBorders>
              <w:top w:val="single" w:sz="6" w:space="0" w:color="CCCCCC"/>
              <w:left w:val="single" w:sz="6" w:space="0" w:color="CCCCCC"/>
              <w:bottom w:val="single" w:sz="6" w:space="0" w:color="000000"/>
              <w:right w:val="single" w:sz="6" w:space="0" w:color="000000"/>
            </w:tcBorders>
            <w:shd w:val="clear" w:color="auto" w:fill="FBFCFE"/>
            <w:tcMar>
              <w:top w:w="0" w:type="dxa"/>
              <w:left w:w="40" w:type="dxa"/>
              <w:bottom w:w="0" w:type="dxa"/>
              <w:right w:w="40" w:type="dxa"/>
            </w:tcMar>
            <w:vAlign w:val="center"/>
          </w:tcPr>
          <w:p w14:paraId="24BE7BB2" w14:textId="77777777" w:rsidR="0081565C" w:rsidRDefault="00C45D4B">
            <w:pPr>
              <w:jc w:val="center"/>
              <w:rPr>
                <w:rFonts w:ascii="Calibri" w:eastAsia="Calibri" w:hAnsi="Calibri" w:cs="Calibri"/>
                <w:sz w:val="22"/>
                <w:szCs w:val="22"/>
              </w:rPr>
            </w:pPr>
            <w:r>
              <w:t>877.90</w:t>
            </w:r>
          </w:p>
        </w:tc>
        <w:tc>
          <w:tcPr>
            <w:tcW w:w="1119" w:type="dxa"/>
            <w:tcBorders>
              <w:top w:val="single" w:sz="6" w:space="0" w:color="CCCCCC"/>
              <w:left w:val="single" w:sz="6" w:space="0" w:color="CCCCCC"/>
              <w:bottom w:val="single" w:sz="6" w:space="0" w:color="000000"/>
              <w:right w:val="single" w:sz="6" w:space="0" w:color="000000"/>
            </w:tcBorders>
            <w:shd w:val="clear" w:color="auto" w:fill="FBF8FB"/>
            <w:tcMar>
              <w:top w:w="0" w:type="dxa"/>
              <w:left w:w="40" w:type="dxa"/>
              <w:bottom w:w="0" w:type="dxa"/>
              <w:right w:w="40" w:type="dxa"/>
            </w:tcMar>
            <w:vAlign w:val="center"/>
          </w:tcPr>
          <w:p w14:paraId="24BE7BB3" w14:textId="77777777" w:rsidR="0081565C" w:rsidRDefault="00C45D4B">
            <w:pPr>
              <w:jc w:val="center"/>
              <w:rPr>
                <w:rFonts w:ascii="Calibri" w:eastAsia="Calibri" w:hAnsi="Calibri" w:cs="Calibri"/>
                <w:sz w:val="22"/>
                <w:szCs w:val="22"/>
              </w:rPr>
            </w:pPr>
            <w:r>
              <w:t>761.70</w:t>
            </w:r>
          </w:p>
        </w:tc>
      </w:tr>
      <w:tr w:rsidR="0081565C" w14:paraId="24BE7BBC"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4BE7BB5" w14:textId="77777777" w:rsidR="0081565C" w:rsidRDefault="00C45D4B">
            <w:pPr>
              <w:jc w:val="center"/>
              <w:rPr>
                <w:rFonts w:ascii="Calibri" w:eastAsia="Calibri" w:hAnsi="Calibri" w:cs="Calibri"/>
                <w:sz w:val="22"/>
                <w:szCs w:val="22"/>
              </w:rPr>
            </w:pPr>
            <w:r>
              <w:t>Current Liabilities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4BE7BB6" w14:textId="77777777" w:rsidR="0081565C" w:rsidRDefault="00C45D4B">
            <w:pPr>
              <w:jc w:val="center"/>
              <w:rPr>
                <w:rFonts w:ascii="Calibri" w:eastAsia="Calibri" w:hAnsi="Calibri" w:cs="Calibri"/>
                <w:sz w:val="22"/>
                <w:szCs w:val="22"/>
              </w:rPr>
            </w:pPr>
            <w:r>
              <w:t>B</w:t>
            </w:r>
          </w:p>
        </w:tc>
        <w:tc>
          <w:tcPr>
            <w:tcW w:w="1119" w:type="dxa"/>
            <w:tcBorders>
              <w:top w:val="single" w:sz="6" w:space="0" w:color="CCCCCC"/>
              <w:left w:val="single" w:sz="6" w:space="0" w:color="CCCCCC"/>
              <w:bottom w:val="single" w:sz="6" w:space="0" w:color="000000"/>
              <w:right w:val="single" w:sz="6" w:space="0" w:color="000000"/>
            </w:tcBorders>
            <w:shd w:val="clear" w:color="auto" w:fill="FBFAFD"/>
            <w:tcMar>
              <w:top w:w="0" w:type="dxa"/>
              <w:left w:w="40" w:type="dxa"/>
              <w:bottom w:w="0" w:type="dxa"/>
              <w:right w:w="40" w:type="dxa"/>
            </w:tcMar>
            <w:vAlign w:val="center"/>
          </w:tcPr>
          <w:p w14:paraId="24BE7BB7" w14:textId="77777777" w:rsidR="0081565C" w:rsidRDefault="00C45D4B">
            <w:pPr>
              <w:jc w:val="center"/>
              <w:rPr>
                <w:rFonts w:ascii="Calibri" w:eastAsia="Calibri" w:hAnsi="Calibri" w:cs="Calibri"/>
                <w:sz w:val="22"/>
                <w:szCs w:val="22"/>
              </w:rPr>
            </w:pPr>
            <w:r>
              <w:t>775.30</w:t>
            </w:r>
          </w:p>
        </w:tc>
        <w:tc>
          <w:tcPr>
            <w:tcW w:w="1119" w:type="dxa"/>
            <w:tcBorders>
              <w:top w:val="single" w:sz="6" w:space="0" w:color="CCCCCC"/>
              <w:left w:val="single" w:sz="6" w:space="0" w:color="CCCCCC"/>
              <w:bottom w:val="single" w:sz="6" w:space="0" w:color="000000"/>
              <w:right w:val="single" w:sz="6" w:space="0" w:color="000000"/>
            </w:tcBorders>
            <w:shd w:val="clear" w:color="auto" w:fill="FBF3F6"/>
            <w:tcMar>
              <w:top w:w="0" w:type="dxa"/>
              <w:left w:w="40" w:type="dxa"/>
              <w:bottom w:w="0" w:type="dxa"/>
              <w:right w:w="40" w:type="dxa"/>
            </w:tcMar>
            <w:vAlign w:val="center"/>
          </w:tcPr>
          <w:p w14:paraId="24BE7BB8" w14:textId="77777777" w:rsidR="0081565C" w:rsidRDefault="00C45D4B">
            <w:pPr>
              <w:jc w:val="center"/>
              <w:rPr>
                <w:rFonts w:ascii="Calibri" w:eastAsia="Calibri" w:hAnsi="Calibri" w:cs="Calibri"/>
                <w:sz w:val="22"/>
                <w:szCs w:val="22"/>
              </w:rPr>
            </w:pPr>
            <w:r>
              <w:t>719.60</w:t>
            </w:r>
          </w:p>
        </w:tc>
        <w:tc>
          <w:tcPr>
            <w:tcW w:w="1119" w:type="dxa"/>
            <w:tcBorders>
              <w:top w:val="single" w:sz="6" w:space="0" w:color="CCCCCC"/>
              <w:left w:val="single" w:sz="6" w:space="0" w:color="CCCCCC"/>
              <w:bottom w:val="single" w:sz="6" w:space="0" w:color="000000"/>
              <w:right w:val="single" w:sz="6" w:space="0" w:color="000000"/>
            </w:tcBorders>
            <w:shd w:val="clear" w:color="auto" w:fill="FCFCFF"/>
            <w:tcMar>
              <w:top w:w="0" w:type="dxa"/>
              <w:left w:w="40" w:type="dxa"/>
              <w:bottom w:w="0" w:type="dxa"/>
              <w:right w:w="40" w:type="dxa"/>
            </w:tcMar>
            <w:vAlign w:val="center"/>
          </w:tcPr>
          <w:p w14:paraId="24BE7BB9" w14:textId="77777777" w:rsidR="0081565C" w:rsidRDefault="00C45D4B">
            <w:pPr>
              <w:jc w:val="center"/>
              <w:rPr>
                <w:rFonts w:ascii="Calibri" w:eastAsia="Calibri" w:hAnsi="Calibri" w:cs="Calibri"/>
                <w:sz w:val="22"/>
                <w:szCs w:val="22"/>
              </w:rPr>
            </w:pPr>
            <w:r>
              <w:t>845.60</w:t>
            </w:r>
          </w:p>
        </w:tc>
        <w:tc>
          <w:tcPr>
            <w:tcW w:w="1270" w:type="dxa"/>
            <w:tcBorders>
              <w:top w:val="single" w:sz="6" w:space="0" w:color="CCCCCC"/>
              <w:left w:val="single" w:sz="6" w:space="0" w:color="CCCCCC"/>
              <w:bottom w:val="single" w:sz="6" w:space="0" w:color="000000"/>
              <w:right w:val="single" w:sz="6" w:space="0" w:color="000000"/>
            </w:tcBorders>
            <w:shd w:val="clear" w:color="auto" w:fill="FBFCFE"/>
            <w:tcMar>
              <w:top w:w="0" w:type="dxa"/>
              <w:left w:w="40" w:type="dxa"/>
              <w:bottom w:w="0" w:type="dxa"/>
              <w:right w:w="40" w:type="dxa"/>
            </w:tcMar>
            <w:vAlign w:val="center"/>
          </w:tcPr>
          <w:p w14:paraId="24BE7BBA" w14:textId="77777777" w:rsidR="0081565C" w:rsidRDefault="00C45D4B">
            <w:pPr>
              <w:jc w:val="center"/>
              <w:rPr>
                <w:rFonts w:ascii="Calibri" w:eastAsia="Calibri" w:hAnsi="Calibri" w:cs="Calibri"/>
                <w:sz w:val="22"/>
                <w:szCs w:val="22"/>
              </w:rPr>
            </w:pPr>
            <w:r>
              <w:t>870.40</w:t>
            </w:r>
          </w:p>
        </w:tc>
        <w:tc>
          <w:tcPr>
            <w:tcW w:w="1119" w:type="dxa"/>
            <w:tcBorders>
              <w:top w:val="single" w:sz="6" w:space="0" w:color="CCCCCC"/>
              <w:left w:val="single" w:sz="6" w:space="0" w:color="CCCCCC"/>
              <w:bottom w:val="single" w:sz="6" w:space="0" w:color="000000"/>
              <w:right w:val="single" w:sz="6" w:space="0" w:color="000000"/>
            </w:tcBorders>
            <w:shd w:val="clear" w:color="auto" w:fill="F4F9F8"/>
            <w:tcMar>
              <w:top w:w="0" w:type="dxa"/>
              <w:left w:w="40" w:type="dxa"/>
              <w:bottom w:w="0" w:type="dxa"/>
              <w:right w:w="40" w:type="dxa"/>
            </w:tcMar>
            <w:vAlign w:val="center"/>
          </w:tcPr>
          <w:p w14:paraId="24BE7BBB" w14:textId="77777777" w:rsidR="0081565C" w:rsidRDefault="00C45D4B">
            <w:pPr>
              <w:jc w:val="center"/>
              <w:rPr>
                <w:rFonts w:ascii="Calibri" w:eastAsia="Calibri" w:hAnsi="Calibri" w:cs="Calibri"/>
                <w:sz w:val="22"/>
                <w:szCs w:val="22"/>
              </w:rPr>
            </w:pPr>
            <w:r>
              <w:t>1,319.00</w:t>
            </w:r>
          </w:p>
        </w:tc>
      </w:tr>
      <w:tr w:rsidR="0081565C" w14:paraId="24BE7BC4"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4BE7BBD" w14:textId="77777777" w:rsidR="0081565C" w:rsidRDefault="00C45D4B">
            <w:pPr>
              <w:jc w:val="center"/>
              <w:rPr>
                <w:rFonts w:ascii="Calibri" w:eastAsia="Calibri" w:hAnsi="Calibri" w:cs="Calibri"/>
                <w:sz w:val="22"/>
                <w:szCs w:val="22"/>
              </w:rPr>
            </w:pPr>
            <w:r>
              <w:t>Total Assets (£m)</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4BE7BBE" w14:textId="77777777" w:rsidR="0081565C" w:rsidRDefault="00C45D4B">
            <w:pPr>
              <w:jc w:val="center"/>
              <w:rPr>
                <w:rFonts w:ascii="Calibri" w:eastAsia="Calibri" w:hAnsi="Calibri" w:cs="Calibri"/>
                <w:sz w:val="22"/>
                <w:szCs w:val="22"/>
              </w:rPr>
            </w:pPr>
            <w:r>
              <w:t>C</w:t>
            </w:r>
          </w:p>
        </w:tc>
        <w:tc>
          <w:tcPr>
            <w:tcW w:w="1119" w:type="dxa"/>
            <w:tcBorders>
              <w:top w:val="single" w:sz="6" w:space="0" w:color="CCCCCC"/>
              <w:left w:val="single" w:sz="6" w:space="0" w:color="CCCCCC"/>
              <w:bottom w:val="single" w:sz="6" w:space="0" w:color="000000"/>
              <w:right w:val="single" w:sz="6" w:space="0" w:color="000000"/>
            </w:tcBorders>
            <w:shd w:val="clear" w:color="auto" w:fill="77C68C"/>
            <w:tcMar>
              <w:top w:w="0" w:type="dxa"/>
              <w:left w:w="40" w:type="dxa"/>
              <w:bottom w:w="0" w:type="dxa"/>
              <w:right w:w="40" w:type="dxa"/>
            </w:tcMar>
            <w:vAlign w:val="center"/>
          </w:tcPr>
          <w:p w14:paraId="24BE7BBF" w14:textId="77777777" w:rsidR="0081565C" w:rsidRDefault="00C45D4B">
            <w:pPr>
              <w:jc w:val="center"/>
              <w:rPr>
                <w:rFonts w:ascii="Calibri" w:eastAsia="Calibri" w:hAnsi="Calibri" w:cs="Calibri"/>
                <w:sz w:val="22"/>
                <w:szCs w:val="22"/>
              </w:rPr>
            </w:pPr>
            <w:r>
              <w:t>8,798.60</w:t>
            </w:r>
          </w:p>
        </w:tc>
        <w:tc>
          <w:tcPr>
            <w:tcW w:w="1119" w:type="dxa"/>
            <w:tcBorders>
              <w:top w:val="single" w:sz="6" w:space="0" w:color="CCCCCC"/>
              <w:left w:val="single" w:sz="6" w:space="0" w:color="CCCCCC"/>
              <w:bottom w:val="single" w:sz="6" w:space="0" w:color="000000"/>
              <w:right w:val="single" w:sz="6" w:space="0" w:color="000000"/>
            </w:tcBorders>
            <w:shd w:val="clear" w:color="auto" w:fill="6AC181"/>
            <w:tcMar>
              <w:top w:w="0" w:type="dxa"/>
              <w:left w:w="40" w:type="dxa"/>
              <w:bottom w:w="0" w:type="dxa"/>
              <w:right w:w="40" w:type="dxa"/>
            </w:tcMar>
            <w:vAlign w:val="center"/>
          </w:tcPr>
          <w:p w14:paraId="24BE7BC0" w14:textId="77777777" w:rsidR="0081565C" w:rsidRDefault="00C45D4B">
            <w:pPr>
              <w:jc w:val="center"/>
              <w:rPr>
                <w:rFonts w:ascii="Calibri" w:eastAsia="Calibri" w:hAnsi="Calibri" w:cs="Calibri"/>
                <w:sz w:val="22"/>
                <w:szCs w:val="22"/>
              </w:rPr>
            </w:pPr>
            <w:r>
              <w:t>9,566.50</w:t>
            </w:r>
          </w:p>
        </w:tc>
        <w:tc>
          <w:tcPr>
            <w:tcW w:w="1119" w:type="dxa"/>
            <w:tcBorders>
              <w:top w:val="single" w:sz="6" w:space="0" w:color="CCCCCC"/>
              <w:left w:val="single" w:sz="6" w:space="0" w:color="CCCCCC"/>
              <w:bottom w:val="single" w:sz="6" w:space="0" w:color="000000"/>
              <w:right w:val="single" w:sz="6" w:space="0" w:color="000000"/>
            </w:tcBorders>
            <w:shd w:val="clear" w:color="auto" w:fill="63BE7B"/>
            <w:tcMar>
              <w:top w:w="0" w:type="dxa"/>
              <w:left w:w="40" w:type="dxa"/>
              <w:bottom w:w="0" w:type="dxa"/>
              <w:right w:w="40" w:type="dxa"/>
            </w:tcMar>
            <w:vAlign w:val="center"/>
          </w:tcPr>
          <w:p w14:paraId="24BE7BC1" w14:textId="77777777" w:rsidR="0081565C" w:rsidRDefault="00C45D4B">
            <w:pPr>
              <w:jc w:val="center"/>
              <w:rPr>
                <w:rFonts w:ascii="Calibri" w:eastAsia="Calibri" w:hAnsi="Calibri" w:cs="Calibri"/>
                <w:sz w:val="22"/>
                <w:szCs w:val="22"/>
              </w:rPr>
            </w:pPr>
            <w:r>
              <w:t>9,942.80</w:t>
            </w:r>
          </w:p>
        </w:tc>
        <w:tc>
          <w:tcPr>
            <w:tcW w:w="1270" w:type="dxa"/>
            <w:tcBorders>
              <w:top w:val="single" w:sz="6" w:space="0" w:color="CCCCCC"/>
              <w:left w:val="single" w:sz="6" w:space="0" w:color="CCCCCC"/>
              <w:bottom w:val="single" w:sz="6" w:space="0" w:color="000000"/>
              <w:right w:val="single" w:sz="6" w:space="0" w:color="000000"/>
            </w:tcBorders>
            <w:shd w:val="clear" w:color="auto" w:fill="6BC182"/>
            <w:tcMar>
              <w:top w:w="0" w:type="dxa"/>
              <w:left w:w="40" w:type="dxa"/>
              <w:bottom w:w="0" w:type="dxa"/>
              <w:right w:w="40" w:type="dxa"/>
            </w:tcMar>
            <w:vAlign w:val="center"/>
          </w:tcPr>
          <w:p w14:paraId="24BE7BC2" w14:textId="77777777" w:rsidR="0081565C" w:rsidRDefault="00C45D4B">
            <w:pPr>
              <w:jc w:val="center"/>
              <w:rPr>
                <w:rFonts w:ascii="Calibri" w:eastAsia="Calibri" w:hAnsi="Calibri" w:cs="Calibri"/>
                <w:sz w:val="22"/>
                <w:szCs w:val="22"/>
              </w:rPr>
            </w:pPr>
            <w:r>
              <w:t>9,521.30</w:t>
            </w:r>
          </w:p>
        </w:tc>
        <w:tc>
          <w:tcPr>
            <w:tcW w:w="1119" w:type="dxa"/>
            <w:tcBorders>
              <w:top w:val="single" w:sz="6" w:space="0" w:color="CCCCCC"/>
              <w:left w:val="single" w:sz="6" w:space="0" w:color="CCCCCC"/>
              <w:bottom w:val="single" w:sz="6" w:space="0" w:color="000000"/>
              <w:right w:val="single" w:sz="6" w:space="0" w:color="000000"/>
            </w:tcBorders>
            <w:shd w:val="clear" w:color="auto" w:fill="64BF7C"/>
            <w:tcMar>
              <w:top w:w="0" w:type="dxa"/>
              <w:left w:w="40" w:type="dxa"/>
              <w:bottom w:w="0" w:type="dxa"/>
              <w:right w:w="40" w:type="dxa"/>
            </w:tcMar>
            <w:vAlign w:val="center"/>
          </w:tcPr>
          <w:p w14:paraId="24BE7BC3" w14:textId="77777777" w:rsidR="0081565C" w:rsidRDefault="00C45D4B">
            <w:pPr>
              <w:jc w:val="center"/>
              <w:rPr>
                <w:rFonts w:ascii="Calibri" w:eastAsia="Calibri" w:hAnsi="Calibri" w:cs="Calibri"/>
                <w:sz w:val="22"/>
                <w:szCs w:val="22"/>
              </w:rPr>
            </w:pPr>
            <w:r>
              <w:t>9,904.70</w:t>
            </w:r>
          </w:p>
        </w:tc>
      </w:tr>
      <w:tr w:rsidR="0081565C" w14:paraId="24BE7BCC"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4BE7BC5" w14:textId="77777777" w:rsidR="0081565C" w:rsidRDefault="00C45D4B">
            <w:pPr>
              <w:jc w:val="center"/>
              <w:rPr>
                <w:rFonts w:ascii="Calibri" w:eastAsia="Calibri" w:hAnsi="Calibri" w:cs="Calibri"/>
                <w:sz w:val="22"/>
                <w:szCs w:val="22"/>
              </w:rPr>
            </w:pPr>
            <w:r>
              <w:rPr>
                <w:b/>
                <w:bCs/>
              </w:rPr>
              <w:t>Operating Cash Flow Ratio</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4BE7BC6" w14:textId="77777777" w:rsidR="0081565C" w:rsidRDefault="00C45D4B">
            <w:pPr>
              <w:jc w:val="center"/>
              <w:rPr>
                <w:rFonts w:ascii="Calibri" w:eastAsia="Calibri" w:hAnsi="Calibri" w:cs="Calibri"/>
                <w:sz w:val="22"/>
                <w:szCs w:val="22"/>
              </w:rPr>
            </w:pPr>
            <w:r>
              <w:rPr>
                <w:b/>
                <w:bCs/>
              </w:rPr>
              <w:t>A/B</w:t>
            </w:r>
          </w:p>
        </w:tc>
        <w:tc>
          <w:tcPr>
            <w:tcW w:w="1119" w:type="dxa"/>
            <w:tcBorders>
              <w:top w:val="single" w:sz="6" w:space="0" w:color="CCCCCC"/>
              <w:left w:val="single" w:sz="6" w:space="0" w:color="CCCCCC"/>
              <w:bottom w:val="single" w:sz="6" w:space="0" w:color="000000"/>
              <w:right w:val="single" w:sz="6" w:space="0" w:color="000000"/>
            </w:tcBorders>
            <w:shd w:val="clear" w:color="auto" w:fill="F9999C"/>
            <w:tcMar>
              <w:top w:w="0" w:type="dxa"/>
              <w:left w:w="40" w:type="dxa"/>
              <w:bottom w:w="0" w:type="dxa"/>
              <w:right w:w="40" w:type="dxa"/>
            </w:tcMar>
            <w:vAlign w:val="center"/>
          </w:tcPr>
          <w:p w14:paraId="24BE7BC7" w14:textId="77777777" w:rsidR="0081565C" w:rsidRDefault="00C45D4B">
            <w:pPr>
              <w:jc w:val="center"/>
              <w:rPr>
                <w:rFonts w:ascii="Calibri" w:eastAsia="Calibri" w:hAnsi="Calibri" w:cs="Calibri"/>
                <w:sz w:val="22"/>
                <w:szCs w:val="22"/>
              </w:rPr>
            </w:pPr>
            <w:r>
              <w:rPr>
                <w:b/>
                <w:bCs/>
              </w:rPr>
              <w:t>(0.50)</w:t>
            </w:r>
          </w:p>
        </w:tc>
        <w:tc>
          <w:tcPr>
            <w:tcW w:w="1119" w:type="dxa"/>
            <w:tcBorders>
              <w:top w:val="single" w:sz="6" w:space="0" w:color="CCCCCC"/>
              <w:left w:val="single" w:sz="6" w:space="0" w:color="CCCCCC"/>
              <w:bottom w:val="single" w:sz="6" w:space="0" w:color="000000"/>
              <w:right w:val="single" w:sz="6" w:space="0" w:color="000000"/>
            </w:tcBorders>
            <w:shd w:val="clear" w:color="auto" w:fill="F9999C"/>
            <w:tcMar>
              <w:top w:w="0" w:type="dxa"/>
              <w:left w:w="40" w:type="dxa"/>
              <w:bottom w:w="0" w:type="dxa"/>
              <w:right w:w="40" w:type="dxa"/>
            </w:tcMar>
            <w:vAlign w:val="center"/>
          </w:tcPr>
          <w:p w14:paraId="24BE7BC8" w14:textId="77777777" w:rsidR="0081565C" w:rsidRDefault="00C45D4B">
            <w:pPr>
              <w:jc w:val="center"/>
              <w:rPr>
                <w:rFonts w:ascii="Calibri" w:eastAsia="Calibri" w:hAnsi="Calibri" w:cs="Calibri"/>
                <w:sz w:val="22"/>
                <w:szCs w:val="22"/>
              </w:rPr>
            </w:pPr>
            <w:r>
              <w:rPr>
                <w:b/>
                <w:bCs/>
              </w:rPr>
              <w:t>0.71</w:t>
            </w:r>
          </w:p>
        </w:tc>
        <w:tc>
          <w:tcPr>
            <w:tcW w:w="1119" w:type="dxa"/>
            <w:tcBorders>
              <w:top w:val="single" w:sz="6" w:space="0" w:color="CCCCCC"/>
              <w:left w:val="single" w:sz="6" w:space="0" w:color="CCCCCC"/>
              <w:bottom w:val="single" w:sz="6" w:space="0" w:color="000000"/>
              <w:right w:val="single" w:sz="6" w:space="0" w:color="000000"/>
            </w:tcBorders>
            <w:shd w:val="clear" w:color="auto" w:fill="F9999C"/>
            <w:tcMar>
              <w:top w:w="0" w:type="dxa"/>
              <w:left w:w="40" w:type="dxa"/>
              <w:bottom w:w="0" w:type="dxa"/>
              <w:right w:w="40" w:type="dxa"/>
            </w:tcMar>
            <w:vAlign w:val="center"/>
          </w:tcPr>
          <w:p w14:paraId="24BE7BC9" w14:textId="77777777" w:rsidR="0081565C" w:rsidRDefault="00C45D4B">
            <w:pPr>
              <w:jc w:val="center"/>
              <w:rPr>
                <w:rFonts w:ascii="Calibri" w:eastAsia="Calibri" w:hAnsi="Calibri" w:cs="Calibri"/>
                <w:sz w:val="22"/>
                <w:szCs w:val="22"/>
              </w:rPr>
            </w:pPr>
            <w:r>
              <w:rPr>
                <w:b/>
                <w:bCs/>
              </w:rPr>
              <w:t>0.95</w:t>
            </w:r>
          </w:p>
        </w:tc>
        <w:tc>
          <w:tcPr>
            <w:tcW w:w="1270" w:type="dxa"/>
            <w:tcBorders>
              <w:top w:val="single" w:sz="6" w:space="0" w:color="CCCCCC"/>
              <w:left w:val="single" w:sz="6" w:space="0" w:color="CCCCCC"/>
              <w:bottom w:val="single" w:sz="6" w:space="0" w:color="000000"/>
              <w:right w:val="single" w:sz="6" w:space="0" w:color="000000"/>
            </w:tcBorders>
            <w:shd w:val="clear" w:color="auto" w:fill="F9999C"/>
            <w:tcMar>
              <w:top w:w="0" w:type="dxa"/>
              <w:left w:w="40" w:type="dxa"/>
              <w:bottom w:w="0" w:type="dxa"/>
              <w:right w:w="40" w:type="dxa"/>
            </w:tcMar>
            <w:vAlign w:val="center"/>
          </w:tcPr>
          <w:p w14:paraId="24BE7BCA" w14:textId="77777777" w:rsidR="0081565C" w:rsidRDefault="00C45D4B">
            <w:pPr>
              <w:jc w:val="center"/>
              <w:rPr>
                <w:rFonts w:ascii="Calibri" w:eastAsia="Calibri" w:hAnsi="Calibri" w:cs="Calibri"/>
                <w:sz w:val="22"/>
                <w:szCs w:val="22"/>
              </w:rPr>
            </w:pPr>
            <w:r>
              <w:rPr>
                <w:b/>
                <w:bCs/>
              </w:rPr>
              <w:t>1.01</w:t>
            </w:r>
          </w:p>
        </w:tc>
        <w:tc>
          <w:tcPr>
            <w:tcW w:w="1119" w:type="dxa"/>
            <w:tcBorders>
              <w:top w:val="single" w:sz="6" w:space="0" w:color="CCCCCC"/>
              <w:left w:val="single" w:sz="6" w:space="0" w:color="CCCCCC"/>
              <w:bottom w:val="single" w:sz="6" w:space="0" w:color="000000"/>
              <w:right w:val="single" w:sz="6" w:space="0" w:color="000000"/>
            </w:tcBorders>
            <w:shd w:val="clear" w:color="auto" w:fill="F9999C"/>
            <w:tcMar>
              <w:top w:w="0" w:type="dxa"/>
              <w:left w:w="40" w:type="dxa"/>
              <w:bottom w:w="0" w:type="dxa"/>
              <w:right w:w="40" w:type="dxa"/>
            </w:tcMar>
            <w:vAlign w:val="center"/>
          </w:tcPr>
          <w:p w14:paraId="24BE7BCB" w14:textId="77777777" w:rsidR="0081565C" w:rsidRDefault="00C45D4B">
            <w:pPr>
              <w:jc w:val="center"/>
              <w:rPr>
                <w:rFonts w:ascii="Calibri" w:eastAsia="Calibri" w:hAnsi="Calibri" w:cs="Calibri"/>
                <w:sz w:val="22"/>
                <w:szCs w:val="22"/>
              </w:rPr>
            </w:pPr>
            <w:r>
              <w:rPr>
                <w:b/>
                <w:bCs/>
              </w:rPr>
              <w:t>0.58</w:t>
            </w:r>
          </w:p>
        </w:tc>
      </w:tr>
      <w:tr w:rsidR="0081565C" w14:paraId="24BE7BD4" w14:textId="77777777">
        <w:trPr>
          <w:trHeight w:val="315"/>
        </w:trPr>
        <w:tc>
          <w:tcPr>
            <w:tcW w:w="2793"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4BE7BCD" w14:textId="77777777" w:rsidR="0081565C" w:rsidRDefault="00C45D4B">
            <w:pPr>
              <w:jc w:val="center"/>
              <w:rPr>
                <w:rFonts w:ascii="Calibri" w:eastAsia="Calibri" w:hAnsi="Calibri" w:cs="Calibri"/>
                <w:sz w:val="22"/>
                <w:szCs w:val="22"/>
              </w:rPr>
            </w:pPr>
            <w:r>
              <w:rPr>
                <w:b/>
                <w:bCs/>
              </w:rPr>
              <w:t xml:space="preserve">Cash Return </w:t>
            </w:r>
            <w:proofErr w:type="gramStart"/>
            <w:r>
              <w:rPr>
                <w:b/>
                <w:bCs/>
              </w:rPr>
              <w:t>On</w:t>
            </w:r>
            <w:proofErr w:type="gramEnd"/>
            <w:r>
              <w:rPr>
                <w:b/>
                <w:bCs/>
              </w:rPr>
              <w:t xml:space="preserve"> Assets</w:t>
            </w:r>
          </w:p>
        </w:tc>
        <w:tc>
          <w:tcPr>
            <w:tcW w:w="81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4BE7BCE" w14:textId="77777777" w:rsidR="0081565C" w:rsidRDefault="00C45D4B">
            <w:pPr>
              <w:jc w:val="center"/>
              <w:rPr>
                <w:rFonts w:ascii="Calibri" w:eastAsia="Calibri" w:hAnsi="Calibri" w:cs="Calibri"/>
                <w:sz w:val="22"/>
                <w:szCs w:val="22"/>
              </w:rPr>
            </w:pPr>
            <w:r>
              <w:rPr>
                <w:b/>
                <w:bCs/>
              </w:rPr>
              <w:t>A/C</w:t>
            </w:r>
          </w:p>
        </w:tc>
        <w:tc>
          <w:tcPr>
            <w:tcW w:w="1119" w:type="dxa"/>
            <w:tcBorders>
              <w:top w:val="single" w:sz="6" w:space="0" w:color="CCCCCC"/>
              <w:left w:val="single" w:sz="6" w:space="0" w:color="CCCCCC"/>
              <w:bottom w:val="single" w:sz="6" w:space="0" w:color="000000"/>
              <w:right w:val="single" w:sz="6" w:space="0" w:color="000000"/>
            </w:tcBorders>
            <w:shd w:val="clear" w:color="auto" w:fill="F9999C"/>
            <w:tcMar>
              <w:top w:w="0" w:type="dxa"/>
              <w:left w:w="40" w:type="dxa"/>
              <w:bottom w:w="0" w:type="dxa"/>
              <w:right w:w="40" w:type="dxa"/>
            </w:tcMar>
            <w:vAlign w:val="center"/>
          </w:tcPr>
          <w:p w14:paraId="24BE7BCF" w14:textId="77777777" w:rsidR="0081565C" w:rsidRDefault="00C45D4B">
            <w:pPr>
              <w:jc w:val="center"/>
              <w:rPr>
                <w:rFonts w:ascii="Calibri" w:eastAsia="Calibri" w:hAnsi="Calibri" w:cs="Calibri"/>
                <w:sz w:val="22"/>
                <w:szCs w:val="22"/>
              </w:rPr>
            </w:pPr>
            <w:r>
              <w:rPr>
                <w:b/>
                <w:bCs/>
              </w:rPr>
              <w:t>(0.04)</w:t>
            </w:r>
          </w:p>
        </w:tc>
        <w:tc>
          <w:tcPr>
            <w:tcW w:w="1119" w:type="dxa"/>
            <w:tcBorders>
              <w:top w:val="single" w:sz="6" w:space="0" w:color="CCCCCC"/>
              <w:left w:val="single" w:sz="6" w:space="0" w:color="CCCCCC"/>
              <w:bottom w:val="single" w:sz="6" w:space="0" w:color="000000"/>
              <w:right w:val="single" w:sz="6" w:space="0" w:color="000000"/>
            </w:tcBorders>
            <w:shd w:val="clear" w:color="auto" w:fill="F9999C"/>
            <w:tcMar>
              <w:top w:w="0" w:type="dxa"/>
              <w:left w:w="40" w:type="dxa"/>
              <w:bottom w:w="0" w:type="dxa"/>
              <w:right w:w="40" w:type="dxa"/>
            </w:tcMar>
            <w:vAlign w:val="center"/>
          </w:tcPr>
          <w:p w14:paraId="24BE7BD0" w14:textId="77777777" w:rsidR="0081565C" w:rsidRDefault="00C45D4B">
            <w:pPr>
              <w:jc w:val="center"/>
              <w:rPr>
                <w:rFonts w:ascii="Calibri" w:eastAsia="Calibri" w:hAnsi="Calibri" w:cs="Calibri"/>
                <w:sz w:val="22"/>
                <w:szCs w:val="22"/>
              </w:rPr>
            </w:pPr>
            <w:r>
              <w:rPr>
                <w:b/>
                <w:bCs/>
              </w:rPr>
              <w:t>0.05</w:t>
            </w:r>
          </w:p>
        </w:tc>
        <w:tc>
          <w:tcPr>
            <w:tcW w:w="1119" w:type="dxa"/>
            <w:tcBorders>
              <w:top w:val="single" w:sz="6" w:space="0" w:color="CCCCCC"/>
              <w:left w:val="single" w:sz="6" w:space="0" w:color="CCCCCC"/>
              <w:bottom w:val="single" w:sz="6" w:space="0" w:color="000000"/>
              <w:right w:val="single" w:sz="6" w:space="0" w:color="000000"/>
            </w:tcBorders>
            <w:shd w:val="clear" w:color="auto" w:fill="F9999C"/>
            <w:tcMar>
              <w:top w:w="0" w:type="dxa"/>
              <w:left w:w="40" w:type="dxa"/>
              <w:bottom w:w="0" w:type="dxa"/>
              <w:right w:w="40" w:type="dxa"/>
            </w:tcMar>
            <w:vAlign w:val="center"/>
          </w:tcPr>
          <w:p w14:paraId="24BE7BD1" w14:textId="77777777" w:rsidR="0081565C" w:rsidRDefault="00C45D4B">
            <w:pPr>
              <w:jc w:val="center"/>
              <w:rPr>
                <w:rFonts w:ascii="Calibri" w:eastAsia="Calibri" w:hAnsi="Calibri" w:cs="Calibri"/>
                <w:sz w:val="22"/>
                <w:szCs w:val="22"/>
              </w:rPr>
            </w:pPr>
            <w:r>
              <w:rPr>
                <w:b/>
                <w:bCs/>
              </w:rPr>
              <w:t>0.08</w:t>
            </w:r>
          </w:p>
        </w:tc>
        <w:tc>
          <w:tcPr>
            <w:tcW w:w="1270" w:type="dxa"/>
            <w:tcBorders>
              <w:top w:val="single" w:sz="6" w:space="0" w:color="CCCCCC"/>
              <w:left w:val="single" w:sz="6" w:space="0" w:color="CCCCCC"/>
              <w:bottom w:val="single" w:sz="6" w:space="0" w:color="000000"/>
              <w:right w:val="single" w:sz="6" w:space="0" w:color="000000"/>
            </w:tcBorders>
            <w:shd w:val="clear" w:color="auto" w:fill="F9999C"/>
            <w:tcMar>
              <w:top w:w="0" w:type="dxa"/>
              <w:left w:w="40" w:type="dxa"/>
              <w:bottom w:w="0" w:type="dxa"/>
              <w:right w:w="40" w:type="dxa"/>
            </w:tcMar>
            <w:vAlign w:val="center"/>
          </w:tcPr>
          <w:p w14:paraId="24BE7BD2" w14:textId="77777777" w:rsidR="0081565C" w:rsidRDefault="00C45D4B">
            <w:pPr>
              <w:jc w:val="center"/>
              <w:rPr>
                <w:rFonts w:ascii="Calibri" w:eastAsia="Calibri" w:hAnsi="Calibri" w:cs="Calibri"/>
                <w:sz w:val="22"/>
                <w:szCs w:val="22"/>
              </w:rPr>
            </w:pPr>
            <w:r>
              <w:rPr>
                <w:b/>
                <w:bCs/>
              </w:rPr>
              <w:t>0.09</w:t>
            </w:r>
          </w:p>
        </w:tc>
        <w:tc>
          <w:tcPr>
            <w:tcW w:w="1119" w:type="dxa"/>
            <w:tcBorders>
              <w:top w:val="single" w:sz="6" w:space="0" w:color="CCCCCC"/>
              <w:left w:val="single" w:sz="6" w:space="0" w:color="CCCCCC"/>
              <w:bottom w:val="single" w:sz="6" w:space="0" w:color="000000"/>
              <w:right w:val="single" w:sz="6" w:space="0" w:color="000000"/>
            </w:tcBorders>
            <w:shd w:val="clear" w:color="auto" w:fill="F9999C"/>
            <w:tcMar>
              <w:top w:w="0" w:type="dxa"/>
              <w:left w:w="40" w:type="dxa"/>
              <w:bottom w:w="0" w:type="dxa"/>
              <w:right w:w="40" w:type="dxa"/>
            </w:tcMar>
            <w:vAlign w:val="center"/>
          </w:tcPr>
          <w:p w14:paraId="24BE7BD3" w14:textId="77777777" w:rsidR="0081565C" w:rsidRDefault="00C45D4B">
            <w:pPr>
              <w:jc w:val="center"/>
              <w:rPr>
                <w:rFonts w:ascii="Calibri" w:eastAsia="Calibri" w:hAnsi="Calibri" w:cs="Calibri"/>
                <w:sz w:val="22"/>
                <w:szCs w:val="22"/>
              </w:rPr>
            </w:pPr>
            <w:r>
              <w:rPr>
                <w:b/>
                <w:bCs/>
              </w:rPr>
              <w:t>0.08</w:t>
            </w:r>
          </w:p>
        </w:tc>
      </w:tr>
    </w:tbl>
    <w:p w14:paraId="24BE7BD7" w14:textId="77777777" w:rsidR="0081565C" w:rsidRDefault="00C45D4B">
      <w:pPr>
        <w:pStyle w:val="Heading2"/>
      </w:pPr>
      <w:bookmarkStart w:id="60" w:name="_nlpn68s8mmus" w:colFirst="0" w:colLast="0"/>
      <w:bookmarkStart w:id="61" w:name="_Toc236412233"/>
      <w:bookmarkEnd w:id="60"/>
      <w:r>
        <w:lastRenderedPageBreak/>
        <w:t>Appendix 2: Capital Rationing Analysis</w:t>
      </w:r>
      <w:bookmarkEnd w:id="61"/>
      <w:r>
        <w:t xml:space="preserve"> </w:t>
      </w:r>
    </w:p>
    <w:tbl>
      <w:tblPr>
        <w:tblStyle w:val="a0"/>
        <w:tblW w:w="937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693"/>
        <w:gridCol w:w="1701"/>
        <w:gridCol w:w="1418"/>
        <w:gridCol w:w="1276"/>
        <w:gridCol w:w="1275"/>
        <w:gridCol w:w="2012"/>
      </w:tblGrid>
      <w:tr w:rsidR="0081565C" w14:paraId="24BE7BDE" w14:textId="77777777" w:rsidTr="00691095">
        <w:trPr>
          <w:trHeight w:val="500"/>
        </w:trPr>
        <w:tc>
          <w:tcPr>
            <w:tcW w:w="1693" w:type="dxa"/>
            <w:tcBorders>
              <w:top w:val="single" w:sz="6" w:space="0" w:color="000000"/>
              <w:left w:val="single" w:sz="6" w:space="0" w:color="000000"/>
              <w:bottom w:val="single" w:sz="6" w:space="0" w:color="000000"/>
              <w:right w:val="single" w:sz="6" w:space="0" w:color="000000"/>
            </w:tcBorders>
            <w:shd w:val="clear" w:color="auto" w:fill="F7CB4D"/>
            <w:tcMar>
              <w:top w:w="100" w:type="dxa"/>
              <w:left w:w="100" w:type="dxa"/>
              <w:bottom w:w="100" w:type="dxa"/>
              <w:right w:w="100" w:type="dxa"/>
            </w:tcMar>
          </w:tcPr>
          <w:p w14:paraId="24BE7BD8" w14:textId="77777777" w:rsidR="0081565C" w:rsidRPr="00691095" w:rsidRDefault="00C45D4B">
            <w:pPr>
              <w:spacing w:line="240" w:lineRule="auto"/>
            </w:pPr>
            <w:r w:rsidRPr="00691095">
              <w:rPr>
                <w:rFonts w:eastAsia="Calibri"/>
                <w:b/>
                <w:bCs/>
              </w:rPr>
              <w:t>Project Combination</w:t>
            </w:r>
          </w:p>
        </w:tc>
        <w:tc>
          <w:tcPr>
            <w:tcW w:w="1701" w:type="dxa"/>
            <w:tcBorders>
              <w:top w:val="single" w:sz="6" w:space="0" w:color="000000"/>
              <w:left w:val="single" w:sz="6" w:space="0" w:color="000000"/>
              <w:bottom w:val="single" w:sz="6" w:space="0" w:color="000000"/>
              <w:right w:val="single" w:sz="6" w:space="0" w:color="000000"/>
            </w:tcBorders>
            <w:shd w:val="clear" w:color="auto" w:fill="F7CB4D"/>
            <w:tcMar>
              <w:top w:w="100" w:type="dxa"/>
              <w:left w:w="100" w:type="dxa"/>
              <w:bottom w:w="100" w:type="dxa"/>
              <w:right w:w="100" w:type="dxa"/>
            </w:tcMar>
          </w:tcPr>
          <w:p w14:paraId="24BE7BD9" w14:textId="77777777" w:rsidR="0081565C" w:rsidRPr="00691095" w:rsidRDefault="00C45D4B">
            <w:pPr>
              <w:spacing w:line="240" w:lineRule="auto"/>
            </w:pPr>
            <w:r w:rsidRPr="00691095">
              <w:rPr>
                <w:rFonts w:eastAsia="Calibri"/>
                <w:b/>
                <w:bCs/>
              </w:rPr>
              <w:t>Total Investment (£m)</w:t>
            </w:r>
          </w:p>
        </w:tc>
        <w:tc>
          <w:tcPr>
            <w:tcW w:w="1418" w:type="dxa"/>
            <w:tcBorders>
              <w:top w:val="single" w:sz="6" w:space="0" w:color="000000"/>
              <w:left w:val="single" w:sz="6" w:space="0" w:color="000000"/>
              <w:bottom w:val="single" w:sz="6" w:space="0" w:color="000000"/>
              <w:right w:val="single" w:sz="6" w:space="0" w:color="000000"/>
            </w:tcBorders>
            <w:shd w:val="clear" w:color="auto" w:fill="F7CB4D"/>
            <w:tcMar>
              <w:top w:w="100" w:type="dxa"/>
              <w:left w:w="100" w:type="dxa"/>
              <w:bottom w:w="100" w:type="dxa"/>
              <w:right w:w="100" w:type="dxa"/>
            </w:tcMar>
          </w:tcPr>
          <w:p w14:paraId="24BE7BDA" w14:textId="77777777" w:rsidR="0081565C" w:rsidRPr="00691095" w:rsidRDefault="00C45D4B">
            <w:pPr>
              <w:spacing w:line="240" w:lineRule="auto"/>
            </w:pPr>
            <w:r w:rsidRPr="00691095">
              <w:rPr>
                <w:rFonts w:eastAsia="Calibri"/>
                <w:b/>
                <w:bCs/>
              </w:rPr>
              <w:t>Combined NPV (£m)</w:t>
            </w:r>
          </w:p>
        </w:tc>
        <w:tc>
          <w:tcPr>
            <w:tcW w:w="1276" w:type="dxa"/>
            <w:tcBorders>
              <w:top w:val="single" w:sz="6" w:space="0" w:color="000000"/>
              <w:left w:val="single" w:sz="6" w:space="0" w:color="000000"/>
              <w:bottom w:val="single" w:sz="6" w:space="0" w:color="000000"/>
              <w:right w:val="single" w:sz="6" w:space="0" w:color="000000"/>
            </w:tcBorders>
            <w:shd w:val="clear" w:color="auto" w:fill="F7CB4D"/>
            <w:tcMar>
              <w:top w:w="100" w:type="dxa"/>
              <w:left w:w="100" w:type="dxa"/>
              <w:bottom w:w="100" w:type="dxa"/>
              <w:right w:w="100" w:type="dxa"/>
            </w:tcMar>
          </w:tcPr>
          <w:p w14:paraId="24BE7BDB" w14:textId="77777777" w:rsidR="0081565C" w:rsidRPr="00691095" w:rsidRDefault="00C45D4B">
            <w:pPr>
              <w:spacing w:line="240" w:lineRule="auto"/>
            </w:pPr>
            <w:r w:rsidRPr="00691095">
              <w:rPr>
                <w:rFonts w:eastAsia="Calibri"/>
                <w:b/>
                <w:bCs/>
              </w:rPr>
              <w:t>Average PI</w:t>
            </w:r>
          </w:p>
        </w:tc>
        <w:tc>
          <w:tcPr>
            <w:tcW w:w="1275" w:type="dxa"/>
            <w:tcBorders>
              <w:top w:val="single" w:sz="6" w:space="0" w:color="000000"/>
              <w:left w:val="single" w:sz="6" w:space="0" w:color="000000"/>
              <w:bottom w:val="single" w:sz="6" w:space="0" w:color="000000"/>
              <w:right w:val="single" w:sz="6" w:space="0" w:color="000000"/>
            </w:tcBorders>
            <w:shd w:val="clear" w:color="auto" w:fill="F7CB4D"/>
            <w:tcMar>
              <w:top w:w="100" w:type="dxa"/>
              <w:left w:w="100" w:type="dxa"/>
              <w:bottom w:w="100" w:type="dxa"/>
              <w:right w:w="100" w:type="dxa"/>
            </w:tcMar>
          </w:tcPr>
          <w:p w14:paraId="24BE7BDC" w14:textId="77777777" w:rsidR="0081565C" w:rsidRPr="00691095" w:rsidRDefault="00C45D4B">
            <w:pPr>
              <w:spacing w:line="240" w:lineRule="auto"/>
            </w:pPr>
            <w:r w:rsidRPr="00691095">
              <w:rPr>
                <w:rFonts w:eastAsia="Calibri"/>
                <w:b/>
                <w:bCs/>
              </w:rPr>
              <w:t>Average IRR</w:t>
            </w:r>
          </w:p>
        </w:tc>
        <w:tc>
          <w:tcPr>
            <w:tcW w:w="2012" w:type="dxa"/>
            <w:tcBorders>
              <w:top w:val="single" w:sz="6" w:space="0" w:color="000000"/>
              <w:left w:val="single" w:sz="6" w:space="0" w:color="000000"/>
              <w:bottom w:val="single" w:sz="6" w:space="0" w:color="000000"/>
              <w:right w:val="single" w:sz="6" w:space="0" w:color="000000"/>
            </w:tcBorders>
            <w:shd w:val="clear" w:color="auto" w:fill="F7CB4D"/>
            <w:tcMar>
              <w:top w:w="100" w:type="dxa"/>
              <w:left w:w="100" w:type="dxa"/>
              <w:bottom w:w="100" w:type="dxa"/>
              <w:right w:w="100" w:type="dxa"/>
            </w:tcMar>
          </w:tcPr>
          <w:p w14:paraId="24BE7BDD" w14:textId="77777777" w:rsidR="0081565C" w:rsidRPr="00691095" w:rsidRDefault="00C45D4B">
            <w:pPr>
              <w:spacing w:line="240" w:lineRule="auto"/>
            </w:pPr>
            <w:r w:rsidRPr="00691095">
              <w:rPr>
                <w:rFonts w:eastAsia="Calibri"/>
                <w:b/>
                <w:bCs/>
              </w:rPr>
              <w:t>Decision</w:t>
            </w:r>
          </w:p>
        </w:tc>
      </w:tr>
      <w:tr w:rsidR="0081565C" w14:paraId="24BE7BE5" w14:textId="77777777" w:rsidTr="00691095">
        <w:trPr>
          <w:trHeight w:val="500"/>
        </w:trPr>
        <w:tc>
          <w:tcPr>
            <w:tcW w:w="1693"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14:paraId="24BE7BDF" w14:textId="77777777" w:rsidR="0081565C" w:rsidRPr="00691095" w:rsidRDefault="00C45D4B">
            <w:pPr>
              <w:spacing w:line="240" w:lineRule="auto"/>
            </w:pPr>
            <w:r w:rsidRPr="00691095">
              <w:rPr>
                <w:rFonts w:eastAsia="Calibri"/>
              </w:rPr>
              <w:t>Project A + Project B</w:t>
            </w:r>
          </w:p>
        </w:tc>
        <w:tc>
          <w:tcPr>
            <w:tcW w:w="1701" w:type="dxa"/>
            <w:tcBorders>
              <w:top w:val="single" w:sz="6" w:space="0" w:color="000000"/>
              <w:left w:val="single" w:sz="6" w:space="0" w:color="000000"/>
              <w:bottom w:val="single" w:sz="6" w:space="0" w:color="000000"/>
              <w:right w:val="single" w:sz="6" w:space="0" w:color="000000"/>
            </w:tcBorders>
            <w:shd w:val="clear" w:color="auto" w:fill="63BE7B"/>
            <w:tcMar>
              <w:top w:w="100" w:type="dxa"/>
              <w:left w:w="100" w:type="dxa"/>
              <w:bottom w:w="100" w:type="dxa"/>
              <w:right w:w="100" w:type="dxa"/>
            </w:tcMar>
          </w:tcPr>
          <w:p w14:paraId="24BE7BE0" w14:textId="77777777" w:rsidR="0081565C" w:rsidRPr="00691095" w:rsidRDefault="00C45D4B">
            <w:pPr>
              <w:spacing w:line="240" w:lineRule="auto"/>
            </w:pPr>
            <w:r w:rsidRPr="00691095">
              <w:rPr>
                <w:rFonts w:eastAsia="Calibri"/>
              </w:rPr>
              <w:t>100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14:paraId="24BE7BE1" w14:textId="77777777" w:rsidR="0081565C" w:rsidRPr="00691095" w:rsidRDefault="00C45D4B">
            <w:pPr>
              <w:spacing w:line="240" w:lineRule="auto"/>
            </w:pPr>
            <w:r w:rsidRPr="00691095">
              <w:rPr>
                <w:rFonts w:eastAsia="Calibri"/>
              </w:rPr>
              <w:t>−12.61</w:t>
            </w:r>
          </w:p>
        </w:tc>
        <w:tc>
          <w:tcPr>
            <w:tcW w:w="1276" w:type="dxa"/>
            <w:tcBorders>
              <w:top w:val="single" w:sz="6" w:space="0" w:color="000000"/>
              <w:left w:val="single" w:sz="6" w:space="0" w:color="000000"/>
              <w:bottom w:val="single" w:sz="6" w:space="0" w:color="000000"/>
              <w:right w:val="single" w:sz="6" w:space="0" w:color="000000"/>
            </w:tcBorders>
            <w:shd w:val="clear" w:color="auto" w:fill="FBF0F3"/>
            <w:tcMar>
              <w:top w:w="100" w:type="dxa"/>
              <w:left w:w="100" w:type="dxa"/>
              <w:bottom w:w="100" w:type="dxa"/>
              <w:right w:w="100" w:type="dxa"/>
            </w:tcMar>
          </w:tcPr>
          <w:p w14:paraId="24BE7BE2" w14:textId="77777777" w:rsidR="0081565C" w:rsidRPr="00691095" w:rsidRDefault="00C45D4B">
            <w:pPr>
              <w:spacing w:line="240" w:lineRule="auto"/>
            </w:pPr>
            <w:r w:rsidRPr="00691095">
              <w:rPr>
                <w:rFonts w:eastAsia="Calibri"/>
              </w:rPr>
              <w:t>0.875</w:t>
            </w:r>
          </w:p>
        </w:tc>
        <w:tc>
          <w:tcPr>
            <w:tcW w:w="1275" w:type="dxa"/>
            <w:tcBorders>
              <w:top w:val="single" w:sz="6" w:space="0" w:color="000000"/>
              <w:left w:val="single" w:sz="6" w:space="0" w:color="000000"/>
              <w:bottom w:val="single" w:sz="6" w:space="0" w:color="000000"/>
              <w:right w:val="single" w:sz="6" w:space="0" w:color="000000"/>
            </w:tcBorders>
            <w:shd w:val="clear" w:color="auto" w:fill="F8696B"/>
            <w:tcMar>
              <w:top w:w="100" w:type="dxa"/>
              <w:left w:w="100" w:type="dxa"/>
              <w:bottom w:w="100" w:type="dxa"/>
              <w:right w:w="100" w:type="dxa"/>
            </w:tcMar>
          </w:tcPr>
          <w:p w14:paraId="24BE7BE3" w14:textId="77777777" w:rsidR="0081565C" w:rsidRPr="00691095" w:rsidRDefault="00C45D4B">
            <w:pPr>
              <w:spacing w:line="240" w:lineRule="auto"/>
            </w:pPr>
            <w:r w:rsidRPr="00691095">
              <w:rPr>
                <w:rFonts w:eastAsia="Calibri"/>
              </w:rPr>
              <w:t>3.33%</w:t>
            </w:r>
          </w:p>
        </w:tc>
        <w:tc>
          <w:tcPr>
            <w:tcW w:w="2012"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14:paraId="24BE7BE4" w14:textId="77777777" w:rsidR="0081565C" w:rsidRPr="00691095" w:rsidRDefault="00C45D4B">
            <w:pPr>
              <w:spacing w:line="240" w:lineRule="auto"/>
            </w:pPr>
            <w:r w:rsidRPr="00691095">
              <w:rPr>
                <w:rFonts w:eastAsia="Calibri"/>
              </w:rPr>
              <w:t>Reject</w:t>
            </w:r>
          </w:p>
        </w:tc>
      </w:tr>
      <w:tr w:rsidR="0081565C" w14:paraId="24BE7BEC" w14:textId="77777777" w:rsidTr="00691095">
        <w:trPr>
          <w:trHeight w:val="500"/>
        </w:trPr>
        <w:tc>
          <w:tcPr>
            <w:tcW w:w="1693" w:type="dxa"/>
            <w:tcBorders>
              <w:top w:val="single" w:sz="6" w:space="0" w:color="000000"/>
              <w:left w:val="single" w:sz="6" w:space="0" w:color="000000"/>
              <w:bottom w:val="single" w:sz="6" w:space="0" w:color="000000"/>
              <w:right w:val="single" w:sz="6" w:space="0" w:color="000000"/>
            </w:tcBorders>
            <w:shd w:val="clear" w:color="auto" w:fill="FEF8E3"/>
            <w:tcMar>
              <w:top w:w="100" w:type="dxa"/>
              <w:left w:w="100" w:type="dxa"/>
              <w:bottom w:w="100" w:type="dxa"/>
              <w:right w:w="100" w:type="dxa"/>
            </w:tcMar>
          </w:tcPr>
          <w:p w14:paraId="24BE7BE6" w14:textId="77777777" w:rsidR="0081565C" w:rsidRPr="00691095" w:rsidRDefault="00C45D4B">
            <w:pPr>
              <w:spacing w:line="240" w:lineRule="auto"/>
            </w:pPr>
            <w:r w:rsidRPr="00691095">
              <w:rPr>
                <w:rFonts w:eastAsia="Calibri"/>
              </w:rPr>
              <w:t>Project A + Project C</w:t>
            </w:r>
          </w:p>
        </w:tc>
        <w:tc>
          <w:tcPr>
            <w:tcW w:w="1701" w:type="dxa"/>
            <w:tcBorders>
              <w:top w:val="single" w:sz="6" w:space="0" w:color="000000"/>
              <w:left w:val="single" w:sz="6" w:space="0" w:color="000000"/>
              <w:bottom w:val="single" w:sz="6" w:space="0" w:color="000000"/>
              <w:right w:val="single" w:sz="6" w:space="0" w:color="000000"/>
            </w:tcBorders>
            <w:shd w:val="clear" w:color="auto" w:fill="63BE7B"/>
            <w:tcMar>
              <w:top w:w="100" w:type="dxa"/>
              <w:left w:w="100" w:type="dxa"/>
              <w:bottom w:w="100" w:type="dxa"/>
              <w:right w:w="100" w:type="dxa"/>
            </w:tcMar>
          </w:tcPr>
          <w:p w14:paraId="24BE7BE7" w14:textId="77777777" w:rsidR="0081565C" w:rsidRPr="00691095" w:rsidRDefault="00C45D4B">
            <w:pPr>
              <w:spacing w:line="240" w:lineRule="auto"/>
            </w:pPr>
            <w:r w:rsidRPr="00691095">
              <w:rPr>
                <w:rFonts w:eastAsia="Calibri"/>
              </w:rPr>
              <w:t>100</w:t>
            </w:r>
          </w:p>
        </w:tc>
        <w:tc>
          <w:tcPr>
            <w:tcW w:w="1418" w:type="dxa"/>
            <w:tcBorders>
              <w:top w:val="single" w:sz="6" w:space="0" w:color="000000"/>
              <w:left w:val="single" w:sz="6" w:space="0" w:color="000000"/>
              <w:bottom w:val="single" w:sz="6" w:space="0" w:color="000000"/>
              <w:right w:val="single" w:sz="6" w:space="0" w:color="000000"/>
            </w:tcBorders>
            <w:shd w:val="clear" w:color="auto" w:fill="FEF8E3"/>
            <w:tcMar>
              <w:top w:w="100" w:type="dxa"/>
              <w:left w:w="100" w:type="dxa"/>
              <w:bottom w:w="100" w:type="dxa"/>
              <w:right w:w="100" w:type="dxa"/>
            </w:tcMar>
          </w:tcPr>
          <w:p w14:paraId="24BE7BE8" w14:textId="77777777" w:rsidR="0081565C" w:rsidRPr="00691095" w:rsidRDefault="00C45D4B">
            <w:pPr>
              <w:spacing w:line="240" w:lineRule="auto"/>
            </w:pPr>
            <w:r w:rsidRPr="00691095">
              <w:rPr>
                <w:rFonts w:eastAsia="Calibri"/>
              </w:rPr>
              <w:t>−5.67</w:t>
            </w:r>
          </w:p>
        </w:tc>
        <w:tc>
          <w:tcPr>
            <w:tcW w:w="1276" w:type="dxa"/>
            <w:tcBorders>
              <w:top w:val="single" w:sz="6" w:space="0" w:color="000000"/>
              <w:left w:val="single" w:sz="6" w:space="0" w:color="000000"/>
              <w:bottom w:val="single" w:sz="6" w:space="0" w:color="000000"/>
              <w:right w:val="single" w:sz="6" w:space="0" w:color="000000"/>
            </w:tcBorders>
            <w:shd w:val="clear" w:color="auto" w:fill="FCFCFF"/>
            <w:tcMar>
              <w:top w:w="100" w:type="dxa"/>
              <w:left w:w="100" w:type="dxa"/>
              <w:bottom w:w="100" w:type="dxa"/>
              <w:right w:w="100" w:type="dxa"/>
            </w:tcMar>
          </w:tcPr>
          <w:p w14:paraId="24BE7BE9" w14:textId="77777777" w:rsidR="0081565C" w:rsidRPr="00691095" w:rsidRDefault="00C45D4B">
            <w:r w:rsidRPr="00691095">
              <w:rPr>
                <w:rFonts w:eastAsia="Calibri"/>
              </w:rPr>
              <w:t>0.945</w:t>
            </w:r>
          </w:p>
        </w:tc>
        <w:tc>
          <w:tcPr>
            <w:tcW w:w="1275" w:type="dxa"/>
            <w:tcBorders>
              <w:top w:val="single" w:sz="6" w:space="0" w:color="000000"/>
              <w:left w:val="single" w:sz="6" w:space="0" w:color="000000"/>
              <w:bottom w:val="single" w:sz="6" w:space="0" w:color="000000"/>
              <w:right w:val="single" w:sz="6" w:space="0" w:color="000000"/>
            </w:tcBorders>
            <w:shd w:val="clear" w:color="auto" w:fill="F86D6F"/>
            <w:tcMar>
              <w:top w:w="100" w:type="dxa"/>
              <w:left w:w="100" w:type="dxa"/>
              <w:bottom w:w="100" w:type="dxa"/>
              <w:right w:w="100" w:type="dxa"/>
            </w:tcMar>
          </w:tcPr>
          <w:p w14:paraId="24BE7BEA" w14:textId="77777777" w:rsidR="0081565C" w:rsidRPr="00691095" w:rsidRDefault="00C45D4B">
            <w:pPr>
              <w:spacing w:line="240" w:lineRule="auto"/>
            </w:pPr>
            <w:r w:rsidRPr="00691095">
              <w:rPr>
                <w:rFonts w:eastAsia="Calibri"/>
              </w:rPr>
              <w:t>5.83%</w:t>
            </w:r>
          </w:p>
        </w:tc>
        <w:tc>
          <w:tcPr>
            <w:tcW w:w="2012" w:type="dxa"/>
            <w:tcBorders>
              <w:top w:val="single" w:sz="6" w:space="0" w:color="000000"/>
              <w:left w:val="single" w:sz="6" w:space="0" w:color="000000"/>
              <w:bottom w:val="single" w:sz="6" w:space="0" w:color="000000"/>
              <w:right w:val="single" w:sz="6" w:space="0" w:color="000000"/>
            </w:tcBorders>
            <w:shd w:val="clear" w:color="auto" w:fill="FEF8E3"/>
            <w:tcMar>
              <w:top w:w="100" w:type="dxa"/>
              <w:left w:w="100" w:type="dxa"/>
              <w:bottom w:w="100" w:type="dxa"/>
              <w:right w:w="100" w:type="dxa"/>
            </w:tcMar>
          </w:tcPr>
          <w:p w14:paraId="24BE7BEB" w14:textId="77777777" w:rsidR="0081565C" w:rsidRPr="00691095" w:rsidRDefault="00C45D4B">
            <w:pPr>
              <w:spacing w:line="240" w:lineRule="auto"/>
            </w:pPr>
            <w:r w:rsidRPr="00691095">
              <w:rPr>
                <w:rFonts w:eastAsia="Calibri"/>
              </w:rPr>
              <w:t>Less Preferred</w:t>
            </w:r>
          </w:p>
        </w:tc>
      </w:tr>
      <w:tr w:rsidR="0081565C" w14:paraId="24BE7BF3" w14:textId="77777777" w:rsidTr="00691095">
        <w:trPr>
          <w:trHeight w:val="415"/>
        </w:trPr>
        <w:tc>
          <w:tcPr>
            <w:tcW w:w="1693"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14:paraId="24BE7BED" w14:textId="77777777" w:rsidR="0081565C" w:rsidRPr="00691095" w:rsidRDefault="00C45D4B">
            <w:pPr>
              <w:spacing w:line="240" w:lineRule="auto"/>
            </w:pPr>
            <w:r w:rsidRPr="00691095">
              <w:rPr>
                <w:rFonts w:eastAsia="Calibri"/>
              </w:rPr>
              <w:t>Project B + Project C</w:t>
            </w:r>
          </w:p>
        </w:tc>
        <w:tc>
          <w:tcPr>
            <w:tcW w:w="1701" w:type="dxa"/>
            <w:tcBorders>
              <w:top w:val="single" w:sz="6" w:space="0" w:color="000000"/>
              <w:left w:val="single" w:sz="6" w:space="0" w:color="000000"/>
              <w:bottom w:val="single" w:sz="6" w:space="0" w:color="000000"/>
              <w:right w:val="single" w:sz="6" w:space="0" w:color="000000"/>
            </w:tcBorders>
            <w:shd w:val="clear" w:color="auto" w:fill="63BE7B"/>
            <w:tcMar>
              <w:top w:w="100" w:type="dxa"/>
              <w:left w:w="100" w:type="dxa"/>
              <w:bottom w:w="100" w:type="dxa"/>
              <w:right w:w="100" w:type="dxa"/>
            </w:tcMar>
          </w:tcPr>
          <w:p w14:paraId="24BE7BEE" w14:textId="77777777" w:rsidR="0081565C" w:rsidRPr="00691095" w:rsidRDefault="00C45D4B">
            <w:pPr>
              <w:spacing w:line="240" w:lineRule="auto"/>
            </w:pPr>
            <w:r w:rsidRPr="00691095">
              <w:rPr>
                <w:rFonts w:eastAsia="Calibri"/>
              </w:rPr>
              <w:t>100</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14:paraId="24BE7BEF" w14:textId="77777777" w:rsidR="0081565C" w:rsidRPr="00691095" w:rsidRDefault="00C45D4B">
            <w:pPr>
              <w:spacing w:line="240" w:lineRule="auto"/>
            </w:pPr>
            <w:r w:rsidRPr="00691095">
              <w:rPr>
                <w:rFonts w:eastAsia="Calibri"/>
              </w:rPr>
              <w:t>−5.20</w:t>
            </w:r>
          </w:p>
        </w:tc>
        <w:tc>
          <w:tcPr>
            <w:tcW w:w="1276" w:type="dxa"/>
            <w:tcBorders>
              <w:top w:val="single" w:sz="6" w:space="0" w:color="000000"/>
              <w:left w:val="single" w:sz="6" w:space="0" w:color="000000"/>
              <w:bottom w:val="single" w:sz="6" w:space="0" w:color="000000"/>
              <w:right w:val="single" w:sz="6" w:space="0" w:color="000000"/>
            </w:tcBorders>
            <w:shd w:val="clear" w:color="auto" w:fill="FCFCFF"/>
            <w:tcMar>
              <w:top w:w="100" w:type="dxa"/>
              <w:left w:w="100" w:type="dxa"/>
              <w:bottom w:w="100" w:type="dxa"/>
              <w:right w:w="100" w:type="dxa"/>
            </w:tcMar>
          </w:tcPr>
          <w:p w14:paraId="24BE7BF0" w14:textId="77777777" w:rsidR="0081565C" w:rsidRPr="00691095" w:rsidRDefault="00C45D4B">
            <w:pPr>
              <w:spacing w:line="240" w:lineRule="auto"/>
            </w:pPr>
            <w:r w:rsidRPr="00691095">
              <w:rPr>
                <w:rFonts w:eastAsia="Calibri"/>
              </w:rPr>
              <w:t>0.95</w:t>
            </w:r>
          </w:p>
        </w:tc>
        <w:tc>
          <w:tcPr>
            <w:tcW w:w="1275" w:type="dxa"/>
            <w:tcBorders>
              <w:top w:val="single" w:sz="6" w:space="0" w:color="000000"/>
              <w:left w:val="single" w:sz="6" w:space="0" w:color="000000"/>
              <w:bottom w:val="single" w:sz="6" w:space="0" w:color="000000"/>
              <w:right w:val="single" w:sz="6" w:space="0" w:color="000000"/>
            </w:tcBorders>
            <w:shd w:val="clear" w:color="auto" w:fill="F86D6F"/>
            <w:tcMar>
              <w:top w:w="100" w:type="dxa"/>
              <w:left w:w="100" w:type="dxa"/>
              <w:bottom w:w="100" w:type="dxa"/>
              <w:right w:w="100" w:type="dxa"/>
            </w:tcMar>
          </w:tcPr>
          <w:p w14:paraId="24BE7BF1" w14:textId="77777777" w:rsidR="0081565C" w:rsidRPr="00691095" w:rsidRDefault="00C45D4B">
            <w:pPr>
              <w:spacing w:line="240" w:lineRule="auto"/>
            </w:pPr>
            <w:r w:rsidRPr="00691095">
              <w:rPr>
                <w:rFonts w:eastAsia="Calibri"/>
              </w:rPr>
              <w:t>6.11%</w:t>
            </w:r>
          </w:p>
        </w:tc>
        <w:tc>
          <w:tcPr>
            <w:tcW w:w="2012" w:type="dxa"/>
            <w:tcBorders>
              <w:top w:val="single" w:sz="6" w:space="0" w:color="000000"/>
              <w:left w:val="single" w:sz="6" w:space="0" w:color="000000"/>
              <w:bottom w:val="single" w:sz="6" w:space="0" w:color="000000"/>
              <w:right w:val="single" w:sz="6" w:space="0" w:color="000000"/>
            </w:tcBorders>
            <w:shd w:val="clear" w:color="auto" w:fill="FFFFFF"/>
            <w:tcMar>
              <w:top w:w="100" w:type="dxa"/>
              <w:left w:w="100" w:type="dxa"/>
              <w:bottom w:w="100" w:type="dxa"/>
              <w:right w:w="100" w:type="dxa"/>
            </w:tcMar>
          </w:tcPr>
          <w:p w14:paraId="24BE7BF2" w14:textId="77777777" w:rsidR="0081565C" w:rsidRPr="00691095" w:rsidRDefault="00C45D4B">
            <w:pPr>
              <w:spacing w:line="240" w:lineRule="auto"/>
            </w:pPr>
            <w:r w:rsidRPr="00691095">
              <w:rPr>
                <w:rFonts w:eastAsia="Calibri"/>
              </w:rPr>
              <w:t>Preferred Option</w:t>
            </w:r>
          </w:p>
        </w:tc>
      </w:tr>
    </w:tbl>
    <w:p w14:paraId="24BE7BF4" w14:textId="77777777" w:rsidR="0081565C" w:rsidRDefault="0081565C"/>
    <w:p w14:paraId="24BE7BF5" w14:textId="77777777" w:rsidR="0081565C" w:rsidRDefault="00C45D4B">
      <w:pPr>
        <w:pStyle w:val="Heading2"/>
      </w:pPr>
      <w:bookmarkStart w:id="62" w:name="_kmnq5ptziq0s" w:colFirst="0" w:colLast="0"/>
      <w:bookmarkEnd w:id="62"/>
      <w:r>
        <w:br w:type="page"/>
      </w:r>
    </w:p>
    <w:p w14:paraId="24BE7BF6" w14:textId="77777777" w:rsidR="0081565C" w:rsidRDefault="00C45D4B">
      <w:pPr>
        <w:pStyle w:val="Heading2"/>
      </w:pPr>
      <w:bookmarkStart w:id="63" w:name="_Toc236412234"/>
      <w:r>
        <w:lastRenderedPageBreak/>
        <w:t>Appendix 3</w:t>
      </w:r>
      <w:proofErr w:type="gramStart"/>
      <w:r>
        <w:t>: :</w:t>
      </w:r>
      <w:proofErr w:type="gramEnd"/>
      <w:r>
        <w:t xml:space="preserve"> Income Statement of 2021 and 2022</w:t>
      </w:r>
      <w:bookmarkEnd w:id="63"/>
      <w:r>
        <w:t xml:space="preserve"> </w:t>
      </w:r>
    </w:p>
    <w:p w14:paraId="24BE7BF7" w14:textId="77777777" w:rsidR="0081565C" w:rsidRDefault="00C45D4B">
      <w:r>
        <w:rPr>
          <w:noProof/>
        </w:rPr>
        <w:drawing>
          <wp:inline distT="114300" distB="114300" distL="114300" distR="114300" wp14:anchorId="24BE7C56" wp14:editId="24BE7C57">
            <wp:extent cx="5943600" cy="3263900"/>
            <wp:effectExtent l="0" t="0" r="0" b="0"/>
            <wp:docPr id="37"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54"/>
                    <a:srcRect/>
                    <a:stretch>
                      <a:fillRect/>
                    </a:stretch>
                  </pic:blipFill>
                  <pic:spPr>
                    <a:xfrm>
                      <a:off x="0" y="0"/>
                      <a:ext cx="5943600" cy="3263900"/>
                    </a:xfrm>
                    <a:prstGeom prst="rect">
                      <a:avLst/>
                    </a:prstGeom>
                    <a:ln/>
                  </pic:spPr>
                </pic:pic>
              </a:graphicData>
            </a:graphic>
          </wp:inline>
        </w:drawing>
      </w:r>
    </w:p>
    <w:p w14:paraId="24BE7BF8" w14:textId="77777777" w:rsidR="0081565C" w:rsidRDefault="00C45D4B">
      <w:pPr>
        <w:pStyle w:val="Heading2"/>
      </w:pPr>
      <w:bookmarkStart w:id="64" w:name="_vjxdz17hc33" w:colFirst="0" w:colLast="0"/>
      <w:bookmarkEnd w:id="64"/>
      <w:r>
        <w:br w:type="page"/>
      </w:r>
    </w:p>
    <w:p w14:paraId="24BE7BF9" w14:textId="77777777" w:rsidR="0081565C" w:rsidRDefault="00C45D4B">
      <w:pPr>
        <w:pStyle w:val="Heading2"/>
      </w:pPr>
      <w:bookmarkStart w:id="65" w:name="_Toc236412235"/>
      <w:r>
        <w:lastRenderedPageBreak/>
        <w:t>Appendix 4</w:t>
      </w:r>
      <w:proofErr w:type="gramStart"/>
      <w:r>
        <w:t>: :</w:t>
      </w:r>
      <w:proofErr w:type="gramEnd"/>
      <w:r>
        <w:t xml:space="preserve"> Income Statement of 2023 and 2024</w:t>
      </w:r>
      <w:bookmarkEnd w:id="65"/>
    </w:p>
    <w:p w14:paraId="24BE7BFA" w14:textId="77777777" w:rsidR="0081565C" w:rsidRDefault="00C45D4B">
      <w:r>
        <w:rPr>
          <w:noProof/>
        </w:rPr>
        <w:drawing>
          <wp:inline distT="114300" distB="114300" distL="114300" distR="114300" wp14:anchorId="24BE7C58" wp14:editId="24BE7C59">
            <wp:extent cx="5943600" cy="2540000"/>
            <wp:effectExtent l="0" t="0" r="0" b="0"/>
            <wp:docPr id="41" name="image39.png"/>
            <wp:cNvGraphicFramePr/>
            <a:graphic xmlns:a="http://schemas.openxmlformats.org/drawingml/2006/main">
              <a:graphicData uri="http://schemas.openxmlformats.org/drawingml/2006/picture">
                <pic:pic xmlns:pic="http://schemas.openxmlformats.org/drawingml/2006/picture">
                  <pic:nvPicPr>
                    <pic:cNvPr id="0" name="image39.png"/>
                    <pic:cNvPicPr preferRelativeResize="0"/>
                  </pic:nvPicPr>
                  <pic:blipFill>
                    <a:blip r:embed="rId55"/>
                    <a:srcRect/>
                    <a:stretch>
                      <a:fillRect/>
                    </a:stretch>
                  </pic:blipFill>
                  <pic:spPr>
                    <a:xfrm>
                      <a:off x="0" y="0"/>
                      <a:ext cx="5943600" cy="2540000"/>
                    </a:xfrm>
                    <a:prstGeom prst="rect">
                      <a:avLst/>
                    </a:prstGeom>
                    <a:ln/>
                  </pic:spPr>
                </pic:pic>
              </a:graphicData>
            </a:graphic>
          </wp:inline>
        </w:drawing>
      </w:r>
      <w:r>
        <w:t xml:space="preserve"> </w:t>
      </w:r>
    </w:p>
    <w:p w14:paraId="24BE7BFB" w14:textId="77777777" w:rsidR="0081565C" w:rsidRDefault="00C45D4B">
      <w:pPr>
        <w:pStyle w:val="Heading2"/>
      </w:pPr>
      <w:bookmarkStart w:id="66" w:name="_3on0kil964rs" w:colFirst="0" w:colLast="0"/>
      <w:bookmarkEnd w:id="66"/>
      <w:r>
        <w:br w:type="page"/>
      </w:r>
    </w:p>
    <w:p w14:paraId="24BE7BFC" w14:textId="77777777" w:rsidR="0081565C" w:rsidRDefault="00C45D4B">
      <w:pPr>
        <w:pStyle w:val="Heading2"/>
      </w:pPr>
      <w:bookmarkStart w:id="67" w:name="_Toc236412236"/>
      <w:r>
        <w:lastRenderedPageBreak/>
        <w:t>Appendix 5: Income Statement of 2025</w:t>
      </w:r>
      <w:bookmarkEnd w:id="67"/>
    </w:p>
    <w:p w14:paraId="24BE7BFD" w14:textId="77777777" w:rsidR="0081565C" w:rsidRDefault="00C45D4B">
      <w:r>
        <w:rPr>
          <w:noProof/>
        </w:rPr>
        <w:drawing>
          <wp:inline distT="114300" distB="114300" distL="114300" distR="114300" wp14:anchorId="24BE7C5A" wp14:editId="24BE7C5B">
            <wp:extent cx="5943600" cy="3314700"/>
            <wp:effectExtent l="0" t="0" r="0" b="0"/>
            <wp:docPr id="10"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56"/>
                    <a:srcRect/>
                    <a:stretch>
                      <a:fillRect/>
                    </a:stretch>
                  </pic:blipFill>
                  <pic:spPr>
                    <a:xfrm>
                      <a:off x="0" y="0"/>
                      <a:ext cx="5943600" cy="3314700"/>
                    </a:xfrm>
                    <a:prstGeom prst="rect">
                      <a:avLst/>
                    </a:prstGeom>
                    <a:ln/>
                  </pic:spPr>
                </pic:pic>
              </a:graphicData>
            </a:graphic>
          </wp:inline>
        </w:drawing>
      </w:r>
    </w:p>
    <w:sectPr w:rsidR="0081565C" w:rsidSect="00EC27B0">
      <w:headerReference w:type="default" r:id="rId57"/>
      <w:footerReference w:type="default" r:id="rId58"/>
      <w:headerReference w:type="first" r:id="rId59"/>
      <w:footerReference w:type="first" r:id="rId60"/>
      <w:pgSz w:w="12240" w:h="15840"/>
      <w:pgMar w:top="1440" w:right="1440" w:bottom="1440" w:left="1440" w:header="720" w:footer="720" w:gutter="0"/>
      <w:pgBorders w:offsetFrom="page">
        <w:top w:val="triple" w:sz="4" w:space="24" w:color="auto"/>
        <w:left w:val="triple" w:sz="4" w:space="24" w:color="auto"/>
        <w:bottom w:val="triple" w:sz="4" w:space="24" w:color="auto"/>
        <w:right w:val="trip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93E7BD" w14:textId="77777777" w:rsidR="00135980" w:rsidRDefault="00135980">
      <w:pPr>
        <w:spacing w:line="240" w:lineRule="auto"/>
      </w:pPr>
      <w:r>
        <w:separator/>
      </w:r>
    </w:p>
  </w:endnote>
  <w:endnote w:type="continuationSeparator" w:id="0">
    <w:p w14:paraId="0FEF9634" w14:textId="77777777" w:rsidR="00135980" w:rsidRDefault="001359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D25B7B56-3CB2-49B4-AA3E-281464ED3BB1}"/>
  </w:font>
  <w:font w:name="Shruti">
    <w:panose1 w:val="020B0502040204020203"/>
    <w:charset w:val="00"/>
    <w:family w:val="swiss"/>
    <w:pitch w:val="variable"/>
    <w:sig w:usb0="00040003" w:usb1="00000000" w:usb2="00000000" w:usb3="00000000" w:csb0="00000001" w:csb1="00000000"/>
    <w:embedRegular r:id="rId2" w:fontKey="{1A399C89-45AD-41F3-8043-13172F4F3933}"/>
  </w:font>
  <w:font w:name="Arial Unicode MS">
    <w:panose1 w:val="020B0604020202020204"/>
    <w:charset w:val="80"/>
    <w:family w:val="swiss"/>
    <w:pitch w:val="variable"/>
    <w:sig w:usb0="F7FFAEFF" w:usb1="F9DFFFFF" w:usb2="0000007F" w:usb3="00000000" w:csb0="003F01FF" w:csb1="00000000"/>
    <w:embedRegular r:id="rId3" w:subsetted="1" w:fontKey="{7B6F1483-EB02-4528-B9E4-67CAFEDDBDA1}"/>
  </w:font>
  <w:font w:name="Calibri">
    <w:panose1 w:val="020F0502020204030204"/>
    <w:charset w:val="00"/>
    <w:family w:val="swiss"/>
    <w:pitch w:val="variable"/>
    <w:sig w:usb0="E4002EFF" w:usb1="C200247B" w:usb2="00000009" w:usb3="00000000" w:csb0="000001FF" w:csb1="00000000"/>
    <w:embedRegular r:id="rId4" w:fontKey="{BE8039BB-CE78-48D3-97E0-A3526A40BD6D}"/>
    <w:embedBold r:id="rId5" w:fontKey="{89C6C1C6-B082-4C18-9FDE-815AF8B9987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E7C75" w14:textId="5298093E" w:rsidR="0081565C" w:rsidRDefault="00C45D4B">
    <w:pPr>
      <w:jc w:val="right"/>
    </w:pPr>
    <w:r>
      <w:fldChar w:fldCharType="begin"/>
    </w:r>
    <w:r>
      <w:instrText>PAGE</w:instrText>
    </w:r>
    <w:r>
      <w:fldChar w:fldCharType="separate"/>
    </w:r>
    <w:r w:rsidR="00EC27B0">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E7C77" w14:textId="77777777" w:rsidR="0081565C" w:rsidRDefault="0081565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589EC3" w14:textId="77777777" w:rsidR="00135980" w:rsidRDefault="00135980">
      <w:pPr>
        <w:spacing w:line="240" w:lineRule="auto"/>
      </w:pPr>
      <w:r>
        <w:separator/>
      </w:r>
    </w:p>
  </w:footnote>
  <w:footnote w:type="continuationSeparator" w:id="0">
    <w:p w14:paraId="777DE694" w14:textId="77777777" w:rsidR="00135980" w:rsidRDefault="0013598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E7C74" w14:textId="77777777" w:rsidR="0081565C" w:rsidRDefault="0081565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E7C76" w14:textId="77777777" w:rsidR="0081565C" w:rsidRDefault="0081565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05376"/>
    <w:multiLevelType w:val="multilevel"/>
    <w:tmpl w:val="41B086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3435D81"/>
    <w:multiLevelType w:val="multilevel"/>
    <w:tmpl w:val="B44E95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B491BB2"/>
    <w:multiLevelType w:val="multilevel"/>
    <w:tmpl w:val="4C8CE8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BD744E6"/>
    <w:multiLevelType w:val="multilevel"/>
    <w:tmpl w:val="FE7456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FA954CE"/>
    <w:multiLevelType w:val="multilevel"/>
    <w:tmpl w:val="55AC04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400435A"/>
    <w:multiLevelType w:val="multilevel"/>
    <w:tmpl w:val="2EEED2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F465254"/>
    <w:multiLevelType w:val="multilevel"/>
    <w:tmpl w:val="4F46B1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47642AE"/>
    <w:multiLevelType w:val="multilevel"/>
    <w:tmpl w:val="87AA17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A1B63EF"/>
    <w:multiLevelType w:val="multilevel"/>
    <w:tmpl w:val="076277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60A27C1"/>
    <w:multiLevelType w:val="multilevel"/>
    <w:tmpl w:val="845639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01923B2"/>
    <w:multiLevelType w:val="multilevel"/>
    <w:tmpl w:val="39BE9C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4A61DA6"/>
    <w:multiLevelType w:val="multilevel"/>
    <w:tmpl w:val="47CA61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6CA2B86"/>
    <w:multiLevelType w:val="multilevel"/>
    <w:tmpl w:val="E54AC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F762951"/>
    <w:multiLevelType w:val="multilevel"/>
    <w:tmpl w:val="932A4C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29500698">
    <w:abstractNumId w:val="8"/>
  </w:num>
  <w:num w:numId="2" w16cid:durableId="1819684657">
    <w:abstractNumId w:val="5"/>
  </w:num>
  <w:num w:numId="3" w16cid:durableId="518197292">
    <w:abstractNumId w:val="7"/>
  </w:num>
  <w:num w:numId="4" w16cid:durableId="1037388281">
    <w:abstractNumId w:val="0"/>
  </w:num>
  <w:num w:numId="5" w16cid:durableId="2024166790">
    <w:abstractNumId w:val="1"/>
  </w:num>
  <w:num w:numId="6" w16cid:durableId="1730421382">
    <w:abstractNumId w:val="9"/>
  </w:num>
  <w:num w:numId="7" w16cid:durableId="1546520721">
    <w:abstractNumId w:val="10"/>
  </w:num>
  <w:num w:numId="8" w16cid:durableId="1019507685">
    <w:abstractNumId w:val="11"/>
  </w:num>
  <w:num w:numId="9" w16cid:durableId="954681313">
    <w:abstractNumId w:val="13"/>
  </w:num>
  <w:num w:numId="10" w16cid:durableId="110130036">
    <w:abstractNumId w:val="4"/>
  </w:num>
  <w:num w:numId="11" w16cid:durableId="1131943950">
    <w:abstractNumId w:val="2"/>
  </w:num>
  <w:num w:numId="12" w16cid:durableId="1464694357">
    <w:abstractNumId w:val="3"/>
  </w:num>
  <w:num w:numId="13" w16cid:durableId="2002157383">
    <w:abstractNumId w:val="6"/>
  </w:num>
  <w:num w:numId="14" w16cid:durableId="13084401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565C"/>
    <w:rsid w:val="00134D46"/>
    <w:rsid w:val="00135980"/>
    <w:rsid w:val="00292CEF"/>
    <w:rsid w:val="002F4C30"/>
    <w:rsid w:val="003B7864"/>
    <w:rsid w:val="00404D67"/>
    <w:rsid w:val="00423837"/>
    <w:rsid w:val="00506BD3"/>
    <w:rsid w:val="00526A91"/>
    <w:rsid w:val="00582C3C"/>
    <w:rsid w:val="00691095"/>
    <w:rsid w:val="006F27E1"/>
    <w:rsid w:val="0081565C"/>
    <w:rsid w:val="00841AC9"/>
    <w:rsid w:val="0087763C"/>
    <w:rsid w:val="008F319A"/>
    <w:rsid w:val="009A030F"/>
    <w:rsid w:val="00A767DA"/>
    <w:rsid w:val="00B013F3"/>
    <w:rsid w:val="00B0541A"/>
    <w:rsid w:val="00C45D4B"/>
    <w:rsid w:val="00D40E20"/>
    <w:rsid w:val="00EC27B0"/>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E785C"/>
  <w15:docId w15:val="{EC28A0FC-9EE1-4533-8F8D-334570C2F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1">
    <w:name w:val="toc 1"/>
    <w:basedOn w:val="Normal"/>
    <w:next w:val="Normal"/>
    <w:autoRedefine/>
    <w:uiPriority w:val="39"/>
    <w:unhideWhenUsed/>
    <w:rsid w:val="006F27E1"/>
    <w:pPr>
      <w:spacing w:after="100"/>
    </w:pPr>
  </w:style>
  <w:style w:type="paragraph" w:styleId="TOC2">
    <w:name w:val="toc 2"/>
    <w:basedOn w:val="Normal"/>
    <w:next w:val="Normal"/>
    <w:autoRedefine/>
    <w:uiPriority w:val="39"/>
    <w:unhideWhenUsed/>
    <w:rsid w:val="006F27E1"/>
    <w:pPr>
      <w:spacing w:after="100"/>
      <w:ind w:left="240"/>
    </w:pPr>
  </w:style>
  <w:style w:type="paragraph" w:styleId="TOC3">
    <w:name w:val="toc 3"/>
    <w:basedOn w:val="Normal"/>
    <w:next w:val="Normal"/>
    <w:autoRedefine/>
    <w:uiPriority w:val="39"/>
    <w:unhideWhenUsed/>
    <w:rsid w:val="006F27E1"/>
    <w:pPr>
      <w:spacing w:after="100"/>
      <w:ind w:left="480"/>
    </w:pPr>
  </w:style>
  <w:style w:type="character" w:styleId="Hyperlink">
    <w:name w:val="Hyperlink"/>
    <w:basedOn w:val="DefaultParagraphFont"/>
    <w:uiPriority w:val="99"/>
    <w:unhideWhenUsed/>
    <w:rsid w:val="006F27E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image" Target="media/image48.png"/><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hyperlink" Target="https://finance.yahoo.com/markets/stocks/articles/whitbread-h2-earnings-call-highlights-132014600.html" TargetMode="External"/><Relationship Id="rId58"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fontTable" Target="fontTable.xml"/><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49.png"/><Relationship Id="rId8" Type="http://schemas.openxmlformats.org/officeDocument/2006/relationships/image" Target="media/image2.png"/><Relationship Id="rId51" Type="http://schemas.openxmlformats.org/officeDocument/2006/relationships/image" Target="media/image45.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header" Target="header2.xml"/><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image" Target="media/image47.png"/><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header" Target="header1.xml"/><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1</Pages>
  <Words>7980</Words>
  <Characters>45487</Characters>
  <Application>Microsoft Office Word</Application>
  <DocSecurity>0</DocSecurity>
  <Lines>379</Lines>
  <Paragraphs>106</Paragraphs>
  <ScaleCrop>false</ScaleCrop>
  <Company/>
  <LinksUpToDate>false</LinksUpToDate>
  <CharactersWithSpaces>53361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MILONI .</cp:lastModifiedBy>
  <cp:revision>16</cp:revision>
  <dcterms:created xsi:type="dcterms:W3CDTF">2026-07-31T12:03:00Z</dcterms:created>
  <dcterms:modified xsi:type="dcterms:W3CDTF">2026-08-05T09:09:00Z</dcterms:modified>
</cp:coreProperties>
</file>