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bookmarkStart w:id="0" w:name="_7d2xrstzneq4" w:colFirst="0" w:colLast="0"/>
    <w:bookmarkEnd w:id="0"/>
    <w:p w14:paraId="08EC1E5B" w14:textId="1C267158" w:rsidR="00CA1530" w:rsidRDefault="00CA1530">
      <w:pPr>
        <w:pStyle w:val="Title"/>
      </w:pPr>
      <w:r>
        <w:fldChar w:fldCharType="begin"/>
      </w:r>
      <w:r>
        <w:instrText xml:space="preserve"> INCLUDEPICTURE "/Users/vasea/Library/Group Containers/UBF8T346G9.ms/WebArchiveCopyPasteTempFiles/com.microsoft.Word/UWTSD-Logo.png" \* MERGEFORMATINET </w:instrText>
      </w:r>
      <w:r>
        <w:fldChar w:fldCharType="separate"/>
      </w:r>
      <w:r>
        <w:rPr>
          <w:noProof/>
        </w:rPr>
        <w:drawing>
          <wp:inline distT="0" distB="0" distL="0" distR="0" wp14:anchorId="09D6F252" wp14:editId="161AF3DB">
            <wp:extent cx="4459266" cy="1481648"/>
            <wp:effectExtent l="0" t="0" r="0" b="4445"/>
            <wp:docPr id="1188627049" name="Picture 1188627049"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26697" cy="1504053"/>
                    </a:xfrm>
                    <a:prstGeom prst="rect">
                      <a:avLst/>
                    </a:prstGeom>
                    <a:noFill/>
                    <a:ln>
                      <a:noFill/>
                    </a:ln>
                  </pic:spPr>
                </pic:pic>
              </a:graphicData>
            </a:graphic>
          </wp:inline>
        </w:drawing>
      </w:r>
      <w:r>
        <w:fldChar w:fldCharType="end"/>
      </w:r>
    </w:p>
    <w:p w14:paraId="0FCE2EBA" w14:textId="77777777" w:rsidR="00CA1530" w:rsidRDefault="00CA1530">
      <w:pPr>
        <w:pStyle w:val="Title"/>
      </w:pPr>
    </w:p>
    <w:p w14:paraId="7447A291" w14:textId="77777777" w:rsidR="00CA1530" w:rsidRDefault="00CA1530">
      <w:pPr>
        <w:pStyle w:val="Title"/>
      </w:pPr>
    </w:p>
    <w:p w14:paraId="2B688BAD" w14:textId="77777777" w:rsidR="00CA1530" w:rsidRDefault="00CA1530">
      <w:pPr>
        <w:pStyle w:val="Title"/>
      </w:pPr>
    </w:p>
    <w:p w14:paraId="306C9899" w14:textId="77777777" w:rsidR="00CA1530" w:rsidRDefault="00CA1530" w:rsidP="00CA1530">
      <w:pPr>
        <w:pStyle w:val="Title"/>
      </w:pPr>
    </w:p>
    <w:p w14:paraId="42C275ED" w14:textId="10784364" w:rsidR="00CA1530" w:rsidRPr="00CA1530" w:rsidRDefault="00000000" w:rsidP="00CA1530">
      <w:pPr>
        <w:pStyle w:val="Title"/>
        <w:rPr>
          <w:sz w:val="40"/>
          <w:szCs w:val="40"/>
        </w:rPr>
      </w:pPr>
      <w:r w:rsidRPr="00CA1530">
        <w:rPr>
          <w:sz w:val="40"/>
          <w:szCs w:val="40"/>
        </w:rPr>
        <w:t>International Business Communications</w:t>
      </w:r>
    </w:p>
    <w:p w14:paraId="11A0F382" w14:textId="77777777" w:rsidR="00CA1530" w:rsidRPr="00CA1530" w:rsidRDefault="00CA1530" w:rsidP="00CA1530">
      <w:pPr>
        <w:pStyle w:val="Title"/>
        <w:rPr>
          <w:sz w:val="36"/>
          <w:szCs w:val="36"/>
        </w:rPr>
      </w:pPr>
    </w:p>
    <w:p w14:paraId="0439DC25" w14:textId="77777777" w:rsidR="00CA1530" w:rsidRDefault="00000000" w:rsidP="00CA1530">
      <w:pPr>
        <w:pStyle w:val="Title"/>
        <w:rPr>
          <w:sz w:val="36"/>
          <w:szCs w:val="36"/>
        </w:rPr>
      </w:pPr>
      <w:r w:rsidRPr="00CA1530">
        <w:rPr>
          <w:sz w:val="36"/>
          <w:szCs w:val="36"/>
        </w:rPr>
        <w:t>Individual Essay</w:t>
      </w:r>
    </w:p>
    <w:p w14:paraId="538DA327" w14:textId="77777777" w:rsidR="00CA1530" w:rsidRDefault="00CA1530" w:rsidP="00CA1530">
      <w:pPr>
        <w:pStyle w:val="Title"/>
        <w:rPr>
          <w:sz w:val="36"/>
          <w:szCs w:val="36"/>
        </w:rPr>
      </w:pPr>
    </w:p>
    <w:p w14:paraId="0250C690" w14:textId="77777777" w:rsidR="00CA1530" w:rsidRDefault="00CA1530" w:rsidP="00CA1530">
      <w:pPr>
        <w:pStyle w:val="Title"/>
        <w:rPr>
          <w:sz w:val="36"/>
          <w:szCs w:val="36"/>
        </w:rPr>
      </w:pPr>
    </w:p>
    <w:p w14:paraId="3AF615BB" w14:textId="77777777" w:rsidR="00CA1530" w:rsidRDefault="00CA1530" w:rsidP="00CA1530">
      <w:pPr>
        <w:pStyle w:val="Title"/>
        <w:rPr>
          <w:sz w:val="36"/>
          <w:szCs w:val="36"/>
        </w:rPr>
      </w:pPr>
    </w:p>
    <w:p w14:paraId="2BD554A0" w14:textId="77777777" w:rsidR="00CA1530" w:rsidRDefault="00CA1530" w:rsidP="00CA1530">
      <w:pPr>
        <w:pStyle w:val="Title"/>
        <w:rPr>
          <w:sz w:val="36"/>
          <w:szCs w:val="36"/>
        </w:rPr>
      </w:pPr>
    </w:p>
    <w:p w14:paraId="321C35CC" w14:textId="77777777" w:rsidR="00CA1530" w:rsidRPr="0039525F" w:rsidRDefault="00CA1530" w:rsidP="00CA1530">
      <w:pPr>
        <w:jc w:val="center"/>
        <w:rPr>
          <w:sz w:val="32"/>
          <w:szCs w:val="32"/>
        </w:rPr>
      </w:pPr>
      <w:r w:rsidRPr="0039525F">
        <w:rPr>
          <w:sz w:val="32"/>
          <w:szCs w:val="32"/>
        </w:rPr>
        <w:t>Student ID: 2215818</w:t>
      </w:r>
    </w:p>
    <w:p w14:paraId="7F48AB5F" w14:textId="77777777" w:rsidR="00CA1530" w:rsidRPr="0039525F" w:rsidRDefault="00CA1530" w:rsidP="00CA1530">
      <w:pPr>
        <w:jc w:val="center"/>
        <w:rPr>
          <w:sz w:val="32"/>
          <w:szCs w:val="32"/>
        </w:rPr>
      </w:pPr>
      <w:r w:rsidRPr="0039525F">
        <w:rPr>
          <w:sz w:val="32"/>
          <w:szCs w:val="32"/>
        </w:rPr>
        <w:t>Student Name: Vasile Rosca</w:t>
      </w:r>
    </w:p>
    <w:p w14:paraId="21E35AAB" w14:textId="2EE203DE" w:rsidR="00CA1530" w:rsidRDefault="00CA1530" w:rsidP="00CA1530">
      <w:pPr>
        <w:jc w:val="center"/>
        <w:rPr>
          <w:sz w:val="32"/>
          <w:szCs w:val="32"/>
        </w:rPr>
      </w:pPr>
      <w:r w:rsidRPr="0039525F">
        <w:rPr>
          <w:sz w:val="32"/>
          <w:szCs w:val="32"/>
        </w:rPr>
        <w:t>Module Code: LCBB</w:t>
      </w:r>
      <w:r>
        <w:rPr>
          <w:sz w:val="32"/>
          <w:szCs w:val="32"/>
        </w:rPr>
        <w:t>6001</w:t>
      </w:r>
    </w:p>
    <w:p w14:paraId="2A1A0F0A" w14:textId="7467DFDA" w:rsidR="00CA1530" w:rsidRPr="0039525F" w:rsidRDefault="00CA1530" w:rsidP="00CA1530">
      <w:pPr>
        <w:jc w:val="center"/>
        <w:rPr>
          <w:sz w:val="32"/>
          <w:szCs w:val="32"/>
        </w:rPr>
      </w:pPr>
      <w:r w:rsidRPr="0039525F">
        <w:rPr>
          <w:sz w:val="32"/>
          <w:szCs w:val="32"/>
        </w:rPr>
        <w:t>Lecturer name:</w:t>
      </w:r>
      <w:r>
        <w:rPr>
          <w:sz w:val="32"/>
          <w:szCs w:val="32"/>
        </w:rPr>
        <w:t xml:space="preserve"> Dr. Rexon Nting</w:t>
      </w:r>
    </w:p>
    <w:p w14:paraId="00000001" w14:textId="0DAC7370" w:rsidR="00466B29" w:rsidRDefault="00000000" w:rsidP="00CA1530">
      <w:pPr>
        <w:pStyle w:val="Title"/>
        <w:rPr>
          <w:sz w:val="24"/>
          <w:szCs w:val="24"/>
        </w:rPr>
      </w:pPr>
      <w:r>
        <w:br w:type="page"/>
      </w:r>
    </w:p>
    <w:p w14:paraId="00000002" w14:textId="77777777" w:rsidR="00466B29" w:rsidRDefault="00000000">
      <w:pPr>
        <w:jc w:val="center"/>
        <w:rPr>
          <w:b/>
        </w:rPr>
      </w:pPr>
      <w:r>
        <w:rPr>
          <w:b/>
        </w:rPr>
        <w:lastRenderedPageBreak/>
        <w:t>Table of Content</w:t>
      </w:r>
    </w:p>
    <w:sdt>
      <w:sdtPr>
        <w:id w:val="-340778518"/>
        <w:docPartObj>
          <w:docPartGallery w:val="Table of Contents"/>
          <w:docPartUnique/>
        </w:docPartObj>
      </w:sdtPr>
      <w:sdtContent>
        <w:p w14:paraId="00000003" w14:textId="77777777" w:rsidR="00466B29" w:rsidRDefault="00000000">
          <w:pPr>
            <w:widowControl w:val="0"/>
            <w:tabs>
              <w:tab w:val="right" w:pos="9360"/>
            </w:tabs>
            <w:spacing w:before="60"/>
            <w:rPr>
              <w:color w:val="000000"/>
            </w:rPr>
          </w:pPr>
          <w:r>
            <w:fldChar w:fldCharType="begin"/>
          </w:r>
          <w:r>
            <w:instrText xml:space="preserve"> TOC \h \u \z \t "Heading 1,1,Heading 2,2,Heading 3,3,Heading 4,4,Heading 5,5,Heading 6,6,"</w:instrText>
          </w:r>
          <w:r>
            <w:fldChar w:fldCharType="separate"/>
          </w:r>
          <w:hyperlink w:anchor="_2xpa58htt76e">
            <w:r>
              <w:rPr>
                <w:color w:val="000000"/>
              </w:rPr>
              <w:t>Introduction</w:t>
            </w:r>
            <w:r>
              <w:rPr>
                <w:color w:val="000000"/>
              </w:rPr>
              <w:tab/>
            </w:r>
          </w:hyperlink>
          <w:r>
            <w:fldChar w:fldCharType="begin"/>
          </w:r>
          <w:r>
            <w:instrText xml:space="preserve"> PAGEREF _2xpa58htt76e \h </w:instrText>
          </w:r>
          <w:r>
            <w:fldChar w:fldCharType="separate"/>
          </w:r>
          <w:r>
            <w:t>3</w:t>
          </w:r>
          <w:r>
            <w:fldChar w:fldCharType="end"/>
          </w:r>
        </w:p>
        <w:p w14:paraId="00000004" w14:textId="77777777" w:rsidR="00466B29" w:rsidRDefault="00000000">
          <w:pPr>
            <w:widowControl w:val="0"/>
            <w:tabs>
              <w:tab w:val="right" w:pos="9360"/>
            </w:tabs>
            <w:spacing w:before="60"/>
            <w:rPr>
              <w:color w:val="000000"/>
            </w:rPr>
          </w:pPr>
          <w:hyperlink w:anchor="_92o2jgrkivue">
            <w:r>
              <w:rPr>
                <w:color w:val="000000"/>
              </w:rPr>
              <w:t>Main Body</w:t>
            </w:r>
            <w:r>
              <w:rPr>
                <w:color w:val="000000"/>
              </w:rPr>
              <w:tab/>
            </w:r>
          </w:hyperlink>
          <w:r>
            <w:fldChar w:fldCharType="begin"/>
          </w:r>
          <w:r>
            <w:instrText xml:space="preserve"> PAGEREF _92o2jgrkivue \h </w:instrText>
          </w:r>
          <w:r>
            <w:fldChar w:fldCharType="separate"/>
          </w:r>
          <w:r>
            <w:t>4</w:t>
          </w:r>
          <w:r>
            <w:fldChar w:fldCharType="end"/>
          </w:r>
        </w:p>
        <w:p w14:paraId="00000005" w14:textId="77777777" w:rsidR="00466B29" w:rsidRDefault="00000000">
          <w:pPr>
            <w:widowControl w:val="0"/>
            <w:tabs>
              <w:tab w:val="right" w:pos="9360"/>
            </w:tabs>
            <w:spacing w:before="60"/>
            <w:rPr>
              <w:color w:val="000000"/>
            </w:rPr>
          </w:pPr>
          <w:hyperlink w:anchor="_7j9nbwbv8d73">
            <w:r>
              <w:rPr>
                <w:color w:val="000000"/>
              </w:rPr>
              <w:t>Conclusion</w:t>
            </w:r>
            <w:r>
              <w:rPr>
                <w:color w:val="000000"/>
              </w:rPr>
              <w:tab/>
            </w:r>
          </w:hyperlink>
          <w:r>
            <w:fldChar w:fldCharType="begin"/>
          </w:r>
          <w:r>
            <w:instrText xml:space="preserve"> PAGEREF _7j9nbwbv8d73 \h </w:instrText>
          </w:r>
          <w:r>
            <w:fldChar w:fldCharType="separate"/>
          </w:r>
          <w:r>
            <w:t>10</w:t>
          </w:r>
          <w:r>
            <w:fldChar w:fldCharType="end"/>
          </w:r>
        </w:p>
        <w:p w14:paraId="00000006" w14:textId="77777777" w:rsidR="00466B29" w:rsidRDefault="00000000">
          <w:pPr>
            <w:widowControl w:val="0"/>
            <w:tabs>
              <w:tab w:val="right" w:pos="9360"/>
            </w:tabs>
            <w:spacing w:before="60"/>
            <w:rPr>
              <w:color w:val="000000"/>
            </w:rPr>
          </w:pPr>
          <w:hyperlink w:anchor="_v3oe2sawnyxx">
            <w:r>
              <w:rPr>
                <w:color w:val="000000"/>
              </w:rPr>
              <w:t>Reference</w:t>
            </w:r>
            <w:r>
              <w:rPr>
                <w:color w:val="000000"/>
              </w:rPr>
              <w:tab/>
            </w:r>
          </w:hyperlink>
          <w:r>
            <w:fldChar w:fldCharType="begin"/>
          </w:r>
          <w:r>
            <w:instrText xml:space="preserve"> PAGEREF _v3oe2sawnyxx \h </w:instrText>
          </w:r>
          <w:r>
            <w:fldChar w:fldCharType="separate"/>
          </w:r>
          <w:r>
            <w:t>11</w:t>
          </w:r>
          <w:r>
            <w:fldChar w:fldCharType="end"/>
          </w:r>
          <w:r>
            <w:fldChar w:fldCharType="end"/>
          </w:r>
        </w:p>
      </w:sdtContent>
    </w:sdt>
    <w:p w14:paraId="00000007" w14:textId="77777777" w:rsidR="00466B29" w:rsidRDefault="00000000">
      <w:pPr>
        <w:jc w:val="center"/>
      </w:pPr>
      <w:r>
        <w:br w:type="page"/>
      </w:r>
    </w:p>
    <w:p w14:paraId="00000008" w14:textId="77777777" w:rsidR="00466B29" w:rsidRDefault="00000000">
      <w:pPr>
        <w:pStyle w:val="Heading1"/>
      </w:pPr>
      <w:bookmarkStart w:id="1" w:name="_2xpa58htt76e" w:colFirst="0" w:colLast="0"/>
      <w:bookmarkEnd w:id="1"/>
      <w:r>
        <w:lastRenderedPageBreak/>
        <w:t xml:space="preserve">Introduction </w:t>
      </w:r>
    </w:p>
    <w:p w14:paraId="00000009" w14:textId="77777777" w:rsidR="00466B29" w:rsidRDefault="00000000">
      <w:r>
        <w:t xml:space="preserve">Asia remains one of the most promising regions for development Given its markets diverse, expanding middle class, and rapidly growing purchasing power, consumers demand more qualitative products. Home to more than 4.7 billion people it has both developed countries like Japan and South Korea and developing ones like India, Indonesia and Vietnam. As the professed urbanisation, digitalization, and the improvement in per capita income suggest Asia continues to present a vast potential for MNCs to consolidate their presence and to introduce new tested products compatible with the local markets.  </w:t>
      </w:r>
    </w:p>
    <w:p w14:paraId="0000000A" w14:textId="77777777" w:rsidR="00466B29" w:rsidRDefault="00000000">
      <w:r>
        <w:t xml:space="preserve">Unilever is a UK-established FMCG giant and is one of the largest multinational companies in the world. It also has a diversified product range which is popular brands for daily use like Dove, Lipton Surf etc. In terms of its sustainability and innovations, Unilever tapped into the virtue of ASIAN consumers when it comes to consumables.   One of the strategic MV traction brands that have tied a joint venture with Unilever is a premier Asian FMCG company </w:t>
      </w:r>
      <w:r>
        <w:rPr>
          <w:b/>
          <w:i/>
        </w:rPr>
        <w:t>Shiseido</w:t>
      </w:r>
      <w:r>
        <w:t xml:space="preserve"> based in Japan. Being the unassailable market leader in the service provision of beauty enhancement, Shiseido adds more credibility to Unilever’s global experience with Asian consumers. Its goal is to jointly continue to develop functional, environmentally friendly products that meet the defined trend of wellness and sustainability in Asian countries (Anne Lim, 2021).</w:t>
      </w:r>
    </w:p>
    <w:p w14:paraId="0000000B" w14:textId="77777777" w:rsidR="00466B29" w:rsidRDefault="00466B29"/>
    <w:p w14:paraId="0000000C" w14:textId="77777777" w:rsidR="00466B29" w:rsidRDefault="00000000">
      <w:r>
        <w:br w:type="page"/>
      </w:r>
    </w:p>
    <w:p w14:paraId="0000000D" w14:textId="77777777" w:rsidR="00466B29" w:rsidRDefault="00000000">
      <w:pPr>
        <w:pStyle w:val="Heading1"/>
      </w:pPr>
      <w:bookmarkStart w:id="2" w:name="_92o2jgrkivue" w:colFirst="0" w:colLast="0"/>
      <w:bookmarkEnd w:id="2"/>
      <w:r>
        <w:lastRenderedPageBreak/>
        <w:t>Main Body</w:t>
      </w:r>
    </w:p>
    <w:p w14:paraId="0000000E" w14:textId="77777777" w:rsidR="00466B29" w:rsidRDefault="00000000">
      <w:r>
        <w:t xml:space="preserve">Multinational collaborations require efficient communication all the time for them to work as expected. The major challenge, which appears when teams from the UK and Japan interact, is that their communication patterns are significantly dissimilar. These differences can be understood and dealt with more effectively if theories originating from Hofstede’s cultural dimensions, </w:t>
      </w:r>
      <w:r>
        <w:rPr>
          <w:b/>
          <w:i/>
        </w:rPr>
        <w:t>Hall’s high context/low context communication paradigm</w:t>
      </w:r>
      <w:r>
        <w:t>, and Trompenaar’s seven cultural dimensions are used. The impediments to the aforementioned different cultural communication and recommends how these gaps can be closed, to bring a more efficient influx of the cultures. Hofstede having identified five cultural factors is most useful in analysing cross-cultural differences, especially in a business communication context. When applied to UK and Japanese teams, one can focus on five dimensions (G, 2020).</w:t>
      </w:r>
    </w:p>
    <w:p w14:paraId="0000000F" w14:textId="77777777" w:rsidR="00466B29" w:rsidRDefault="00000000">
      <w:r>
        <w:t>Japan scores higher in power distance than the UK, which means that Japanese society is highly polarised and the position of power is highly valued. It can affect communication because Japanese members will be likely to consult the older members of the team, and questioning of authority is not normally acceptable. On the other hand, relative to the UK, which has a lower power distance, encourages the subordinates to engage in a more equal conversation with the management. In the case of the Anglo-Japanese business relationships, the assumption may be made that Japanese employees misunderstand Britons’ direct approach as impolite while Britons may likewise misunderstand the Japanese negotiating behaviour as a lack of assertiveness. The UK is an individualistic culture and self-reliance and aspiration are recognised in this society. Everyone in a team is free to convey what he or she advocates and there will always be personal agendas other than team goals. On the other hand, Japan has a collectivist culture where respect for the group, conformity and mutual consent are all-encompassed. While the former, the Japanese employees may feel reluctant to go against the flow to preserve relationships, the latter may not only question their ideas but also the assumptions of Japanese employees (Hofstede, 2024).</w:t>
      </w:r>
    </w:p>
    <w:p w14:paraId="00000010" w14:textId="77777777" w:rsidR="00466B29" w:rsidRDefault="00000000">
      <w:r>
        <w:t xml:space="preserve">Japan has a very high level of uncertainty avoidance, which means that it is comfortable with formal channels of communication as well as detailed planning. Japanese teams may need structural rules, very documentation, and standard work processes to feel good. Opposite to it, the UK, being a country with moderate uncertainty avoidance, permits more liberty to be used in the communication process. The Japanese colleagues may regard the UK’s versatility as being ill-prepared while the UK employees may see the Japanese colleagues’ focus on details were too </w:t>
      </w:r>
      <w:r>
        <w:lastRenderedPageBreak/>
        <w:t>rigid. The UK and Japan are moderately macho cultures, especially when it comes to achievement orientation, success and competition. But, due to collectivism, the Japanese communication style is more formal, and indirect as compared with the UK Communication style which is straight and more task-related. This difference can lead to some tensions when for instance the members of the UK team deem Japanese politeness as ambiguous. The old Japanese value that is seen in its long-term orientation is the inclination of the Japanese toward patience, persistence and forward thinking. The communication process in the teams in Japanese organisations mainly focuses on the relationships and trust that take time to develop. The short-term orientation of the UK is reconstructing itself to obtain idealistic quick results and synchronous direct solutions. This might create an impression for UK teams as Japanese counterparts are always slow to act while the other way around, Japanese teams will be seen as hasty by UK counterparts (Hofstede, 2024).</w:t>
      </w:r>
    </w:p>
    <w:p w14:paraId="00000011" w14:textId="77777777" w:rsidR="00466B29" w:rsidRDefault="00000000">
      <w:r>
        <w:t xml:space="preserve">Drawing support from </w:t>
      </w:r>
      <w:r>
        <w:rPr>
          <w:b/>
          <w:i/>
        </w:rPr>
        <w:t xml:space="preserve">Edward T. Hall’s high context and low context communication theory </w:t>
      </w:r>
      <w:r>
        <w:t xml:space="preserve">provides further understanding. The Japanese culture is an example of high context culture characterised by indirect communication and use of nonverbal signals. Japanese participants may assume that the others would understand what was implied, rather than said in black and white. Lack of exhaustive response in Japanese interaction can mean affirmation, thinking or even a negative view, depending on the situation. However, the UK culture is low context and as such people are very straightforward and expect the other person to be the same. British team members can say what they exactly think and they also expect straightforward communication. In one case a misunderstanding happens when UK colleagues may not come across what the Japanese team members consider when the UK manners and direct approach is seen as blunt/insensitive (Broeder, 2021). </w:t>
      </w:r>
    </w:p>
    <w:p w14:paraId="00000012" w14:textId="77777777" w:rsidR="00466B29" w:rsidRDefault="00000000">
      <w:r>
        <w:t xml:space="preserve">Regarding the second, the seven dimensions of cultures, they found that the UK leans toward universalism, It is characterised by a love of ‘particularism’, that is to say, evident rules with total compliance to principles of communication. In this approach, success is based on the concepts of standardisation, as well as fairness. On the other hand, special consideration should be given to Japan as it represents the particularistic culture, according to which communication and behaviours are highly embedded within relationships. The British participants may feel the Japanese emphasis on particularistic details to be alarming and the Japanese participants may find the UK’s reliance on the dispositional rules cumbersome. The general sense about Japanese communication is that it is nonverbal to a large extent and all expressions are kept as natural and professional as possible. </w:t>
      </w:r>
      <w:r>
        <w:lastRenderedPageBreak/>
        <w:t>On the other hand and despite being less tender than French communication, the British one enables a more expressive form in some cases. Lack of assertiveness: While the British team members largely interpreted the Japanese reserve as a lack of interest in the project, the latter regarded the former’s emotional demonstrations as impertinence. The UK has a high power distance, which means that the hierarchical power is obtained based on acumen performance. It is characteristic that communication actively involves the informal discussion of what has been done, rather than one's rank or hierarchy. In Japan, ascription is more popular because the personnel status depends on age, rank, and relations. British team members could offend or disrespect the Japanese folks by not adhering to an order expected by the hierarchy making Japanese members uncomfortable (Broeder, 2021).</w:t>
      </w:r>
    </w:p>
    <w:p w14:paraId="00000013" w14:textId="77777777" w:rsidR="00466B29" w:rsidRDefault="00000000">
      <w:r>
        <w:t>It is possible to find several aspects that can cause misinterpretation between the UK and Japanese teams according to these theoretical developments. For instance, British personnel may expect quick decisions and constructive criticism, while the Japanese counterparts may welcome un-hurried discussions to agree. There is often a contrast in the attitude to criticism between Great Britain and Japan: while the British like criticism, even if it is harsh, the Japanese soft or do not give it at all to keep harmony. UK teams can go straight to confrontation while the Japanese in a bid to avoid embarrassment or loss of face can circumvent the issues (Wurtz, 2020).</w:t>
      </w:r>
    </w:p>
    <w:p w14:paraId="00000014" w14:textId="77777777" w:rsidR="00466B29" w:rsidRDefault="00000000">
      <w:r>
        <w:t xml:space="preserve">Thus, both teams are required to change and minimise such cultural differences to facilitate clear cooperation and interaction.  Organise diversity sensitivity sessions for a better understanding of each other through the cultural and communication differences that we bring to the table. It can lessen stereotyping and encourage empathy building on the same. To push UK teams into more active listening to the kinds of paralinguistic features from the context that globalised teams manifold. As such, Japanese teams have to improve cam thus by explaining themselves more comprehensively to avoid confusion. Schedule time to be friendly and get to know each other to gain credibility easily among employees. This can be a party in Japan in relation to social interactions which are culture to engage in and share at least a meal. Ensure every person links with each other through translators or natives who work in the organisation to convey ideas properly. Use information-sharing technologies that best fit the current culture regarding immediacy and level of detail in desired information, e.g. email or project management app. A common understanding of communication protocols should be established to reduce confusion </w:t>
      </w:r>
      <w:r>
        <w:lastRenderedPageBreak/>
        <w:t>including procedural guidelines covering matters like meeting agendas, feedback procedures and decision-making time frames (Broeder, 2021).</w:t>
      </w:r>
    </w:p>
    <w:p w14:paraId="00000015" w14:textId="77777777" w:rsidR="00466B29" w:rsidRDefault="00000000">
      <w:r>
        <w:t>There are still gaps in the communication between UK and Japanese teams; the correct approach is to make cultural and progressive changes to those gaps by making adaptive changes and also ensure the use of interventions to enhance communication. One of the best ways to build a bridge towards cultural differences is through cross-cultural training. Training for such a relationship should aim at making the UK team aware of Japan’s high context communication, where much information is communicated through implication and nonverbal signs as well as the strict hierarchical nature of the Japanese workplace. Similarly, the key information that Japanese team members should familiarise themselves with regarding the UK’s communication style is that they are low context meaning the society considers direct communication by being open and equal in the dialogue. Simulations also enable teaching team members how to communicate with people of similar and different communication systems, and thus, be ready for real-life practice. This makes the learning in this manner a continued process rather than a one-time event by offering always available resources and followed by skill-developing workshops. Other, even though actions speak louder than words, the frequency and relevance of daily face-to-face work communication could also enhance common norms and prevent misunderstandings as well. There must always be consensus on specific communication policies within a team, for example, the circulation of precise meeting schedules before the assembly. The approach does allow for the Japanese teams’ proclivity for preparation and deliberation while at the same time providing enough clear information for the UK team members. Negative feedback processes also have to be brought to a systematic level. For instance, where the speakers are from the UK they may appreciate their colleague’s blunt and explicit approach to critique but the opposite will hold for Japanese employees. Managers have a choice of using documentary reportage for clear message delivery in combination with face-to-face for consideration of the concerns with diplomacy. Another step in formalisation is encouraging team members to report, using their own words, key findings of discussions and decisions made during and after meetings to enhance a shared understanding and reduce misunderstandings (G, 2020).</w:t>
      </w:r>
    </w:p>
    <w:p w14:paraId="00000016" w14:textId="77777777" w:rsidR="00466B29" w:rsidRDefault="00000000">
      <w:r>
        <w:t xml:space="preserve">Complex and many-layered cooperation with the Japanese team requires strong interpersonal relationships with the UK members of the team. Japanese business etiquette culture advices that relationships are maintained through casual meals and interactions, etc. Since the UK team </w:t>
      </w:r>
      <w:r>
        <w:lastRenderedPageBreak/>
        <w:t xml:space="preserve">members are used to businesslike and formal organisation, they should try to engage in such activities to gain people’s confidence. On the other hand, the author can explain that Japanese colleagues can socialise to fit the British etiquette, which is quite different from the closed-door policy in Japan. It may also be suggested to engage in other activities such as cultural exchange or team-building activities to increase the number of occasions when members can get to learn each other’s likes and dislikes at work. The element of culture is often a very sensitive factor that needs to be managed by leaders to ensure that organisational relations mirror that of the global environment at large (Adair </w:t>
      </w:r>
      <w:r>
        <w:rPr>
          <w:i/>
        </w:rPr>
        <w:t>et al.,</w:t>
      </w:r>
      <w:r>
        <w:t xml:space="preserve"> 2024). </w:t>
      </w:r>
    </w:p>
    <w:p w14:paraId="00000017" w14:textId="77777777" w:rsidR="00466B29" w:rsidRDefault="00000000">
      <w:r>
        <w:t>Managers also need to be cultural brokers to facilitate the desire of both cultures on each side to be recognised. For example, it is essential to consider that a leader of Anglo-Saxon origin but working in the United Kingdom with a Japanese subordinated team should use direct and indirect communication strategies simultaneously. This might include the use of Word documents with instructions to make them clear while at the same time providing context before starting a discussion, especially for Japanese employees. Organisational leaders should also embrace discussion forums as a way of understanding that some of their team members have communication difficulties by providing a free and safe platform for them to give their complaints. Technology can also be used to overcome the communication difficulty that is in place. That is, Japanese and UK teams can use integrated digital platforms such as Slack or Microsoft Teams since asynchronous communication can benefit Japanese teams while providing continuity of the immediate communication style preferred by the UK teams. Video conferencing can improve the excess between high context and low context styles since the participants can use other signals including gestural and even eye contact. The translation tools and bilingual documentation ensure that barriers posed by language are not a hindrance to the efforts being made (Güner and Gurbuz, 2022).</w:t>
      </w:r>
    </w:p>
    <w:p w14:paraId="00000018" w14:textId="77777777" w:rsidR="00466B29" w:rsidRDefault="00000000">
      <w:r>
        <w:t xml:space="preserve">The UK teams and Japanese teams have adopted different ways of communicating with their counterparts. Hofstede on cultural dimensions, Hall on high versus low context culture, and Trompenaars on seven dimensions are the theoretical frameworks that organisations need to apply to prepare for such hurdles. Besides, the awareness of such differences, the realise of these differences is not sufficient for cross-cultural communication but one also has to be willing to accept and practise more embracing of the culture. Contrasting UK and Japanese teams thus </w:t>
      </w:r>
      <w:r>
        <w:lastRenderedPageBreak/>
        <w:t>require training, tools, strategies, and approaches that will assist the organisations turn these contrasts into assets.</w:t>
      </w:r>
    </w:p>
    <w:p w14:paraId="00000019" w14:textId="77777777" w:rsidR="00466B29" w:rsidRDefault="00000000">
      <w:r>
        <w:br w:type="page"/>
      </w:r>
    </w:p>
    <w:p w14:paraId="0000001A" w14:textId="77777777" w:rsidR="00466B29" w:rsidRDefault="00000000">
      <w:pPr>
        <w:pStyle w:val="Heading1"/>
      </w:pPr>
      <w:bookmarkStart w:id="3" w:name="_7j9nbwbv8d73" w:colFirst="0" w:colLast="0"/>
      <w:bookmarkEnd w:id="3"/>
      <w:r>
        <w:lastRenderedPageBreak/>
        <w:t>Conclusion</w:t>
      </w:r>
    </w:p>
    <w:p w14:paraId="0000001B" w14:textId="77777777" w:rsidR="00466B29" w:rsidRDefault="00000000">
      <w:r>
        <w:t xml:space="preserve">This essay aims to demonstrate substantial differences in the ways UK and Japanese teams understand and negotiate inter-organisational communication, and the methods which can help to overcome the gap. It is based on such theories as Hofstede’s cultural dimensions, Hall’s high context-low context communication, and Trompenaars’ seven dimensions where such concepts as power distance, individualism, collectivism, uncertainty avoidance, communication and time are defined as inherently different. Such disparities create conflicts for instance the Japanese employees may consider the utterances of the UK individuals as rude while on the other side, the UK teams may perceive the Japanese employees’ polite speaking, and slow decision-making as weaknesses.   If there are conflicts of interest to them, then appropriate measures are crucial towards the buildup of a healthy working relationship. Comprehensive intercultural training is therefore an essential tool for raising consciousness and consideration so that teams can comprehend and appreciate each other’s inclinations. Creating and agreeing on code-switching protocols, the effective use of technology, and relational communication are the practical solutions to culturally mediated challenges. Based on how the stakeholders respond to such cardinal concepts as change, understanding, and inclusiveness, leadership finally reveals its significant role as the element that can generate the understanding of diverse communication methods among the majority of stakeholders. In conclusion, the study proves that working in an international environment entails some problems which are, however, solvable when the approach is duly altered and the counterpart’s peculiarities are taken into consideration. By enhancing global cultural acumen and communication flexibility, multinational personnel can establish synergy throughout the projects and foster difference into advantage.  </w:t>
      </w:r>
    </w:p>
    <w:p w14:paraId="0000001C" w14:textId="77777777" w:rsidR="00466B29" w:rsidRDefault="00000000">
      <w:r>
        <w:br w:type="page"/>
      </w:r>
    </w:p>
    <w:p w14:paraId="0000001D" w14:textId="77777777" w:rsidR="00466B29" w:rsidRDefault="00000000">
      <w:pPr>
        <w:pStyle w:val="Heading1"/>
      </w:pPr>
      <w:bookmarkStart w:id="4" w:name="_v3oe2sawnyxx" w:colFirst="0" w:colLast="0"/>
      <w:bookmarkEnd w:id="4"/>
      <w:r>
        <w:lastRenderedPageBreak/>
        <w:t>Reference</w:t>
      </w:r>
    </w:p>
    <w:p w14:paraId="0000001E" w14:textId="77777777" w:rsidR="00466B29" w:rsidRDefault="00000000">
      <w:r>
        <w:t xml:space="preserve">Adair, W.L., Buchan, N.R., Chen, X.-P. and Leigh Anne Liu (2024). Listening and Speaking Without Words: Effective Communication in Multicultural Teams. </w:t>
      </w:r>
      <w:r>
        <w:rPr>
          <w:i/>
        </w:rPr>
        <w:t>Springer series in emerging cultural perspectives in work, organizational, and personnel studies</w:t>
      </w:r>
      <w:r>
        <w:t>, pp.45–61. doi:https://doi.org/10.1007/978-3-031-53645-8_4.</w:t>
      </w:r>
    </w:p>
    <w:p w14:paraId="0000001F" w14:textId="77777777" w:rsidR="00466B29" w:rsidRDefault="00000000">
      <w:r>
        <w:t xml:space="preserve">Anne Lim, K. (2021). </w:t>
      </w:r>
      <w:r>
        <w:rPr>
          <w:i/>
        </w:rPr>
        <w:t>How Shiseido and Unilever are changing lives with makeup and hygiene products</w:t>
      </w:r>
      <w:r>
        <w:t>. [online] AsiaOne. Available at: https://www.asiaone.com/singapore/how-shiseido-and-unilever-are-changing-lives-makeup-and-hygiene-products?form=MG0AV3 [Accessed 16 Nov. 2024].</w:t>
      </w:r>
    </w:p>
    <w:p w14:paraId="00000020" w14:textId="77777777" w:rsidR="00466B29" w:rsidRDefault="00000000">
      <w:r>
        <w:t xml:space="preserve">Broeder, P. (2021). Informed Communication in High Context and Low Context Cultures. </w:t>
      </w:r>
      <w:r>
        <w:rPr>
          <w:i/>
        </w:rPr>
        <w:t>Interdisciplinary studies in social sciences – unmasking truths whilst nurturing new possibilities</w:t>
      </w:r>
      <w:r>
        <w:t>, [online] 3(Issue 1). doi:https://doi.org/10.34097/jeicom-3-1-june21-1.</w:t>
      </w:r>
    </w:p>
    <w:p w14:paraId="00000021" w14:textId="77777777" w:rsidR="00466B29" w:rsidRDefault="00000000">
      <w:r>
        <w:t xml:space="preserve">G, D. (2020). </w:t>
      </w:r>
      <w:r>
        <w:rPr>
          <w:i/>
        </w:rPr>
        <w:t>Trompenaars Cultural Dimensions - The 7 Dimensions of Culture</w:t>
      </w:r>
      <w:r>
        <w:t>. [online] expert. Available at: https://expertprogrammanagement.com/2017/10/trompenaars-cultural-dimensions/?form=MG0AV3 [Accessed 16 Nov. 2024].</w:t>
      </w:r>
    </w:p>
    <w:p w14:paraId="00000022" w14:textId="77777777" w:rsidR="00466B29" w:rsidRDefault="00000000">
      <w:r>
        <w:t xml:space="preserve">Güner, A. and Gurbuz, H. (2022). A confirmatory factor analysis of university students’ high-context and low-context communication. </w:t>
      </w:r>
      <w:r>
        <w:rPr>
          <w:i/>
        </w:rPr>
        <w:t>Global Journal of Sociology: Current Issues</w:t>
      </w:r>
      <w:r>
        <w:t>, 12(1), pp.84–94. doi:https://doi.org/10.18844/gjs.v12i1.7889.</w:t>
      </w:r>
    </w:p>
    <w:p w14:paraId="00000023" w14:textId="77777777" w:rsidR="00466B29" w:rsidRDefault="00000000">
      <w:r>
        <w:t xml:space="preserve">Hofstede, G. (2024). </w:t>
      </w:r>
      <w:r>
        <w:rPr>
          <w:i/>
        </w:rPr>
        <w:t>Culture’s Consequences</w:t>
      </w:r>
      <w:r>
        <w:t>. [online] Google Books. Available at: https://books.google.co.in/books/about/Culture_s_Consequences.html?id=w6z18LJ_1VsC&amp;redir_esc=y [Accessed 16 Nov. 2024].</w:t>
      </w:r>
    </w:p>
    <w:p w14:paraId="00000024" w14:textId="77777777" w:rsidR="00466B29" w:rsidRDefault="00000000">
      <w:r>
        <w:t xml:space="preserve">Wurtz, E. (2020). Intercultural Communication on Web sites: A Cross-Cultural Analysis of Web sites from High-Context Cultures and Low-Context Cultures. </w:t>
      </w:r>
      <w:r>
        <w:rPr>
          <w:i/>
        </w:rPr>
        <w:t>Journal of Computer-Mediated Communication</w:t>
      </w:r>
      <w:r>
        <w:t>, [online] 11(1), pp.274–299. doi:https://doi.org/10.1111/j.1083-6101.2006.tb00313.x.</w:t>
      </w:r>
    </w:p>
    <w:p w14:paraId="00000025" w14:textId="77777777" w:rsidR="00466B29" w:rsidRDefault="00466B29"/>
    <w:sectPr w:rsidR="00466B29">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7A20FC" w14:textId="77777777" w:rsidR="005678D1" w:rsidRDefault="005678D1">
      <w:pPr>
        <w:spacing w:line="240" w:lineRule="auto"/>
      </w:pPr>
      <w:r>
        <w:separator/>
      </w:r>
    </w:p>
  </w:endnote>
  <w:endnote w:type="continuationSeparator" w:id="0">
    <w:p w14:paraId="3AD0A84A" w14:textId="77777777" w:rsidR="005678D1" w:rsidRDefault="005678D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26" w14:textId="7BF1AB77" w:rsidR="00466B29" w:rsidRDefault="00000000">
    <w:pPr>
      <w:jc w:val="right"/>
    </w:pPr>
    <w:r>
      <w:fldChar w:fldCharType="begin"/>
    </w:r>
    <w:r>
      <w:instrText>PAGE</w:instrText>
    </w:r>
    <w:r>
      <w:fldChar w:fldCharType="separate"/>
    </w:r>
    <w:r w:rsidR="00CA1530">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1D1149" w14:textId="77777777" w:rsidR="005678D1" w:rsidRDefault="005678D1">
      <w:pPr>
        <w:spacing w:line="240" w:lineRule="auto"/>
      </w:pPr>
      <w:r>
        <w:separator/>
      </w:r>
    </w:p>
  </w:footnote>
  <w:footnote w:type="continuationSeparator" w:id="0">
    <w:p w14:paraId="073FDFED" w14:textId="77777777" w:rsidR="005678D1" w:rsidRDefault="005678D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6B29"/>
    <w:rsid w:val="00286AD6"/>
    <w:rsid w:val="00466B29"/>
    <w:rsid w:val="005678D1"/>
    <w:rsid w:val="00CA15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3DCF1F1"/>
  <w15:docId w15:val="{81950D05-5F2B-B743-85D1-331559536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jc w:val="center"/>
    </w:pPr>
    <w:rPr>
      <w:b/>
      <w:sz w:val="32"/>
      <w:szCs w:val="32"/>
      <w:highlight w:val="white"/>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11</Pages>
  <Words>2985</Words>
  <Characters>17018</Characters>
  <Application>Microsoft Office Word</Application>
  <DocSecurity>0</DocSecurity>
  <Lines>141</Lines>
  <Paragraphs>39</Paragraphs>
  <ScaleCrop>false</ScaleCrop>
  <Company/>
  <LinksUpToDate>false</LinksUpToDate>
  <CharactersWithSpaces>19964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Vasile Rosca</cp:lastModifiedBy>
  <cp:revision>2</cp:revision>
  <dcterms:created xsi:type="dcterms:W3CDTF">2024-11-21T23:52:00Z</dcterms:created>
  <dcterms:modified xsi:type="dcterms:W3CDTF">2024-11-22T00:02:00Z</dcterms:modified>
</cp:coreProperties>
</file>