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p>
    <w:p>
      <w:pPr>
        <w:pStyle w:val="style0"/>
        <w:rPr>
          <w:b/>
          <w:bCs/>
        </w:rPr>
      </w:pPr>
    </w:p>
    <w:p>
      <w:pPr>
        <w:pStyle w:val="style0"/>
        <w:rPr>
          <w:b/>
          <w:bCs/>
        </w:rPr>
      </w:pPr>
    </w:p>
    <w:p>
      <w:pPr>
        <w:pStyle w:val="style0"/>
        <w:rPr>
          <w:b/>
          <w:bCs/>
        </w:rPr>
      </w:pPr>
    </w:p>
    <w:p>
      <w:pPr>
        <w:pStyle w:val="style0"/>
        <w:rPr>
          <w:b/>
          <w:bCs/>
        </w:rPr>
      </w:pPr>
    </w:p>
    <w:bookmarkStart w:id="0" w:name="_gwtv4j34atxy" w:colFirst="0" w:colLast="0"/>
    <w:bookmarkEnd w:id="0"/>
    <w:p>
      <w:pPr>
        <w:pStyle w:val="style0"/>
        <w:jc w:val="center"/>
        <w:rPr>
          <w:b/>
          <w:bCs/>
        </w:rPr>
      </w:pPr>
      <w:r>
        <w:rPr>
          <w:noProof/>
        </w:rPr>
        <w:drawing>
          <wp:inline distL="0" distT="0" distB="0" distR="0">
            <wp:extent cx="2781688" cy="1286054"/>
            <wp:effectExtent l="0" t="0" r="0" b="9525"/>
            <wp:docPr id="1026" name="Picture 1" descr="A logo for a university&#10;&#10;AI-generated content may be incorrec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781688" cy="1286054"/>
                    </a:xfrm>
                    <a:prstGeom prst="rect"/>
                  </pic:spPr>
                </pic:pic>
              </a:graphicData>
            </a:graphic>
          </wp:inline>
        </w:drawing>
      </w:r>
    </w:p>
    <w:p>
      <w:pPr>
        <w:pStyle w:val="style0"/>
        <w:rPr>
          <w:b/>
          <w:bCs/>
        </w:rPr>
      </w:pPr>
    </w:p>
    <w:p>
      <w:pPr>
        <w:pStyle w:val="style0"/>
        <w:jc w:val="center"/>
        <w:rPr>
          <w:b/>
          <w:bCs/>
        </w:rPr>
      </w:pPr>
    </w:p>
    <w:p>
      <w:pPr>
        <w:pStyle w:val="style0"/>
        <w:jc w:val="center"/>
        <w:rPr>
          <w:b/>
          <w:bCs/>
          <w:sz w:val="32"/>
          <w:szCs w:val="32"/>
        </w:rPr>
      </w:pPr>
      <w:r>
        <w:rPr>
          <w:b/>
          <w:bCs/>
          <w:sz w:val="32"/>
          <w:szCs w:val="32"/>
        </w:rPr>
        <w:t>PROGRAMME: MSC PUBLIC HEALTH AND SOCIAL CARE IN PRACTICE</w:t>
      </w:r>
    </w:p>
    <w:p>
      <w:pPr>
        <w:pStyle w:val="style0"/>
        <w:jc w:val="center"/>
        <w:rPr>
          <w:b/>
          <w:bCs/>
          <w:sz w:val="32"/>
          <w:szCs w:val="32"/>
        </w:rPr>
      </w:pPr>
      <w:r>
        <w:rPr>
          <w:b/>
          <w:bCs/>
          <w:sz w:val="32"/>
          <w:szCs w:val="32"/>
        </w:rPr>
        <w:t>MODULE: POPULATION HEALTH AND DIGITAL HEALTH PROMOTIO</w:t>
      </w:r>
      <w:r>
        <w:rPr>
          <w:b/>
          <w:bCs/>
          <w:sz w:val="32"/>
          <w:szCs w:val="32"/>
          <w:lang w:val="en-US"/>
        </w:rPr>
        <w:t xml:space="preserve">NS </w:t>
      </w:r>
    </w:p>
    <w:p>
      <w:pPr>
        <w:pStyle w:val="style0"/>
        <w:jc w:val="center"/>
        <w:rPr>
          <w:b/>
          <w:bCs/>
          <w:sz w:val="32"/>
          <w:szCs w:val="32"/>
        </w:rPr>
      </w:pPr>
      <w:r>
        <w:rPr>
          <w:b/>
          <w:bCs/>
          <w:sz w:val="32"/>
          <w:szCs w:val="32"/>
          <w:lang w:val="en-US"/>
        </w:rPr>
        <w:t>Module code: LCHS7007</w:t>
      </w:r>
    </w:p>
    <w:p>
      <w:pPr>
        <w:pStyle w:val="style0"/>
        <w:jc w:val="center"/>
        <w:rPr>
          <w:b/>
          <w:bCs/>
          <w:sz w:val="32"/>
          <w:szCs w:val="32"/>
        </w:rPr>
      </w:pPr>
      <w:r>
        <w:rPr>
          <w:b/>
          <w:bCs/>
          <w:sz w:val="32"/>
          <w:szCs w:val="32"/>
          <w:lang w:val="en-US"/>
        </w:rPr>
        <w:t xml:space="preserve">Student name: Disha  kachhiya </w:t>
      </w:r>
    </w:p>
    <w:p>
      <w:pPr>
        <w:pStyle w:val="style0"/>
        <w:jc w:val="center"/>
        <w:rPr>
          <w:b/>
          <w:bCs/>
          <w:sz w:val="32"/>
          <w:szCs w:val="32"/>
        </w:rPr>
      </w:pPr>
      <w:r>
        <w:rPr>
          <w:b/>
          <w:bCs/>
          <w:sz w:val="32"/>
          <w:szCs w:val="32"/>
          <w:lang w:val="en-US"/>
        </w:rPr>
        <w:t>Student number:2407430</w:t>
      </w:r>
    </w:p>
    <w:p>
      <w:pPr>
        <w:pStyle w:val="style0"/>
        <w:jc w:val="center"/>
        <w:rPr>
          <w:b/>
          <w:bCs/>
          <w:sz w:val="32"/>
          <w:szCs w:val="32"/>
        </w:rPr>
      </w:pPr>
      <w:r>
        <w:rPr>
          <w:b/>
          <w:bCs/>
          <w:sz w:val="32"/>
          <w:szCs w:val="32"/>
          <w:lang w:val="en-US"/>
        </w:rPr>
        <w:t>Lecturer: Dr ping Wu</w:t>
      </w:r>
    </w:p>
    <w:p>
      <w:pPr>
        <w:pStyle w:val="style0"/>
        <w:rPr>
          <w:b/>
          <w:bCs/>
        </w:rPr>
      </w:pPr>
      <w:r>
        <w:rPr>
          <w:b/>
          <w:bCs/>
        </w:rPr>
        <w:br w:type="page"/>
      </w:r>
    </w:p>
    <w:p>
      <w:pPr>
        <w:pStyle w:val="style266"/>
        <w:spacing w:lineRule="auto" w:line="360"/>
        <w:jc w:val="center"/>
        <w:rPr>
          <w:rFonts w:ascii="Times New Roman" w:cs="Times New Roman" w:hAnsi="Times New Roman"/>
          <w:b/>
          <w:bCs/>
          <w:color w:val="auto"/>
          <w:sz w:val="24"/>
          <w:szCs w:val="24"/>
        </w:rPr>
      </w:pPr>
      <w:r>
        <w:rPr>
          <w:rFonts w:ascii="Times New Roman" w:cs="Times New Roman" w:hAnsi="Times New Roman"/>
          <w:b/>
          <w:bCs/>
          <w:color w:val="auto"/>
          <w:sz w:val="24"/>
          <w:szCs w:val="24"/>
        </w:rPr>
        <w:t>Contents</w:t>
      </w:r>
    </w:p>
    <w:p>
      <w:pPr>
        <w:pStyle w:val="style19"/>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TOC \o "1-3" \h \z \u </w:instrText>
      </w:r>
      <w:r>
        <w:rPr/>
        <w:fldChar w:fldCharType="separate"/>
      </w:r>
      <w:r>
        <w:rPr/>
        <w:fldChar w:fldCharType="begin"/>
      </w:r>
      <w:r>
        <w:instrText xml:space="preserve"> HYPERLINK \l "_Toc194320693" </w:instrText>
      </w:r>
      <w:r>
        <w:rPr/>
        <w:fldChar w:fldCharType="separate"/>
      </w:r>
      <w:r>
        <w:rPr>
          <w:rStyle w:val="style85"/>
          <w:b/>
          <w:noProof/>
        </w:rPr>
        <w:t>TASK 1</w:t>
      </w:r>
      <w:r>
        <w:rPr>
          <w:noProof/>
          <w:webHidden/>
        </w:rPr>
        <w:tab/>
      </w:r>
      <w:r>
        <w:rPr>
          <w:noProof/>
          <w:webHidden/>
        </w:rPr>
        <w:fldChar w:fldCharType="begin"/>
      </w:r>
      <w:r>
        <w:rPr>
          <w:noProof/>
          <w:webHidden/>
        </w:rPr>
        <w:instrText xml:space="preserve"> PAGEREF _Toc194320693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HYPERLINK \l "_Toc194320694" </w:instrText>
      </w:r>
      <w:r>
        <w:rPr/>
        <w:fldChar w:fldCharType="separate"/>
      </w:r>
      <w:r>
        <w:rPr>
          <w:rStyle w:val="style85"/>
          <w:noProof/>
        </w:rPr>
        <w:t>Blog 1: Impact of mHealth apps on mental health</w:t>
      </w:r>
      <w:r>
        <w:rPr>
          <w:noProof/>
          <w:webHidden/>
        </w:rPr>
        <w:tab/>
      </w:r>
      <w:r>
        <w:rPr>
          <w:noProof/>
          <w:webHidden/>
        </w:rPr>
        <w:fldChar w:fldCharType="begin"/>
      </w:r>
      <w:r>
        <w:rPr>
          <w:noProof/>
          <w:webHidden/>
        </w:rPr>
        <w:instrText xml:space="preserve"> PAGEREF _Toc194320694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HYPERLINK \l "_Toc194320695" </w:instrText>
      </w:r>
      <w:r>
        <w:rPr/>
        <w:fldChar w:fldCharType="separate"/>
      </w:r>
      <w:r>
        <w:rPr>
          <w:rStyle w:val="style85"/>
          <w:noProof/>
        </w:rPr>
        <w:t>Blog 2: Impact of a MindLink for a digital health promotion intervention</w:t>
      </w:r>
      <w:r>
        <w:rPr>
          <w:noProof/>
          <w:webHidden/>
        </w:rPr>
        <w:tab/>
      </w:r>
      <w:r>
        <w:rPr>
          <w:noProof/>
          <w:webHidden/>
        </w:rPr>
        <w:fldChar w:fldCharType="begin"/>
      </w:r>
      <w:r>
        <w:rPr>
          <w:noProof/>
          <w:webHidden/>
        </w:rPr>
        <w:instrText xml:space="preserve"> PAGEREF _Toc194320695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HYPERLINK \l "_Toc194320696" </w:instrText>
      </w:r>
      <w:r>
        <w:rPr/>
        <w:fldChar w:fldCharType="separate"/>
      </w:r>
      <w:r>
        <w:rPr>
          <w:rStyle w:val="style85"/>
          <w:b/>
          <w:noProof/>
        </w:rPr>
        <w:t>TASK 2</w:t>
      </w:r>
      <w:r>
        <w:rPr>
          <w:noProof/>
          <w:webHidden/>
        </w:rPr>
        <w:tab/>
      </w:r>
      <w:r>
        <w:rPr>
          <w:noProof/>
          <w:webHidden/>
        </w:rPr>
        <w:fldChar w:fldCharType="begin"/>
      </w:r>
      <w:r>
        <w:rPr>
          <w:noProof/>
          <w:webHidden/>
        </w:rPr>
        <w:instrText xml:space="preserve"> PAGEREF _Toc194320696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HYPERLINK \l "_Toc194320697" </w:instrText>
      </w:r>
      <w:r>
        <w:rPr/>
        <w:fldChar w:fldCharType="separate"/>
      </w:r>
      <w:r>
        <w:rPr>
          <w:rStyle w:val="style85"/>
          <w:noProof/>
        </w:rPr>
        <w:t>1. Background</w:t>
      </w:r>
      <w:r>
        <w:rPr>
          <w:noProof/>
          <w:webHidden/>
        </w:rPr>
        <w:tab/>
      </w:r>
      <w:r>
        <w:rPr>
          <w:noProof/>
          <w:webHidden/>
        </w:rPr>
        <w:fldChar w:fldCharType="begin"/>
      </w:r>
      <w:r>
        <w:rPr>
          <w:noProof/>
          <w:webHidden/>
        </w:rPr>
        <w:instrText xml:space="preserve"> PAGEREF _Toc194320697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HYPERLINK \l "_Toc194320698" </w:instrText>
      </w:r>
      <w:r>
        <w:rPr/>
        <w:fldChar w:fldCharType="separate"/>
      </w:r>
      <w:r>
        <w:rPr>
          <w:rStyle w:val="style85"/>
          <w:noProof/>
        </w:rPr>
        <w:t>2. Health promotion values and principles</w:t>
      </w:r>
      <w:r>
        <w:rPr>
          <w:noProof/>
          <w:webHidden/>
        </w:rPr>
        <w:tab/>
      </w:r>
      <w:r>
        <w:rPr>
          <w:noProof/>
          <w:webHidden/>
        </w:rPr>
        <w:fldChar w:fldCharType="begin"/>
      </w:r>
      <w:r>
        <w:rPr>
          <w:noProof/>
          <w:webHidden/>
        </w:rPr>
        <w:instrText xml:space="preserve"> PAGEREF _Toc194320698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HYPERLINK \l "_Toc194320699" </w:instrText>
      </w:r>
      <w:r>
        <w:rPr/>
        <w:fldChar w:fldCharType="separate"/>
      </w:r>
      <w:r>
        <w:rPr>
          <w:rStyle w:val="style85"/>
          <w:noProof/>
        </w:rPr>
        <w:t>3. Behavioural change theory</w:t>
      </w:r>
      <w:r>
        <w:rPr>
          <w:noProof/>
          <w:webHidden/>
        </w:rPr>
        <w:tab/>
      </w:r>
      <w:r>
        <w:rPr>
          <w:noProof/>
          <w:webHidden/>
        </w:rPr>
        <w:fldChar w:fldCharType="begin"/>
      </w:r>
      <w:r>
        <w:rPr>
          <w:noProof/>
          <w:webHidden/>
        </w:rPr>
        <w:instrText xml:space="preserve"> PAGEREF _Toc194320699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HYPERLINK \l "_Toc194320700" </w:instrText>
      </w:r>
      <w:r>
        <w:rPr/>
        <w:fldChar w:fldCharType="separate"/>
      </w:r>
      <w:r>
        <w:rPr>
          <w:rStyle w:val="style85"/>
          <w:noProof/>
        </w:rPr>
        <w:t>4. Expected outcome</w:t>
      </w:r>
      <w:r>
        <w:rPr>
          <w:noProof/>
          <w:webHidden/>
        </w:rPr>
        <w:tab/>
      </w:r>
      <w:r>
        <w:rPr>
          <w:noProof/>
          <w:webHidden/>
        </w:rPr>
        <w:fldChar w:fldCharType="begin"/>
      </w:r>
      <w:r>
        <w:rPr>
          <w:noProof/>
          <w:webHidden/>
        </w:rPr>
        <w:instrText xml:space="preserve"> PAGEREF _Toc194320700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HYPERLINK \l "_Toc194320701" </w:instrText>
      </w:r>
      <w:r>
        <w:rPr/>
        <w:fldChar w:fldCharType="separate"/>
      </w:r>
      <w:r>
        <w:rPr>
          <w:rStyle w:val="style85"/>
          <w:noProof/>
        </w:rPr>
        <w:t>5. Conclusion</w:t>
      </w:r>
      <w:r>
        <w:rPr>
          <w:noProof/>
          <w:webHidden/>
        </w:rPr>
        <w:tab/>
      </w:r>
      <w:r>
        <w:rPr>
          <w:noProof/>
          <w:webHidden/>
        </w:rPr>
        <w:fldChar w:fldCharType="begin"/>
      </w:r>
      <w:r>
        <w:rPr>
          <w:noProof/>
          <w:webHidden/>
        </w:rPr>
        <w:instrText xml:space="preserve"> PAGEREF _Toc194320701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350"/>
        </w:tabs>
        <w:rPr>
          <w:rFonts w:ascii="Calibri" w:cs="宋体" w:eastAsia="宋体" w:hAnsi="Calibri"/>
          <w:noProof/>
          <w:kern w:val="2"/>
          <w14:ligatures xmlns:w14="http://schemas.microsoft.com/office/word/2010/wordml" w14:val="standardContextual"/>
        </w:rPr>
      </w:pPr>
      <w:r>
        <w:rPr/>
        <w:fldChar w:fldCharType="begin"/>
      </w:r>
      <w:r>
        <w:instrText xml:space="preserve"> HYPERLINK \l "_Toc194320702" </w:instrText>
      </w:r>
      <w:r>
        <w:rPr/>
        <w:fldChar w:fldCharType="separate"/>
      </w:r>
      <w:r>
        <w:rPr>
          <w:rStyle w:val="style85"/>
          <w:b/>
          <w:noProof/>
        </w:rPr>
        <w:t>References</w:t>
      </w:r>
      <w:r>
        <w:rPr>
          <w:noProof/>
          <w:webHidden/>
        </w:rPr>
        <w:tab/>
      </w:r>
      <w:r>
        <w:rPr>
          <w:noProof/>
          <w:webHidden/>
        </w:rPr>
        <w:fldChar w:fldCharType="begin"/>
      </w:r>
      <w:r>
        <w:rPr>
          <w:noProof/>
          <w:webHidden/>
        </w:rPr>
        <w:instrText xml:space="preserve"> PAGEREF _Toc194320702 \h </w:instrText>
      </w:r>
      <w:r>
        <w:rPr>
          <w:noProof/>
          <w:webHidden/>
        </w:rPr>
        <w:fldChar w:fldCharType="separate"/>
      </w:r>
      <w:r>
        <w:rPr>
          <w:noProof/>
          <w:webHidden/>
        </w:rPr>
        <w:t>12</w:t>
      </w:r>
      <w:r>
        <w:rPr>
          <w:noProof/>
          <w:webHidden/>
        </w:rPr>
        <w:fldChar w:fldCharType="end"/>
      </w:r>
      <w:r>
        <w:rPr/>
        <w:fldChar w:fldCharType="end"/>
      </w:r>
    </w:p>
    <w:p>
      <w:pPr>
        <w:pStyle w:val="style0"/>
        <w:rPr/>
      </w:pPr>
      <w:r>
        <w:rPr>
          <w:b/>
          <w:bCs/>
          <w:noProof/>
        </w:rPr>
        <w:fldChar w:fldCharType="end"/>
      </w:r>
    </w:p>
    <w:p>
      <w:pPr>
        <w:pStyle w:val="style0"/>
        <w:rPr>
          <w:b/>
          <w:bCs/>
        </w:rPr>
      </w:pPr>
      <w:r>
        <w:rPr>
          <w:b/>
          <w:bCs/>
        </w:rPr>
        <w:br w:type="page"/>
      </w:r>
    </w:p>
    <w:bookmarkStart w:id="1" w:name="_Toc194320693"/>
    <w:p>
      <w:pPr>
        <w:pStyle w:val="style1"/>
        <w:rPr>
          <w:b/>
          <w:sz w:val="24"/>
          <w:szCs w:val="24"/>
        </w:rPr>
      </w:pPr>
      <w:r>
        <w:rPr>
          <w:b/>
          <w:sz w:val="24"/>
          <w:szCs w:val="24"/>
        </w:rPr>
        <w:t>TASK 1</w:t>
      </w:r>
      <w:bookmarkEnd w:id="1"/>
    </w:p>
    <w:bookmarkStart w:id="2" w:name="_cwvic5rco8eq" w:colFirst="0" w:colLast="0"/>
    <w:bookmarkStart w:id="3" w:name="_Toc194320694"/>
    <w:bookmarkEnd w:id="2"/>
    <w:p>
      <w:pPr>
        <w:pStyle w:val="style2"/>
        <w:rPr>
          <w:color w:val="ff0000"/>
        </w:rPr>
      </w:pPr>
      <w:r>
        <w:rPr>
          <w:color w:val="ff0000"/>
        </w:rPr>
        <w:t>Blog 1</w:t>
      </w:r>
      <w:r>
        <w:rPr>
          <w:color w:val="ff0000"/>
        </w:rPr>
        <w:t>: Impact of mHealth apps on mental health</w:t>
      </w:r>
      <w:bookmarkEnd w:id="3"/>
    </w:p>
    <w:p>
      <w:pPr>
        <w:pStyle w:val="style0"/>
        <w:rPr/>
      </w:pPr>
      <w:r>
        <w:t>Mental health is a global public health concern in today's fast-paced digital world, where anxiety, depression, and stress affect millions. Traditional mental health treatments are insufficient, particularly for young and impoverished people. Digital technologies provide new solutions. Cell phone mHealth applications aid with mental health. This blog critically assesses mHealth apps' effectiveness, benefits, drawbacks, and ideas to enhance their mental health promotion function.</w:t>
      </w:r>
    </w:p>
    <w:p>
      <w:pPr>
        <w:pStyle w:val="style0"/>
        <w:rPr>
          <w:b/>
          <w:i/>
        </w:rPr>
      </w:pPr>
      <w:r>
        <w:rPr>
          <w:b/>
          <w:i/>
        </w:rPr>
        <w:t>Addressing the Public Health Problem: Mental Health Crisis</w:t>
      </w:r>
    </w:p>
    <w:p>
      <w:pPr>
        <w:pStyle w:val="style0"/>
        <w:rPr/>
      </w:pPr>
      <w:r>
        <w:t xml:space="preserve">In recent decades, depression, anxiety, and stress have become important public health issues. Nearly 1 in 8 people globally suffer from mental disease. The COVID-19 pandemic increased anxiety and sadness by 25% worldwide (World Health Organization, 2022). </w:t>
      </w:r>
    </w:p>
    <w:p>
      <w:pPr>
        <w:pStyle w:val="style0"/>
        <w:jc w:val="center"/>
        <w:rPr/>
      </w:pPr>
      <w:r>
        <w:rPr>
          <w:noProof/>
        </w:rPr>
        <w:drawing>
          <wp:inline distL="0" distT="0" distB="0" distR="0">
            <wp:extent cx="5943600" cy="3556000"/>
            <wp:effectExtent l="0" t="0" r="0" b="0"/>
            <wp:docPr id="1027"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3" cstate="print"/>
                    <a:srcRect l="0" t="0" r="0" b="0"/>
                    <a:stretch/>
                  </pic:blipFill>
                  <pic:spPr>
                    <a:xfrm rot="0">
                      <a:off x="0" y="0"/>
                      <a:ext cx="5943600" cy="3556000"/>
                    </a:xfrm>
                    <a:prstGeom prst="rect"/>
                    <a:ln cmpd="sng" cap="flat" w="9525">
                      <a:solidFill>
                        <a:srgbClr val="000000"/>
                      </a:solidFill>
                      <a:prstDash val="solid"/>
                      <a:round/>
                      <a:headEnd len="med" w="med" type="none"/>
                      <a:tailEnd len="med" w="med" type="none"/>
                    </a:ln>
                  </pic:spPr>
                </pic:pic>
              </a:graphicData>
            </a:graphic>
          </wp:inline>
        </w:drawing>
      </w:r>
    </w:p>
    <w:p>
      <w:pPr>
        <w:pStyle w:val="style0"/>
        <w:jc w:val="center"/>
        <w:rPr>
          <w:b/>
        </w:rPr>
      </w:pPr>
      <w:r>
        <w:rPr>
          <w:b/>
        </w:rPr>
        <w:t>Figure 1: Percentage of adults with depressive symptoms, Great Britain, July 2019 to March 2021</w:t>
      </w:r>
    </w:p>
    <w:p>
      <w:pPr>
        <w:pStyle w:val="style0"/>
        <w:jc w:val="center"/>
        <w:rPr/>
      </w:pPr>
      <w:r>
        <w:t>(Source: Office for National Statistics, 2021)</w:t>
      </w:r>
    </w:p>
    <w:p>
      <w:pPr>
        <w:pStyle w:val="style0"/>
        <w:rPr/>
      </w:pPr>
      <w:r>
        <w:t xml:space="preserve">Office for National Statistics (2021) reported that 1 in 5 UK residents experienced depressive symptoms in early 2021, up from 1 in 10 before the pandemic. These rising numbers highlight the </w:t>
      </w:r>
      <w:r>
        <w:t>need for accessible and scalable mental health promotion initiatives, particularly for young people and underprivileged populations who may avoid traditional care due to stigma or other barriers.</w:t>
      </w:r>
    </w:p>
    <w:p>
      <w:pPr>
        <w:pStyle w:val="style0"/>
        <w:rPr>
          <w:b/>
          <w:i/>
        </w:rPr>
      </w:pPr>
      <w:r>
        <w:rPr>
          <w:b/>
          <w:i/>
        </w:rPr>
        <w:t>Use of Digital Technology: mHealth Applications for Mental Health</w:t>
      </w:r>
    </w:p>
    <w:p>
      <w:pPr>
        <w:pStyle w:val="style0"/>
        <w:rPr/>
      </w:pPr>
      <w:r>
        <w:t xml:space="preserve">Health promotion is improving with mHealth applications, particularly mental health ones. Headspace, Calm, and Woebot use CBT, mindfulness, mood monitoring, and AI-driven conversational bots to treat mental health issues. These smartphone apps provide self-help, stress management, and guided meditations to cover mental health care gaps. </w:t>
      </w:r>
    </w:p>
    <w:p>
      <w:pPr>
        <w:pStyle w:val="style0"/>
        <w:jc w:val="center"/>
        <w:rPr/>
      </w:pPr>
      <w:r>
        <w:rPr>
          <w:noProof/>
        </w:rPr>
        <w:drawing>
          <wp:inline distL="0" distT="0" distB="0" distR="0">
            <wp:extent cx="5943600" cy="3797300"/>
            <wp:effectExtent l="0" t="0" r="0" b="0"/>
            <wp:docPr id="1028"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rcRect l="0" t="0" r="0" b="0"/>
                    <a:stretch/>
                  </pic:blipFill>
                  <pic:spPr>
                    <a:xfrm rot="0">
                      <a:off x="0" y="0"/>
                      <a:ext cx="5943600" cy="3797300"/>
                    </a:xfrm>
                    <a:prstGeom prst="rect"/>
                    <a:ln cmpd="sng" cap="flat" w="9525">
                      <a:solidFill>
                        <a:srgbClr val="000000"/>
                      </a:solidFill>
                      <a:prstDash val="solid"/>
                      <a:round/>
                      <a:headEnd len="med" w="med" type="none"/>
                      <a:tailEnd len="med" w="med" type="none"/>
                    </a:ln>
                  </pic:spPr>
                </pic:pic>
              </a:graphicData>
            </a:graphic>
          </wp:inline>
        </w:drawing>
      </w:r>
    </w:p>
    <w:p>
      <w:pPr>
        <w:pStyle w:val="style0"/>
        <w:jc w:val="center"/>
        <w:rPr>
          <w:b/>
        </w:rPr>
      </w:pPr>
      <w:r>
        <w:rPr>
          <w:b/>
        </w:rPr>
        <w:t>Figure 2: Forecast number of mobile users worldwide</w:t>
      </w:r>
    </w:p>
    <w:p>
      <w:pPr>
        <w:pStyle w:val="style0"/>
        <w:jc w:val="center"/>
        <w:rPr/>
      </w:pPr>
      <w:r>
        <w:t>(Source: Statista, 2023)</w:t>
      </w:r>
    </w:p>
    <w:p>
      <w:pPr>
        <w:pStyle w:val="style0"/>
        <w:rPr/>
      </w:pPr>
      <w:r>
        <w:t>The global mobile user base was 7.1 billion in 2021 and is expected to reach 7.26 billion by 2022. Around 7.49 billion people will use mobile phones in 2025 (Statista, 2023) making mHealth apps a unique, cost-effective, and scalable mental health intervention.</w:t>
      </w:r>
    </w:p>
    <w:p>
      <w:pPr>
        <w:pStyle w:val="style0"/>
        <w:rPr>
          <w:b/>
          <w:i/>
        </w:rPr>
      </w:pPr>
      <w:r>
        <w:rPr>
          <w:b/>
          <w:i/>
        </w:rPr>
        <w:t>Evidence of Effectiveness in Promoting Health</w:t>
      </w:r>
    </w:p>
    <w:p>
      <w:pPr>
        <w:pStyle w:val="style0"/>
        <w:rPr/>
      </w:pPr>
      <w:r>
        <w:t xml:space="preserve">Cheng </w:t>
      </w:r>
      <w:r>
        <w:rPr>
          <w:i/>
        </w:rPr>
        <w:t>et al.</w:t>
      </w:r>
      <w:r>
        <w:t xml:space="preserve"> (2019) indicated that mental health apps improve youth emotional regulation, stress management, and well-being. Headspace users reported 14% less stress after 10 days. Woebot, an AI-driven chatbot, may reduce anxiety and depression with CBT discussions (</w:t>
      </w:r>
      <w:r>
        <w:rPr>
          <w:rFonts w:eastAsia="Arial"/>
          <w:color w:val="222222"/>
          <w:highlight w:val="white"/>
        </w:rPr>
        <w:t>Pavlopoulos</w:t>
      </w:r>
      <w:r>
        <w:t xml:space="preserve"> </w:t>
      </w:r>
      <w:r>
        <w:rPr>
          <w:i/>
        </w:rPr>
        <w:t xml:space="preserve">et al., </w:t>
      </w:r>
      <w:r>
        <w:t>2024). BetterHelp, a popular online treatment platform, pairs clients with therapists via text and video conversations. BetterHelp's professional counselling and digital accessibility have improved mental health aid worldwide, with over 2 million users and confirming digital health therapies' scalability and effectiveness.</w:t>
      </w:r>
    </w:p>
    <w:p>
      <w:pPr>
        <w:pStyle w:val="style0"/>
        <w:rPr>
          <w:b/>
          <w:i/>
        </w:rPr>
      </w:pPr>
      <w:r>
        <w:rPr>
          <w:b/>
          <w:i/>
        </w:rPr>
        <w:t>Impact of mHealth Apps: Advantages and Shortfalls</w:t>
      </w:r>
    </w:p>
    <w:p>
      <w:pPr>
        <w:pStyle w:val="style0"/>
        <w:rPr/>
      </w:pPr>
      <w:r>
        <w:t xml:space="preserve">mHealth apps have overcome stigma, lack of understanding, and geographical inaccessibility by enabling anonymity, cost, and 24/7 accessibility for mental health promotion. They improve mental health awareness and agency via self-care, mood monitoring, and real-time feedback. Gamification and user-friendly interfaces in many apps may increase user engagement, particularly among techies. Using mHealth apps has potential drawbacks. Insufficient regulation and standards are important challenges. User data safety, efficacy, and ethics are at stake. Miralles </w:t>
      </w:r>
      <w:r>
        <w:rPr>
          <w:i/>
        </w:rPr>
        <w:t>et al</w:t>
      </w:r>
      <w:r>
        <w:t xml:space="preserve">. (2019) argue that these apps teach self-help, but severe mental illness sufferers require professional treatment and long-term therapy. </w:t>
      </w:r>
    </w:p>
    <w:bookmarkStart w:id="4" w:name="_vg7w9obw0wzj" w:colFirst="0" w:colLast="0"/>
    <w:bookmarkStart w:id="5" w:name="_Toc194320695"/>
    <w:bookmarkEnd w:id="4"/>
    <w:p>
      <w:pPr>
        <w:pStyle w:val="style2"/>
        <w:rPr>
          <w:color w:val="ff0000"/>
        </w:rPr>
      </w:pPr>
      <w:r>
        <w:rPr>
          <w:color w:val="ff0000"/>
        </w:rPr>
        <w:t>Blog 2</w:t>
      </w:r>
      <w:r>
        <w:rPr>
          <w:color w:val="ff0000"/>
        </w:rPr>
        <w:t xml:space="preserve">: Impact of a </w:t>
      </w:r>
      <w:r>
        <w:rPr>
          <w:color w:val="ff0000"/>
        </w:rPr>
        <w:t>MindLink</w:t>
      </w:r>
      <w:r>
        <w:rPr>
          <w:color w:val="ff0000"/>
        </w:rPr>
        <w:t xml:space="preserve"> for a digital health promotion intervention</w:t>
      </w:r>
      <w:bookmarkEnd w:id="5"/>
    </w:p>
    <w:p>
      <w:pPr>
        <w:pStyle w:val="style0"/>
        <w:rPr/>
      </w:pPr>
      <w:r>
        <w:t>Mental health is a major public health concern, particularly for youth and working adults, as the globe contends with the long-term effects of COVID-19. Overburdened traditional healthcare and stigma prevent many from getting therapy. Due to these challenges, scalable mental health promotion requires innovative digital solutions. The next-generation digital health companion MindLink supports mental well-being via biometric monitoring, AI-driven journaling, and peer support. This blog critically assesses the app's mental health promotion pros and cons and offers remedies.</w:t>
      </w:r>
    </w:p>
    <w:p>
      <w:pPr>
        <w:pStyle w:val="style0"/>
        <w:rPr>
          <w:b/>
          <w:i/>
        </w:rPr>
      </w:pPr>
      <w:r>
        <w:rPr>
          <w:b/>
          <w:i/>
        </w:rPr>
        <w:t>Addressing the Public Health Problem: The Mental Health Burden Post-Pandemic</w:t>
      </w:r>
    </w:p>
    <w:p>
      <w:pPr>
        <w:pStyle w:val="style0"/>
        <w:rPr/>
      </w:pPr>
      <w:r>
        <w:t>After the epidemic, social isolation, economic instability, and long-term psychological agony worsened mental health difficulties, particularly among teens and workers. NHS England (2022) reported that for 17- to 19-year-olds, likely mental disorders increased from 1 in 10 (10.1%) in 2017 to 1 in 6 (17.7%) in 2020. Rates were constant between 2020 and 2021, then rose from 1 in 6 (17.4%) to 1 in 4 (25.7%) in 2022. These data indicate a mental health assistance gap. Due to the growing backlog in traditional healthcare systems and mental health stigma, scaling up user-driven therapy to meet the population's psychological needs is essential.</w:t>
      </w:r>
    </w:p>
    <w:p>
      <w:pPr>
        <w:pStyle w:val="style0"/>
        <w:rPr>
          <w:b/>
          <w:i/>
        </w:rPr>
      </w:pPr>
      <w:r>
        <w:rPr>
          <w:b/>
          <w:i/>
        </w:rPr>
        <w:t>Introducing “MindLink”: A Next-Gen Digital Companion for Mental Health</w:t>
      </w:r>
    </w:p>
    <w:p>
      <w:pPr>
        <w:pStyle w:val="style0"/>
        <w:rPr/>
      </w:pPr>
      <w:r>
        <w:t>MindLink is a digital solution, addresses this essential public health issue. Mobile digital health companion MindLink maintains mental health wisely and proactively. MindLink incorporates wearable integration for real-time physiological stress monitoring, an AI-driven emotional diary with adaptive feedback, and a peer-matching function that anonymously matches people with similar experiences for assistance. This multi-layered technique fosters community, self-reflection, prevention, and early intervention with individualised mental health insights.</w:t>
      </w:r>
    </w:p>
    <w:p>
      <w:pPr>
        <w:pStyle w:val="style0"/>
        <w:rPr>
          <w:b/>
          <w:i/>
        </w:rPr>
      </w:pPr>
      <w:r>
        <w:rPr>
          <w:b/>
          <w:i/>
        </w:rPr>
        <w:t>Application of MindLink in Health Promotion</w:t>
      </w:r>
    </w:p>
    <w:p>
      <w:pPr>
        <w:pStyle w:val="style0"/>
        <w:rPr/>
      </w:pPr>
      <w:r>
        <w:t>MindLink encourages mental health via proactive engagement, not crisis response. Smartwatches and fitness bands detect stress and mood changes by monitoring heart rate variability, sleep patterns, and galvanic skin responses. When abnormal patterns are found, the app proposes guided journaling, breathing exercises, or community peer connections. Olawade</w:t>
      </w:r>
      <w:r>
        <w:rPr>
          <w:i/>
        </w:rPr>
        <w:t xml:space="preserve"> et al.</w:t>
      </w:r>
      <w:r>
        <w:t xml:space="preserve"> (2024) found that AI improves mood monitoring and recommendation accuracy by learning from user action. In a secure, regulated setting, peer-matching pairs users with similar emotions for support. MindLink uses empathy and technology to help individuals manage their mental health daily. Like MindLink, Social Cognitive Theory (SCT) promotes self-efficacy, observational learning, and reciprocal determinism (</w:t>
      </w:r>
      <w:r>
        <w:rPr>
          <w:rFonts w:eastAsia="Arial"/>
          <w:color w:val="222222"/>
          <w:highlight w:val="white"/>
        </w:rPr>
        <w:t xml:space="preserve">Manjarres-Posada </w:t>
      </w:r>
      <w:r>
        <w:rPr>
          <w:rFonts w:eastAsia="Arial"/>
          <w:i/>
          <w:color w:val="222222"/>
          <w:highlight w:val="white"/>
        </w:rPr>
        <w:t>et al.,</w:t>
      </w:r>
      <w:r>
        <w:rPr>
          <w:rFonts w:eastAsia="Arial"/>
          <w:color w:val="222222"/>
          <w:highlight w:val="white"/>
        </w:rPr>
        <w:t xml:space="preserve"> 2020)</w:t>
      </w:r>
      <w:r>
        <w:t>. MindLink encourages users to analyse emotions, get personalised feedback, and connect with supportive peers to modify their behaviour via interaction, self-monitoring, and reinforcement—key elements of SCT in health promotion.</w:t>
      </w:r>
    </w:p>
    <w:p>
      <w:pPr>
        <w:pStyle w:val="style0"/>
        <w:rPr>
          <w:b/>
          <w:i/>
        </w:rPr>
      </w:pPr>
      <w:r>
        <w:rPr>
          <w:b/>
          <w:i/>
        </w:rPr>
        <w:t>Impact of MindLink on Mental Health Promotion</w:t>
      </w:r>
    </w:p>
    <w:p>
      <w:pPr>
        <w:pStyle w:val="style0"/>
        <w:rPr>
          <w:b/>
          <w:i/>
        </w:rPr>
      </w:pPr>
      <w:r>
        <w:t>MindLink's features make it a powerful digital mental health promotion tool. Roefs</w:t>
      </w:r>
      <w:r>
        <w:rPr>
          <w:i/>
        </w:rPr>
        <w:t xml:space="preserve"> et al.</w:t>
      </w:r>
      <w:r>
        <w:t xml:space="preserve"> (2022) note that biological and psychological data are combined for a customised, dynamic mental health experience. Unlike generic wellness apps, MindLink gets more engaging as users use it. Second, the peer-matching tool creates a non-judgmental support network to minimise loneliness, a mental health concern, especially for people who are reluctant to seek therapy. </w:t>
      </w:r>
    </w:p>
    <w:bookmarkStart w:id="6" w:name="_kcu7iz72qssw" w:colFirst="0" w:colLast="0"/>
    <w:bookmarkStart w:id="7" w:name="_Toc194320696"/>
    <w:bookmarkEnd w:id="6"/>
    <w:p>
      <w:pPr>
        <w:pStyle w:val="style1"/>
        <w:rPr>
          <w:b/>
          <w:sz w:val="24"/>
          <w:szCs w:val="24"/>
        </w:rPr>
      </w:pPr>
      <w:r>
        <w:rPr>
          <w:b/>
          <w:sz w:val="24"/>
          <w:szCs w:val="24"/>
        </w:rPr>
        <w:t>TASK 2</w:t>
      </w:r>
      <w:bookmarkEnd w:id="7"/>
    </w:p>
    <w:p>
      <w:pPr>
        <w:pStyle w:val="style0"/>
        <w:rPr/>
      </w:pPr>
      <w:r>
        <w:rPr/>
        <w:drawing>
          <wp:inline distL="0" distT="0" distB="0" distR="0">
            <wp:extent cx="5943600" cy="4385310"/>
            <wp:effectExtent l="0" t="0" r="0" b="0"/>
            <wp:docPr id="1029" name="Picture 1" descr="A close-up of a poster&#10;&#10;AI-generated content may be incorrec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943600" cy="4385310"/>
                    </a:xfrm>
                    <a:prstGeom prst="rect"/>
                  </pic:spPr>
                </pic:pic>
              </a:graphicData>
            </a:graphic>
          </wp:inline>
        </w:drawing>
      </w:r>
    </w:p>
    <w:bookmarkStart w:id="8" w:name="_yldr8qbzg1ie" w:colFirst="0" w:colLast="0"/>
    <w:bookmarkStart w:id="9" w:name="_Toc194320697"/>
    <w:bookmarkEnd w:id="8"/>
    <w:p>
      <w:pPr>
        <w:pStyle w:val="style2"/>
        <w:rPr/>
      </w:pPr>
      <w:r>
        <w:t>1. Background</w:t>
      </w:r>
      <w:bookmarkEnd w:id="9"/>
    </w:p>
    <w:p>
      <w:pPr>
        <w:pStyle w:val="style0"/>
        <w:rPr/>
      </w:pPr>
      <w:r>
        <w:t xml:space="preserve">Over 970 million individuals worldwide suffer from mental health illnesses such as anxiety, sadness, and stress. Post-pandemic issues including social isolation and economic insecurity have exacerbated the burden, particularly for teenagers and working-age people. Ibrahim </w:t>
      </w:r>
      <w:r>
        <w:rPr>
          <w:i/>
        </w:rPr>
        <w:t xml:space="preserve">et al. </w:t>
      </w:r>
      <w:r>
        <w:t>(2020) found that due to a shortage of mental health experts, many patients go untreated. Thus, immediate, scalable actions are required. Traditional treatments include in-person therapy, support groups, and community awareness. mHealth apps are the chosen digital health intervention selected from Blog 1. Teletherapy platforms, online CBT classes, and mindfulness applications like Calm and Headspace which are great mHealth app examples, have grown in popularity. Flett et al. (2019) illustrate that Headspace, a smartphone app for stress and anxiety management, offers guided meditation and mindfulness activities. mHealth apps like this encourage self-care and mental well-</w:t>
      </w:r>
      <w:r>
        <w:t xml:space="preserve">being in underserved areas by merging evidence-based psychological methods with user-friendly technology. </w:t>
      </w:r>
    </w:p>
    <w:bookmarkStart w:id="10" w:name="_fedr51n5tnwd" w:colFirst="0" w:colLast="0"/>
    <w:bookmarkStart w:id="11" w:name="_Toc194320698"/>
    <w:bookmarkEnd w:id="10"/>
    <w:p>
      <w:pPr>
        <w:pStyle w:val="style2"/>
        <w:rPr/>
      </w:pPr>
      <w:r>
        <w:t>2. Health promotion values and principles</w:t>
      </w:r>
      <w:bookmarkEnd w:id="11"/>
    </w:p>
    <w:p>
      <w:pPr>
        <w:pStyle w:val="style179"/>
        <w:numPr>
          <w:ilvl w:val="0"/>
          <w:numId w:val="1"/>
        </w:numPr>
        <w:rPr/>
      </w:pPr>
      <w:r>
        <w:t xml:space="preserve">Health promotion is based on empowerment, equality, participation, and holistic health methods to increase population well-being. These ideals emphasise empowering people and communities to manage their health and its determinants rather than depending on medical treatments. Social justice, health equity, human rights, community participation, and intersectoral cooperation are key themes. </w:t>
      </w:r>
    </w:p>
    <w:p>
      <w:pPr>
        <w:pStyle w:val="style179"/>
        <w:numPr>
          <w:ilvl w:val="0"/>
          <w:numId w:val="1"/>
        </w:numPr>
        <w:rPr/>
      </w:pPr>
      <w:r>
        <w:t>The Ottawa Charter for Health Promotion states that health is a resource for daily living and should be empowering, accessible, and inclusive (</w:t>
      </w:r>
      <w:r>
        <w:rPr>
          <w:rFonts w:eastAsia="Arial"/>
          <w:color w:val="222222"/>
          <w:highlight w:val="white"/>
        </w:rPr>
        <w:t xml:space="preserve">Cross </w:t>
      </w:r>
      <w:r>
        <w:rPr>
          <w:rFonts w:eastAsia="Arial"/>
          <w:i/>
          <w:color w:val="222222"/>
          <w:highlight w:val="white"/>
        </w:rPr>
        <w:t>et al.</w:t>
      </w:r>
      <w:r>
        <w:rPr>
          <w:rFonts w:eastAsia="Arial"/>
          <w:color w:val="222222"/>
          <w:highlight w:val="white"/>
        </w:rPr>
        <w:t>, 2021)</w:t>
      </w:r>
      <w:r>
        <w:t xml:space="preserve">. As accessible, user-centred solutions that assist emotional well-being outside of professional settings, mHealth mental health apps like Headspace, Woebot, and BetterHelp accord with these ideals and concepts. </w:t>
      </w:r>
    </w:p>
    <w:p>
      <w:pPr>
        <w:pStyle w:val="style179"/>
        <w:numPr>
          <w:ilvl w:val="0"/>
          <w:numId w:val="1"/>
        </w:numPr>
        <w:rPr/>
      </w:pPr>
      <w:r>
        <w:t xml:space="preserve">Zhang </w:t>
      </w:r>
      <w:r>
        <w:rPr>
          <w:i/>
        </w:rPr>
        <w:t>et al</w:t>
      </w:r>
      <w:r>
        <w:t>. (2024) argue that these applications help users to handle stress, anxiety, and mood swings autonomously, promoting self-efficacy. They also promote fairness by accessing rural or impoverished regions where shame, expense, or lack of local options may prevent in-person treatment. These approaches promote inclusion by providing consistent, confidential mental health services via mobile platforms.</w:t>
      </w:r>
    </w:p>
    <w:p>
      <w:pPr>
        <w:pStyle w:val="style179"/>
        <w:numPr>
          <w:ilvl w:val="0"/>
          <w:numId w:val="1"/>
        </w:numPr>
        <w:rPr/>
      </w:pPr>
      <w:r>
        <w:t>Digital mental health solutions also promote active user engagement, letting users establish objectives, measure their progress, and interact with relevant information. This supports the personal agency in health promotion. Sbattella (2023) states that conversational AI and cognitive-behavioral approaches allow applications like Woebot to deliver evidence-based help in an entertaining, non-judgmental manner while preserving user liberty and privacy. MHealth mental health apps promote mental wellbeing via comprehensive, preventative, and empowering solutions. Such initiatives may minimise health inequities and improve mental health care access if well developed and ethically managed.</w:t>
      </w:r>
    </w:p>
    <w:bookmarkStart w:id="12" w:name="_rbxyll98cih0" w:colFirst="0" w:colLast="0"/>
    <w:bookmarkStart w:id="13" w:name="_Toc194320699"/>
    <w:bookmarkEnd w:id="12"/>
    <w:p>
      <w:pPr>
        <w:pStyle w:val="style2"/>
        <w:rPr/>
      </w:pPr>
      <w:r>
        <w:t>3. Behavioural change theory</w:t>
      </w:r>
      <w:bookmarkEnd w:id="13"/>
    </w:p>
    <w:p>
      <w:pPr>
        <w:pStyle w:val="style179"/>
        <w:numPr>
          <w:ilvl w:val="0"/>
          <w:numId w:val="8"/>
        </w:numPr>
        <w:rPr/>
      </w:pPr>
      <w:r>
        <w:t xml:space="preserve">Transtheoretical Model (TTM), often known as the Stages of Change Model, is an effective mental health mHealth app behavioural change theory. In the late 1970s, Prochaska and </w:t>
      </w:r>
      <w:r>
        <w:t xml:space="preserve">DiClemente developed the Transtheoretical Model (TTM) to explain how people change health practices (McDowell, 2023). Phases include precontemplation, contemplation, preparation, action, maintenance, and end. These phases are dynamic, so motivation and other factors can push or pull someone. </w:t>
      </w:r>
    </w:p>
    <w:p>
      <w:pPr>
        <w:pStyle w:val="style179"/>
        <w:numPr>
          <w:ilvl w:val="0"/>
          <w:numId w:val="8"/>
        </w:numPr>
        <w:rPr/>
      </w:pPr>
      <w:r>
        <w:t xml:space="preserve">TTM improves digital health treatments by tailoring content to users' willingness to change. TTM helps mHealth mental health apps create flexible user experiences. Camilleri and Piscopo (2024) discovered that precontemplation users may not detect mental health difficulties and need teaching. Digital interventions may include gentle reminders, relevant tales, or self-assessment tools to help users recognise their patterns. Participants in the preparation or action stages need mood trackers, goal-setting modules, or guided breathing sessions to change their behaviour. </w:t>
      </w:r>
    </w:p>
    <w:p>
      <w:pPr>
        <w:pStyle w:val="style179"/>
        <w:numPr>
          <w:ilvl w:val="0"/>
          <w:numId w:val="8"/>
        </w:numPr>
        <w:rPr/>
      </w:pPr>
      <w:r>
        <w:t xml:space="preserve">According to this theory, changing conduct requires precontemplation, contemplation, preparation, action, and maintenance. The TTM customises digital mental health therapies for consumers' transition preparedness. Rivera-Romero </w:t>
      </w:r>
      <w:r>
        <w:rPr>
          <w:i/>
          <w:iCs/>
        </w:rPr>
        <w:t>et al</w:t>
      </w:r>
      <w:r>
        <w:t>. (2023) claim that MHealth apps help users manage mental health by tailoring information and support to their stage. Sanvello, a CBT-based mental health app with self-assessments and mood monitoring, uses the TTM. Sanvello evaluates mental status and assigns behavioural challenges. Users acquire stimulating information and contemplative tasks in the contemplation phase, and everyday tools and self-monitoring components help them progress in the action or maintenance phase.</w:t>
      </w:r>
    </w:p>
    <w:p>
      <w:pPr>
        <w:pStyle w:val="style179"/>
        <w:numPr>
          <w:ilvl w:val="0"/>
          <w:numId w:val="8"/>
        </w:numPr>
        <w:rPr/>
      </w:pPr>
      <w:r>
        <w:t xml:space="preserve">Grand View Research (2022) estimated that the worldwide mental health applications market was worth USD 7.48 billion in 2024 and would expand 14.6% from 2025 to 2030. Demand for specialised digital solutions that support mental health throughout habit change stages is driving this rapid development. Digital applications can gently remind users to behave without overwhelming them using the Transtheoretical Model. </w:t>
      </w:r>
    </w:p>
    <w:p>
      <w:pPr>
        <w:pStyle w:val="style179"/>
        <w:numPr>
          <w:ilvl w:val="0"/>
          <w:numId w:val="8"/>
        </w:numPr>
        <w:rPr/>
      </w:pPr>
      <w:r>
        <w:t xml:space="preserve">Inactivity-detecting apps might propose breathing exercises or writing prompts to re-engage users. Digital interventions enhance habit change despite dropouts. Recognising that mental health improvement is delayed and non-linear, the TTM allows mHealth apps to provide supportive, stage-matched therapies that boost user engagement and long-term health. The cyclical behaviour modification notion of TTM is its strength. </w:t>
      </w:r>
    </w:p>
    <w:p>
      <w:pPr>
        <w:pStyle w:val="style179"/>
        <w:numPr>
          <w:ilvl w:val="0"/>
          <w:numId w:val="8"/>
        </w:numPr>
        <w:rPr/>
      </w:pPr>
      <w:r>
        <w:t xml:space="preserve">Relapse is accepted, unlike linear models. This is vital since mood, environment, and life stress affect mental health. TTM should be used to tailor app content and assistance to user mindsets. With flexibility, user retention and support will rise considerably. Warner and Schwarzer (2024) found that mental health management requires self-efficacy—the belief that one can succeed. The TTM improves it. Gamification, personalised feedback, and progress monitoring can improve competence and autonomy. Since speed and content match psychological readiness, TTM-designed apps may reduce user discomfort. </w:t>
      </w:r>
    </w:p>
    <w:bookmarkStart w:id="14" w:name="_5vvidkthu71b" w:colFirst="0" w:colLast="0"/>
    <w:bookmarkStart w:id="15" w:name="_Toc194320700"/>
    <w:bookmarkEnd w:id="14"/>
    <w:p>
      <w:pPr>
        <w:pStyle w:val="style2"/>
        <w:rPr/>
      </w:pPr>
      <w:r>
        <w:t>4. Expected outcome</w:t>
      </w:r>
      <w:bookmarkEnd w:id="15"/>
    </w:p>
    <w:p>
      <w:pPr>
        <w:pStyle w:val="style0"/>
        <w:rPr/>
      </w:pPr>
      <w:r>
        <w:t xml:space="preserve">The Transtheoretical Model (TTM) should influence mental health mHealth app users' conduct over time. TTM in digital health projects helps consumers obtain the right help at the right time, improving engagement, perseverance, and mental health. TTM tailors coaching to boost user engagement and retention. </w:t>
      </w:r>
    </w:p>
    <w:p>
      <w:pPr>
        <w:pStyle w:val="style0"/>
        <w:rPr>
          <w:b/>
          <w:bCs/>
          <w:color w:val="ff0000"/>
        </w:rPr>
      </w:pPr>
      <w:r>
        <w:rPr>
          <w:b/>
          <w:bCs/>
          <w:color w:val="ff0000"/>
        </w:rPr>
        <w:t xml:space="preserve">Personalised intervention </w:t>
      </w:r>
    </w:p>
    <w:p>
      <w:pPr>
        <w:pStyle w:val="style179"/>
        <w:numPr>
          <w:ilvl w:val="0"/>
          <w:numId w:val="3"/>
        </w:numPr>
        <w:rPr>
          <w:color w:val="ff0000"/>
        </w:rPr>
      </w:pPr>
      <w:r>
        <w:rPr>
          <w:color w:val="ff0000"/>
        </w:rPr>
        <w:t xml:space="preserve">Weisel </w:t>
      </w:r>
      <w:r>
        <w:rPr>
          <w:i/>
          <w:iCs/>
          <w:color w:val="ff0000"/>
        </w:rPr>
        <w:t>et al.</w:t>
      </w:r>
      <w:r>
        <w:rPr>
          <w:color w:val="ff0000"/>
        </w:rPr>
        <w:t xml:space="preserve"> (2020) discovered that personalised intervention information reduces overload and increases control. </w:t>
      </w:r>
    </w:p>
    <w:p>
      <w:pPr>
        <w:pStyle w:val="style179"/>
        <w:numPr>
          <w:ilvl w:val="0"/>
          <w:numId w:val="3"/>
        </w:numPr>
        <w:rPr>
          <w:color w:val="ff0000"/>
        </w:rPr>
      </w:pPr>
      <w:r>
        <w:rPr>
          <w:color w:val="ff0000"/>
        </w:rPr>
        <w:t xml:space="preserve">This applies to users who are just realising they have mental health concerns and those who are actively improving. </w:t>
      </w:r>
    </w:p>
    <w:p>
      <w:pPr>
        <w:pStyle w:val="style179"/>
        <w:numPr>
          <w:ilvl w:val="0"/>
          <w:numId w:val="3"/>
        </w:numPr>
        <w:rPr>
          <w:color w:val="ff0000"/>
        </w:rPr>
      </w:pPr>
      <w:r>
        <w:rPr>
          <w:color w:val="ff0000"/>
        </w:rPr>
        <w:t xml:space="preserve">This stage-based approach may reduce digital weariness, a major issue in mHealth when consumers avoid needless or excessive content. </w:t>
      </w:r>
    </w:p>
    <w:p>
      <w:pPr>
        <w:pStyle w:val="style0"/>
        <w:rPr>
          <w:color w:val="ff0000"/>
        </w:rPr>
      </w:pPr>
      <w:r>
        <w:rPr>
          <w:b/>
          <w:bCs/>
          <w:color w:val="ff0000"/>
        </w:rPr>
        <w:t>Progress monitoring</w:t>
      </w:r>
      <w:r>
        <w:rPr>
          <w:color w:val="ff0000"/>
        </w:rPr>
        <w:t xml:space="preserve"> </w:t>
      </w:r>
    </w:p>
    <w:p>
      <w:pPr>
        <w:pStyle w:val="style179"/>
        <w:numPr>
          <w:ilvl w:val="0"/>
          <w:numId w:val="4"/>
        </w:numPr>
        <w:rPr>
          <w:color w:val="ff0000"/>
        </w:rPr>
      </w:pPr>
      <w:r>
        <w:rPr>
          <w:color w:val="ff0000"/>
        </w:rPr>
        <w:t xml:space="preserve">Progress monitoring and motivating feedback can help maintenance stagers, while goal-setting tools benefit preparation stagers. </w:t>
      </w:r>
    </w:p>
    <w:p>
      <w:pPr>
        <w:pStyle w:val="style179"/>
        <w:numPr>
          <w:ilvl w:val="0"/>
          <w:numId w:val="4"/>
        </w:numPr>
        <w:rPr>
          <w:color w:val="ff0000"/>
        </w:rPr>
      </w:pPr>
      <w:r>
        <w:rPr>
          <w:color w:val="ff0000"/>
        </w:rPr>
        <w:t xml:space="preserve">These personalised methods empower and motivate users to behave well. </w:t>
      </w:r>
    </w:p>
    <w:p>
      <w:pPr>
        <w:pStyle w:val="style0"/>
        <w:rPr>
          <w:b/>
          <w:bCs/>
          <w:color w:val="ff0000"/>
        </w:rPr>
      </w:pPr>
      <w:r>
        <w:rPr>
          <w:b/>
          <w:bCs/>
          <w:color w:val="ff0000"/>
        </w:rPr>
        <w:t xml:space="preserve">Emotional control </w:t>
      </w:r>
    </w:p>
    <w:p>
      <w:pPr>
        <w:pStyle w:val="style179"/>
        <w:numPr>
          <w:ilvl w:val="0"/>
          <w:numId w:val="5"/>
        </w:numPr>
        <w:rPr>
          <w:color w:val="ff0000"/>
        </w:rPr>
      </w:pPr>
      <w:r>
        <w:rPr>
          <w:color w:val="ff0000"/>
        </w:rPr>
        <w:t xml:space="preserve">Enhanced emotional control is another expected benefit. MHealth applications can increase self-awareness and management by using guided reflections, affirmations, and stress-reduction activities at the right point in the user's behavioural journey, according to Monteiro </w:t>
      </w:r>
      <w:r>
        <w:rPr>
          <w:i/>
          <w:iCs/>
          <w:color w:val="ff0000"/>
        </w:rPr>
        <w:t>et al</w:t>
      </w:r>
      <w:r>
        <w:rPr>
          <w:color w:val="ff0000"/>
        </w:rPr>
        <w:t>. (2020).</w:t>
      </w:r>
    </w:p>
    <w:p>
      <w:pPr>
        <w:pStyle w:val="style179"/>
        <w:numPr>
          <w:ilvl w:val="0"/>
          <w:numId w:val="5"/>
        </w:numPr>
        <w:rPr>
          <w:color w:val="ff0000"/>
        </w:rPr>
      </w:pPr>
      <w:r>
        <w:rPr>
          <w:color w:val="ff0000"/>
        </w:rPr>
        <w:t xml:space="preserve">This is especially helpful for mild to severe anxiety and depression sufferers who may not need professional therapy but need frequent self-care reinforcement. Over time, this may minimise emergency or high-cost healthcare use, increasing public health. </w:t>
      </w:r>
    </w:p>
    <w:p>
      <w:pPr>
        <w:pStyle w:val="style0"/>
        <w:rPr>
          <w:b/>
          <w:bCs/>
          <w:color w:val="ff0000"/>
        </w:rPr>
      </w:pPr>
      <w:r>
        <w:rPr>
          <w:b/>
          <w:bCs/>
          <w:color w:val="ff0000"/>
        </w:rPr>
        <w:t xml:space="preserve">Mental health literacy </w:t>
      </w:r>
    </w:p>
    <w:p>
      <w:pPr>
        <w:pStyle w:val="style179"/>
        <w:numPr>
          <w:ilvl w:val="0"/>
          <w:numId w:val="6"/>
        </w:numPr>
        <w:rPr>
          <w:color w:val="ff0000"/>
        </w:rPr>
      </w:pPr>
      <w:r>
        <w:rPr>
          <w:color w:val="ff0000"/>
        </w:rPr>
        <w:t>Mental health literacy will improve with TTM in mHealth apps. Users learn about emotional health and treatment as they progress.</w:t>
      </w:r>
    </w:p>
    <w:p>
      <w:pPr>
        <w:pStyle w:val="style179"/>
        <w:numPr>
          <w:ilvl w:val="0"/>
          <w:numId w:val="6"/>
        </w:numPr>
        <w:rPr>
          <w:color w:val="ff0000"/>
        </w:rPr>
      </w:pPr>
      <w:r>
        <w:rPr>
          <w:color w:val="ff0000"/>
        </w:rPr>
        <w:t xml:space="preserve">Normalising mental health discourse and reducing stigma benefits society. </w:t>
      </w:r>
    </w:p>
    <w:p>
      <w:pPr>
        <w:pStyle w:val="style179"/>
        <w:numPr>
          <w:ilvl w:val="0"/>
          <w:numId w:val="6"/>
        </w:numPr>
        <w:rPr>
          <w:color w:val="ff0000"/>
        </w:rPr>
      </w:pPr>
      <w:r>
        <w:rPr>
          <w:color w:val="ff0000"/>
        </w:rPr>
        <w:t xml:space="preserve">Applying the TTM to digital mental health products should help consumers adopt, adapt, and maintain long-term mental wellness behaviours, making them more effective, inclusive, and impactful. </w:t>
      </w:r>
    </w:p>
    <w:p>
      <w:pPr>
        <w:pStyle w:val="style0"/>
        <w:rPr>
          <w:b/>
          <w:bCs/>
          <w:color w:val="ff0000"/>
        </w:rPr>
      </w:pPr>
      <w:r>
        <w:rPr>
          <w:b/>
          <w:bCs/>
          <w:color w:val="ff0000"/>
        </w:rPr>
        <w:t xml:space="preserve">Digital exclusion </w:t>
      </w:r>
    </w:p>
    <w:p>
      <w:pPr>
        <w:pStyle w:val="style179"/>
        <w:numPr>
          <w:ilvl w:val="0"/>
          <w:numId w:val="7"/>
        </w:numPr>
        <w:rPr>
          <w:color w:val="ff0000"/>
        </w:rPr>
      </w:pPr>
      <w:r>
        <w:rPr>
          <w:color w:val="ff0000"/>
        </w:rPr>
        <w:t xml:space="preserve">Digital exclusion—lower-income and elderly persons may not have smartphones or digital literacy to use these apps. </w:t>
      </w:r>
    </w:p>
    <w:p>
      <w:pPr>
        <w:pStyle w:val="style179"/>
        <w:numPr>
          <w:ilvl w:val="0"/>
          <w:numId w:val="7"/>
        </w:numPr>
        <w:rPr>
          <w:color w:val="ff0000"/>
          <w:lang w:val="en-US"/>
        </w:rPr>
      </w:pPr>
      <w:r>
        <w:rPr>
          <w:color w:val="ff0000"/>
        </w:rPr>
        <w:t>The Health Belief Model (HBM) reveals that users are more likely to utilise mHealth applications if they sense a health hazard and feel the app provides effective, accessible, low-barrier remedies.</w:t>
      </w:r>
      <w:r>
        <w:rPr>
          <w:color w:val="ff0000"/>
          <w:lang w:val="en-US"/>
        </w:rPr>
        <w:t xml:space="preserve"> </w:t>
      </w:r>
    </w:p>
    <w:p>
      <w:pPr>
        <w:pStyle w:val="style179"/>
        <w:numPr>
          <w:ilvl w:val="0"/>
          <w:numId w:val="7"/>
        </w:numPr>
        <w:rPr>
          <w:color w:val="ff0000"/>
        </w:rPr>
      </w:pPr>
      <w:r>
        <w:rPr>
          <w:color w:val="ff0000"/>
        </w:rPr>
        <w:t xml:space="preserve">More regulation of mHealth apps is required for safety and efficacy. </w:t>
      </w:r>
    </w:p>
    <w:p>
      <w:pPr>
        <w:pStyle w:val="style0"/>
        <w:rPr/>
      </w:pPr>
      <w:r>
        <w:t>Health promotion technologies should be developed with clinical experts and evaluated in RCTs for treatment effectiveness. The NHS Applications Library vets applications for quality and evidence-based information, which should become global.</w:t>
      </w:r>
      <w:r>
        <w:rPr>
          <w:lang w:val="en-US"/>
        </w:rPr>
        <w:t xml:space="preserve"> </w:t>
      </w:r>
      <w:r>
        <w:t>To remove digital exclusion, MHealth software developers must provide low-bandwidth, multilingual, and user-friendly platforms for basic handsets. Bailey and Nyabola (2021) suggest that to provide equitable mental health care to low-income areas, government and NGO partnerships may finance devices or internet access.</w:t>
      </w:r>
      <w:r>
        <w:rPr>
          <w:lang w:val="en-US"/>
        </w:rPr>
        <w:t xml:space="preserve"> </w:t>
      </w:r>
      <w:r>
        <w:t>Data security is crucial for mental health data. Apps must declare data collection and get consent. Developers must follow GDPR to protect user data and build confidence.</w:t>
      </w:r>
    </w:p>
    <w:p>
      <w:pPr>
        <w:pStyle w:val="style0"/>
        <w:rPr/>
      </w:pPr>
      <w:r>
        <w:t>Scalable, accessible, and user-friendly mHealth applications can combat the mental health crisis. Research and user statistics demonstrate these technologies are beneficial, but regulation, digital exclusion, and ethics must be addressed. With proper monitoring, inclusion rules, and healthcare system integration, MHealth technology may promote mental health and reduce global mental illness.</w:t>
      </w:r>
      <w:r>
        <w:rPr>
          <w:lang w:val="en-US"/>
        </w:rPr>
        <w:t xml:space="preserve"> </w:t>
      </w:r>
      <w:r>
        <w:t xml:space="preserve">Preventing issues is another benefit of the program. If stress levels remain high, the app suggests coping or professional help. Mental health maintenance, early detection, and triage will </w:t>
      </w:r>
      <w:r>
        <w:t>employ MindLink. MindLink uses wearable tech, which may exclude low-income users. Peer-matching helps but may also disseminate misinformation or raise emotions. With AI processing emotional data, privacy ethics are crucial. Finally, non-self-reflective consumers may lose interest over time.</w:t>
      </w:r>
    </w:p>
    <w:bookmarkStart w:id="16" w:name="_ev6y9cexw03a" w:colFirst="0" w:colLast="0"/>
    <w:bookmarkStart w:id="17" w:name="_Toc194320701"/>
    <w:bookmarkEnd w:id="16"/>
    <w:p>
      <w:pPr>
        <w:pStyle w:val="style2"/>
        <w:rPr/>
      </w:pPr>
      <w:r>
        <w:t>5. Conclusion</w:t>
      </w:r>
      <w:bookmarkEnd w:id="17"/>
    </w:p>
    <w:p>
      <w:pPr>
        <w:pStyle w:val="style0"/>
        <w:rPr/>
      </w:pPr>
      <w:r>
        <w:t>Behavioural change theories like the Transtheoretical Model underpin mHealth applications for mental health, which affect public health policy, education, and research. Digital interventions demonstrate the need for revised mental health frameworks that accept technology as a viable and scalable treatment delivery method. Governments and healthcare organisations may be urged to regulate mental health app safety, privacy, and clinical validation. MHealth technologies may enhance mental health literacy initiatives in schools, colleges, and workplaces, helping children develop resilience, self-awareness, and coping skills. These applications are practical and accessible, complementing mental health education. Increasing mHealth intervention usage allows data-driven investigations of user behaviours, results, and engagement patterns. This may enable AI-powered customised mental health therapies and better-focused mental health solutions. Real-world evidence from these digital technologies may improve mental health promotion and digital therapy best practices. Overall, mHealth applications are changing how mental health is understood, supported, and integrated across care and learning systems.</w:t>
      </w:r>
    </w:p>
    <w:bookmarkStart w:id="18" w:name="_qufkzq14hk3y" w:colFirst="0" w:colLast="0"/>
    <w:bookmarkEnd w:id="18"/>
    <w:p>
      <w:pPr>
        <w:pStyle w:val="style0"/>
        <w:rPr>
          <w:b/>
        </w:rPr>
      </w:pPr>
      <w:r>
        <w:rPr>
          <w:b/>
        </w:rPr>
        <w:br w:type="page"/>
      </w:r>
    </w:p>
    <w:bookmarkStart w:id="19" w:name="_Toc194320702"/>
    <w:p>
      <w:pPr>
        <w:pStyle w:val="style1"/>
        <w:rPr>
          <w:b/>
          <w:sz w:val="24"/>
          <w:szCs w:val="24"/>
        </w:rPr>
      </w:pPr>
      <w:r>
        <w:rPr>
          <w:b/>
          <w:sz w:val="24"/>
          <w:szCs w:val="24"/>
        </w:rPr>
        <w:t>References</w:t>
      </w:r>
      <w:bookmarkEnd w:id="19"/>
      <w:r>
        <w:rPr>
          <w:b/>
          <w:sz w:val="24"/>
          <w:szCs w:val="24"/>
        </w:rPr>
        <w:t xml:space="preserve"> </w:t>
      </w:r>
    </w:p>
    <w:p>
      <w:pPr>
        <w:pStyle w:val="style0"/>
        <w:spacing w:after="240"/>
        <w:rPr>
          <w:b/>
        </w:rPr>
      </w:pPr>
      <w:r>
        <w:rPr>
          <w:b/>
        </w:rPr>
        <w:t>Blog 1</w:t>
      </w:r>
    </w:p>
    <w:p>
      <w:pPr>
        <w:pStyle w:val="style0"/>
        <w:spacing w:after="240"/>
        <w:rPr>
          <w:rFonts w:eastAsia="Arial"/>
          <w:color w:val="222222"/>
          <w:highlight w:val="white"/>
        </w:rPr>
      </w:pPr>
      <w:r>
        <w:rPr>
          <w:rFonts w:eastAsia="Arial"/>
          <w:color w:val="222222"/>
          <w:highlight w:val="white"/>
        </w:rPr>
        <w:t xml:space="preserve">Bailey, L. and Nyabola, N. (2021). </w:t>
      </w:r>
      <w:r>
        <w:rPr>
          <w:rFonts w:eastAsia="Arial"/>
          <w:i/>
          <w:color w:val="222222"/>
          <w:highlight w:val="white"/>
        </w:rPr>
        <w:t>Digital Equity as an Enabling Platform for Equality and Inclusion Digital Equity as an Enabling Platform for Equality and Inclusion Digital Equity as an Enabling Platform for Equality and Inclusion Policy Brief</w:t>
      </w:r>
      <w:r>
        <w:rPr>
          <w:rFonts w:eastAsia="Arial"/>
          <w:color w:val="222222"/>
          <w:highlight w:val="white"/>
        </w:rPr>
        <w:t>. [online] Available at: https://cic.nyu.edu/wp-content/uploads/1662/65/cic_pathfinders_digital_equity_as_an_enabling_platform_june_2021.pdf.</w:t>
      </w:r>
    </w:p>
    <w:p>
      <w:pPr>
        <w:pStyle w:val="style0"/>
        <w:spacing w:after="240"/>
        <w:rPr>
          <w:rFonts w:eastAsia="Arial"/>
          <w:color w:val="222222"/>
          <w:highlight w:val="white"/>
        </w:rPr>
      </w:pPr>
      <w:r>
        <w:rPr>
          <w:rFonts w:eastAsia="Arial"/>
          <w:color w:val="222222"/>
          <w:highlight w:val="white"/>
        </w:rPr>
        <w:t xml:space="preserve">Cheng, V.W.S., Davenport, T., Johnson, D., Vella, K. and Hickie, I.B. (2019). Gamification in Apps and Technologies for Improving Mental Health and Well-Being: Systematic Review. </w:t>
      </w:r>
      <w:r>
        <w:rPr>
          <w:rFonts w:eastAsia="Arial"/>
          <w:i/>
          <w:color w:val="222222"/>
          <w:highlight w:val="white"/>
        </w:rPr>
        <w:t>JMIR Mental Health</w:t>
      </w:r>
      <w:r>
        <w:rPr>
          <w:rFonts w:eastAsia="Arial"/>
          <w:color w:val="222222"/>
          <w:highlight w:val="white"/>
        </w:rPr>
        <w:t>, 6(6), p.e13717. doi:https://doi.org/10.2196/13717.</w:t>
      </w:r>
    </w:p>
    <w:p>
      <w:pPr>
        <w:pStyle w:val="style0"/>
        <w:spacing w:after="240"/>
        <w:rPr>
          <w:rFonts w:eastAsia="Arial"/>
          <w:color w:val="222222"/>
          <w:highlight w:val="white"/>
        </w:rPr>
      </w:pPr>
      <w:r>
        <w:rPr>
          <w:rFonts w:eastAsia="Arial"/>
          <w:color w:val="222222"/>
          <w:highlight w:val="white"/>
        </w:rPr>
        <w:t xml:space="preserve">Miralles, I., Granell, C., Díaz-Sanahuja, L., Van Woensel, W., Bretón-López, J., Mira, A., Castilla, D. and Casteleyn, S. (2019). Smartphone apps for the treatment of mental disorders: a systematic review. (Preprint). </w:t>
      </w:r>
      <w:r>
        <w:rPr>
          <w:rFonts w:eastAsia="Arial"/>
          <w:i/>
          <w:color w:val="222222"/>
          <w:highlight w:val="white"/>
        </w:rPr>
        <w:t>JMIR mHealth and uHealth</w:t>
      </w:r>
      <w:r>
        <w:rPr>
          <w:rFonts w:eastAsia="Arial"/>
          <w:color w:val="222222"/>
          <w:highlight w:val="white"/>
        </w:rPr>
        <w:t>, 8(4). doi:https://doi.org/10.2196/14897.</w:t>
      </w:r>
    </w:p>
    <w:p>
      <w:pPr>
        <w:pStyle w:val="style0"/>
        <w:spacing w:after="240"/>
        <w:rPr>
          <w:rFonts w:eastAsia="Arial"/>
          <w:color w:val="222222"/>
          <w:highlight w:val="white"/>
        </w:rPr>
      </w:pPr>
      <w:r>
        <w:rPr>
          <w:rFonts w:eastAsia="Arial"/>
          <w:color w:val="222222"/>
          <w:highlight w:val="white"/>
        </w:rPr>
        <w:t xml:space="preserve">Office for National Statistics (2021). </w:t>
      </w:r>
      <w:r>
        <w:rPr>
          <w:rFonts w:eastAsia="Arial"/>
          <w:i/>
          <w:color w:val="222222"/>
          <w:highlight w:val="white"/>
        </w:rPr>
        <w:t>Coronavirus and depression in adults, Great Britain - Office for National Statistics</w:t>
      </w:r>
      <w:r>
        <w:rPr>
          <w:rFonts w:eastAsia="Arial"/>
          <w:color w:val="222222"/>
          <w:highlight w:val="white"/>
        </w:rPr>
        <w:t>. [online] www.ons.gov.uk. Available at: https://www.ons.gov.uk/peoplepopulationandcommunity/wellbeing/articles/coronavirusanddepressioninadultsgreatbritain/januarytomarch2021 [Accessed 25 Mar. 2025].</w:t>
      </w:r>
    </w:p>
    <w:p>
      <w:pPr>
        <w:pStyle w:val="style0"/>
        <w:spacing w:after="240"/>
        <w:rPr>
          <w:rFonts w:eastAsia="Arial"/>
          <w:color w:val="222222"/>
          <w:highlight w:val="white"/>
        </w:rPr>
      </w:pPr>
      <w:r>
        <w:rPr>
          <w:rFonts w:eastAsia="Arial"/>
          <w:color w:val="222222"/>
          <w:highlight w:val="white"/>
        </w:rPr>
        <w:t xml:space="preserve">Pavlopoulos, A., Rachiotis, T. and Maglogiannis, I. (2024). An Overview of Tools and Technologies for Anxiety and Depression Management Using AI. </w:t>
      </w:r>
      <w:r>
        <w:rPr>
          <w:rFonts w:eastAsia="Arial"/>
          <w:i/>
          <w:color w:val="222222"/>
          <w:highlight w:val="white"/>
        </w:rPr>
        <w:t>Applied Sciences</w:t>
      </w:r>
      <w:r>
        <w:rPr>
          <w:rFonts w:eastAsia="Arial"/>
          <w:color w:val="222222"/>
          <w:highlight w:val="white"/>
        </w:rPr>
        <w:t>, 14(19), pp.9068–9068. doi:https://doi.org/10.3390/app14199068.</w:t>
      </w:r>
    </w:p>
    <w:p>
      <w:pPr>
        <w:pStyle w:val="style0"/>
        <w:spacing w:after="240"/>
        <w:rPr>
          <w:rFonts w:eastAsia="Arial"/>
          <w:color w:val="222222"/>
          <w:highlight w:val="white"/>
        </w:rPr>
      </w:pPr>
      <w:r>
        <w:rPr>
          <w:rFonts w:eastAsia="Arial"/>
          <w:color w:val="222222"/>
          <w:highlight w:val="white"/>
        </w:rPr>
        <w:t xml:space="preserve">Statista (2023). </w:t>
      </w:r>
      <w:r>
        <w:rPr>
          <w:rFonts w:eastAsia="Arial"/>
          <w:i/>
          <w:color w:val="222222"/>
          <w:highlight w:val="white"/>
        </w:rPr>
        <w:t>Forecast number of mobile users worldwide 2019-2023 | Statista</w:t>
      </w:r>
      <w:r>
        <w:rPr>
          <w:rFonts w:eastAsia="Arial"/>
          <w:color w:val="222222"/>
          <w:highlight w:val="white"/>
        </w:rPr>
        <w:t>. [online] Statista. Available at: https://www.statista.com/statistics/218984/number-of-global-mobile-users-since-2010/ [Accessed 25 Mar. 2025].</w:t>
      </w:r>
    </w:p>
    <w:p>
      <w:pPr>
        <w:pStyle w:val="style0"/>
        <w:spacing w:after="240"/>
        <w:rPr>
          <w:rFonts w:eastAsia="Arial"/>
          <w:color w:val="222222"/>
          <w:highlight w:val="white"/>
        </w:rPr>
      </w:pPr>
      <w:r>
        <w:rPr>
          <w:rFonts w:eastAsia="Arial"/>
          <w:color w:val="222222"/>
          <w:highlight w:val="white"/>
        </w:rPr>
        <w:t xml:space="preserve">World Health Organization (2022). </w:t>
      </w:r>
      <w:r>
        <w:rPr>
          <w:rFonts w:eastAsia="Arial"/>
          <w:i/>
          <w:color w:val="222222"/>
          <w:highlight w:val="white"/>
        </w:rPr>
        <w:t>COVID-19 pandemic triggers 25% increase in prevalence of anxiety and depression worldwide</w:t>
      </w:r>
      <w:r>
        <w:rPr>
          <w:rFonts w:eastAsia="Arial"/>
          <w:color w:val="222222"/>
          <w:highlight w:val="white"/>
        </w:rPr>
        <w:t xml:space="preserve">. [online] World Health Organization. Available at: </w:t>
      </w:r>
      <w:r>
        <w:rPr>
          <w:rFonts w:eastAsia="Arial"/>
          <w:color w:val="222222"/>
          <w:highlight w:val="white"/>
        </w:rPr>
        <w:t>https://www.who.int/news/item/02-03-2022-covid-19-pandemic-triggers-25-increase-in-prevalence-of-anxiety-and-depression-worldwide [Accessed 25 Mar. 2025].</w:t>
      </w:r>
    </w:p>
    <w:bookmarkStart w:id="20" w:name="_wa1iqag50asv" w:colFirst="0" w:colLast="0"/>
    <w:bookmarkEnd w:id="20"/>
    <w:p>
      <w:pPr>
        <w:pStyle w:val="style0"/>
        <w:rPr>
          <w:b/>
          <w:bCs/>
        </w:rPr>
      </w:pPr>
      <w:r>
        <w:rPr>
          <w:b/>
          <w:bCs/>
        </w:rPr>
        <w:t>Blog 2</w:t>
      </w:r>
    </w:p>
    <w:p>
      <w:pPr>
        <w:pStyle w:val="style0"/>
        <w:spacing w:after="240"/>
        <w:rPr>
          <w:rFonts w:eastAsia="Arial"/>
          <w:color w:val="222222"/>
          <w:highlight w:val="white"/>
        </w:rPr>
      </w:pPr>
      <w:r>
        <w:rPr>
          <w:rFonts w:eastAsia="Arial"/>
          <w:color w:val="222222"/>
          <w:highlight w:val="white"/>
        </w:rPr>
        <w:t xml:space="preserve">Gorwa, R., Binns, R. and Katzenbach, C. (2020). Algorithmic Content moderation: Technical and Political Challenges in the Automation of Platform Governance. </w:t>
      </w:r>
      <w:r>
        <w:rPr>
          <w:rFonts w:eastAsia="Arial"/>
          <w:i/>
          <w:color w:val="222222"/>
          <w:highlight w:val="white"/>
        </w:rPr>
        <w:t>Big Data &amp; Society</w:t>
      </w:r>
      <w:r>
        <w:rPr>
          <w:rFonts w:eastAsia="Arial"/>
          <w:color w:val="222222"/>
          <w:highlight w:val="white"/>
        </w:rPr>
        <w:t xml:space="preserve">, 7(1), p.205395171989794. </w:t>
      </w:r>
      <w:r>
        <w:rPr>
          <w:rFonts w:eastAsia="Arial"/>
          <w:color w:val="222222"/>
          <w:highlight w:val="white"/>
        </w:rPr>
        <w:t>doi:</w:t>
      </w:r>
      <w:r>
        <w:rPr/>
        <w:fldChar w:fldCharType="begin"/>
      </w:r>
      <w:r>
        <w:instrText xml:space="preserve"> HYPERLINK "https://doi.org/10.1177/2053951719897945" </w:instrText>
      </w:r>
      <w:r>
        <w:rPr/>
        <w:fldChar w:fldCharType="separate"/>
      </w:r>
      <w:r>
        <w:rPr>
          <w:rFonts w:eastAsia="Arial"/>
          <w:color w:val="1155cc"/>
          <w:highlight w:val="white"/>
          <w:u w:val="single"/>
        </w:rPr>
        <w:t>https</w:t>
      </w:r>
      <w:r>
        <w:rPr>
          <w:rFonts w:eastAsia="Arial"/>
          <w:color w:val="1155cc"/>
          <w:highlight w:val="white"/>
          <w:u w:val="single"/>
        </w:rPr>
        <w:t>://doi.org/10.1177/2053951719897945</w:t>
      </w:r>
      <w:r>
        <w:rPr/>
        <w:fldChar w:fldCharType="end"/>
      </w:r>
      <w:r>
        <w:rPr>
          <w:rFonts w:eastAsia="Arial"/>
          <w:color w:val="222222"/>
          <w:highlight w:val="white"/>
        </w:rPr>
        <w:t>.</w:t>
      </w:r>
    </w:p>
    <w:p>
      <w:pPr>
        <w:pStyle w:val="style0"/>
        <w:rPr>
          <w:rFonts w:eastAsia="Arial"/>
          <w:color w:val="222222"/>
          <w:highlight w:val="white"/>
        </w:rPr>
      </w:pPr>
      <w:r>
        <w:rPr>
          <w:rFonts w:eastAsia="Arial"/>
          <w:color w:val="222222"/>
          <w:highlight w:val="white"/>
        </w:rPr>
        <w:t xml:space="preserve">Manjarres-Posada, N., Onofre-Rodríguez, D.J. and Benavides-Torres, R.A., (2020). Social cognitive theory and health care: Analysis and evaluation. </w:t>
      </w:r>
      <w:r>
        <w:rPr>
          <w:rFonts w:eastAsia="Arial"/>
          <w:i/>
          <w:color w:val="222222"/>
          <w:highlight w:val="white"/>
        </w:rPr>
        <w:t>Int'l J. Soc. Sci. Stud.</w:t>
      </w:r>
      <w:r>
        <w:rPr>
          <w:rFonts w:eastAsia="Arial"/>
          <w:color w:val="222222"/>
          <w:highlight w:val="white"/>
        </w:rPr>
        <w:t xml:space="preserve">, </w:t>
      </w:r>
      <w:r>
        <w:rPr>
          <w:rFonts w:eastAsia="Arial"/>
          <w:i/>
          <w:color w:val="222222"/>
          <w:highlight w:val="white"/>
        </w:rPr>
        <w:t>8</w:t>
      </w:r>
      <w:r>
        <w:rPr>
          <w:rFonts w:eastAsia="Arial"/>
          <w:color w:val="222222"/>
          <w:highlight w:val="white"/>
        </w:rPr>
        <w:t xml:space="preserve">, p.132. </w:t>
      </w:r>
      <w:r>
        <w:rPr/>
        <w:fldChar w:fldCharType="begin"/>
      </w:r>
      <w:r>
        <w:instrText xml:space="preserve"> HYPERLINK "https://heinonline.org/hol-cgi-bin/get_pdf.cgi?handle=hein.journals/ijsoctu8&amp;section=52" </w:instrText>
      </w:r>
      <w:r>
        <w:rPr/>
        <w:fldChar w:fldCharType="separate"/>
      </w:r>
      <w:r>
        <w:rPr>
          <w:rFonts w:eastAsia="Arial"/>
          <w:color w:val="1155cc"/>
          <w:highlight w:val="white"/>
          <w:u w:val="single"/>
        </w:rPr>
        <w:t>https://heinonline.org/hol-cgi-bin/get_pdf.cgi?handle=hein.journals/ijsoctu8&amp;section=52</w:t>
      </w:r>
      <w:r>
        <w:rPr/>
        <w:fldChar w:fldCharType="end"/>
      </w:r>
    </w:p>
    <w:p>
      <w:pPr>
        <w:pStyle w:val="style0"/>
        <w:spacing w:after="240"/>
        <w:rPr>
          <w:color w:val="222222"/>
        </w:rPr>
      </w:pPr>
      <w:r>
        <w:rPr>
          <w:color w:val="222222"/>
        </w:rPr>
        <w:t xml:space="preserve">NHS England (2022). </w:t>
      </w:r>
      <w:r>
        <w:rPr>
          <w:i/>
          <w:color w:val="222222"/>
        </w:rPr>
        <w:t>Mental Health of Children and Young People in England 2022 - wave 3 follow up to the 2017 survey</w:t>
      </w:r>
      <w:r>
        <w:rPr>
          <w:color w:val="222222"/>
        </w:rPr>
        <w:t>. [online] NHS Digital. Available at: https://digital.nhs.uk/data-and-information/publications/statistical/mental-health-of-children-and-young-people-in-england/2022-follow-up-to-the-2017-survey [Accessed 25 Mar. 2025].</w:t>
      </w:r>
    </w:p>
    <w:p>
      <w:pPr>
        <w:pStyle w:val="style0"/>
        <w:spacing w:after="240"/>
        <w:rPr>
          <w:color w:val="222222"/>
        </w:rPr>
      </w:pPr>
      <w:r>
        <w:rPr>
          <w:color w:val="222222"/>
        </w:rPr>
        <w:t xml:space="preserve">Olawade, D.B., Wada, O.Z., Odetayo, A., David-Olawade, A.C., Asaolu, F. and Eberhardt, J. (2024). Enhancing Mental Health with Artificial Intelligence: Current Trends and Future Prospects. </w:t>
      </w:r>
      <w:r>
        <w:rPr>
          <w:i/>
          <w:color w:val="222222"/>
        </w:rPr>
        <w:t>Journal of medicine, surgery, and public health</w:t>
      </w:r>
      <w:r>
        <w:rPr>
          <w:color w:val="222222"/>
        </w:rPr>
        <w:t>, [online] 3(3). doi:https://doi.org/10.1016/j.glmedi.2024.100099.</w:t>
      </w:r>
    </w:p>
    <w:p>
      <w:pPr>
        <w:pStyle w:val="style0"/>
        <w:spacing w:after="240"/>
        <w:rPr>
          <w:rFonts w:eastAsia="Arial"/>
          <w:color w:val="222222"/>
          <w:highlight w:val="white"/>
        </w:rPr>
      </w:pPr>
      <w:r>
        <w:rPr>
          <w:rFonts w:eastAsia="Arial"/>
          <w:color w:val="222222"/>
          <w:highlight w:val="white"/>
        </w:rPr>
        <w:t xml:space="preserve">Roefs, A., Fried, E.I., Kindt, M., Martijn, C., Elzinga, B., Evers, A.W.M., Wiers, R.W., Borsboom, D. and Jansen, A. (2022). A new science of mental disorders: Using personalised, transdiagnostic, dynamical systems to understand, model, diagnose and treat psychopathology. </w:t>
      </w:r>
      <w:r>
        <w:rPr>
          <w:rFonts w:eastAsia="Arial"/>
          <w:i/>
          <w:color w:val="222222"/>
          <w:highlight w:val="white"/>
        </w:rPr>
        <w:t>Behaviour Research and Therapy</w:t>
      </w:r>
      <w:r>
        <w:rPr>
          <w:rFonts w:eastAsia="Arial"/>
          <w:color w:val="222222"/>
          <w:highlight w:val="white"/>
        </w:rPr>
        <w:t>, [online] 153, p.104096. doi:https://doi.org/10.1016/j.brat.2022.104096.</w:t>
      </w:r>
    </w:p>
    <w:p>
      <w:pPr>
        <w:pStyle w:val="style0"/>
        <w:spacing w:after="240"/>
        <w:rPr>
          <w:rFonts w:eastAsia="Arial"/>
          <w:b/>
          <w:color w:val="222222"/>
          <w:highlight w:val="white"/>
        </w:rPr>
      </w:pPr>
      <w:r>
        <w:rPr>
          <w:rFonts w:eastAsia="Arial"/>
          <w:b/>
          <w:color w:val="222222"/>
          <w:highlight w:val="white"/>
        </w:rPr>
        <w:t>Poster</w:t>
      </w:r>
    </w:p>
    <w:p>
      <w:pPr>
        <w:pStyle w:val="style0"/>
        <w:spacing w:after="240"/>
        <w:rPr>
          <w:rFonts w:eastAsia="Arial"/>
          <w:color w:val="222222"/>
          <w:highlight w:val="white"/>
        </w:rPr>
      </w:pPr>
      <w:r>
        <w:rPr>
          <w:rFonts w:eastAsia="Arial"/>
          <w:color w:val="222222"/>
          <w:highlight w:val="white"/>
        </w:rPr>
        <w:t xml:space="preserve">Camilleri, F. and Piscopo, S., (2024). Cultivating independence: Developing a guidebook to facilitate healthy eating competencies in adults with mental disorders. </w:t>
      </w:r>
      <w:r>
        <w:rPr>
          <w:rFonts w:eastAsia="Arial"/>
          <w:i/>
          <w:color w:val="222222"/>
          <w:highlight w:val="white"/>
        </w:rPr>
        <w:t>International Journal of Home Economics</w:t>
      </w:r>
      <w:r>
        <w:rPr>
          <w:rFonts w:eastAsia="Arial"/>
          <w:color w:val="222222"/>
          <w:highlight w:val="white"/>
        </w:rPr>
        <w:t xml:space="preserve">, </w:t>
      </w:r>
      <w:r>
        <w:rPr>
          <w:rFonts w:eastAsia="Arial"/>
          <w:i/>
          <w:color w:val="222222"/>
          <w:highlight w:val="white"/>
        </w:rPr>
        <w:t>17</w:t>
      </w:r>
      <w:r>
        <w:rPr>
          <w:rFonts w:eastAsia="Arial"/>
          <w:color w:val="222222"/>
          <w:highlight w:val="white"/>
        </w:rPr>
        <w:t xml:space="preserve">(1), pp.96-117. </w:t>
      </w:r>
      <w:r>
        <w:rPr/>
        <w:fldChar w:fldCharType="begin"/>
      </w:r>
      <w:r>
        <w:instrText xml:space="preserve"> HYPERLINK "https://search.informit.org/doi/abs/10.3316/informit.T2024093000009490449801204" </w:instrText>
      </w:r>
      <w:r>
        <w:rPr/>
        <w:fldChar w:fldCharType="separate"/>
      </w:r>
      <w:r>
        <w:rPr>
          <w:rFonts w:eastAsia="Arial"/>
          <w:color w:val="1155cc"/>
          <w:highlight w:val="white"/>
          <w:u w:val="single"/>
        </w:rPr>
        <w:t>https://search.informit.org/doi/abs/10.3316/informit.T2024093000009490449801204</w:t>
      </w:r>
      <w:r>
        <w:rPr/>
        <w:fldChar w:fldCharType="end"/>
      </w:r>
    </w:p>
    <w:p>
      <w:pPr>
        <w:pStyle w:val="style0"/>
        <w:spacing w:after="240"/>
        <w:rPr>
          <w:rFonts w:eastAsia="Arial"/>
          <w:color w:val="222222"/>
          <w:highlight w:val="white"/>
        </w:rPr>
      </w:pPr>
      <w:r>
        <w:rPr>
          <w:rFonts w:eastAsia="Arial"/>
          <w:color w:val="222222"/>
          <w:highlight w:val="white"/>
        </w:rPr>
        <w:t xml:space="preserve">Cross, R., Rowlands, S. and Foster, S., (2021). The foundations of health promotion. </w:t>
      </w:r>
      <w:r>
        <w:rPr>
          <w:rFonts w:eastAsia="Arial"/>
          <w:i/>
          <w:color w:val="222222"/>
          <w:highlight w:val="white"/>
        </w:rPr>
        <w:t>Health Promotion: Global Principles and Practice</w:t>
      </w:r>
      <w:r>
        <w:rPr>
          <w:rFonts w:eastAsia="Arial"/>
          <w:color w:val="222222"/>
          <w:highlight w:val="white"/>
        </w:rPr>
        <w:t xml:space="preserve">, pp.1-40. </w:t>
      </w:r>
      <w:r>
        <w:rPr/>
        <w:fldChar w:fldCharType="begin"/>
      </w:r>
      <w:r>
        <w:instrText xml:space="preserve"> HYPERLINK "https://books.google.com/books?hl=en&amp;lr=&amp;id=3WIREAAAQBAJ&amp;oi=fnd&amp;pg=PA1&amp;dq=The+Ottawa+Charter+for+Health+Promotion+(WHO,+1986)+states+that+health+is+a+resource+for+daily+living+and+should+be+empowering,+accessible,+and+inclusive.+&amp;ots=cC8cHre1O2&amp;sig=DMX9EvwROI1RAnhkvdwjnv_G7K0" </w:instrText>
      </w:r>
      <w:r>
        <w:rPr/>
        <w:fldChar w:fldCharType="separate"/>
      </w:r>
      <w:r>
        <w:rPr>
          <w:rFonts w:eastAsia="Arial"/>
          <w:color w:val="1155cc"/>
          <w:highlight w:val="white"/>
          <w:u w:val="single"/>
        </w:rPr>
        <w:t>https://books.google.com/books?hl=en&amp;lr=&amp;id=3WIREAAAQBAJ&amp;oi=fnd&amp;pg=PA1&amp;dq=The+Ottawa+Charter+for+Health+Promotion+(WHO,+1986)+states+that+health+is+a+resource+for+daily+living+and+should+be+empowering,+accessible,+and+inclusive.+&amp;ots=cC8cHre1O2&amp;sig=DMX9EvwROI1RAnhkvdwjnv_G7K0</w:t>
      </w:r>
      <w:r>
        <w:rPr/>
        <w:fldChar w:fldCharType="end"/>
      </w:r>
    </w:p>
    <w:p>
      <w:pPr>
        <w:pStyle w:val="style0"/>
        <w:spacing w:after="240"/>
        <w:rPr>
          <w:rFonts w:eastAsia="Arial"/>
          <w:color w:val="222222"/>
          <w:highlight w:val="white"/>
        </w:rPr>
      </w:pPr>
      <w:r>
        <w:rPr>
          <w:rFonts w:eastAsia="Arial"/>
          <w:color w:val="222222"/>
          <w:highlight w:val="white"/>
        </w:rPr>
        <w:t xml:space="preserve">Flett, J.A.M., Hayne, H., Riordan, B.C., Thompson, L.M. and Conner, T.S. (2019). Mobile Mindfulness Meditation: a Randomised Controlled Trial of the Effect of Two Popular Apps on Mental Health. </w:t>
      </w:r>
      <w:r>
        <w:rPr>
          <w:rFonts w:eastAsia="Arial"/>
          <w:i/>
          <w:color w:val="222222"/>
          <w:highlight w:val="white"/>
        </w:rPr>
        <w:t>Mindfulness</w:t>
      </w:r>
      <w:r>
        <w:rPr>
          <w:rFonts w:eastAsia="Arial"/>
          <w:color w:val="222222"/>
          <w:highlight w:val="white"/>
        </w:rPr>
        <w:t>, 10(5), pp.863–876. doi:https://doi.org/10.1007/s12671-018-1050-9.</w:t>
      </w:r>
    </w:p>
    <w:p>
      <w:pPr>
        <w:pStyle w:val="style0"/>
        <w:spacing w:after="240"/>
        <w:rPr>
          <w:rFonts w:eastAsia="Arial"/>
          <w:color w:val="222222"/>
          <w:highlight w:val="white"/>
        </w:rPr>
      </w:pPr>
      <w:r>
        <w:rPr>
          <w:rFonts w:eastAsia="Arial"/>
          <w:color w:val="222222"/>
          <w:highlight w:val="white"/>
        </w:rPr>
        <w:t xml:space="preserve">Grand View Research (2022). </w:t>
      </w:r>
      <w:r>
        <w:rPr>
          <w:rFonts w:eastAsia="Arial"/>
          <w:i/>
          <w:color w:val="222222"/>
          <w:highlight w:val="white"/>
        </w:rPr>
        <w:t>Mental Health Apps Market Size Report, 2022-2030</w:t>
      </w:r>
      <w:r>
        <w:rPr>
          <w:rFonts w:eastAsia="Arial"/>
          <w:color w:val="222222"/>
          <w:highlight w:val="white"/>
        </w:rPr>
        <w:t>. [online] www.grandviewresearch.com. Available at: https://www.grandviewresearch.com/industry-analysis/mental-health-apps-market-report [Accessed 25 Mar. 2025].</w:t>
      </w:r>
    </w:p>
    <w:p>
      <w:pPr>
        <w:pStyle w:val="style0"/>
        <w:spacing w:after="240"/>
        <w:rPr>
          <w:rFonts w:eastAsia="Arial"/>
          <w:color w:val="222222"/>
          <w:highlight w:val="white"/>
        </w:rPr>
      </w:pPr>
      <w:r>
        <w:rPr>
          <w:rFonts w:eastAsia="Arial"/>
          <w:color w:val="222222"/>
          <w:highlight w:val="white"/>
        </w:rPr>
        <w:t xml:space="preserve">Ibrahim, O.H.M., Ibrahim, R.M., Al-Tameemi, N.K. and Riley, K. (2020). Challenges associated with mental health management: Barriers and consequences. </w:t>
      </w:r>
      <w:r>
        <w:rPr>
          <w:rFonts w:eastAsia="Arial"/>
          <w:i/>
          <w:color w:val="222222"/>
          <w:highlight w:val="white"/>
        </w:rPr>
        <w:t>Saudi Pharmaceutical Journal</w:t>
      </w:r>
      <w:r>
        <w:rPr>
          <w:rFonts w:eastAsia="Arial"/>
          <w:color w:val="222222"/>
          <w:highlight w:val="white"/>
        </w:rPr>
        <w:t>, 28(8). doi:https://doi.org/10.1016/j.jsps.2020.06.018.</w:t>
      </w:r>
    </w:p>
    <w:p>
      <w:pPr>
        <w:pStyle w:val="style0"/>
        <w:spacing w:after="240"/>
        <w:rPr>
          <w:rFonts w:eastAsia="Arial"/>
          <w:color w:val="222222"/>
          <w:highlight w:val="white"/>
        </w:rPr>
      </w:pPr>
      <w:r>
        <w:rPr>
          <w:rFonts w:eastAsia="Arial"/>
          <w:color w:val="222222"/>
          <w:highlight w:val="white"/>
        </w:rPr>
        <w:t xml:space="preserve">McDowell, I. (2023). Theoretical Models of Health Behavior. </w:t>
      </w:r>
      <w:r>
        <w:rPr>
          <w:rFonts w:eastAsia="Arial"/>
          <w:i/>
          <w:color w:val="222222"/>
          <w:highlight w:val="white"/>
        </w:rPr>
        <w:t>Springer eBooks</w:t>
      </w:r>
      <w:r>
        <w:rPr>
          <w:rFonts w:eastAsia="Arial"/>
          <w:color w:val="222222"/>
          <w:highlight w:val="white"/>
        </w:rPr>
        <w:t>, pp.253–306. doi:https://doi.org/10.1007/978-3-031-28986-6_6.</w:t>
      </w:r>
    </w:p>
    <w:p>
      <w:pPr>
        <w:pStyle w:val="style0"/>
        <w:spacing w:after="240"/>
        <w:rPr>
          <w:rFonts w:eastAsia="Arial"/>
          <w:color w:val="222222"/>
          <w:highlight w:val="white"/>
        </w:rPr>
      </w:pPr>
      <w:r>
        <w:rPr>
          <w:rFonts w:eastAsia="Arial"/>
          <w:color w:val="222222"/>
          <w:highlight w:val="white"/>
        </w:rPr>
        <w:t xml:space="preserve">Monteiro, M., Moreira, M., Arzileiro, T. and Amado, P. (2020). Improving Sleep Awareness: Design and Development of an M-Health App. </w:t>
      </w:r>
      <w:r>
        <w:rPr>
          <w:rFonts w:eastAsia="Arial"/>
          <w:i/>
          <w:color w:val="222222"/>
          <w:highlight w:val="white"/>
        </w:rPr>
        <w:t>Springer Series in Design and Innovation</w:t>
      </w:r>
      <w:r>
        <w:rPr>
          <w:rFonts w:eastAsia="Arial"/>
          <w:color w:val="222222"/>
          <w:highlight w:val="white"/>
        </w:rPr>
        <w:t>, pp.161–173. doi:https://doi.org/10.1007/978-3-030-49647-0_10.</w:t>
      </w:r>
    </w:p>
    <w:p>
      <w:pPr>
        <w:pStyle w:val="style0"/>
        <w:spacing w:after="240"/>
        <w:rPr>
          <w:rFonts w:eastAsia="Arial"/>
          <w:color w:val="222222"/>
          <w:highlight w:val="white"/>
        </w:rPr>
      </w:pPr>
      <w:r>
        <w:rPr>
          <w:rFonts w:eastAsia="Arial"/>
          <w:color w:val="222222"/>
          <w:highlight w:val="white"/>
        </w:rPr>
        <w:t xml:space="preserve">Rivera-Romero, O., Gabarron, E., Ropero, J. and Denecke, K. (2023). Designing personalised mHealth solutions: An overview. </w:t>
      </w:r>
      <w:r>
        <w:rPr>
          <w:rFonts w:eastAsia="Arial"/>
          <w:i/>
          <w:color w:val="222222"/>
          <w:highlight w:val="white"/>
        </w:rPr>
        <w:t>Journal of Biomedical Informatics</w:t>
      </w:r>
      <w:r>
        <w:rPr>
          <w:rFonts w:eastAsia="Arial"/>
          <w:color w:val="222222"/>
          <w:highlight w:val="white"/>
        </w:rPr>
        <w:t>, [online] 146, p.104500. doi:https://doi.org/10.1016/j.jbi.2023.104500.</w:t>
      </w:r>
    </w:p>
    <w:p>
      <w:pPr>
        <w:pStyle w:val="style0"/>
        <w:spacing w:after="240"/>
        <w:rPr>
          <w:rFonts w:eastAsia="Arial"/>
          <w:color w:val="222222"/>
          <w:highlight w:val="white"/>
        </w:rPr>
      </w:pPr>
      <w:r>
        <w:rPr>
          <w:rFonts w:eastAsia="Arial"/>
          <w:color w:val="222222"/>
          <w:highlight w:val="white"/>
        </w:rPr>
        <w:t xml:space="preserve">Sbattella, L. (2023). Conversational Agents, Natural Language Processing, and Machine Learning for Psychotherapy. </w:t>
      </w:r>
      <w:r>
        <w:rPr>
          <w:rFonts w:eastAsia="Arial"/>
          <w:i/>
          <w:color w:val="222222"/>
          <w:highlight w:val="white"/>
        </w:rPr>
        <w:t>CRC Press eBooks</w:t>
      </w:r>
      <w:r>
        <w:rPr>
          <w:rFonts w:eastAsia="Arial"/>
          <w:color w:val="222222"/>
          <w:highlight w:val="white"/>
        </w:rPr>
        <w:t>, pp.184–223. doi:https://doi.org/10.1201/9781003296126-14.</w:t>
      </w:r>
    </w:p>
    <w:p>
      <w:pPr>
        <w:pStyle w:val="style0"/>
        <w:spacing w:after="240"/>
        <w:rPr>
          <w:rFonts w:eastAsia="Arial"/>
          <w:color w:val="222222"/>
          <w:highlight w:val="white"/>
        </w:rPr>
      </w:pPr>
      <w:r>
        <w:rPr>
          <w:rFonts w:eastAsia="Arial"/>
          <w:color w:val="222222"/>
          <w:highlight w:val="white"/>
        </w:rPr>
        <w:t xml:space="preserve">Warner, L.M. and Schwarzer, R. (2024). Self-Efficacy and Health. </w:t>
      </w:r>
      <w:r>
        <w:rPr>
          <w:rFonts w:eastAsia="Arial"/>
          <w:i/>
          <w:color w:val="222222"/>
          <w:highlight w:val="white"/>
        </w:rPr>
        <w:t>Handbook of Concepts in Health, Health Behavior and Environmental Health</w:t>
      </w:r>
      <w:r>
        <w:rPr>
          <w:rFonts w:eastAsia="Arial"/>
          <w:color w:val="222222"/>
          <w:highlight w:val="white"/>
        </w:rPr>
        <w:t>, pp.1–26. doi:https://doi.org/10.1007/978-981-97-0821-5_15-1.</w:t>
      </w:r>
    </w:p>
    <w:p>
      <w:pPr>
        <w:pStyle w:val="style0"/>
        <w:spacing w:after="240"/>
        <w:rPr>
          <w:rFonts w:eastAsia="Arial"/>
          <w:color w:val="222222"/>
          <w:highlight w:val="white"/>
        </w:rPr>
      </w:pPr>
      <w:r>
        <w:rPr>
          <w:rFonts w:eastAsia="Arial"/>
          <w:color w:val="222222"/>
          <w:highlight w:val="white"/>
        </w:rPr>
        <w:t xml:space="preserve">Weisel, K.K., Zarski, A.-C., Berger, T., Krieger, T., Moser, C.T., Schaub, M.P., Görlich, D., Berking, M. and Ebert, D.D. (2020). User Experience and Effects of an Individually Tailored Transdiagnostic Internet-Based and Mobile-Supported Intervention for Anxiety Disorders: Mixed-Methods Study. </w:t>
      </w:r>
      <w:r>
        <w:rPr>
          <w:rFonts w:eastAsia="Arial"/>
          <w:i/>
          <w:color w:val="222222"/>
          <w:highlight w:val="white"/>
        </w:rPr>
        <w:t>Journal of Medical Internet Research</w:t>
      </w:r>
      <w:r>
        <w:rPr>
          <w:rFonts w:eastAsia="Arial"/>
          <w:color w:val="222222"/>
          <w:highlight w:val="white"/>
        </w:rPr>
        <w:t>, 22(9), p.e16450. doi:https://doi.org/10.2196/16450.</w:t>
      </w:r>
    </w:p>
    <w:p>
      <w:pPr>
        <w:pStyle w:val="style0"/>
        <w:spacing w:after="240"/>
        <w:rPr>
          <w:rFonts w:eastAsia="Arial"/>
          <w:color w:val="222222"/>
          <w:highlight w:val="white"/>
        </w:rPr>
      </w:pPr>
      <w:r>
        <w:rPr>
          <w:rFonts w:eastAsia="Arial"/>
          <w:color w:val="222222"/>
          <w:highlight w:val="white"/>
        </w:rPr>
        <w:t xml:space="preserve">Zhang, G., Feng, W., Zhao, L., Zhao, X. and Li, T. (2024). The association between physical activity, self-efficacy, stress self-management and mental health among adolescents. </w:t>
      </w:r>
      <w:r>
        <w:rPr>
          <w:rFonts w:eastAsia="Arial"/>
          <w:i/>
          <w:color w:val="222222"/>
          <w:highlight w:val="white"/>
        </w:rPr>
        <w:t>Scientific Reports</w:t>
      </w:r>
      <w:r>
        <w:rPr>
          <w:rFonts w:eastAsia="Arial"/>
          <w:color w:val="222222"/>
          <w:highlight w:val="white"/>
        </w:rPr>
        <w:t>, 14(1). doi:https://doi.org/10.1038/s41598-024-56149-4.</w:t>
      </w:r>
    </w:p>
    <w:p>
      <w:pPr>
        <w:pStyle w:val="style0"/>
        <w:spacing w:after="240"/>
        <w:rPr>
          <w:rFonts w:eastAsia="Arial"/>
          <w:color w:val="222222"/>
          <w:highlight w:val="white"/>
        </w:rPr>
      </w:pPr>
    </w:p>
    <w:p>
      <w:pPr>
        <w:pStyle w:val="style0"/>
        <w:rPr/>
      </w:pPr>
    </w:p>
    <w:sectPr>
      <w:footerReference w:type="default" r:id="rId6"/>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200247B" w:usb2="00000009" w:usb3="00000000" w:csb0="000001FF" w:csb1="00000000"/>
  </w:font>
  <w:font w:name="SimSun">
    <w:altName w:val="宋体"/>
    <w:panose1 w:val="02010600030000010101"/>
    <w:charset w:val="86"/>
    <w:family w:val="auto"/>
    <w:pitch w:val="variable"/>
    <w:sig w:usb0="00000001" w:usb1="080E0000" w:usb2="00000010" w:usb3="00000000" w:csb0="00040000" w:csb1="00000000"/>
  </w:font>
  <w:font w:name="Cambria">
    <w:altName w:val="Cambria"/>
    <w:panose1 w:val="02040503050000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2</w:t>
    </w:r>
    <w:r>
      <w:rPr>
        <w:noProof/>
        <w:sz w:val="20"/>
        <w:szCs w:val="20"/>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A086B6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1DFC8C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83E8C0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20DCF1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BEB6DD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A888FF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15F814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92A084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5"/>
  </w:num>
  <w:num w:numId="5">
    <w:abstractNumId w:val="6"/>
  </w:num>
  <w:num w:numId="6">
    <w:abstractNumId w:val="3"/>
  </w:num>
  <w:num w:numId="7">
    <w:abstractNumId w:val="0"/>
  </w:num>
  <w:num w:numId="8">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val="en-IN" w:bidi="ar-SA" w:eastAsia="en-IN"/>
      </w:rPr>
    </w:rPrDefault>
    <w:pPrDefault>
      <w:pPr>
        <w:spacing w:lineRule="auto" w:line="360"/>
        <w:jc w:val="both"/>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00" w:after="120"/>
      <w:outlineLvl w:val="0"/>
    </w:pPr>
    <w:rPr>
      <w:sz w:val="40"/>
      <w:szCs w:val="40"/>
    </w:rPr>
  </w:style>
  <w:style w:type="paragraph" w:styleId="style2">
    <w:name w:val="heading 2"/>
    <w:basedOn w:val="style0"/>
    <w:next w:val="style0"/>
    <w:qFormat/>
    <w:uiPriority w:val="9"/>
    <w:pPr>
      <w:keepNext/>
      <w:keepLines/>
      <w:spacing w:before="360" w:after="120"/>
      <w:outlineLvl w:val="1"/>
    </w:pPr>
    <w:rPr>
      <w:b/>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rPr>
  </w:style>
  <w:style w:type="paragraph" w:styleId="style5">
    <w:name w:val="heading 5"/>
    <w:basedOn w:val="style0"/>
    <w:next w:val="style0"/>
    <w:qFormat/>
    <w:uiPriority w:val="9"/>
    <w:pPr>
      <w:keepNext/>
      <w:keepLines/>
      <w:spacing w:before="240" w:after="80"/>
      <w:outlineLvl w:val="4"/>
    </w:pPr>
    <w:rPr>
      <w:color w:val="666666"/>
      <w:sz w:val="22"/>
      <w:szCs w:val="22"/>
    </w:rPr>
  </w:style>
  <w:style w:type="paragraph" w:styleId="style6">
    <w:name w:val="heading 6"/>
    <w:basedOn w:val="style0"/>
    <w:next w:val="style0"/>
    <w:qFormat/>
    <w:uiPriority w:val="9"/>
    <w:pPr>
      <w:keepNext/>
      <w:keepLines/>
      <w:spacing w:before="240" w:after="80"/>
      <w:outlineLvl w:val="5"/>
    </w:pPr>
    <w:rPr>
      <w:i/>
      <w:color w:val="666666"/>
      <w:sz w:val="22"/>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rFonts w:ascii="Arial" w:cs="Arial" w:eastAsia="Arial" w:hAnsi="Arial"/>
      <w:color w:val="666666"/>
      <w:sz w:val="30"/>
      <w:szCs w:val="30"/>
    </w:rPr>
  </w:style>
  <w:style w:type="paragraph" w:styleId="style31">
    <w:name w:val="header"/>
    <w:basedOn w:val="style0"/>
    <w:next w:val="style31"/>
    <w:link w:val="style4097"/>
    <w:uiPriority w:val="99"/>
    <w:pPr>
      <w:tabs>
        <w:tab w:val="center" w:leader="none" w:pos="4513"/>
        <w:tab w:val="right" w:leader="none" w:pos="9026"/>
      </w:tabs>
      <w:spacing w:lineRule="auto" w:line="240"/>
    </w:pPr>
    <w:rPr/>
  </w:style>
  <w:style w:type="character" w:customStyle="1" w:styleId="style4097">
    <w:name w:val="Header Char_716b2b00-188c-42b1-acca-44741c431008"/>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lineRule="auto" w:line="240"/>
    </w:pPr>
    <w:rPr/>
  </w:style>
  <w:style w:type="character" w:customStyle="1" w:styleId="style4098">
    <w:name w:val="Footer Char_55e9576d-4815-4774-b884-1eef35e256c0"/>
    <w:basedOn w:val="style65"/>
    <w:next w:val="style4098"/>
    <w:link w:val="style32"/>
    <w:uiPriority w:val="99"/>
  </w:style>
  <w:style w:type="paragraph" w:styleId="style266">
    <w:name w:val="TOC Heading"/>
    <w:basedOn w:val="style1"/>
    <w:next w:val="style0"/>
    <w:qFormat/>
    <w:uiPriority w:val="39"/>
    <w:pPr>
      <w:spacing w:before="240" w:after="0" w:lineRule="auto" w:line="259"/>
      <w:jc w:val="left"/>
      <w:outlineLvl w:val="9"/>
    </w:pPr>
    <w:rPr>
      <w:rFonts w:ascii="Calibri" w:cs="SimSun" w:eastAsia="SimSun" w:hAnsi="Calibri"/>
      <w:color w:val="365f91"/>
      <w:sz w:val="32"/>
      <w:szCs w:val="32"/>
      <w:lang w:val="en-US" w:eastAsia="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000ff"/>
      <w:u w:val="single"/>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21542-5553-4F31-BB77-55EC0B683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Words>3291</Words>
  <Pages>16</Pages>
  <Characters>22395</Characters>
  <Application>WPS Office</Application>
  <DocSecurity>0</DocSecurity>
  <Paragraphs>131</Paragraphs>
  <ScaleCrop>false</ScaleCrop>
  <LinksUpToDate>false</LinksUpToDate>
  <CharactersWithSpaces>25598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2025-03-25T12:58:00Z</dcterms:created>
  <dc:creator>WPS Office</dc:creator>
  <lastModifiedBy>V2029</lastModifiedBy>
  <dcterms:modified xsi:type="dcterms:W3CDTF">2025-03-31T21:27:51Z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2025-03-25T13:01:14Z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0e05b91e-98d6-46bf-8d79-1151c98bcc2a</vt:lpwstr>
  </property>
  <property fmtid="{D5CDD505-2E9C-101B-9397-08002B2CF9AE}" pid="7" name="MSIP_Label_defa4170-0d19-0005-0004-bc88714345d2_ActionId">
    <vt:lpwstr>31735367-d7e6-4de1-a0f0-394d689382ac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ICV">
    <vt:lpwstr>eb43cc3870764aab88b5441b1ad735d9</vt:lpwstr>
  </property>
</Properties>
</file>