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790A6" w14:textId="77777777" w:rsidR="00296F7A" w:rsidRDefault="00296F7A" w:rsidP="00296F7A">
      <w:pPr>
        <w:spacing w:line="360" w:lineRule="auto"/>
        <w:jc w:val="center"/>
        <w:rPr>
          <w:rFonts w:ascii="Times New Roman" w:hAnsi="Times New Roman" w:cs="Times New Roman"/>
          <w:sz w:val="24"/>
          <w:szCs w:val="24"/>
        </w:rPr>
      </w:pPr>
    </w:p>
    <w:p w14:paraId="7164E5F3" w14:textId="77777777" w:rsidR="00296F7A" w:rsidRDefault="00296F7A" w:rsidP="00296F7A">
      <w:pPr>
        <w:spacing w:line="360" w:lineRule="auto"/>
        <w:jc w:val="center"/>
        <w:rPr>
          <w:rFonts w:ascii="Times New Roman" w:hAnsi="Times New Roman" w:cs="Times New Roman"/>
          <w:sz w:val="24"/>
          <w:szCs w:val="24"/>
        </w:rPr>
      </w:pPr>
    </w:p>
    <w:p w14:paraId="46D69D94" w14:textId="4229AC3C" w:rsidR="0091642C" w:rsidRPr="00296F7A" w:rsidRDefault="00296F7A" w:rsidP="00296F7A">
      <w:pPr>
        <w:spacing w:line="360" w:lineRule="auto"/>
        <w:jc w:val="center"/>
        <w:rPr>
          <w:rFonts w:ascii="Times New Roman" w:hAnsi="Times New Roman" w:cs="Times New Roman"/>
          <w:b/>
          <w:sz w:val="24"/>
          <w:szCs w:val="24"/>
        </w:rPr>
      </w:pPr>
      <w:r w:rsidRPr="00296F7A">
        <w:rPr>
          <w:rFonts w:ascii="Times New Roman" w:hAnsi="Times New Roman" w:cs="Times New Roman"/>
          <w:b/>
          <w:sz w:val="24"/>
          <w:szCs w:val="24"/>
        </w:rPr>
        <w:t>Project Management</w:t>
      </w:r>
      <w:r w:rsidR="009F0C95">
        <w:rPr>
          <w:rFonts w:ascii="Times New Roman" w:hAnsi="Times New Roman" w:cs="Times New Roman"/>
          <w:b/>
          <w:sz w:val="24"/>
          <w:szCs w:val="24"/>
        </w:rPr>
        <w:t xml:space="preserve"> (LCBB5005)</w:t>
      </w:r>
    </w:p>
    <w:p w14:paraId="326822BD" w14:textId="77777777" w:rsidR="00296F7A" w:rsidRDefault="00296F7A" w:rsidP="00296F7A">
      <w:pPr>
        <w:spacing w:line="360" w:lineRule="auto"/>
        <w:jc w:val="center"/>
        <w:rPr>
          <w:rFonts w:ascii="Times New Roman" w:hAnsi="Times New Roman" w:cs="Times New Roman"/>
          <w:sz w:val="24"/>
          <w:szCs w:val="24"/>
        </w:rPr>
      </w:pPr>
    </w:p>
    <w:p w14:paraId="60097CAF" w14:textId="77777777" w:rsidR="00296F7A" w:rsidRDefault="00296F7A" w:rsidP="00296F7A">
      <w:pPr>
        <w:spacing w:line="360" w:lineRule="auto"/>
        <w:jc w:val="center"/>
        <w:rPr>
          <w:rFonts w:ascii="Times New Roman" w:hAnsi="Times New Roman" w:cs="Times New Roman"/>
          <w:sz w:val="24"/>
          <w:szCs w:val="24"/>
        </w:rPr>
      </w:pPr>
    </w:p>
    <w:p w14:paraId="67011F1D" w14:textId="54A80086" w:rsidR="00296F7A" w:rsidRPr="007266D1" w:rsidRDefault="00B001D0" w:rsidP="00296F7A">
      <w:pPr>
        <w:spacing w:line="360" w:lineRule="auto"/>
        <w:jc w:val="center"/>
        <w:rPr>
          <w:rFonts w:ascii="Times New Roman" w:hAnsi="Times New Roman" w:cs="Times New Roman"/>
          <w:sz w:val="36"/>
          <w:szCs w:val="36"/>
        </w:rPr>
      </w:pPr>
      <w:r w:rsidRPr="007266D1">
        <w:rPr>
          <w:rFonts w:ascii="Times New Roman" w:hAnsi="Times New Roman" w:cs="Times New Roman"/>
          <w:sz w:val="36"/>
          <w:szCs w:val="36"/>
        </w:rPr>
        <w:t>Plamen Petrov Pelov (2024898)</w:t>
      </w:r>
    </w:p>
    <w:p w14:paraId="4C28EF0B" w14:textId="47F8BC1C" w:rsidR="00B001D0" w:rsidRPr="007266D1" w:rsidRDefault="00B001D0" w:rsidP="00296F7A">
      <w:pPr>
        <w:spacing w:line="360" w:lineRule="auto"/>
        <w:jc w:val="center"/>
        <w:rPr>
          <w:rFonts w:ascii="Times New Roman" w:hAnsi="Times New Roman" w:cs="Times New Roman"/>
          <w:sz w:val="36"/>
          <w:szCs w:val="36"/>
        </w:rPr>
      </w:pPr>
      <w:r w:rsidRPr="007266D1">
        <w:rPr>
          <w:rFonts w:ascii="Times New Roman" w:hAnsi="Times New Roman" w:cs="Times New Roman"/>
          <w:sz w:val="36"/>
          <w:szCs w:val="36"/>
        </w:rPr>
        <w:t xml:space="preserve">University of Wales Trinity Saint David </w:t>
      </w:r>
    </w:p>
    <w:p w14:paraId="08EA67DD" w14:textId="55A9B2B3" w:rsidR="00296F7A" w:rsidRPr="007266D1" w:rsidRDefault="00B001D0" w:rsidP="00B001D0">
      <w:pPr>
        <w:spacing w:line="360" w:lineRule="auto"/>
        <w:jc w:val="center"/>
        <w:rPr>
          <w:rFonts w:ascii="Times New Roman" w:hAnsi="Times New Roman" w:cs="Times New Roman"/>
          <w:sz w:val="36"/>
          <w:szCs w:val="36"/>
        </w:rPr>
      </w:pPr>
      <w:r w:rsidRPr="007266D1">
        <w:rPr>
          <w:rFonts w:ascii="Times New Roman" w:hAnsi="Times New Roman" w:cs="Times New Roman"/>
          <w:sz w:val="36"/>
          <w:szCs w:val="36"/>
        </w:rPr>
        <w:t>0</w:t>
      </w:r>
      <w:r w:rsidR="007266D1" w:rsidRPr="007266D1">
        <w:rPr>
          <w:rFonts w:ascii="Times New Roman" w:hAnsi="Times New Roman" w:cs="Times New Roman"/>
          <w:sz w:val="36"/>
          <w:szCs w:val="36"/>
        </w:rPr>
        <w:t>7</w:t>
      </w:r>
      <w:r w:rsidRPr="007266D1">
        <w:rPr>
          <w:rFonts w:ascii="Times New Roman" w:hAnsi="Times New Roman" w:cs="Times New Roman"/>
          <w:sz w:val="36"/>
          <w:szCs w:val="36"/>
        </w:rPr>
        <w:t>/12/2022</w:t>
      </w:r>
    </w:p>
    <w:p w14:paraId="239F3CC3" w14:textId="77777777" w:rsidR="00296F7A" w:rsidRDefault="00296F7A" w:rsidP="00296F7A">
      <w:pPr>
        <w:spacing w:line="360" w:lineRule="auto"/>
        <w:jc w:val="both"/>
        <w:rPr>
          <w:rFonts w:ascii="Times New Roman" w:hAnsi="Times New Roman" w:cs="Times New Roman"/>
          <w:sz w:val="24"/>
          <w:szCs w:val="24"/>
        </w:rPr>
      </w:pPr>
    </w:p>
    <w:p w14:paraId="023438FC" w14:textId="77777777" w:rsidR="00296F7A" w:rsidRDefault="00296F7A" w:rsidP="00296F7A">
      <w:pPr>
        <w:spacing w:line="360" w:lineRule="auto"/>
        <w:jc w:val="both"/>
        <w:rPr>
          <w:rFonts w:ascii="Times New Roman" w:hAnsi="Times New Roman" w:cs="Times New Roman"/>
          <w:sz w:val="24"/>
          <w:szCs w:val="24"/>
        </w:rPr>
      </w:pPr>
    </w:p>
    <w:p w14:paraId="287AC369" w14:textId="77777777" w:rsidR="00296F7A" w:rsidRDefault="00296F7A" w:rsidP="00296F7A">
      <w:pPr>
        <w:spacing w:line="360" w:lineRule="auto"/>
        <w:jc w:val="both"/>
        <w:rPr>
          <w:rFonts w:ascii="Times New Roman" w:hAnsi="Times New Roman" w:cs="Times New Roman"/>
          <w:sz w:val="24"/>
          <w:szCs w:val="24"/>
        </w:rPr>
      </w:pPr>
    </w:p>
    <w:p w14:paraId="08A75EE7" w14:textId="77777777" w:rsidR="00296F7A" w:rsidRDefault="00296F7A" w:rsidP="00296F7A">
      <w:pPr>
        <w:spacing w:line="360" w:lineRule="auto"/>
        <w:jc w:val="both"/>
        <w:rPr>
          <w:rFonts w:ascii="Times New Roman" w:hAnsi="Times New Roman" w:cs="Times New Roman"/>
          <w:sz w:val="24"/>
          <w:szCs w:val="24"/>
        </w:rPr>
      </w:pPr>
    </w:p>
    <w:p w14:paraId="17F0808A" w14:textId="77777777" w:rsidR="00296F7A" w:rsidRDefault="00296F7A" w:rsidP="00296F7A">
      <w:pPr>
        <w:spacing w:line="360" w:lineRule="auto"/>
        <w:jc w:val="both"/>
        <w:rPr>
          <w:rFonts w:ascii="Times New Roman" w:hAnsi="Times New Roman" w:cs="Times New Roman"/>
          <w:sz w:val="24"/>
          <w:szCs w:val="24"/>
        </w:rPr>
      </w:pPr>
    </w:p>
    <w:p w14:paraId="007FDF97" w14:textId="77777777" w:rsidR="00296F7A" w:rsidRDefault="00296F7A" w:rsidP="00296F7A">
      <w:pPr>
        <w:spacing w:line="360" w:lineRule="auto"/>
        <w:jc w:val="both"/>
        <w:rPr>
          <w:rFonts w:ascii="Times New Roman" w:hAnsi="Times New Roman" w:cs="Times New Roman"/>
          <w:sz w:val="24"/>
          <w:szCs w:val="24"/>
        </w:rPr>
      </w:pPr>
    </w:p>
    <w:p w14:paraId="44B152D6" w14:textId="77777777" w:rsidR="00296F7A" w:rsidRDefault="00296F7A" w:rsidP="00296F7A">
      <w:pPr>
        <w:spacing w:line="360" w:lineRule="auto"/>
        <w:jc w:val="both"/>
        <w:rPr>
          <w:rFonts w:ascii="Times New Roman" w:hAnsi="Times New Roman" w:cs="Times New Roman"/>
          <w:sz w:val="24"/>
          <w:szCs w:val="24"/>
        </w:rPr>
      </w:pPr>
    </w:p>
    <w:p w14:paraId="61C3B14F" w14:textId="77777777" w:rsidR="00296F7A" w:rsidRDefault="00296F7A" w:rsidP="00296F7A">
      <w:pPr>
        <w:spacing w:line="360" w:lineRule="auto"/>
        <w:jc w:val="both"/>
        <w:rPr>
          <w:rFonts w:ascii="Times New Roman" w:hAnsi="Times New Roman" w:cs="Times New Roman"/>
          <w:sz w:val="24"/>
          <w:szCs w:val="24"/>
        </w:rPr>
      </w:pPr>
    </w:p>
    <w:p w14:paraId="2B7619A3" w14:textId="77777777" w:rsidR="00296F7A" w:rsidRDefault="00296F7A" w:rsidP="00296F7A">
      <w:pPr>
        <w:spacing w:line="360" w:lineRule="auto"/>
        <w:jc w:val="both"/>
        <w:rPr>
          <w:rFonts w:ascii="Times New Roman" w:hAnsi="Times New Roman" w:cs="Times New Roman"/>
          <w:sz w:val="24"/>
          <w:szCs w:val="24"/>
        </w:rPr>
      </w:pPr>
    </w:p>
    <w:p w14:paraId="6CC2584E" w14:textId="77777777" w:rsidR="00296F7A" w:rsidRDefault="00296F7A" w:rsidP="00296F7A">
      <w:pPr>
        <w:spacing w:line="360" w:lineRule="auto"/>
        <w:jc w:val="both"/>
        <w:rPr>
          <w:rFonts w:ascii="Times New Roman" w:hAnsi="Times New Roman" w:cs="Times New Roman"/>
          <w:sz w:val="24"/>
          <w:szCs w:val="24"/>
        </w:rPr>
      </w:pPr>
    </w:p>
    <w:p w14:paraId="76C29D39" w14:textId="77777777" w:rsidR="00296F7A" w:rsidRDefault="00296F7A" w:rsidP="00296F7A">
      <w:pPr>
        <w:spacing w:line="360" w:lineRule="auto"/>
        <w:jc w:val="both"/>
        <w:rPr>
          <w:rFonts w:ascii="Times New Roman" w:hAnsi="Times New Roman" w:cs="Times New Roman"/>
          <w:sz w:val="24"/>
          <w:szCs w:val="24"/>
        </w:rPr>
      </w:pPr>
    </w:p>
    <w:p w14:paraId="23167B56" w14:textId="77777777" w:rsidR="00296F7A" w:rsidRDefault="00296F7A" w:rsidP="00296F7A">
      <w:pPr>
        <w:spacing w:line="360" w:lineRule="auto"/>
        <w:jc w:val="both"/>
        <w:rPr>
          <w:rFonts w:ascii="Times New Roman" w:hAnsi="Times New Roman" w:cs="Times New Roman"/>
          <w:sz w:val="24"/>
          <w:szCs w:val="24"/>
        </w:rPr>
      </w:pPr>
    </w:p>
    <w:p w14:paraId="30864DD0" w14:textId="77777777" w:rsidR="00296F7A" w:rsidRDefault="00296F7A" w:rsidP="00296F7A">
      <w:pPr>
        <w:spacing w:line="360" w:lineRule="auto"/>
        <w:jc w:val="both"/>
        <w:rPr>
          <w:rFonts w:ascii="Times New Roman" w:hAnsi="Times New Roman" w:cs="Times New Roman"/>
          <w:sz w:val="24"/>
          <w:szCs w:val="24"/>
        </w:rPr>
      </w:pPr>
    </w:p>
    <w:p w14:paraId="2B63E78D" w14:textId="77777777" w:rsidR="00296F7A" w:rsidRDefault="00296F7A" w:rsidP="00296F7A">
      <w:pPr>
        <w:spacing w:line="360" w:lineRule="auto"/>
        <w:jc w:val="both"/>
        <w:rPr>
          <w:rFonts w:ascii="Times New Roman" w:hAnsi="Times New Roman" w:cs="Times New Roman"/>
          <w:sz w:val="24"/>
          <w:szCs w:val="24"/>
        </w:rPr>
      </w:pPr>
    </w:p>
    <w:p w14:paraId="32B6CE89" w14:textId="77777777" w:rsidR="00296F7A" w:rsidRDefault="00296F7A" w:rsidP="00296F7A">
      <w:pPr>
        <w:spacing w:line="360" w:lineRule="auto"/>
        <w:jc w:val="both"/>
        <w:rPr>
          <w:rFonts w:ascii="Times New Roman" w:hAnsi="Times New Roman" w:cs="Times New Roman"/>
          <w:sz w:val="24"/>
          <w:szCs w:val="24"/>
        </w:rPr>
      </w:pPr>
    </w:p>
    <w:p w14:paraId="2A1E2E18" w14:textId="77777777" w:rsidR="00296F7A" w:rsidRDefault="00296F7A" w:rsidP="00296F7A">
      <w:pPr>
        <w:spacing w:line="360" w:lineRule="auto"/>
        <w:jc w:val="both"/>
        <w:rPr>
          <w:rFonts w:ascii="Times New Roman" w:hAnsi="Times New Roman" w:cs="Times New Roman"/>
          <w:sz w:val="24"/>
          <w:szCs w:val="24"/>
        </w:rPr>
      </w:pPr>
    </w:p>
    <w:p w14:paraId="62DB1DC4" w14:textId="77777777" w:rsidR="00296F7A" w:rsidRDefault="00296F7A" w:rsidP="00296F7A">
      <w:pPr>
        <w:spacing w:line="360" w:lineRule="auto"/>
        <w:jc w:val="both"/>
        <w:rPr>
          <w:rFonts w:ascii="Times New Roman" w:hAnsi="Times New Roman" w:cs="Times New Roman"/>
          <w:sz w:val="24"/>
          <w:szCs w:val="24"/>
        </w:rPr>
      </w:pPr>
    </w:p>
    <w:p w14:paraId="0B11DA3F" w14:textId="77777777" w:rsidR="00296F7A" w:rsidRDefault="00296F7A" w:rsidP="00296F7A">
      <w:pPr>
        <w:spacing w:line="360" w:lineRule="auto"/>
        <w:jc w:val="both"/>
        <w:rPr>
          <w:rFonts w:ascii="Times New Roman" w:hAnsi="Times New Roman" w:cs="Times New Roman"/>
          <w:sz w:val="24"/>
          <w:szCs w:val="24"/>
        </w:rPr>
      </w:pPr>
    </w:p>
    <w:p w14:paraId="46EE67E5" w14:textId="77777777" w:rsidR="00296F7A" w:rsidRDefault="00296F7A" w:rsidP="00296F7A">
      <w:pPr>
        <w:spacing w:line="360" w:lineRule="auto"/>
        <w:jc w:val="both"/>
        <w:rPr>
          <w:rFonts w:ascii="Times New Roman" w:hAnsi="Times New Roman" w:cs="Times New Roman"/>
          <w:sz w:val="24"/>
          <w:szCs w:val="24"/>
        </w:rPr>
      </w:pPr>
    </w:p>
    <w:p w14:paraId="4314A132" w14:textId="77777777" w:rsidR="00296F7A" w:rsidRDefault="00296F7A" w:rsidP="00296F7A">
      <w:pPr>
        <w:spacing w:line="360" w:lineRule="auto"/>
        <w:jc w:val="both"/>
        <w:rPr>
          <w:rFonts w:ascii="Times New Roman" w:hAnsi="Times New Roman" w:cs="Times New Roman"/>
          <w:sz w:val="24"/>
          <w:szCs w:val="24"/>
        </w:rPr>
      </w:pPr>
    </w:p>
    <w:p w14:paraId="0978CF50" w14:textId="77777777" w:rsidR="00296F7A" w:rsidRDefault="00296F7A" w:rsidP="00296F7A">
      <w:pPr>
        <w:spacing w:line="360" w:lineRule="auto"/>
        <w:jc w:val="both"/>
        <w:rPr>
          <w:rFonts w:ascii="Times New Roman" w:hAnsi="Times New Roman" w:cs="Times New Roman"/>
          <w:sz w:val="24"/>
          <w:szCs w:val="24"/>
        </w:rPr>
      </w:pPr>
    </w:p>
    <w:p w14:paraId="7AB5E2DC" w14:textId="77777777" w:rsidR="00296F7A" w:rsidRDefault="00296F7A" w:rsidP="00296F7A">
      <w:pPr>
        <w:spacing w:line="360" w:lineRule="auto"/>
        <w:jc w:val="both"/>
        <w:rPr>
          <w:rFonts w:ascii="Times New Roman" w:hAnsi="Times New Roman" w:cs="Times New Roman"/>
          <w:sz w:val="24"/>
          <w:szCs w:val="24"/>
        </w:rPr>
      </w:pPr>
    </w:p>
    <w:p w14:paraId="2ECD17F8" w14:textId="77777777" w:rsidR="00296F7A" w:rsidRDefault="00296F7A" w:rsidP="00296F7A">
      <w:pPr>
        <w:spacing w:line="360" w:lineRule="auto"/>
        <w:jc w:val="both"/>
        <w:rPr>
          <w:rFonts w:ascii="Times New Roman" w:hAnsi="Times New Roman" w:cs="Times New Roman"/>
          <w:sz w:val="24"/>
          <w:szCs w:val="24"/>
        </w:rPr>
      </w:pPr>
    </w:p>
    <w:p w14:paraId="0D1D5D4A" w14:textId="77777777" w:rsidR="00296F7A" w:rsidRDefault="00296F7A" w:rsidP="00296F7A">
      <w:pPr>
        <w:spacing w:line="360" w:lineRule="auto"/>
        <w:jc w:val="both"/>
        <w:rPr>
          <w:rFonts w:ascii="Times New Roman" w:hAnsi="Times New Roman" w:cs="Times New Roman"/>
          <w:sz w:val="24"/>
          <w:szCs w:val="24"/>
        </w:rPr>
      </w:pPr>
    </w:p>
    <w:p w14:paraId="3A908B58" w14:textId="77777777" w:rsidR="00296F7A" w:rsidRDefault="00296F7A" w:rsidP="00296F7A">
      <w:pPr>
        <w:spacing w:line="360" w:lineRule="auto"/>
        <w:jc w:val="both"/>
        <w:rPr>
          <w:rFonts w:ascii="Times New Roman" w:hAnsi="Times New Roman" w:cs="Times New Roman"/>
          <w:sz w:val="24"/>
          <w:szCs w:val="24"/>
        </w:rPr>
      </w:pPr>
    </w:p>
    <w:p w14:paraId="563E6FEE" w14:textId="77777777" w:rsidR="00296F7A" w:rsidRDefault="00296F7A" w:rsidP="00296F7A">
      <w:pPr>
        <w:spacing w:line="360" w:lineRule="auto"/>
        <w:jc w:val="both"/>
        <w:rPr>
          <w:rFonts w:ascii="Times New Roman" w:hAnsi="Times New Roman" w:cs="Times New Roman"/>
          <w:sz w:val="24"/>
          <w:szCs w:val="24"/>
        </w:rPr>
      </w:pPr>
    </w:p>
    <w:p w14:paraId="3458E9CF" w14:textId="77777777" w:rsidR="00296F7A" w:rsidRDefault="00296F7A" w:rsidP="00296F7A">
      <w:pPr>
        <w:spacing w:line="360" w:lineRule="auto"/>
        <w:jc w:val="both"/>
        <w:rPr>
          <w:rFonts w:ascii="Times New Roman" w:hAnsi="Times New Roman" w:cs="Times New Roman"/>
          <w:sz w:val="24"/>
          <w:szCs w:val="24"/>
        </w:rPr>
      </w:pPr>
    </w:p>
    <w:p w14:paraId="520E76B3" w14:textId="77777777" w:rsidR="00296F7A" w:rsidRDefault="00296F7A" w:rsidP="00296F7A">
      <w:pPr>
        <w:spacing w:line="360" w:lineRule="auto"/>
        <w:jc w:val="both"/>
        <w:rPr>
          <w:rFonts w:ascii="Times New Roman" w:hAnsi="Times New Roman" w:cs="Times New Roman"/>
          <w:sz w:val="24"/>
          <w:szCs w:val="24"/>
        </w:rPr>
      </w:pPr>
    </w:p>
    <w:p w14:paraId="0FEC9C54" w14:textId="77777777" w:rsidR="00296F7A" w:rsidRDefault="00296F7A" w:rsidP="00296F7A">
      <w:pPr>
        <w:spacing w:line="360" w:lineRule="auto"/>
        <w:jc w:val="both"/>
        <w:rPr>
          <w:rFonts w:ascii="Times New Roman" w:hAnsi="Times New Roman" w:cs="Times New Roman"/>
          <w:sz w:val="24"/>
          <w:szCs w:val="24"/>
        </w:rPr>
      </w:pPr>
    </w:p>
    <w:p w14:paraId="0335FA31" w14:textId="77777777" w:rsidR="00296F7A" w:rsidRDefault="00296F7A" w:rsidP="00296F7A">
      <w:pPr>
        <w:spacing w:line="360" w:lineRule="auto"/>
        <w:jc w:val="both"/>
        <w:rPr>
          <w:rFonts w:ascii="Times New Roman" w:hAnsi="Times New Roman" w:cs="Times New Roman"/>
          <w:sz w:val="24"/>
          <w:szCs w:val="24"/>
        </w:rPr>
      </w:pPr>
    </w:p>
    <w:p w14:paraId="48CBDBB4" w14:textId="77777777" w:rsidR="00296F7A" w:rsidRDefault="00296F7A" w:rsidP="00296F7A">
      <w:pPr>
        <w:spacing w:line="360" w:lineRule="auto"/>
        <w:jc w:val="both"/>
        <w:rPr>
          <w:rFonts w:ascii="Times New Roman" w:hAnsi="Times New Roman" w:cs="Times New Roman"/>
          <w:sz w:val="24"/>
          <w:szCs w:val="24"/>
        </w:rPr>
      </w:pPr>
    </w:p>
    <w:p w14:paraId="4FB8612F" w14:textId="77777777" w:rsidR="00296F7A" w:rsidRDefault="00296F7A" w:rsidP="00296F7A">
      <w:pPr>
        <w:spacing w:line="360" w:lineRule="auto"/>
        <w:jc w:val="both"/>
        <w:rPr>
          <w:rFonts w:ascii="Times New Roman" w:hAnsi="Times New Roman" w:cs="Times New Roman"/>
          <w:sz w:val="24"/>
          <w:szCs w:val="24"/>
        </w:rPr>
      </w:pPr>
    </w:p>
    <w:p w14:paraId="6F751BEB" w14:textId="77777777" w:rsidR="00296F7A" w:rsidRDefault="00296F7A" w:rsidP="00296F7A">
      <w:pPr>
        <w:spacing w:line="360" w:lineRule="auto"/>
        <w:jc w:val="both"/>
        <w:rPr>
          <w:rFonts w:ascii="Times New Roman" w:hAnsi="Times New Roman" w:cs="Times New Roman"/>
          <w:sz w:val="24"/>
          <w:szCs w:val="24"/>
        </w:rPr>
      </w:pPr>
    </w:p>
    <w:p w14:paraId="7ABCEA06" w14:textId="77777777" w:rsidR="00296F7A" w:rsidRDefault="00296F7A" w:rsidP="00296F7A">
      <w:pPr>
        <w:spacing w:line="360" w:lineRule="auto"/>
        <w:jc w:val="both"/>
        <w:rPr>
          <w:rFonts w:ascii="Times New Roman" w:hAnsi="Times New Roman" w:cs="Times New Roman"/>
          <w:sz w:val="24"/>
          <w:szCs w:val="24"/>
        </w:rPr>
      </w:pPr>
    </w:p>
    <w:p w14:paraId="3C6AD87F" w14:textId="77777777" w:rsidR="00296F7A" w:rsidRDefault="00296F7A" w:rsidP="00296F7A">
      <w:pPr>
        <w:spacing w:line="360" w:lineRule="auto"/>
        <w:jc w:val="both"/>
        <w:rPr>
          <w:rFonts w:ascii="Times New Roman" w:hAnsi="Times New Roman" w:cs="Times New Roman"/>
          <w:sz w:val="24"/>
          <w:szCs w:val="24"/>
        </w:rPr>
      </w:pPr>
    </w:p>
    <w:p w14:paraId="6A0064C3" w14:textId="77777777" w:rsidR="00296F7A" w:rsidRDefault="00296F7A" w:rsidP="00296F7A">
      <w:pPr>
        <w:spacing w:line="360" w:lineRule="auto"/>
        <w:jc w:val="both"/>
        <w:rPr>
          <w:rFonts w:ascii="Times New Roman" w:hAnsi="Times New Roman" w:cs="Times New Roman"/>
          <w:sz w:val="24"/>
          <w:szCs w:val="24"/>
        </w:rPr>
      </w:pPr>
    </w:p>
    <w:p w14:paraId="2C268ADF" w14:textId="77777777" w:rsidR="00296F7A" w:rsidRPr="00296F7A" w:rsidRDefault="00296F7A" w:rsidP="00A1636E">
      <w:pPr>
        <w:pStyle w:val="Heading1"/>
      </w:pPr>
      <w:r w:rsidRPr="00296F7A">
        <w:t>Cross Rail Project (Elizabeth Line)</w:t>
      </w:r>
    </w:p>
    <w:p w14:paraId="5DAA546B" w14:textId="77777777" w:rsidR="00296F7A" w:rsidRPr="00296F7A" w:rsidRDefault="00296F7A" w:rsidP="00A1636E">
      <w:pPr>
        <w:pStyle w:val="Heading1"/>
      </w:pPr>
      <w:r w:rsidRPr="00296F7A">
        <w:lastRenderedPageBreak/>
        <w:t>Introduction</w:t>
      </w:r>
    </w:p>
    <w:p w14:paraId="6A756AAE" w14:textId="77777777" w:rsidR="00C2430F" w:rsidRPr="00296F7A" w:rsidRDefault="00C2430F"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Crossrail, Europe's largest infrastructure project, is a joint undertaking of the Department of Transport and Transport for London with the purpose of reducing congestion, increasing capacity and stimulating economic growth. The current expenditure of the venture has risen from £15.9bn in 2007 to £17.6bn in 2019, and its benefit cost ratio (BCR) is 1.97, increasing to 3.09 when taking the wider economic effects into consideration. With a potential economic benefit of up to £15bn, the Crossrail project has a strong business case. However, the construction costs are yet to be determined, and the project has experienced a delay in tunnelling, testing of new tracks and stations, which is likely to cost between £1.3bn and £1.7bn. For this reason, it is essential to form a comprehensive plan before commencing the project and for the sponsors to create a clear vision and values for decision-making and source private funding.</w:t>
      </w:r>
    </w:p>
    <w:p w14:paraId="358A7EF0" w14:textId="77777777" w:rsidR="00A74781" w:rsidRPr="00296F7A" w:rsidRDefault="00ED195C" w:rsidP="00A1636E">
      <w:pPr>
        <w:pStyle w:val="Heading1"/>
      </w:pPr>
      <w:r w:rsidRPr="00296F7A">
        <w:t xml:space="preserve">Reference </w:t>
      </w:r>
      <w:r w:rsidR="00E95F13" w:rsidRPr="00296F7A">
        <w:t>Terms</w:t>
      </w:r>
    </w:p>
    <w:p w14:paraId="1D347BFB"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This individual coursework assignment is a report that needs to be completed in order to partially satisfy the requirement for the Project Management module. This report's goals are to provide an objective analysis of the Crossrail project, including its goals and objectives, the logic for the project as a business case, the cost as well as financing of the project, and challenges that are associated with the project. As a result, the objectives of this report are founded on the direct set objectives, which include performance, budget, and timing considerations.</w:t>
      </w:r>
    </w:p>
    <w:p w14:paraId="018507E8" w14:textId="77777777" w:rsidR="00E95F13" w:rsidRPr="00296F7A" w:rsidRDefault="00E95F13" w:rsidP="00A1636E">
      <w:pPr>
        <w:pStyle w:val="Heading1"/>
      </w:pPr>
      <w:r w:rsidRPr="00296F7A">
        <w:t>Quality</w:t>
      </w:r>
    </w:p>
    <w:p w14:paraId="678CF9D7" w14:textId="77777777" w:rsidR="00E95F13" w:rsidRPr="00296F7A" w:rsidRDefault="00E95F13"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 xml:space="preserve">The quality of the Cross Rail project is of paramount importance. Unfortunately, there have been a number of issues that have raised concerns about the quality of the project. These issues include the discovery of asbestos in some of the tunnels and reports of water ingress in some of the stations. These problems have caused delays and have led to increased costs. Stakeholders The Cross Rail project involves a variety of stakeholders, including the government, Transport for London, Network Rail, and the local authorities. Each of these stakeholders has their own interests and objectives, and they all have a vested interest in the success of the project. Despite this, the project has been beset with problems, leading to cost overruns and delays. </w:t>
      </w:r>
    </w:p>
    <w:p w14:paraId="26598D8B" w14:textId="77777777" w:rsidR="00A74781" w:rsidRPr="00296F7A" w:rsidRDefault="00E95F13" w:rsidP="00A1636E">
      <w:pPr>
        <w:pStyle w:val="Heading1"/>
      </w:pPr>
      <w:r w:rsidRPr="00296F7A">
        <w:t>The Report’s Scope</w:t>
      </w:r>
    </w:p>
    <w:p w14:paraId="5497C3AB" w14:textId="77777777" w:rsidR="00E95F13" w:rsidRPr="00296F7A" w:rsidRDefault="00E95F13"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lastRenderedPageBreak/>
        <w:t>The development of the project, its finance and financing, and the oversight of its progress to this point are the only topics that will be covered in this report. The paper has conducted a comprehensive assessment of the previously disclosed documents, conducted an analysis of the business cases for Crossrail, and drawn conclusions based on the findings of the analyses. The research has also recognized the potential problems and dangers for the future implementation of the project, as well as recommended a number of recommendations towards this aim. The conventional benefits and the contributions of a well-designed transportation system to an improvement in quality of life have not been attempted to be quantified as part of this research project in any way. This kind of analysis, despite the fact that it is significant in and of itself, is not going to be covered in this study.</w:t>
      </w:r>
    </w:p>
    <w:p w14:paraId="5D3A5D79" w14:textId="77777777" w:rsidR="00A74781" w:rsidRPr="00296F7A" w:rsidRDefault="00E95F13" w:rsidP="00A1636E">
      <w:pPr>
        <w:pStyle w:val="Heading1"/>
      </w:pPr>
      <w:r w:rsidRPr="00296F7A">
        <w:t>About this</w:t>
      </w:r>
      <w:r w:rsidR="00ED195C" w:rsidRPr="00296F7A">
        <w:t xml:space="preserve"> Project</w:t>
      </w:r>
    </w:p>
    <w:p w14:paraId="2320C972" w14:textId="77777777" w:rsidR="00E95F13" w:rsidRPr="00296F7A" w:rsidRDefault="00E95F13"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Elizabeth Line, which is also known as the Crossrail project, is a significant initiative that aims to bring brand new, direct rail services to London and the surrounding area in the South East. It will connect Reading to all of the passenger terminals of Heathrow Airport in the west, and Shenfield to Abbey Wood in the east, with 31 improved and 10 newly built stations along the route</w:t>
      </w:r>
      <w:r w:rsidR="00296F7A" w:rsidRPr="00296F7A">
        <w:rPr>
          <w:rFonts w:ascii="Times New Roman" w:hAnsi="Times New Roman" w:cs="Times New Roman"/>
          <w:sz w:val="24"/>
          <w:szCs w:val="24"/>
        </w:rPr>
        <w:t xml:space="preserve">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It will offer commuters world-class and affordable transport options with its high-frequency and high-capacity service. It is anticipated that once the project is finished, the railway will stretch for a total of 118 kilometers, 42 kilometers of which will be tunnels connecting Woolwich, Canary Wharf, and Paddington. These tunnels are anticipated to cut travel times, ease congestion on existing networks, and provide passengers with more options for their journeys. This project has been in the works for a very long time, with its beginnings dating all the way back to the 1970s</w:t>
      </w:r>
      <w:r w:rsidR="00296F7A" w:rsidRPr="00296F7A">
        <w:rPr>
          <w:rFonts w:ascii="Times New Roman" w:hAnsi="Times New Roman" w:cs="Times New Roman"/>
          <w:sz w:val="24"/>
          <w:szCs w:val="24"/>
        </w:rPr>
        <w:t xml:space="preserve"> (Lazarus, 2018)</w:t>
      </w:r>
      <w:r w:rsidRPr="00296F7A">
        <w:rPr>
          <w:rFonts w:ascii="Times New Roman" w:hAnsi="Times New Roman" w:cs="Times New Roman"/>
          <w:sz w:val="24"/>
          <w:szCs w:val="24"/>
        </w:rPr>
        <w:t>. The Crossrail Act 2008 was finally passed by Parliament in May of 2009, marking the beginning of the official construction phase of the train project.</w:t>
      </w:r>
    </w:p>
    <w:p w14:paraId="3BDCCFC3" w14:textId="77777777" w:rsidR="00A74781" w:rsidRPr="00296F7A" w:rsidRDefault="00E95F13" w:rsidP="00A1636E">
      <w:pPr>
        <w:pStyle w:val="Heading1"/>
      </w:pPr>
      <w:r w:rsidRPr="00296F7A">
        <w:t>Drive</w:t>
      </w:r>
      <w:r w:rsidR="00ED195C" w:rsidRPr="00296F7A">
        <w:t xml:space="preserve"> of the Project </w:t>
      </w:r>
    </w:p>
    <w:p w14:paraId="211B5245"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Crossrail project has been designed to cut journey time and reduce overcrowding on existing transport networks. Furthermore, it will provide commuters with more options for how to travel. The Mayor’s Transport Strategy 2010 has outlined a number of objectives which support this purpose</w:t>
      </w:r>
      <w:r w:rsidR="00296F7A" w:rsidRPr="00296F7A">
        <w:rPr>
          <w:rFonts w:ascii="Times New Roman" w:hAnsi="Times New Roman" w:cs="Times New Roman"/>
          <w:sz w:val="24"/>
          <w:szCs w:val="24"/>
        </w:rPr>
        <w:t xml:space="preserve">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xml:space="preserve">. These objectives include: providing sustainable economic development and population growth through increased transport capacity and reduced congestion; improving connectivity of transport through journey time savings; and exploring wider benefits such as improved access to education, jobs and other </w:t>
      </w:r>
      <w:r w:rsidRPr="00296F7A">
        <w:rPr>
          <w:rFonts w:ascii="Times New Roman" w:hAnsi="Times New Roman" w:cs="Times New Roman"/>
          <w:sz w:val="24"/>
          <w:szCs w:val="24"/>
        </w:rPr>
        <w:lastRenderedPageBreak/>
        <w:t>places, greater travel safety due to fewer road accidents and improved environmental outcomes with reduced CO2 emissions.</w:t>
      </w:r>
    </w:p>
    <w:p w14:paraId="302FE028"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Research from the Greater London Authority (GLA) and Transport for London (TfL) discovered that demand for public transport in the City of London is close to its limit. Under full operation, the Elizabeth Line is expected to bring an additional 1.5 million passengers to within 45 minutes of central London; boosting the London rail network's capacity by 10%</w:t>
      </w:r>
      <w:r w:rsidR="00296F7A" w:rsidRPr="00296F7A">
        <w:rPr>
          <w:rFonts w:ascii="Times New Roman" w:hAnsi="Times New Roman" w:cs="Times New Roman"/>
          <w:sz w:val="24"/>
          <w:szCs w:val="24"/>
        </w:rPr>
        <w:t xml:space="preserve"> (Anderson, 2022)</w:t>
      </w:r>
      <w:r w:rsidRPr="00296F7A">
        <w:rPr>
          <w:rFonts w:ascii="Times New Roman" w:hAnsi="Times New Roman" w:cs="Times New Roman"/>
          <w:sz w:val="24"/>
          <w:szCs w:val="24"/>
        </w:rPr>
        <w:t>. For example, the current trip from Bond Street to Langley takes 58 minutes which will be shortened to 28 minutes with the Crossrail. The Crossrail will reduce congestion in peak hours by 20-60% on the National Rail network and London Underground lines such as the Jubilee, District, Central, and Bakerloo. Additionally, it will build a direct connection between London's main job hubs, including the City, Canary Wharf, the West End, the City of Westminster, and Heathrow</w:t>
      </w:r>
      <w:r w:rsidR="00296F7A" w:rsidRPr="00296F7A">
        <w:rPr>
          <w:rFonts w:ascii="Times New Roman" w:hAnsi="Times New Roman" w:cs="Times New Roman"/>
          <w:sz w:val="24"/>
          <w:szCs w:val="24"/>
        </w:rPr>
        <w:t xml:space="preserve"> (Kumar, 2020)</w:t>
      </w:r>
      <w:r w:rsidRPr="00296F7A">
        <w:rPr>
          <w:rFonts w:ascii="Times New Roman" w:hAnsi="Times New Roman" w:cs="Times New Roman"/>
          <w:sz w:val="24"/>
          <w:szCs w:val="24"/>
        </w:rPr>
        <w:t>. As it reduces journey time and increases connectivity, it is anticipated that the quality, reliability, and safety of commuters will be improved, raising people's health, wellbeing, and happiness.</w:t>
      </w:r>
    </w:p>
    <w:p w14:paraId="37B73620" w14:textId="77777777" w:rsidR="005F0B21" w:rsidRPr="00296F7A" w:rsidRDefault="00E95F13" w:rsidP="00A1636E">
      <w:pPr>
        <w:pStyle w:val="Heading1"/>
      </w:pPr>
      <w:r w:rsidRPr="00296F7A">
        <w:t xml:space="preserve">The project </w:t>
      </w:r>
      <w:r w:rsidR="00ED195C" w:rsidRPr="00296F7A">
        <w:t xml:space="preserve">Rationale </w:t>
      </w:r>
      <w:r w:rsidRPr="00296F7A">
        <w:t>as the</w:t>
      </w:r>
      <w:r w:rsidR="00ED195C" w:rsidRPr="00296F7A">
        <w:t xml:space="preserve"> Business Case </w:t>
      </w:r>
    </w:p>
    <w:p w14:paraId="0AA42A11"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Association for Project Management defines a business case as the justification to undertake a project or programme, which involves evaluating the benefits, costs, and risks of the different alternatives, as well as providing the rationales for the most suitable solution. As is the standard practice for major infrastructure projects, the business case is updated periodically and three revised business cases have been produced for the Crossrail project. The first was in 2005 by the Department for Transport, Transport for London, and the then Cross London Rail Links Ltd, and the subsequent two were in 2010 and 2011 by the sponsors of Crossrail through the Mayor’s Transport Strategy and the Comprehensive Spending Review respectively</w:t>
      </w:r>
      <w:r w:rsidR="00296F7A" w:rsidRPr="00296F7A">
        <w:rPr>
          <w:rFonts w:ascii="Times New Roman" w:hAnsi="Times New Roman" w:cs="Times New Roman"/>
          <w:sz w:val="24"/>
          <w:szCs w:val="24"/>
        </w:rPr>
        <w:t xml:space="preserve"> (Doyke, 2022)</w:t>
      </w:r>
      <w:r w:rsidRPr="00296F7A">
        <w:rPr>
          <w:rFonts w:ascii="Times New Roman" w:hAnsi="Times New Roman" w:cs="Times New Roman"/>
          <w:sz w:val="24"/>
          <w:szCs w:val="24"/>
        </w:rPr>
        <w:t xml:space="preserve">. The traditional transport economic appraisal of the project evaluates the benefits and costs related to the project implementation, with elements such as journey time savings, quality of travelling, and benefits for impaired passengers taken into account. </w:t>
      </w:r>
    </w:p>
    <w:p w14:paraId="56EE89BE"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 xml:space="preserve">The Crossrail business case follows the guidance of the HM Treasury’s Green Book and uses the ‘Value of Time’ parameter to calculate the benefits of journey time savings. The net user </w:t>
      </w:r>
      <w:r w:rsidR="00296F7A" w:rsidRPr="00296F7A">
        <w:rPr>
          <w:rFonts w:ascii="Times New Roman" w:hAnsi="Times New Roman" w:cs="Times New Roman"/>
          <w:sz w:val="24"/>
          <w:szCs w:val="24"/>
        </w:rPr>
        <w:t>benefits</w:t>
      </w:r>
      <w:r w:rsidRPr="00296F7A">
        <w:rPr>
          <w:rFonts w:ascii="Times New Roman" w:hAnsi="Times New Roman" w:cs="Times New Roman"/>
          <w:sz w:val="24"/>
          <w:szCs w:val="24"/>
        </w:rPr>
        <w:t xml:space="preserve"> calculated in billions of pounds and discounted to 2002 price base and evaluated over a sixty-year period, were £16.09bn in 2005 and £11.03bn in 2011. The government’s guidance suggests that a benefit-cost ratio (BCR) of 1.97 represents ‘medium’ value for </w:t>
      </w:r>
      <w:r w:rsidRPr="00296F7A">
        <w:rPr>
          <w:rFonts w:ascii="Times New Roman" w:hAnsi="Times New Roman" w:cs="Times New Roman"/>
          <w:sz w:val="24"/>
          <w:szCs w:val="24"/>
        </w:rPr>
        <w:lastRenderedPageBreak/>
        <w:t>money, while a BCR of 3.09 represents ‘high’ value for money</w:t>
      </w:r>
      <w:r w:rsidR="00296F7A" w:rsidRPr="00296F7A">
        <w:rPr>
          <w:rFonts w:ascii="Times New Roman" w:hAnsi="Times New Roman" w:cs="Times New Roman"/>
          <w:sz w:val="24"/>
          <w:szCs w:val="24"/>
        </w:rPr>
        <w:t xml:space="preserve">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The traditional appraisal methodology shows that Crossrail offers a strong business case and the impact on the UK’s economy is also considerable, with a notable increase in employment in London. Furthermore, Crossrail has the potential to reduce congestion on existing networks and allow the City to create more productive jobs, making it an attractive proposition.</w:t>
      </w:r>
    </w:p>
    <w:p w14:paraId="18272760" w14:textId="77777777" w:rsidR="00376404" w:rsidRPr="00A1636E" w:rsidRDefault="00E95F13" w:rsidP="00A1636E">
      <w:pPr>
        <w:pStyle w:val="Heading1"/>
      </w:pPr>
      <w:r w:rsidRPr="00A1636E">
        <w:t>Project</w:t>
      </w:r>
      <w:r w:rsidR="00ED195C" w:rsidRPr="00A1636E">
        <w:t xml:space="preserve"> Cost </w:t>
      </w:r>
    </w:p>
    <w:p w14:paraId="311E5030"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cost of constructing the Crossrail has been revised several times since the project was first estimated in 2007. Initially, the cost was estimated to be £</w:t>
      </w:r>
      <w:r w:rsidR="00296F7A" w:rsidRPr="00296F7A">
        <w:rPr>
          <w:rFonts w:ascii="Times New Roman" w:hAnsi="Times New Roman" w:cs="Times New Roman"/>
          <w:sz w:val="24"/>
          <w:szCs w:val="24"/>
        </w:rPr>
        <w:t>15.9bn;</w:t>
      </w:r>
      <w:r w:rsidRPr="00296F7A">
        <w:rPr>
          <w:rFonts w:ascii="Times New Roman" w:hAnsi="Times New Roman" w:cs="Times New Roman"/>
          <w:sz w:val="24"/>
          <w:szCs w:val="24"/>
        </w:rPr>
        <w:t xml:space="preserve"> however, this was revised to £14.5bn in 2010 and again increased to £17.6bn in 2019</w:t>
      </w:r>
      <w:r w:rsidR="00296F7A" w:rsidRPr="00296F7A">
        <w:rPr>
          <w:rFonts w:ascii="Times New Roman" w:hAnsi="Times New Roman" w:cs="Times New Roman"/>
          <w:sz w:val="24"/>
          <w:szCs w:val="24"/>
        </w:rPr>
        <w:t xml:space="preserve"> (Wild, 2021)</w:t>
      </w:r>
      <w:r w:rsidRPr="00296F7A">
        <w:rPr>
          <w:rFonts w:ascii="Times New Roman" w:hAnsi="Times New Roman" w:cs="Times New Roman"/>
          <w:sz w:val="24"/>
          <w:szCs w:val="24"/>
        </w:rPr>
        <w:t xml:space="preserve">. The reason for these changes is that, as with any other project, the costs associated with the Crossrail project are subject to change as the project progresses. It is important to note that </w:t>
      </w:r>
      <w:r w:rsidR="00296F7A" w:rsidRPr="00296F7A">
        <w:rPr>
          <w:rFonts w:ascii="Times New Roman" w:hAnsi="Times New Roman" w:cs="Times New Roman"/>
          <w:sz w:val="24"/>
          <w:szCs w:val="24"/>
        </w:rPr>
        <w:t>accurate</w:t>
      </w:r>
      <w:r w:rsidRPr="00296F7A">
        <w:rPr>
          <w:rFonts w:ascii="Times New Roman" w:hAnsi="Times New Roman" w:cs="Times New Roman"/>
          <w:sz w:val="24"/>
          <w:szCs w:val="24"/>
        </w:rPr>
        <w:t xml:space="preserve"> cost estimation for a project of this complexity is difficult to make at the early stages, as there are numerous risks and factors to take into account. For example, the tunnelling involved in the project presents risks due to the complexity of London's underground infrastructure, as well as the health and safety of construction workers. In total, there are estimated to be 200 risk aspects related to the Crossrail project.</w:t>
      </w:r>
    </w:p>
    <w:p w14:paraId="72F711C2" w14:textId="77777777" w:rsidR="00376404" w:rsidRPr="00A1636E" w:rsidRDefault="00E95F13" w:rsidP="00A1636E">
      <w:pPr>
        <w:pStyle w:val="Heading1"/>
      </w:pPr>
      <w:r w:rsidRPr="00A1636E">
        <w:t>Finance</w:t>
      </w:r>
      <w:r w:rsidR="00ED195C" w:rsidRPr="00A1636E">
        <w:t xml:space="preserve"> and </w:t>
      </w:r>
      <w:r w:rsidRPr="00A1636E">
        <w:t>Funding of this</w:t>
      </w:r>
      <w:r w:rsidR="00ED195C" w:rsidRPr="00A1636E">
        <w:t xml:space="preserve"> Project </w:t>
      </w:r>
    </w:p>
    <w:p w14:paraId="0B7134E5"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Despite the fact that the words "funding" and "financing" are frequently used interchangeably, there is a significant difference between the two. Funding refers to the income sources that would be utilized for the purpose of meeting the project's capital and revenue costs over the course of time. On the other hand, financing refers to a set of financial arrangements that provides committed capital for the project in order to meet the costs as they are incurred and would be repaid from funding sources</w:t>
      </w:r>
      <w:r w:rsidR="00296F7A" w:rsidRPr="00296F7A">
        <w:rPr>
          <w:rFonts w:ascii="Times New Roman" w:hAnsi="Times New Roman" w:cs="Times New Roman"/>
          <w:sz w:val="24"/>
          <w:szCs w:val="24"/>
        </w:rPr>
        <w:t xml:space="preserve"> (Fryer et al., 2018)</w:t>
      </w:r>
      <w:r w:rsidRPr="00296F7A">
        <w:rPr>
          <w:rFonts w:ascii="Times New Roman" w:hAnsi="Times New Roman" w:cs="Times New Roman"/>
          <w:sz w:val="24"/>
          <w:szCs w:val="24"/>
        </w:rPr>
        <w:t>. Crossrail utilized a number of different funding and financing tools, which reflect the interests of the various stakeholders, in contrast to the conventional publicly financed project, in which costs are met by the private sector or by the taxpayers and finance is provided by business and markets. Crossrail was built in the United Kingdom.</w:t>
      </w:r>
    </w:p>
    <w:p w14:paraId="1106DA95"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 xml:space="preserve">In the end, the money for Crossrail came from taxpayers, future ticket payers, and businesses in London, with the Transport for London (TfL) contributing the majority of the necessary funds. According to Figure 8, it has been determined that the total amount of the funding </w:t>
      </w:r>
      <w:r w:rsidRPr="00296F7A">
        <w:rPr>
          <w:rFonts w:ascii="Times New Roman" w:hAnsi="Times New Roman" w:cs="Times New Roman"/>
          <w:sz w:val="24"/>
          <w:szCs w:val="24"/>
        </w:rPr>
        <w:lastRenderedPageBreak/>
        <w:t>package in 2007 was £15.9 billion, whereas in 2010 it was just $14.8 billion. Nevertheless, because of the ongoing rise in costs and the delays, the project was able to obtain a loan of £1.3 billion from the DfT, and the Greater London Authority (GLA) agreed to repay this loan using the Community Infrastructure Levy and the London Busine</w:t>
      </w:r>
      <w:r w:rsidR="00296F7A" w:rsidRPr="00296F7A">
        <w:rPr>
          <w:rFonts w:ascii="Times New Roman" w:hAnsi="Times New Roman" w:cs="Times New Roman"/>
          <w:sz w:val="24"/>
          <w:szCs w:val="24"/>
        </w:rPr>
        <w:t>ss Rate Supplement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xml:space="preserve">. In addition, the Department of Transport (DfT) guaranteed an additional £750 million in loan funding as a precaution, while the Greater London Authority (GLA) agreed to pay an additional £100 million in cash. As a consequence of this, the overall funding for the Crossrail project has been estimated to be £17.6 billion at the moment, which is an increase of £3.1 billion from the financing in 2010. On the other hand, it has not yet been determined how much the project will end up costing in total. </w:t>
      </w:r>
    </w:p>
    <w:p w14:paraId="4EFC521B" w14:textId="77777777" w:rsidR="00376404" w:rsidRPr="00A1636E" w:rsidRDefault="00E95F13" w:rsidP="00A1636E">
      <w:pPr>
        <w:pStyle w:val="Heading1"/>
      </w:pPr>
      <w:r w:rsidRPr="00A1636E">
        <w:t>Risks</w:t>
      </w:r>
      <w:r w:rsidR="00ED195C" w:rsidRPr="00A1636E">
        <w:t xml:space="preserve"> </w:t>
      </w:r>
      <w:r w:rsidRPr="00A1636E">
        <w:t>Associated</w:t>
      </w:r>
      <w:r w:rsidR="00ED195C" w:rsidRPr="00A1636E">
        <w:t xml:space="preserve"> to th</w:t>
      </w:r>
      <w:r w:rsidRPr="00A1636E">
        <w:t>is</w:t>
      </w:r>
      <w:r w:rsidR="00ED195C" w:rsidRPr="00A1636E">
        <w:t xml:space="preserve"> Project </w:t>
      </w:r>
    </w:p>
    <w:p w14:paraId="40E6B6B1"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Crossrail initiative is an extremely ambitious scheme, particularly given its status as the largest infrastructure project now under construction in Europe. However, just like with previous megaprojects, the Crossrail has run into issues with tunneling and testing additional tracks and stations. As a result, there has been a delay in the inauguration of the project, and it is now anticipated that it will open in the fall of 2019. The fact that the Crossrail project could end up costing between £1.3 billion and £1.7 billion due to the delay that has been linked with it raises questions about the financing and management of public sector initiatives</w:t>
      </w:r>
      <w:r w:rsidR="00296F7A" w:rsidRPr="00296F7A">
        <w:rPr>
          <w:rFonts w:ascii="Times New Roman" w:hAnsi="Times New Roman" w:cs="Times New Roman"/>
          <w:sz w:val="24"/>
          <w:szCs w:val="24"/>
        </w:rPr>
        <w:t xml:space="preserve">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This additional expense will undoubtedly have an impact on several other transportation projects in London.</w:t>
      </w:r>
    </w:p>
    <w:p w14:paraId="6DFB78D1"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delay in the construction of Crossrail results in a loss of talent as a result of the occupation of skilled laborers in the field of project management. As a result, other construction projects, such as the new Tottenham Hotspur stadium, are unable to recruit the labor force that is necessary for their completion. In addition to issues regarding costs and timeliness, the Crossrail project has been plagued by engineering and software issues</w:t>
      </w:r>
      <w:r w:rsidR="00296F7A" w:rsidRPr="00296F7A">
        <w:rPr>
          <w:rFonts w:ascii="Times New Roman" w:hAnsi="Times New Roman" w:cs="Times New Roman"/>
          <w:sz w:val="24"/>
          <w:szCs w:val="24"/>
        </w:rPr>
        <w:t xml:space="preserve"> (Anderson, 2022)</w:t>
      </w:r>
      <w:r w:rsidRPr="00296F7A">
        <w:rPr>
          <w:rFonts w:ascii="Times New Roman" w:hAnsi="Times New Roman" w:cs="Times New Roman"/>
          <w:sz w:val="24"/>
          <w:szCs w:val="24"/>
        </w:rPr>
        <w:t>. These issues call into question the governance arrangements that were put in place due to a lack of adequate information sharing among the most senior leaders in the Crossrail management team. For instance, it has come to light that the Mayor was unaware of the delays in the construction of Crossrail until the postponement, which was announced to the public on August 31, 2018</w:t>
      </w:r>
      <w:r w:rsidR="00296F7A" w:rsidRPr="00296F7A">
        <w:rPr>
          <w:rFonts w:ascii="Times New Roman" w:hAnsi="Times New Roman" w:cs="Times New Roman"/>
          <w:sz w:val="24"/>
          <w:szCs w:val="24"/>
        </w:rPr>
        <w:t xml:space="preserve"> (Kumar, 2022)</w:t>
      </w:r>
      <w:r w:rsidRPr="00296F7A">
        <w:rPr>
          <w:rFonts w:ascii="Times New Roman" w:hAnsi="Times New Roman" w:cs="Times New Roman"/>
          <w:sz w:val="24"/>
          <w:szCs w:val="24"/>
        </w:rPr>
        <w:t>.</w:t>
      </w:r>
    </w:p>
    <w:p w14:paraId="6356E5EE"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 xml:space="preserve">In addition, Sir Terry Morgan, who was also in charge of the high-speed rail connection, chaired both the Crossrail project and the high-speed rail link. Chairing two complex and </w:t>
      </w:r>
      <w:r w:rsidRPr="00296F7A">
        <w:rPr>
          <w:rFonts w:ascii="Times New Roman" w:hAnsi="Times New Roman" w:cs="Times New Roman"/>
          <w:sz w:val="24"/>
          <w:szCs w:val="24"/>
        </w:rPr>
        <w:lastRenderedPageBreak/>
        <w:t>enormous projects at the same time is too much for a single person. Crossrail's procurement tactics are based on the New Engineering Contract Option C target-cost contracts. These contracts encourage efficiency and positive behaviors by distributing risks and benefits in a way that benefits and risks are shared</w:t>
      </w:r>
      <w:r w:rsidR="00296F7A" w:rsidRPr="00296F7A">
        <w:rPr>
          <w:rFonts w:ascii="Times New Roman" w:hAnsi="Times New Roman" w:cs="Times New Roman"/>
          <w:sz w:val="24"/>
          <w:szCs w:val="24"/>
        </w:rPr>
        <w:t xml:space="preserve"> (</w:t>
      </w:r>
      <w:r w:rsidR="00296F7A" w:rsidRPr="00296F7A">
        <w:rPr>
          <w:rFonts w:ascii="Times New Roman" w:hAnsi="Times New Roman" w:cs="Times New Roman"/>
          <w:sz w:val="24"/>
          <w:szCs w:val="24"/>
          <w:shd w:val="clear" w:color="auto" w:fill="FFFFFF"/>
        </w:rPr>
        <w:t>Chodorowski et al., 2021)</w:t>
      </w:r>
      <w:r w:rsidRPr="00296F7A">
        <w:rPr>
          <w:rFonts w:ascii="Times New Roman" w:hAnsi="Times New Roman" w:cs="Times New Roman"/>
          <w:sz w:val="24"/>
          <w:szCs w:val="24"/>
        </w:rPr>
        <w:t>. Despite the fact that the London 2012 Olympics had a significant impact on the development of this model, the current procurement strategy may be out of date due to the one-off transactional nature of the approach. As a result, a long-term integrated procurement partnership is preferable.</w:t>
      </w:r>
    </w:p>
    <w:p w14:paraId="17BFCCFB"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Because of road closures and diversions, clearing of vegetation, archaeological and heritage works, noise and vibration, contaminated land and electromagnetic fields, and contaminated water resources, environmental management practices are also a major cause for concern. This is due to all of these factors.</w:t>
      </w:r>
    </w:p>
    <w:p w14:paraId="342773C7" w14:textId="77777777" w:rsidR="00376404" w:rsidRPr="00A1636E" w:rsidRDefault="00ED195C" w:rsidP="00A1636E">
      <w:pPr>
        <w:pStyle w:val="Heading1"/>
      </w:pPr>
      <w:r w:rsidRPr="00A1636E">
        <w:t xml:space="preserve">Conclusion and Recommendations </w:t>
      </w:r>
    </w:p>
    <w:p w14:paraId="689174C7" w14:textId="77777777" w:rsidR="00772324" w:rsidRPr="00296F7A" w:rsidRDefault="00772324" w:rsidP="00296F7A">
      <w:p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After construction is finished, the Crossrail will become an operational component of the comprehensive transportation system that serves London. Because of the demands on expenses, the present funding has been estimated at £17.6 billion, and it is unknown what the final costs will be. The utilization of novel techniques to finance and financing is going to be critical to the accomplishment of the project. Even though there is not yet a specific date that has been established for the services to become fully operational, it is anticipated that the project will be put into service during the fall of 2019. On the basis of the topic that was just presented, a number of suggestions can be made for future mega infrastructure programs. These suggestions are as follows:</w:t>
      </w:r>
    </w:p>
    <w:p w14:paraId="2F39EE2E" w14:textId="77777777" w:rsidR="00772324" w:rsidRPr="00296F7A" w:rsidRDefault="00772324" w:rsidP="00296F7A">
      <w:pPr>
        <w:pStyle w:val="ListParagraph"/>
        <w:numPr>
          <w:ilvl w:val="0"/>
          <w:numId w:val="4"/>
        </w:num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customers need to conduct an analysis of their own competencies and capabilities in order to comprehend the various ways in which they can utilize their strategic partners and supply chains for the purpose of the program's execution. The execution approach ought to include the development of a solid control framework in addition to interface management.</w:t>
      </w:r>
    </w:p>
    <w:p w14:paraId="5C73262A" w14:textId="77777777" w:rsidR="00772324" w:rsidRPr="00296F7A" w:rsidRDefault="00772324" w:rsidP="00296F7A">
      <w:pPr>
        <w:pStyle w:val="ListParagraph"/>
        <w:numPr>
          <w:ilvl w:val="0"/>
          <w:numId w:val="4"/>
        </w:num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 xml:space="preserve">Before beginning the development of a solid plan, there must first be sufficient time allotted for thoroughly considering a comprehensive execution approach. The execution strategy has to do an analysis of the lifespan of the project in order to determine how to best accommodate the changes that occur concurrently with the progression of the project's stages over time. In addition, the development of suitable </w:t>
      </w:r>
      <w:r w:rsidRPr="00296F7A">
        <w:rPr>
          <w:rFonts w:ascii="Times New Roman" w:hAnsi="Times New Roman" w:cs="Times New Roman"/>
          <w:sz w:val="24"/>
          <w:szCs w:val="24"/>
        </w:rPr>
        <w:lastRenderedPageBreak/>
        <w:t>reporting technologies is required in order to distribute resources across departments that are both multi-disciplinary and cross-functional.</w:t>
      </w:r>
    </w:p>
    <w:p w14:paraId="488BEFBA" w14:textId="77777777" w:rsidR="00772324" w:rsidRPr="00296F7A" w:rsidRDefault="00772324" w:rsidP="00296F7A">
      <w:pPr>
        <w:pStyle w:val="ListParagraph"/>
        <w:numPr>
          <w:ilvl w:val="0"/>
          <w:numId w:val="4"/>
        </w:num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Given the interests of potential funders in future megaprojects, the Department for Transport ought to make an effort to solicit more financial contributions from the private sector.</w:t>
      </w:r>
    </w:p>
    <w:p w14:paraId="3B787D93" w14:textId="77777777" w:rsidR="00772324" w:rsidRPr="00296F7A" w:rsidRDefault="00772324" w:rsidP="00296F7A">
      <w:pPr>
        <w:pStyle w:val="ListParagraph"/>
        <w:numPr>
          <w:ilvl w:val="0"/>
          <w:numId w:val="4"/>
        </w:num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The people who are sponsoring the project need to formulate a distinct vision and set of values to guide decision-making and behavior. Every single activity and evaluation needs to be connected to the overall vision and principles that were established. In addition to this, the project's goals and objectives need to be cascaded down through all of the levels, and performance needs to be monitored against the goals and objectives that have been established.</w:t>
      </w:r>
    </w:p>
    <w:p w14:paraId="1876436D" w14:textId="77777777" w:rsidR="00772324" w:rsidRPr="00296F7A" w:rsidRDefault="00772324" w:rsidP="00296F7A">
      <w:pPr>
        <w:pStyle w:val="ListParagraph"/>
        <w:numPr>
          <w:ilvl w:val="0"/>
          <w:numId w:val="4"/>
        </w:numPr>
        <w:spacing w:line="360" w:lineRule="auto"/>
        <w:jc w:val="both"/>
        <w:rPr>
          <w:rFonts w:ascii="Times New Roman" w:hAnsi="Times New Roman" w:cs="Times New Roman"/>
          <w:sz w:val="24"/>
          <w:szCs w:val="24"/>
        </w:rPr>
      </w:pPr>
      <w:r w:rsidRPr="00296F7A">
        <w:rPr>
          <w:rFonts w:ascii="Times New Roman" w:hAnsi="Times New Roman" w:cs="Times New Roman"/>
          <w:sz w:val="24"/>
          <w:szCs w:val="24"/>
        </w:rPr>
        <w:t>In order for the Department of Transport to have a clear understanding regarding the actual costs of the projects, the Department for Transport should monitor all costs. These costs should include sponsor, start-up, and development costs. This will ensure that there is sufficient funding available for the initiatives, allowing for greater flexibility and reducing opportunity costs.</w:t>
      </w:r>
    </w:p>
    <w:p w14:paraId="0C0569F8" w14:textId="77777777" w:rsidR="00A1636E" w:rsidRDefault="00A1636E" w:rsidP="00296F7A">
      <w:pPr>
        <w:spacing w:line="360" w:lineRule="auto"/>
        <w:jc w:val="both"/>
        <w:rPr>
          <w:rFonts w:ascii="Times New Roman" w:hAnsi="Times New Roman" w:cs="Times New Roman"/>
          <w:sz w:val="24"/>
          <w:szCs w:val="24"/>
        </w:rPr>
      </w:pPr>
    </w:p>
    <w:p w14:paraId="46BEF981" w14:textId="77777777" w:rsidR="00A1636E" w:rsidRDefault="00A1636E" w:rsidP="00296F7A">
      <w:pPr>
        <w:spacing w:line="360" w:lineRule="auto"/>
        <w:jc w:val="both"/>
        <w:rPr>
          <w:rFonts w:ascii="Times New Roman" w:hAnsi="Times New Roman" w:cs="Times New Roman"/>
          <w:sz w:val="24"/>
          <w:szCs w:val="24"/>
        </w:rPr>
      </w:pPr>
    </w:p>
    <w:p w14:paraId="27769C5C" w14:textId="77777777" w:rsidR="00A1636E" w:rsidRDefault="00A1636E" w:rsidP="00296F7A">
      <w:pPr>
        <w:spacing w:line="360" w:lineRule="auto"/>
        <w:jc w:val="both"/>
        <w:rPr>
          <w:rFonts w:ascii="Times New Roman" w:hAnsi="Times New Roman" w:cs="Times New Roman"/>
          <w:sz w:val="24"/>
          <w:szCs w:val="24"/>
        </w:rPr>
      </w:pPr>
    </w:p>
    <w:p w14:paraId="0C594EBD" w14:textId="77777777" w:rsidR="00A1636E" w:rsidRDefault="00A1636E" w:rsidP="00296F7A">
      <w:pPr>
        <w:spacing w:line="360" w:lineRule="auto"/>
        <w:jc w:val="both"/>
        <w:rPr>
          <w:rFonts w:ascii="Times New Roman" w:hAnsi="Times New Roman" w:cs="Times New Roman"/>
          <w:sz w:val="24"/>
          <w:szCs w:val="24"/>
        </w:rPr>
      </w:pPr>
    </w:p>
    <w:p w14:paraId="592E6FEA" w14:textId="77777777" w:rsidR="00A1636E" w:rsidRDefault="00A1636E" w:rsidP="00296F7A">
      <w:pPr>
        <w:spacing w:line="360" w:lineRule="auto"/>
        <w:jc w:val="both"/>
        <w:rPr>
          <w:rFonts w:ascii="Times New Roman" w:hAnsi="Times New Roman" w:cs="Times New Roman"/>
          <w:sz w:val="24"/>
          <w:szCs w:val="24"/>
        </w:rPr>
      </w:pPr>
    </w:p>
    <w:p w14:paraId="65885A3E" w14:textId="77777777" w:rsidR="00A1636E" w:rsidRDefault="00A1636E" w:rsidP="00296F7A">
      <w:pPr>
        <w:spacing w:line="360" w:lineRule="auto"/>
        <w:jc w:val="both"/>
        <w:rPr>
          <w:rFonts w:ascii="Times New Roman" w:hAnsi="Times New Roman" w:cs="Times New Roman"/>
          <w:sz w:val="24"/>
          <w:szCs w:val="24"/>
        </w:rPr>
      </w:pPr>
    </w:p>
    <w:p w14:paraId="3AFAEE7D" w14:textId="77777777" w:rsidR="00A1636E" w:rsidRDefault="00A1636E" w:rsidP="00296F7A">
      <w:pPr>
        <w:spacing w:line="360" w:lineRule="auto"/>
        <w:jc w:val="both"/>
        <w:rPr>
          <w:rFonts w:ascii="Times New Roman" w:hAnsi="Times New Roman" w:cs="Times New Roman"/>
          <w:sz w:val="24"/>
          <w:szCs w:val="24"/>
        </w:rPr>
      </w:pPr>
    </w:p>
    <w:p w14:paraId="479C15D0" w14:textId="77777777" w:rsidR="00A1636E" w:rsidRDefault="00A1636E" w:rsidP="00296F7A">
      <w:pPr>
        <w:spacing w:line="360" w:lineRule="auto"/>
        <w:jc w:val="both"/>
        <w:rPr>
          <w:rFonts w:ascii="Times New Roman" w:hAnsi="Times New Roman" w:cs="Times New Roman"/>
          <w:sz w:val="24"/>
          <w:szCs w:val="24"/>
        </w:rPr>
      </w:pPr>
    </w:p>
    <w:p w14:paraId="49FDB5B0" w14:textId="77777777" w:rsidR="00E95F13" w:rsidRPr="00A1636E" w:rsidRDefault="00E95F13" w:rsidP="00296F7A">
      <w:pPr>
        <w:spacing w:line="360" w:lineRule="auto"/>
        <w:jc w:val="both"/>
        <w:rPr>
          <w:rFonts w:ascii="Times New Roman" w:hAnsi="Times New Roman" w:cs="Times New Roman"/>
          <w:b/>
          <w:sz w:val="24"/>
          <w:szCs w:val="24"/>
        </w:rPr>
      </w:pPr>
      <w:r w:rsidRPr="00A1636E">
        <w:rPr>
          <w:rFonts w:ascii="Times New Roman" w:hAnsi="Times New Roman" w:cs="Times New Roman"/>
          <w:b/>
          <w:sz w:val="24"/>
          <w:szCs w:val="24"/>
        </w:rPr>
        <w:t>References</w:t>
      </w:r>
    </w:p>
    <w:p w14:paraId="252FF4B6"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t>Anderson, M. (2022). Elizabeth Line Earthing Electrode Testing Lessons Learned. In </w:t>
      </w:r>
      <w:r w:rsidRPr="00296F7A">
        <w:rPr>
          <w:rFonts w:ascii="Times New Roman" w:hAnsi="Times New Roman" w:cs="Times New Roman"/>
          <w:i/>
          <w:iCs/>
          <w:sz w:val="24"/>
          <w:szCs w:val="24"/>
          <w:shd w:val="clear" w:color="auto" w:fill="FFFFFF"/>
        </w:rPr>
        <w:t>Crossrail Project: Infrastructure Design and Construction</w:t>
      </w:r>
      <w:r w:rsidRPr="00296F7A">
        <w:rPr>
          <w:rFonts w:ascii="Times New Roman" w:hAnsi="Times New Roman" w:cs="Times New Roman"/>
          <w:sz w:val="24"/>
          <w:szCs w:val="24"/>
          <w:shd w:val="clear" w:color="auto" w:fill="FFFFFF"/>
        </w:rPr>
        <w:t> (pp. 157-164). ICE Publishing.</w:t>
      </w:r>
    </w:p>
    <w:p w14:paraId="3BCBA071"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lastRenderedPageBreak/>
        <w:t>Chodorowski, A., Ingram, P., &amp; Black, M. (2021). Crossrail project: the impact of 4–18 Bishop's Bridge Road on the new Elizabeth line, London, UK. </w:t>
      </w:r>
      <w:r w:rsidRPr="00296F7A">
        <w:rPr>
          <w:rFonts w:ascii="Times New Roman" w:hAnsi="Times New Roman" w:cs="Times New Roman"/>
          <w:i/>
          <w:iCs/>
          <w:sz w:val="24"/>
          <w:szCs w:val="24"/>
          <w:shd w:val="clear" w:color="auto" w:fill="FFFFFF"/>
        </w:rPr>
        <w:t>Proceedings of the Institution of Civil Engineers-Geotechnical Engineering</w:t>
      </w:r>
      <w:r w:rsidRPr="00296F7A">
        <w:rPr>
          <w:rFonts w:ascii="Times New Roman" w:hAnsi="Times New Roman" w:cs="Times New Roman"/>
          <w:sz w:val="24"/>
          <w:szCs w:val="24"/>
          <w:shd w:val="clear" w:color="auto" w:fill="FFFFFF"/>
        </w:rPr>
        <w:t>, </w:t>
      </w:r>
      <w:r w:rsidRPr="00296F7A">
        <w:rPr>
          <w:rFonts w:ascii="Times New Roman" w:hAnsi="Times New Roman" w:cs="Times New Roman"/>
          <w:i/>
          <w:iCs/>
          <w:sz w:val="24"/>
          <w:szCs w:val="24"/>
          <w:shd w:val="clear" w:color="auto" w:fill="FFFFFF"/>
        </w:rPr>
        <w:t>174</w:t>
      </w:r>
      <w:r w:rsidRPr="00296F7A">
        <w:rPr>
          <w:rFonts w:ascii="Times New Roman" w:hAnsi="Times New Roman" w:cs="Times New Roman"/>
          <w:sz w:val="24"/>
          <w:szCs w:val="24"/>
          <w:shd w:val="clear" w:color="auto" w:fill="FFFFFF"/>
        </w:rPr>
        <w:t>(1), 83-90.</w:t>
      </w:r>
    </w:p>
    <w:p w14:paraId="0DD6DCFB"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t>Doyle, S. (2022). Farringdon welcomes the Elizabeth line. </w:t>
      </w:r>
      <w:r w:rsidRPr="00296F7A">
        <w:rPr>
          <w:rFonts w:ascii="Times New Roman" w:hAnsi="Times New Roman" w:cs="Times New Roman"/>
          <w:i/>
          <w:iCs/>
          <w:sz w:val="24"/>
          <w:szCs w:val="24"/>
          <w:shd w:val="clear" w:color="auto" w:fill="FFFFFF"/>
        </w:rPr>
        <w:t>Engineering &amp; Technology</w:t>
      </w:r>
      <w:r w:rsidRPr="00296F7A">
        <w:rPr>
          <w:rFonts w:ascii="Times New Roman" w:hAnsi="Times New Roman" w:cs="Times New Roman"/>
          <w:sz w:val="24"/>
          <w:szCs w:val="24"/>
          <w:shd w:val="clear" w:color="auto" w:fill="FFFFFF"/>
        </w:rPr>
        <w:t>, </w:t>
      </w:r>
      <w:r w:rsidRPr="00296F7A">
        <w:rPr>
          <w:rFonts w:ascii="Times New Roman" w:hAnsi="Times New Roman" w:cs="Times New Roman"/>
          <w:i/>
          <w:iCs/>
          <w:sz w:val="24"/>
          <w:szCs w:val="24"/>
          <w:shd w:val="clear" w:color="auto" w:fill="FFFFFF"/>
        </w:rPr>
        <w:t>17</w:t>
      </w:r>
      <w:r w:rsidRPr="00296F7A">
        <w:rPr>
          <w:rFonts w:ascii="Times New Roman" w:hAnsi="Times New Roman" w:cs="Times New Roman"/>
          <w:sz w:val="24"/>
          <w:szCs w:val="24"/>
          <w:shd w:val="clear" w:color="auto" w:fill="FFFFFF"/>
        </w:rPr>
        <w:t>(6), 24-25.</w:t>
      </w:r>
    </w:p>
    <w:p w14:paraId="06E83911" w14:textId="77777777" w:rsidR="00A1636E" w:rsidRPr="00296F7A" w:rsidRDefault="00A1636E" w:rsidP="00A1636E">
      <w:pPr>
        <w:spacing w:line="360" w:lineRule="auto"/>
        <w:ind w:left="720" w:hanging="720"/>
        <w:jc w:val="both"/>
        <w:rPr>
          <w:rFonts w:ascii="Times New Roman" w:hAnsi="Times New Roman" w:cs="Times New Roman"/>
          <w:sz w:val="24"/>
          <w:szCs w:val="24"/>
        </w:rPr>
      </w:pPr>
      <w:r w:rsidRPr="00296F7A">
        <w:rPr>
          <w:rFonts w:ascii="Times New Roman" w:hAnsi="Times New Roman" w:cs="Times New Roman"/>
          <w:sz w:val="24"/>
          <w:szCs w:val="24"/>
          <w:shd w:val="clear" w:color="auto" w:fill="FFFFFF"/>
        </w:rPr>
        <w:t>Fryer, S., Crouchman, M., &amp; Eckhart, T. (2018). Structural engineering for the Elizabeth line: Rigorous assessment of existing overhead line gantries for the Elizabeth line. </w:t>
      </w:r>
      <w:r w:rsidRPr="00296F7A">
        <w:rPr>
          <w:rFonts w:ascii="Times New Roman" w:hAnsi="Times New Roman" w:cs="Times New Roman"/>
          <w:i/>
          <w:iCs/>
          <w:sz w:val="24"/>
          <w:szCs w:val="24"/>
          <w:shd w:val="clear" w:color="auto" w:fill="FFFFFF"/>
        </w:rPr>
        <w:t>The Structural Engineer: journal of the Institution of Structural Engineer</w:t>
      </w:r>
      <w:r w:rsidRPr="00296F7A">
        <w:rPr>
          <w:rFonts w:ascii="Times New Roman" w:hAnsi="Times New Roman" w:cs="Times New Roman"/>
          <w:sz w:val="24"/>
          <w:szCs w:val="24"/>
          <w:shd w:val="clear" w:color="auto" w:fill="FFFFFF"/>
        </w:rPr>
        <w:t>, </w:t>
      </w:r>
      <w:r w:rsidRPr="00296F7A">
        <w:rPr>
          <w:rFonts w:ascii="Times New Roman" w:hAnsi="Times New Roman" w:cs="Times New Roman"/>
          <w:i/>
          <w:iCs/>
          <w:sz w:val="24"/>
          <w:szCs w:val="24"/>
          <w:shd w:val="clear" w:color="auto" w:fill="FFFFFF"/>
        </w:rPr>
        <w:t>96</w:t>
      </w:r>
      <w:r w:rsidRPr="00296F7A">
        <w:rPr>
          <w:rFonts w:ascii="Times New Roman" w:hAnsi="Times New Roman" w:cs="Times New Roman"/>
          <w:sz w:val="24"/>
          <w:szCs w:val="24"/>
          <w:shd w:val="clear" w:color="auto" w:fill="FFFFFF"/>
        </w:rPr>
        <w:t>(7), 90-94.</w:t>
      </w:r>
    </w:p>
    <w:p w14:paraId="15E1F747"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t>Kumar, B. R. (2022). Case 8: London Cross Rail Project. In </w:t>
      </w:r>
      <w:r w:rsidRPr="00296F7A">
        <w:rPr>
          <w:rFonts w:ascii="Times New Roman" w:hAnsi="Times New Roman" w:cs="Times New Roman"/>
          <w:i/>
          <w:iCs/>
          <w:sz w:val="24"/>
          <w:szCs w:val="24"/>
          <w:shd w:val="clear" w:color="auto" w:fill="FFFFFF"/>
        </w:rPr>
        <w:t>Project Finance</w:t>
      </w:r>
      <w:r w:rsidRPr="00296F7A">
        <w:rPr>
          <w:rFonts w:ascii="Times New Roman" w:hAnsi="Times New Roman" w:cs="Times New Roman"/>
          <w:sz w:val="24"/>
          <w:szCs w:val="24"/>
          <w:shd w:val="clear" w:color="auto" w:fill="FFFFFF"/>
        </w:rPr>
        <w:t> (pp. 131-137). Springer, Cham.</w:t>
      </w:r>
    </w:p>
    <w:p w14:paraId="18D817D1"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t>Lazarus, D. (2018). Structural engineering for the Elizabeth line: Damage assessment and monitoring for buildings on the Elizabeth line. </w:t>
      </w:r>
      <w:r w:rsidRPr="00296F7A">
        <w:rPr>
          <w:rFonts w:ascii="Times New Roman" w:hAnsi="Times New Roman" w:cs="Times New Roman"/>
          <w:i/>
          <w:iCs/>
          <w:sz w:val="24"/>
          <w:szCs w:val="24"/>
          <w:shd w:val="clear" w:color="auto" w:fill="FFFFFF"/>
        </w:rPr>
        <w:t>The Structural Engineer: journal of the Institution of Structural Engineer</w:t>
      </w:r>
      <w:r w:rsidRPr="00296F7A">
        <w:rPr>
          <w:rFonts w:ascii="Times New Roman" w:hAnsi="Times New Roman" w:cs="Times New Roman"/>
          <w:sz w:val="24"/>
          <w:szCs w:val="24"/>
          <w:shd w:val="clear" w:color="auto" w:fill="FFFFFF"/>
        </w:rPr>
        <w:t>, </w:t>
      </w:r>
      <w:r w:rsidRPr="00296F7A">
        <w:rPr>
          <w:rFonts w:ascii="Times New Roman" w:hAnsi="Times New Roman" w:cs="Times New Roman"/>
          <w:i/>
          <w:iCs/>
          <w:sz w:val="24"/>
          <w:szCs w:val="24"/>
          <w:shd w:val="clear" w:color="auto" w:fill="FFFFFF"/>
        </w:rPr>
        <w:t>96</w:t>
      </w:r>
      <w:r w:rsidRPr="00296F7A">
        <w:rPr>
          <w:rFonts w:ascii="Times New Roman" w:hAnsi="Times New Roman" w:cs="Times New Roman"/>
          <w:sz w:val="24"/>
          <w:szCs w:val="24"/>
          <w:shd w:val="clear" w:color="auto" w:fill="FFFFFF"/>
        </w:rPr>
        <w:t>(7), 14-24.</w:t>
      </w:r>
    </w:p>
    <w:p w14:paraId="3516692B" w14:textId="77777777" w:rsidR="00A1636E" w:rsidRPr="00296F7A" w:rsidRDefault="00A1636E" w:rsidP="00A1636E">
      <w:pPr>
        <w:spacing w:line="360" w:lineRule="auto"/>
        <w:ind w:left="720" w:hanging="720"/>
        <w:jc w:val="both"/>
        <w:rPr>
          <w:rFonts w:ascii="Times New Roman" w:hAnsi="Times New Roman" w:cs="Times New Roman"/>
          <w:sz w:val="24"/>
          <w:szCs w:val="24"/>
          <w:shd w:val="clear" w:color="auto" w:fill="FFFFFF"/>
        </w:rPr>
      </w:pPr>
      <w:r w:rsidRPr="00296F7A">
        <w:rPr>
          <w:rFonts w:ascii="Times New Roman" w:hAnsi="Times New Roman" w:cs="Times New Roman"/>
          <w:sz w:val="24"/>
          <w:szCs w:val="24"/>
          <w:shd w:val="clear" w:color="auto" w:fill="FFFFFF"/>
        </w:rPr>
        <w:t>Wild, M. (2021, August). Trial running starts on London’s Elizabeth line prior to phased opening in 2022. In </w:t>
      </w:r>
      <w:r w:rsidRPr="00296F7A">
        <w:rPr>
          <w:rFonts w:ascii="Times New Roman" w:hAnsi="Times New Roman" w:cs="Times New Roman"/>
          <w:i/>
          <w:iCs/>
          <w:sz w:val="24"/>
          <w:szCs w:val="24"/>
          <w:shd w:val="clear" w:color="auto" w:fill="FFFFFF"/>
        </w:rPr>
        <w:t>Proceedings of the Institution of Civil Engineers-Civil Engineering</w:t>
      </w:r>
      <w:r w:rsidRPr="00296F7A">
        <w:rPr>
          <w:rFonts w:ascii="Times New Roman" w:hAnsi="Times New Roman" w:cs="Times New Roman"/>
          <w:sz w:val="24"/>
          <w:szCs w:val="24"/>
          <w:shd w:val="clear" w:color="auto" w:fill="FFFFFF"/>
        </w:rPr>
        <w:t> (Vol. 174, No. 3, pp. 100-100). Thomas Telford Ltd.</w:t>
      </w:r>
    </w:p>
    <w:sectPr w:rsidR="00A1636E" w:rsidRPr="00296F7A">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DAF46" w14:textId="77777777" w:rsidR="00933C70" w:rsidRDefault="00933C70" w:rsidP="00296F7A">
      <w:pPr>
        <w:spacing w:after="0" w:line="240" w:lineRule="auto"/>
      </w:pPr>
      <w:r>
        <w:separator/>
      </w:r>
    </w:p>
  </w:endnote>
  <w:endnote w:type="continuationSeparator" w:id="0">
    <w:p w14:paraId="52902FF8" w14:textId="77777777" w:rsidR="00933C70" w:rsidRDefault="00933C70" w:rsidP="0029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9894C" w14:textId="77777777" w:rsidR="00933C70" w:rsidRDefault="00933C70" w:rsidP="00296F7A">
      <w:pPr>
        <w:spacing w:after="0" w:line="240" w:lineRule="auto"/>
      </w:pPr>
      <w:r>
        <w:separator/>
      </w:r>
    </w:p>
  </w:footnote>
  <w:footnote w:type="continuationSeparator" w:id="0">
    <w:p w14:paraId="0DA95368" w14:textId="77777777" w:rsidR="00933C70" w:rsidRDefault="00933C70" w:rsidP="00296F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98656"/>
      <w:docPartObj>
        <w:docPartGallery w:val="Page Numbers (Top of Page)"/>
        <w:docPartUnique/>
      </w:docPartObj>
    </w:sdtPr>
    <w:sdtEndPr>
      <w:rPr>
        <w:noProof/>
      </w:rPr>
    </w:sdtEndPr>
    <w:sdtContent>
      <w:p w14:paraId="276CE277" w14:textId="77777777" w:rsidR="00296F7A" w:rsidRDefault="00296F7A">
        <w:pPr>
          <w:pStyle w:val="Header"/>
          <w:jc w:val="right"/>
        </w:pPr>
        <w:r>
          <w:fldChar w:fldCharType="begin"/>
        </w:r>
        <w:r>
          <w:instrText xml:space="preserve"> PAGE   \* MERGEFORMAT </w:instrText>
        </w:r>
        <w:r>
          <w:fldChar w:fldCharType="separate"/>
        </w:r>
        <w:r w:rsidR="00A1636E">
          <w:rPr>
            <w:noProof/>
          </w:rPr>
          <w:t>10</w:t>
        </w:r>
        <w:r>
          <w:rPr>
            <w:noProof/>
          </w:rPr>
          <w:fldChar w:fldCharType="end"/>
        </w:r>
      </w:p>
    </w:sdtContent>
  </w:sdt>
  <w:p w14:paraId="1738B1B2" w14:textId="77777777" w:rsidR="00296F7A" w:rsidRDefault="00296F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5256F"/>
    <w:multiLevelType w:val="hybridMultilevel"/>
    <w:tmpl w:val="43162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883F3D"/>
    <w:multiLevelType w:val="hybridMultilevel"/>
    <w:tmpl w:val="7FEE4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6849CE"/>
    <w:multiLevelType w:val="hybridMultilevel"/>
    <w:tmpl w:val="42A6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BD491E"/>
    <w:multiLevelType w:val="hybridMultilevel"/>
    <w:tmpl w:val="82127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650574">
    <w:abstractNumId w:val="3"/>
  </w:num>
  <w:num w:numId="2" w16cid:durableId="329525644">
    <w:abstractNumId w:val="1"/>
  </w:num>
  <w:num w:numId="3" w16cid:durableId="67970650">
    <w:abstractNumId w:val="0"/>
  </w:num>
  <w:num w:numId="4" w16cid:durableId="1516810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195C"/>
    <w:rsid w:val="001638F5"/>
    <w:rsid w:val="001A5634"/>
    <w:rsid w:val="00296F7A"/>
    <w:rsid w:val="00376404"/>
    <w:rsid w:val="00494F6B"/>
    <w:rsid w:val="005F0B21"/>
    <w:rsid w:val="007266D1"/>
    <w:rsid w:val="00772324"/>
    <w:rsid w:val="0082583A"/>
    <w:rsid w:val="0091642C"/>
    <w:rsid w:val="00933C70"/>
    <w:rsid w:val="009F0C95"/>
    <w:rsid w:val="00A1636E"/>
    <w:rsid w:val="00A74781"/>
    <w:rsid w:val="00B001D0"/>
    <w:rsid w:val="00C2430F"/>
    <w:rsid w:val="00C25DE6"/>
    <w:rsid w:val="00E95F13"/>
    <w:rsid w:val="00ED195C"/>
    <w:rsid w:val="00FD3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1937"/>
  <w15:docId w15:val="{43329C55-B0F5-426B-A0AB-8AC722E6E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36E"/>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4F6B"/>
    <w:pPr>
      <w:ind w:left="720"/>
      <w:contextualSpacing/>
    </w:pPr>
  </w:style>
  <w:style w:type="paragraph" w:styleId="Header">
    <w:name w:val="header"/>
    <w:basedOn w:val="Normal"/>
    <w:link w:val="HeaderChar"/>
    <w:uiPriority w:val="99"/>
    <w:unhideWhenUsed/>
    <w:rsid w:val="0029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7A"/>
  </w:style>
  <w:style w:type="paragraph" w:styleId="Footer">
    <w:name w:val="footer"/>
    <w:basedOn w:val="Normal"/>
    <w:link w:val="FooterChar"/>
    <w:uiPriority w:val="99"/>
    <w:unhideWhenUsed/>
    <w:rsid w:val="0029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7A"/>
  </w:style>
  <w:style w:type="character" w:customStyle="1" w:styleId="Heading1Char">
    <w:name w:val="Heading 1 Char"/>
    <w:basedOn w:val="DefaultParagraphFont"/>
    <w:link w:val="Heading1"/>
    <w:uiPriority w:val="9"/>
    <w:rsid w:val="00A1636E"/>
    <w:rPr>
      <w:rFonts w:ascii="Times New Roman" w:hAnsi="Times New Roman" w:cs="Times New Roman"/>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TotalTime>
  <Pages>10</Pages>
  <Words>2725</Words>
  <Characters>15537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Plamen Pelov</cp:lastModifiedBy>
  <cp:revision>7</cp:revision>
  <dcterms:created xsi:type="dcterms:W3CDTF">2022-12-07T07:48:00Z</dcterms:created>
  <dcterms:modified xsi:type="dcterms:W3CDTF">2022-12-08T07:20:00Z</dcterms:modified>
</cp:coreProperties>
</file>