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3A01FE" w14:textId="77777777" w:rsidR="00415C2E" w:rsidRDefault="00DB539A">
      <w:r>
        <w:rPr>
          <w:noProof/>
        </w:rPr>
        <w:drawing>
          <wp:inline distT="0" distB="0" distL="0" distR="0" wp14:anchorId="17465C8D" wp14:editId="01595588">
            <wp:extent cx="1909445" cy="636270"/>
            <wp:effectExtent l="19050" t="19050" r="19050" b="19050"/>
            <wp:docPr id="5" name="image1.png" descr="Immagine che contiene testo, Carattere, schermata, log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 Carattere, schermata, logo&#10;&#10;Descrizione generata automaticamente"/>
                    <pic:cNvPicPr preferRelativeResize="0"/>
                  </pic:nvPicPr>
                  <pic:blipFill>
                    <a:blip r:embed="rId7"/>
                    <a:srcRect/>
                    <a:stretch>
                      <a:fillRect/>
                    </a:stretch>
                  </pic:blipFill>
                  <pic:spPr>
                    <a:xfrm>
                      <a:off x="0" y="0"/>
                      <a:ext cx="1909445" cy="636270"/>
                    </a:xfrm>
                    <a:prstGeom prst="rect">
                      <a:avLst/>
                    </a:prstGeom>
                    <a:ln w="19050">
                      <a:solidFill>
                        <a:srgbClr val="000000"/>
                      </a:solidFill>
                      <a:prstDash val="solid"/>
                    </a:ln>
                  </pic:spPr>
                </pic:pic>
              </a:graphicData>
            </a:graphic>
          </wp:inline>
        </w:drawing>
      </w:r>
    </w:p>
    <w:p w14:paraId="366B5FC4" w14:textId="77777777" w:rsidR="00415C2E" w:rsidRDefault="00415C2E"/>
    <w:p w14:paraId="5045C1BC" w14:textId="77777777" w:rsidR="00415C2E" w:rsidRDefault="00415C2E"/>
    <w:p w14:paraId="1F2639D7" w14:textId="77777777" w:rsidR="00415C2E" w:rsidRDefault="00DB539A">
      <w:pPr>
        <w:rPr>
          <w:b/>
          <w:sz w:val="28"/>
          <w:szCs w:val="28"/>
        </w:rPr>
      </w:pPr>
      <w:r>
        <w:rPr>
          <w:b/>
          <w:sz w:val="28"/>
          <w:szCs w:val="28"/>
        </w:rPr>
        <w:t xml:space="preserve">Postgraduate/Distance Learning </w:t>
      </w:r>
    </w:p>
    <w:p w14:paraId="1885C034" w14:textId="77777777" w:rsidR="00415C2E" w:rsidRDefault="00DB539A">
      <w:pPr>
        <w:rPr>
          <w:b/>
          <w:sz w:val="28"/>
          <w:szCs w:val="28"/>
        </w:rPr>
      </w:pPr>
      <w:r>
        <w:rPr>
          <w:b/>
          <w:sz w:val="28"/>
          <w:szCs w:val="28"/>
        </w:rPr>
        <w:t>Assignment coversheet &amp; feedback form</w:t>
      </w:r>
    </w:p>
    <w:p w14:paraId="5E2B4F39" w14:textId="77777777" w:rsidR="00415C2E" w:rsidRDefault="00415C2E">
      <w:pPr>
        <w:rPr>
          <w:sz w:val="28"/>
          <w:szCs w:val="28"/>
        </w:rPr>
      </w:pPr>
    </w:p>
    <w:p w14:paraId="3E8B30B9" w14:textId="77777777" w:rsidR="00415C2E" w:rsidRDefault="00DB539A">
      <w:r>
        <w:t>THIS SHEET MUST BE THE FIRST PAGE OF THE ASSIGNMENT YOU ARE SUBMITTING  (DO NOT SEND AS A SEPARATE FILE)</w:t>
      </w:r>
    </w:p>
    <w:p w14:paraId="7CD8FC13" w14:textId="77777777" w:rsidR="00415C2E" w:rsidRDefault="00415C2E"/>
    <w:tbl>
      <w:tblPr>
        <w:tblStyle w:val="a"/>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7"/>
        <w:gridCol w:w="283"/>
        <w:gridCol w:w="1557"/>
        <w:gridCol w:w="286"/>
        <w:gridCol w:w="2580"/>
      </w:tblGrid>
      <w:tr w:rsidR="00415C2E" w14:paraId="05D7558B" w14:textId="77777777">
        <w:trPr>
          <w:trHeight w:val="614"/>
        </w:trPr>
        <w:tc>
          <w:tcPr>
            <w:tcW w:w="9923" w:type="dxa"/>
            <w:gridSpan w:val="5"/>
          </w:tcPr>
          <w:p w14:paraId="2B4B610F" w14:textId="77777777" w:rsidR="00415C2E" w:rsidRDefault="00DB539A">
            <w:pPr>
              <w:rPr>
                <w:sz w:val="22"/>
                <w:szCs w:val="22"/>
              </w:rPr>
            </w:pPr>
            <w:r>
              <w:rPr>
                <w:b/>
                <w:sz w:val="22"/>
                <w:szCs w:val="22"/>
              </w:rPr>
              <w:t>For completion by the student</w:t>
            </w:r>
            <w:r>
              <w:rPr>
                <w:sz w:val="22"/>
                <w:szCs w:val="22"/>
              </w:rPr>
              <w:t>:</w:t>
            </w:r>
          </w:p>
        </w:tc>
      </w:tr>
      <w:tr w:rsidR="00415C2E" w14:paraId="24D11D93" w14:textId="77777777">
        <w:trPr>
          <w:trHeight w:val="718"/>
        </w:trPr>
        <w:tc>
          <w:tcPr>
            <w:tcW w:w="9923" w:type="dxa"/>
            <w:gridSpan w:val="5"/>
          </w:tcPr>
          <w:p w14:paraId="30F967D9" w14:textId="77777777" w:rsidR="00415C2E" w:rsidRDefault="00DB539A">
            <w:pPr>
              <w:rPr>
                <w:sz w:val="22"/>
                <w:szCs w:val="22"/>
              </w:rPr>
            </w:pPr>
            <w:r>
              <w:rPr>
                <w:sz w:val="22"/>
                <w:szCs w:val="22"/>
              </w:rPr>
              <w:t>Student Name: Francesca Croce</w:t>
            </w:r>
          </w:p>
          <w:p w14:paraId="6B11CC11" w14:textId="77777777" w:rsidR="00415C2E" w:rsidRDefault="00415C2E">
            <w:pPr>
              <w:rPr>
                <w:sz w:val="22"/>
                <w:szCs w:val="22"/>
              </w:rPr>
            </w:pPr>
          </w:p>
          <w:p w14:paraId="24CE9905" w14:textId="77777777" w:rsidR="00415C2E" w:rsidRDefault="00DB539A">
            <w:pPr>
              <w:rPr>
                <w:sz w:val="22"/>
                <w:szCs w:val="22"/>
              </w:rPr>
            </w:pPr>
            <w:r>
              <w:rPr>
                <w:sz w:val="22"/>
                <w:szCs w:val="22"/>
              </w:rPr>
              <w:t xml:space="preserve">Student </w:t>
            </w:r>
            <w:r>
              <w:rPr>
                <w:b/>
                <w:sz w:val="22"/>
                <w:szCs w:val="22"/>
                <w:u w:val="single"/>
              </w:rPr>
              <w:t>University</w:t>
            </w:r>
            <w:r>
              <w:rPr>
                <w:sz w:val="22"/>
                <w:szCs w:val="22"/>
              </w:rPr>
              <w:t xml:space="preserve"> Email: 2317231@student.uwtsd.ac.uk</w:t>
            </w:r>
          </w:p>
        </w:tc>
      </w:tr>
      <w:tr w:rsidR="00415C2E" w14:paraId="41B22A34" w14:textId="77777777">
        <w:trPr>
          <w:trHeight w:val="849"/>
        </w:trPr>
        <w:tc>
          <w:tcPr>
            <w:tcW w:w="5217" w:type="dxa"/>
            <w:vAlign w:val="center"/>
          </w:tcPr>
          <w:p w14:paraId="05685231" w14:textId="77777777" w:rsidR="00415C2E" w:rsidRDefault="00DB539A">
            <w:pPr>
              <w:rPr>
                <w:sz w:val="22"/>
                <w:szCs w:val="22"/>
              </w:rPr>
            </w:pPr>
            <w:r>
              <w:rPr>
                <w:sz w:val="22"/>
                <w:szCs w:val="22"/>
              </w:rPr>
              <w:t xml:space="preserve">Module code: </w:t>
            </w:r>
          </w:p>
          <w:p w14:paraId="0E25E7B6" w14:textId="77777777" w:rsidR="00415C2E" w:rsidRDefault="00DB539A">
            <w:pPr>
              <w:rPr>
                <w:sz w:val="22"/>
                <w:szCs w:val="22"/>
              </w:rPr>
            </w:pPr>
            <w:r>
              <w:rPr>
                <w:sz w:val="22"/>
                <w:szCs w:val="22"/>
              </w:rPr>
              <w:t xml:space="preserve">                             HPCA7031</w:t>
            </w:r>
          </w:p>
          <w:p w14:paraId="5F36F6A6" w14:textId="77777777" w:rsidR="00415C2E" w:rsidRDefault="00DB539A">
            <w:pPr>
              <w:rPr>
                <w:sz w:val="22"/>
                <w:szCs w:val="22"/>
              </w:rPr>
            </w:pPr>
            <w:r>
              <w:rPr>
                <w:sz w:val="22"/>
                <w:szCs w:val="22"/>
              </w:rPr>
              <w:t xml:space="preserve">Module title: </w:t>
            </w:r>
          </w:p>
          <w:p w14:paraId="5AA12DB9" w14:textId="77777777" w:rsidR="00415C2E" w:rsidRDefault="00DB539A">
            <w:pPr>
              <w:rPr>
                <w:sz w:val="22"/>
                <w:szCs w:val="22"/>
              </w:rPr>
            </w:pPr>
            <w:r>
              <w:rPr>
                <w:sz w:val="22"/>
                <w:szCs w:val="22"/>
              </w:rPr>
              <w:t xml:space="preserve">         Astrology, History, Spirit and Soul</w:t>
            </w:r>
          </w:p>
        </w:tc>
        <w:tc>
          <w:tcPr>
            <w:tcW w:w="2126" w:type="dxa"/>
            <w:gridSpan w:val="3"/>
            <w:vAlign w:val="center"/>
          </w:tcPr>
          <w:p w14:paraId="7463EFDD" w14:textId="77777777" w:rsidR="00415C2E" w:rsidRDefault="00DB539A">
            <w:pPr>
              <w:rPr>
                <w:sz w:val="22"/>
                <w:szCs w:val="22"/>
              </w:rPr>
            </w:pPr>
            <w:r>
              <w:rPr>
                <w:sz w:val="22"/>
                <w:szCs w:val="22"/>
              </w:rPr>
              <w:t>Student ID number:</w:t>
            </w:r>
          </w:p>
          <w:p w14:paraId="38F5F370" w14:textId="77777777" w:rsidR="00415C2E" w:rsidRDefault="00DB539A">
            <w:pPr>
              <w:rPr>
                <w:sz w:val="22"/>
                <w:szCs w:val="22"/>
              </w:rPr>
            </w:pPr>
            <w:r>
              <w:rPr>
                <w:sz w:val="22"/>
                <w:szCs w:val="22"/>
              </w:rPr>
              <w:t>2317231</w:t>
            </w:r>
          </w:p>
        </w:tc>
        <w:tc>
          <w:tcPr>
            <w:tcW w:w="2580" w:type="dxa"/>
          </w:tcPr>
          <w:p w14:paraId="4E88D6CB" w14:textId="77777777" w:rsidR="00415C2E" w:rsidRDefault="00DB539A">
            <w:pPr>
              <w:rPr>
                <w:sz w:val="22"/>
                <w:szCs w:val="22"/>
              </w:rPr>
            </w:pPr>
            <w:r>
              <w:rPr>
                <w:sz w:val="22"/>
                <w:szCs w:val="22"/>
              </w:rPr>
              <w:t>Educational support needs:</w:t>
            </w:r>
          </w:p>
          <w:p w14:paraId="72A5120B" w14:textId="77777777" w:rsidR="00415C2E" w:rsidRDefault="00DB539A">
            <w:pPr>
              <w:rPr>
                <w:sz w:val="22"/>
                <w:szCs w:val="22"/>
              </w:rPr>
            </w:pPr>
            <w:r>
              <w:rPr>
                <w:sz w:val="22"/>
                <w:szCs w:val="22"/>
              </w:rPr>
              <w:t>No</w:t>
            </w:r>
          </w:p>
        </w:tc>
      </w:tr>
      <w:tr w:rsidR="00415C2E" w14:paraId="4D20EFD5" w14:textId="77777777">
        <w:trPr>
          <w:trHeight w:val="1139"/>
        </w:trPr>
        <w:tc>
          <w:tcPr>
            <w:tcW w:w="9923" w:type="dxa"/>
            <w:gridSpan w:val="5"/>
          </w:tcPr>
          <w:p w14:paraId="6B09F09E" w14:textId="77777777" w:rsidR="00415C2E" w:rsidRDefault="00DB539A">
            <w:pPr>
              <w:rPr>
                <w:sz w:val="22"/>
                <w:szCs w:val="22"/>
              </w:rPr>
            </w:pPr>
            <w:r>
              <w:rPr>
                <w:sz w:val="22"/>
                <w:szCs w:val="22"/>
              </w:rPr>
              <w:t>Assignment title:</w:t>
            </w:r>
          </w:p>
          <w:p w14:paraId="7760D488" w14:textId="77777777" w:rsidR="00415C2E" w:rsidRDefault="00DB539A">
            <w:pPr>
              <w:rPr>
                <w:b/>
                <w:sz w:val="24"/>
                <w:szCs w:val="24"/>
              </w:rPr>
            </w:pPr>
            <w:r>
              <w:rPr>
                <w:b/>
                <w:sz w:val="24"/>
                <w:szCs w:val="24"/>
              </w:rPr>
              <w:t>Taking one period of astrology, consider whether it assumed that the future was negotiable or fixed.</w:t>
            </w:r>
          </w:p>
          <w:p w14:paraId="58C65E6A" w14:textId="77777777" w:rsidR="00415C2E" w:rsidRDefault="00DB539A">
            <w:pPr>
              <w:rPr>
                <w:b/>
                <w:sz w:val="24"/>
                <w:szCs w:val="24"/>
              </w:rPr>
            </w:pPr>
            <w:r>
              <w:rPr>
                <w:sz w:val="22"/>
                <w:szCs w:val="22"/>
              </w:rPr>
              <w:t>Assignment due date: 6 January 2025</w:t>
            </w:r>
          </w:p>
        </w:tc>
      </w:tr>
      <w:tr w:rsidR="00415C2E" w14:paraId="15AA93D7" w14:textId="77777777">
        <w:trPr>
          <w:trHeight w:val="978"/>
        </w:trPr>
        <w:tc>
          <w:tcPr>
            <w:tcW w:w="9923" w:type="dxa"/>
            <w:gridSpan w:val="5"/>
            <w:tcBorders>
              <w:bottom w:val="single" w:sz="4" w:space="0" w:color="000000"/>
            </w:tcBorders>
          </w:tcPr>
          <w:p w14:paraId="039DAABB" w14:textId="77777777" w:rsidR="00415C2E" w:rsidRDefault="00415C2E">
            <w:pPr>
              <w:rPr>
                <w:sz w:val="22"/>
                <w:szCs w:val="22"/>
              </w:rPr>
            </w:pPr>
          </w:p>
          <w:p w14:paraId="52AB6E12" w14:textId="77777777" w:rsidR="00415C2E" w:rsidRDefault="00DB539A">
            <w:pPr>
              <w:rPr>
                <w:sz w:val="22"/>
                <w:szCs w:val="22"/>
              </w:rPr>
            </w:pPr>
            <w:r>
              <w:rPr>
                <w:sz w:val="22"/>
                <w:szCs w:val="22"/>
              </w:rPr>
              <w:t>This assignment is for the  1</w:t>
            </w:r>
            <w:r>
              <w:rPr>
                <w:sz w:val="22"/>
                <w:szCs w:val="22"/>
                <w:vertAlign w:val="superscript"/>
              </w:rPr>
              <w:t xml:space="preserve">st </w:t>
            </w:r>
            <w:bookmarkStart w:id="0" w:name="bookmark=id.gjdgxs" w:colFirst="0" w:colLast="0"/>
            <w:bookmarkEnd w:id="0"/>
            <w:r>
              <w:rPr>
                <w:sz w:val="22"/>
                <w:szCs w:val="22"/>
              </w:rPr>
              <w:t>☐   2</w:t>
            </w:r>
            <w:r>
              <w:rPr>
                <w:sz w:val="22"/>
                <w:szCs w:val="22"/>
                <w:vertAlign w:val="superscript"/>
              </w:rPr>
              <w:t xml:space="preserve">nd </w:t>
            </w:r>
            <w:bookmarkStart w:id="1" w:name="bookmark=id.30j0zll" w:colFirst="0" w:colLast="0"/>
            <w:bookmarkEnd w:id="1"/>
            <w:r>
              <w:rPr>
                <w:sz w:val="22"/>
                <w:szCs w:val="22"/>
              </w:rPr>
              <w:t>☐   3</w:t>
            </w:r>
            <w:r>
              <w:rPr>
                <w:sz w:val="22"/>
                <w:szCs w:val="22"/>
                <w:vertAlign w:val="superscript"/>
              </w:rPr>
              <w:t>rd</w:t>
            </w:r>
            <w:r>
              <w:rPr>
                <w:sz w:val="22"/>
                <w:szCs w:val="22"/>
              </w:rPr>
              <w:t xml:space="preserve"> </w:t>
            </w:r>
            <w:bookmarkStart w:id="2" w:name="bookmark=id.1fob9te" w:colFirst="0" w:colLast="0"/>
            <w:bookmarkEnd w:id="2"/>
            <w:r>
              <w:rPr>
                <w:sz w:val="22"/>
                <w:szCs w:val="22"/>
              </w:rPr>
              <w:t>☒   4</w:t>
            </w:r>
            <w:r>
              <w:rPr>
                <w:sz w:val="22"/>
                <w:szCs w:val="22"/>
                <w:vertAlign w:val="superscript"/>
              </w:rPr>
              <w:t>th</w:t>
            </w:r>
            <w:r>
              <w:rPr>
                <w:sz w:val="22"/>
                <w:szCs w:val="22"/>
              </w:rPr>
              <w:t xml:space="preserve"> </w:t>
            </w:r>
            <w:bookmarkStart w:id="3" w:name="bookmark=id.3znysh7" w:colFirst="0" w:colLast="0"/>
            <w:bookmarkEnd w:id="3"/>
            <w:r>
              <w:rPr>
                <w:sz w:val="22"/>
                <w:szCs w:val="22"/>
              </w:rPr>
              <w:t>☐   5</w:t>
            </w:r>
            <w:r>
              <w:rPr>
                <w:sz w:val="22"/>
                <w:szCs w:val="22"/>
                <w:vertAlign w:val="superscript"/>
              </w:rPr>
              <w:t>th</w:t>
            </w:r>
            <w:r>
              <w:rPr>
                <w:sz w:val="22"/>
                <w:szCs w:val="22"/>
              </w:rPr>
              <w:t xml:space="preserve"> </w:t>
            </w:r>
            <w:bookmarkStart w:id="4" w:name="bookmark=id.2et92p0" w:colFirst="0" w:colLast="0"/>
            <w:bookmarkEnd w:id="4"/>
            <w:r>
              <w:rPr>
                <w:sz w:val="22"/>
                <w:szCs w:val="22"/>
              </w:rPr>
              <w:t>☐   6</w:t>
            </w:r>
            <w:r>
              <w:rPr>
                <w:sz w:val="22"/>
                <w:szCs w:val="22"/>
                <w:vertAlign w:val="superscript"/>
              </w:rPr>
              <w:t>th</w:t>
            </w:r>
            <w:r>
              <w:rPr>
                <w:sz w:val="22"/>
                <w:szCs w:val="22"/>
              </w:rPr>
              <w:t xml:space="preserve"> </w:t>
            </w:r>
            <w:bookmarkStart w:id="5" w:name="bookmark=id.tyjcwt" w:colFirst="0" w:colLast="0"/>
            <w:bookmarkEnd w:id="5"/>
            <w:r>
              <w:rPr>
                <w:sz w:val="22"/>
                <w:szCs w:val="22"/>
              </w:rPr>
              <w:t>☐</w:t>
            </w:r>
            <w:r>
              <w:rPr>
                <w:b/>
                <w:sz w:val="22"/>
                <w:szCs w:val="22"/>
              </w:rPr>
              <w:t xml:space="preserve">  </w:t>
            </w:r>
            <w:r>
              <w:rPr>
                <w:sz w:val="22"/>
                <w:szCs w:val="22"/>
              </w:rPr>
              <w:t>module of the degree</w:t>
            </w:r>
          </w:p>
        </w:tc>
      </w:tr>
      <w:tr w:rsidR="00415C2E" w14:paraId="49ED3172" w14:textId="77777777">
        <w:trPr>
          <w:trHeight w:val="978"/>
        </w:trPr>
        <w:tc>
          <w:tcPr>
            <w:tcW w:w="9923" w:type="dxa"/>
            <w:gridSpan w:val="5"/>
            <w:shd w:val="clear" w:color="auto" w:fill="D9D9D9"/>
          </w:tcPr>
          <w:p w14:paraId="4BF656C7" w14:textId="77777777" w:rsidR="00415C2E" w:rsidRDefault="00DB539A">
            <w:pPr>
              <w:rPr>
                <w:sz w:val="22"/>
                <w:szCs w:val="22"/>
              </w:rPr>
            </w:pPr>
            <w:r>
              <w:rPr>
                <w:sz w:val="22"/>
                <w:szCs w:val="22"/>
              </w:rPr>
              <w:t>I confirm that this is my original work and that I have adhered to the University policy on plagiarism.</w:t>
            </w:r>
          </w:p>
          <w:p w14:paraId="446BE88F" w14:textId="77777777" w:rsidR="00415C2E" w:rsidRDefault="00DB539A">
            <w:pPr>
              <w:rPr>
                <w:sz w:val="22"/>
                <w:szCs w:val="22"/>
              </w:rPr>
            </w:pPr>
            <w:r>
              <w:rPr>
                <w:noProof/>
              </w:rPr>
              <w:drawing>
                <wp:anchor distT="0" distB="0" distL="114300" distR="114300" simplePos="0" relativeHeight="251658240" behindDoc="0" locked="0" layoutInCell="1" hidden="0" allowOverlap="1" wp14:anchorId="5B3300BF" wp14:editId="4EB07E06">
                  <wp:simplePos x="0" y="0"/>
                  <wp:positionH relativeFrom="column">
                    <wp:posOffset>523800</wp:posOffset>
                  </wp:positionH>
                  <wp:positionV relativeFrom="paragraph">
                    <wp:posOffset>149225</wp:posOffset>
                  </wp:positionV>
                  <wp:extent cx="1334135" cy="305435"/>
                  <wp:effectExtent l="0" t="0" r="0" b="0"/>
                  <wp:wrapNone/>
                  <wp:docPr id="4" name="image2.jpg" descr="Immagine che contiene calligrafia, Carattere, tipografia, handwritten&#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2.jpg" descr="Immagine che contiene calligrafia, Carattere, tipografia, handwritten&#10;&#10;Descrizione generata automaticamente"/>
                          <pic:cNvPicPr preferRelativeResize="0"/>
                        </pic:nvPicPr>
                        <pic:blipFill>
                          <a:blip r:embed="rId8"/>
                          <a:srcRect/>
                          <a:stretch>
                            <a:fillRect/>
                          </a:stretch>
                        </pic:blipFill>
                        <pic:spPr>
                          <a:xfrm>
                            <a:off x="0" y="0"/>
                            <a:ext cx="1334135" cy="305435"/>
                          </a:xfrm>
                          <a:prstGeom prst="rect">
                            <a:avLst/>
                          </a:prstGeom>
                          <a:ln/>
                        </pic:spPr>
                      </pic:pic>
                    </a:graphicData>
                  </a:graphic>
                </wp:anchor>
              </w:drawing>
            </w:r>
          </w:p>
          <w:p w14:paraId="7AC58EBC" w14:textId="77777777" w:rsidR="00415C2E" w:rsidRDefault="00415C2E">
            <w:pPr>
              <w:rPr>
                <w:sz w:val="22"/>
                <w:szCs w:val="22"/>
              </w:rPr>
            </w:pPr>
          </w:p>
          <w:p w14:paraId="0801CBDE" w14:textId="77777777" w:rsidR="00415C2E" w:rsidRDefault="00DB539A">
            <w:pPr>
              <w:rPr>
                <w:sz w:val="22"/>
                <w:szCs w:val="22"/>
              </w:rPr>
            </w:pPr>
            <w:r>
              <w:rPr>
                <w:sz w:val="22"/>
                <w:szCs w:val="22"/>
              </w:rPr>
              <w:t xml:space="preserve">Signed </w:t>
            </w:r>
          </w:p>
          <w:p w14:paraId="47F6CA02" w14:textId="77777777" w:rsidR="00415C2E" w:rsidRDefault="00DB539A">
            <w:pPr>
              <w:rPr>
                <w:b/>
                <w:sz w:val="44"/>
                <w:szCs w:val="44"/>
              </w:rPr>
            </w:pPr>
            <w:r>
              <w:rPr>
                <w:b/>
                <w:sz w:val="24"/>
                <w:szCs w:val="24"/>
              </w:rPr>
              <w:t xml:space="preserve">Email submission:if you are submitting this form via email, please tick this box </w:t>
            </w:r>
            <w:r>
              <w:rPr>
                <w:sz w:val="22"/>
                <w:szCs w:val="22"/>
              </w:rPr>
              <w:t xml:space="preserve">☒ </w:t>
            </w:r>
          </w:p>
          <w:p w14:paraId="61B077B4" w14:textId="77777777" w:rsidR="00415C2E" w:rsidRDefault="00DB539A">
            <w:pPr>
              <w:rPr>
                <w:sz w:val="22"/>
                <w:szCs w:val="22"/>
              </w:rPr>
            </w:pPr>
            <w:r>
              <w:rPr>
                <w:b/>
                <w:sz w:val="24"/>
                <w:szCs w:val="24"/>
              </w:rPr>
              <w:t>(as a substitute for your signature) to confirm that you agree to the above declaration.</w:t>
            </w:r>
          </w:p>
        </w:tc>
      </w:tr>
      <w:tr w:rsidR="00415C2E" w14:paraId="16512E8E" w14:textId="77777777">
        <w:trPr>
          <w:trHeight w:val="3972"/>
        </w:trPr>
        <w:tc>
          <w:tcPr>
            <w:tcW w:w="9923" w:type="dxa"/>
            <w:gridSpan w:val="5"/>
          </w:tcPr>
          <w:p w14:paraId="2B8EC253" w14:textId="77777777" w:rsidR="00415C2E" w:rsidRDefault="00415C2E">
            <w:pPr>
              <w:rPr>
                <w:b/>
              </w:rPr>
            </w:pPr>
          </w:p>
          <w:p w14:paraId="1EC1B0D0" w14:textId="77777777" w:rsidR="00415C2E" w:rsidRDefault="00DB539A">
            <w:r>
              <w:rPr>
                <w:b/>
              </w:rPr>
              <w:t>Assignment Mark</w:t>
            </w:r>
          </w:p>
          <w:tbl>
            <w:tblPr>
              <w:tblStyle w:val="a0"/>
              <w:tblW w:w="8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70"/>
              <w:gridCol w:w="1660"/>
            </w:tblGrid>
            <w:tr w:rsidR="00415C2E" w14:paraId="6049249A" w14:textId="77777777">
              <w:tc>
                <w:tcPr>
                  <w:tcW w:w="6970" w:type="dxa"/>
                </w:tcPr>
                <w:p w14:paraId="07A8DA0E" w14:textId="77777777" w:rsidR="00415C2E" w:rsidRDefault="00415C2E">
                  <w:pPr>
                    <w:rPr>
                      <w:sz w:val="20"/>
                      <w:szCs w:val="20"/>
                    </w:rPr>
                  </w:pPr>
                </w:p>
                <w:p w14:paraId="73C2114A" w14:textId="77777777" w:rsidR="00415C2E" w:rsidRDefault="00DB539A">
                  <w:pPr>
                    <w:rPr>
                      <w:sz w:val="20"/>
                      <w:szCs w:val="20"/>
                    </w:rPr>
                  </w:pPr>
                  <w:r>
                    <w:rPr>
                      <w:sz w:val="20"/>
                      <w:szCs w:val="20"/>
                    </w:rPr>
                    <w:t>1</w:t>
                  </w:r>
                  <w:r>
                    <w:rPr>
                      <w:sz w:val="20"/>
                      <w:szCs w:val="20"/>
                      <w:vertAlign w:val="superscript"/>
                    </w:rPr>
                    <w:t>st</w:t>
                  </w:r>
                  <w:r>
                    <w:rPr>
                      <w:sz w:val="20"/>
                      <w:szCs w:val="20"/>
                    </w:rPr>
                    <w:t xml:space="preserve"> Marker’s Provisional mark</w:t>
                  </w:r>
                </w:p>
              </w:tc>
              <w:tc>
                <w:tcPr>
                  <w:tcW w:w="1660" w:type="dxa"/>
                </w:tcPr>
                <w:p w14:paraId="771E4BA6" w14:textId="77777777" w:rsidR="00415C2E" w:rsidRDefault="00415C2E">
                  <w:pPr>
                    <w:rPr>
                      <w:sz w:val="20"/>
                      <w:szCs w:val="20"/>
                    </w:rPr>
                  </w:pPr>
                </w:p>
              </w:tc>
            </w:tr>
            <w:tr w:rsidR="00415C2E" w14:paraId="4EFF9ADE" w14:textId="77777777">
              <w:tc>
                <w:tcPr>
                  <w:tcW w:w="6970" w:type="dxa"/>
                </w:tcPr>
                <w:p w14:paraId="710E072D" w14:textId="77777777" w:rsidR="00415C2E" w:rsidRDefault="00415C2E">
                  <w:pPr>
                    <w:rPr>
                      <w:sz w:val="20"/>
                      <w:szCs w:val="20"/>
                    </w:rPr>
                  </w:pPr>
                </w:p>
                <w:p w14:paraId="42364461" w14:textId="77777777" w:rsidR="00415C2E" w:rsidRDefault="00DB539A">
                  <w:pPr>
                    <w:rPr>
                      <w:sz w:val="20"/>
                      <w:szCs w:val="20"/>
                    </w:rPr>
                  </w:pPr>
                  <w:r>
                    <w:rPr>
                      <w:sz w:val="20"/>
                      <w:szCs w:val="20"/>
                    </w:rPr>
                    <w:t>2</w:t>
                  </w:r>
                  <w:r>
                    <w:rPr>
                      <w:sz w:val="20"/>
                      <w:szCs w:val="20"/>
                      <w:vertAlign w:val="superscript"/>
                    </w:rPr>
                    <w:t>nd</w:t>
                  </w:r>
                  <w:r>
                    <w:rPr>
                      <w:sz w:val="20"/>
                      <w:szCs w:val="20"/>
                    </w:rPr>
                    <w:t xml:space="preserve"> Marker’s/Moderator’s provisional mark</w:t>
                  </w:r>
                </w:p>
              </w:tc>
              <w:tc>
                <w:tcPr>
                  <w:tcW w:w="1660" w:type="dxa"/>
                </w:tcPr>
                <w:p w14:paraId="36EA20F8" w14:textId="77777777" w:rsidR="00415C2E" w:rsidRDefault="00415C2E">
                  <w:pPr>
                    <w:rPr>
                      <w:sz w:val="20"/>
                      <w:szCs w:val="20"/>
                    </w:rPr>
                  </w:pPr>
                </w:p>
              </w:tc>
            </w:tr>
            <w:tr w:rsidR="00415C2E" w14:paraId="3558823F" w14:textId="77777777">
              <w:tc>
                <w:tcPr>
                  <w:tcW w:w="6970" w:type="dxa"/>
                </w:tcPr>
                <w:p w14:paraId="3EE50925" w14:textId="77777777" w:rsidR="00415C2E" w:rsidRDefault="00415C2E">
                  <w:pPr>
                    <w:rPr>
                      <w:sz w:val="20"/>
                      <w:szCs w:val="20"/>
                    </w:rPr>
                  </w:pPr>
                </w:p>
                <w:p w14:paraId="739CA9C1" w14:textId="77777777" w:rsidR="00415C2E" w:rsidRDefault="00DB539A">
                  <w:pPr>
                    <w:rPr>
                      <w:sz w:val="20"/>
                      <w:szCs w:val="20"/>
                    </w:rPr>
                  </w:pPr>
                  <w:r>
                    <w:rPr>
                      <w:sz w:val="20"/>
                      <w:szCs w:val="20"/>
                    </w:rPr>
                    <w:t>External Examiner’s mark (if relevant)</w:t>
                  </w:r>
                </w:p>
              </w:tc>
              <w:tc>
                <w:tcPr>
                  <w:tcW w:w="1660" w:type="dxa"/>
                </w:tcPr>
                <w:p w14:paraId="5C293EBB" w14:textId="77777777" w:rsidR="00415C2E" w:rsidRDefault="00415C2E">
                  <w:pPr>
                    <w:rPr>
                      <w:sz w:val="20"/>
                      <w:szCs w:val="20"/>
                    </w:rPr>
                  </w:pPr>
                </w:p>
              </w:tc>
            </w:tr>
            <w:tr w:rsidR="00415C2E" w14:paraId="154EE5D6" w14:textId="77777777">
              <w:tc>
                <w:tcPr>
                  <w:tcW w:w="6970" w:type="dxa"/>
                </w:tcPr>
                <w:p w14:paraId="1F897D76" w14:textId="77777777" w:rsidR="00415C2E" w:rsidRDefault="00415C2E">
                  <w:pPr>
                    <w:rPr>
                      <w:sz w:val="20"/>
                      <w:szCs w:val="20"/>
                    </w:rPr>
                  </w:pPr>
                </w:p>
                <w:p w14:paraId="789ED1C9" w14:textId="77777777" w:rsidR="00415C2E" w:rsidRDefault="00DB539A">
                  <w:pPr>
                    <w:rPr>
                      <w:b/>
                      <w:sz w:val="20"/>
                      <w:szCs w:val="20"/>
                    </w:rPr>
                  </w:pPr>
                  <w:r>
                    <w:rPr>
                      <w:b/>
                      <w:sz w:val="20"/>
                      <w:szCs w:val="20"/>
                    </w:rPr>
                    <w:t>Final Mark</w:t>
                  </w:r>
                </w:p>
                <w:p w14:paraId="7FE2F584" w14:textId="77777777" w:rsidR="00415C2E" w:rsidRDefault="00415C2E">
                  <w:pPr>
                    <w:rPr>
                      <w:sz w:val="20"/>
                      <w:szCs w:val="20"/>
                    </w:rPr>
                  </w:pPr>
                </w:p>
              </w:tc>
              <w:tc>
                <w:tcPr>
                  <w:tcW w:w="1660" w:type="dxa"/>
                </w:tcPr>
                <w:p w14:paraId="40F1BF91" w14:textId="77777777" w:rsidR="00415C2E" w:rsidRDefault="00415C2E">
                  <w:pPr>
                    <w:rPr>
                      <w:sz w:val="20"/>
                      <w:szCs w:val="20"/>
                    </w:rPr>
                  </w:pPr>
                </w:p>
              </w:tc>
            </w:tr>
          </w:tbl>
          <w:p w14:paraId="0ED3F326" w14:textId="77777777" w:rsidR="00415C2E" w:rsidRDefault="00415C2E">
            <w:pPr>
              <w:rPr>
                <w:b/>
                <w:sz w:val="22"/>
                <w:szCs w:val="22"/>
              </w:rPr>
            </w:pPr>
          </w:p>
          <w:p w14:paraId="7423B951" w14:textId="77777777" w:rsidR="00415C2E" w:rsidRDefault="00DB539A">
            <w:pPr>
              <w:rPr>
                <w:sz w:val="22"/>
                <w:szCs w:val="22"/>
              </w:rPr>
            </w:pPr>
            <w:r>
              <w:rPr>
                <w:b/>
                <w:sz w:val="22"/>
                <w:szCs w:val="22"/>
              </w:rPr>
              <w:t>NB.</w:t>
            </w:r>
            <w:r>
              <w:rPr>
                <w:sz w:val="22"/>
                <w:szCs w:val="22"/>
              </w:rPr>
              <w:t xml:space="preserve">  All marks are provisional until confirmed by the Final Examination Board.</w:t>
            </w:r>
          </w:p>
          <w:p w14:paraId="19894154" w14:textId="77777777" w:rsidR="00415C2E" w:rsidRDefault="00415C2E">
            <w:pPr>
              <w:rPr>
                <w:b/>
                <w:sz w:val="22"/>
                <w:szCs w:val="22"/>
              </w:rPr>
            </w:pPr>
          </w:p>
          <w:p w14:paraId="419BF261" w14:textId="77777777" w:rsidR="00415C2E" w:rsidRDefault="00415C2E">
            <w:pPr>
              <w:rPr>
                <w:b/>
                <w:sz w:val="22"/>
                <w:szCs w:val="22"/>
              </w:rPr>
            </w:pPr>
          </w:p>
          <w:p w14:paraId="16AE5C4A" w14:textId="77777777" w:rsidR="00415C2E" w:rsidRDefault="00415C2E">
            <w:pPr>
              <w:rPr>
                <w:b/>
                <w:sz w:val="22"/>
                <w:szCs w:val="22"/>
              </w:rPr>
            </w:pPr>
          </w:p>
          <w:p w14:paraId="3A174FAF" w14:textId="77777777" w:rsidR="00415C2E" w:rsidRDefault="00415C2E">
            <w:pPr>
              <w:rPr>
                <w:b/>
                <w:sz w:val="22"/>
                <w:szCs w:val="22"/>
              </w:rPr>
            </w:pPr>
          </w:p>
          <w:p w14:paraId="2B58CD62" w14:textId="77777777" w:rsidR="00415C2E" w:rsidRDefault="00415C2E">
            <w:pPr>
              <w:rPr>
                <w:b/>
                <w:sz w:val="22"/>
                <w:szCs w:val="22"/>
              </w:rPr>
            </w:pPr>
          </w:p>
          <w:p w14:paraId="08CBF628" w14:textId="77777777" w:rsidR="00415C2E" w:rsidRDefault="00DB539A">
            <w:pPr>
              <w:rPr>
                <w:b/>
                <w:sz w:val="22"/>
                <w:szCs w:val="22"/>
              </w:rPr>
            </w:pPr>
            <w:r>
              <w:rPr>
                <w:b/>
                <w:sz w:val="22"/>
                <w:szCs w:val="22"/>
              </w:rPr>
              <w:t>For completion by Marker 1 :</w:t>
            </w:r>
          </w:p>
          <w:p w14:paraId="13AF0FEF" w14:textId="77777777" w:rsidR="00415C2E" w:rsidRDefault="00DB539A">
            <w:pPr>
              <w:rPr>
                <w:sz w:val="22"/>
                <w:szCs w:val="22"/>
              </w:rPr>
            </w:pPr>
            <w:r>
              <w:rPr>
                <w:sz w:val="22"/>
                <w:szCs w:val="22"/>
              </w:rPr>
              <w:t>Comments:</w:t>
            </w:r>
          </w:p>
          <w:p w14:paraId="3E030E87" w14:textId="77777777" w:rsidR="00415C2E" w:rsidRDefault="00415C2E">
            <w:pPr>
              <w:rPr>
                <w:sz w:val="22"/>
                <w:szCs w:val="22"/>
              </w:rPr>
            </w:pPr>
          </w:p>
        </w:tc>
      </w:tr>
      <w:tr w:rsidR="00415C2E" w14:paraId="4124FBF3" w14:textId="77777777">
        <w:trPr>
          <w:trHeight w:val="492"/>
        </w:trPr>
        <w:tc>
          <w:tcPr>
            <w:tcW w:w="7057" w:type="dxa"/>
            <w:gridSpan w:val="3"/>
          </w:tcPr>
          <w:p w14:paraId="4373CB70" w14:textId="77777777" w:rsidR="00415C2E" w:rsidRDefault="00DB539A">
            <w:pPr>
              <w:rPr>
                <w:sz w:val="22"/>
                <w:szCs w:val="22"/>
              </w:rPr>
            </w:pPr>
            <w:r>
              <w:rPr>
                <w:sz w:val="22"/>
                <w:szCs w:val="22"/>
              </w:rPr>
              <w:t>Marker’s signature:</w:t>
            </w:r>
          </w:p>
        </w:tc>
        <w:tc>
          <w:tcPr>
            <w:tcW w:w="2866" w:type="dxa"/>
            <w:gridSpan w:val="2"/>
          </w:tcPr>
          <w:p w14:paraId="4C5056F6" w14:textId="77777777" w:rsidR="00415C2E" w:rsidRDefault="00DB539A">
            <w:pPr>
              <w:rPr>
                <w:sz w:val="22"/>
                <w:szCs w:val="22"/>
              </w:rPr>
            </w:pPr>
            <w:r>
              <w:rPr>
                <w:sz w:val="22"/>
                <w:szCs w:val="22"/>
              </w:rPr>
              <w:t>Date:</w:t>
            </w:r>
          </w:p>
        </w:tc>
      </w:tr>
      <w:tr w:rsidR="00415C2E" w14:paraId="26C49F50" w14:textId="77777777">
        <w:tc>
          <w:tcPr>
            <w:tcW w:w="9923" w:type="dxa"/>
            <w:gridSpan w:val="5"/>
          </w:tcPr>
          <w:p w14:paraId="42E27849" w14:textId="77777777" w:rsidR="00415C2E" w:rsidRDefault="00415C2E">
            <w:pPr>
              <w:rPr>
                <w:i/>
                <w:sz w:val="22"/>
                <w:szCs w:val="22"/>
              </w:rPr>
            </w:pPr>
          </w:p>
          <w:p w14:paraId="052D6EA7" w14:textId="77777777" w:rsidR="00415C2E" w:rsidRDefault="00DB539A">
            <w:pPr>
              <w:rPr>
                <w:b/>
                <w:sz w:val="22"/>
                <w:szCs w:val="22"/>
              </w:rPr>
            </w:pPr>
            <w:r>
              <w:rPr>
                <w:b/>
                <w:sz w:val="22"/>
                <w:szCs w:val="22"/>
              </w:rPr>
              <w:t>For completion by Marker 2/Moderator:</w:t>
            </w:r>
          </w:p>
          <w:p w14:paraId="3AFA9FE3" w14:textId="77777777" w:rsidR="00415C2E" w:rsidRDefault="00415C2E">
            <w:pPr>
              <w:rPr>
                <w:b/>
                <w:sz w:val="22"/>
                <w:szCs w:val="22"/>
              </w:rPr>
            </w:pPr>
          </w:p>
          <w:p w14:paraId="3BD4892D" w14:textId="77777777" w:rsidR="00415C2E" w:rsidRDefault="00DB539A">
            <w:pPr>
              <w:rPr>
                <w:sz w:val="22"/>
                <w:szCs w:val="22"/>
              </w:rPr>
            </w:pPr>
            <w:r>
              <w:rPr>
                <w:sz w:val="22"/>
                <w:szCs w:val="22"/>
              </w:rPr>
              <w:t>Comments:</w:t>
            </w:r>
          </w:p>
          <w:p w14:paraId="639F68A6" w14:textId="77777777" w:rsidR="00415C2E" w:rsidRDefault="00415C2E">
            <w:pPr>
              <w:rPr>
                <w:sz w:val="22"/>
                <w:szCs w:val="22"/>
              </w:rPr>
            </w:pPr>
          </w:p>
          <w:p w14:paraId="757E9852" w14:textId="77777777" w:rsidR="00415C2E" w:rsidRDefault="00415C2E">
            <w:pPr>
              <w:rPr>
                <w:sz w:val="22"/>
                <w:szCs w:val="22"/>
              </w:rPr>
            </w:pPr>
          </w:p>
          <w:p w14:paraId="14A670D6" w14:textId="77777777" w:rsidR="00415C2E" w:rsidRDefault="00415C2E">
            <w:pPr>
              <w:rPr>
                <w:sz w:val="22"/>
                <w:szCs w:val="22"/>
              </w:rPr>
            </w:pPr>
          </w:p>
          <w:p w14:paraId="50437CB6" w14:textId="77777777" w:rsidR="00415C2E" w:rsidRDefault="00415C2E">
            <w:pPr>
              <w:rPr>
                <w:sz w:val="22"/>
                <w:szCs w:val="22"/>
              </w:rPr>
            </w:pPr>
          </w:p>
          <w:p w14:paraId="48142A15" w14:textId="77777777" w:rsidR="00415C2E" w:rsidRDefault="00415C2E">
            <w:pPr>
              <w:rPr>
                <w:sz w:val="22"/>
                <w:szCs w:val="22"/>
              </w:rPr>
            </w:pPr>
          </w:p>
          <w:p w14:paraId="489F4AE9" w14:textId="77777777" w:rsidR="00415C2E" w:rsidRDefault="00415C2E">
            <w:pPr>
              <w:rPr>
                <w:sz w:val="22"/>
                <w:szCs w:val="22"/>
              </w:rPr>
            </w:pPr>
          </w:p>
          <w:p w14:paraId="220999F9" w14:textId="77777777" w:rsidR="00415C2E" w:rsidRDefault="00415C2E">
            <w:pPr>
              <w:rPr>
                <w:sz w:val="22"/>
                <w:szCs w:val="22"/>
              </w:rPr>
            </w:pPr>
          </w:p>
          <w:p w14:paraId="6564AA50" w14:textId="77777777" w:rsidR="00415C2E" w:rsidRDefault="00415C2E">
            <w:pPr>
              <w:rPr>
                <w:sz w:val="22"/>
                <w:szCs w:val="22"/>
              </w:rPr>
            </w:pPr>
          </w:p>
          <w:p w14:paraId="61E6BC7E" w14:textId="77777777" w:rsidR="00415C2E" w:rsidRDefault="00415C2E">
            <w:pPr>
              <w:rPr>
                <w:sz w:val="22"/>
                <w:szCs w:val="22"/>
              </w:rPr>
            </w:pPr>
          </w:p>
          <w:p w14:paraId="6BDA0A28" w14:textId="77777777" w:rsidR="00415C2E" w:rsidRDefault="00415C2E">
            <w:pPr>
              <w:rPr>
                <w:sz w:val="22"/>
                <w:szCs w:val="22"/>
              </w:rPr>
            </w:pPr>
          </w:p>
        </w:tc>
      </w:tr>
      <w:tr w:rsidR="00415C2E" w14:paraId="41E14B6B" w14:textId="77777777">
        <w:trPr>
          <w:trHeight w:val="720"/>
        </w:trPr>
        <w:tc>
          <w:tcPr>
            <w:tcW w:w="5500" w:type="dxa"/>
            <w:gridSpan w:val="2"/>
          </w:tcPr>
          <w:p w14:paraId="6020806D" w14:textId="77777777" w:rsidR="00415C2E" w:rsidRDefault="00DB539A">
            <w:pPr>
              <w:rPr>
                <w:sz w:val="22"/>
                <w:szCs w:val="22"/>
              </w:rPr>
            </w:pPr>
            <w:r>
              <w:rPr>
                <w:sz w:val="22"/>
                <w:szCs w:val="22"/>
              </w:rPr>
              <w:lastRenderedPageBreak/>
              <w:t>Marker’s Signature:</w:t>
            </w:r>
          </w:p>
        </w:tc>
        <w:tc>
          <w:tcPr>
            <w:tcW w:w="4423" w:type="dxa"/>
            <w:gridSpan w:val="3"/>
          </w:tcPr>
          <w:p w14:paraId="59EBB08F" w14:textId="77777777" w:rsidR="00415C2E" w:rsidRDefault="00DB539A">
            <w:pPr>
              <w:rPr>
                <w:sz w:val="22"/>
                <w:szCs w:val="22"/>
              </w:rPr>
            </w:pPr>
            <w:r>
              <w:rPr>
                <w:sz w:val="22"/>
                <w:szCs w:val="22"/>
              </w:rPr>
              <w:t>Date:</w:t>
            </w:r>
          </w:p>
        </w:tc>
      </w:tr>
      <w:tr w:rsidR="00415C2E" w14:paraId="1984AF4C" w14:textId="77777777">
        <w:trPr>
          <w:trHeight w:val="720"/>
        </w:trPr>
        <w:tc>
          <w:tcPr>
            <w:tcW w:w="9923" w:type="dxa"/>
            <w:gridSpan w:val="5"/>
          </w:tcPr>
          <w:p w14:paraId="7B17302B" w14:textId="77777777" w:rsidR="00415C2E" w:rsidRDefault="00DB539A">
            <w:pPr>
              <w:rPr>
                <w:b/>
                <w:sz w:val="22"/>
                <w:szCs w:val="22"/>
              </w:rPr>
            </w:pPr>
            <w:r>
              <w:rPr>
                <w:b/>
                <w:sz w:val="22"/>
                <w:szCs w:val="22"/>
              </w:rPr>
              <w:t>External Examiner’s comments (if relevant)</w:t>
            </w:r>
          </w:p>
          <w:p w14:paraId="439FDBD4" w14:textId="77777777" w:rsidR="00415C2E" w:rsidRDefault="00415C2E">
            <w:pPr>
              <w:rPr>
                <w:sz w:val="22"/>
                <w:szCs w:val="22"/>
              </w:rPr>
            </w:pPr>
          </w:p>
          <w:p w14:paraId="66C137BE" w14:textId="77777777" w:rsidR="00415C2E" w:rsidRDefault="00415C2E">
            <w:pPr>
              <w:rPr>
                <w:sz w:val="22"/>
                <w:szCs w:val="22"/>
              </w:rPr>
            </w:pPr>
          </w:p>
          <w:p w14:paraId="1D846B29" w14:textId="77777777" w:rsidR="00415C2E" w:rsidRDefault="00415C2E">
            <w:pPr>
              <w:rPr>
                <w:sz w:val="22"/>
                <w:szCs w:val="22"/>
              </w:rPr>
            </w:pPr>
          </w:p>
          <w:p w14:paraId="7C0FD663" w14:textId="77777777" w:rsidR="00415C2E" w:rsidRDefault="00415C2E">
            <w:pPr>
              <w:rPr>
                <w:sz w:val="22"/>
                <w:szCs w:val="22"/>
              </w:rPr>
            </w:pPr>
          </w:p>
          <w:p w14:paraId="06A093A5" w14:textId="77777777" w:rsidR="00415C2E" w:rsidRDefault="00415C2E">
            <w:pPr>
              <w:rPr>
                <w:sz w:val="22"/>
                <w:szCs w:val="22"/>
              </w:rPr>
            </w:pPr>
          </w:p>
          <w:p w14:paraId="594CE832" w14:textId="77777777" w:rsidR="00415C2E" w:rsidRDefault="00415C2E">
            <w:pPr>
              <w:rPr>
                <w:sz w:val="22"/>
                <w:szCs w:val="22"/>
              </w:rPr>
            </w:pPr>
          </w:p>
          <w:p w14:paraId="7674BC66" w14:textId="77777777" w:rsidR="00415C2E" w:rsidRDefault="00415C2E">
            <w:pPr>
              <w:rPr>
                <w:sz w:val="22"/>
                <w:szCs w:val="22"/>
              </w:rPr>
            </w:pPr>
          </w:p>
          <w:p w14:paraId="776C8704" w14:textId="77777777" w:rsidR="00415C2E" w:rsidRDefault="00415C2E">
            <w:pPr>
              <w:rPr>
                <w:sz w:val="22"/>
                <w:szCs w:val="22"/>
              </w:rPr>
            </w:pPr>
          </w:p>
        </w:tc>
      </w:tr>
      <w:tr w:rsidR="00415C2E" w14:paraId="4F7A9990" w14:textId="77777777">
        <w:trPr>
          <w:trHeight w:val="720"/>
        </w:trPr>
        <w:tc>
          <w:tcPr>
            <w:tcW w:w="5500" w:type="dxa"/>
            <w:gridSpan w:val="2"/>
          </w:tcPr>
          <w:p w14:paraId="1245C06B" w14:textId="77777777" w:rsidR="00415C2E" w:rsidRDefault="00DB539A">
            <w:pPr>
              <w:rPr>
                <w:sz w:val="22"/>
                <w:szCs w:val="22"/>
              </w:rPr>
            </w:pPr>
            <w:r>
              <w:rPr>
                <w:sz w:val="22"/>
                <w:szCs w:val="22"/>
              </w:rPr>
              <w:t>External Examiner’s Signature:</w:t>
            </w:r>
          </w:p>
        </w:tc>
        <w:tc>
          <w:tcPr>
            <w:tcW w:w="4423" w:type="dxa"/>
            <w:gridSpan w:val="3"/>
          </w:tcPr>
          <w:p w14:paraId="18F37921" w14:textId="77777777" w:rsidR="00415C2E" w:rsidRDefault="00DB539A">
            <w:pPr>
              <w:rPr>
                <w:sz w:val="22"/>
                <w:szCs w:val="22"/>
              </w:rPr>
            </w:pPr>
            <w:r>
              <w:rPr>
                <w:sz w:val="22"/>
                <w:szCs w:val="22"/>
              </w:rPr>
              <w:t>Date:</w:t>
            </w:r>
          </w:p>
        </w:tc>
      </w:tr>
    </w:tbl>
    <w:p w14:paraId="2D621A75" w14:textId="77777777" w:rsidR="00415C2E" w:rsidRDefault="00415C2E">
      <w:pPr>
        <w:rPr>
          <w:sz w:val="24"/>
          <w:szCs w:val="24"/>
        </w:rPr>
      </w:pPr>
    </w:p>
    <w:p w14:paraId="279DB89F" w14:textId="77777777" w:rsidR="00415C2E" w:rsidRDefault="00DB539A">
      <w:pPr>
        <w:rPr>
          <w:b/>
        </w:rPr>
      </w:pPr>
      <w:r>
        <w:br w:type="page"/>
      </w:r>
    </w:p>
    <w:p w14:paraId="2587C22A" w14:textId="77777777" w:rsidR="00EC3708" w:rsidRDefault="00EC3708">
      <w:pPr>
        <w:rPr>
          <w:sz w:val="22"/>
          <w:szCs w:val="22"/>
        </w:rPr>
      </w:pPr>
    </w:p>
    <w:p w14:paraId="68C0757D" w14:textId="6545101B" w:rsidR="00415C2E" w:rsidRDefault="00DB539A">
      <w:pPr>
        <w:rPr>
          <w:sz w:val="22"/>
          <w:szCs w:val="22"/>
        </w:rPr>
      </w:pPr>
      <w:r>
        <w:rPr>
          <w:sz w:val="22"/>
          <w:szCs w:val="22"/>
        </w:rPr>
        <w:t>HPCA7031</w:t>
      </w:r>
    </w:p>
    <w:p w14:paraId="3A68326C" w14:textId="635E599A" w:rsidR="00415C2E" w:rsidRDefault="00415C2E">
      <w:pPr>
        <w:rPr>
          <w:b/>
          <w:sz w:val="24"/>
          <w:szCs w:val="24"/>
        </w:rPr>
      </w:pPr>
    </w:p>
    <w:p w14:paraId="35A064BA" w14:textId="77777777" w:rsidR="00EC3708" w:rsidRDefault="00EC3708">
      <w:pPr>
        <w:rPr>
          <w:b/>
          <w:sz w:val="24"/>
          <w:szCs w:val="24"/>
        </w:rPr>
      </w:pPr>
    </w:p>
    <w:p w14:paraId="4A63364C" w14:textId="39FBD3B4" w:rsidR="00415C2E" w:rsidRDefault="00DB539A" w:rsidP="002C6FC2">
      <w:pPr>
        <w:jc w:val="left"/>
        <w:rPr>
          <w:b/>
          <w:sz w:val="24"/>
          <w:szCs w:val="24"/>
        </w:rPr>
      </w:pPr>
      <w:r>
        <w:rPr>
          <w:b/>
          <w:sz w:val="24"/>
          <w:szCs w:val="24"/>
        </w:rPr>
        <w:t>Taking one period of astrology, consider whether it assumed that the future was negotiable or fixed.</w:t>
      </w:r>
    </w:p>
    <w:p w14:paraId="5B26CC03" w14:textId="77777777" w:rsidR="00415C2E" w:rsidRDefault="00415C2E">
      <w:pPr>
        <w:rPr>
          <w:b/>
          <w:sz w:val="24"/>
          <w:szCs w:val="24"/>
        </w:rPr>
      </w:pPr>
    </w:p>
    <w:p w14:paraId="7A6D7716" w14:textId="5036F7F5" w:rsidR="00415C2E" w:rsidRDefault="00DB539A" w:rsidP="00286C45">
      <w:pPr>
        <w:rPr>
          <w:sz w:val="20"/>
          <w:szCs w:val="20"/>
        </w:rPr>
      </w:pPr>
      <w:r>
        <w:rPr>
          <w:sz w:val="20"/>
          <w:szCs w:val="20"/>
        </w:rPr>
        <w:t xml:space="preserve">Word Count:  </w:t>
      </w:r>
      <w:r w:rsidR="002D5B5C">
        <w:rPr>
          <w:sz w:val="20"/>
          <w:szCs w:val="20"/>
        </w:rPr>
        <w:t>49</w:t>
      </w:r>
      <w:r w:rsidR="002A30D6">
        <w:rPr>
          <w:sz w:val="20"/>
          <w:szCs w:val="20"/>
        </w:rPr>
        <w:t>1</w:t>
      </w:r>
      <w:r w:rsidR="00AE48C7">
        <w:rPr>
          <w:sz w:val="20"/>
          <w:szCs w:val="20"/>
        </w:rPr>
        <w:t>3</w:t>
      </w:r>
      <w:r w:rsidR="00C97010">
        <w:rPr>
          <w:sz w:val="20"/>
          <w:szCs w:val="20"/>
        </w:rPr>
        <w:t xml:space="preserve"> (exluding titles)</w:t>
      </w:r>
    </w:p>
    <w:p w14:paraId="50A425A2" w14:textId="64307D61" w:rsidR="00415C2E" w:rsidRDefault="00415C2E">
      <w:pPr>
        <w:ind w:firstLine="0"/>
        <w:rPr>
          <w:sz w:val="20"/>
          <w:szCs w:val="20"/>
        </w:rPr>
      </w:pPr>
    </w:p>
    <w:p w14:paraId="3346CDF4" w14:textId="77777777" w:rsidR="00EC3708" w:rsidRDefault="00EC3708">
      <w:pPr>
        <w:ind w:firstLine="0"/>
        <w:rPr>
          <w:sz w:val="20"/>
          <w:szCs w:val="20"/>
        </w:rPr>
      </w:pPr>
    </w:p>
    <w:p w14:paraId="444496DC" w14:textId="77777777" w:rsidR="00415C2E" w:rsidRDefault="00415C2E">
      <w:pPr>
        <w:ind w:firstLine="0"/>
        <w:rPr>
          <w:sz w:val="22"/>
          <w:szCs w:val="22"/>
        </w:rPr>
      </w:pPr>
    </w:p>
    <w:p w14:paraId="165C5C0D" w14:textId="4A065CB8" w:rsidR="00415C2E" w:rsidRDefault="00DB539A" w:rsidP="002E02EA">
      <w:r>
        <w:t xml:space="preserve">This paper aims at investigating the role of fate, providence and human freedom in Late Antique astrology, with a focus on the period between </w:t>
      </w:r>
      <w:r w:rsidR="004818D8">
        <w:t xml:space="preserve">the transition from </w:t>
      </w:r>
      <w:r w:rsidR="00B300C6">
        <w:t>about 250</w:t>
      </w:r>
      <w:r w:rsidR="005F7A36" w:rsidRPr="0023232E">
        <w:rPr>
          <w:smallCaps/>
        </w:rPr>
        <w:t>ce</w:t>
      </w:r>
      <w:r w:rsidR="00B300C6">
        <w:t xml:space="preserve"> </w:t>
      </w:r>
      <w:r w:rsidR="005F7A36">
        <w:t>to</w:t>
      </w:r>
      <w:r w:rsidR="004818D8">
        <w:t xml:space="preserve"> </w:t>
      </w:r>
      <w:r>
        <w:t>Diocletian</w:t>
      </w:r>
      <w:r w:rsidR="004818D8">
        <w:t>’s era</w:t>
      </w:r>
      <w:r w:rsidR="00567F3D">
        <w:t xml:space="preserve"> </w:t>
      </w:r>
      <w:r w:rsidR="00567F3D">
        <w:t>(the so-called third-century crisis)</w:t>
      </w:r>
      <w:r w:rsidR="00567F3D">
        <w:rPr>
          <w:rStyle w:val="Rimandonotaapidipagina"/>
        </w:rPr>
        <w:footnoteReference w:id="1"/>
      </w:r>
      <w:r w:rsidR="005F7A36">
        <w:t>,</w:t>
      </w:r>
      <w:r>
        <w:t xml:space="preserve"> and </w:t>
      </w:r>
      <w:r w:rsidR="0023232E">
        <w:t>the division of the Roman Empire in 395</w:t>
      </w:r>
      <w:r w:rsidR="0023232E" w:rsidRPr="0023232E">
        <w:rPr>
          <w:smallCaps/>
        </w:rPr>
        <w:t>ce</w:t>
      </w:r>
      <w:r>
        <w:t>.</w:t>
      </w:r>
      <w:r w:rsidR="00EB2B1C">
        <w:rPr>
          <w:rStyle w:val="Rimandonotaapidipagina"/>
        </w:rPr>
        <w:footnoteReference w:id="2"/>
      </w:r>
      <w:r>
        <w:t xml:space="preserve"> Since debate</w:t>
      </w:r>
      <w:r w:rsidR="00AF3BA9">
        <w:t>s</w:t>
      </w:r>
      <w:r>
        <w:t xml:space="preserve"> on Late Antiquity</w:t>
      </w:r>
      <w:r w:rsidR="00AF3BA9">
        <w:t>’s periodisation</w:t>
      </w:r>
      <w:r>
        <w:t xml:space="preserve"> </w:t>
      </w:r>
      <w:r w:rsidR="00AF3BA9">
        <w:t xml:space="preserve">are </w:t>
      </w:r>
      <w:r>
        <w:t>still open, as Lizzi Test</w:t>
      </w:r>
      <w:r w:rsidR="002E02EA">
        <w:t>a</w:t>
      </w:r>
      <w:r>
        <w:t xml:space="preserve"> demonstrates,</w:t>
      </w:r>
      <w:r w:rsidR="00E71DAD">
        <w:rPr>
          <w:rStyle w:val="Rimandonotaapidipagina"/>
        </w:rPr>
        <w:footnoteReference w:id="3"/>
      </w:r>
      <w:r>
        <w:t xml:space="preserve"> this time</w:t>
      </w:r>
      <w:r w:rsidR="002E27F8">
        <w:t>-</w:t>
      </w:r>
      <w:r>
        <w:t xml:space="preserve">frame was decided to follow astrology’s development after the social-political changes emerging with Diocletian’s </w:t>
      </w:r>
      <w:r w:rsidR="005F7A36">
        <w:t>and</w:t>
      </w:r>
      <w:r>
        <w:t xml:space="preserve"> Constantine’s </w:t>
      </w:r>
      <w:r w:rsidR="005F7A36">
        <w:t>reforms</w:t>
      </w:r>
      <w:r>
        <w:t xml:space="preserve"> and the religious transformations of the Roman </w:t>
      </w:r>
      <w:r w:rsidR="00E71DAD">
        <w:t>E</w:t>
      </w:r>
      <w:r>
        <w:t>mpire with Constantinople as the new capital—allegedly founded on a date elected astrologically, Campion recalls</w:t>
      </w:r>
      <w:r w:rsidR="002E02EA">
        <w:t>.</w:t>
      </w:r>
      <w:r w:rsidR="002E02EA">
        <w:rPr>
          <w:rStyle w:val="Rimandonotaapidipagina"/>
        </w:rPr>
        <w:footnoteReference w:id="4"/>
      </w:r>
    </w:p>
    <w:p w14:paraId="7044284D" w14:textId="5450CEAF" w:rsidR="00415C2E" w:rsidRDefault="00DB539A" w:rsidP="002E02EA">
      <w:r>
        <w:t>After</w:t>
      </w:r>
      <w:r w:rsidR="004A269C">
        <w:t xml:space="preserve"> </w:t>
      </w:r>
      <w:r>
        <w:t>consider</w:t>
      </w:r>
      <w:r w:rsidR="004A269C">
        <w:t>ing</w:t>
      </w:r>
      <w:r>
        <w:t xml:space="preserve"> theories of fate and astrological categories, a reflection on historiographical biases </w:t>
      </w:r>
      <w:r w:rsidR="00E52C15">
        <w:t>about</w:t>
      </w:r>
      <w:r>
        <w:t xml:space="preserve"> astrology in Late Antiquity will follow. Subsequently, the influence of Neoplatonic thought will be addressed. Astrologers like </w:t>
      </w:r>
      <w:r w:rsidR="0023232E">
        <w:t xml:space="preserve">Porphyry, </w:t>
      </w:r>
      <w:r>
        <w:t xml:space="preserve">Firmicus Maternus and Paulus Alexandrinus will be discussed as examples </w:t>
      </w:r>
      <w:r w:rsidR="0023232E">
        <w:t xml:space="preserve">of practitioners during </w:t>
      </w:r>
      <w:r>
        <w:t xml:space="preserve">a complex period in which astral determinism, theories of providence and divination are intertwined across the Empire, emerging in theological-philosophical debates as well as in Greco-Roman materials like the </w:t>
      </w:r>
      <w:r w:rsidR="00E71DAD">
        <w:t>E</w:t>
      </w:r>
      <w:r w:rsidR="00BC5762">
        <w:t>g</w:t>
      </w:r>
      <w:r w:rsidR="00E71DAD">
        <w:t>yptian</w:t>
      </w:r>
      <w:r>
        <w:t xml:space="preserve"> </w:t>
      </w:r>
      <w:r>
        <w:rPr>
          <w:i/>
        </w:rPr>
        <w:t>Greek magical papyri</w:t>
      </w:r>
      <w:r>
        <w:t>.</w:t>
      </w:r>
    </w:p>
    <w:p w14:paraId="01CAFA0D" w14:textId="77777777" w:rsidR="00415C2E" w:rsidRDefault="00415C2E" w:rsidP="002E02EA">
      <w:pPr>
        <w:rPr>
          <w:i/>
        </w:rPr>
      </w:pPr>
    </w:p>
    <w:p w14:paraId="62E783BC" w14:textId="77777777" w:rsidR="00415C2E" w:rsidRDefault="00DB539A" w:rsidP="002E02EA">
      <w:pPr>
        <w:ind w:firstLine="720"/>
      </w:pPr>
      <w:r>
        <w:rPr>
          <w:i/>
        </w:rPr>
        <w:t>Anánkē, Heimarménē, Tychē, Pr</w:t>
      </w:r>
      <w:r w:rsidRPr="00E52C15">
        <w:rPr>
          <w:rFonts w:cstheme="majorHAnsi"/>
          <w:i/>
        </w:rPr>
        <w:t>óno</w:t>
      </w:r>
      <w:r>
        <w:rPr>
          <w:i/>
        </w:rPr>
        <w:t>ia</w:t>
      </w:r>
    </w:p>
    <w:p w14:paraId="66B5BA49" w14:textId="3F8D4E10" w:rsidR="00415C2E" w:rsidRDefault="00DB539A" w:rsidP="002E02EA">
      <w:r>
        <w:t>‘The terminology of fate and necessity is often conflated and confused in ancient sources, rendering the study of them tricky’</w:t>
      </w:r>
      <w:r w:rsidR="00EC3708">
        <w:t xml:space="preserve"> (</w:t>
      </w:r>
      <w:r>
        <w:t>Burns</w:t>
      </w:r>
      <w:r w:rsidR="00EC3708">
        <w:t>)</w:t>
      </w:r>
      <w:r>
        <w:t>.</w:t>
      </w:r>
      <w:r>
        <w:rPr>
          <w:vertAlign w:val="superscript"/>
        </w:rPr>
        <w:footnoteReference w:id="5"/>
      </w:r>
      <w:r>
        <w:t xml:space="preserve"> According to Peters’ </w:t>
      </w:r>
      <w:r>
        <w:rPr>
          <w:i/>
        </w:rPr>
        <w:t>Lexicon</w:t>
      </w:r>
      <w:r>
        <w:t xml:space="preserve">, </w:t>
      </w:r>
      <w:r>
        <w:rPr>
          <w:i/>
        </w:rPr>
        <w:t>anánkē</w:t>
      </w:r>
      <w:r>
        <w:rPr>
          <w:vertAlign w:val="superscript"/>
        </w:rPr>
        <w:footnoteReference w:id="6"/>
      </w:r>
      <w:r>
        <w:rPr>
          <w:vertAlign w:val="superscript"/>
        </w:rPr>
        <w:t xml:space="preserve"> </w:t>
      </w:r>
      <w:r>
        <w:t xml:space="preserve">(necessity) is not a uniform concept amongst </w:t>
      </w:r>
      <w:r>
        <w:lastRenderedPageBreak/>
        <w:t>the pre-Socratic philosophers. Parmenides conceives it almost as providential, similarly to Plato</w:t>
      </w:r>
      <w:r w:rsidR="00EB6E20">
        <w:t xml:space="preserve">. </w:t>
      </w:r>
      <w:r>
        <w:t xml:space="preserve">While in </w:t>
      </w:r>
      <w:r>
        <w:rPr>
          <w:i/>
        </w:rPr>
        <w:t>Laws</w:t>
      </w:r>
      <w:r w:rsidR="002E236B">
        <w:rPr>
          <w:vertAlign w:val="superscript"/>
        </w:rPr>
        <w:footnoteReference w:id="7"/>
      </w:r>
      <w:r w:rsidR="002E236B">
        <w:t xml:space="preserve"> </w:t>
      </w:r>
      <w:r w:rsidR="002E27F8">
        <w:t>Plato</w:t>
      </w:r>
      <w:r>
        <w:t xml:space="preserve"> </w:t>
      </w:r>
      <w:r w:rsidR="00170581">
        <w:t>sees</w:t>
      </w:r>
      <w:r>
        <w:t xml:space="preserve"> the cosmos</w:t>
      </w:r>
      <w:r w:rsidR="00170581">
        <w:t xml:space="preserve"> not</w:t>
      </w:r>
      <w:r>
        <w:t xml:space="preserve"> </w:t>
      </w:r>
      <w:r w:rsidR="00170581">
        <w:t>as</w:t>
      </w:r>
      <w:r>
        <w:t xml:space="preserve"> the result of chance, </w:t>
      </w:r>
      <w:r>
        <w:rPr>
          <w:i/>
        </w:rPr>
        <w:t>týchē</w:t>
      </w:r>
      <w:r>
        <w:t>, but</w:t>
      </w:r>
      <w:r w:rsidR="00DC6AD4">
        <w:t xml:space="preserve"> </w:t>
      </w:r>
      <w:r>
        <w:t xml:space="preserve">designed by divine reason, in the </w:t>
      </w:r>
      <w:r w:rsidR="00E53169" w:rsidRPr="00E53169">
        <w:rPr>
          <w:i/>
          <w:iCs/>
        </w:rPr>
        <w:t>Republic</w:t>
      </w:r>
      <w:r>
        <w:t xml:space="preserve"> </w:t>
      </w:r>
      <w:r>
        <w:rPr>
          <w:i/>
        </w:rPr>
        <w:t>Anánkē</w:t>
      </w:r>
      <w:r>
        <w:t xml:space="preserve"> is personified as the mother of the </w:t>
      </w:r>
      <w:r>
        <w:rPr>
          <w:i/>
        </w:rPr>
        <w:t>Moîrai</w:t>
      </w:r>
      <w:r w:rsidR="00170581">
        <w:t xml:space="preserve">, </w:t>
      </w:r>
      <w:r>
        <w:t>responsible for the rotation of the Heaven’s orbits.</w:t>
      </w:r>
      <w:r>
        <w:rPr>
          <w:vertAlign w:val="superscript"/>
        </w:rPr>
        <w:footnoteReference w:id="8"/>
      </w:r>
      <w:r>
        <w:t xml:space="preserve"> Arguing against the Atomists, according to whom events are ruled by aimless necessity, Socrates and Plato consider the cosmos governed by noetic purpose overcoming physical necessity in matter.</w:t>
      </w:r>
      <w:r>
        <w:rPr>
          <w:vertAlign w:val="superscript"/>
        </w:rPr>
        <w:footnoteReference w:id="9"/>
      </w:r>
    </w:p>
    <w:p w14:paraId="64B85E14" w14:textId="023073EF" w:rsidR="00415C2E" w:rsidRDefault="00DB539A">
      <w:r>
        <w:t xml:space="preserve">Closely related to </w:t>
      </w:r>
      <w:r>
        <w:rPr>
          <w:i/>
        </w:rPr>
        <w:t>anánkē</w:t>
      </w:r>
      <w:r>
        <w:t xml:space="preserve"> is the notion of </w:t>
      </w:r>
      <w:r>
        <w:rPr>
          <w:i/>
        </w:rPr>
        <w:t>heimarménē</w:t>
      </w:r>
      <w:r>
        <w:t>, fate, ‘an allotted (portion)’,</w:t>
      </w:r>
      <w:r>
        <w:rPr>
          <w:vertAlign w:val="superscript"/>
        </w:rPr>
        <w:footnoteReference w:id="10"/>
      </w:r>
      <w:r>
        <w:t xml:space="preserve"> etymologically  connected to moîra and </w:t>
      </w:r>
      <w:r w:rsidR="00B31321" w:rsidRPr="00B31321">
        <w:rPr>
          <w:iCs/>
        </w:rPr>
        <w:t>μείρομαι</w:t>
      </w:r>
      <w:r>
        <w:t>, “to receive one’s share” (Brouwer</w:t>
      </w:r>
      <w:r w:rsidR="00EC3708">
        <w:t>-</w:t>
      </w:r>
      <w:r>
        <w:t>Vimercati).</w:t>
      </w:r>
      <w:r>
        <w:rPr>
          <w:vertAlign w:val="superscript"/>
        </w:rPr>
        <w:footnoteReference w:id="11"/>
      </w:r>
      <w:r>
        <w:t xml:space="preserve"> Pre-Socratic thinkers </w:t>
      </w:r>
      <w:r w:rsidR="00170581">
        <w:t>interpret</w:t>
      </w:r>
      <w:r>
        <w:t xml:space="preserve"> fate as a manifestation of divine power: everything occurs according to (divine) necessity.</w:t>
      </w:r>
      <w:r>
        <w:rPr>
          <w:vertAlign w:val="superscript"/>
        </w:rPr>
        <w:footnoteReference w:id="12"/>
      </w:r>
      <w:r>
        <w:t xml:space="preserve"> Plato shares this view</w:t>
      </w:r>
      <w:r w:rsidR="00E53169">
        <w:t>,</w:t>
      </w:r>
      <w:r>
        <w:t xml:space="preserve"> although</w:t>
      </w:r>
      <w:r w:rsidR="00E53169">
        <w:t xml:space="preserve"> </w:t>
      </w:r>
      <w:r>
        <w:t>he introduces the notion of human freedom which, Adam remarks, becomes ‘a kind of rallying-cry among the champions of the freedom of the will in the early Christian era’.</w:t>
      </w:r>
      <w:r>
        <w:rPr>
          <w:vertAlign w:val="superscript"/>
        </w:rPr>
        <w:footnoteReference w:id="13"/>
      </w:r>
      <w:r>
        <w:t xml:space="preserve"> These are Lachesis’ words, when souls are choos</w:t>
      </w:r>
      <w:r w:rsidR="00170581">
        <w:t>ing</w:t>
      </w:r>
      <w:r>
        <w:t xml:space="preserve"> their lives: </w:t>
      </w:r>
    </w:p>
    <w:p w14:paraId="5AFD8BE9" w14:textId="77777777" w:rsidR="00734F64" w:rsidRDefault="00734F64"/>
    <w:p w14:paraId="0FFE241F" w14:textId="4BED56AA" w:rsidR="00415C2E" w:rsidRDefault="00DB539A" w:rsidP="002E02EA">
      <w:pPr>
        <w:pStyle w:val="Nessunaspaziatura"/>
        <w:rPr>
          <w:rFonts w:eastAsia="Calibri"/>
        </w:rPr>
      </w:pPr>
      <w:r w:rsidRPr="002E02EA">
        <w:rPr>
          <w:rFonts w:eastAsia="Calibri"/>
        </w:rPr>
        <w:t>‘“No divinity shall cast lots for you, but you shall choose your own deity. Let him to whom falls the first lot first select a life to which he shall cleave of necessity. But virtue has no master over her, and each shall have more or less of her as he honours her or does her despite. The blame is his who chooses: God is blameless”’.</w:t>
      </w:r>
      <w:r w:rsidRPr="002E02EA">
        <w:rPr>
          <w:rFonts w:eastAsia="Calibri"/>
          <w:vertAlign w:val="superscript"/>
        </w:rPr>
        <w:footnoteReference w:id="14"/>
      </w:r>
    </w:p>
    <w:p w14:paraId="6B229C9C" w14:textId="77777777" w:rsidR="00734F64" w:rsidRPr="002E02EA" w:rsidRDefault="00734F64" w:rsidP="002E02EA">
      <w:pPr>
        <w:pStyle w:val="Nessunaspaziatura"/>
      </w:pPr>
    </w:p>
    <w:p w14:paraId="23BC8098" w14:textId="0BE86C07" w:rsidR="00415C2E" w:rsidRDefault="009B3D0C" w:rsidP="00145C07">
      <w:r>
        <w:t>Human</w:t>
      </w:r>
      <w:r w:rsidR="00DB539A">
        <w:t xml:space="preserve"> </w:t>
      </w:r>
      <w:r>
        <w:t xml:space="preserve">self-determination constitutes </w:t>
      </w:r>
      <w:r w:rsidR="00DB539A">
        <w:t>‘the supreme crisis of our fate’</w:t>
      </w:r>
      <w:r>
        <w:t xml:space="preserve"> (Adam),</w:t>
      </w:r>
      <w:r w:rsidR="00DB539A">
        <w:rPr>
          <w:vertAlign w:val="superscript"/>
        </w:rPr>
        <w:footnoteReference w:id="15"/>
      </w:r>
      <w:r w:rsidR="00DB539A">
        <w:t xml:space="preserve"> leading to a problematic relationship between freedom/moral responsibility and the existence of a divine mind governing the cosmos</w:t>
      </w:r>
      <w:r w:rsidR="00145C07">
        <w:t>.</w:t>
      </w:r>
      <w:r w:rsidR="00DB539A">
        <w:t xml:space="preserve"> </w:t>
      </w:r>
      <w:r w:rsidR="00145C07">
        <w:t xml:space="preserve">Indeed, </w:t>
      </w:r>
      <w:r w:rsidR="00DB539A">
        <w:t xml:space="preserve">Plato states in the </w:t>
      </w:r>
      <w:r w:rsidR="00DB539A">
        <w:rPr>
          <w:i/>
        </w:rPr>
        <w:t>Timaeus</w:t>
      </w:r>
      <w:r w:rsidR="00145C07">
        <w:t xml:space="preserve"> </w:t>
      </w:r>
      <w:r w:rsidR="00DB539A">
        <w:t>that th</w:t>
      </w:r>
      <w:r w:rsidR="00145C07">
        <w:t>e</w:t>
      </w:r>
      <w:r w:rsidR="00DB539A">
        <w:t xml:space="preserve"> </w:t>
      </w:r>
      <w:r w:rsidR="00145C07">
        <w:t>c</w:t>
      </w:r>
      <w:r w:rsidR="00DB539A">
        <w:t xml:space="preserve">osmos </w:t>
      </w:r>
      <w:r w:rsidR="00145C07">
        <w:t>c</w:t>
      </w:r>
      <w:r w:rsidR="00170581">
        <w:t>a</w:t>
      </w:r>
      <w:r w:rsidR="00145C07">
        <w:t>me into existence</w:t>
      </w:r>
      <w:r w:rsidR="00DB539A">
        <w:t xml:space="preserve"> </w:t>
      </w:r>
      <w:r w:rsidR="00145C07">
        <w:t>‘</w:t>
      </w:r>
      <w:r w:rsidR="00DB539A">
        <w:t>as a Living Creature endowed with soul and reason owing to the providence [</w:t>
      </w:r>
      <w:r w:rsidR="00DB539A" w:rsidRPr="002E236B">
        <w:t>πρόνοια</w:t>
      </w:r>
      <w:r w:rsidR="00DB539A">
        <w:t>] of God’.</w:t>
      </w:r>
      <w:r w:rsidR="00DB539A">
        <w:rPr>
          <w:vertAlign w:val="superscript"/>
        </w:rPr>
        <w:footnoteReference w:id="16"/>
      </w:r>
      <w:r w:rsidR="00DB539A">
        <w:t xml:space="preserve"> </w:t>
      </w:r>
      <w:r w:rsidR="00145C07">
        <w:t>Moreover,</w:t>
      </w:r>
      <w:r w:rsidR="00DB539A">
        <w:t xml:space="preserve"> Plato introduces for the first time in philosophy the idea of a creator divinity</w:t>
      </w:r>
      <w:r w:rsidR="00145C07">
        <w:t xml:space="preserve"> (Cornford)</w:t>
      </w:r>
      <w:r w:rsidR="00DB539A">
        <w:rPr>
          <w:vertAlign w:val="superscript"/>
        </w:rPr>
        <w:footnoteReference w:id="17"/>
      </w:r>
      <w:r w:rsidR="00DB539A">
        <w:t xml:space="preserve"> who, differently from the Biblical God, does not fashion the cosmos </w:t>
      </w:r>
      <w:r w:rsidR="00DB539A">
        <w:rPr>
          <w:i/>
        </w:rPr>
        <w:t>ex nihilo</w:t>
      </w:r>
      <w:r w:rsidR="00DB539A">
        <w:t xml:space="preserve">, but brings order out the inherent chaotic motion of the four kinds of potencies (δυνάμεις) in the Recipient, </w:t>
      </w:r>
      <w:r w:rsidR="00DB539A">
        <w:lastRenderedPageBreak/>
        <w:t xml:space="preserve">modelling a world that </w:t>
      </w:r>
      <w:r w:rsidR="00DB539A" w:rsidRPr="002E236B">
        <w:t>is as good as it can possibly be.</w:t>
      </w:r>
      <w:r w:rsidR="00DB539A" w:rsidRPr="002E236B">
        <w:rPr>
          <w:vertAlign w:val="superscript"/>
        </w:rPr>
        <w:footnoteReference w:id="18"/>
      </w:r>
      <w:r w:rsidR="00DB539A">
        <w:t xml:space="preserve"> </w:t>
      </w:r>
      <w:r w:rsidR="00145C07">
        <w:t>Being t</w:t>
      </w:r>
      <w:r w:rsidR="00DB539A">
        <w:t xml:space="preserve">his chaotic motion proper to matter, its effects can be referred to as </w:t>
      </w:r>
      <w:r w:rsidR="00DB539A">
        <w:rPr>
          <w:i/>
        </w:rPr>
        <w:t>anánkē</w:t>
      </w:r>
      <w:r w:rsidR="00145C07">
        <w:t xml:space="preserve"> (Burns)</w:t>
      </w:r>
      <w:r w:rsidR="00DB539A">
        <w:t>.</w:t>
      </w:r>
      <w:r w:rsidR="00DB539A">
        <w:rPr>
          <w:vertAlign w:val="superscript"/>
        </w:rPr>
        <w:footnoteReference w:id="19"/>
      </w:r>
      <w:r w:rsidR="00DB539A">
        <w:t xml:space="preserve"> Plato explains the relationship necessity/reason thusly: ‘this Cosmos in its origin was generated as a compound, from the combination of Necessity [ἀνάγκη] and Reason [νοῦς]. </w:t>
      </w:r>
      <w:r w:rsidR="00921B74">
        <w:t xml:space="preserve">[…] </w:t>
      </w:r>
      <w:r w:rsidR="00DB539A">
        <w:t xml:space="preserve">Reason was controlling Necessity by persuading her to conduct to the best end the most part of the things coming into existence […] </w:t>
      </w:r>
      <w:r w:rsidR="00DB539A" w:rsidRPr="00921B74">
        <w:t>through Necessity yielding to intelligent persuasion’.</w:t>
      </w:r>
      <w:r w:rsidR="00DB539A" w:rsidRPr="00921B74">
        <w:rPr>
          <w:vertAlign w:val="superscript"/>
        </w:rPr>
        <w:footnoteReference w:id="20"/>
      </w:r>
      <w:r w:rsidR="00DB539A">
        <w:t xml:space="preserve"> Plato argues that divine Reason ‘cares for the World-all with a view to the preservation and excellence of the Whole’, while its parts suffer what is proper to them. This is also expressed by Plotinus:  ‘the life of the universe does not serve the purposes of each individual but of the whole, [...] the underlying nature receives one thing but experiences another’</w:t>
      </w:r>
      <w:r w:rsidR="00DB539A">
        <w:rPr>
          <w:vertAlign w:val="superscript"/>
        </w:rPr>
        <w:footnoteReference w:id="21"/>
      </w:r>
      <w:r w:rsidR="00DB539A">
        <w:t xml:space="preserve"> and the cosmos is one living being preserved harmonically, while its parts ‘often injure each other because they are different’: fate governs the </w:t>
      </w:r>
      <w:r w:rsidR="00921B74">
        <w:t>sensible world</w:t>
      </w:r>
      <w:r w:rsidR="00DB539A">
        <w:t>, but providence is above it.</w:t>
      </w:r>
      <w:r w:rsidR="00DB539A">
        <w:rPr>
          <w:vertAlign w:val="superscript"/>
        </w:rPr>
        <w:footnoteReference w:id="22"/>
      </w:r>
    </w:p>
    <w:p w14:paraId="47500606" w14:textId="5E11A892" w:rsidR="00523D2F" w:rsidRDefault="00170581" w:rsidP="00523D2F">
      <w:r>
        <w:t xml:space="preserve">Not only is the </w:t>
      </w:r>
      <w:r w:rsidR="00DB539A">
        <w:t>Plato</w:t>
      </w:r>
      <w:r>
        <w:t>nic</w:t>
      </w:r>
      <w:r w:rsidR="00DB539A">
        <w:t xml:space="preserve"> cosmos governed by a </w:t>
      </w:r>
      <w:r>
        <w:t xml:space="preserve">providential, </w:t>
      </w:r>
      <w:r w:rsidR="00DB539A">
        <w:t>‘wise and full of goodness’,</w:t>
      </w:r>
      <w:r w:rsidR="00DB539A">
        <w:rPr>
          <w:vertAlign w:val="superscript"/>
        </w:rPr>
        <w:footnoteReference w:id="23"/>
      </w:r>
      <w:r>
        <w:t xml:space="preserve"> </w:t>
      </w:r>
      <w:r w:rsidR="00DB539A">
        <w:t>soul moving the Heaven, but also the stars have individual souls and are divine,</w:t>
      </w:r>
      <w:r w:rsidR="00DB539A">
        <w:rPr>
          <w:vertAlign w:val="superscript"/>
        </w:rPr>
        <w:footnoteReference w:id="24"/>
      </w:r>
      <w:r w:rsidR="00DB539A">
        <w:t xml:space="preserve"> the planets are the origin and preservers of time,</w:t>
      </w:r>
      <w:r w:rsidR="00DB539A">
        <w:rPr>
          <w:vertAlign w:val="superscript"/>
        </w:rPr>
        <w:footnoteReference w:id="25"/>
      </w:r>
      <w:r w:rsidR="00DB539A">
        <w:t xml:space="preserve"> and the lesser gods are involved in the creation of the mortal beings since the Demiurge cannot create anything mortal.</w:t>
      </w:r>
      <w:r w:rsidR="00DB539A">
        <w:rPr>
          <w:vertAlign w:val="superscript"/>
        </w:rPr>
        <w:footnoteReference w:id="26"/>
      </w:r>
      <w:r w:rsidR="00DB539A">
        <w:t xml:space="preserve"> Though, the artificer still fashions the immortal human soul, ‘the part we call divine’,</w:t>
      </w:r>
      <w:r w:rsidR="00DB539A">
        <w:rPr>
          <w:vertAlign w:val="superscript"/>
        </w:rPr>
        <w:footnoteReference w:id="27"/>
      </w:r>
      <w:r w:rsidR="00DB539A">
        <w:t xml:space="preserve"> which Plato imagines as tripartite in </w:t>
      </w:r>
      <w:r w:rsidR="00DB539A">
        <w:rPr>
          <w:i/>
        </w:rPr>
        <w:t>Phaedrus</w:t>
      </w:r>
      <w:r w:rsidR="00DB539A">
        <w:t>, through the allegory of the charioteer and the horses,</w:t>
      </w:r>
      <w:r w:rsidR="00DB539A">
        <w:rPr>
          <w:vertAlign w:val="superscript"/>
        </w:rPr>
        <w:footnoteReference w:id="28"/>
      </w:r>
      <w:r w:rsidR="00DB539A">
        <w:t xml:space="preserve"> and in the </w:t>
      </w:r>
      <w:r w:rsidR="00DB539A">
        <w:rPr>
          <w:i/>
        </w:rPr>
        <w:t>Republic</w:t>
      </w:r>
      <w:r w:rsidR="00DB539A">
        <w:t>: one part ‘is that with which a man learns, one is that with which he feels anger. But the third […] we called it the appetitive part because of the intensity of its appetites concerned with food and drink and love.</w:t>
      </w:r>
      <w:r w:rsidR="00DB539A">
        <w:rPr>
          <w:vertAlign w:val="superscript"/>
        </w:rPr>
        <w:footnoteReference w:id="29"/>
      </w:r>
      <w:r w:rsidR="00DB539A">
        <w:t xml:space="preserve"> This tripartition is crucial for Neoplatonist </w:t>
      </w:r>
      <w:r w:rsidR="00214DC0">
        <w:t>distinction between</w:t>
      </w:r>
      <w:r w:rsidR="00DB539A">
        <w:t xml:space="preserve"> what is governed by providence – the rational soul – and what is affected by fate and stars – the lower parts of the soul</w:t>
      </w:r>
      <w:r w:rsidR="00214DC0">
        <w:t xml:space="preserve"> and matter.</w:t>
      </w:r>
    </w:p>
    <w:p w14:paraId="35C2981C" w14:textId="056B1E32" w:rsidR="006B74AA" w:rsidRDefault="00DB539A" w:rsidP="006B74AA">
      <w:r w:rsidRPr="00AD24AE">
        <w:t>In the Hellenistic period</w:t>
      </w:r>
      <w:r w:rsidR="00214DC0" w:rsidRPr="00AD24AE">
        <w:t>,</w:t>
      </w:r>
      <w:r w:rsidRPr="00AD24AE">
        <w:t xml:space="preserve"> the problem of pre-determination becomes central. On</w:t>
      </w:r>
      <w:r>
        <w:t xml:space="preserve"> the one hand, the Epicureans reject fate’s power over things; on the other, the Stoics organised their cosmology around a divine fate governing the world intended as a living creature. Brouwer-Vimercati stress that for the Stoics fate is fundamentally a twofold ‘aspect of the divine’</w:t>
      </w:r>
      <w:r>
        <w:rPr>
          <w:vertAlign w:val="superscript"/>
        </w:rPr>
        <w:footnoteReference w:id="30"/>
      </w:r>
      <w:r>
        <w:t xml:space="preserve"> consisting of an active principle ruling the cosmos ‘by going through the passive </w:t>
      </w:r>
      <w:r>
        <w:lastRenderedPageBreak/>
        <w:t>principle of matter’.</w:t>
      </w:r>
      <w:r>
        <w:rPr>
          <w:vertAlign w:val="superscript"/>
        </w:rPr>
        <w:footnoteReference w:id="31"/>
      </w:r>
      <w:r>
        <w:t xml:space="preserve"> The active principle, intended as reason or fire, is given different names: Zeus, fate or providence; “</w:t>
      </w:r>
      <w:r>
        <w:rPr>
          <w:i/>
        </w:rPr>
        <w:t>heimarménē</w:t>
      </w:r>
      <w:r>
        <w:t>” since it orders the cosmos, “</w:t>
      </w:r>
      <w:r w:rsidRPr="00214DC0">
        <w:rPr>
          <w:rFonts w:cstheme="majorHAnsi"/>
          <w:i/>
        </w:rPr>
        <w:t>prónoi</w:t>
      </w:r>
      <w:r>
        <w:rPr>
          <w:i/>
        </w:rPr>
        <w:t>a</w:t>
      </w:r>
      <w:r w:rsidRPr="00214DC0">
        <w:t>”</w:t>
      </w:r>
      <w:r>
        <w:t xml:space="preserve"> since everything occurs according to a divine and meaningful plan.</w:t>
      </w:r>
      <w:r>
        <w:rPr>
          <w:vertAlign w:val="superscript"/>
        </w:rPr>
        <w:footnoteReference w:id="32"/>
      </w:r>
      <w:r>
        <w:t xml:space="preserve"> The Stoics promoted a fatalistic theory of divine providence: all events are providentially predetermined, hence freedom and happiness result from the acceptance of the fated order of events connected by </w:t>
      </w:r>
      <w:r w:rsidRPr="00523D2F">
        <w:rPr>
          <w:i/>
        </w:rPr>
        <w:t>sympatheia</w:t>
      </w:r>
      <w:r w:rsidR="00904335">
        <w:rPr>
          <w:iCs/>
        </w:rPr>
        <w:t>—the intimate connection between all parts of the cosmos</w:t>
      </w:r>
      <w:r>
        <w:t>. ‘A more mitigated view of providence and fate, holding a middle course between the Epicureans’ blunt denial of divine care and the Storics’ fully fledged determinism and doctrine of providence’</w:t>
      </w:r>
      <w:r>
        <w:rPr>
          <w:vertAlign w:val="superscript"/>
        </w:rPr>
        <w:footnoteReference w:id="33"/>
      </w:r>
      <w:r>
        <w:t xml:space="preserve"> (Van Riel-d’Hoine) is promoted by the “Middle Platonists” (I-II century </w:t>
      </w:r>
      <w:r>
        <w:rPr>
          <w:smallCaps/>
        </w:rPr>
        <w:t xml:space="preserve">ce): </w:t>
      </w:r>
      <w:r>
        <w:t xml:space="preserve">the Stoic identification of </w:t>
      </w:r>
      <w:r>
        <w:rPr>
          <w:i/>
        </w:rPr>
        <w:t>heimarménē</w:t>
      </w:r>
      <w:r>
        <w:t xml:space="preserve"> and </w:t>
      </w:r>
      <w:r>
        <w:rPr>
          <w:i/>
        </w:rPr>
        <w:t>p</w:t>
      </w:r>
      <w:r w:rsidRPr="009636D7">
        <w:rPr>
          <w:rFonts w:cstheme="majorHAnsi"/>
          <w:i/>
        </w:rPr>
        <w:t>rón</w:t>
      </w:r>
      <w:r>
        <w:rPr>
          <w:i/>
        </w:rPr>
        <w:t>oia</w:t>
      </w:r>
      <w:r>
        <w:t xml:space="preserve"> is replaced by a double causality, a physical one operated by </w:t>
      </w:r>
      <w:r>
        <w:rPr>
          <w:i/>
        </w:rPr>
        <w:t>heimarménē</w:t>
      </w:r>
      <w:r>
        <w:t xml:space="preserve"> in matter, and a metaphysical one operated by </w:t>
      </w:r>
      <w:r w:rsidRPr="00170581">
        <w:rPr>
          <w:rFonts w:cstheme="majorHAnsi"/>
          <w:i/>
        </w:rPr>
        <w:t>pró</w:t>
      </w:r>
      <w:r>
        <w:rPr>
          <w:i/>
        </w:rPr>
        <w:t>noia</w:t>
      </w:r>
      <w:r>
        <w:t xml:space="preserve"> in the world of ideas</w:t>
      </w:r>
      <w:r w:rsidR="00257ABE">
        <w:t>.</w:t>
      </w:r>
    </w:p>
    <w:p w14:paraId="58FAB304" w14:textId="72574F62" w:rsidR="00EC3708" w:rsidRDefault="00DB539A" w:rsidP="006B74AA">
      <w:r>
        <w:rPr>
          <w:i/>
        </w:rPr>
        <w:t>Týchē</w:t>
      </w:r>
      <w:r>
        <w:t>, “chance”, ‘accidental cause […] having an unintended effect’</w:t>
      </w:r>
      <w:r w:rsidR="009636D7">
        <w:t xml:space="preserve"> (Peters),</w:t>
      </w:r>
      <w:r>
        <w:rPr>
          <w:vertAlign w:val="superscript"/>
        </w:rPr>
        <w:footnoteReference w:id="34"/>
      </w:r>
      <w:r>
        <w:t xml:space="preserve"> </w:t>
      </w:r>
      <w:r w:rsidR="00BF6431">
        <w:t>enjoys good</w:t>
      </w:r>
      <w:r>
        <w:t xml:space="preserve"> fortune amongst the Atomists identifying </w:t>
      </w:r>
      <w:r>
        <w:rPr>
          <w:i/>
        </w:rPr>
        <w:t>týchē</w:t>
      </w:r>
      <w:r>
        <w:t xml:space="preserve"> with purposeless </w:t>
      </w:r>
      <w:r>
        <w:rPr>
          <w:i/>
        </w:rPr>
        <w:t>anánkē</w:t>
      </w:r>
      <w:r>
        <w:t>.</w:t>
      </w:r>
      <w:r>
        <w:rPr>
          <w:vertAlign w:val="superscript"/>
        </w:rPr>
        <w:footnoteReference w:id="35"/>
      </w:r>
      <w:r>
        <w:t xml:space="preserve"> In her study on the </w:t>
      </w:r>
      <w:r>
        <w:rPr>
          <w:i/>
        </w:rPr>
        <w:t>daimōn</w:t>
      </w:r>
      <w:r>
        <w:t xml:space="preserve"> in Hellenistic astrology,</w:t>
      </w:r>
      <w:r>
        <w:rPr>
          <w:vertAlign w:val="superscript"/>
        </w:rPr>
        <w:footnoteReference w:id="36"/>
      </w:r>
      <w:r>
        <w:t xml:space="preserve"> Greenbaum discusses at length about </w:t>
      </w:r>
      <w:r>
        <w:rPr>
          <w:i/>
        </w:rPr>
        <w:t>týchē</w:t>
      </w:r>
      <w:r>
        <w:t xml:space="preserve"> and the </w:t>
      </w:r>
      <w:r>
        <w:rPr>
          <w:i/>
        </w:rPr>
        <w:t>daimōn</w:t>
      </w:r>
      <w:r>
        <w:t xml:space="preserve">, providing a detailed account of their cult and their role in astrology as governors of houses and </w:t>
      </w:r>
      <w:r w:rsidR="00BF6431">
        <w:t xml:space="preserve">as </w:t>
      </w:r>
      <w:r>
        <w:t>lots. The worship of Good Fortune (</w:t>
      </w:r>
      <w:r>
        <w:rPr>
          <w:i/>
        </w:rPr>
        <w:t>Agatha Týchē</w:t>
      </w:r>
      <w:r>
        <w:t>) and Good Spirit/Demon (</w:t>
      </w:r>
      <w:r>
        <w:rPr>
          <w:i/>
        </w:rPr>
        <w:t>Agathós Daimōn</w:t>
      </w:r>
      <w:r>
        <w:t>) is well established in Alexandria by the II century, linked to Sarapis-Isis and the Egyptian Shai-Renenet.</w:t>
      </w:r>
      <w:r>
        <w:rPr>
          <w:vertAlign w:val="superscript"/>
        </w:rPr>
        <w:footnoteReference w:id="37"/>
      </w:r>
      <w:r>
        <w:t xml:space="preserve"> As Greenbaum states, ‘</w:t>
      </w:r>
      <w:r w:rsidR="00EC3708">
        <w:t>B</w:t>
      </w:r>
      <w:r>
        <w:t>oth Fortune (Tyche) and Daimōn are, from the Hellenistic period into Late Antiquity, given great power in the determination of human fate’,</w:t>
      </w:r>
      <w:r>
        <w:rPr>
          <w:vertAlign w:val="superscript"/>
        </w:rPr>
        <w:footnoteReference w:id="38"/>
      </w:r>
      <w:r>
        <w:t xml:space="preserve"> and appear to have a kind of ‘symbiotic relationship’, such that ‘Daimōn encourages a certain tuchē and tuchē brings about what has been destined by the daimōn (or perhaps </w:t>
      </w:r>
      <w:r>
        <w:rPr>
          <w:i/>
        </w:rPr>
        <w:t>vice versa</w:t>
      </w:r>
      <w:r>
        <w:t>)’.</w:t>
      </w:r>
      <w:r>
        <w:rPr>
          <w:vertAlign w:val="superscript"/>
        </w:rPr>
        <w:footnoteReference w:id="39"/>
      </w:r>
      <w:r>
        <w:t xml:space="preserve"> Their connection, also highlighted by Plotinus,</w:t>
      </w:r>
      <w:r>
        <w:rPr>
          <w:vertAlign w:val="superscript"/>
        </w:rPr>
        <w:footnoteReference w:id="40"/>
      </w:r>
      <w:r>
        <w:t xml:space="preserve"> is due to the role given in Plato’s </w:t>
      </w:r>
      <w:r>
        <w:rPr>
          <w:i/>
        </w:rPr>
        <w:t>Republic</w:t>
      </w:r>
      <w:r>
        <w:t xml:space="preserve"> to the </w:t>
      </w:r>
      <w:r>
        <w:rPr>
          <w:i/>
        </w:rPr>
        <w:t>daimōn</w:t>
      </w:r>
      <w:r>
        <w:t xml:space="preserve"> as</w:t>
      </w:r>
      <w:r w:rsidR="00EC3708">
        <w:t xml:space="preserve"> the</w:t>
      </w:r>
      <w:r>
        <w:t xml:space="preserve"> guardian of souls:</w:t>
      </w:r>
    </w:p>
    <w:p w14:paraId="1A8D5CE3" w14:textId="77777777" w:rsidR="00EC3708" w:rsidRDefault="00EC3708" w:rsidP="006B74AA"/>
    <w:p w14:paraId="734BC9A6" w14:textId="3C3134BA" w:rsidR="006B74AA" w:rsidRDefault="00DB539A" w:rsidP="00EC3708">
      <w:pPr>
        <w:pStyle w:val="Nessunaspaziatura"/>
      </w:pPr>
      <w:r>
        <w:t>‘And she [Lachesis] sent with each, as the guardian of his life and the fulfiller of his choice, the genius [δαίμον] that he had chosen, and this divinity led the soul first to Clotho, under her hand and her turning of the spindle to ratify the destiny of his lot and choice; and after contact with her the genius again led the soul to the spinning of Atropos to make the web of its destiny irreversible, and then without a backward look it passed beneath the throne of Necessity’.</w:t>
      </w:r>
      <w:r>
        <w:rPr>
          <w:vertAlign w:val="superscript"/>
        </w:rPr>
        <w:footnoteReference w:id="41"/>
      </w:r>
    </w:p>
    <w:p w14:paraId="46C08941" w14:textId="77777777" w:rsidR="00EC3708" w:rsidRDefault="00EC3708" w:rsidP="00EC3708">
      <w:pPr>
        <w:pStyle w:val="Nessunaspaziatura"/>
      </w:pPr>
    </w:p>
    <w:p w14:paraId="278810DC" w14:textId="47EBA0BA" w:rsidR="00415C2E" w:rsidRDefault="00DB539A" w:rsidP="006B74AA">
      <w:r>
        <w:rPr>
          <w:i/>
        </w:rPr>
        <w:lastRenderedPageBreak/>
        <w:t>P</w:t>
      </w:r>
      <w:r w:rsidRPr="00BF6431">
        <w:rPr>
          <w:rFonts w:cstheme="majorHAnsi"/>
          <w:i/>
        </w:rPr>
        <w:t>rón</w:t>
      </w:r>
      <w:r>
        <w:rPr>
          <w:i/>
        </w:rPr>
        <w:t>oia</w:t>
      </w:r>
      <w:r>
        <w:t xml:space="preserve"> means foreknowing,</w:t>
      </w:r>
      <w:r>
        <w:rPr>
          <w:vertAlign w:val="superscript"/>
        </w:rPr>
        <w:footnoteReference w:id="42"/>
      </w:r>
      <w:r>
        <w:t xml:space="preserve"> forethought, providence,</w:t>
      </w:r>
      <w:r>
        <w:rPr>
          <w:vertAlign w:val="superscript"/>
        </w:rPr>
        <w:footnoteReference w:id="43"/>
      </w:r>
      <w:r>
        <w:rPr>
          <w:vertAlign w:val="superscript"/>
        </w:rPr>
        <w:t xml:space="preserve"> </w:t>
      </w:r>
      <w:r>
        <w:t>‘a notion of an intelligent purpose […] operating in the universe […] associated with the intelligent God’ of Plato and Aristotle (Peters).</w:t>
      </w:r>
      <w:r>
        <w:rPr>
          <w:vertAlign w:val="superscript"/>
        </w:rPr>
        <w:footnoteReference w:id="44"/>
      </w:r>
      <w:r>
        <w:t xml:space="preserve"> While Stoic </w:t>
      </w:r>
      <w:r>
        <w:rPr>
          <w:i/>
        </w:rPr>
        <w:t>p</w:t>
      </w:r>
      <w:r w:rsidRPr="00BF6431">
        <w:rPr>
          <w:rFonts w:cstheme="majorHAnsi"/>
          <w:i/>
        </w:rPr>
        <w:t>rón</w:t>
      </w:r>
      <w:r>
        <w:rPr>
          <w:i/>
        </w:rPr>
        <w:t>oia</w:t>
      </w:r>
      <w:r>
        <w:t xml:space="preserve"> was immanent and identified with </w:t>
      </w:r>
      <w:r>
        <w:rPr>
          <w:i/>
        </w:rPr>
        <w:t>physis</w:t>
      </w:r>
      <w:r>
        <w:t xml:space="preserve">, </w:t>
      </w:r>
      <w:r w:rsidR="00E524AE">
        <w:t>“</w:t>
      </w:r>
      <w:r>
        <w:t>middle</w:t>
      </w:r>
      <w:r w:rsidR="00E524AE">
        <w:t>”</w:t>
      </w:r>
      <w:r>
        <w:t xml:space="preserve"> and </w:t>
      </w:r>
      <w:r w:rsidR="00E524AE">
        <w:t>“</w:t>
      </w:r>
      <w:r>
        <w:t>late</w:t>
      </w:r>
      <w:r w:rsidR="00E524AE">
        <w:t>”</w:t>
      </w:r>
      <w:r>
        <w:t xml:space="preserve"> Platonic thinkers conceived it as transcendent, such that, according to Plotinus, ‘we should be correct and consistent in saying that providence [πρὸνοια] for the All is its [of the universe] being according to Intellect [νοῦς]’,</w:t>
      </w:r>
      <w:r>
        <w:rPr>
          <w:vertAlign w:val="superscript"/>
        </w:rPr>
        <w:footnoteReference w:id="45"/>
      </w:r>
      <w:r>
        <w:t xml:space="preserve"> it descends from above</w:t>
      </w:r>
      <w:r>
        <w:rPr>
          <w:vertAlign w:val="superscript"/>
        </w:rPr>
        <w:footnoteReference w:id="46"/>
      </w:r>
      <w:r>
        <w:t xml:space="preserve"> and is not cause of ‘evil deeds’ which instead ‘follow from necessity [ἀνάγκη]’.</w:t>
      </w:r>
      <w:r>
        <w:rPr>
          <w:vertAlign w:val="superscript"/>
        </w:rPr>
        <w:footnoteReference w:id="47"/>
      </w:r>
    </w:p>
    <w:p w14:paraId="29FB8E0E" w14:textId="77777777" w:rsidR="00415C2E" w:rsidRDefault="00415C2E"/>
    <w:p w14:paraId="32858987" w14:textId="77777777" w:rsidR="00415C2E" w:rsidRDefault="00DB539A">
      <w:pPr>
        <w:rPr>
          <w:i/>
        </w:rPr>
      </w:pPr>
      <w:r>
        <w:tab/>
      </w:r>
      <w:r>
        <w:rPr>
          <w:i/>
        </w:rPr>
        <w:t>Astrological categories</w:t>
      </w:r>
    </w:p>
    <w:p w14:paraId="47F9BCBC" w14:textId="24051EFF" w:rsidR="00415C2E" w:rsidRDefault="00DB539A">
      <w:r>
        <w:t xml:space="preserve">In his </w:t>
      </w:r>
      <w:r>
        <w:rPr>
          <w:i/>
        </w:rPr>
        <w:t>De divinatione</w:t>
      </w:r>
      <w:r>
        <w:t xml:space="preserve">, Cicero </w:t>
      </w:r>
      <w:r w:rsidR="004B5A7E">
        <w:t>individuates</w:t>
      </w:r>
      <w:r>
        <w:t xml:space="preserve"> ‘two different kinds of divination: the first is dependent on art’ – prophecies, augurs, natural prodigies, oracles, astrology – ‘the other on nature’ – dreams and prophetic utterances</w:t>
      </w:r>
      <w:r w:rsidR="00DF5DF7">
        <w:t>.</w:t>
      </w:r>
      <w:r w:rsidR="00DF5DF7">
        <w:rPr>
          <w:rStyle w:val="Rimandonotaapidipagina"/>
        </w:rPr>
        <w:footnoteReference w:id="48"/>
      </w:r>
      <w:r w:rsidR="00DF5DF7">
        <w:t xml:space="preserve"> </w:t>
      </w:r>
      <w:r>
        <w:t xml:space="preserve">Astrology is therefore </w:t>
      </w:r>
      <w:r w:rsidR="000E7AB9" w:rsidRPr="000E7AB9">
        <w:t>τέχνη</w:t>
      </w:r>
      <w:r w:rsidR="000E7AB9">
        <w:t xml:space="preserve">, an </w:t>
      </w:r>
      <w:r>
        <w:t>acquired knowledge, an artificial technique. Greenbaum applies the distinction between productive and stochastic arts to astrology,</w:t>
      </w:r>
      <w:r>
        <w:rPr>
          <w:vertAlign w:val="superscript"/>
        </w:rPr>
        <w:footnoteReference w:id="49"/>
      </w:r>
      <w:r>
        <w:t xml:space="preserve"> assuming that the former include technical crafts like building or waving, while stochastic (“conjectural”) arts – from στοχάζομαι</w:t>
      </w:r>
      <w:r w:rsidR="000E7AB9">
        <w:t>:</w:t>
      </w:r>
      <w:r>
        <w:t xml:space="preserve"> “aim”, “shoot at”</w:t>
      </w:r>
      <w:r>
        <w:rPr>
          <w:vertAlign w:val="superscript"/>
        </w:rPr>
        <w:footnoteReference w:id="50"/>
      </w:r>
      <w:r>
        <w:t xml:space="preserve"> – include astrology and medicine, as both Galen</w:t>
      </w:r>
      <w:r>
        <w:rPr>
          <w:vertAlign w:val="superscript"/>
        </w:rPr>
        <w:footnoteReference w:id="51"/>
      </w:r>
      <w:r>
        <w:t xml:space="preserve"> and </w:t>
      </w:r>
      <w:r w:rsidRPr="00DF5DF7">
        <w:t>Ptolemy</w:t>
      </w:r>
      <w:r w:rsidRPr="00DF5DF7">
        <w:rPr>
          <w:vertAlign w:val="superscript"/>
        </w:rPr>
        <w:footnoteReference w:id="52"/>
      </w:r>
      <w:r w:rsidRPr="00DF5DF7">
        <w:t xml:space="preserve"> </w:t>
      </w:r>
      <w:r w:rsidR="00974669">
        <w:t>acknowledge</w:t>
      </w:r>
      <w:r w:rsidRPr="00DF5DF7">
        <w:t>. Given the intrinsic uncertainty of the stochastic arts, astrology’s predictions may not be exact, and Ptolemy admits</w:t>
      </w:r>
      <w:r>
        <w:t xml:space="preserve"> that success is not always attainable due to the ontological imperfection of the sublunary realm and the inference of other causes.</w:t>
      </w:r>
      <w:r w:rsidR="00DF5DF7">
        <w:rPr>
          <w:rStyle w:val="Rimandonotaapidipagina"/>
        </w:rPr>
        <w:footnoteReference w:id="53"/>
      </w:r>
      <w:r>
        <w:t xml:space="preserve"> If astrology is instead considered a productive art, then the success of predictions is its final cause, and its exactitude becomes proof of a direct – deterministic – influence of the planets upon human affairs. On this respect, Iamblichus criticises ‘technical astrologers’ like ‘Dorotheus, Vettius Valens, Claudius Ptolemy, Antiochus of Athens, Firmicus Maternus’ (Lawrence)</w:t>
      </w:r>
      <w:r>
        <w:rPr>
          <w:vertAlign w:val="superscript"/>
        </w:rPr>
        <w:footnoteReference w:id="54"/>
      </w:r>
      <w:r>
        <w:t xml:space="preserve"> who, according to him, ‘fall into contradiction, knowing nothing of the truth’,</w:t>
      </w:r>
      <w:r>
        <w:rPr>
          <w:vertAlign w:val="superscript"/>
        </w:rPr>
        <w:footnoteReference w:id="55"/>
      </w:r>
      <w:r>
        <w:t xml:space="preserve"> just like scientists </w:t>
      </w:r>
      <w:r>
        <w:lastRenderedPageBreak/>
        <w:t xml:space="preserve">engaging with logical and mechanical thinking; despite its validity, “technical” astrology is contaminated and limited by its relation to </w:t>
      </w:r>
      <w:r>
        <w:rPr>
          <w:i/>
        </w:rPr>
        <w:t>physis</w:t>
      </w:r>
      <w:r w:rsidR="00BF6431">
        <w:t xml:space="preserve"> (</w:t>
      </w:r>
      <w:r>
        <w:t>Timotin</w:t>
      </w:r>
      <w:r w:rsidR="00BF6431">
        <w:t>)</w:t>
      </w:r>
      <w:r>
        <w:t>,</w:t>
      </w:r>
      <w:r>
        <w:rPr>
          <w:vertAlign w:val="superscript"/>
        </w:rPr>
        <w:footnoteReference w:id="56"/>
      </w:r>
      <w:r>
        <w:t xml:space="preserve"> whereas the authentic connection with the divine can only be pursued through ‘sacred theurgy’ that allows the ascent to higher regions, ‘more universal and superior to fate’ by taking into account only ‘the observation of the critical time [καιρός] for action’.</w:t>
      </w:r>
      <w:r>
        <w:rPr>
          <w:vertAlign w:val="superscript"/>
        </w:rPr>
        <w:footnoteReference w:id="57"/>
      </w:r>
      <w:r>
        <w:t xml:space="preserve"> Greenbaum recognises that Iamblichus is alluding to katarchic astrology – from </w:t>
      </w:r>
      <w:r w:rsidR="000E7AB9" w:rsidRPr="000E7AB9">
        <w:rPr>
          <w:iCs/>
        </w:rPr>
        <w:t>καταρχή</w:t>
      </w:r>
      <w:r>
        <w:t>: “inception”, “beginning”</w:t>
      </w:r>
      <w:r>
        <w:rPr>
          <w:vertAlign w:val="superscript"/>
        </w:rPr>
        <w:footnoteReference w:id="58"/>
      </w:r>
      <w:r>
        <w:t xml:space="preserve"> – consisting in casting a chart to find the most opportune moment (</w:t>
      </w:r>
      <w:r>
        <w:rPr>
          <w:i/>
        </w:rPr>
        <w:t>kairos</w:t>
      </w:r>
      <w:r>
        <w:t>), for beginning something</w:t>
      </w:r>
      <w:r>
        <w:rPr>
          <w:vertAlign w:val="superscript"/>
        </w:rPr>
        <w:footnoteReference w:id="59"/>
      </w:r>
      <w:r>
        <w:t xml:space="preserve"> or interrogations, and considered the most divinatory type of astrology, since its prognostics rely upon a connection with the divinity.</w:t>
      </w:r>
      <w:r>
        <w:rPr>
          <w:vertAlign w:val="superscript"/>
        </w:rPr>
        <w:footnoteReference w:id="60"/>
      </w:r>
    </w:p>
    <w:p w14:paraId="52CA5715" w14:textId="1D15E24D" w:rsidR="00415C2E" w:rsidRDefault="00DB539A">
      <w:r>
        <w:t xml:space="preserve">When astrological predictions concern universal events, the whole population, natural disasters or plagues, the technique used is mundane or </w:t>
      </w:r>
      <w:r>
        <w:rPr>
          <w:sz w:val="20"/>
          <w:szCs w:val="20"/>
        </w:rPr>
        <w:t>universal (</w:t>
      </w:r>
      <w:r>
        <w:rPr>
          <w:i/>
          <w:sz w:val="20"/>
          <w:szCs w:val="20"/>
        </w:rPr>
        <w:t>katholikos</w:t>
      </w:r>
      <w:r>
        <w:rPr>
          <w:sz w:val="20"/>
          <w:szCs w:val="20"/>
        </w:rPr>
        <w:t>) astrology</w:t>
      </w:r>
      <w:r w:rsidR="00EC3708">
        <w:rPr>
          <w:sz w:val="20"/>
          <w:szCs w:val="20"/>
        </w:rPr>
        <w:t xml:space="preserve"> (</w:t>
      </w:r>
      <w:r>
        <w:t>Greenbaum</w:t>
      </w:r>
      <w:r w:rsidR="00EC3708">
        <w:t>)</w:t>
      </w:r>
      <w:r>
        <w:t>.</w:t>
      </w:r>
      <w:r>
        <w:rPr>
          <w:vertAlign w:val="superscript"/>
        </w:rPr>
        <w:footnoteReference w:id="61"/>
      </w:r>
      <w:r>
        <w:t xml:space="preserve"> Another branch of astrology, which Cooper describes as the reverse of katarchic astrology,</w:t>
      </w:r>
      <w:r>
        <w:rPr>
          <w:vertAlign w:val="superscript"/>
        </w:rPr>
        <w:footnoteReference w:id="62"/>
      </w:r>
      <w:r>
        <w:t xml:space="preserve"> is the genethliacal (natal or horoscopic) astrology, developed in the late Babylonian period</w:t>
      </w:r>
      <w:r>
        <w:rPr>
          <w:vertAlign w:val="superscript"/>
        </w:rPr>
        <w:footnoteReference w:id="63"/>
      </w:r>
      <w:r>
        <w:t xml:space="preserve"> and based on an individual birth’s time and place to determine the position of the planets. The astrologers</w:t>
      </w:r>
      <w:r w:rsidR="00EC3708">
        <w:t>’</w:t>
      </w:r>
      <w:r>
        <w:t xml:space="preserve"> views on fate, freedom and providence may vary from a strict determinism to a softer astrological approach. These two extremes are conceptualised by Long, who distinguishes between “hard” astrology, conceiving planetary influence as the cause of human events, and “soft” astrology, according to which the heavenly bodies are signs indicating human affairs.</w:t>
      </w:r>
      <w:r>
        <w:rPr>
          <w:vertAlign w:val="superscript"/>
        </w:rPr>
        <w:footnoteReference w:id="64"/>
      </w:r>
      <w:r>
        <w:t xml:space="preserve"> However, certain ‘magical and/or theurgic uses of astrology (such as appeasement of the planetary gods through the use of symbols) are practised to influence outcomes or to </w:t>
      </w:r>
      <w:r w:rsidRPr="00566B96">
        <w:t>mitigate</w:t>
      </w:r>
      <w:r w:rsidR="00566B96">
        <w:t xml:space="preserve"> fate’—La</w:t>
      </w:r>
      <w:r w:rsidRPr="00566B96">
        <w:t>wrence</w:t>
      </w:r>
      <w:r>
        <w:t xml:space="preserve"> notices;</w:t>
      </w:r>
      <w:r>
        <w:rPr>
          <w:vertAlign w:val="superscript"/>
        </w:rPr>
        <w:footnoteReference w:id="65"/>
      </w:r>
      <w:r>
        <w:t xml:space="preserve"> this certainly involves katarchic astrology, as she highlights, but it </w:t>
      </w:r>
      <w:r>
        <w:rPr>
          <w:i/>
        </w:rPr>
        <w:t>also</w:t>
      </w:r>
      <w:r>
        <w:t xml:space="preserve"> concerns natal astrology, as the invocations in the </w:t>
      </w:r>
      <w:r>
        <w:rPr>
          <w:i/>
        </w:rPr>
        <w:t>Greek Magical Papyri</w:t>
      </w:r>
      <w:r>
        <w:t xml:space="preserve"> XIII.343-646</w:t>
      </w:r>
      <w:r w:rsidR="00387F62">
        <w:t>, “The Eighth Book of Moses”</w:t>
      </w:r>
      <w:r w:rsidR="00387F62">
        <w:rPr>
          <w:vertAlign w:val="superscript"/>
        </w:rPr>
        <w:footnoteReference w:id="66"/>
      </w:r>
      <w:r w:rsidR="00387F62">
        <w:t xml:space="preserve"> </w:t>
      </w:r>
      <w:r>
        <w:t>(IV</w:t>
      </w:r>
      <w:r>
        <w:rPr>
          <w:smallCaps/>
        </w:rPr>
        <w:t>ce),</w:t>
      </w:r>
      <w:r>
        <w:rPr>
          <w:smallCaps/>
          <w:vertAlign w:val="superscript"/>
        </w:rPr>
        <w:footnoteReference w:id="67"/>
      </w:r>
      <w:r>
        <w:t xml:space="preserve"> seem to prove: ‘“let the fate determined by my birth be revealed to me." And if he </w:t>
      </w:r>
      <w:r w:rsidR="00D03313">
        <w:t xml:space="preserve">[an angel] </w:t>
      </w:r>
      <w:r>
        <w:t>says anything bad, say, "Wash off from me the evils of fate […]”’; ‘“Protect me from all my own astrological destiny; destroy my / foul fate; apportion good things for me in my horoscope; increase my life; and [may I enjoy] many good things, for I am your slave and petitioner and have hymned your valid and holy name […]”’.</w:t>
      </w:r>
      <w:r>
        <w:rPr>
          <w:vertAlign w:val="superscript"/>
        </w:rPr>
        <w:footnoteReference w:id="68"/>
      </w:r>
      <w:r>
        <w:t xml:space="preserve"> Despite the </w:t>
      </w:r>
      <w:r>
        <w:lastRenderedPageBreak/>
        <w:t>fatalistic influence of the stars, according to the anonymous writer of this papyrus the future does appear rigidly determined but also negotiable, provided that the ritual is correctly performed.</w:t>
      </w:r>
    </w:p>
    <w:p w14:paraId="377B91DA" w14:textId="77777777" w:rsidR="00415C2E" w:rsidRDefault="00415C2E"/>
    <w:p w14:paraId="1A972E24" w14:textId="3EA27398" w:rsidR="00415C2E" w:rsidRPr="002A30D6" w:rsidRDefault="00DB539A">
      <w:pPr>
        <w:ind w:firstLine="708"/>
        <w:rPr>
          <w:iCs/>
        </w:rPr>
      </w:pPr>
      <w:r>
        <w:rPr>
          <w:i/>
        </w:rPr>
        <w:t>Historical biases</w:t>
      </w:r>
    </w:p>
    <w:p w14:paraId="34D1DBAB" w14:textId="7EB72010" w:rsidR="00415C2E" w:rsidRDefault="00DB539A" w:rsidP="00B10DA1">
      <w:r>
        <w:t>In her contribution on astral symbolism in theurgy, Lawrence denounces historical biases le</w:t>
      </w:r>
      <w:r w:rsidR="00A533F3">
        <w:t>a</w:t>
      </w:r>
      <w:r>
        <w:t>d</w:t>
      </w:r>
      <w:r w:rsidR="00A533F3">
        <w:t>ing</w:t>
      </w:r>
      <w:r>
        <w:t xml:space="preserve"> to a scant consideration of astrology and theurgy by historians </w:t>
      </w:r>
      <w:r w:rsidR="00A533F3">
        <w:t>like</w:t>
      </w:r>
      <w:r>
        <w:t xml:space="preserve"> Dodds, Cumont, Frazer: this avoidance, ‘aligned with a post-Enlightenment understanding of divination and religious beliefs […] reduce important aspects of culture and history</w:t>
      </w:r>
      <w:r w:rsidR="00367C07">
        <w:t>’</w:t>
      </w:r>
      <w:r>
        <w:t>,</w:t>
      </w:r>
      <w:r>
        <w:rPr>
          <w:vertAlign w:val="superscript"/>
        </w:rPr>
        <w:footnoteReference w:id="69"/>
      </w:r>
      <w:r>
        <w:t xml:space="preserve"> affecting a proper understanding of such practices in their context as well as their diffusion and importance. A similar criticism can be found in Denzey Lewis’ volume on Gnosticism and in Lewy’s edition of the </w:t>
      </w:r>
      <w:r w:rsidRPr="00A81B23">
        <w:rPr>
          <w:i/>
          <w:iCs/>
        </w:rPr>
        <w:t>Chaldean Oracles</w:t>
      </w:r>
      <w:r>
        <w:t>. The former highlights the lack of evidence concerning Dodds, Murray, Nock and Festugière’s theory of a cosmic pessimism permeating a Hellenistic and Late Antique society overwhelmed by the sense of a powerful astral fatalism (</w:t>
      </w:r>
      <w:r>
        <w:rPr>
          <w:i/>
        </w:rPr>
        <w:t>heimarménē</w:t>
      </w:r>
      <w:r>
        <w:t>).</w:t>
      </w:r>
      <w:r>
        <w:rPr>
          <w:vertAlign w:val="superscript"/>
        </w:rPr>
        <w:footnoteReference w:id="70"/>
      </w:r>
      <w:r>
        <w:t xml:space="preserve"> Lawrence finds the roots of this attitude in the IV-V century’s Patristic reception of astrology and their ‘condemnation of a pagan “irrationalism”’.</w:t>
      </w:r>
      <w:r>
        <w:rPr>
          <w:vertAlign w:val="superscript"/>
        </w:rPr>
        <w:footnoteReference w:id="71"/>
      </w:r>
      <w:r>
        <w:t xml:space="preserve"> By the same token, Lewy accuses classical philologists to ‘have neglected their obligation in this [Chaldean Oracles] minor domain’</w:t>
      </w:r>
      <w:r w:rsidR="00BF6431">
        <w:t>,</w:t>
      </w:r>
      <w:r>
        <w:rPr>
          <w:vertAlign w:val="superscript"/>
        </w:rPr>
        <w:footnoteReference w:id="72"/>
      </w:r>
      <w:r>
        <w:rPr>
          <w:vertAlign w:val="superscript"/>
        </w:rPr>
        <w:t xml:space="preserve"> </w:t>
      </w:r>
      <w:r>
        <w:t>excluding their analysis from the critical investigation of the Late Antiquity’s religious documents for at least ‘two generations with striking success’.</w:t>
      </w:r>
      <w:r>
        <w:rPr>
          <w:vertAlign w:val="superscript"/>
        </w:rPr>
        <w:footnoteReference w:id="73"/>
      </w:r>
      <w:r>
        <w:t xml:space="preserve"> Redondo Ornelas remarks that as far as astrology is concerned, Platonist theories about it are ignored.</w:t>
      </w:r>
      <w:r>
        <w:rPr>
          <w:vertAlign w:val="superscript"/>
        </w:rPr>
        <w:footnoteReference w:id="74"/>
      </w:r>
      <w:r>
        <w:t xml:space="preserve"> Nonetheless, not only was astrology ‘accepted and acceptable’ in the II century both at the popular and at the intellectual-philosophical level</w:t>
      </w:r>
      <w:r w:rsidR="00367C07">
        <w:t xml:space="preserve"> (Greenbaum),</w:t>
      </w:r>
      <w:r>
        <w:rPr>
          <w:vertAlign w:val="superscript"/>
        </w:rPr>
        <w:footnoteReference w:id="75"/>
      </w:r>
      <w:r>
        <w:t xml:space="preserve"> but astrology has a central role in Platonic Neoplatonism theology up to Proclus’ V century (Ornelas).</w:t>
      </w:r>
      <w:r>
        <w:rPr>
          <w:vertAlign w:val="superscript"/>
        </w:rPr>
        <w:footnoteReference w:id="76"/>
      </w:r>
      <w:r>
        <w:t xml:space="preserve"> In the Eastern Roman Empire astrology is naturally widespread, rooted as it is in the Babylonian and Egyptian soil, along with other forms of divination and cults raging from the </w:t>
      </w:r>
      <w:r w:rsidRPr="00BB0014">
        <w:rPr>
          <w:i/>
          <w:iCs/>
        </w:rPr>
        <w:t xml:space="preserve">Chaldean </w:t>
      </w:r>
      <w:r w:rsidRPr="00386B52">
        <w:rPr>
          <w:i/>
          <w:iCs/>
        </w:rPr>
        <w:t>Oracles</w:t>
      </w:r>
      <w:r w:rsidRPr="00386B52">
        <w:t xml:space="preserve"> (I</w:t>
      </w:r>
      <w:r w:rsidR="00BB0014" w:rsidRPr="00386B52">
        <w:t xml:space="preserve">I </w:t>
      </w:r>
      <w:r w:rsidRPr="00386B52">
        <w:t>century)</w:t>
      </w:r>
      <w:r w:rsidR="00BB0014" w:rsidRPr="00386B52">
        <w:rPr>
          <w:rStyle w:val="Rimandonotaapidipagina"/>
        </w:rPr>
        <w:footnoteReference w:id="77"/>
      </w:r>
      <w:r>
        <w:t xml:space="preserve"> and theurgy</w:t>
      </w:r>
      <w:r w:rsidR="00386B52">
        <w:rPr>
          <w:rStyle w:val="Rimandonotaapidipagina"/>
        </w:rPr>
        <w:footnoteReference w:id="78"/>
      </w:r>
      <w:r>
        <w:t xml:space="preserve"> to the Hermetic writings, from minor Christian confessions taking into account </w:t>
      </w:r>
      <w:r>
        <w:lastRenderedPageBreak/>
        <w:t>celestial bodies – Phibionites, Marcosians, Peretrae</w:t>
      </w:r>
      <w:r>
        <w:rPr>
          <w:vertAlign w:val="superscript"/>
        </w:rPr>
        <w:footnoteReference w:id="79"/>
      </w:r>
      <w:r>
        <w:t xml:space="preserve"> – and Manicheism to Mithraism</w:t>
      </w:r>
      <w:r w:rsidR="003A52C8">
        <w:t>—</w:t>
      </w:r>
      <w:r>
        <w:t xml:space="preserve">which employs astral symbolism. </w:t>
      </w:r>
      <w:r w:rsidR="003A52C8">
        <w:t>While in the IV century ‘a</w:t>
      </w:r>
      <w:r w:rsidR="003A52C8" w:rsidRPr="003A52C8">
        <w:t>strology infiltrates all methods of divination</w:t>
      </w:r>
      <w:r w:rsidR="003A52C8">
        <w:t>’ (Bouché-Leclercq),</w:t>
      </w:r>
      <w:r w:rsidR="003A52C8">
        <w:rPr>
          <w:rStyle w:val="Rimandonotaapidipagina"/>
        </w:rPr>
        <w:footnoteReference w:id="80"/>
      </w:r>
      <w:r w:rsidR="003A52C8">
        <w:t xml:space="preserve"> s</w:t>
      </w:r>
      <w:r>
        <w:t>till in the first centuries of the Byzantine Empire, astrology holds such an important place in everyday life that ‘even the hunters were consulting its directions’</w:t>
      </w:r>
      <w:r w:rsidR="003A52C8">
        <w:t>(Theodossiou-Manimanis-Dimitrijevic)</w:t>
      </w:r>
      <w:r>
        <w:t>.</w:t>
      </w:r>
      <w:r>
        <w:rPr>
          <w:vertAlign w:val="superscript"/>
        </w:rPr>
        <w:footnoteReference w:id="81"/>
      </w:r>
      <w:r>
        <w:t xml:space="preserve"> Likewise, astrology was very popular in Rome and in its political history, states Ripat (who reiterates criticisms against historians’ biases),</w:t>
      </w:r>
      <w:r>
        <w:rPr>
          <w:vertAlign w:val="superscript"/>
        </w:rPr>
        <w:footnoteReference w:id="82"/>
      </w:r>
      <w:r>
        <w:t xml:space="preserve"> despite the Church’s condemnation and the several imperial edicts proclaimed against its practice.</w:t>
      </w:r>
      <w:r>
        <w:rPr>
          <w:vertAlign w:val="superscript"/>
        </w:rPr>
        <w:footnoteReference w:id="83"/>
      </w:r>
      <w:r>
        <w:t xml:space="preserve"> The </w:t>
      </w:r>
      <w:r>
        <w:rPr>
          <w:i/>
        </w:rPr>
        <w:t>Theodosian Code</w:t>
      </w:r>
      <w:r>
        <w:t>, for example, claims that with Constantinus ‘no person shall consult a soothsayer, or an astrologer, or a diviner’.</w:t>
      </w:r>
      <w:r>
        <w:rPr>
          <w:vertAlign w:val="superscript"/>
        </w:rPr>
        <w:footnoteReference w:id="84"/>
      </w:r>
      <w:r>
        <w:t xml:space="preserve"> It is noteworthy that the astrologer Firmicus Maternus</w:t>
      </w:r>
      <w:r w:rsidR="004A23FD">
        <w:t xml:space="preserve"> </w:t>
      </w:r>
      <w:r w:rsidR="009F3C4F">
        <w:t xml:space="preserve">(flourished under Constantine and his sons) </w:t>
      </w:r>
      <w:r>
        <w:t>stresses that no astrologer should enquire about ‘the condition of the Republic or the life of the Roman Emperor’, which is ‘not right, nor is it permitted’, since ‘the Emperor alone is not subject to the course of the stars and in his fate alone the stars have no power’.</w:t>
      </w:r>
      <w:r>
        <w:rPr>
          <w:vertAlign w:val="superscript"/>
        </w:rPr>
        <w:footnoteReference w:id="85"/>
      </w:r>
      <w:r>
        <w:t xml:space="preserve"> Yet, his encouragement to astrologers to participate in Roman social life with modesty and transparency seems to indicate that </w:t>
      </w:r>
      <w:r w:rsidR="00A533F3">
        <w:t>‘the persecution was more virtual than real’</w:t>
      </w:r>
      <w:r w:rsidR="00683AAA">
        <w:t xml:space="preserve"> (Bouché-Leclercq)</w:t>
      </w:r>
      <w:r w:rsidR="00A533F3">
        <w:rPr>
          <w:rStyle w:val="Rimandonotaapidipagina"/>
        </w:rPr>
        <w:footnoteReference w:id="86"/>
      </w:r>
      <w:r w:rsidR="00076EA5">
        <w:t xml:space="preserve"> since </w:t>
      </w:r>
      <w:r>
        <w:t xml:space="preserve">no awareness of rigid legal restrictions </w:t>
      </w:r>
      <w:r w:rsidR="00076EA5">
        <w:t xml:space="preserve">appears </w:t>
      </w:r>
      <w:r>
        <w:t xml:space="preserve">in </w:t>
      </w:r>
      <w:r w:rsidR="00076EA5">
        <w:t>Firmicus’</w:t>
      </w:r>
      <w:r>
        <w:t xml:space="preserve"> writings</w:t>
      </w:r>
      <w:r w:rsidR="00076EA5" w:rsidRPr="00076EA5">
        <w:t xml:space="preserve"> </w:t>
      </w:r>
      <w:r w:rsidR="00076EA5">
        <w:t>(Mace)</w:t>
      </w:r>
      <w:r w:rsidR="008B4AC2">
        <w:t>.</w:t>
      </w:r>
      <w:r>
        <w:rPr>
          <w:vertAlign w:val="superscript"/>
        </w:rPr>
        <w:footnoteReference w:id="87"/>
      </w:r>
    </w:p>
    <w:p w14:paraId="71E4F89F" w14:textId="77777777" w:rsidR="00415C2E" w:rsidRDefault="00415C2E">
      <w:pPr>
        <w:ind w:firstLine="0"/>
      </w:pPr>
    </w:p>
    <w:p w14:paraId="7822F33B" w14:textId="42350B32" w:rsidR="00415C2E" w:rsidRDefault="00DB539A">
      <w:pPr>
        <w:ind w:firstLine="708"/>
        <w:rPr>
          <w:i/>
        </w:rPr>
      </w:pPr>
      <w:r>
        <w:rPr>
          <w:i/>
        </w:rPr>
        <w:t>Neoplatonism</w:t>
      </w:r>
    </w:p>
    <w:p w14:paraId="77FABACD" w14:textId="5A1C9EF7" w:rsidR="00B10DA1" w:rsidRDefault="00DB539A">
      <w:r>
        <w:t>In Plotinus’ biography,</w:t>
      </w:r>
      <w:r>
        <w:rPr>
          <w:vertAlign w:val="superscript"/>
        </w:rPr>
        <w:footnoteReference w:id="88"/>
      </w:r>
      <w:r>
        <w:t xml:space="preserve"> Porphyry claims that Plotinus was very interested in astrology and in confuting its practitioners’ arguments.</w:t>
      </w:r>
      <w:r>
        <w:rPr>
          <w:vertAlign w:val="superscript"/>
        </w:rPr>
        <w:footnoteReference w:id="89"/>
      </w:r>
      <w:r>
        <w:t xml:space="preserve"> Despite his reputation as a refuter of astrology, as Firmicus blames,</w:t>
      </w:r>
      <w:r>
        <w:rPr>
          <w:vertAlign w:val="superscript"/>
        </w:rPr>
        <w:footnoteReference w:id="90"/>
      </w:r>
      <w:r>
        <w:t xml:space="preserve"> Thorndike comments that his criticisms were more an attempt to align it to the Platonic views on the cosmos and the soul.</w:t>
      </w:r>
      <w:r>
        <w:rPr>
          <w:vertAlign w:val="superscript"/>
        </w:rPr>
        <w:footnoteReference w:id="91"/>
      </w:r>
      <w:r>
        <w:t xml:space="preserve"> His soteriological, cosmological and psychological theories can be found in his collection of writings systematised </w:t>
      </w:r>
      <w:r>
        <w:lastRenderedPageBreak/>
        <w:t xml:space="preserve">by Porphyry, the </w:t>
      </w:r>
      <w:r>
        <w:rPr>
          <w:i/>
        </w:rPr>
        <w:t>Enneads</w:t>
      </w:r>
      <w:r>
        <w:t>. Plotinus recognises the heavenly bodies as gods always looking towards Intellect (νοῦς);</w:t>
      </w:r>
      <w:r>
        <w:rPr>
          <w:vertAlign w:val="superscript"/>
        </w:rPr>
        <w:footnoteReference w:id="92"/>
      </w:r>
      <w:r>
        <w:t xml:space="preserve"> self-sufficient and proportioned, the cosmos harmonises the periodical cycle of the reincarnation of the souls, which do not descend entirely, rather ‘their heads are firmly set above in heaven’.</w:t>
      </w:r>
      <w:r>
        <w:rPr>
          <w:vertAlign w:val="superscript"/>
        </w:rPr>
        <w:footnoteReference w:id="93"/>
      </w:r>
      <w:r>
        <w:t xml:space="preserve"> Following Plato tripartition of the soul, Plotinus maintains that the rational faculty is not limited in the body,</w:t>
      </w:r>
      <w:r>
        <w:rPr>
          <w:vertAlign w:val="superscript"/>
        </w:rPr>
        <w:footnoteReference w:id="94"/>
      </w:r>
      <w:r>
        <w:t xml:space="preserve"> and when led by reason, human beings are free and ‘act of themselves’;</w:t>
      </w:r>
      <w:r>
        <w:rPr>
          <w:vertAlign w:val="superscript"/>
        </w:rPr>
        <w:footnoteReference w:id="95"/>
      </w:r>
      <w:r>
        <w:t xml:space="preserve"> conversely, if hindered by irrational factors, they are passive and act ‘unthinkingly according to destiny [εἱμαρμένη]’.</w:t>
      </w:r>
      <w:r>
        <w:rPr>
          <w:vertAlign w:val="superscript"/>
        </w:rPr>
        <w:footnoteReference w:id="96"/>
      </w:r>
      <w:r>
        <w:t xml:space="preserve"> Arguing against Stoics and Epicureans,</w:t>
      </w:r>
      <w:r>
        <w:rPr>
          <w:vertAlign w:val="superscript"/>
        </w:rPr>
        <w:footnoteReference w:id="97"/>
      </w:r>
      <w:r>
        <w:t xml:space="preserve"> Plotinus defends the power of human responsibility – ‘one must give to us what is ours’</w:t>
      </w:r>
      <w:r>
        <w:rPr>
          <w:vertAlign w:val="superscript"/>
        </w:rPr>
        <w:footnoteReference w:id="98"/>
      </w:r>
      <w:r>
        <w:t xml:space="preserve"> – distinguishing </w:t>
      </w:r>
      <w:r>
        <w:rPr>
          <w:i/>
        </w:rPr>
        <w:t>heimarménē</w:t>
      </w:r>
      <w:r>
        <w:t xml:space="preserve"> and </w:t>
      </w:r>
      <w:r>
        <w:rPr>
          <w:i/>
        </w:rPr>
        <w:t>pr</w:t>
      </w:r>
      <w:r w:rsidRPr="002924B2">
        <w:t>ón</w:t>
      </w:r>
      <w:r>
        <w:rPr>
          <w:i/>
        </w:rPr>
        <w:t>oia</w:t>
      </w:r>
      <w:r>
        <w:t xml:space="preserve"> and, as Leroux explains, individuating two kinds of necessity—a lower one </w:t>
      </w:r>
      <w:r w:rsidR="002924B2">
        <w:t>identified</w:t>
      </w:r>
      <w:r>
        <w:t xml:space="preserve"> as inevitable fate, and a higher one metaphysically compatible with freedom through the alignment with providence.</w:t>
      </w:r>
      <w:r>
        <w:rPr>
          <w:vertAlign w:val="superscript"/>
        </w:rPr>
        <w:footnoteReference w:id="99"/>
      </w:r>
      <w:r>
        <w:t xml:space="preserve"> Plotinus believes in the presence of a universal providence in accordance with the Intellect</w:t>
      </w:r>
      <w:r>
        <w:rPr>
          <w:vertAlign w:val="superscript"/>
        </w:rPr>
        <w:footnoteReference w:id="100"/>
      </w:r>
      <w:r>
        <w:t xml:space="preserve"> preserving the order of the cosmos as a whole.</w:t>
      </w:r>
    </w:p>
    <w:p w14:paraId="6FDA07DB" w14:textId="690B77AB" w:rsidR="00415C2E" w:rsidRDefault="00DB539A">
      <w:r>
        <w:t>As for astral influences, Plotinus denounces the absurdity of believing that any god would intervene in the human affairs;</w:t>
      </w:r>
      <w:r>
        <w:rPr>
          <w:vertAlign w:val="superscript"/>
        </w:rPr>
        <w:footnoteReference w:id="101"/>
      </w:r>
      <w:r>
        <w:t xml:space="preserve"> he rejects planetary agency towards us</w:t>
      </w:r>
      <w:r>
        <w:rPr>
          <w:vertAlign w:val="superscript"/>
        </w:rPr>
        <w:footnoteReference w:id="102"/>
      </w:r>
      <w:r>
        <w:t xml:space="preserve"> and attributes to it an analogical character due to cosmic sympathy:</w:t>
      </w:r>
      <w:r>
        <w:rPr>
          <w:vertAlign w:val="superscript"/>
        </w:rPr>
        <w:footnoteReference w:id="103"/>
      </w:r>
      <w:r>
        <w:t xml:space="preserve"> ‘by looking at them as if they were letters, read the future from their pattern, discovering what is signified by the systematic use of analogy’.</w:t>
      </w:r>
      <w:r>
        <w:rPr>
          <w:vertAlign w:val="superscript"/>
        </w:rPr>
        <w:footnoteReference w:id="104"/>
      </w:r>
      <w:r>
        <w:t xml:space="preserve"> Yet, Plotinus recognises a limited degree of influence to the stars</w:t>
      </w:r>
      <w:r>
        <w:rPr>
          <w:vertAlign w:val="superscript"/>
        </w:rPr>
        <w:footnoteReference w:id="105"/>
      </w:r>
      <w:r>
        <w:t xml:space="preserve"> insofar as their motion is part of an harmonic unity</w:t>
      </w:r>
      <w:r>
        <w:rPr>
          <w:vertAlign w:val="superscript"/>
        </w:rPr>
        <w:footnoteReference w:id="106"/>
      </w:r>
      <w:r>
        <w:t xml:space="preserve"> in agreement with divine reason,</w:t>
      </w:r>
      <w:r>
        <w:rPr>
          <w:vertAlign w:val="superscript"/>
        </w:rPr>
        <w:footnoteReference w:id="107"/>
      </w:r>
      <w:r>
        <w:t xml:space="preserve"> and they function as intermediators along the ontological chain between the world Soul and human souls.</w:t>
      </w:r>
      <w:r>
        <w:rPr>
          <w:vertAlign w:val="superscript"/>
        </w:rPr>
        <w:footnoteReference w:id="108"/>
      </w:r>
      <w:r>
        <w:t xml:space="preserve">  Hence</w:t>
      </w:r>
      <w:r w:rsidRPr="00E8440A">
        <w:t>, according to Long, Plotinus’s idea of planetary aspects as ‘cryptographic’ signs of things to come</w:t>
      </w:r>
      <w:r w:rsidRPr="00E8440A">
        <w:rPr>
          <w:vertAlign w:val="superscript"/>
        </w:rPr>
        <w:footnoteReference w:id="109"/>
      </w:r>
      <w:r w:rsidRPr="00E8440A">
        <w:t xml:space="preserve"> reveals a ‘sympathy for “soft” astrology’;</w:t>
      </w:r>
      <w:r w:rsidRPr="00E8440A">
        <w:rPr>
          <w:vertAlign w:val="superscript"/>
        </w:rPr>
        <w:footnoteReference w:id="110"/>
      </w:r>
      <w:r w:rsidRPr="00E8440A">
        <w:t xml:space="preserve"> Moreover, Plotinus stresses that only good things can be caused by providence, since</w:t>
      </w:r>
      <w:r>
        <w:t xml:space="preserve"> ‘all that comes </w:t>
      </w:r>
      <w:r>
        <w:lastRenderedPageBreak/>
        <w:t>from above happens by natural necessity’;</w:t>
      </w:r>
      <w:r>
        <w:rPr>
          <w:vertAlign w:val="superscript"/>
        </w:rPr>
        <w:footnoteReference w:id="111"/>
      </w:r>
      <w:r>
        <w:t xml:space="preserve"> while the negative influence of the stars is caused by “their mixture”</w:t>
      </w:r>
      <w:r>
        <w:rPr>
          <w:vertAlign w:val="superscript"/>
        </w:rPr>
        <w:footnoteReference w:id="112"/>
      </w:r>
      <w:r>
        <w:t xml:space="preserve"> and evil is due to our misalignment to providence,</w:t>
      </w:r>
      <w:r>
        <w:rPr>
          <w:vertAlign w:val="superscript"/>
        </w:rPr>
        <w:footnoteReference w:id="113"/>
      </w:r>
      <w:r>
        <w:t xml:space="preserve"> eventually Plotinus concludes that things perceived as bad happen for the overall cosmic harmony.</w:t>
      </w:r>
      <w:r>
        <w:rPr>
          <w:vertAlign w:val="superscript"/>
        </w:rPr>
        <w:footnoteReference w:id="114"/>
      </w:r>
    </w:p>
    <w:p w14:paraId="5DFF5EBA" w14:textId="7CABB355" w:rsidR="003A52C8" w:rsidRDefault="00DB539A" w:rsidP="00E8440A">
      <w:r>
        <w:t>Despite Plotinus’ contradictory view concerning freedom and fate, his apologetics for human agency is expressed in his response to Plato: ‘so what is left which is “we”? Surely, just that which we really are […] God gave us too, in the midst of all these evils which we receive through the body, “virtue who is no man’s slave”’.</w:t>
      </w:r>
      <w:r>
        <w:rPr>
          <w:vertAlign w:val="superscript"/>
        </w:rPr>
        <w:footnoteReference w:id="115"/>
      </w:r>
      <w:r>
        <w:t xml:space="preserve"> Plotinus exhorts the reader to fly away and get rid of what ‘has been added to us’ – namely, the body – and follow the upward motion of the soul, guided by Providence, </w:t>
      </w:r>
      <w:r w:rsidR="002924B2">
        <w:t>since</w:t>
      </w:r>
      <w:r>
        <w:t xml:space="preserve"> those who are bereft of this higher soul are bound to fate and influenced by the stars.</w:t>
      </w:r>
      <w:r>
        <w:rPr>
          <w:vertAlign w:val="superscript"/>
        </w:rPr>
        <w:footnoteReference w:id="116"/>
      </w:r>
      <w:r>
        <w:t xml:space="preserve"> In a sort of ‘weakened version of Ptolemaic astrology’ deprived of technical doctrines (Long),</w:t>
      </w:r>
      <w:r>
        <w:rPr>
          <w:vertAlign w:val="superscript"/>
        </w:rPr>
        <w:footnoteReference w:id="117"/>
      </w:r>
      <w:r>
        <w:t xml:space="preserve"> Plotinus accepts some planetary influence on matter and on the lowest parts of the human soul, but releases the higher part from the chains of fate. If, as Leroux argues, providential necessity is metaphysically compatible with freedom, then the rational soul is free to get rid of the bodily “addictions” and align with the (necessary) providential will.</w:t>
      </w:r>
    </w:p>
    <w:p w14:paraId="47B7130A" w14:textId="170B62F8" w:rsidR="00415C2E" w:rsidRDefault="00DB539A">
      <w:r>
        <w:t>Plotinus’ student Porphyry, who owed his thought’s development as much to Plato as to Plotinus, builds his ‘innovative’ (Johnson)</w:t>
      </w:r>
      <w:r>
        <w:rPr>
          <w:vertAlign w:val="superscript"/>
        </w:rPr>
        <w:footnoteReference w:id="118"/>
      </w:r>
      <w:r>
        <w:t xml:space="preserve"> defence of providence and human self-determination especially in his commentaries on Plato’s myth of Er preserved as fragments by Stobaeus.</w:t>
      </w:r>
      <w:r>
        <w:rPr>
          <w:vertAlign w:val="superscript"/>
        </w:rPr>
        <w:footnoteReference w:id="119"/>
      </w:r>
      <w:r>
        <w:t xml:space="preserve"> Porphyry’s issue concerning what could humans be in control of with ‘a </w:t>
      </w:r>
      <w:r>
        <w:rPr>
          <w:i/>
        </w:rPr>
        <w:t>daimon</w:t>
      </w:r>
      <w:r>
        <w:t xml:space="preserve"> accompanying them [the souls] and ensuring their fate’</w:t>
      </w:r>
      <w:r>
        <w:rPr>
          <w:vertAlign w:val="superscript"/>
        </w:rPr>
        <w:footnoteReference w:id="120"/>
      </w:r>
      <w:r>
        <w:t xml:space="preserve"> is centred on three elements present in Plato’s myth: Plato’s reference both to to life-forms (ζωές) and lives (βίοι); the ability of souls to choose their </w:t>
      </w:r>
      <w:r>
        <w:rPr>
          <w:i/>
        </w:rPr>
        <w:t xml:space="preserve">zōḗ </w:t>
      </w:r>
      <w:r>
        <w:t xml:space="preserve">and, in case of rational animals, also their </w:t>
      </w:r>
      <w:r>
        <w:rPr>
          <w:i/>
        </w:rPr>
        <w:t>bíos</w:t>
      </w:r>
      <w:r>
        <w:t xml:space="preserve">; the roles of the personal </w:t>
      </w:r>
      <w:r>
        <w:rPr>
          <w:i/>
        </w:rPr>
        <w:t>daimōn</w:t>
      </w:r>
      <w:r>
        <w:t xml:space="preserve"> and </w:t>
      </w:r>
      <w:r>
        <w:rPr>
          <w:i/>
        </w:rPr>
        <w:t>Anánkē</w:t>
      </w:r>
      <w:r>
        <w:t>.</w:t>
      </w:r>
      <w:r>
        <w:rPr>
          <w:vertAlign w:val="superscript"/>
        </w:rPr>
        <w:footnoteReference w:id="121"/>
      </w:r>
      <w:r>
        <w:t xml:space="preserve"> Porphyry is dealing with souls that have already incarnated, hence they are influenced by their former lives</w:t>
      </w:r>
      <w:r w:rsidR="002924B2">
        <w:t xml:space="preserve"> (</w:t>
      </w:r>
      <w:r>
        <w:t>Johnson</w:t>
      </w:r>
      <w:r w:rsidR="002924B2">
        <w:t>)</w:t>
      </w:r>
      <w:r>
        <w:t>;</w:t>
      </w:r>
      <w:r>
        <w:rPr>
          <w:vertAlign w:val="superscript"/>
        </w:rPr>
        <w:footnoteReference w:id="122"/>
      </w:r>
      <w:r>
        <w:t xml:space="preserve"> they first choose their life-forms – species and genders – and their decision is inevitably ratified by Necessity while ‘the </w:t>
      </w:r>
      <w:r>
        <w:rPr>
          <w:i/>
        </w:rPr>
        <w:t>daimon</w:t>
      </w:r>
      <w:r>
        <w:t xml:space="preserve"> attends to it, each </w:t>
      </w:r>
      <w:r>
        <w:rPr>
          <w:i/>
        </w:rPr>
        <w:t>daimon</w:t>
      </w:r>
      <w:r>
        <w:t xml:space="preserve"> serving […] as a guard and watcher over each life, binding each soul to abide in its chosen [life] and not to abandon it, and the Fates spin out this kind of life for each one’.</w:t>
      </w:r>
      <w:r>
        <w:rPr>
          <w:vertAlign w:val="superscript"/>
        </w:rPr>
        <w:footnoteReference w:id="123"/>
      </w:r>
      <w:r>
        <w:t xml:space="preserve"> Then, rational </w:t>
      </w:r>
      <w:r>
        <w:lastRenderedPageBreak/>
        <w:t>creatures with capacity for self-determination</w:t>
      </w:r>
      <w:r>
        <w:rPr>
          <w:vertAlign w:val="superscript"/>
        </w:rPr>
        <w:footnoteReference w:id="124"/>
      </w:r>
      <w:r>
        <w:t xml:space="preserve"> can proceed and choose the second kind of life, even though they have no power in deciding aspects such as their own family or bodily features—‘provided by nature or by chance’;</w:t>
      </w:r>
      <w:r>
        <w:rPr>
          <w:vertAlign w:val="superscript"/>
        </w:rPr>
        <w:footnoteReference w:id="125"/>
      </w:r>
      <w:r>
        <w:t xml:space="preserve"> yet, unless the ‘capacity for self-determination […] is stained by their previous life’ – such that even embodied human beings are affected by their disembodied soul’s inclinations</w:t>
      </w:r>
      <w:r>
        <w:rPr>
          <w:vertAlign w:val="superscript"/>
        </w:rPr>
        <w:footnoteReference w:id="126"/>
      </w:r>
      <w:r>
        <w:t xml:space="preserve"> – they are free to decide about their professions, skills and knowledge, although they are difficult to achieve for they also depend on the interaction with the outside world.</w:t>
      </w:r>
      <w:r>
        <w:rPr>
          <w:vertAlign w:val="superscript"/>
        </w:rPr>
        <w:footnoteReference w:id="127"/>
      </w:r>
      <w:r>
        <w:t xml:space="preserve"> Porphyry makes it clear that souls are theoretically free to determine their existence ‘if they maintain moderation and have not been reduced to vice’ and it is entirely up to them to live them in ‘a good or bad manner’</w:t>
      </w:r>
      <w:r w:rsidR="007C2A2E">
        <w:t>,</w:t>
      </w:r>
      <w:r>
        <w:rPr>
          <w:vertAlign w:val="superscript"/>
        </w:rPr>
        <w:footnoteReference w:id="128"/>
      </w:r>
      <w:r w:rsidR="007C2A2E">
        <w:t xml:space="preserve"> but after their choice they must necessarily fulfil ‘what is written’.</w:t>
      </w:r>
      <w:r w:rsidR="002A6B8F">
        <w:rPr>
          <w:rStyle w:val="Rimandonotaapidipagina"/>
        </w:rPr>
        <w:footnoteReference w:id="129"/>
      </w:r>
      <w:r>
        <w:t xml:space="preserve"> </w:t>
      </w:r>
      <w:r w:rsidR="003A52C8">
        <w:t>S</w:t>
      </w:r>
      <w:r>
        <w:t>ouls are free to resist or to accept the persuasiveness of sensible impressions</w:t>
      </w:r>
      <w:r w:rsidR="003A52C8">
        <w:t xml:space="preserve"> (Johnson),</w:t>
      </w:r>
      <w:r>
        <w:rPr>
          <w:vertAlign w:val="superscript"/>
        </w:rPr>
        <w:footnoteReference w:id="130"/>
      </w:r>
      <w:r>
        <w:t xml:space="preserve"> and this seems to apply both for embodied souls and for disembodied ones, which might still suffer from the influence of previous incarnations. Johnson summarises Porphyry’s contradictions: ‘a freedom of action, which is nonetheless restricted by one’s nature or by chance; a freedom of decision, which is nonetheless tainted by one’s inclination or impulse; a freedom of will, which is nonetheless active only in a manner appropriate to one’s constitution’.</w:t>
      </w:r>
      <w:r>
        <w:rPr>
          <w:vertAlign w:val="superscript"/>
        </w:rPr>
        <w:footnoteReference w:id="131"/>
      </w:r>
    </w:p>
    <w:p w14:paraId="0C44837F" w14:textId="2464AF5B" w:rsidR="00B10DA1" w:rsidRDefault="00DB539A">
      <w:r>
        <w:t>The solution proposed by Porphyry – ‘to flee excesses and to pursue the mean’</w:t>
      </w:r>
      <w:r>
        <w:rPr>
          <w:vertAlign w:val="superscript"/>
        </w:rPr>
        <w:footnoteReference w:id="132"/>
      </w:r>
      <w:r>
        <w:t xml:space="preserve"> – is </w:t>
      </w:r>
      <w:r w:rsidR="00A26FB4">
        <w:t>presented</w:t>
      </w:r>
      <w:r>
        <w:t xml:space="preserve"> in his </w:t>
      </w:r>
      <w:r>
        <w:rPr>
          <w:i/>
        </w:rPr>
        <w:t>Sententiae</w:t>
      </w:r>
      <w:r>
        <w:t>,</w:t>
      </w:r>
      <w:r>
        <w:rPr>
          <w:vertAlign w:val="superscript"/>
        </w:rPr>
        <w:footnoteReference w:id="133"/>
      </w:r>
      <w:r>
        <w:t xml:space="preserve"> in which he organises a ‘soteriological system’</w:t>
      </w:r>
      <w:r w:rsidR="003A52C8">
        <w:t xml:space="preserve"> (</w:t>
      </w:r>
      <w:r>
        <w:t>Simmons</w:t>
      </w:r>
      <w:r w:rsidR="003A52C8">
        <w:t>)</w:t>
      </w:r>
      <w:r>
        <w:t>,</w:t>
      </w:r>
      <w:r>
        <w:rPr>
          <w:vertAlign w:val="superscript"/>
        </w:rPr>
        <w:footnoteReference w:id="134"/>
      </w:r>
      <w:r>
        <w:t xml:space="preserve"> involv</w:t>
      </w:r>
      <w:r w:rsidR="003A52C8">
        <w:t>ing</w:t>
      </w:r>
      <w:r>
        <w:t xml:space="preserve"> four levels of virtues – political, cathartic, intellectual, paradigmatic</w:t>
      </w:r>
      <w:r>
        <w:rPr>
          <w:vertAlign w:val="superscript"/>
        </w:rPr>
        <w:footnoteReference w:id="135"/>
      </w:r>
      <w:r>
        <w:t xml:space="preserve"> – leading to a first ethical-civic-religious lifestyle for the masses, to further steps involving purification from passions </w:t>
      </w:r>
      <w:r w:rsidR="003A52C8">
        <w:t>through</w:t>
      </w:r>
      <w:r>
        <w:t xml:space="preserve"> contemplation f</w:t>
      </w:r>
      <w:r w:rsidR="003A52C8">
        <w:t>or</w:t>
      </w:r>
      <w:r>
        <w:t xml:space="preserve"> the novice philosopher, up until the complete separation from the sensible world of the soul residing in the </w:t>
      </w:r>
      <w:r>
        <w:rPr>
          <w:i/>
        </w:rPr>
        <w:t>Nous</w:t>
      </w:r>
      <w:r>
        <w:t>, accomplished by the mature Neoplatonic philosopher, the real free man.</w:t>
      </w:r>
      <w:r>
        <w:rPr>
          <w:vertAlign w:val="superscript"/>
        </w:rPr>
        <w:footnoteReference w:id="136"/>
      </w:r>
      <w:r>
        <w:t xml:space="preserve"> This soteriological ladder is indeed theurgy, a practice aimed at the union with god</w:t>
      </w:r>
      <w:r>
        <w:rPr>
          <w:vertAlign w:val="superscript"/>
        </w:rPr>
        <w:footnoteReference w:id="137"/>
      </w:r>
      <w:r>
        <w:t xml:space="preserve"> that, Shaw confirms, is considered by Porphyry useful to purify the lower soul.</w:t>
      </w:r>
      <w:r>
        <w:rPr>
          <w:vertAlign w:val="superscript"/>
        </w:rPr>
        <w:footnoteReference w:id="138"/>
      </w:r>
      <w:r>
        <w:t xml:space="preserve"> Yet, Porphyry, believes that the way to dissolve the chains of </w:t>
      </w:r>
      <w:r>
        <w:rPr>
          <w:i/>
        </w:rPr>
        <w:t>heimarménē</w:t>
      </w:r>
      <w:r>
        <w:t xml:space="preserve"> </w:t>
      </w:r>
      <w:r w:rsidR="00E8440A">
        <w:t>i</w:t>
      </w:r>
      <w:r>
        <w:t xml:space="preserve">s through astrology, and especially ‘through the wisdom and virtue </w:t>
      </w:r>
      <w:r>
        <w:lastRenderedPageBreak/>
        <w:t>obtained from knowing the personal daimon’</w:t>
      </w:r>
      <w:r>
        <w:rPr>
          <w:vertAlign w:val="superscript"/>
        </w:rPr>
        <w:footnoteReference w:id="139"/>
      </w:r>
      <w:r>
        <w:t xml:space="preserve">—as Greenbaum highlights, explaining that his own theurgy </w:t>
      </w:r>
      <w:r w:rsidR="00574CED">
        <w:t>i</w:t>
      </w:r>
      <w:r>
        <w:t xml:space="preserve">s indeed astrological and aimed at finding the </w:t>
      </w:r>
      <w:r>
        <w:rPr>
          <w:i/>
        </w:rPr>
        <w:t>oikodespotēs</w:t>
      </w:r>
      <w:r w:rsidR="00574CED">
        <w:t xml:space="preserve">, </w:t>
      </w:r>
      <w:r>
        <w:t xml:space="preserve">the ‘house-master’ identified by Porphyry as the personal </w:t>
      </w:r>
      <w:r>
        <w:rPr>
          <w:i/>
        </w:rPr>
        <w:t>daimōn</w:t>
      </w:r>
      <w:r>
        <w:rPr>
          <w:vertAlign w:val="superscript"/>
        </w:rPr>
        <w:footnoteReference w:id="140"/>
      </w:r>
      <w:r>
        <w:t xml:space="preserve"> governing the soul.</w:t>
      </w:r>
      <w:r>
        <w:rPr>
          <w:vertAlign w:val="superscript"/>
        </w:rPr>
        <w:footnoteReference w:id="141"/>
      </w:r>
      <w:r>
        <w:t xml:space="preserve"> </w:t>
      </w:r>
    </w:p>
    <w:p w14:paraId="556238E7" w14:textId="68DD48F3" w:rsidR="00415C2E" w:rsidRDefault="00DB539A">
      <w:r>
        <w:t xml:space="preserve">Written almost as an outpouring of doubts and existential enquiries </w:t>
      </w:r>
      <w:r w:rsidR="00574CED">
        <w:t>seeking</w:t>
      </w:r>
      <w:r>
        <w:t xml:space="preserve"> answer</w:t>
      </w:r>
      <w:r w:rsidR="00574CED">
        <w:t>s</w:t>
      </w:r>
      <w:r>
        <w:t xml:space="preserve">, Porphyry’s provocative </w:t>
      </w:r>
      <w:r>
        <w:rPr>
          <w:i/>
        </w:rPr>
        <w:t>Letter to Anebo</w:t>
      </w:r>
      <w:r>
        <w:t xml:space="preserve"> raises several issues concerning the relationship between humans and Gods, stars and demons. ‘Concerning the peculiar daemon’, he writes, ‘it must be inquired how he is imparted by the lord of geniture</w:t>
      </w:r>
      <w:r w:rsidR="00574CED">
        <w:t>’, for</w:t>
      </w:r>
      <w:r>
        <w:t xml:space="preserve"> </w:t>
      </w:r>
      <w:r w:rsidR="00574CED">
        <w:t>‘</w:t>
      </w:r>
      <w:r>
        <w:t>he is happy, who having learned the scheme of his nativity, and knowing his proper daemon, becomes liberated from fate’.</w:t>
      </w:r>
      <w:r>
        <w:rPr>
          <w:vertAlign w:val="superscript"/>
        </w:rPr>
        <w:footnoteReference w:id="142"/>
      </w:r>
      <w:r>
        <w:t xml:space="preserve"> Explicitly, Porphyry believes in the soteriological function of astrology to determine the ‘astrological analogue’ (Greenbaum)</w:t>
      </w:r>
      <w:r>
        <w:rPr>
          <w:vertAlign w:val="superscript"/>
        </w:rPr>
        <w:footnoteReference w:id="143"/>
      </w:r>
      <w:r>
        <w:t xml:space="preserve"> of the personal </w:t>
      </w:r>
      <w:r>
        <w:rPr>
          <w:i/>
        </w:rPr>
        <w:t>daimōn</w:t>
      </w:r>
      <w:r>
        <w:t>, whose guidance, aligned to providence, guarantees freedom.</w:t>
      </w:r>
    </w:p>
    <w:p w14:paraId="342DE0B1" w14:textId="4A5DAC56" w:rsidR="00415C2E" w:rsidRDefault="00DB539A">
      <w:r>
        <w:t xml:space="preserve">The enquiries posed by Porphyry are discussed by Iamblichus in his </w:t>
      </w:r>
      <w:r>
        <w:rPr>
          <w:i/>
        </w:rPr>
        <w:t>De mysteriis</w:t>
      </w:r>
      <w:r>
        <w:t>. He asserts that ‘the gods free us from fate’, yet ‘the lowest level of nature […] do bring about fate’; it is therefore necessary to worship the gods so that ‘they may free us from the evils that lie in wait for us from fate’.</w:t>
      </w:r>
      <w:r>
        <w:rPr>
          <w:vertAlign w:val="superscript"/>
        </w:rPr>
        <w:footnoteReference w:id="144"/>
      </w:r>
      <w:r>
        <w:t xml:space="preserve"> Unsatisfied with the ‘computation of tablets’ and the horoscopes</w:t>
      </w:r>
      <w:r>
        <w:rPr>
          <w:vertAlign w:val="superscript"/>
        </w:rPr>
        <w:footnoteReference w:id="145"/>
      </w:r>
      <w:r>
        <w:t xml:space="preserve"> of astrologers who ‘know nothing of the truth’,</w:t>
      </w:r>
      <w:r>
        <w:rPr>
          <w:vertAlign w:val="superscript"/>
        </w:rPr>
        <w:footnoteReference w:id="146"/>
      </w:r>
      <w:r>
        <w:t xml:space="preserve"> Iamblichus does acknowledge ‘the truth of this science’</w:t>
      </w:r>
      <w:r>
        <w:rPr>
          <w:vertAlign w:val="superscript"/>
        </w:rPr>
        <w:footnoteReference w:id="147"/>
      </w:r>
      <w:r>
        <w:t xml:space="preserve"> but maintains that ‘sacred theurgy’ is the only way to ‘establish a god as the overseer and leader of our soul’</w:t>
      </w:r>
      <w:r>
        <w:rPr>
          <w:vertAlign w:val="superscript"/>
        </w:rPr>
        <w:footnoteReference w:id="148"/>
      </w:r>
      <w:r>
        <w:t xml:space="preserve"> as well as </w:t>
      </w:r>
      <w:r w:rsidR="00E80055">
        <w:t>to</w:t>
      </w:r>
      <w:r>
        <w:t xml:space="preserve"> identif</w:t>
      </w:r>
      <w:r w:rsidR="00E80055">
        <w:t>y</w:t>
      </w:r>
      <w:r>
        <w:t xml:space="preserve"> the lord of geniture.</w:t>
      </w:r>
      <w:r>
        <w:rPr>
          <w:vertAlign w:val="superscript"/>
        </w:rPr>
        <w:footnoteReference w:id="149"/>
      </w:r>
      <w:r>
        <w:t xml:space="preserve"> In conclusion, Iamblichus considers theurgy as </w:t>
      </w:r>
      <w:r w:rsidR="00E80055">
        <w:t>the only</w:t>
      </w:r>
      <w:r>
        <w:t xml:space="preserve"> rite allowing souls, for him completely incarnated,</w:t>
      </w:r>
      <w:r>
        <w:rPr>
          <w:vertAlign w:val="superscript"/>
        </w:rPr>
        <w:footnoteReference w:id="150"/>
      </w:r>
      <w:r>
        <w:t xml:space="preserve"> to be liberated from matter and </w:t>
      </w:r>
      <w:r>
        <w:rPr>
          <w:i/>
        </w:rPr>
        <w:t>heimarménē</w:t>
      </w:r>
      <w:r>
        <w:t>.</w:t>
      </w:r>
    </w:p>
    <w:p w14:paraId="5F11B9EB" w14:textId="77777777" w:rsidR="00415C2E" w:rsidRDefault="00415C2E"/>
    <w:p w14:paraId="4616617C" w14:textId="4B12B198" w:rsidR="00415C2E" w:rsidRDefault="00DB539A">
      <w:pPr>
        <w:ind w:firstLine="708"/>
        <w:rPr>
          <w:i/>
        </w:rPr>
      </w:pPr>
      <w:r>
        <w:rPr>
          <w:i/>
        </w:rPr>
        <w:t>Astrologers in the IV century: Firmicus Maternus, Paulus Alexandrinus, Anony</w:t>
      </w:r>
      <w:r w:rsidR="006B48A0">
        <w:rPr>
          <w:i/>
        </w:rPr>
        <w:t>m</w:t>
      </w:r>
      <w:r>
        <w:rPr>
          <w:i/>
        </w:rPr>
        <w:t>ous of 379</w:t>
      </w:r>
    </w:p>
    <w:p w14:paraId="03A3568C" w14:textId="2AE07386" w:rsidR="00900547" w:rsidRDefault="00DB539A" w:rsidP="00005E4D">
      <w:r>
        <w:t>The Roman astrologer Firmicus Maternus is the author of ‘the summation of the trends of the fourth century’ (Rhys Bram),</w:t>
      </w:r>
      <w:r>
        <w:rPr>
          <w:vertAlign w:val="superscript"/>
        </w:rPr>
        <w:footnoteReference w:id="151"/>
      </w:r>
      <w:r>
        <w:t xml:space="preserve"> the</w:t>
      </w:r>
      <w:r>
        <w:rPr>
          <w:i/>
        </w:rPr>
        <w:t xml:space="preserve"> Matheseos</w:t>
      </w:r>
      <w:r>
        <w:t>,</w:t>
      </w:r>
      <w:r w:rsidR="00E95E2B">
        <w:t xml:space="preserve"> </w:t>
      </w:r>
      <w:r>
        <w:t>between 334-337 and 355</w:t>
      </w:r>
      <w:r>
        <w:rPr>
          <w:vertAlign w:val="superscript"/>
        </w:rPr>
        <w:footnoteReference w:id="152"/>
      </w:r>
      <w:r>
        <w:t xml:space="preserve"> </w:t>
      </w:r>
      <w:r w:rsidR="00B10DA1">
        <w:t>and one of the first astrolog</w:t>
      </w:r>
      <w:r w:rsidR="002E27F8">
        <w:t>ers</w:t>
      </w:r>
      <w:r w:rsidR="00B10DA1">
        <w:t xml:space="preserve"> in a Christian empire (Edwards).</w:t>
      </w:r>
      <w:r w:rsidR="00B10DA1">
        <w:rPr>
          <w:rStyle w:val="Rimandonotaapidipagina"/>
        </w:rPr>
        <w:footnoteReference w:id="153"/>
      </w:r>
      <w:r w:rsidR="00B10DA1">
        <w:t xml:space="preserve"> </w:t>
      </w:r>
      <w:r>
        <w:t xml:space="preserve">In the first book, Firmicus defends </w:t>
      </w:r>
      <w:r w:rsidR="00E95E2B">
        <w:t>astrology as a science</w:t>
      </w:r>
      <w:r>
        <w:t xml:space="preserve"> based on ‘divine skills’ handed down by the divine Mind in forms ‘hard to understand’.</w:t>
      </w:r>
      <w:r>
        <w:rPr>
          <w:vertAlign w:val="superscript"/>
        </w:rPr>
        <w:footnoteReference w:id="154"/>
      </w:r>
      <w:r>
        <w:t xml:space="preserve"> Criticising Plotinus and the idea of human freedom</w:t>
      </w:r>
      <w:r>
        <w:rPr>
          <w:vertAlign w:val="superscript"/>
        </w:rPr>
        <w:footnoteReference w:id="155"/>
      </w:r>
      <w:r>
        <w:t xml:space="preserve"> – </w:t>
      </w:r>
      <w:r w:rsidR="002F7045">
        <w:t xml:space="preserve">Firmicus </w:t>
      </w:r>
      <w:r w:rsidR="002F7045">
        <w:lastRenderedPageBreak/>
        <w:t>describes his</w:t>
      </w:r>
      <w:r>
        <w:t xml:space="preserve"> ‘polluted blood’ and ‘creeping sickness’ so that even he has to realise ‘the power of Fate’ and ‘the fiery judgment of the stars’</w:t>
      </w:r>
      <w:r>
        <w:rPr>
          <w:vertAlign w:val="superscript"/>
        </w:rPr>
        <w:footnoteReference w:id="156"/>
      </w:r>
      <w:r>
        <w:t xml:space="preserve"> – </w:t>
      </w:r>
      <w:r w:rsidR="002F7045">
        <w:t>Maternus</w:t>
      </w:r>
      <w:r>
        <w:t xml:space="preserve"> </w:t>
      </w:r>
      <w:r w:rsidR="00E95E2B">
        <w:t>claims</w:t>
      </w:r>
      <w:r>
        <w:t xml:space="preserve"> that ‘our shapes, our character, and our personalities are given us by none other than the constant motion of planets’,</w:t>
      </w:r>
      <w:r>
        <w:rPr>
          <w:vertAlign w:val="superscript"/>
        </w:rPr>
        <w:footnoteReference w:id="157"/>
      </w:r>
      <w:r>
        <w:t xml:space="preserve"> animated by divine wisdom and reason and aligned with God’s will.</w:t>
      </w:r>
      <w:r>
        <w:rPr>
          <w:vertAlign w:val="superscript"/>
        </w:rPr>
        <w:footnoteReference w:id="158"/>
      </w:r>
      <w:r>
        <w:t xml:space="preserve"> Therefore, he argues, astrology is not profane, but fostered by the worship of the gods</w:t>
      </w:r>
      <w:r w:rsidR="00E95E2B">
        <w:t>,</w:t>
      </w:r>
      <w:r>
        <w:t xml:space="preserve"> linked to us ‘through the stars’.</w:t>
      </w:r>
      <w:r w:rsidR="00E95E2B">
        <w:rPr>
          <w:rStyle w:val="Rimandonotaapidipagina"/>
        </w:rPr>
        <w:footnoteReference w:id="159"/>
      </w:r>
      <w:r w:rsidR="00A32D29">
        <w:t xml:space="preserve"> </w:t>
      </w:r>
      <w:r>
        <w:t>The veneration of the celestial gods is</w:t>
      </w:r>
      <w:r w:rsidR="00722275">
        <w:t xml:space="preserve">, thus, </w:t>
      </w:r>
      <w:r>
        <w:t>essential to be mindful of human</w:t>
      </w:r>
      <w:r w:rsidR="00722275">
        <w:t>s</w:t>
      </w:r>
      <w:r>
        <w:t>’</w:t>
      </w:r>
      <w:r w:rsidR="00722275">
        <w:t xml:space="preserve"> </w:t>
      </w:r>
      <w:r>
        <w:t>divine nature and to ‘resist in some part the hostile decrees of the stars’.</w:t>
      </w:r>
      <w:r>
        <w:rPr>
          <w:vertAlign w:val="superscript"/>
        </w:rPr>
        <w:footnoteReference w:id="160"/>
      </w:r>
      <w:r>
        <w:t xml:space="preserve"> Firmicus claims that everything </w:t>
      </w:r>
      <w:r w:rsidR="00722275">
        <w:t>we</w:t>
      </w:r>
      <w:r>
        <w:t xml:space="preserve"> experience is caused by ‘Fatal Necessity’,</w:t>
      </w:r>
      <w:r>
        <w:rPr>
          <w:vertAlign w:val="superscript"/>
        </w:rPr>
        <w:footnoteReference w:id="161"/>
      </w:r>
      <w:r>
        <w:t xml:space="preserve"> by the planets ‘that goad us with fiery stings’ and </w:t>
      </w:r>
      <w:r w:rsidR="00722275">
        <w:t xml:space="preserve">by </w:t>
      </w:r>
      <w:r>
        <w:t>the divine Soul in order to ‘cleanse the destructive vices of the body’.</w:t>
      </w:r>
      <w:r>
        <w:rPr>
          <w:vertAlign w:val="superscript"/>
        </w:rPr>
        <w:footnoteReference w:id="162"/>
      </w:r>
      <w:r>
        <w:t xml:space="preserve"> Far not only from Plotinus, but also from Porphyry’s ‘soft astrology’, Firmicus is an </w:t>
      </w:r>
      <w:r w:rsidR="00904335">
        <w:t>example</w:t>
      </w:r>
      <w:r>
        <w:t xml:space="preserve"> of </w:t>
      </w:r>
      <w:r w:rsidR="009F3C4F">
        <w:t xml:space="preserve">astral </w:t>
      </w:r>
      <w:r>
        <w:t>determinis</w:t>
      </w:r>
      <w:r w:rsidR="009F3C4F">
        <w:t>m</w:t>
      </w:r>
      <w:r>
        <w:t xml:space="preserve">, modeled on the Stoic thought in which everything is subject to the law of </w:t>
      </w:r>
      <w:r>
        <w:rPr>
          <w:i/>
        </w:rPr>
        <w:t>heimarménē</w:t>
      </w:r>
      <w:r w:rsidR="009F3C4F">
        <w:t>, and still after his conversion to Christianity, he considered the stars as of ‘immense importance in the administration of the universe’ (Thorndike)</w:t>
      </w:r>
      <w:r w:rsidR="004F2DE2">
        <w:t>.</w:t>
      </w:r>
      <w:r w:rsidR="009F3C4F">
        <w:rPr>
          <w:rStyle w:val="Rimandonotaapidipagina"/>
        </w:rPr>
        <w:footnoteReference w:id="163"/>
      </w:r>
    </w:p>
    <w:p w14:paraId="3154A998" w14:textId="6D0B8D3C" w:rsidR="000705CC" w:rsidRDefault="00DB539A" w:rsidP="00D125D3">
      <w:r>
        <w:t xml:space="preserve">At the time Paulus Alexandrinus writes his </w:t>
      </w:r>
      <w:r>
        <w:rPr>
          <w:i/>
        </w:rPr>
        <w:t>Introduction</w:t>
      </w:r>
      <w:r>
        <w:t xml:space="preserve"> (378</w:t>
      </w:r>
      <w:r>
        <w:rPr>
          <w:smallCaps/>
        </w:rPr>
        <w:t>ce</w:t>
      </w:r>
      <w:r>
        <w:t>),</w:t>
      </w:r>
      <w:r>
        <w:rPr>
          <w:vertAlign w:val="superscript"/>
        </w:rPr>
        <w:footnoteReference w:id="164"/>
      </w:r>
      <w:r>
        <w:t xml:space="preserve"> he is plausibly well-known and ‘knowledgeable enough to write a beginning textbook for would-be astrologers’ (Greenbaum).</w:t>
      </w:r>
      <w:r>
        <w:rPr>
          <w:vertAlign w:val="superscript"/>
        </w:rPr>
        <w:footnoteReference w:id="165"/>
      </w:r>
      <w:r>
        <w:t xml:space="preserve"> Given the</w:t>
      </w:r>
      <w:r w:rsidR="00DF2621">
        <w:t xml:space="preserve"> </w:t>
      </w:r>
      <w:r w:rsidR="004B170E">
        <w:t xml:space="preserve">text’s </w:t>
      </w:r>
      <w:r>
        <w:t xml:space="preserve">audience and genre, Paulus </w:t>
      </w:r>
      <w:r w:rsidR="00DF2621">
        <w:t>evades</w:t>
      </w:r>
      <w:r>
        <w:t xml:space="preserve"> </w:t>
      </w:r>
      <w:r w:rsidR="00DB5CFF">
        <w:t>fatalistic</w:t>
      </w:r>
      <w:r>
        <w:t xml:space="preserve"> debates and his vocabulary simply includes verbs reflecting his belief in a certain degree of causation as one would expect from any astrologer</w:t>
      </w:r>
      <w:r w:rsidR="009B3D0C">
        <w:t xml:space="preserve"> –</w:t>
      </w:r>
      <w:r>
        <w:t xml:space="preserve"> “to provide”, “ to bring about”, “to be/become a cause of”</w:t>
      </w:r>
      <w:r w:rsidR="009B3D0C">
        <w:t xml:space="preserve"> – </w:t>
      </w:r>
      <w:r>
        <w:t xml:space="preserve">when </w:t>
      </w:r>
      <w:r w:rsidR="009B3D0C">
        <w:t>addressing</w:t>
      </w:r>
      <w:r>
        <w:t xml:space="preserve"> </w:t>
      </w:r>
      <w:r w:rsidR="00DB5CFF">
        <w:t>planetary influences</w:t>
      </w:r>
      <w:r w:rsidR="00865545">
        <w:t>; since</w:t>
      </w:r>
      <w:r w:rsidR="00F52BD7">
        <w:t xml:space="preserve"> </w:t>
      </w:r>
      <w:r w:rsidR="00865545">
        <w:t>astrological text</w:t>
      </w:r>
      <w:r w:rsidR="00253D18">
        <w:t>s</w:t>
      </w:r>
      <w:r w:rsidR="00865545">
        <w:t xml:space="preserve"> often use interchangeably </w:t>
      </w:r>
      <w:r w:rsidR="00253D18">
        <w:t>terms alluding to a causal or a semiotic character of astral configurations</w:t>
      </w:r>
      <w:r w:rsidR="00F52BD7">
        <w:t xml:space="preserve"> (Lawrence; Greenbaum),</w:t>
      </w:r>
      <w:r w:rsidR="00253D18">
        <w:rPr>
          <w:rStyle w:val="Rimandonotaapidipagina"/>
        </w:rPr>
        <w:footnoteReference w:id="166"/>
      </w:r>
      <w:r w:rsidR="00253D18">
        <w:t xml:space="preserve"> </w:t>
      </w:r>
      <w:r w:rsidR="00F52BD7">
        <w:t>it</w:t>
      </w:r>
      <w:r w:rsidR="00791B76">
        <w:t xml:space="preserve"> </w:t>
      </w:r>
      <w:r w:rsidR="00F52BD7">
        <w:t>is difficult to asse</w:t>
      </w:r>
      <w:r w:rsidR="00791B76">
        <w:t>s</w:t>
      </w:r>
      <w:r w:rsidR="00F52BD7">
        <w:t>s Paulus’ theory of fate</w:t>
      </w:r>
      <w:r w:rsidR="001D3A55">
        <w:t xml:space="preserve">, even though he conceives </w:t>
      </w:r>
      <w:r w:rsidR="001D3A55">
        <w:rPr>
          <w:i/>
        </w:rPr>
        <w:t>oikodespotēs</w:t>
      </w:r>
      <w:r w:rsidR="001D3A55">
        <w:rPr>
          <w:iCs/>
        </w:rPr>
        <w:t xml:space="preserve"> as responsible for the length of life.</w:t>
      </w:r>
      <w:r w:rsidR="001D3A55">
        <w:rPr>
          <w:rStyle w:val="Rimandonotaapidipagina"/>
          <w:iCs/>
        </w:rPr>
        <w:footnoteReference w:id="167"/>
      </w:r>
      <w:r w:rsidR="000427B8">
        <w:rPr>
          <w:iCs/>
        </w:rPr>
        <w:t xml:space="preserve"> </w:t>
      </w:r>
      <w:r w:rsidR="001D3A55">
        <w:t xml:space="preserve">In his view, </w:t>
      </w:r>
      <w:r>
        <w:t xml:space="preserve">the </w:t>
      </w:r>
      <w:r>
        <w:rPr>
          <w:i/>
        </w:rPr>
        <w:t>hōroskópos</w:t>
      </w:r>
      <w:r w:rsidR="000427B8">
        <w:t xml:space="preserve"> (</w:t>
      </w:r>
      <w:r>
        <w:t>the ascendant degree</w:t>
      </w:r>
      <w:r w:rsidR="000427B8">
        <w:t>)</w:t>
      </w:r>
      <w:r>
        <w:t>, is ‘set as the foundation of the whole cosmos’</w:t>
      </w:r>
      <w:r w:rsidR="00FB39CF">
        <w:t>,</w:t>
      </w:r>
      <w:r w:rsidR="006D103E">
        <w:t xml:space="preserve"> ‘responsible for life and breath’, ‘the indicator of the whole’,</w:t>
      </w:r>
      <w:r>
        <w:rPr>
          <w:vertAlign w:val="superscript"/>
        </w:rPr>
        <w:footnoteReference w:id="168"/>
      </w:r>
      <w:r w:rsidR="00FB39CF">
        <w:t xml:space="preserve"> </w:t>
      </w:r>
      <w:r w:rsidR="00A05F06">
        <w:t>akin</w:t>
      </w:r>
      <w:r>
        <w:t xml:space="preserve"> to </w:t>
      </w:r>
      <w:r w:rsidR="00FB39CF">
        <w:t xml:space="preserve">Porphyry’s comment of </w:t>
      </w:r>
      <w:r w:rsidR="00A05F06">
        <w:t>Plato’s</w:t>
      </w:r>
      <w:r w:rsidR="00FB39CF">
        <w:t xml:space="preserve"> myth of Er: depending on their internal arrangements, ‘the souls are being delivered to the ascendants and to the lives that the aspects signify’, since ‘they have chosen the things that are intersecting in the revolution at the point of time of the ascendant’s rising’.</w:t>
      </w:r>
      <w:r w:rsidR="00FB39CF">
        <w:rPr>
          <w:rStyle w:val="Rimandonotaapidipagina"/>
        </w:rPr>
        <w:footnoteReference w:id="169"/>
      </w:r>
    </w:p>
    <w:p w14:paraId="2F8A604B" w14:textId="14C1DF42" w:rsidR="009805B2" w:rsidRDefault="00706413" w:rsidP="006E72E8">
      <w:pPr>
        <w:rPr>
          <w:rFonts w:cstheme="majorHAnsi"/>
        </w:rPr>
      </w:pPr>
      <w:r>
        <w:lastRenderedPageBreak/>
        <w:t xml:space="preserve">Contemporary to Paulus is the anonymous author of the </w:t>
      </w:r>
      <w:r>
        <w:rPr>
          <w:i/>
          <w:iCs/>
        </w:rPr>
        <w:t>Treatise on the Bright Fixed Stars</w:t>
      </w:r>
      <w:r>
        <w:t xml:space="preserve"> (379</w:t>
      </w:r>
      <w:r>
        <w:rPr>
          <w:smallCaps/>
        </w:rPr>
        <w:t>ce)</w:t>
      </w:r>
      <w:r w:rsidR="0047500C">
        <w:rPr>
          <w:smallCaps/>
        </w:rPr>
        <w:t>,</w:t>
      </w:r>
      <w:r w:rsidR="004C0087">
        <w:rPr>
          <w:rStyle w:val="Rimandonotaapidipagina"/>
          <w:smallCaps/>
        </w:rPr>
        <w:footnoteReference w:id="170"/>
      </w:r>
      <w:r w:rsidR="004C150F">
        <w:t xml:space="preserve"> </w:t>
      </w:r>
      <w:r w:rsidR="0009248A">
        <w:t>composed in Rome</w:t>
      </w:r>
      <w:r w:rsidR="0047500C">
        <w:t xml:space="preserve"> </w:t>
      </w:r>
      <w:r w:rsidR="00686052">
        <w:t>under</w:t>
      </w:r>
      <w:r w:rsidR="0047500C">
        <w:t xml:space="preserve"> </w:t>
      </w:r>
      <w:r w:rsidR="00F3740E">
        <w:t xml:space="preserve">Quintus Clodius Hermogeniaus </w:t>
      </w:r>
      <w:r w:rsidR="0047500C">
        <w:t xml:space="preserve">Olybrius and </w:t>
      </w:r>
      <w:r w:rsidR="00F3740E">
        <w:t xml:space="preserve">Decimus Magnus </w:t>
      </w:r>
      <w:r w:rsidR="0047500C">
        <w:t>Ausonius</w:t>
      </w:r>
      <w:r w:rsidR="00F3740E">
        <w:t>, who shared the consulship in 379</w:t>
      </w:r>
      <w:r w:rsidR="0009248A">
        <w:t>.</w:t>
      </w:r>
      <w:r w:rsidR="00B577EB">
        <w:rPr>
          <w:rStyle w:val="Rimandonotaapidipagina"/>
        </w:rPr>
        <w:footnoteReference w:id="171"/>
      </w:r>
      <w:r w:rsidR="000A633B">
        <w:t xml:space="preserve"> </w:t>
      </w:r>
      <w:r w:rsidR="00AC289E">
        <w:t>Similarly</w:t>
      </w:r>
      <w:r w:rsidR="00CB7C9A">
        <w:t xml:space="preserve"> to Paulus, </w:t>
      </w:r>
      <w:r w:rsidR="00AC289E">
        <w:t xml:space="preserve">the lack of an explicit discussion concerning the weight of planetary influence on human </w:t>
      </w:r>
      <w:r w:rsidR="00686052">
        <w:t>affairs</w:t>
      </w:r>
      <w:r w:rsidR="00AC289E">
        <w:t xml:space="preserve"> prevents a definite evaluation of his thought. He, too, employs a terminology alluding to astral determinism – “this will produce”, “</w:t>
      </w:r>
      <w:r w:rsidR="00FB4056">
        <w:t xml:space="preserve">it </w:t>
      </w:r>
      <w:r w:rsidR="00AC289E">
        <w:t>is capable of”, “it effects”, “</w:t>
      </w:r>
      <w:r w:rsidR="006A06CA">
        <w:t xml:space="preserve">they </w:t>
      </w:r>
      <w:r w:rsidR="00AC289E">
        <w:t xml:space="preserve">cause” – but the same </w:t>
      </w:r>
      <w:r w:rsidR="000227F1">
        <w:t xml:space="preserve">semantic </w:t>
      </w:r>
      <w:r w:rsidR="00E8646C">
        <w:t xml:space="preserve">argument put forth by Lawrence and Greenbaum </w:t>
      </w:r>
      <w:r w:rsidR="000227F1">
        <w:t xml:space="preserve">with Paulus </w:t>
      </w:r>
      <w:r w:rsidR="00E8646C">
        <w:t xml:space="preserve">can be applied </w:t>
      </w:r>
      <w:r w:rsidR="000227F1">
        <w:t>here</w:t>
      </w:r>
      <w:r w:rsidR="00E8646C">
        <w:t>.</w:t>
      </w:r>
      <w:r w:rsidR="00E8646C">
        <w:rPr>
          <w:rStyle w:val="Rimandonotaapidipagina"/>
        </w:rPr>
        <w:footnoteReference w:id="172"/>
      </w:r>
      <w:r w:rsidR="000227F1">
        <w:t xml:space="preserve"> The title of the </w:t>
      </w:r>
      <w:r w:rsidR="002A5711">
        <w:t xml:space="preserve">treatise’s </w:t>
      </w:r>
      <w:r w:rsidR="000227F1">
        <w:t xml:space="preserve">first part </w:t>
      </w:r>
      <w:r w:rsidR="002A5711">
        <w:t xml:space="preserve">might indicate </w:t>
      </w:r>
      <w:r w:rsidR="00770D50">
        <w:t>planetary determinism</w:t>
      </w:r>
      <w:r w:rsidR="000227F1">
        <w:t>: ‘Astrological Effects [</w:t>
      </w:r>
      <w:r w:rsidR="00C01E96" w:rsidRPr="00C01E96">
        <w:rPr>
          <w:i/>
          <w:iCs/>
        </w:rPr>
        <w:t>᾿</w:t>
      </w:r>
      <w:r w:rsidR="00C01E96" w:rsidRPr="00C01E96">
        <w:t>αποτελέσματα</w:t>
      </w:r>
      <w:r w:rsidR="000227F1">
        <w:t>] of the Occupancy of the Non-wandering Stars’,</w:t>
      </w:r>
      <w:r w:rsidR="00374B17">
        <w:rPr>
          <w:rStyle w:val="Rimandonotaapidipagina"/>
        </w:rPr>
        <w:footnoteReference w:id="173"/>
      </w:r>
      <w:r w:rsidR="000227F1">
        <w:t xml:space="preserve"> in which</w:t>
      </w:r>
      <w:r w:rsidR="00BB56B6">
        <w:t xml:space="preserve"> </w:t>
      </w:r>
      <w:r w:rsidR="00686052" w:rsidRPr="00514B1F">
        <w:t xml:space="preserve">ἀποτέλεσμα </w:t>
      </w:r>
      <w:r w:rsidR="00BB56B6">
        <w:t>is an a</w:t>
      </w:r>
      <w:r w:rsidR="00BB56B6" w:rsidRPr="00BB56B6">
        <w:t>strolog</w:t>
      </w:r>
      <w:r w:rsidR="00BB56B6">
        <w:t>ical</w:t>
      </w:r>
      <w:r w:rsidR="00BB56B6" w:rsidRPr="00BB56B6">
        <w:t xml:space="preserve"> term</w:t>
      </w:r>
      <w:r w:rsidR="00BB56B6">
        <w:t xml:space="preserve"> indicating ‘</w:t>
      </w:r>
      <w:r w:rsidR="00BB56B6" w:rsidRPr="00BB56B6">
        <w:t>the result of certain positions of the stars on human destiny</w:t>
      </w:r>
      <w:r w:rsidR="00BB56B6">
        <w:t>’ (Liddell-Scott)</w:t>
      </w:r>
      <w:r w:rsidR="00514B1F">
        <w:t>.</w:t>
      </w:r>
      <w:r w:rsidR="00BB56B6">
        <w:rPr>
          <w:rStyle w:val="Rimandonotaapidipagina"/>
        </w:rPr>
        <w:footnoteReference w:id="174"/>
      </w:r>
      <w:r w:rsidR="00514B1F">
        <w:t xml:space="preserve"> </w:t>
      </w:r>
      <w:r w:rsidR="00AF1079">
        <w:t>Soon a</w:t>
      </w:r>
      <w:r w:rsidR="000227F1">
        <w:t xml:space="preserve">fterwards: ‘we will begin </w:t>
      </w:r>
      <w:r w:rsidR="00934B65">
        <w:t>to make predictions</w:t>
      </w:r>
      <w:r w:rsidR="00374B17">
        <w:t xml:space="preserve"> </w:t>
      </w:r>
      <w:r w:rsidR="00934B65">
        <w:t>[</w:t>
      </w:r>
      <w:r w:rsidR="00934B65" w:rsidRPr="00934B65">
        <w:t>ἀποτελεῖν</w:t>
      </w:r>
      <w:r w:rsidR="00934B65">
        <w:t>]</w:t>
      </w:r>
      <w:r w:rsidR="00770D50">
        <w:rPr>
          <w:rStyle w:val="Rimandonotaapidipagina"/>
          <w:rFonts w:cstheme="majorHAnsi"/>
        </w:rPr>
        <w:footnoteReference w:id="175"/>
      </w:r>
      <w:r w:rsidR="00934B65">
        <w:t xml:space="preserve"> </w:t>
      </w:r>
      <w:r w:rsidR="00934B65">
        <w:rPr>
          <w:rFonts w:cstheme="majorHAnsi"/>
        </w:rPr>
        <w:t>on</w:t>
      </w:r>
      <w:r w:rsidR="00686052">
        <w:rPr>
          <w:rFonts w:cstheme="majorHAnsi"/>
        </w:rPr>
        <w:t xml:space="preserve"> the </w:t>
      </w:r>
      <w:r w:rsidR="00686052" w:rsidRPr="00770D50">
        <w:rPr>
          <w:rFonts w:cstheme="majorHAnsi"/>
        </w:rPr>
        <w:t>active power</w:t>
      </w:r>
      <w:r w:rsidR="00686052">
        <w:rPr>
          <w:rFonts w:cstheme="majorHAnsi"/>
        </w:rPr>
        <w:t xml:space="preserve"> </w:t>
      </w:r>
      <w:r w:rsidR="00AF1079">
        <w:rPr>
          <w:rFonts w:cstheme="majorHAnsi"/>
        </w:rPr>
        <w:t>[</w:t>
      </w:r>
      <w:r w:rsidR="00AF081B" w:rsidRPr="00AF081B">
        <w:rPr>
          <w:rFonts w:cstheme="majorHAnsi"/>
        </w:rPr>
        <w:t>ποιητικῆς δυνάμεως</w:t>
      </w:r>
      <w:r w:rsidR="00AF1079">
        <w:rPr>
          <w:rFonts w:cstheme="majorHAnsi"/>
        </w:rPr>
        <w:t xml:space="preserve">] </w:t>
      </w:r>
      <w:r w:rsidR="00686052">
        <w:rPr>
          <w:rFonts w:cstheme="majorHAnsi"/>
        </w:rPr>
        <w:t>of each of the non-wandering stars’</w:t>
      </w:r>
      <w:r w:rsidR="002A7EC0">
        <w:rPr>
          <w:rFonts w:cstheme="majorHAnsi"/>
        </w:rPr>
        <w:t>,</w:t>
      </w:r>
      <w:r w:rsidR="00934B65">
        <w:rPr>
          <w:rStyle w:val="Rimandonotaapidipagina"/>
          <w:rFonts w:cstheme="majorHAnsi"/>
        </w:rPr>
        <w:footnoteReference w:id="176"/>
      </w:r>
      <w:r w:rsidR="002A7EC0">
        <w:rPr>
          <w:rFonts w:cstheme="majorHAnsi"/>
        </w:rPr>
        <w:t xml:space="preserve"> finally remarking ‘the specific power and activity [</w:t>
      </w:r>
      <w:r w:rsidR="002A7EC0" w:rsidRPr="002A7EC0">
        <w:rPr>
          <w:rFonts w:cstheme="majorHAnsi"/>
        </w:rPr>
        <w:t>δυνάμεως καὶ ἐνεργείας</w:t>
      </w:r>
      <w:r w:rsidR="002A7EC0">
        <w:rPr>
          <w:rFonts w:cstheme="majorHAnsi"/>
        </w:rPr>
        <w:t>]’ of the stars’</w:t>
      </w:r>
      <w:r w:rsidR="002A5711">
        <w:rPr>
          <w:rFonts w:cstheme="majorHAnsi"/>
        </w:rPr>
        <w:t>.</w:t>
      </w:r>
      <w:r w:rsidR="000705CC">
        <w:rPr>
          <w:rStyle w:val="Rimandonotaapidipagina"/>
          <w:rFonts w:cstheme="majorHAnsi"/>
        </w:rPr>
        <w:footnoteReference w:id="177"/>
      </w:r>
      <w:r w:rsidR="002A5711">
        <w:rPr>
          <w:rFonts w:cstheme="majorHAnsi"/>
        </w:rPr>
        <w:t xml:space="preserve"> Yet, “</w:t>
      </w:r>
      <w:r w:rsidR="002A5711" w:rsidRPr="002A5711">
        <w:rPr>
          <w:rFonts w:cstheme="majorHAnsi"/>
        </w:rPr>
        <w:t>ποιητικός</w:t>
      </w:r>
      <w:r w:rsidR="002A5711">
        <w:rPr>
          <w:rFonts w:cstheme="majorHAnsi"/>
        </w:rPr>
        <w:t>”, “</w:t>
      </w:r>
      <w:r w:rsidR="002A5711" w:rsidRPr="002A5711">
        <w:rPr>
          <w:rFonts w:cstheme="majorHAnsi"/>
        </w:rPr>
        <w:t>δύναμις</w:t>
      </w:r>
      <w:r w:rsidR="002A5711">
        <w:rPr>
          <w:rFonts w:cstheme="majorHAnsi"/>
        </w:rPr>
        <w:t>”,</w:t>
      </w:r>
      <w:r w:rsidR="002A5711" w:rsidRPr="002A5711">
        <w:rPr>
          <w:rFonts w:cstheme="majorHAnsi"/>
        </w:rPr>
        <w:t xml:space="preserve"> </w:t>
      </w:r>
      <w:r w:rsidR="002A5711">
        <w:rPr>
          <w:rFonts w:cstheme="majorHAnsi"/>
        </w:rPr>
        <w:t>“</w:t>
      </w:r>
      <w:r w:rsidR="002A5711" w:rsidRPr="002A5711">
        <w:rPr>
          <w:rFonts w:cstheme="majorHAnsi"/>
        </w:rPr>
        <w:t>ἐνέργεια</w:t>
      </w:r>
      <w:r w:rsidR="002A5711">
        <w:rPr>
          <w:rFonts w:cstheme="majorHAnsi"/>
        </w:rPr>
        <w:t>” are used also by Ptolemy</w:t>
      </w:r>
      <w:r w:rsidR="00DF08EA">
        <w:rPr>
          <w:rStyle w:val="Rimandonotaapidipagina"/>
          <w:rFonts w:cstheme="majorHAnsi"/>
        </w:rPr>
        <w:footnoteReference w:id="178"/>
      </w:r>
      <w:r w:rsidR="002A5711">
        <w:rPr>
          <w:rFonts w:cstheme="majorHAnsi"/>
        </w:rPr>
        <w:t xml:space="preserve"> – </w:t>
      </w:r>
      <w:r w:rsidR="00DF08EA">
        <w:rPr>
          <w:rFonts w:cstheme="majorHAnsi"/>
        </w:rPr>
        <w:t xml:space="preserve">explicitly followed by the author – </w:t>
      </w:r>
      <w:r w:rsidR="009A2410">
        <w:rPr>
          <w:rFonts w:cstheme="majorHAnsi"/>
        </w:rPr>
        <w:t>dealing with the power of the fixed stars, and his</w:t>
      </w:r>
      <w:r w:rsidR="00DF08EA">
        <w:rPr>
          <w:rFonts w:cstheme="majorHAnsi"/>
        </w:rPr>
        <w:t xml:space="preserve"> determinism was softened by</w:t>
      </w:r>
      <w:r w:rsidR="00790883">
        <w:rPr>
          <w:rFonts w:cstheme="majorHAnsi"/>
        </w:rPr>
        <w:t xml:space="preserve"> the</w:t>
      </w:r>
      <w:r w:rsidR="00DF08EA">
        <w:rPr>
          <w:rFonts w:cstheme="majorHAnsi"/>
        </w:rPr>
        <w:t xml:space="preserve"> ackno</w:t>
      </w:r>
      <w:r w:rsidR="00CA0DFB">
        <w:rPr>
          <w:rFonts w:cstheme="majorHAnsi"/>
        </w:rPr>
        <w:t>w</w:t>
      </w:r>
      <w:r w:rsidR="00DF08EA">
        <w:rPr>
          <w:rFonts w:cstheme="majorHAnsi"/>
        </w:rPr>
        <w:t>ledgme</w:t>
      </w:r>
      <w:r w:rsidR="00790883">
        <w:rPr>
          <w:rFonts w:cstheme="majorHAnsi"/>
        </w:rPr>
        <w:t>nt of other interfering causes.</w:t>
      </w:r>
      <w:r w:rsidR="00790883">
        <w:rPr>
          <w:rStyle w:val="Rimandonotaapidipagina"/>
          <w:rFonts w:cstheme="majorHAnsi"/>
        </w:rPr>
        <w:footnoteReference w:id="179"/>
      </w:r>
      <w:r w:rsidR="00CA0DFB">
        <w:rPr>
          <w:rFonts w:cstheme="majorHAnsi"/>
        </w:rPr>
        <w:t xml:space="preserve"> </w:t>
      </w:r>
    </w:p>
    <w:p w14:paraId="6C9EB07B" w14:textId="77777777" w:rsidR="006E72E8" w:rsidRDefault="006E72E8" w:rsidP="006E72E8">
      <w:pPr>
        <w:rPr>
          <w:rFonts w:cstheme="majorHAnsi"/>
        </w:rPr>
      </w:pPr>
    </w:p>
    <w:p w14:paraId="1F9AFCE1" w14:textId="435C00E0" w:rsidR="009805B2" w:rsidRDefault="009805B2" w:rsidP="009805B2">
      <w:pPr>
        <w:ind w:firstLine="720"/>
        <w:rPr>
          <w:rFonts w:cstheme="majorHAnsi"/>
          <w:i/>
          <w:iCs/>
        </w:rPr>
      </w:pPr>
      <w:r>
        <w:rPr>
          <w:rFonts w:cstheme="majorHAnsi"/>
          <w:i/>
          <w:iCs/>
        </w:rPr>
        <w:t>Conclusion</w:t>
      </w:r>
    </w:p>
    <w:p w14:paraId="7244F4A1" w14:textId="4A11D6A8" w:rsidR="00E85330" w:rsidRPr="00E85330" w:rsidRDefault="009805B2" w:rsidP="00E85330">
      <w:pPr>
        <w:rPr>
          <w:rFonts w:cstheme="majorHAnsi"/>
        </w:rPr>
      </w:pPr>
      <w:r w:rsidRPr="009805B2">
        <w:rPr>
          <w:rFonts w:cstheme="majorHAnsi"/>
        </w:rPr>
        <w:t>‘</w:t>
      </w:r>
      <w:r w:rsidRPr="009805B2">
        <w:rPr>
          <w:rFonts w:cstheme="majorHAnsi"/>
          <w:i/>
          <w:iCs/>
        </w:rPr>
        <w:t>Au IV siècle, l’astrologie</w:t>
      </w:r>
      <w:r w:rsidRPr="009805B2">
        <w:rPr>
          <w:rFonts w:cstheme="majorHAnsi"/>
        </w:rPr>
        <w:t xml:space="preserve"> […] </w:t>
      </w:r>
      <w:r w:rsidRPr="009805B2">
        <w:rPr>
          <w:rFonts w:cstheme="majorHAnsi"/>
          <w:i/>
          <w:iCs/>
        </w:rPr>
        <w:t>c’est partout</w:t>
      </w:r>
      <w:r w:rsidRPr="009805B2">
        <w:rPr>
          <w:rFonts w:cstheme="majorHAnsi"/>
        </w:rPr>
        <w:t>’,</w:t>
      </w:r>
      <w:r w:rsidR="00767461">
        <w:rPr>
          <w:rStyle w:val="Rimandonotaapidipagina"/>
          <w:rFonts w:cstheme="majorHAnsi"/>
        </w:rPr>
        <w:footnoteReference w:id="180"/>
      </w:r>
      <w:r w:rsidRPr="009805B2">
        <w:rPr>
          <w:rFonts w:cstheme="majorHAnsi"/>
        </w:rPr>
        <w:t xml:space="preserve"> wr</w:t>
      </w:r>
      <w:r>
        <w:rPr>
          <w:rFonts w:cstheme="majorHAnsi"/>
        </w:rPr>
        <w:t>ites Bouché-Lec</w:t>
      </w:r>
      <w:r w:rsidR="004D21CA">
        <w:rPr>
          <w:rFonts w:cstheme="majorHAnsi"/>
        </w:rPr>
        <w:t>l</w:t>
      </w:r>
      <w:r>
        <w:rPr>
          <w:rFonts w:cstheme="majorHAnsi"/>
        </w:rPr>
        <w:t>ercq</w:t>
      </w:r>
      <w:r w:rsidR="00565DF5">
        <w:rPr>
          <w:rFonts w:cstheme="majorHAnsi"/>
        </w:rPr>
        <w:t xml:space="preserve">, </w:t>
      </w:r>
      <w:r w:rsidR="0029167A">
        <w:rPr>
          <w:rFonts w:cstheme="majorHAnsi"/>
        </w:rPr>
        <w:t>as</w:t>
      </w:r>
      <w:r w:rsidR="00565DF5">
        <w:rPr>
          <w:rFonts w:cstheme="majorHAnsi"/>
        </w:rPr>
        <w:t xml:space="preserve"> it was employed both at a popular and aristocra</w:t>
      </w:r>
      <w:r w:rsidR="0029167A">
        <w:rPr>
          <w:rFonts w:cstheme="majorHAnsi"/>
        </w:rPr>
        <w:t>tic</w:t>
      </w:r>
      <w:r w:rsidR="0029167A" w:rsidRPr="0029167A">
        <w:rPr>
          <w:rFonts w:cstheme="majorHAnsi"/>
        </w:rPr>
        <w:t xml:space="preserve"> </w:t>
      </w:r>
      <w:r w:rsidR="0029167A">
        <w:rPr>
          <w:rFonts w:cstheme="majorHAnsi"/>
        </w:rPr>
        <w:t>level</w:t>
      </w:r>
      <w:r w:rsidR="00565DF5">
        <w:rPr>
          <w:rFonts w:cstheme="majorHAnsi"/>
        </w:rPr>
        <w:t>, both in the Western and in the Eastern Empire, not only for casting charts, but especially to determine and forecast opportune moments to take action</w:t>
      </w:r>
      <w:r w:rsidR="00AE06A3">
        <w:rPr>
          <w:rFonts w:cstheme="majorHAnsi"/>
        </w:rPr>
        <w:t xml:space="preserve"> in a mundane or religious way.</w:t>
      </w:r>
      <w:r w:rsidR="001616EC">
        <w:rPr>
          <w:rFonts w:cstheme="majorHAnsi"/>
        </w:rPr>
        <w:t xml:space="preserve"> Despite the </w:t>
      </w:r>
      <w:r w:rsidR="003F782A">
        <w:rPr>
          <w:rFonts w:cstheme="majorHAnsi"/>
        </w:rPr>
        <w:t xml:space="preserve">imperial </w:t>
      </w:r>
      <w:r w:rsidR="001616EC">
        <w:rPr>
          <w:rFonts w:cstheme="majorHAnsi"/>
        </w:rPr>
        <w:t xml:space="preserve">legislative measures adopted against it, </w:t>
      </w:r>
      <w:r w:rsidR="003F782A">
        <w:rPr>
          <w:rFonts w:cstheme="majorHAnsi"/>
        </w:rPr>
        <w:t>an</w:t>
      </w:r>
      <w:r w:rsidR="001616EC">
        <w:rPr>
          <w:rFonts w:cstheme="majorHAnsi"/>
        </w:rPr>
        <w:t xml:space="preserve"> Emperor</w:t>
      </w:r>
      <w:r w:rsidR="003F782A">
        <w:rPr>
          <w:rFonts w:cstheme="majorHAnsi"/>
        </w:rPr>
        <w:t xml:space="preserve">, </w:t>
      </w:r>
      <w:r w:rsidR="001616EC">
        <w:rPr>
          <w:rFonts w:cstheme="majorHAnsi"/>
        </w:rPr>
        <w:t>Julian</w:t>
      </w:r>
      <w:r w:rsidR="003F782A">
        <w:rPr>
          <w:rFonts w:cstheme="majorHAnsi"/>
        </w:rPr>
        <w:t xml:space="preserve">, </w:t>
      </w:r>
      <w:r w:rsidR="004D21CA">
        <w:rPr>
          <w:rFonts w:cstheme="majorHAnsi"/>
        </w:rPr>
        <w:t>i</w:t>
      </w:r>
      <w:r w:rsidR="003F782A">
        <w:rPr>
          <w:rFonts w:cstheme="majorHAnsi"/>
        </w:rPr>
        <w:t xml:space="preserve">s a </w:t>
      </w:r>
      <w:r w:rsidR="001616EC">
        <w:rPr>
          <w:rFonts w:cstheme="majorHAnsi"/>
        </w:rPr>
        <w:t xml:space="preserve">practitioner of astrology and other forms of </w:t>
      </w:r>
      <w:r w:rsidR="001616EC">
        <w:rPr>
          <w:rFonts w:cstheme="majorHAnsi"/>
        </w:rPr>
        <w:lastRenderedPageBreak/>
        <w:t>divination</w:t>
      </w:r>
      <w:r w:rsidR="00E85330">
        <w:rPr>
          <w:rFonts w:cstheme="majorHAnsi"/>
        </w:rPr>
        <w:t>,</w:t>
      </w:r>
      <w:r w:rsidR="001616EC">
        <w:rPr>
          <w:rStyle w:val="Rimandonotaapidipagina"/>
          <w:rFonts w:cstheme="majorHAnsi"/>
        </w:rPr>
        <w:footnoteReference w:id="181"/>
      </w:r>
      <w:r w:rsidR="00E85330">
        <w:rPr>
          <w:rFonts w:cstheme="majorHAnsi"/>
        </w:rPr>
        <w:t xml:space="preserve"> and in his </w:t>
      </w:r>
      <w:r w:rsidR="00E85330">
        <w:rPr>
          <w:rFonts w:cstheme="majorHAnsi"/>
          <w:i/>
          <w:iCs/>
        </w:rPr>
        <w:t xml:space="preserve">Hymn to the Sun </w:t>
      </w:r>
      <w:r w:rsidR="00E85330">
        <w:rPr>
          <w:rFonts w:cstheme="majorHAnsi"/>
        </w:rPr>
        <w:t>he describes Helios and the planets as the ‘visible gods’</w:t>
      </w:r>
      <w:r w:rsidR="00E85330">
        <w:rPr>
          <w:rStyle w:val="Rimandonotaapidipagina"/>
          <w:rFonts w:cstheme="majorHAnsi"/>
        </w:rPr>
        <w:footnoteReference w:id="182"/>
      </w:r>
      <w:r w:rsidR="00BA58D4">
        <w:rPr>
          <w:rFonts w:cstheme="majorHAnsi"/>
        </w:rPr>
        <w:t xml:space="preserve"> and ‘Athena Pronoia’</w:t>
      </w:r>
      <w:r w:rsidR="0025531B">
        <w:rPr>
          <w:rFonts w:cstheme="majorHAnsi"/>
        </w:rPr>
        <w:t xml:space="preserve"> </w:t>
      </w:r>
      <w:r w:rsidR="00E04CBF">
        <w:rPr>
          <w:rFonts w:cstheme="majorHAnsi"/>
        </w:rPr>
        <w:t xml:space="preserve">as the binder of these gods into a unity </w:t>
      </w:r>
      <w:r w:rsidR="0025531B">
        <w:rPr>
          <w:rFonts w:cstheme="majorHAnsi"/>
        </w:rPr>
        <w:t>with</w:t>
      </w:r>
      <w:r w:rsidR="00E04CBF">
        <w:rPr>
          <w:rFonts w:cstheme="majorHAnsi"/>
        </w:rPr>
        <w:t xml:space="preserve"> the Sun.</w:t>
      </w:r>
      <w:r w:rsidR="00E04CBF">
        <w:rPr>
          <w:rStyle w:val="Rimandonotaapidipagina"/>
          <w:rFonts w:cstheme="majorHAnsi"/>
        </w:rPr>
        <w:footnoteReference w:id="183"/>
      </w:r>
    </w:p>
    <w:p w14:paraId="79B9BC4A" w14:textId="3A485196" w:rsidR="008D3EBC" w:rsidRDefault="004F470D" w:rsidP="00DF7447">
      <w:pPr>
        <w:rPr>
          <w:iCs/>
        </w:rPr>
      </w:pPr>
      <w:r>
        <w:rPr>
          <w:rFonts w:cstheme="majorHAnsi"/>
        </w:rPr>
        <w:t xml:space="preserve">In this context, the issue around individual agency becomes crucial. Before the arrival of Christianity, freedom is conceived in the Greek-Roman world </w:t>
      </w:r>
      <w:r w:rsidR="0041325B" w:rsidRPr="0041325B">
        <w:rPr>
          <w:rFonts w:cstheme="majorHAnsi"/>
          <w:i/>
          <w:iCs/>
        </w:rPr>
        <w:t>mostly</w:t>
      </w:r>
      <w:r w:rsidR="0041325B">
        <w:rPr>
          <w:rFonts w:cstheme="majorHAnsi"/>
        </w:rPr>
        <w:t xml:space="preserve"> </w:t>
      </w:r>
      <w:r>
        <w:rPr>
          <w:rFonts w:cstheme="majorHAnsi"/>
        </w:rPr>
        <w:t xml:space="preserve">as being </w:t>
      </w:r>
      <w:r w:rsidR="0041325B">
        <w:rPr>
          <w:rFonts w:cstheme="majorHAnsi"/>
        </w:rPr>
        <w:t>‘</w:t>
      </w:r>
      <w:r>
        <w:rPr>
          <w:rFonts w:cstheme="majorHAnsi"/>
        </w:rPr>
        <w:t>able to do the right thing for a good end’ (Rist)</w:t>
      </w:r>
      <w:r w:rsidR="0029167A">
        <w:rPr>
          <w:rFonts w:cstheme="majorHAnsi"/>
        </w:rPr>
        <w:t>,</w:t>
      </w:r>
      <w:r>
        <w:rPr>
          <w:rStyle w:val="Rimandonotaapidipagina"/>
          <w:rFonts w:cstheme="majorHAnsi"/>
        </w:rPr>
        <w:footnoteReference w:id="184"/>
      </w:r>
      <w:r w:rsidR="0029167A">
        <w:rPr>
          <w:rFonts w:cstheme="majorHAnsi"/>
        </w:rPr>
        <w:t xml:space="preserve"> and no implications </w:t>
      </w:r>
      <w:r w:rsidR="005F3A94">
        <w:rPr>
          <w:rFonts w:cstheme="majorHAnsi"/>
        </w:rPr>
        <w:t xml:space="preserve">concerning mercy </w:t>
      </w:r>
      <w:r w:rsidR="00EE0F84">
        <w:rPr>
          <w:rFonts w:cstheme="majorHAnsi"/>
        </w:rPr>
        <w:t>are</w:t>
      </w:r>
      <w:r w:rsidR="0029167A">
        <w:rPr>
          <w:rFonts w:cstheme="majorHAnsi"/>
        </w:rPr>
        <w:t xml:space="preserve"> assumed</w:t>
      </w:r>
      <w:r w:rsidR="005F3A94">
        <w:rPr>
          <w:rFonts w:cstheme="majorHAnsi"/>
        </w:rPr>
        <w:t>, rather choice implies following the divine cosmic order and be</w:t>
      </w:r>
      <w:r w:rsidR="006E72E8">
        <w:rPr>
          <w:rFonts w:cstheme="majorHAnsi"/>
        </w:rPr>
        <w:t>ing</w:t>
      </w:r>
      <w:r w:rsidR="005F3A94">
        <w:rPr>
          <w:rFonts w:cstheme="majorHAnsi"/>
        </w:rPr>
        <w:t xml:space="preserve"> free</w:t>
      </w:r>
      <w:r w:rsidR="003F0792">
        <w:rPr>
          <w:rFonts w:cstheme="majorHAnsi"/>
        </w:rPr>
        <w:t xml:space="preserve">, </w:t>
      </w:r>
      <w:r w:rsidR="005F3A94">
        <w:rPr>
          <w:rFonts w:cstheme="majorHAnsi"/>
        </w:rPr>
        <w:t xml:space="preserve">or </w:t>
      </w:r>
      <w:r w:rsidR="003F0792">
        <w:rPr>
          <w:rFonts w:cstheme="majorHAnsi"/>
        </w:rPr>
        <w:t>else</w:t>
      </w:r>
      <w:r w:rsidR="005F3A94">
        <w:rPr>
          <w:rFonts w:cstheme="majorHAnsi"/>
        </w:rPr>
        <w:t xml:space="preserve"> becoming </w:t>
      </w:r>
      <w:r w:rsidR="006E72E8">
        <w:rPr>
          <w:rFonts w:cstheme="majorHAnsi"/>
        </w:rPr>
        <w:t xml:space="preserve">a </w:t>
      </w:r>
      <w:r w:rsidR="005F3A94">
        <w:rPr>
          <w:rFonts w:cstheme="majorHAnsi"/>
        </w:rPr>
        <w:t xml:space="preserve">slave of </w:t>
      </w:r>
      <w:r w:rsidR="005F3A94">
        <w:rPr>
          <w:i/>
        </w:rPr>
        <w:t>heimarménē</w:t>
      </w:r>
      <w:r w:rsidR="005F3A94">
        <w:rPr>
          <w:iCs/>
        </w:rPr>
        <w:t>.</w:t>
      </w:r>
      <w:r w:rsidR="001871D2">
        <w:rPr>
          <w:iCs/>
        </w:rPr>
        <w:t xml:space="preserve"> In Late Antiquity, along with a transition from a pol</w:t>
      </w:r>
      <w:r w:rsidR="006E72E8">
        <w:rPr>
          <w:iCs/>
        </w:rPr>
        <w:t>y</w:t>
      </w:r>
      <w:r w:rsidR="001871D2">
        <w:rPr>
          <w:iCs/>
        </w:rPr>
        <w:t>theistic to a henotheistic worldview, the role of astral influences is challenged</w:t>
      </w:r>
      <w:r w:rsidR="002B31F8">
        <w:rPr>
          <w:iCs/>
        </w:rPr>
        <w:t xml:space="preserve">, and while astrologers </w:t>
      </w:r>
      <w:r w:rsidR="002B31F8">
        <w:rPr>
          <w:i/>
        </w:rPr>
        <w:t>tout-court</w:t>
      </w:r>
      <w:r w:rsidR="002B31F8">
        <w:rPr>
          <w:iCs/>
        </w:rPr>
        <w:t xml:space="preserve"> seem more concerned with technical matters, mainly assuming a planetary determinism that could be foreseen and therefore reacted </w:t>
      </w:r>
      <w:r w:rsidR="00EE0F84">
        <w:rPr>
          <w:iCs/>
        </w:rPr>
        <w:t>to</w:t>
      </w:r>
      <w:r w:rsidR="002B31F8">
        <w:rPr>
          <w:iCs/>
        </w:rPr>
        <w:t>,</w:t>
      </w:r>
      <w:r w:rsidR="00806E0D">
        <w:rPr>
          <w:iCs/>
        </w:rPr>
        <w:t xml:space="preserve"> sometimes with the aid of magical or theurgical techniques,</w:t>
      </w:r>
      <w:r w:rsidR="002B31F8">
        <w:rPr>
          <w:iCs/>
        </w:rPr>
        <w:t xml:space="preserve"> </w:t>
      </w:r>
      <w:r w:rsidR="002B5786">
        <w:rPr>
          <w:iCs/>
        </w:rPr>
        <w:t>eschatological</w:t>
      </w:r>
      <w:r w:rsidR="002B31F8">
        <w:rPr>
          <w:iCs/>
        </w:rPr>
        <w:t xml:space="preserve"> debates about </w:t>
      </w:r>
      <w:r w:rsidR="00AA53BC">
        <w:rPr>
          <w:iCs/>
        </w:rPr>
        <w:t>the liberation of the soul from matter and the reunion with the divinity demonstrate the complex and serious problem of conciliat</w:t>
      </w:r>
      <w:r w:rsidR="00B809AF">
        <w:rPr>
          <w:iCs/>
        </w:rPr>
        <w:t>ing</w:t>
      </w:r>
      <w:r w:rsidR="00AA53BC">
        <w:rPr>
          <w:iCs/>
        </w:rPr>
        <w:t xml:space="preserve"> fate with providence and free-will</w:t>
      </w:r>
      <w:r w:rsidR="00806E0D">
        <w:rPr>
          <w:iCs/>
        </w:rPr>
        <w:t>, having</w:t>
      </w:r>
      <w:r w:rsidR="00EE0F84">
        <w:rPr>
          <w:iCs/>
        </w:rPr>
        <w:t xml:space="preserve"> an</w:t>
      </w:r>
      <w:r w:rsidR="00806E0D">
        <w:rPr>
          <w:iCs/>
        </w:rPr>
        <w:t xml:space="preserve"> impact on astrology as well. </w:t>
      </w:r>
      <w:r w:rsidR="00BB08B4">
        <w:rPr>
          <w:iCs/>
        </w:rPr>
        <w:t>Yet, w</w:t>
      </w:r>
      <w:r w:rsidR="00806E0D">
        <w:rPr>
          <w:iCs/>
        </w:rPr>
        <w:t xml:space="preserve">orldviews </w:t>
      </w:r>
      <w:r w:rsidR="00BB08B4">
        <w:rPr>
          <w:iCs/>
        </w:rPr>
        <w:t>are not unique</w:t>
      </w:r>
      <w:r w:rsidR="00DF0711">
        <w:rPr>
          <w:iCs/>
        </w:rPr>
        <w:t xml:space="preserve">, </w:t>
      </w:r>
      <w:r w:rsidR="00BB08B4">
        <w:rPr>
          <w:iCs/>
        </w:rPr>
        <w:t>and</w:t>
      </w:r>
      <w:r w:rsidR="00DF0711">
        <w:rPr>
          <w:iCs/>
        </w:rPr>
        <w:t xml:space="preserve"> while</w:t>
      </w:r>
      <w:r w:rsidR="00806E0D">
        <w:rPr>
          <w:iCs/>
        </w:rPr>
        <w:t xml:space="preserve"> “soft” astrology </w:t>
      </w:r>
      <w:r w:rsidR="00C436E2">
        <w:rPr>
          <w:iCs/>
        </w:rPr>
        <w:t xml:space="preserve">(Porphyry) </w:t>
      </w:r>
      <w:r w:rsidR="00806E0D">
        <w:rPr>
          <w:iCs/>
        </w:rPr>
        <w:t xml:space="preserve">does not entirely replace astral determinism </w:t>
      </w:r>
      <w:r w:rsidR="00C436E2">
        <w:rPr>
          <w:iCs/>
        </w:rPr>
        <w:t xml:space="preserve">(Firmicus) </w:t>
      </w:r>
      <w:r w:rsidR="00806E0D">
        <w:rPr>
          <w:iCs/>
        </w:rPr>
        <w:t>and practices to</w:t>
      </w:r>
      <w:r w:rsidR="00785AEB">
        <w:rPr>
          <w:iCs/>
        </w:rPr>
        <w:t xml:space="preserve"> negotiate fate</w:t>
      </w:r>
      <w:r w:rsidR="00C436E2">
        <w:rPr>
          <w:iCs/>
        </w:rPr>
        <w:t xml:space="preserve"> (</w:t>
      </w:r>
      <w:r w:rsidR="00C436E2" w:rsidRPr="00C436E2">
        <w:rPr>
          <w:i/>
        </w:rPr>
        <w:t>Greek Magical Papyri</w:t>
      </w:r>
      <w:r w:rsidR="00C436E2">
        <w:rPr>
          <w:iCs/>
        </w:rPr>
        <w:t>)</w:t>
      </w:r>
      <w:r w:rsidR="00DF0711">
        <w:rPr>
          <w:iCs/>
        </w:rPr>
        <w:t xml:space="preserve">, the semiotic conception of celestial </w:t>
      </w:r>
      <w:r w:rsidR="00DF7447">
        <w:rPr>
          <w:iCs/>
        </w:rPr>
        <w:t>patterns</w:t>
      </w:r>
      <w:r w:rsidR="00DF0711">
        <w:rPr>
          <w:iCs/>
        </w:rPr>
        <w:t xml:space="preserve"> </w:t>
      </w:r>
      <w:r w:rsidR="00A41563">
        <w:rPr>
          <w:iCs/>
        </w:rPr>
        <w:t>permits</w:t>
      </w:r>
      <w:r w:rsidR="00DF0711">
        <w:rPr>
          <w:iCs/>
        </w:rPr>
        <w:t xml:space="preserve"> astrology to </w:t>
      </w:r>
      <w:r w:rsidR="006E602F">
        <w:rPr>
          <w:iCs/>
        </w:rPr>
        <w:t xml:space="preserve">survive despite </w:t>
      </w:r>
      <w:r w:rsidR="00BB08B4">
        <w:rPr>
          <w:iCs/>
        </w:rPr>
        <w:t xml:space="preserve">the diffusion of </w:t>
      </w:r>
      <w:r w:rsidR="009C2D04">
        <w:rPr>
          <w:iCs/>
        </w:rPr>
        <w:t>Christianity</w:t>
      </w:r>
      <w:r w:rsidR="00DF7447">
        <w:rPr>
          <w:iCs/>
        </w:rPr>
        <w:t xml:space="preserve">, allowing individuals to maintain an intimate relationship with the </w:t>
      </w:r>
      <w:r w:rsidR="004A1EE4">
        <w:rPr>
          <w:iCs/>
        </w:rPr>
        <w:t>cosmos</w:t>
      </w:r>
      <w:r w:rsidR="00DF7447">
        <w:rPr>
          <w:iCs/>
        </w:rPr>
        <w:t xml:space="preserve"> and the</w:t>
      </w:r>
      <w:r w:rsidR="00E27821">
        <w:rPr>
          <w:iCs/>
        </w:rPr>
        <w:t>ir</w:t>
      </w:r>
      <w:r w:rsidR="00DF7447">
        <w:rPr>
          <w:iCs/>
        </w:rPr>
        <w:t xml:space="preserve"> personal </w:t>
      </w:r>
      <w:r w:rsidR="004B08C0">
        <w:rPr>
          <w:i/>
        </w:rPr>
        <w:t>daimōn</w:t>
      </w:r>
      <w:r w:rsidR="00DF7447">
        <w:rPr>
          <w:iCs/>
        </w:rPr>
        <w:t>—</w:t>
      </w:r>
      <w:r w:rsidR="009C2D04">
        <w:rPr>
          <w:iCs/>
        </w:rPr>
        <w:t xml:space="preserve">perhaps precisely </w:t>
      </w:r>
      <w:r w:rsidR="007D2EF1">
        <w:rPr>
          <w:iCs/>
        </w:rPr>
        <w:t>due to</w:t>
      </w:r>
      <w:r w:rsidR="009C2D04">
        <w:rPr>
          <w:iCs/>
        </w:rPr>
        <w:t xml:space="preserve"> </w:t>
      </w:r>
      <w:r w:rsidR="00DF7447">
        <w:rPr>
          <w:iCs/>
        </w:rPr>
        <w:t>astrology’s</w:t>
      </w:r>
      <w:r w:rsidR="009C2D04">
        <w:rPr>
          <w:iCs/>
        </w:rPr>
        <w:t xml:space="preserve"> </w:t>
      </w:r>
      <w:r w:rsidR="00DF7447">
        <w:rPr>
          <w:iCs/>
        </w:rPr>
        <w:t>remedial</w:t>
      </w:r>
      <w:r w:rsidR="009C2D04">
        <w:rPr>
          <w:iCs/>
        </w:rPr>
        <w:t xml:space="preserve"> </w:t>
      </w:r>
      <w:r w:rsidR="00DF7447">
        <w:rPr>
          <w:iCs/>
        </w:rPr>
        <w:t>role, for, as Ptolemy remarks, ‘foreknowledge accustoms and calms the soul’.</w:t>
      </w:r>
      <w:r w:rsidR="00DF7447">
        <w:rPr>
          <w:rStyle w:val="Rimandonotaapidipagina"/>
          <w:iCs/>
        </w:rPr>
        <w:footnoteReference w:id="185"/>
      </w:r>
    </w:p>
    <w:p w14:paraId="1EC68174" w14:textId="40610A98" w:rsidR="00C83FF9" w:rsidRDefault="00C83FF9" w:rsidP="00C94D2B">
      <w:pPr>
        <w:ind w:firstLine="0"/>
        <w:rPr>
          <w:rFonts w:ascii="Times New Roman" w:hAnsi="Times New Roman" w:cs="Times New Roman"/>
          <w:sz w:val="20"/>
          <w:szCs w:val="20"/>
        </w:rPr>
      </w:pPr>
    </w:p>
    <w:p w14:paraId="5CCF9B23" w14:textId="77777777" w:rsidR="00686012" w:rsidRPr="004B08C0" w:rsidRDefault="00686012" w:rsidP="00AE6FD8">
      <w:pPr>
        <w:pStyle w:val="Titolo1"/>
        <w:spacing w:line="240" w:lineRule="auto"/>
        <w:ind w:left="0" w:firstLine="0"/>
        <w:rPr>
          <w:i/>
          <w:iCs/>
        </w:rPr>
      </w:pPr>
    </w:p>
    <w:p w14:paraId="69C7FC10" w14:textId="638768E2" w:rsidR="00652386" w:rsidRPr="002A5711" w:rsidRDefault="00652386" w:rsidP="00DB7C27">
      <w:pPr>
        <w:pStyle w:val="Titolo1"/>
        <w:spacing w:line="240" w:lineRule="auto"/>
        <w:ind w:left="1287" w:firstLine="153"/>
        <w:rPr>
          <w:i/>
          <w:iCs/>
        </w:rPr>
      </w:pPr>
      <w:r w:rsidRPr="00652386">
        <w:rPr>
          <w:i/>
          <w:iCs/>
        </w:rPr>
        <w:t>Bibliography</w:t>
      </w:r>
    </w:p>
    <w:p w14:paraId="6B59A8FB" w14:textId="77777777" w:rsidR="00652386" w:rsidRPr="002A5711" w:rsidRDefault="00652386" w:rsidP="00652386">
      <w:pPr>
        <w:pStyle w:val="Titolo1"/>
        <w:spacing w:line="240" w:lineRule="auto"/>
        <w:ind w:left="0" w:firstLine="0"/>
        <w:rPr>
          <w:i/>
          <w:iCs/>
          <w:strike/>
          <w:sz w:val="22"/>
          <w:szCs w:val="22"/>
        </w:rPr>
      </w:pPr>
    </w:p>
    <w:p w14:paraId="29FB9714" w14:textId="77777777" w:rsidR="00652386" w:rsidRPr="002A5711" w:rsidRDefault="00652386" w:rsidP="00DB7C27">
      <w:pPr>
        <w:pStyle w:val="Titolo1"/>
        <w:spacing w:line="240" w:lineRule="auto"/>
        <w:ind w:left="0" w:firstLine="0"/>
        <w:rPr>
          <w:i/>
          <w:iCs/>
        </w:rPr>
      </w:pPr>
    </w:p>
    <w:p w14:paraId="6DDC1468" w14:textId="77777777" w:rsidR="00686012" w:rsidRPr="002A5711" w:rsidRDefault="00686012" w:rsidP="00DB7C27">
      <w:pPr>
        <w:pStyle w:val="Titolo1"/>
        <w:spacing w:line="240" w:lineRule="auto"/>
        <w:ind w:firstLine="153"/>
        <w:rPr>
          <w:i/>
          <w:iCs/>
        </w:rPr>
      </w:pPr>
    </w:p>
    <w:p w14:paraId="5298745E" w14:textId="237F8348" w:rsidR="00652386" w:rsidRPr="00652386" w:rsidRDefault="00652386" w:rsidP="00DB7C27">
      <w:pPr>
        <w:pStyle w:val="Titolo1"/>
        <w:spacing w:line="240" w:lineRule="auto"/>
        <w:ind w:firstLine="153"/>
        <w:rPr>
          <w:i/>
          <w:iCs/>
        </w:rPr>
      </w:pPr>
      <w:r w:rsidRPr="00652386">
        <w:rPr>
          <w:i/>
          <w:iCs/>
        </w:rPr>
        <w:t>Primary Sources</w:t>
      </w:r>
    </w:p>
    <w:p w14:paraId="3DB524FF" w14:textId="77777777" w:rsidR="00652386" w:rsidRPr="00652386" w:rsidRDefault="00652386" w:rsidP="00652386">
      <w:pPr>
        <w:pStyle w:val="Titolo1"/>
        <w:spacing w:line="240" w:lineRule="auto"/>
        <w:rPr>
          <w:i/>
          <w:iCs/>
        </w:rPr>
      </w:pPr>
    </w:p>
    <w:p w14:paraId="69592539" w14:textId="77777777" w:rsidR="00652386" w:rsidRPr="00652386" w:rsidRDefault="00652386" w:rsidP="00652386">
      <w:pPr>
        <w:pStyle w:val="Titolo1"/>
        <w:spacing w:line="240" w:lineRule="auto"/>
        <w:rPr>
          <w:i/>
          <w:iCs/>
        </w:rPr>
      </w:pPr>
    </w:p>
    <w:p w14:paraId="1BF5ECB4" w14:textId="77777777" w:rsidR="00652386" w:rsidRPr="00706413" w:rsidRDefault="00652386" w:rsidP="00686012">
      <w:pPr>
        <w:pStyle w:val="Titolo1"/>
        <w:rPr>
          <w:iCs/>
          <w:smallCaps/>
        </w:rPr>
      </w:pPr>
      <w:r w:rsidRPr="00706413">
        <w:rPr>
          <w:smallCaps/>
        </w:rPr>
        <w:t>Anonymous of 379</w:t>
      </w:r>
      <w:r>
        <w:rPr>
          <w:smallCaps/>
        </w:rPr>
        <w:t>,</w:t>
      </w:r>
      <w:r w:rsidRPr="00706413">
        <w:t xml:space="preserve"> </w:t>
      </w:r>
      <w:r w:rsidRPr="00367C07">
        <w:rPr>
          <w:i/>
          <w:iCs/>
        </w:rPr>
        <w:t>The Treatise of the Bright Fixed Stars</w:t>
      </w:r>
      <w:r>
        <w:rPr>
          <w:iCs/>
        </w:rPr>
        <w:t>, R. Schmidt (tr.), R. Hand (ed.), The Golden Hind Press, Berkley Spring 1993.</w:t>
      </w:r>
    </w:p>
    <w:p w14:paraId="44866592" w14:textId="77777777" w:rsidR="00652386" w:rsidRDefault="00652386" w:rsidP="00686012">
      <w:pPr>
        <w:pStyle w:val="Titolo1"/>
        <w:rPr>
          <w:smallCaps/>
        </w:rPr>
      </w:pPr>
      <w:r>
        <w:rPr>
          <w:smallCaps/>
        </w:rPr>
        <w:t>Cicero</w:t>
      </w:r>
      <w:r>
        <w:t xml:space="preserve">, </w:t>
      </w:r>
      <w:r w:rsidRPr="00367C07">
        <w:rPr>
          <w:i/>
          <w:iCs/>
        </w:rPr>
        <w:t>Cicero in Twenty-eight volumes. De Senectute, De Amicitia, De divinatione</w:t>
      </w:r>
      <w:r>
        <w:t>, W.A. Falconer (tr.), v. XX, Loeb Classical Library, Harvard University Press, Cambridge-London 1971.</w:t>
      </w:r>
    </w:p>
    <w:p w14:paraId="00257673" w14:textId="19D6F73D" w:rsidR="00374B17" w:rsidRPr="00C94D2B" w:rsidRDefault="00374B17" w:rsidP="00686012">
      <w:pPr>
        <w:pStyle w:val="Titolo1"/>
      </w:pPr>
      <w:r w:rsidRPr="002F1B82">
        <w:rPr>
          <w:i/>
          <w:iCs/>
        </w:rPr>
        <w:t xml:space="preserve">Catalogus codicum astrologorum graecorum. </w:t>
      </w:r>
      <w:r w:rsidRPr="00C94D2B">
        <w:rPr>
          <w:i/>
          <w:iCs/>
        </w:rPr>
        <w:t>Codicum Romanorum,</w:t>
      </w:r>
      <w:r w:rsidRPr="00C94D2B">
        <w:t xml:space="preserve"> F. Cumont, F. Boll (eds.), V. 5.1, Lamertin, Bruxelles 1904.</w:t>
      </w:r>
    </w:p>
    <w:p w14:paraId="7E5095FC" w14:textId="77777777" w:rsidR="00652386" w:rsidRDefault="00652386" w:rsidP="00686012">
      <w:pPr>
        <w:pStyle w:val="Titolo1"/>
      </w:pPr>
      <w:r>
        <w:rPr>
          <w:smallCaps/>
        </w:rPr>
        <w:t>Firmicus Maternus</w:t>
      </w:r>
      <w:r>
        <w:t xml:space="preserve">, </w:t>
      </w:r>
      <w:r w:rsidRPr="00367C07">
        <w:rPr>
          <w:i/>
          <w:iCs/>
        </w:rPr>
        <w:t>Ancient Astrology Theory and Practice. Matheseos Libri VIII</w:t>
      </w:r>
      <w:r>
        <w:t>, J. Rhys Bram (tr.), Astrology Classics, Abingdon 2005.</w:t>
      </w:r>
    </w:p>
    <w:p w14:paraId="7496EF16" w14:textId="77777777" w:rsidR="00652386" w:rsidRDefault="00652386" w:rsidP="00686012">
      <w:pPr>
        <w:pStyle w:val="Titolo1"/>
      </w:pPr>
      <w:r>
        <w:rPr>
          <w:smallCaps/>
        </w:rPr>
        <w:t>Iamblichus</w:t>
      </w:r>
      <w:r>
        <w:t xml:space="preserve">, </w:t>
      </w:r>
      <w:r w:rsidRPr="00367C07">
        <w:rPr>
          <w:i/>
          <w:iCs/>
        </w:rPr>
        <w:t>On the Mysteries</w:t>
      </w:r>
      <w:r>
        <w:t xml:space="preserve">, E.C. Clarke, J.M. Dillon, J.P. Hershbell (tr., intr., notes), Society of Biblical Literature, Atlanta 2003. </w:t>
      </w:r>
    </w:p>
    <w:p w14:paraId="5D5F19A6" w14:textId="2C5EBBE5" w:rsidR="00652386" w:rsidRDefault="00652386" w:rsidP="00686012">
      <w:pPr>
        <w:pStyle w:val="Titolo1"/>
        <w:rPr>
          <w:smallCaps/>
          <w:highlight w:val="green"/>
        </w:rPr>
      </w:pPr>
      <w:r w:rsidRPr="00821F7C">
        <w:rPr>
          <w:smallCaps/>
        </w:rPr>
        <w:t>Julian</w:t>
      </w:r>
      <w:r w:rsidR="004F3090" w:rsidRPr="00821F7C">
        <w:rPr>
          <w:smallCaps/>
        </w:rPr>
        <w:t xml:space="preserve">, </w:t>
      </w:r>
      <w:r w:rsidR="004F3090" w:rsidRPr="00821F7C">
        <w:rPr>
          <w:i/>
          <w:iCs/>
        </w:rPr>
        <w:t>The</w:t>
      </w:r>
      <w:r w:rsidR="004F3090">
        <w:rPr>
          <w:i/>
          <w:iCs/>
        </w:rPr>
        <w:t xml:space="preserve"> Works of the Emperor Julian</w:t>
      </w:r>
      <w:r w:rsidR="004F3090">
        <w:t>, W. Cave Wright (tr.), v. 1, Loeb Classical Library, Heinemann-Macmillan, London-New York 1913.</w:t>
      </w:r>
    </w:p>
    <w:p w14:paraId="2467DC7C" w14:textId="77777777" w:rsidR="00652386" w:rsidRDefault="00652386" w:rsidP="00686012">
      <w:pPr>
        <w:pStyle w:val="Titolo1"/>
        <w:rPr>
          <w:smallCaps/>
        </w:rPr>
      </w:pPr>
      <w:r>
        <w:rPr>
          <w:smallCaps/>
        </w:rPr>
        <w:t xml:space="preserve">Paulus Alexandrinus, Olympiodorus, </w:t>
      </w:r>
      <w:r>
        <w:t>L</w:t>
      </w:r>
      <w:r w:rsidRPr="00367C07">
        <w:rPr>
          <w:i/>
          <w:iCs/>
        </w:rPr>
        <w:t>ate Classical Astrology: Paulus Alexandrinus and Olympiodorus. With the Scolia from Later Commentators</w:t>
      </w:r>
      <w:r>
        <w:t>, D.G. Greenbaum (tr.), R. Hand (ed.), Arhat, Reston 2001.</w:t>
      </w:r>
    </w:p>
    <w:p w14:paraId="3F823918" w14:textId="77777777" w:rsidR="00652386" w:rsidRPr="00B7565A" w:rsidRDefault="00652386" w:rsidP="00686012">
      <w:pPr>
        <w:pStyle w:val="Titolo1"/>
        <w:rPr>
          <w:strike/>
        </w:rPr>
      </w:pPr>
      <w:r>
        <w:rPr>
          <w:smallCaps/>
        </w:rPr>
        <w:t xml:space="preserve">Plato, </w:t>
      </w:r>
      <w:r w:rsidRPr="00367C07">
        <w:rPr>
          <w:i/>
          <w:iCs/>
        </w:rPr>
        <w:t>Euthyphro, Apology, Crito, Phaedo, Phaedrus</w:t>
      </w:r>
      <w:r>
        <w:t>, H. North Fowler (tr.), W.R.M. Lamb (intr.), Loeb Classical Library, Harvard University Press, Cambridge-London 2005.</w:t>
      </w:r>
    </w:p>
    <w:p w14:paraId="01D52277" w14:textId="77777777" w:rsidR="00652386" w:rsidRDefault="00652386" w:rsidP="00686012">
      <w:pPr>
        <w:pStyle w:val="Titolo1"/>
        <w:rPr>
          <w:strike/>
        </w:rPr>
      </w:pPr>
      <w:r>
        <w:t xml:space="preserve">—— </w:t>
      </w:r>
      <w:r w:rsidRPr="00367C07">
        <w:rPr>
          <w:i/>
          <w:iCs/>
        </w:rPr>
        <w:t>Laws</w:t>
      </w:r>
      <w:r>
        <w:t>, v. II, R.G. Bury (tr.), Loeb Classical Library, Heinemann-Putnam, London-New York 1926.</w:t>
      </w:r>
    </w:p>
    <w:p w14:paraId="6897F36A" w14:textId="77777777" w:rsidR="00652386" w:rsidRDefault="00652386" w:rsidP="00686012">
      <w:pPr>
        <w:pStyle w:val="Titolo1"/>
      </w:pPr>
      <w:r>
        <w:t xml:space="preserve">—— </w:t>
      </w:r>
      <w:r w:rsidRPr="00367C07">
        <w:rPr>
          <w:i/>
          <w:iCs/>
        </w:rPr>
        <w:t>Timaeus, Critias, Cleitophon, Menexenus, Epistles</w:t>
      </w:r>
      <w:r>
        <w:t>, R.G. Bury (tr.), Loeb Classical Library, Harvard University Press, Cambridge-London 1966.</w:t>
      </w:r>
    </w:p>
    <w:p w14:paraId="28620E97" w14:textId="77777777" w:rsidR="00652386" w:rsidRDefault="00652386" w:rsidP="00686012">
      <w:pPr>
        <w:pStyle w:val="Titolo1"/>
      </w:pPr>
      <w:r>
        <w:t xml:space="preserve">—— </w:t>
      </w:r>
      <w:r w:rsidRPr="00367C07">
        <w:rPr>
          <w:i/>
          <w:iCs/>
        </w:rPr>
        <w:t>The Republic. Books VI-X</w:t>
      </w:r>
      <w:r>
        <w:t>, P. Shorey (tr.), v. II, Loeb Classical Library, Harvard University Press-Heinemann, Cambridge-London 1942.</w:t>
      </w:r>
    </w:p>
    <w:p w14:paraId="54D6829B" w14:textId="77777777" w:rsidR="00652386" w:rsidRDefault="00652386" w:rsidP="00686012">
      <w:pPr>
        <w:pStyle w:val="Titolo1"/>
        <w:rPr>
          <w:smallCaps/>
        </w:rPr>
      </w:pPr>
      <w:r>
        <w:rPr>
          <w:smallCaps/>
        </w:rPr>
        <w:t xml:space="preserve">Plotinus, </w:t>
      </w:r>
      <w:r w:rsidRPr="00652386">
        <w:rPr>
          <w:i/>
          <w:iCs/>
        </w:rPr>
        <w:t>Ennead</w:t>
      </w:r>
      <w:r>
        <w:t xml:space="preserve"> II, A.H. Armstrong (tr.), Loeb Classical Library, Harvard University Press, Cambridge-London 1966.</w:t>
      </w:r>
    </w:p>
    <w:p w14:paraId="3C21D696" w14:textId="0632CC92" w:rsidR="00415C2E" w:rsidRDefault="00652386" w:rsidP="00686012">
      <w:pPr>
        <w:pStyle w:val="Titolo1"/>
        <w:rPr>
          <w:color w:val="000000"/>
        </w:rPr>
      </w:pPr>
      <w:r>
        <w:rPr>
          <w:i/>
          <w:color w:val="000000"/>
        </w:rPr>
        <w:lastRenderedPageBreak/>
        <w:t>——</w:t>
      </w:r>
      <w:r>
        <w:rPr>
          <w:color w:val="000000"/>
        </w:rPr>
        <w:t xml:space="preserve"> </w:t>
      </w:r>
      <w:r>
        <w:rPr>
          <w:i/>
          <w:color w:val="000000"/>
        </w:rPr>
        <w:t>Enneads III 1</w:t>
      </w:r>
      <w:r w:rsidR="00DB539A">
        <w:rPr>
          <w:i/>
          <w:color w:val="000000"/>
        </w:rPr>
        <w:t>-9</w:t>
      </w:r>
      <w:r w:rsidR="00DB539A">
        <w:rPr>
          <w:color w:val="000000"/>
        </w:rPr>
        <w:t>, A.H. Armstrong (tr.), Loeb Classical Library, Harvard University Press-Heinemann, Cambridge-London 1980.</w:t>
      </w:r>
    </w:p>
    <w:p w14:paraId="79321D44" w14:textId="58973517" w:rsidR="00415C2E" w:rsidRDefault="00DB539A" w:rsidP="00686012">
      <w:pPr>
        <w:pStyle w:val="Titolo1"/>
        <w:rPr>
          <w:color w:val="000000"/>
        </w:rPr>
      </w:pPr>
      <w:r>
        <w:rPr>
          <w:i/>
          <w:color w:val="000000"/>
        </w:rPr>
        <w:t>——</w:t>
      </w:r>
      <w:r>
        <w:rPr>
          <w:color w:val="000000"/>
        </w:rPr>
        <w:t xml:space="preserve"> </w:t>
      </w:r>
      <w:r>
        <w:rPr>
          <w:i/>
        </w:rPr>
        <w:t>Enneads IV</w:t>
      </w:r>
      <w:r w:rsidR="00EB2B1C">
        <w:rPr>
          <w:i/>
        </w:rPr>
        <w:t xml:space="preserve"> </w:t>
      </w:r>
      <w:r>
        <w:rPr>
          <w:i/>
        </w:rPr>
        <w:t>1-</w:t>
      </w:r>
      <w:r>
        <w:t>9, A.H. Armstrong (tr.), Loeb Classical Library, Harvard University Press-Heinemann, Cambridge-London 1984</w:t>
      </w:r>
    </w:p>
    <w:p w14:paraId="1299C5AC" w14:textId="77777777" w:rsidR="00415C2E" w:rsidRDefault="00DB539A" w:rsidP="00686012">
      <w:pPr>
        <w:pStyle w:val="Titolo1"/>
        <w:rPr>
          <w:color w:val="000000"/>
        </w:rPr>
      </w:pPr>
      <w:r>
        <w:rPr>
          <w:smallCaps/>
          <w:color w:val="000000"/>
        </w:rPr>
        <w:t xml:space="preserve">Porphyry, </w:t>
      </w:r>
      <w:r>
        <w:rPr>
          <w:i/>
          <w:color w:val="000000"/>
        </w:rPr>
        <w:t>To Gaurus on How Embryos are Ensouled and On What is in Our Power</w:t>
      </w:r>
      <w:r>
        <w:rPr>
          <w:color w:val="000000"/>
        </w:rPr>
        <w:t xml:space="preserve">, J. Wilberding (tr. and ed.), Bloomsbury, London- New York 2011. </w:t>
      </w:r>
    </w:p>
    <w:p w14:paraId="304116A6" w14:textId="77777777" w:rsidR="00415C2E" w:rsidRDefault="00DB539A" w:rsidP="00686012">
      <w:pPr>
        <w:pStyle w:val="Titolo1"/>
        <w:rPr>
          <w:color w:val="000000"/>
        </w:rPr>
      </w:pPr>
      <w:r>
        <w:rPr>
          <w:i/>
          <w:color w:val="000000"/>
        </w:rPr>
        <w:t>——</w:t>
      </w:r>
      <w:r>
        <w:rPr>
          <w:color w:val="000000"/>
        </w:rPr>
        <w:t xml:space="preserve"> </w:t>
      </w:r>
      <w:r>
        <w:rPr>
          <w:i/>
          <w:color w:val="000000"/>
        </w:rPr>
        <w:t>Aids to the Study of the Intelligibles</w:t>
      </w:r>
      <w:r>
        <w:rPr>
          <w:color w:val="000000"/>
        </w:rPr>
        <w:t xml:space="preserve">, T. Taylor (tr.), in </w:t>
      </w:r>
      <w:r>
        <w:rPr>
          <w:i/>
          <w:color w:val="000000"/>
        </w:rPr>
        <w:t>The Collected Works of Porphyry</w:t>
      </w:r>
      <w:r>
        <w:rPr>
          <w:color w:val="000000"/>
        </w:rPr>
        <w:t>, Delphi Classics, Hasting 2023.</w:t>
      </w:r>
    </w:p>
    <w:p w14:paraId="6C704CF7" w14:textId="03EF754B" w:rsidR="00415C2E" w:rsidRDefault="00DB539A" w:rsidP="00686012">
      <w:pPr>
        <w:pStyle w:val="Titolo1"/>
        <w:rPr>
          <w:color w:val="000000"/>
        </w:rPr>
      </w:pPr>
      <w:r>
        <w:rPr>
          <w:i/>
          <w:color w:val="000000"/>
        </w:rPr>
        <w:t>——</w:t>
      </w:r>
      <w:r>
        <w:rPr>
          <w:color w:val="000000"/>
        </w:rPr>
        <w:t xml:space="preserve"> </w:t>
      </w:r>
      <w:r>
        <w:rPr>
          <w:i/>
          <w:color w:val="000000"/>
        </w:rPr>
        <w:t xml:space="preserve">Letter to Anebo, </w:t>
      </w:r>
      <w:r>
        <w:rPr>
          <w:color w:val="000000"/>
        </w:rPr>
        <w:t xml:space="preserve">T. Taylor (tr.), in </w:t>
      </w:r>
      <w:r>
        <w:rPr>
          <w:i/>
          <w:color w:val="000000"/>
        </w:rPr>
        <w:t>The Collected Works of Porphyry</w:t>
      </w:r>
      <w:r>
        <w:rPr>
          <w:color w:val="000000"/>
        </w:rPr>
        <w:t>, Delphi Classics, Hasting 2023.</w:t>
      </w:r>
    </w:p>
    <w:p w14:paraId="6CCFF815" w14:textId="7C1CD57B" w:rsidR="00372C51" w:rsidRPr="00372C51" w:rsidRDefault="00372C51" w:rsidP="00686012">
      <w:pPr>
        <w:pStyle w:val="Titolo1"/>
        <w:rPr>
          <w:color w:val="000000"/>
        </w:rPr>
      </w:pPr>
      <w:r>
        <w:rPr>
          <w:i/>
          <w:color w:val="000000"/>
        </w:rPr>
        <w:t>——</w:t>
      </w:r>
      <w:r>
        <w:rPr>
          <w:color w:val="000000"/>
        </w:rPr>
        <w:t xml:space="preserve"> </w:t>
      </w:r>
      <w:r>
        <w:rPr>
          <w:i/>
          <w:color w:val="000000"/>
        </w:rPr>
        <w:t>Life of Plotinus</w:t>
      </w:r>
      <w:r>
        <w:rPr>
          <w:iCs/>
          <w:color w:val="000000"/>
        </w:rPr>
        <w:t xml:space="preserve">, in Plotinus, </w:t>
      </w:r>
      <w:r>
        <w:rPr>
          <w:i/>
          <w:color w:val="000000"/>
        </w:rPr>
        <w:t>Porphyry On the Life of Plotinus and the Order of His Books; Enneads I 1-9</w:t>
      </w:r>
      <w:r>
        <w:rPr>
          <w:iCs/>
          <w:color w:val="000000"/>
        </w:rPr>
        <w:t xml:space="preserve">, A.H. Armstrong (tr.), </w:t>
      </w:r>
      <w:r>
        <w:rPr>
          <w:color w:val="000000"/>
        </w:rPr>
        <w:t>Loeb Classical Library, Harvard University Press, Cambridge 1966.</w:t>
      </w:r>
    </w:p>
    <w:p w14:paraId="2B45820A" w14:textId="77777777" w:rsidR="00415C2E" w:rsidRDefault="00DB539A" w:rsidP="00686012">
      <w:pPr>
        <w:pStyle w:val="Titolo1"/>
        <w:rPr>
          <w:color w:val="000000"/>
        </w:rPr>
      </w:pPr>
      <w:r>
        <w:rPr>
          <w:smallCaps/>
          <w:color w:val="000000"/>
        </w:rPr>
        <w:t>Ptolemy,</w:t>
      </w:r>
      <w:r>
        <w:rPr>
          <w:color w:val="000000"/>
        </w:rPr>
        <w:t xml:space="preserve"> </w:t>
      </w:r>
      <w:r>
        <w:rPr>
          <w:i/>
          <w:color w:val="000000"/>
        </w:rPr>
        <w:t>Tetrabiblos</w:t>
      </w:r>
      <w:r>
        <w:rPr>
          <w:color w:val="000000"/>
        </w:rPr>
        <w:t>, F.E. Robbins (ed. and tr.), Loeb Classical Library , Harvard University Press, Cambridge-London 1940.</w:t>
      </w:r>
    </w:p>
    <w:p w14:paraId="54ACC7DB" w14:textId="452CDE4A" w:rsidR="00686012" w:rsidRDefault="00DB539A" w:rsidP="00686012">
      <w:pPr>
        <w:pStyle w:val="Titolo1"/>
      </w:pPr>
      <w:r>
        <w:rPr>
          <w:i/>
        </w:rPr>
        <w:t>The Greek Magical Papyri in Translation. Including the Demotic Spells</w:t>
      </w:r>
      <w:r>
        <w:t>, H.D. Betz (ed.), The University of Chicago Press, Chicago-London 1996.</w:t>
      </w:r>
    </w:p>
    <w:p w14:paraId="655887A9" w14:textId="77777777" w:rsidR="00686012" w:rsidRPr="00686012" w:rsidRDefault="00686012" w:rsidP="00686012">
      <w:pPr>
        <w:pStyle w:val="Titolo1"/>
        <w:spacing w:line="240" w:lineRule="auto"/>
      </w:pPr>
    </w:p>
    <w:p w14:paraId="7588125D" w14:textId="759981AA" w:rsidR="00415C2E" w:rsidRDefault="00415C2E" w:rsidP="00686012">
      <w:pPr>
        <w:pStyle w:val="Titolo1"/>
        <w:spacing w:line="240" w:lineRule="auto"/>
      </w:pPr>
    </w:p>
    <w:p w14:paraId="1D105204" w14:textId="7A3768BD" w:rsidR="002439FC" w:rsidRDefault="002439FC" w:rsidP="00686012">
      <w:pPr>
        <w:pStyle w:val="Titolo1"/>
        <w:spacing w:line="240" w:lineRule="auto"/>
        <w:rPr>
          <w:iCs/>
          <w:color w:val="000000"/>
        </w:rPr>
      </w:pPr>
    </w:p>
    <w:p w14:paraId="7942051B" w14:textId="77777777" w:rsidR="002439FC" w:rsidRPr="002439FC" w:rsidRDefault="002439FC" w:rsidP="00686012">
      <w:pPr>
        <w:pStyle w:val="Titolo1"/>
        <w:spacing w:line="240" w:lineRule="auto"/>
        <w:ind w:left="0" w:firstLine="0"/>
        <w:rPr>
          <w:iCs/>
          <w:color w:val="000000"/>
        </w:rPr>
      </w:pPr>
    </w:p>
    <w:p w14:paraId="1A544199" w14:textId="74CADAE9" w:rsidR="00415C2E" w:rsidRPr="002439FC" w:rsidRDefault="00DB539A" w:rsidP="00686012">
      <w:pPr>
        <w:pStyle w:val="Titolo1"/>
        <w:spacing w:line="240" w:lineRule="auto"/>
        <w:ind w:firstLine="153"/>
        <w:rPr>
          <w:i/>
          <w:color w:val="000000"/>
        </w:rPr>
      </w:pPr>
      <w:r>
        <w:rPr>
          <w:i/>
          <w:color w:val="000000"/>
        </w:rPr>
        <w:t>Secondary Sources</w:t>
      </w:r>
    </w:p>
    <w:p w14:paraId="2D6558F6" w14:textId="253D1176" w:rsidR="00415C2E" w:rsidRDefault="00415C2E" w:rsidP="00DB7C27">
      <w:pPr>
        <w:pStyle w:val="Titolo1"/>
        <w:spacing w:line="240" w:lineRule="auto"/>
        <w:rPr>
          <w:color w:val="000000"/>
          <w:highlight w:val="cyan"/>
        </w:rPr>
      </w:pPr>
    </w:p>
    <w:p w14:paraId="32D3963D" w14:textId="77777777" w:rsidR="002439FC" w:rsidRDefault="002439FC" w:rsidP="00DB7C27">
      <w:pPr>
        <w:pStyle w:val="Titolo1"/>
        <w:spacing w:line="240" w:lineRule="auto"/>
        <w:rPr>
          <w:color w:val="000000"/>
          <w:highlight w:val="cyan"/>
        </w:rPr>
      </w:pPr>
    </w:p>
    <w:p w14:paraId="24129710" w14:textId="77777777" w:rsidR="00415C2E" w:rsidRDefault="00DB539A" w:rsidP="00686012">
      <w:pPr>
        <w:pStyle w:val="Titolo1"/>
        <w:rPr>
          <w:color w:val="000000"/>
        </w:rPr>
      </w:pPr>
      <w:r>
        <w:rPr>
          <w:smallCaps/>
          <w:color w:val="000000"/>
        </w:rPr>
        <w:t xml:space="preserve">Adam, J. </w:t>
      </w:r>
      <w:r>
        <w:t xml:space="preserve">(ed. with critical notes and appendices), </w:t>
      </w:r>
      <w:r>
        <w:rPr>
          <w:i/>
        </w:rPr>
        <w:t>The Republic of Plato</w:t>
      </w:r>
      <w:r>
        <w:t>, v. 2, Cambridge University Press, Cambridge 1902.</w:t>
      </w:r>
    </w:p>
    <w:p w14:paraId="783A079E" w14:textId="77777777" w:rsidR="00415C2E" w:rsidRDefault="00DB539A" w:rsidP="00686012">
      <w:pPr>
        <w:pStyle w:val="Titolo1"/>
        <w:rPr>
          <w:smallCaps/>
          <w:color w:val="000000"/>
        </w:rPr>
      </w:pPr>
      <w:r>
        <w:rPr>
          <w:smallCaps/>
          <w:color w:val="000000"/>
        </w:rPr>
        <w:t>Adamson, P.,</w:t>
      </w:r>
      <w:r>
        <w:t xml:space="preserve"> </w:t>
      </w:r>
      <w:r>
        <w:rPr>
          <w:i/>
        </w:rPr>
        <w:t>Studies on Plotinus and Al-Kindi</w:t>
      </w:r>
      <w:r>
        <w:t>, Routledge, London-New York 2014.</w:t>
      </w:r>
    </w:p>
    <w:p w14:paraId="3BDF488A" w14:textId="07125236" w:rsidR="00430131" w:rsidRPr="00430131" w:rsidRDefault="00430131" w:rsidP="00686012">
      <w:pPr>
        <w:pStyle w:val="Titolo1"/>
        <w:rPr>
          <w:smallCaps/>
          <w:color w:val="000000"/>
        </w:rPr>
      </w:pPr>
      <w:r w:rsidRPr="00430131">
        <w:rPr>
          <w:smallCaps/>
          <w:color w:val="000000"/>
        </w:rPr>
        <w:t>B</w:t>
      </w:r>
      <w:r w:rsidR="00E31A5A">
        <w:rPr>
          <w:smallCaps/>
          <w:color w:val="000000"/>
        </w:rPr>
        <w:t>a</w:t>
      </w:r>
      <w:r w:rsidRPr="00430131">
        <w:rPr>
          <w:smallCaps/>
          <w:color w:val="000000"/>
        </w:rPr>
        <w:t>gnall</w:t>
      </w:r>
      <w:r>
        <w:rPr>
          <w:smallCaps/>
          <w:color w:val="000000"/>
        </w:rPr>
        <w:t>,</w:t>
      </w:r>
      <w:r w:rsidRPr="00430131">
        <w:rPr>
          <w:smallCaps/>
          <w:color w:val="000000"/>
        </w:rPr>
        <w:t xml:space="preserve"> R.S.</w:t>
      </w:r>
      <w:r>
        <w:rPr>
          <w:smallCaps/>
          <w:color w:val="000000"/>
        </w:rPr>
        <w:t xml:space="preserve">, </w:t>
      </w:r>
      <w:r w:rsidRPr="00430131">
        <w:rPr>
          <w:rFonts w:cs="font229"/>
          <w:smallCaps/>
          <w:color w:val="000000"/>
        </w:rPr>
        <w:t xml:space="preserve">Cameron, </w:t>
      </w:r>
      <w:r>
        <w:rPr>
          <w:rFonts w:cs="font229"/>
          <w:smallCaps/>
          <w:color w:val="000000"/>
        </w:rPr>
        <w:t xml:space="preserve">A., </w:t>
      </w:r>
      <w:r w:rsidRPr="00430131">
        <w:rPr>
          <w:rFonts w:cs="font229"/>
          <w:smallCaps/>
          <w:color w:val="000000"/>
        </w:rPr>
        <w:t>Schwartz</w:t>
      </w:r>
      <w:r>
        <w:rPr>
          <w:rFonts w:cs="font229"/>
          <w:smallCaps/>
          <w:color w:val="000000"/>
        </w:rPr>
        <w:t>,</w:t>
      </w:r>
      <w:r w:rsidRPr="00430131">
        <w:rPr>
          <w:rFonts w:cs="font229"/>
          <w:smallCaps/>
          <w:color w:val="000000"/>
        </w:rPr>
        <w:t xml:space="preserve"> S.R., Worp</w:t>
      </w:r>
      <w:r w:rsidRPr="00430131">
        <w:rPr>
          <w:rFonts w:cs="font229"/>
          <w:color w:val="000000"/>
        </w:rPr>
        <w:t xml:space="preserve">, </w:t>
      </w:r>
      <w:r w:rsidRPr="00430131">
        <w:rPr>
          <w:rFonts w:cs="font229"/>
          <w:smallCaps/>
          <w:color w:val="000000"/>
        </w:rPr>
        <w:t>K.A.</w:t>
      </w:r>
      <w:r>
        <w:rPr>
          <w:rFonts w:cs="font229"/>
          <w:smallCaps/>
          <w:color w:val="000000"/>
        </w:rPr>
        <w:t xml:space="preserve">, </w:t>
      </w:r>
      <w:r w:rsidRPr="00430131">
        <w:rPr>
          <w:rFonts w:cs="font229"/>
          <w:i/>
          <w:iCs/>
          <w:color w:val="000000"/>
        </w:rPr>
        <w:t>Consuls of the Later Roman Empire</w:t>
      </w:r>
      <w:r w:rsidRPr="00430131">
        <w:rPr>
          <w:rFonts w:cs="font229"/>
          <w:color w:val="000000"/>
        </w:rPr>
        <w:t>, The American Philological Association, Scholar Press, Atlanta 1987</w:t>
      </w:r>
      <w:r>
        <w:rPr>
          <w:rFonts w:cs="font229"/>
          <w:color w:val="000000"/>
        </w:rPr>
        <w:t>.</w:t>
      </w:r>
    </w:p>
    <w:p w14:paraId="1721F825" w14:textId="3775C3A4" w:rsidR="00600839" w:rsidRPr="002F1B82" w:rsidRDefault="00600839" w:rsidP="00686012">
      <w:pPr>
        <w:pStyle w:val="Titolo1"/>
        <w:rPr>
          <w:smallCaps/>
          <w:color w:val="000000"/>
          <w:lang w:val="it-IT"/>
        </w:rPr>
      </w:pPr>
      <w:r w:rsidRPr="002F1B82">
        <w:rPr>
          <w:smallCaps/>
          <w:color w:val="000000"/>
          <w:lang w:val="it-IT"/>
        </w:rPr>
        <w:t xml:space="preserve">Bouché-Leclercq, A., </w:t>
      </w:r>
      <w:r w:rsidRPr="002F1B82">
        <w:rPr>
          <w:i/>
          <w:iCs/>
          <w:lang w:val="it-IT"/>
        </w:rPr>
        <w:t>L’astrologie grecque</w:t>
      </w:r>
      <w:r w:rsidRPr="002F1B82">
        <w:rPr>
          <w:lang w:val="it-IT"/>
        </w:rPr>
        <w:t>, Leroux, Paris 1899.</w:t>
      </w:r>
    </w:p>
    <w:p w14:paraId="7A2A5393" w14:textId="2EC7E560" w:rsidR="00E31A5A" w:rsidRDefault="00E31A5A" w:rsidP="00686012">
      <w:pPr>
        <w:pStyle w:val="Titolo1"/>
        <w:rPr>
          <w:rFonts w:cs="font229"/>
          <w:color w:val="000000"/>
        </w:rPr>
      </w:pPr>
      <w:r>
        <w:rPr>
          <w:smallCaps/>
          <w:color w:val="000000"/>
        </w:rPr>
        <w:t>Brennan, C</w:t>
      </w:r>
      <w:r w:rsidRPr="00E31A5A">
        <w:rPr>
          <w:rFonts w:cs="font229"/>
          <w:color w:val="000000"/>
        </w:rPr>
        <w:t xml:space="preserve">., </w:t>
      </w:r>
      <w:r>
        <w:rPr>
          <w:rFonts w:cs="font229"/>
          <w:color w:val="000000"/>
        </w:rPr>
        <w:t>‘</w:t>
      </w:r>
      <w:r w:rsidRPr="00E31A5A">
        <w:rPr>
          <w:rFonts w:cs="font229"/>
          <w:color w:val="000000"/>
        </w:rPr>
        <w:t>Anonymous of 379</w:t>
      </w:r>
      <w:r>
        <w:rPr>
          <w:rFonts w:cs="font229"/>
          <w:color w:val="000000"/>
        </w:rPr>
        <w:t>’,</w:t>
      </w:r>
      <w:r w:rsidRPr="00E31A5A">
        <w:rPr>
          <w:rFonts w:cs="font229"/>
          <w:color w:val="000000"/>
        </w:rPr>
        <w:t xml:space="preserve"> </w:t>
      </w:r>
      <w:r w:rsidRPr="00E31A5A">
        <w:rPr>
          <w:rFonts w:cs="font229"/>
          <w:i/>
          <w:iCs/>
          <w:color w:val="000000"/>
        </w:rPr>
        <w:t>The Hellenistic Astrology Website</w:t>
      </w:r>
      <w:r w:rsidRPr="00E31A5A">
        <w:rPr>
          <w:rFonts w:cs="font229"/>
          <w:color w:val="000000"/>
        </w:rPr>
        <w:t>, March 27</w:t>
      </w:r>
      <w:r>
        <w:rPr>
          <w:rFonts w:cs="font229"/>
          <w:color w:val="000000"/>
        </w:rPr>
        <w:t xml:space="preserve"> </w:t>
      </w:r>
      <w:r w:rsidRPr="00E31A5A">
        <w:rPr>
          <w:rFonts w:cs="font229"/>
          <w:color w:val="000000"/>
        </w:rPr>
        <w:t>2014,</w:t>
      </w:r>
    </w:p>
    <w:p w14:paraId="6A509248" w14:textId="002CE014" w:rsidR="00E31A5A" w:rsidRPr="00BB56B6" w:rsidRDefault="00E31A5A" w:rsidP="00686012">
      <w:pPr>
        <w:pStyle w:val="Titolo1"/>
        <w:ind w:firstLine="0"/>
        <w:rPr>
          <w:smallCaps/>
          <w:color w:val="000000"/>
        </w:rPr>
      </w:pPr>
      <w:r w:rsidRPr="00BB56B6">
        <w:rPr>
          <w:smallCaps/>
          <w:color w:val="000000"/>
        </w:rPr>
        <w:t>&lt;</w:t>
      </w:r>
      <w:r w:rsidRPr="00BB56B6">
        <w:rPr>
          <w:rFonts w:cs="font229"/>
          <w:color w:val="000000"/>
        </w:rPr>
        <w:t>https://www.hellenisticastrology.com/astrologers/anonymous-of-379/&gt;</w:t>
      </w:r>
      <w:r w:rsidR="00BB56B6" w:rsidRPr="00BB56B6">
        <w:rPr>
          <w:smallCaps/>
          <w:color w:val="000000"/>
        </w:rPr>
        <w:t xml:space="preserve"> [</w:t>
      </w:r>
      <w:r w:rsidR="00BB56B6">
        <w:rPr>
          <w:iCs/>
          <w:color w:val="000000"/>
        </w:rPr>
        <w:t>Accessed December 2024].</w:t>
      </w:r>
    </w:p>
    <w:p w14:paraId="5CDCB4C4" w14:textId="074E84FD" w:rsidR="00415C2E" w:rsidRDefault="00DB539A" w:rsidP="00686012">
      <w:pPr>
        <w:pStyle w:val="Titolo1"/>
        <w:rPr>
          <w:smallCaps/>
          <w:color w:val="000000"/>
        </w:rPr>
      </w:pPr>
      <w:r>
        <w:rPr>
          <w:smallCaps/>
          <w:color w:val="000000"/>
        </w:rPr>
        <w:lastRenderedPageBreak/>
        <w:t>Brouwer, R., Vimercati, E.</w:t>
      </w:r>
      <w:r>
        <w:t xml:space="preserve">, </w:t>
      </w:r>
      <w:r>
        <w:rPr>
          <w:i/>
        </w:rPr>
        <w:t>Introduction</w:t>
      </w:r>
      <w:r>
        <w:t xml:space="preserve">, in R. Brouwer, E. Vimercati (eds.), </w:t>
      </w:r>
      <w:r>
        <w:rPr>
          <w:i/>
        </w:rPr>
        <w:t>Fate, Providence and Free Will:</w:t>
      </w:r>
      <w:r>
        <w:rPr>
          <w:rFonts w:ascii="Times New Roman" w:eastAsia="Times New Roman" w:hAnsi="Times New Roman" w:cs="Times New Roman"/>
          <w:i/>
          <w:sz w:val="24"/>
          <w:szCs w:val="24"/>
        </w:rPr>
        <w:t xml:space="preserve"> </w:t>
      </w:r>
      <w:r>
        <w:rPr>
          <w:i/>
        </w:rPr>
        <w:t>Philosophy and Religion in</w:t>
      </w:r>
      <w:r>
        <w:rPr>
          <w:rFonts w:ascii="Times New Roman" w:eastAsia="Times New Roman" w:hAnsi="Times New Roman" w:cs="Times New Roman"/>
          <w:i/>
          <w:sz w:val="24"/>
          <w:szCs w:val="24"/>
        </w:rPr>
        <w:t xml:space="preserve"> </w:t>
      </w:r>
      <w:r>
        <w:rPr>
          <w:i/>
        </w:rPr>
        <w:t>Dialogue in the Early Imperial Age</w:t>
      </w:r>
      <w:r>
        <w:t>, Brill, Leiden-Boston 2020.</w:t>
      </w:r>
    </w:p>
    <w:p w14:paraId="1A0FA55D" w14:textId="77777777" w:rsidR="00415C2E" w:rsidRDefault="00DB539A" w:rsidP="00686012">
      <w:pPr>
        <w:pStyle w:val="Titolo1"/>
      </w:pPr>
      <w:r>
        <w:rPr>
          <w:smallCaps/>
          <w:color w:val="000000"/>
        </w:rPr>
        <w:t>Burns</w:t>
      </w:r>
      <w:r>
        <w:t xml:space="preserve">, D.M., </w:t>
      </w:r>
      <w:r>
        <w:rPr>
          <w:i/>
        </w:rPr>
        <w:t>Did God Care? Providence, Dualism, and Will in Later Greek and Early Christian Philosophy</w:t>
      </w:r>
      <w:r>
        <w:t>, Brill, Leiden-Boston 2020.</w:t>
      </w:r>
    </w:p>
    <w:p w14:paraId="65479250" w14:textId="77777777" w:rsidR="00415C2E" w:rsidRDefault="00DB539A" w:rsidP="00686012">
      <w:pPr>
        <w:pStyle w:val="Titolo1"/>
        <w:rPr>
          <w:smallCaps/>
          <w:color w:val="000000"/>
        </w:rPr>
      </w:pPr>
      <w:r w:rsidRPr="00EB2B1C">
        <w:rPr>
          <w:i/>
          <w:color w:val="000000"/>
        </w:rPr>
        <w:t xml:space="preserve">—— </w:t>
      </w:r>
      <w:r w:rsidRPr="00EB2B1C">
        <w:rPr>
          <w:i/>
        </w:rPr>
        <w:t>The Hermetic Asclepius’s Middle Platonist Teaching on Fate</w:t>
      </w:r>
      <w:r w:rsidRPr="00EB2B1C">
        <w:t xml:space="preserve">, in R.M. Calhoun, J.A. Kelhoffer, C.K. Rothschild, </w:t>
      </w:r>
      <w:r w:rsidRPr="00EB2B1C">
        <w:rPr>
          <w:i/>
        </w:rPr>
        <w:t>Celebrating Arthur Darby Nock. Choice, Change, and Conversion</w:t>
      </w:r>
      <w:r w:rsidRPr="00EB2B1C">
        <w:t>, Mohr Siebeck, Tübingen 2021.</w:t>
      </w:r>
    </w:p>
    <w:p w14:paraId="05C4E361" w14:textId="5DEA49D6" w:rsidR="00415C2E" w:rsidRPr="00005B83" w:rsidRDefault="00DB539A" w:rsidP="00686012">
      <w:pPr>
        <w:pStyle w:val="Titolo1"/>
        <w:rPr>
          <w:iCs/>
          <w:color w:val="000000"/>
        </w:rPr>
      </w:pPr>
      <w:r>
        <w:rPr>
          <w:smallCaps/>
          <w:color w:val="000000"/>
        </w:rPr>
        <w:t>Campion,</w:t>
      </w:r>
      <w:r>
        <w:rPr>
          <w:color w:val="000000"/>
        </w:rPr>
        <w:t xml:space="preserve"> N., </w:t>
      </w:r>
      <w:r>
        <w:rPr>
          <w:i/>
          <w:color w:val="000000"/>
        </w:rPr>
        <w:t>A History of Western Astrology</w:t>
      </w:r>
      <w:r w:rsidR="00005B83">
        <w:rPr>
          <w:i/>
          <w:color w:val="000000"/>
        </w:rPr>
        <w:t>. The Ancient World</w:t>
      </w:r>
      <w:r w:rsidR="00005B83">
        <w:rPr>
          <w:iCs/>
          <w:color w:val="000000"/>
        </w:rPr>
        <w:t>, v. 1, Bloomsbury Academic, London-New York 2015.</w:t>
      </w:r>
    </w:p>
    <w:p w14:paraId="6D53AB52" w14:textId="77777777" w:rsidR="00415C2E" w:rsidRDefault="00DB539A" w:rsidP="00686012">
      <w:pPr>
        <w:pStyle w:val="Titolo1"/>
        <w:rPr>
          <w:smallCaps/>
          <w:color w:val="000000"/>
        </w:rPr>
      </w:pPr>
      <w:r>
        <w:rPr>
          <w:smallCaps/>
          <w:color w:val="000000"/>
        </w:rPr>
        <w:t>Cooper, G.M.,</w:t>
      </w:r>
      <w:r>
        <w:rPr>
          <w:i/>
          <w:color w:val="000000"/>
        </w:rPr>
        <w:t xml:space="preserve"> Astrology. The Science of Signs in the Heavens</w:t>
      </w:r>
      <w:r>
        <w:rPr>
          <w:color w:val="000000"/>
        </w:rPr>
        <w:t xml:space="preserve">, in P.T. Keyser, J. Scarborough (eds.), </w:t>
      </w:r>
      <w:r>
        <w:rPr>
          <w:i/>
          <w:color w:val="000000"/>
        </w:rPr>
        <w:t>The Oxford Handbook to Science and Medicine in the Classical World</w:t>
      </w:r>
      <w:r>
        <w:rPr>
          <w:color w:val="000000"/>
        </w:rPr>
        <w:t>, Oxford University Press, Oxford 2018.</w:t>
      </w:r>
    </w:p>
    <w:p w14:paraId="3DE053A3" w14:textId="4E6CE0FF" w:rsidR="00415C2E" w:rsidRDefault="00DB539A" w:rsidP="00686012">
      <w:pPr>
        <w:pStyle w:val="Titolo1"/>
        <w:rPr>
          <w:smallCaps/>
          <w:color w:val="000000"/>
        </w:rPr>
      </w:pPr>
      <w:r>
        <w:rPr>
          <w:smallCaps/>
          <w:color w:val="000000"/>
        </w:rPr>
        <w:t xml:space="preserve">Cornford, F.M. </w:t>
      </w:r>
      <w:r>
        <w:t xml:space="preserve">(tr. and commentary), </w:t>
      </w:r>
      <w:r>
        <w:rPr>
          <w:i/>
        </w:rPr>
        <w:t xml:space="preserve">Plato’s Cosmology. The </w:t>
      </w:r>
      <w:r>
        <w:t>Timaeus</w:t>
      </w:r>
      <w:r>
        <w:rPr>
          <w:i/>
        </w:rPr>
        <w:t xml:space="preserve"> of Plato</w:t>
      </w:r>
      <w:r>
        <w:t>, Hackett Publishing Company, Indianapolis-Cambridge 1997.</w:t>
      </w:r>
    </w:p>
    <w:p w14:paraId="61F56EF4" w14:textId="1135F633" w:rsidR="00415C2E" w:rsidRDefault="00DB539A" w:rsidP="00686012">
      <w:pPr>
        <w:pStyle w:val="Titolo1"/>
        <w:rPr>
          <w:smallCaps/>
          <w:color w:val="000000"/>
        </w:rPr>
      </w:pPr>
      <w:r>
        <w:rPr>
          <w:smallCaps/>
          <w:color w:val="000000"/>
        </w:rPr>
        <w:t xml:space="preserve">Denzey Lewis, N., </w:t>
      </w:r>
      <w:r>
        <w:rPr>
          <w:i/>
        </w:rPr>
        <w:t>Cosmology and Fate in Gnosticism and Graeco-Roman Antiquity. Under Pitiless Skies</w:t>
      </w:r>
      <w:r>
        <w:t>, Brill, Leiden-Boston 2013.</w:t>
      </w:r>
    </w:p>
    <w:p w14:paraId="39EB20D7" w14:textId="6636E816" w:rsidR="00B10DA1" w:rsidRPr="00477651" w:rsidRDefault="00B10DA1" w:rsidP="00686012">
      <w:pPr>
        <w:pStyle w:val="Titolo1"/>
        <w:rPr>
          <w:iCs/>
          <w:smallCaps/>
          <w:color w:val="000000"/>
        </w:rPr>
      </w:pPr>
      <w:r>
        <w:rPr>
          <w:smallCaps/>
          <w:color w:val="000000"/>
        </w:rPr>
        <w:t>Edwards, M.</w:t>
      </w:r>
      <w:r w:rsidRPr="00B10DA1">
        <w:rPr>
          <w:i/>
        </w:rPr>
        <w:t xml:space="preserve"> </w:t>
      </w:r>
      <w:r>
        <w:rPr>
          <w:i/>
        </w:rPr>
        <w:t>Astrology and Freedom</w:t>
      </w:r>
      <w:r w:rsidR="00477651">
        <w:rPr>
          <w:i/>
        </w:rPr>
        <w:t xml:space="preserve">. The </w:t>
      </w:r>
      <w:r w:rsidR="00F1476B">
        <w:rPr>
          <w:i/>
        </w:rPr>
        <w:t>Ca</w:t>
      </w:r>
      <w:r w:rsidR="00477651">
        <w:rPr>
          <w:i/>
        </w:rPr>
        <w:t>se of Firmicus Maternus</w:t>
      </w:r>
      <w:r w:rsidR="00477651">
        <w:rPr>
          <w:iCs/>
        </w:rPr>
        <w:t xml:space="preserve">, in A. Torrance, J. Zachhuber (eds.), </w:t>
      </w:r>
      <w:r w:rsidR="00477651">
        <w:rPr>
          <w:i/>
        </w:rPr>
        <w:t>Individuality in Late Antiquity</w:t>
      </w:r>
      <w:r w:rsidR="00477651">
        <w:rPr>
          <w:iCs/>
        </w:rPr>
        <w:t>, Ashgate, Farnham-Burlington 2014.</w:t>
      </w:r>
    </w:p>
    <w:p w14:paraId="1FAE5F35" w14:textId="0FF4B5B2" w:rsidR="00415C2E" w:rsidRDefault="00DB539A" w:rsidP="00686012">
      <w:pPr>
        <w:pStyle w:val="Titolo1"/>
        <w:rPr>
          <w:smallCaps/>
          <w:color w:val="000000"/>
        </w:rPr>
      </w:pPr>
      <w:r>
        <w:rPr>
          <w:smallCaps/>
          <w:color w:val="000000"/>
        </w:rPr>
        <w:t xml:space="preserve">Greenbaum, D.G., </w:t>
      </w:r>
      <w:r>
        <w:rPr>
          <w:i/>
        </w:rPr>
        <w:t>Arrows, Aiming and Divination: Astrology as a Stochastic Art</w:t>
      </w:r>
      <w:r>
        <w:t xml:space="preserve">, in P. Curry (ed.), </w:t>
      </w:r>
      <w:r>
        <w:rPr>
          <w:i/>
        </w:rPr>
        <w:t>Divination. Perspectives for a New Millennium</w:t>
      </w:r>
      <w:r>
        <w:t>, Routledge, London-New York 2010.</w:t>
      </w:r>
    </w:p>
    <w:p w14:paraId="7F87428D" w14:textId="77777777" w:rsidR="00415C2E" w:rsidRDefault="00DB539A" w:rsidP="00686012">
      <w:pPr>
        <w:pStyle w:val="Titolo1"/>
      </w:pPr>
      <w:r>
        <w:rPr>
          <w:i/>
          <w:color w:val="000000"/>
        </w:rPr>
        <w:t xml:space="preserve">—— </w:t>
      </w:r>
      <w:r>
        <w:rPr>
          <w:i/>
        </w:rPr>
        <w:t>The Daimon in Hellenistic Astrology. Origins and Influence</w:t>
      </w:r>
      <w:r>
        <w:t>, Brill, Leiden-Boston 2016.</w:t>
      </w:r>
    </w:p>
    <w:p w14:paraId="03111450" w14:textId="3D218754" w:rsidR="00415C2E" w:rsidRDefault="00DB539A" w:rsidP="00686012">
      <w:pPr>
        <w:pStyle w:val="Titolo1"/>
        <w:rPr>
          <w:color w:val="000000"/>
        </w:rPr>
      </w:pPr>
      <w:r>
        <w:rPr>
          <w:i/>
          <w:color w:val="000000"/>
        </w:rPr>
        <w:t xml:space="preserve">—— Divination and </w:t>
      </w:r>
      <w:r w:rsidR="00DF7447">
        <w:rPr>
          <w:i/>
          <w:color w:val="000000"/>
        </w:rPr>
        <w:t>D</w:t>
      </w:r>
      <w:r>
        <w:rPr>
          <w:i/>
          <w:color w:val="000000"/>
        </w:rPr>
        <w:t xml:space="preserve">ecumbiture: Katarchic </w:t>
      </w:r>
      <w:r w:rsidR="00DF7447">
        <w:rPr>
          <w:i/>
          <w:color w:val="000000"/>
        </w:rPr>
        <w:t>A</w:t>
      </w:r>
      <w:r>
        <w:rPr>
          <w:i/>
          <w:color w:val="000000"/>
        </w:rPr>
        <w:t>strology and Greek</w:t>
      </w:r>
      <w:r w:rsidR="00DF7447">
        <w:rPr>
          <w:i/>
          <w:color w:val="000000"/>
        </w:rPr>
        <w:t xml:space="preserve"> Medicine</w:t>
      </w:r>
      <w:r>
        <w:rPr>
          <w:color w:val="000000"/>
        </w:rPr>
        <w:t xml:space="preserve">, in C. Addey (ed.), </w:t>
      </w:r>
      <w:r>
        <w:rPr>
          <w:i/>
          <w:color w:val="000000"/>
        </w:rPr>
        <w:t>Divination and Knowledge in Late Antiquity</w:t>
      </w:r>
      <w:r>
        <w:rPr>
          <w:color w:val="000000"/>
        </w:rPr>
        <w:t>, Routledge, London-New York 2022.</w:t>
      </w:r>
    </w:p>
    <w:p w14:paraId="4144E28E" w14:textId="7395B49C" w:rsidR="00415C2E" w:rsidRDefault="00DB539A" w:rsidP="00686012">
      <w:pPr>
        <w:pStyle w:val="Titolo1"/>
        <w:rPr>
          <w:smallCaps/>
          <w:color w:val="000000"/>
        </w:rPr>
      </w:pPr>
      <w:r>
        <w:rPr>
          <w:smallCaps/>
          <w:color w:val="000000"/>
        </w:rPr>
        <w:t xml:space="preserve">Johnson, A.P., </w:t>
      </w:r>
      <w:r>
        <w:rPr>
          <w:i/>
        </w:rPr>
        <w:t>Astrology and the Will in Porphyry of Tyre</w:t>
      </w:r>
      <w:r>
        <w:t xml:space="preserve">, in </w:t>
      </w:r>
      <w:r w:rsidR="00253D18">
        <w:t xml:space="preserve">A. Marmodoro, B.D. Prince (eds.), </w:t>
      </w:r>
      <w:r>
        <w:rPr>
          <w:i/>
        </w:rPr>
        <w:t>Causation and Creation in Late Antiquity</w:t>
      </w:r>
      <w:r>
        <w:t>, Cambridge University Press, Cambridge 2015.</w:t>
      </w:r>
    </w:p>
    <w:p w14:paraId="0AB442D9" w14:textId="1E71FD3A" w:rsidR="00415C2E" w:rsidRDefault="00DB539A" w:rsidP="00686012">
      <w:pPr>
        <w:pStyle w:val="Titolo1"/>
        <w:rPr>
          <w:color w:val="000000"/>
        </w:rPr>
      </w:pPr>
      <w:r>
        <w:rPr>
          <w:smallCaps/>
          <w:color w:val="000000"/>
        </w:rPr>
        <w:t xml:space="preserve">Lawrence, M., </w:t>
      </w:r>
      <w:r>
        <w:rPr>
          <w:i/>
        </w:rPr>
        <w:t xml:space="preserve">Astral </w:t>
      </w:r>
      <w:r w:rsidR="004C150F">
        <w:rPr>
          <w:i/>
        </w:rPr>
        <w:t>S</w:t>
      </w:r>
      <w:r>
        <w:rPr>
          <w:i/>
        </w:rPr>
        <w:t xml:space="preserve">ymbolism in </w:t>
      </w:r>
      <w:r w:rsidR="004C150F">
        <w:rPr>
          <w:i/>
        </w:rPr>
        <w:t>T</w:t>
      </w:r>
      <w:r>
        <w:rPr>
          <w:i/>
        </w:rPr>
        <w:t xml:space="preserve">heurgic </w:t>
      </w:r>
      <w:r w:rsidR="004C150F">
        <w:rPr>
          <w:i/>
        </w:rPr>
        <w:t>R</w:t>
      </w:r>
      <w:r>
        <w:rPr>
          <w:i/>
        </w:rPr>
        <w:t>ites</w:t>
      </w:r>
      <w:r>
        <w:rPr>
          <w:color w:val="000000"/>
        </w:rPr>
        <w:t xml:space="preserve">, in C. Addey (ed.), </w:t>
      </w:r>
      <w:r>
        <w:rPr>
          <w:i/>
          <w:color w:val="000000"/>
        </w:rPr>
        <w:t>Divination and Knowledge in Late Antiquity</w:t>
      </w:r>
      <w:r>
        <w:rPr>
          <w:color w:val="000000"/>
        </w:rPr>
        <w:t>, Routledge, London-New York 2022.</w:t>
      </w:r>
    </w:p>
    <w:p w14:paraId="4CFBE9A6" w14:textId="140AF79E" w:rsidR="00253D18" w:rsidRDefault="00253D18" w:rsidP="00686012">
      <w:pPr>
        <w:pStyle w:val="Titolo1"/>
        <w:rPr>
          <w:color w:val="000000"/>
        </w:rPr>
      </w:pPr>
      <w:r>
        <w:rPr>
          <w:i/>
          <w:color w:val="000000"/>
        </w:rPr>
        <w:t xml:space="preserve">—— </w:t>
      </w:r>
      <w:r w:rsidRPr="00253D18">
        <w:rPr>
          <w:color w:val="000000"/>
        </w:rPr>
        <w:t>‘Who Thought the Stars</w:t>
      </w:r>
      <w:r>
        <w:rPr>
          <w:color w:val="000000"/>
        </w:rPr>
        <w:t xml:space="preserve"> </w:t>
      </w:r>
      <w:r w:rsidRPr="00253D18">
        <w:rPr>
          <w:color w:val="000000"/>
        </w:rPr>
        <w:t>are Causes? The Astrological Doctrine Criticized by Plotinus’, J</w:t>
      </w:r>
      <w:r>
        <w:rPr>
          <w:color w:val="000000"/>
        </w:rPr>
        <w:t>.</w:t>
      </w:r>
      <w:r w:rsidRPr="00253D18">
        <w:rPr>
          <w:color w:val="000000"/>
        </w:rPr>
        <w:t>F. Finamore</w:t>
      </w:r>
      <w:r>
        <w:rPr>
          <w:color w:val="000000"/>
        </w:rPr>
        <w:t xml:space="preserve">, </w:t>
      </w:r>
      <w:r w:rsidRPr="00253D18">
        <w:rPr>
          <w:color w:val="000000"/>
        </w:rPr>
        <w:t>R</w:t>
      </w:r>
      <w:r>
        <w:rPr>
          <w:color w:val="000000"/>
        </w:rPr>
        <w:t>.</w:t>
      </w:r>
      <w:r w:rsidRPr="00253D18">
        <w:rPr>
          <w:color w:val="000000"/>
        </w:rPr>
        <w:t xml:space="preserve">M. Berchman </w:t>
      </w:r>
      <w:r>
        <w:rPr>
          <w:color w:val="000000"/>
        </w:rPr>
        <w:t xml:space="preserve">(eds.), </w:t>
      </w:r>
      <w:r w:rsidRPr="00253D18">
        <w:rPr>
          <w:i/>
          <w:iCs/>
          <w:color w:val="000000"/>
        </w:rPr>
        <w:t>Metaphysical Patterns in Platonism</w:t>
      </w:r>
      <w:r w:rsidRPr="00253D18">
        <w:rPr>
          <w:color w:val="000000"/>
        </w:rPr>
        <w:t>, University Press</w:t>
      </w:r>
      <w:r>
        <w:rPr>
          <w:color w:val="000000"/>
        </w:rPr>
        <w:t xml:space="preserve"> </w:t>
      </w:r>
      <w:r w:rsidRPr="00253D18">
        <w:rPr>
          <w:color w:val="000000"/>
        </w:rPr>
        <w:t>of the Sout</w:t>
      </w:r>
      <w:r w:rsidR="005A2E7A">
        <w:rPr>
          <w:color w:val="000000"/>
        </w:rPr>
        <w:t xml:space="preserve">h, </w:t>
      </w:r>
      <w:r w:rsidR="005A2E7A" w:rsidRPr="00253D18">
        <w:rPr>
          <w:color w:val="000000"/>
        </w:rPr>
        <w:t>New Orleans</w:t>
      </w:r>
      <w:r w:rsidR="005A2E7A">
        <w:rPr>
          <w:color w:val="000000"/>
        </w:rPr>
        <w:t xml:space="preserve"> </w:t>
      </w:r>
      <w:r w:rsidRPr="00253D18">
        <w:rPr>
          <w:color w:val="000000"/>
        </w:rPr>
        <w:t>2007</w:t>
      </w:r>
      <w:r>
        <w:rPr>
          <w:color w:val="000000"/>
        </w:rPr>
        <w:t>.</w:t>
      </w:r>
    </w:p>
    <w:p w14:paraId="40754078" w14:textId="77777777" w:rsidR="00415C2E" w:rsidRDefault="00DB539A" w:rsidP="00686012">
      <w:pPr>
        <w:pStyle w:val="Titolo1"/>
        <w:rPr>
          <w:smallCaps/>
          <w:color w:val="000000"/>
        </w:rPr>
      </w:pPr>
      <w:r>
        <w:rPr>
          <w:smallCaps/>
          <w:color w:val="000000"/>
        </w:rPr>
        <w:lastRenderedPageBreak/>
        <w:t xml:space="preserve">Leroux, G., </w:t>
      </w:r>
      <w:r>
        <w:rPr>
          <w:i/>
        </w:rPr>
        <w:t>Human Freedom in the Thought of Plotinus</w:t>
      </w:r>
      <w:r>
        <w:t xml:space="preserve">, in L.P. Gerson (ed.), </w:t>
      </w:r>
      <w:r>
        <w:rPr>
          <w:i/>
        </w:rPr>
        <w:t>The Cambridge Companion to Plotinus</w:t>
      </w:r>
      <w:r>
        <w:t>, Cambridge University Press, Cambridge 1996.</w:t>
      </w:r>
    </w:p>
    <w:p w14:paraId="6D3719ED" w14:textId="7C1E055E" w:rsidR="00415C2E" w:rsidRDefault="00DB539A" w:rsidP="00686012">
      <w:pPr>
        <w:pStyle w:val="Titolo1"/>
        <w:rPr>
          <w:smallCaps/>
          <w:color w:val="000000"/>
        </w:rPr>
      </w:pPr>
      <w:r>
        <w:rPr>
          <w:smallCaps/>
          <w:color w:val="000000"/>
        </w:rPr>
        <w:t xml:space="preserve">Lewy, H., </w:t>
      </w:r>
      <w:r>
        <w:rPr>
          <w:i/>
        </w:rPr>
        <w:t xml:space="preserve">Introduction </w:t>
      </w:r>
      <w:r>
        <w:t xml:space="preserve">in H. Lewy (ed.), </w:t>
      </w:r>
      <w:r>
        <w:rPr>
          <w:i/>
        </w:rPr>
        <w:t>Chaldaean Oracles and Theurgy: Mystic Magic and Platonism in the Later Roman Empire</w:t>
      </w:r>
      <w:r>
        <w:t xml:space="preserve">, </w:t>
      </w:r>
      <w:r>
        <w:rPr>
          <w:i/>
        </w:rPr>
        <w:t xml:space="preserve">Troisième </w:t>
      </w:r>
      <w:r w:rsidR="004B5A7E">
        <w:rPr>
          <w:i/>
        </w:rPr>
        <w:t>é</w:t>
      </w:r>
      <w:r>
        <w:rPr>
          <w:i/>
        </w:rPr>
        <w:t>dition par Michel Tardieu avec un supplément «Les Oracles chaldaïques 1891-2011»</w:t>
      </w:r>
      <w:r>
        <w:t xml:space="preserve">, Institut des </w:t>
      </w:r>
      <w:r w:rsidR="004B5A7E" w:rsidRPr="004B5A7E">
        <w:t>É</w:t>
      </w:r>
      <w:r>
        <w:t>tudes Augustiniennes, Paris 2011.</w:t>
      </w:r>
    </w:p>
    <w:p w14:paraId="75EA8D3C" w14:textId="77777777" w:rsidR="00415C2E" w:rsidRDefault="00DB539A" w:rsidP="00686012">
      <w:pPr>
        <w:pStyle w:val="Titolo1"/>
      </w:pPr>
      <w:r>
        <w:rPr>
          <w:smallCaps/>
          <w:color w:val="000000"/>
        </w:rPr>
        <w:t>Lizzi Testa</w:t>
      </w:r>
      <w:r>
        <w:t xml:space="preserve">, R. (ed.), </w:t>
      </w:r>
      <w:r>
        <w:rPr>
          <w:i/>
        </w:rPr>
        <w:t>Late Antiquity in Contemporary Debate</w:t>
      </w:r>
      <w:r>
        <w:t>, Cambridge Scholars Publishing, Newcastle upon Tyne 2017.</w:t>
      </w:r>
    </w:p>
    <w:p w14:paraId="4239259E" w14:textId="73692A1C" w:rsidR="00415C2E" w:rsidRDefault="00DB539A" w:rsidP="00686012">
      <w:pPr>
        <w:pStyle w:val="Titolo1"/>
        <w:rPr>
          <w:smallCaps/>
          <w:color w:val="000000"/>
        </w:rPr>
      </w:pPr>
      <w:r>
        <w:rPr>
          <w:smallCaps/>
          <w:color w:val="000000"/>
        </w:rPr>
        <w:t xml:space="preserve">Long, A.A., </w:t>
      </w:r>
      <w:r>
        <w:rPr>
          <w:i/>
        </w:rPr>
        <w:t>Astrology: Arguments Pro and Contra</w:t>
      </w:r>
      <w:r>
        <w:t xml:space="preserve">, in J. Barnes, J. Brunschwig, M. Burnyeat, M. Schofield (eds.), </w:t>
      </w:r>
      <w:r>
        <w:rPr>
          <w:i/>
        </w:rPr>
        <w:t>Science and Speculation. Studies in Hellenisti</w:t>
      </w:r>
      <w:r w:rsidR="004C150F">
        <w:rPr>
          <w:i/>
        </w:rPr>
        <w:t>c</w:t>
      </w:r>
      <w:r>
        <w:rPr>
          <w:i/>
        </w:rPr>
        <w:t xml:space="preserve"> Theory and Practice</w:t>
      </w:r>
      <w:r>
        <w:t>, Cambridge University Press, Cambridge 1982.</w:t>
      </w:r>
    </w:p>
    <w:p w14:paraId="2564EAC1" w14:textId="77777777" w:rsidR="00415C2E" w:rsidRDefault="00DB539A" w:rsidP="00686012">
      <w:pPr>
        <w:pStyle w:val="Titolo1"/>
      </w:pPr>
      <w:r>
        <w:rPr>
          <w:smallCaps/>
          <w:color w:val="000000"/>
        </w:rPr>
        <w:t xml:space="preserve">Mace, H., </w:t>
      </w:r>
      <w:r>
        <w:rPr>
          <w:i/>
        </w:rPr>
        <w:t>Astrology and Religion in Late Antiquity</w:t>
      </w:r>
      <w:r>
        <w:t xml:space="preserve">, in J. Lössl, N.J. Baker-Brian (eds.), </w:t>
      </w:r>
      <w:r>
        <w:rPr>
          <w:i/>
        </w:rPr>
        <w:t>Companion to Religion in Late Antiquity</w:t>
      </w:r>
      <w:r>
        <w:t>, Wiley, Hoboken 2018.</w:t>
      </w:r>
    </w:p>
    <w:p w14:paraId="2B8EA51D" w14:textId="77777777" w:rsidR="00415C2E" w:rsidRDefault="00DB539A" w:rsidP="00686012">
      <w:pPr>
        <w:pStyle w:val="Titolo1"/>
        <w:rPr>
          <w:smallCaps/>
          <w:color w:val="000000"/>
        </w:rPr>
      </w:pPr>
      <w:r>
        <w:rPr>
          <w:smallCaps/>
          <w:color w:val="000000"/>
        </w:rPr>
        <w:t>Peters, F.E.</w:t>
      </w:r>
      <w:r>
        <w:t xml:space="preserve">, </w:t>
      </w:r>
      <w:r>
        <w:rPr>
          <w:i/>
        </w:rPr>
        <w:t>Greek Philosophical Terms. A Historical Lexicon</w:t>
      </w:r>
      <w:r>
        <w:t>, New York University Press, New York 1967.</w:t>
      </w:r>
    </w:p>
    <w:p w14:paraId="1A610974" w14:textId="0BE67D7E" w:rsidR="00415C2E" w:rsidRDefault="00DB539A" w:rsidP="00686012">
      <w:pPr>
        <w:pStyle w:val="Titolo1"/>
        <w:rPr>
          <w:smallCaps/>
          <w:color w:val="000000"/>
        </w:rPr>
      </w:pPr>
      <w:r>
        <w:rPr>
          <w:smallCaps/>
          <w:color w:val="000000"/>
        </w:rPr>
        <w:t xml:space="preserve">Redondo Ornelas, </w:t>
      </w:r>
      <w:r>
        <w:t xml:space="preserve">J.M., </w:t>
      </w:r>
      <w:r>
        <w:rPr>
          <w:i/>
        </w:rPr>
        <w:t>Astrology is to Theurgy What Astronomy is to Theology in Late Antique Platonism. Remarks on Proclus’s Theurgy</w:t>
      </w:r>
      <w:r>
        <w:t>, in A.M.</w:t>
      </w:r>
      <w:r w:rsidR="004818D8">
        <w:t xml:space="preserve"> </w:t>
      </w:r>
      <w:r>
        <w:t xml:space="preserve">Leminaru, L. Albanese, J.M. Zamora Calvo, G. Muscolino (eds.), </w:t>
      </w:r>
      <w:r>
        <w:rPr>
          <w:i/>
        </w:rPr>
        <w:t>Initiatic Religious Experience in Neoplatonism. From Late Antiquity to the Renaissance</w:t>
      </w:r>
      <w:r>
        <w:t>, Mimesis International, Sesto San Giovanni 2023.</w:t>
      </w:r>
    </w:p>
    <w:p w14:paraId="0B4706DE" w14:textId="77777777" w:rsidR="004818D8" w:rsidRDefault="004818D8" w:rsidP="004818D8">
      <w:pPr>
        <w:pStyle w:val="Titolo1"/>
      </w:pPr>
      <w:r>
        <w:rPr>
          <w:smallCaps/>
          <w:color w:val="000000"/>
        </w:rPr>
        <w:t xml:space="preserve">Ripat, P., </w:t>
      </w:r>
      <w:r>
        <w:t xml:space="preserve">‘Expelling Misconceptions: Astrologers at Rome’, </w:t>
      </w:r>
      <w:r>
        <w:rPr>
          <w:i/>
        </w:rPr>
        <w:t>Classical Philology</w:t>
      </w:r>
      <w:r>
        <w:t>, v. 106, n. 2, The University of Chicago Press, April 2011: 115-154.</w:t>
      </w:r>
    </w:p>
    <w:p w14:paraId="61316543" w14:textId="3043C0B5" w:rsidR="004F470D" w:rsidRPr="004F470D" w:rsidRDefault="004F470D" w:rsidP="00686012">
      <w:pPr>
        <w:pStyle w:val="Titolo1"/>
        <w:rPr>
          <w:iCs/>
          <w:smallCaps/>
          <w:color w:val="000000"/>
        </w:rPr>
      </w:pPr>
      <w:r>
        <w:rPr>
          <w:smallCaps/>
          <w:color w:val="000000"/>
        </w:rPr>
        <w:t xml:space="preserve">Rist, J., </w:t>
      </w:r>
      <w:r>
        <w:rPr>
          <w:i/>
        </w:rPr>
        <w:t>Fate, Providence, and Free Will: Why Bother?</w:t>
      </w:r>
      <w:r>
        <w:rPr>
          <w:iCs/>
        </w:rPr>
        <w:t xml:space="preserve">, in </w:t>
      </w:r>
      <w:r>
        <w:t xml:space="preserve">R. Brouwer, E. Vimercati (eds.), </w:t>
      </w:r>
      <w:r>
        <w:rPr>
          <w:i/>
        </w:rPr>
        <w:t>Fate, Providence and Free Will:</w:t>
      </w:r>
      <w:r>
        <w:rPr>
          <w:rFonts w:ascii="Times New Roman" w:eastAsia="Times New Roman" w:hAnsi="Times New Roman" w:cs="Times New Roman"/>
          <w:i/>
          <w:sz w:val="24"/>
          <w:szCs w:val="24"/>
        </w:rPr>
        <w:t xml:space="preserve"> </w:t>
      </w:r>
      <w:r>
        <w:rPr>
          <w:i/>
        </w:rPr>
        <w:t>Philosophy and Religion in</w:t>
      </w:r>
      <w:r>
        <w:rPr>
          <w:rFonts w:ascii="Times New Roman" w:eastAsia="Times New Roman" w:hAnsi="Times New Roman" w:cs="Times New Roman"/>
          <w:i/>
          <w:sz w:val="24"/>
          <w:szCs w:val="24"/>
        </w:rPr>
        <w:t xml:space="preserve"> </w:t>
      </w:r>
      <w:r>
        <w:rPr>
          <w:i/>
        </w:rPr>
        <w:t>Dialogue in the Early Imperial Age</w:t>
      </w:r>
      <w:r>
        <w:t>, Brill, Leiden-Boston 2020.</w:t>
      </w:r>
    </w:p>
    <w:p w14:paraId="30538712" w14:textId="14AF66FB" w:rsidR="00415C2E" w:rsidRDefault="00DB539A" w:rsidP="00686012">
      <w:pPr>
        <w:pStyle w:val="Titolo1"/>
      </w:pPr>
      <w:r>
        <w:rPr>
          <w:smallCaps/>
          <w:color w:val="000000"/>
        </w:rPr>
        <w:t xml:space="preserve">Shaw, G., </w:t>
      </w:r>
      <w:r>
        <w:t xml:space="preserve">‘Theurgy: Rituals of Unification in the Neoplatonism of Iamblichus’, </w:t>
      </w:r>
      <w:r>
        <w:rPr>
          <w:i/>
        </w:rPr>
        <w:t>Traditio</w:t>
      </w:r>
      <w:r>
        <w:t>, v. 41, Fordham University Press, 1985: 1-28.</w:t>
      </w:r>
    </w:p>
    <w:p w14:paraId="0F717AD5" w14:textId="77777777" w:rsidR="00415C2E" w:rsidRDefault="00DB539A" w:rsidP="00686012">
      <w:pPr>
        <w:pStyle w:val="Titolo1"/>
        <w:rPr>
          <w:smallCaps/>
          <w:color w:val="000000"/>
        </w:rPr>
      </w:pPr>
      <w:r>
        <w:rPr>
          <w:smallCaps/>
          <w:color w:val="000000"/>
        </w:rPr>
        <w:t xml:space="preserve">Simmons, M.B., </w:t>
      </w:r>
      <w:r>
        <w:rPr>
          <w:i/>
        </w:rPr>
        <w:t>Universal Salvation in Late Antiquity. Porphyry of Tyre and the Pagan-Christian Debate</w:t>
      </w:r>
      <w:r>
        <w:t>, Oxford University Press, Oxford 2015.</w:t>
      </w:r>
    </w:p>
    <w:p w14:paraId="0F820730" w14:textId="77777777" w:rsidR="00415C2E" w:rsidRDefault="00DB539A" w:rsidP="00686012">
      <w:pPr>
        <w:pStyle w:val="Titolo1"/>
      </w:pPr>
      <w:r>
        <w:rPr>
          <w:smallCaps/>
          <w:color w:val="000000"/>
        </w:rPr>
        <w:t xml:space="preserve">Smith, A., </w:t>
      </w:r>
      <w:r>
        <w:rPr>
          <w:i/>
        </w:rPr>
        <w:t>Plotinus, Porphyry and Iamblichus. Philosophy and Religion in Neoplatonism</w:t>
      </w:r>
      <w:r>
        <w:t>, Routledge, London-New York 2011.</w:t>
      </w:r>
    </w:p>
    <w:p w14:paraId="0463D0C7" w14:textId="77777777" w:rsidR="008916EA" w:rsidRDefault="008916EA" w:rsidP="008916EA">
      <w:pPr>
        <w:pStyle w:val="Titolo1"/>
      </w:pPr>
      <w:r>
        <w:rPr>
          <w:smallCaps/>
          <w:color w:val="000000"/>
        </w:rPr>
        <w:lastRenderedPageBreak/>
        <w:t xml:space="preserve">Theodossiou, E., Manimanis, V., Dimitrijevic, M.S., </w:t>
      </w:r>
      <w:r>
        <w:t xml:space="preserve">‘Astrology in the Early Byzantine Empire and the Anti-Astrology Stance of the Church Fathers’, </w:t>
      </w:r>
      <w:r>
        <w:rPr>
          <w:i/>
        </w:rPr>
        <w:t>European Journal of Science and Theology</w:t>
      </w:r>
      <w:r>
        <w:t xml:space="preserve">, v. 8, n. 2, June 2012: 7-24. </w:t>
      </w:r>
    </w:p>
    <w:p w14:paraId="044D01FE" w14:textId="65931D69" w:rsidR="008916EA" w:rsidRPr="0040164E" w:rsidRDefault="008916EA" w:rsidP="008916EA">
      <w:pPr>
        <w:pStyle w:val="Titolo1"/>
        <w:rPr>
          <w:iCs/>
        </w:rPr>
      </w:pPr>
      <w:r>
        <w:rPr>
          <w:smallCaps/>
          <w:color w:val="000000"/>
        </w:rPr>
        <w:t>Thorndike, L.,</w:t>
      </w:r>
      <w:r>
        <w:rPr>
          <w:i/>
        </w:rPr>
        <w:t xml:space="preserve"> </w:t>
      </w:r>
      <w:r>
        <w:rPr>
          <w:iCs/>
        </w:rPr>
        <w:t xml:space="preserve">‘A Roman Astrologer as a </w:t>
      </w:r>
      <w:r w:rsidRPr="0040164E">
        <w:rPr>
          <w:iCs/>
        </w:rPr>
        <w:t>Historical Source: Julius Firmicus Maternus</w:t>
      </w:r>
      <w:r>
        <w:rPr>
          <w:iCs/>
        </w:rPr>
        <w:t xml:space="preserve">’, </w:t>
      </w:r>
      <w:r>
        <w:rPr>
          <w:i/>
        </w:rPr>
        <w:t>Classical Philology</w:t>
      </w:r>
      <w:r>
        <w:rPr>
          <w:iCs/>
        </w:rPr>
        <w:t>, v. 8, n. 4, University  of Chicago Press, Chicago October 1913: 415-435.</w:t>
      </w:r>
    </w:p>
    <w:p w14:paraId="19521A62" w14:textId="77777777" w:rsidR="008916EA" w:rsidRDefault="008916EA" w:rsidP="008916EA">
      <w:pPr>
        <w:pStyle w:val="Titolo1"/>
        <w:rPr>
          <w:smallCaps/>
          <w:color w:val="000000"/>
        </w:rPr>
      </w:pPr>
      <w:r>
        <w:rPr>
          <w:i/>
          <w:color w:val="000000"/>
        </w:rPr>
        <w:t xml:space="preserve">—— </w:t>
      </w:r>
      <w:r>
        <w:rPr>
          <w:i/>
        </w:rPr>
        <w:t>A History of Magic and Experimental Science</w:t>
      </w:r>
      <w:r>
        <w:t>, v. I, Columbia University Press, London-New York 1941.</w:t>
      </w:r>
    </w:p>
    <w:p w14:paraId="0A5A6CB2" w14:textId="77777777" w:rsidR="00415C2E" w:rsidRDefault="00DB539A" w:rsidP="00686012">
      <w:pPr>
        <w:pStyle w:val="Titolo1"/>
      </w:pPr>
      <w:r>
        <w:rPr>
          <w:smallCaps/>
          <w:color w:val="000000"/>
        </w:rPr>
        <w:t>Timotin</w:t>
      </w:r>
      <w:r>
        <w:t xml:space="preserve">, A., </w:t>
      </w:r>
      <w:r>
        <w:rPr>
          <w:i/>
        </w:rPr>
        <w:t xml:space="preserve">La démonologie platonicienne Histoire de la notion de </w:t>
      </w:r>
      <w:r>
        <w:t>daimōn</w:t>
      </w:r>
      <w:r>
        <w:rPr>
          <w:i/>
        </w:rPr>
        <w:t xml:space="preserve"> de Platon aux derniers néoplatoniciens</w:t>
      </w:r>
      <w:r>
        <w:t>, Brill, Leiden-Boston 2012.</w:t>
      </w:r>
    </w:p>
    <w:p w14:paraId="6A83D60A" w14:textId="71D130BD" w:rsidR="0077600A" w:rsidRDefault="00DB539A" w:rsidP="00686012">
      <w:pPr>
        <w:pStyle w:val="Titolo1"/>
      </w:pPr>
      <w:r>
        <w:rPr>
          <w:smallCaps/>
          <w:color w:val="000000"/>
        </w:rPr>
        <w:t xml:space="preserve">Van Riel, G., d’Hoine, </w:t>
      </w:r>
      <w:r>
        <w:t xml:space="preserve">P., </w:t>
      </w:r>
      <w:r>
        <w:rPr>
          <w:i/>
        </w:rPr>
        <w:t>Fate, Providence and Moral Responsibility. An Introduction</w:t>
      </w:r>
      <w:r>
        <w:t xml:space="preserve">, in </w:t>
      </w:r>
      <w:r>
        <w:rPr>
          <w:i/>
        </w:rPr>
        <w:t>Fate, Providence and Moral Responsibility in Ancient, Medieval and Early Modern Thought. Studies in Honour of Carlos Steel</w:t>
      </w:r>
      <w:r>
        <w:t>, Leuven University Press, Leuven 2014.</w:t>
      </w:r>
    </w:p>
    <w:p w14:paraId="0147C9C3" w14:textId="3A13DE22" w:rsidR="00686012" w:rsidRDefault="00686012" w:rsidP="00686012">
      <w:pPr>
        <w:spacing w:line="240" w:lineRule="auto"/>
      </w:pPr>
    </w:p>
    <w:p w14:paraId="273DA335" w14:textId="02AAF9EE" w:rsidR="00686012" w:rsidRDefault="00686012" w:rsidP="00686012">
      <w:pPr>
        <w:spacing w:line="240" w:lineRule="auto"/>
      </w:pPr>
    </w:p>
    <w:p w14:paraId="7442D27C" w14:textId="7A12A2F0" w:rsidR="00686012" w:rsidRDefault="00686012" w:rsidP="00686012">
      <w:pPr>
        <w:spacing w:line="240" w:lineRule="auto"/>
      </w:pPr>
    </w:p>
    <w:p w14:paraId="3801CA6C" w14:textId="77777777" w:rsidR="00514B1F" w:rsidRPr="00686012" w:rsidRDefault="00514B1F" w:rsidP="00686012">
      <w:pPr>
        <w:spacing w:line="240" w:lineRule="auto"/>
      </w:pPr>
    </w:p>
    <w:p w14:paraId="5EB71DB0" w14:textId="77777777" w:rsidR="0077600A" w:rsidRPr="002439FC" w:rsidRDefault="0077600A" w:rsidP="00686012">
      <w:pPr>
        <w:pStyle w:val="Titolo1"/>
        <w:spacing w:line="240" w:lineRule="auto"/>
        <w:ind w:firstLine="0"/>
        <w:rPr>
          <w:i/>
          <w:color w:val="000000"/>
        </w:rPr>
      </w:pPr>
      <w:r>
        <w:rPr>
          <w:i/>
          <w:color w:val="000000"/>
        </w:rPr>
        <w:t>Reference</w:t>
      </w:r>
    </w:p>
    <w:p w14:paraId="53A7DD09" w14:textId="69D78E3D" w:rsidR="00BB56B6" w:rsidRDefault="00BB56B6" w:rsidP="00686012">
      <w:pPr>
        <w:spacing w:line="240" w:lineRule="auto"/>
        <w:ind w:firstLine="0"/>
      </w:pPr>
    </w:p>
    <w:p w14:paraId="0D78B08D" w14:textId="6A19C465" w:rsidR="00BB56B6" w:rsidRDefault="00BB56B6" w:rsidP="00686012">
      <w:pPr>
        <w:spacing w:line="240" w:lineRule="auto"/>
        <w:ind w:firstLine="0"/>
      </w:pPr>
    </w:p>
    <w:p w14:paraId="00B1AA5D" w14:textId="281EC654" w:rsidR="00BB56B6" w:rsidRPr="00E018C5" w:rsidRDefault="00BB56B6" w:rsidP="00E018C5">
      <w:pPr>
        <w:pStyle w:val="Titolo1"/>
        <w:jc w:val="left"/>
        <w:rPr>
          <w:i/>
          <w:iCs/>
        </w:rPr>
      </w:pPr>
      <w:r w:rsidRPr="00967CD3">
        <w:rPr>
          <w:rFonts w:eastAsia="Times New Roman" w:cs="Times New Roman"/>
          <w:smallCaps/>
        </w:rPr>
        <w:t xml:space="preserve">Liddell, </w:t>
      </w:r>
      <w:r w:rsidRPr="00967CD3">
        <w:t xml:space="preserve">H.G., </w:t>
      </w:r>
      <w:r w:rsidRPr="00967CD3">
        <w:rPr>
          <w:rFonts w:eastAsia="Times New Roman" w:cs="Times New Roman"/>
          <w:smallCaps/>
        </w:rPr>
        <w:t>Scott</w:t>
      </w:r>
      <w:r w:rsidRPr="00967CD3">
        <w:t>, R.,</w:t>
      </w:r>
      <w:r w:rsidRPr="00967CD3">
        <w:rPr>
          <w:i/>
          <w:iCs/>
        </w:rPr>
        <w:t xml:space="preserve"> A Greek-English Lexicon. Revised and Augmented Throughout by Sir Henry Stuart Jones, </w:t>
      </w:r>
      <w:r w:rsidRPr="00967CD3">
        <w:t>with R. McKenzie, Oxford Clarendon Press, 1940</w:t>
      </w:r>
      <w:r>
        <w:t>,</w:t>
      </w:r>
      <w:r w:rsidR="00E018C5">
        <w:rPr>
          <w:i/>
          <w:iCs/>
        </w:rPr>
        <w:t xml:space="preserve"> </w:t>
      </w:r>
      <w:r w:rsidRPr="00967CD3">
        <w:t>&lt;</w:t>
      </w:r>
      <w:r w:rsidR="00E018C5" w:rsidRPr="00E018C5">
        <w:t>https://www.perseus.tufts.edu/hopper/text?doc=Perseus%3atext%3a1999.04.0057</w:t>
      </w:r>
      <w:r w:rsidRPr="00967CD3">
        <w:t>&gt;</w:t>
      </w:r>
      <w:r w:rsidR="00E018C5">
        <w:t xml:space="preserve">, </w:t>
      </w:r>
      <w:r w:rsidRPr="00967CD3">
        <w:t xml:space="preserve">[Accessed </w:t>
      </w:r>
      <w:r w:rsidR="00E018C5">
        <w:t>December</w:t>
      </w:r>
      <w:r w:rsidRPr="00967CD3">
        <w:t xml:space="preserve"> 2024].</w:t>
      </w:r>
    </w:p>
    <w:p w14:paraId="79905937" w14:textId="77777777" w:rsidR="00BB56B6" w:rsidRPr="00BB56B6" w:rsidRDefault="00BB56B6" w:rsidP="00BB56B6">
      <w:pPr>
        <w:pStyle w:val="Titolo1"/>
      </w:pPr>
    </w:p>
    <w:sectPr w:rsidR="00BB56B6" w:rsidRPr="00BB56B6">
      <w:headerReference w:type="even" r:id="rId9"/>
      <w:headerReference w:type="default" r:id="rId10"/>
      <w:footerReference w:type="even" r:id="rId11"/>
      <w:footerReference w:type="default" r:id="rId12"/>
      <w:pgSz w:w="11900" w:h="16840"/>
      <w:pgMar w:top="1418"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AF9CEF" w14:textId="77777777" w:rsidR="00465659" w:rsidRDefault="00465659">
      <w:pPr>
        <w:spacing w:line="240" w:lineRule="auto"/>
      </w:pPr>
      <w:r>
        <w:separator/>
      </w:r>
    </w:p>
  </w:endnote>
  <w:endnote w:type="continuationSeparator" w:id="0">
    <w:p w14:paraId="3A28B1F8" w14:textId="77777777" w:rsidR="00465659" w:rsidRDefault="004656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ont235">
    <w:altName w:val="Calibri"/>
    <w:panose1 w:val="020B0604020202020204"/>
    <w:charset w:val="00"/>
    <w:family w:val="auto"/>
    <w:pitch w:val="variable"/>
    <w:sig w:usb0="00000003" w:usb1="00000000" w:usb2="00000000" w:usb3="00000000" w:csb0="00000001" w:csb1="00000000"/>
  </w:font>
  <w:font w:name="Georgia">
    <w:altName w:val="﷽﷽﷽﷽﷽﷽﷽﷽"/>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de">
    <w:altName w:val="Calibri"/>
    <w:panose1 w:val="020B0604020202020204"/>
    <w:charset w:val="00"/>
    <w:family w:val="swiss"/>
    <w:notTrueType/>
    <w:pitch w:val="default"/>
    <w:sig w:usb0="00000003" w:usb1="00000000" w:usb2="00000000" w:usb3="00000000" w:csb0="00000001" w:csb1="00000000"/>
  </w:font>
  <w:font w:name="font229">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E079E" w14:textId="77777777" w:rsidR="005F7A36" w:rsidRDefault="005F7A36">
    <w:pPr>
      <w:pBdr>
        <w:top w:val="nil"/>
        <w:left w:val="nil"/>
        <w:bottom w:val="nil"/>
        <w:right w:val="nil"/>
        <w:between w:val="nil"/>
      </w:pBdr>
      <w:tabs>
        <w:tab w:val="center" w:pos="4819"/>
        <w:tab w:val="right" w:pos="9638"/>
      </w:tabs>
      <w:jc w:val="right"/>
      <w:rPr>
        <w:rFonts w:ascii="Calibri" w:hAnsi="Calibri"/>
        <w:color w:val="000000"/>
      </w:rPr>
    </w:pPr>
    <w:r>
      <w:rPr>
        <w:rFonts w:ascii="Calibri" w:hAnsi="Calibri"/>
        <w:color w:val="000000"/>
      </w:rPr>
      <w:fldChar w:fldCharType="begin"/>
    </w:r>
    <w:r>
      <w:rPr>
        <w:rFonts w:ascii="Calibri" w:hAnsi="Calibri"/>
        <w:color w:val="000000"/>
      </w:rPr>
      <w:instrText>PAGE</w:instrText>
    </w:r>
    <w:r>
      <w:rPr>
        <w:rFonts w:ascii="Calibri" w:hAnsi="Calibri"/>
        <w:color w:val="000000"/>
      </w:rPr>
      <w:fldChar w:fldCharType="end"/>
    </w:r>
  </w:p>
  <w:p w14:paraId="754704AC" w14:textId="77777777" w:rsidR="005F7A36" w:rsidRDefault="005F7A36">
    <w:pPr>
      <w:pBdr>
        <w:top w:val="nil"/>
        <w:left w:val="nil"/>
        <w:bottom w:val="nil"/>
        <w:right w:val="nil"/>
        <w:between w:val="nil"/>
      </w:pBdr>
      <w:tabs>
        <w:tab w:val="center" w:pos="4819"/>
        <w:tab w:val="right" w:pos="9638"/>
      </w:tabs>
      <w:ind w:right="360"/>
      <w:rPr>
        <w:rFonts w:ascii="Calibri" w:hAnsi="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D309A2" w14:textId="77777777" w:rsidR="005F7A36" w:rsidRDefault="005F7A36">
    <w:pPr>
      <w:pBdr>
        <w:top w:val="nil"/>
        <w:left w:val="nil"/>
        <w:bottom w:val="nil"/>
        <w:right w:val="nil"/>
        <w:between w:val="nil"/>
      </w:pBdr>
      <w:tabs>
        <w:tab w:val="center" w:pos="4819"/>
        <w:tab w:val="right" w:pos="9638"/>
      </w:tabs>
      <w:jc w:val="right"/>
      <w:rPr>
        <w:rFonts w:ascii="Calibri" w:hAnsi="Calibri"/>
        <w:color w:val="000000"/>
      </w:rPr>
    </w:pPr>
  </w:p>
  <w:p w14:paraId="362569F6" w14:textId="77777777" w:rsidR="005F7A36" w:rsidRDefault="005F7A36">
    <w:pPr>
      <w:pBdr>
        <w:top w:val="nil"/>
        <w:left w:val="nil"/>
        <w:bottom w:val="nil"/>
        <w:right w:val="nil"/>
        <w:between w:val="nil"/>
      </w:pBdr>
      <w:tabs>
        <w:tab w:val="center" w:pos="4819"/>
        <w:tab w:val="right" w:pos="9638"/>
      </w:tabs>
      <w:ind w:right="360"/>
      <w:rPr>
        <w:rFonts w:ascii="Calibri" w:hAnsi="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28D62E" w14:textId="77777777" w:rsidR="00465659" w:rsidRDefault="00465659">
      <w:pPr>
        <w:spacing w:line="240" w:lineRule="auto"/>
      </w:pPr>
      <w:r>
        <w:separator/>
      </w:r>
    </w:p>
  </w:footnote>
  <w:footnote w:type="continuationSeparator" w:id="0">
    <w:p w14:paraId="58EBA3BC" w14:textId="77777777" w:rsidR="00465659" w:rsidRDefault="00465659">
      <w:pPr>
        <w:spacing w:line="240" w:lineRule="auto"/>
      </w:pPr>
      <w:r>
        <w:continuationSeparator/>
      </w:r>
    </w:p>
  </w:footnote>
  <w:footnote w:id="1">
    <w:p w14:paraId="5E06E830" w14:textId="77777777" w:rsidR="00567F3D" w:rsidRPr="00B300C6" w:rsidRDefault="00567F3D" w:rsidP="00567F3D">
      <w:pPr>
        <w:pStyle w:val="Titolo3"/>
      </w:pPr>
      <w:r>
        <w:rPr>
          <w:rStyle w:val="Rimandonotaapidipagina"/>
        </w:rPr>
        <w:footnoteRef/>
      </w:r>
      <w:r>
        <w:t xml:space="preserve"> R. Lizzi Testa (ed.), </w:t>
      </w:r>
      <w:r>
        <w:rPr>
          <w:i/>
        </w:rPr>
        <w:t>Late Antiquity in Contemporary Debate</w:t>
      </w:r>
      <w:r>
        <w:t>, Cambridge Scholars Publishing, Newcastle upon Tyne 2017. p. 224.</w:t>
      </w:r>
    </w:p>
  </w:footnote>
  <w:footnote w:id="2">
    <w:p w14:paraId="020F96C0" w14:textId="1777217D" w:rsidR="005F7A36" w:rsidRPr="00EB2B1C" w:rsidRDefault="005F7A36" w:rsidP="00AF3BA9">
      <w:pPr>
        <w:pStyle w:val="Titolo3"/>
      </w:pPr>
      <w:r>
        <w:rPr>
          <w:rStyle w:val="Rimandonotaapidipagina"/>
        </w:rPr>
        <w:footnoteRef/>
      </w:r>
      <w:r>
        <w:t xml:space="preserve"> </w:t>
      </w:r>
      <w:r w:rsidRPr="00EB2B1C">
        <w:t xml:space="preserve">Unfortunately, space does </w:t>
      </w:r>
      <w:r>
        <w:t xml:space="preserve">not </w:t>
      </w:r>
      <w:r w:rsidRPr="00EB2B1C">
        <w:t>permit a</w:t>
      </w:r>
      <w:r>
        <w:t xml:space="preserve">n </w:t>
      </w:r>
      <w:r w:rsidRPr="00EB2B1C">
        <w:t xml:space="preserve">analysis of </w:t>
      </w:r>
      <w:r>
        <w:t>a longer period (until Justinian) including the late Neoplatonist Proclus (V century) as well as astrologers like Hephaestio of Thebes (V century) and Olympiodorus of Alexandria (VI century).</w:t>
      </w:r>
    </w:p>
  </w:footnote>
  <w:footnote w:id="3">
    <w:p w14:paraId="0BA7B0F7" w14:textId="0E4B363D" w:rsidR="005F7A36" w:rsidRPr="002E02EA" w:rsidRDefault="005F7A36" w:rsidP="00E71DAD">
      <w:pPr>
        <w:pStyle w:val="Titolo3"/>
      </w:pPr>
      <w:r>
        <w:rPr>
          <w:rStyle w:val="Rimandonotaapidipagina"/>
        </w:rPr>
        <w:footnoteRef/>
      </w:r>
      <w:r>
        <w:t xml:space="preserve"> Lizzi Testa (2017). See in particular pp. vii-xlix and 174-227.</w:t>
      </w:r>
    </w:p>
  </w:footnote>
  <w:footnote w:id="4">
    <w:p w14:paraId="035F884A" w14:textId="5FC89FA2" w:rsidR="005F7A36" w:rsidRPr="002E02EA" w:rsidRDefault="005F7A36" w:rsidP="002E02EA">
      <w:pPr>
        <w:pStyle w:val="Titolo3"/>
      </w:pPr>
      <w:r>
        <w:rPr>
          <w:rStyle w:val="Rimandonotaapidipagina"/>
        </w:rPr>
        <w:footnoteRef/>
      </w:r>
      <w:r>
        <w:t xml:space="preserve"> N. Campion, </w:t>
      </w:r>
      <w:r>
        <w:rPr>
          <w:i/>
          <w:color w:val="000000"/>
        </w:rPr>
        <w:t>A History of Western Astrology. The Ancient World</w:t>
      </w:r>
      <w:r>
        <w:rPr>
          <w:iCs/>
          <w:color w:val="000000"/>
        </w:rPr>
        <w:t>, v. 1, Bloomsbury Academic, London-New York 2015, p.</w:t>
      </w:r>
      <w:r>
        <w:t xml:space="preserve"> 265.</w:t>
      </w:r>
    </w:p>
  </w:footnote>
  <w:footnote w:id="5">
    <w:p w14:paraId="20AD8F57" w14:textId="77777777" w:rsidR="005F7A36" w:rsidRDefault="005F7A36">
      <w:pPr>
        <w:pStyle w:val="Titolo3"/>
      </w:pPr>
      <w:r>
        <w:rPr>
          <w:vertAlign w:val="superscript"/>
        </w:rPr>
        <w:footnoteRef/>
      </w:r>
      <w:r>
        <w:t xml:space="preserve"> D.M. Burns, </w:t>
      </w:r>
      <w:r>
        <w:rPr>
          <w:i/>
        </w:rPr>
        <w:t>The Hermetic Asclepius’s Middle Platonist Teaching on Fate</w:t>
      </w:r>
      <w:r>
        <w:t xml:space="preserve">, in R.M. Calhoun, J.A. Kelhoffer, C.K. Rothschild, </w:t>
      </w:r>
      <w:r>
        <w:rPr>
          <w:i/>
        </w:rPr>
        <w:t>Celebrating Arthur Darby Nock. Choice, Change, and Conversion</w:t>
      </w:r>
      <w:r>
        <w:t>, Mohr Siebeck, Tübingen 2021, p. 301.</w:t>
      </w:r>
    </w:p>
  </w:footnote>
  <w:footnote w:id="6">
    <w:p w14:paraId="3D60B00B" w14:textId="77777777" w:rsidR="005F7A36" w:rsidRDefault="005F7A36">
      <w:pPr>
        <w:pStyle w:val="Titolo3"/>
      </w:pPr>
      <w:r>
        <w:rPr>
          <w:vertAlign w:val="superscript"/>
        </w:rPr>
        <w:footnoteRef/>
      </w:r>
      <w:r>
        <w:t xml:space="preserve"> F.E. Peters, </w:t>
      </w:r>
      <w:r>
        <w:rPr>
          <w:i/>
        </w:rPr>
        <w:t>Greek Philosophical Terms. A Historical Lexicon</w:t>
      </w:r>
      <w:r>
        <w:t>, New York University Press, New York 1967, p. 18.</w:t>
      </w:r>
    </w:p>
  </w:footnote>
  <w:footnote w:id="7">
    <w:p w14:paraId="33272D04" w14:textId="1ACAADE5" w:rsidR="005F7A36" w:rsidRDefault="005F7A36" w:rsidP="002E236B">
      <w:pPr>
        <w:pStyle w:val="Titolo3"/>
      </w:pPr>
      <w:r w:rsidRPr="00BF1812">
        <w:rPr>
          <w:vertAlign w:val="superscript"/>
        </w:rPr>
        <w:footnoteRef/>
      </w:r>
      <w:r w:rsidRPr="00BF1812">
        <w:t xml:space="preserve"> </w:t>
      </w:r>
      <w:r w:rsidRPr="00BF1812">
        <w:rPr>
          <w:i/>
        </w:rPr>
        <w:t>Laws</w:t>
      </w:r>
      <w:r w:rsidRPr="00BF1812">
        <w:t xml:space="preserve">, v. II, </w:t>
      </w:r>
      <w:r w:rsidRPr="00BF1812">
        <w:rPr>
          <w:color w:val="000000"/>
        </w:rPr>
        <w:t xml:space="preserve">R.G. Bury (tr.), Loeb Classical Library, Heinemann-Putnam, London-New York 1926, </w:t>
      </w:r>
      <w:r w:rsidRPr="00BF1812">
        <w:rPr>
          <w:rStyle w:val="Titolo3Carattere"/>
        </w:rPr>
        <w:t>X.</w:t>
      </w:r>
      <w:r w:rsidRPr="001D46F5">
        <w:rPr>
          <w:rStyle w:val="Titolo3Carattere"/>
        </w:rPr>
        <w:t>886</w:t>
      </w:r>
      <w:r>
        <w:rPr>
          <w:rStyle w:val="Titolo3Carattere"/>
        </w:rPr>
        <w:t>A</w:t>
      </w:r>
      <w:r w:rsidRPr="001D46F5">
        <w:rPr>
          <w:rStyle w:val="Titolo3Carattere"/>
        </w:rPr>
        <w:t>-8</w:t>
      </w:r>
      <w:r>
        <w:rPr>
          <w:rStyle w:val="Titolo3Carattere"/>
        </w:rPr>
        <w:t>86E</w:t>
      </w:r>
      <w:r>
        <w:rPr>
          <w:color w:val="000000"/>
        </w:rPr>
        <w:t xml:space="preserve">, pp. 300-303. </w:t>
      </w:r>
      <w:r>
        <w:t>Henceforth</w:t>
      </w:r>
      <w:r>
        <w:rPr>
          <w:color w:val="000000"/>
        </w:rPr>
        <w:t>: “</w:t>
      </w:r>
      <w:r>
        <w:rPr>
          <w:i/>
          <w:color w:val="000000"/>
        </w:rPr>
        <w:t>Laws</w:t>
      </w:r>
      <w:r>
        <w:rPr>
          <w:color w:val="000000"/>
        </w:rPr>
        <w:t>”.</w:t>
      </w:r>
    </w:p>
  </w:footnote>
  <w:footnote w:id="8">
    <w:p w14:paraId="6E487BF9" w14:textId="77777777" w:rsidR="005F7A36" w:rsidRDefault="005F7A36">
      <w:pPr>
        <w:pStyle w:val="Titolo3"/>
      </w:pPr>
      <w:r>
        <w:rPr>
          <w:vertAlign w:val="superscript"/>
        </w:rPr>
        <w:footnoteRef/>
      </w:r>
      <w:r>
        <w:t xml:space="preserve"> Plato, </w:t>
      </w:r>
      <w:r>
        <w:rPr>
          <w:i/>
        </w:rPr>
        <w:t>The Republic. Books VI-X</w:t>
      </w:r>
      <w:r>
        <w:t xml:space="preserve">, P. Shorey (tr.), v. II, </w:t>
      </w:r>
      <w:r>
        <w:rPr>
          <w:color w:val="000000"/>
        </w:rPr>
        <w:t xml:space="preserve">Loeb Classical Library, Harvard University Press-Heinemann, Cambridge-London 1942, 616C, pp. 500-501. </w:t>
      </w:r>
      <w:r>
        <w:t>Henceforth</w:t>
      </w:r>
      <w:r>
        <w:rPr>
          <w:color w:val="000000"/>
        </w:rPr>
        <w:t>: “</w:t>
      </w:r>
      <w:r>
        <w:rPr>
          <w:i/>
          <w:color w:val="000000"/>
        </w:rPr>
        <w:t>Republic</w:t>
      </w:r>
      <w:r>
        <w:rPr>
          <w:color w:val="000000"/>
        </w:rPr>
        <w:t>.”</w:t>
      </w:r>
    </w:p>
  </w:footnote>
  <w:footnote w:id="9">
    <w:p w14:paraId="6DC8E249" w14:textId="77777777" w:rsidR="005F7A36" w:rsidRDefault="005F7A36">
      <w:pPr>
        <w:pStyle w:val="Titolo3"/>
      </w:pPr>
      <w:r>
        <w:rPr>
          <w:vertAlign w:val="superscript"/>
        </w:rPr>
        <w:footnoteRef/>
      </w:r>
      <w:r>
        <w:t xml:space="preserve"> Peters (1967), p. 18.</w:t>
      </w:r>
    </w:p>
  </w:footnote>
  <w:footnote w:id="10">
    <w:p w14:paraId="4E9DFAD6" w14:textId="77777777" w:rsidR="005F7A36" w:rsidRDefault="005F7A36">
      <w:pPr>
        <w:pStyle w:val="Titolo3"/>
      </w:pPr>
      <w:r>
        <w:rPr>
          <w:vertAlign w:val="superscript"/>
        </w:rPr>
        <w:footnoteRef/>
      </w:r>
      <w:r>
        <w:t xml:space="preserve"> </w:t>
      </w:r>
      <w:r>
        <w:rPr>
          <w:i/>
        </w:rPr>
        <w:t>Ibidem</w:t>
      </w:r>
      <w:r>
        <w:t>, p. 78.</w:t>
      </w:r>
    </w:p>
  </w:footnote>
  <w:footnote w:id="11">
    <w:p w14:paraId="1DACC860" w14:textId="77777777" w:rsidR="005F7A36" w:rsidRDefault="005F7A36">
      <w:pPr>
        <w:pStyle w:val="Titolo3"/>
        <w:rPr>
          <w:rFonts w:ascii="Times New Roman" w:eastAsia="Times New Roman" w:hAnsi="Times New Roman" w:cs="Times New Roman"/>
          <w:sz w:val="24"/>
          <w:szCs w:val="24"/>
        </w:rPr>
      </w:pPr>
      <w:r>
        <w:rPr>
          <w:vertAlign w:val="superscript"/>
        </w:rPr>
        <w:footnoteRef/>
      </w:r>
      <w:r>
        <w:t xml:space="preserve"> R. Brouwer, E. Vimercati, </w:t>
      </w:r>
      <w:r>
        <w:rPr>
          <w:i/>
        </w:rPr>
        <w:t>Introduction</w:t>
      </w:r>
      <w:r>
        <w:t xml:space="preserve">, in R. Brouwer, E. Vimercati (eds.), </w:t>
      </w:r>
      <w:r>
        <w:rPr>
          <w:i/>
        </w:rPr>
        <w:t>Fate, Providence and Free Will:</w:t>
      </w:r>
      <w:r>
        <w:rPr>
          <w:rFonts w:ascii="Times New Roman" w:eastAsia="Times New Roman" w:hAnsi="Times New Roman" w:cs="Times New Roman"/>
          <w:i/>
          <w:sz w:val="24"/>
          <w:szCs w:val="24"/>
        </w:rPr>
        <w:t xml:space="preserve"> </w:t>
      </w:r>
      <w:r>
        <w:rPr>
          <w:i/>
        </w:rPr>
        <w:t>Philosophy and Religion in</w:t>
      </w:r>
      <w:r>
        <w:rPr>
          <w:rFonts w:ascii="Times New Roman" w:eastAsia="Times New Roman" w:hAnsi="Times New Roman" w:cs="Times New Roman"/>
          <w:i/>
          <w:sz w:val="24"/>
          <w:szCs w:val="24"/>
        </w:rPr>
        <w:t xml:space="preserve"> </w:t>
      </w:r>
      <w:r>
        <w:rPr>
          <w:i/>
        </w:rPr>
        <w:t>Dialogue in the Early Imperial Age</w:t>
      </w:r>
      <w:r>
        <w:t>, Brill, Leiden-Boston 2020, p. 3.</w:t>
      </w:r>
    </w:p>
  </w:footnote>
  <w:footnote w:id="12">
    <w:p w14:paraId="088FBC2E" w14:textId="77777777" w:rsidR="005F7A36" w:rsidRDefault="005F7A36">
      <w:pPr>
        <w:pStyle w:val="Titolo3"/>
      </w:pPr>
      <w:r>
        <w:rPr>
          <w:vertAlign w:val="superscript"/>
        </w:rPr>
        <w:footnoteRef/>
      </w:r>
      <w:r>
        <w:t xml:space="preserve"> </w:t>
      </w:r>
      <w:r>
        <w:rPr>
          <w:i/>
        </w:rPr>
        <w:t>Ibidem</w:t>
      </w:r>
      <w:r>
        <w:t>, p. 4.</w:t>
      </w:r>
    </w:p>
  </w:footnote>
  <w:footnote w:id="13">
    <w:p w14:paraId="0D32F81F" w14:textId="77777777" w:rsidR="005F7A36" w:rsidRDefault="005F7A36">
      <w:pPr>
        <w:pBdr>
          <w:top w:val="nil"/>
          <w:left w:val="nil"/>
          <w:bottom w:val="nil"/>
          <w:right w:val="nil"/>
          <w:between w:val="nil"/>
        </w:pBdr>
        <w:spacing w:line="240" w:lineRule="auto"/>
        <w:ind w:firstLine="0"/>
        <w:rPr>
          <w:rFonts w:ascii="Calibri" w:hAnsi="Calibri"/>
          <w:color w:val="000000"/>
          <w:sz w:val="18"/>
          <w:szCs w:val="18"/>
        </w:rPr>
      </w:pPr>
      <w:r>
        <w:rPr>
          <w:vertAlign w:val="superscript"/>
        </w:rPr>
        <w:footnoteRef/>
      </w:r>
      <w:r>
        <w:rPr>
          <w:rFonts w:ascii="Calibri" w:hAnsi="Calibri"/>
          <w:color w:val="000000"/>
          <w:sz w:val="18"/>
          <w:szCs w:val="18"/>
        </w:rPr>
        <w:t xml:space="preserve"> </w:t>
      </w:r>
      <w:r w:rsidRPr="00145C07">
        <w:rPr>
          <w:rFonts w:cstheme="majorHAnsi"/>
          <w:color w:val="000000"/>
          <w:sz w:val="18"/>
          <w:szCs w:val="18"/>
        </w:rPr>
        <w:t xml:space="preserve">J. Adam (ed. with critical notes and appendices), </w:t>
      </w:r>
      <w:r w:rsidRPr="00145C07">
        <w:rPr>
          <w:rFonts w:cstheme="majorHAnsi"/>
          <w:i/>
          <w:color w:val="000000"/>
          <w:sz w:val="18"/>
          <w:szCs w:val="18"/>
        </w:rPr>
        <w:t>The Republic of Plato</w:t>
      </w:r>
      <w:r w:rsidRPr="00145C07">
        <w:rPr>
          <w:rFonts w:cstheme="majorHAnsi"/>
          <w:color w:val="000000"/>
          <w:sz w:val="18"/>
          <w:szCs w:val="18"/>
        </w:rPr>
        <w:t>, v. 2, Cambridge University Press, Cambridge 1902, p. 455.</w:t>
      </w:r>
    </w:p>
  </w:footnote>
  <w:footnote w:id="14">
    <w:p w14:paraId="776574B5" w14:textId="279E0360" w:rsidR="005F7A36" w:rsidRDefault="005F7A36">
      <w:pPr>
        <w:pStyle w:val="Titolo3"/>
      </w:pPr>
      <w:r>
        <w:rPr>
          <w:vertAlign w:val="superscript"/>
        </w:rPr>
        <w:footnoteRef/>
      </w:r>
      <w:r>
        <w:t xml:space="preserve"> </w:t>
      </w:r>
      <w:r>
        <w:rPr>
          <w:i/>
        </w:rPr>
        <w:t>Republic</w:t>
      </w:r>
      <w:r>
        <w:t>, X.617E, pp. 506-507.</w:t>
      </w:r>
    </w:p>
  </w:footnote>
  <w:footnote w:id="15">
    <w:p w14:paraId="0A3B2D7B" w14:textId="77777777" w:rsidR="005F7A36" w:rsidRDefault="005F7A36">
      <w:pPr>
        <w:pStyle w:val="Titolo3"/>
      </w:pPr>
      <w:r>
        <w:rPr>
          <w:vertAlign w:val="superscript"/>
        </w:rPr>
        <w:footnoteRef/>
      </w:r>
      <w:r>
        <w:t xml:space="preserve"> Adam (1902), p. 454.</w:t>
      </w:r>
    </w:p>
  </w:footnote>
  <w:footnote w:id="16">
    <w:p w14:paraId="1B4C868D" w14:textId="77777777" w:rsidR="005F7A36" w:rsidRDefault="005F7A36">
      <w:pPr>
        <w:pStyle w:val="Titolo3"/>
      </w:pPr>
      <w:r>
        <w:rPr>
          <w:vertAlign w:val="superscript"/>
        </w:rPr>
        <w:footnoteRef/>
      </w:r>
      <w:r>
        <w:t xml:space="preserve"> Plato, </w:t>
      </w:r>
      <w:r>
        <w:rPr>
          <w:i/>
          <w:color w:val="000000"/>
        </w:rPr>
        <w:t>Timaeus, Critias, Cleitophon, Menexenus, Epistles</w:t>
      </w:r>
      <w:r>
        <w:rPr>
          <w:color w:val="000000"/>
        </w:rPr>
        <w:t xml:space="preserve">, R.G. Bury (tr.), Loeb Classical Library, Harvard University Press, Cambridge-London 1966, </w:t>
      </w:r>
      <w:r>
        <w:t>30B-C, pp. 54-55. Henceforth: “</w:t>
      </w:r>
      <w:r>
        <w:rPr>
          <w:i/>
        </w:rPr>
        <w:t>Timaeus</w:t>
      </w:r>
      <w:r>
        <w:t>”.</w:t>
      </w:r>
    </w:p>
  </w:footnote>
  <w:footnote w:id="17">
    <w:p w14:paraId="61D291E8" w14:textId="77777777" w:rsidR="005F7A36" w:rsidRDefault="005F7A36">
      <w:pPr>
        <w:pStyle w:val="Titolo3"/>
        <w:rPr>
          <w:i/>
          <w:u w:val="single"/>
        </w:rPr>
      </w:pPr>
      <w:r>
        <w:rPr>
          <w:vertAlign w:val="superscript"/>
        </w:rPr>
        <w:footnoteRef/>
      </w:r>
      <w:r>
        <w:t xml:space="preserve"> F.M. Cornford (tr. and commentary), </w:t>
      </w:r>
      <w:r>
        <w:rPr>
          <w:i/>
        </w:rPr>
        <w:t xml:space="preserve">Plato’s Cosmology. The </w:t>
      </w:r>
      <w:r>
        <w:t>Timaeus</w:t>
      </w:r>
      <w:r>
        <w:rPr>
          <w:i/>
        </w:rPr>
        <w:t xml:space="preserve"> of Plato</w:t>
      </w:r>
      <w:r>
        <w:t>, Hackett Publishing Company, Indianapolis-Cambridge 1997, p. 35.</w:t>
      </w:r>
    </w:p>
  </w:footnote>
  <w:footnote w:id="18">
    <w:p w14:paraId="66346472" w14:textId="77777777" w:rsidR="005F7A36" w:rsidRDefault="005F7A36">
      <w:pPr>
        <w:pStyle w:val="Titolo3"/>
      </w:pPr>
      <w:r>
        <w:rPr>
          <w:vertAlign w:val="superscript"/>
        </w:rPr>
        <w:footnoteRef/>
      </w:r>
      <w:r>
        <w:t xml:space="preserve"> </w:t>
      </w:r>
      <w:r>
        <w:rPr>
          <w:i/>
        </w:rPr>
        <w:t>Timaeus</w:t>
      </w:r>
      <w:r>
        <w:t>, 52E, pp. 124-125.</w:t>
      </w:r>
    </w:p>
  </w:footnote>
  <w:footnote w:id="19">
    <w:p w14:paraId="02FE4A3A" w14:textId="77777777" w:rsidR="005F7A36" w:rsidRDefault="005F7A36">
      <w:pPr>
        <w:pStyle w:val="Titolo3"/>
      </w:pPr>
      <w:r>
        <w:rPr>
          <w:vertAlign w:val="superscript"/>
        </w:rPr>
        <w:footnoteRef/>
      </w:r>
      <w:r>
        <w:t xml:space="preserve"> D.M. Burns, </w:t>
      </w:r>
      <w:r>
        <w:rPr>
          <w:i/>
        </w:rPr>
        <w:t>Did God Care? Providence, Dualism, and Will in Later Greek and Early Christian Philosophy</w:t>
      </w:r>
      <w:r>
        <w:t>, Brill, Leiden-Boston 2020, p. 22.</w:t>
      </w:r>
    </w:p>
  </w:footnote>
  <w:footnote w:id="20">
    <w:p w14:paraId="70723A41" w14:textId="77777777" w:rsidR="005F7A36" w:rsidRDefault="005F7A36">
      <w:pPr>
        <w:pStyle w:val="Titolo3"/>
      </w:pPr>
      <w:r>
        <w:rPr>
          <w:vertAlign w:val="superscript"/>
        </w:rPr>
        <w:footnoteRef/>
      </w:r>
      <w:r>
        <w:t xml:space="preserve"> </w:t>
      </w:r>
      <w:r>
        <w:rPr>
          <w:i/>
        </w:rPr>
        <w:t>Timaeus</w:t>
      </w:r>
      <w:r>
        <w:t>, 48A, pp. 108-111.</w:t>
      </w:r>
    </w:p>
  </w:footnote>
  <w:footnote w:id="21">
    <w:p w14:paraId="6931CFBE" w14:textId="488BA927" w:rsidR="005F7A36" w:rsidRDefault="005F7A36">
      <w:pPr>
        <w:pStyle w:val="Titolo3"/>
        <w:rPr>
          <w:i/>
        </w:rPr>
      </w:pPr>
      <w:r>
        <w:rPr>
          <w:vertAlign w:val="superscript"/>
        </w:rPr>
        <w:footnoteRef/>
      </w:r>
      <w:r>
        <w:t xml:space="preserve"> Plotinus, </w:t>
      </w:r>
      <w:r>
        <w:rPr>
          <w:i/>
        </w:rPr>
        <w:t>Enneads IV 1-</w:t>
      </w:r>
      <w:r>
        <w:t>9, A.H. Armstrong (tr.), Loeb Classical Library, Harvard University Press-Heinemann, Cambridge-London 1984, IV.4.39. Henceforth: “</w:t>
      </w:r>
      <w:r>
        <w:rPr>
          <w:i/>
        </w:rPr>
        <w:t xml:space="preserve">Enneads </w:t>
      </w:r>
      <w:r>
        <w:t>IV</w:t>
      </w:r>
      <w:r>
        <w:rPr>
          <w:i/>
        </w:rPr>
        <w:t>”</w:t>
      </w:r>
      <w:r>
        <w:t>.</w:t>
      </w:r>
    </w:p>
  </w:footnote>
  <w:footnote w:id="22">
    <w:p w14:paraId="36FB8DCE" w14:textId="7EA2C5CA" w:rsidR="005F7A36" w:rsidRPr="00AD24AE" w:rsidRDefault="005F7A36">
      <w:pPr>
        <w:pStyle w:val="Titolo3"/>
        <w:rPr>
          <w:iCs/>
        </w:rPr>
      </w:pPr>
      <w:r>
        <w:rPr>
          <w:vertAlign w:val="superscript"/>
        </w:rPr>
        <w:footnoteRef/>
      </w:r>
      <w:r>
        <w:t xml:space="preserve"> Plotinus, </w:t>
      </w:r>
      <w:r w:rsidRPr="00AD24AE">
        <w:rPr>
          <w:i/>
        </w:rPr>
        <w:t>Enneads III.1-</w:t>
      </w:r>
      <w:r w:rsidRPr="00AD24AE">
        <w:t>9, A.H. Armstrong (tr.), Loeb Classical Library, Harvard University Press-Heinemann, Cambridge-London 1980, III.3.5, pp. 124-127. Henceforth: “</w:t>
      </w:r>
      <w:r w:rsidRPr="00AD24AE">
        <w:rPr>
          <w:i/>
        </w:rPr>
        <w:t xml:space="preserve">Enneads </w:t>
      </w:r>
      <w:r w:rsidRPr="00AD24AE">
        <w:t>III</w:t>
      </w:r>
      <w:r>
        <w:rPr>
          <w:iCs/>
        </w:rPr>
        <w:t>”</w:t>
      </w:r>
    </w:p>
  </w:footnote>
  <w:footnote w:id="23">
    <w:p w14:paraId="6B7BF33F" w14:textId="77777777" w:rsidR="005F7A36" w:rsidRDefault="005F7A36">
      <w:pPr>
        <w:pStyle w:val="Titolo3"/>
      </w:pPr>
      <w:r>
        <w:rPr>
          <w:vertAlign w:val="superscript"/>
        </w:rPr>
        <w:footnoteRef/>
      </w:r>
      <w:r>
        <w:t xml:space="preserve"> </w:t>
      </w:r>
      <w:r w:rsidRPr="00AD24AE">
        <w:rPr>
          <w:i/>
        </w:rPr>
        <w:t>Laws</w:t>
      </w:r>
      <w:r w:rsidRPr="00AD24AE">
        <w:t>, X.897C, pp. 340-341.</w:t>
      </w:r>
    </w:p>
  </w:footnote>
  <w:footnote w:id="24">
    <w:p w14:paraId="0D2FA8CF" w14:textId="77777777" w:rsidR="005F7A36" w:rsidRDefault="005F7A36">
      <w:pPr>
        <w:pStyle w:val="Titolo3"/>
      </w:pPr>
      <w:r>
        <w:rPr>
          <w:vertAlign w:val="superscript"/>
        </w:rPr>
        <w:footnoteRef/>
      </w:r>
      <w:r>
        <w:t xml:space="preserve"> </w:t>
      </w:r>
      <w:r>
        <w:rPr>
          <w:i/>
        </w:rPr>
        <w:t>Ibidem</w:t>
      </w:r>
      <w:r>
        <w:t>, X.899C, pp. 348-349.</w:t>
      </w:r>
    </w:p>
  </w:footnote>
  <w:footnote w:id="25">
    <w:p w14:paraId="786BB67B" w14:textId="77777777" w:rsidR="005F7A36" w:rsidRPr="002E02EA" w:rsidRDefault="005F7A36">
      <w:pPr>
        <w:pStyle w:val="Titolo3"/>
        <w:rPr>
          <w:lang w:val="it-IT"/>
        </w:rPr>
      </w:pPr>
      <w:r>
        <w:rPr>
          <w:vertAlign w:val="superscript"/>
        </w:rPr>
        <w:footnoteRef/>
      </w:r>
      <w:r w:rsidRPr="002E02EA">
        <w:rPr>
          <w:lang w:val="it-IT"/>
        </w:rPr>
        <w:t xml:space="preserve"> </w:t>
      </w:r>
      <w:r w:rsidRPr="002E02EA">
        <w:rPr>
          <w:i/>
          <w:lang w:val="it-IT"/>
        </w:rPr>
        <w:t>Timaeus</w:t>
      </w:r>
      <w:r w:rsidRPr="002E02EA">
        <w:rPr>
          <w:lang w:val="it-IT"/>
        </w:rPr>
        <w:t>, 37D-39E, pp. 74-83.</w:t>
      </w:r>
    </w:p>
  </w:footnote>
  <w:footnote w:id="26">
    <w:p w14:paraId="5744901B" w14:textId="77777777" w:rsidR="005F7A36" w:rsidRPr="002E02EA" w:rsidRDefault="005F7A36">
      <w:pPr>
        <w:pStyle w:val="Titolo3"/>
        <w:rPr>
          <w:lang w:val="it-IT"/>
        </w:rPr>
      </w:pPr>
      <w:r>
        <w:rPr>
          <w:vertAlign w:val="superscript"/>
        </w:rPr>
        <w:footnoteRef/>
      </w:r>
      <w:r w:rsidRPr="002E02EA">
        <w:rPr>
          <w:lang w:val="it-IT"/>
        </w:rPr>
        <w:t xml:space="preserve"> </w:t>
      </w:r>
      <w:r w:rsidRPr="002E02EA">
        <w:rPr>
          <w:i/>
          <w:lang w:val="it-IT"/>
        </w:rPr>
        <w:t>Ibidem</w:t>
      </w:r>
      <w:r w:rsidRPr="002E02EA">
        <w:rPr>
          <w:lang w:val="it-IT"/>
        </w:rPr>
        <w:t>, 41C, pp. 88-89.</w:t>
      </w:r>
    </w:p>
  </w:footnote>
  <w:footnote w:id="27">
    <w:p w14:paraId="7C594CB9" w14:textId="77777777" w:rsidR="005F7A36" w:rsidRDefault="005F7A36">
      <w:pPr>
        <w:pStyle w:val="Titolo3"/>
      </w:pPr>
      <w:r>
        <w:rPr>
          <w:vertAlign w:val="superscript"/>
        </w:rPr>
        <w:footnoteRef/>
      </w:r>
      <w:r>
        <w:t xml:space="preserve"> </w:t>
      </w:r>
      <w:r>
        <w:rPr>
          <w:i/>
        </w:rPr>
        <w:t>Ibidem</w:t>
      </w:r>
      <w:r>
        <w:t>, 41C-D, pp. 88-89.</w:t>
      </w:r>
    </w:p>
  </w:footnote>
  <w:footnote w:id="28">
    <w:p w14:paraId="08E14B26" w14:textId="77777777" w:rsidR="005F7A36" w:rsidRDefault="005F7A36">
      <w:pPr>
        <w:pStyle w:val="Titolo3"/>
        <w:rPr>
          <w:i/>
        </w:rPr>
      </w:pPr>
      <w:r>
        <w:rPr>
          <w:vertAlign w:val="superscript"/>
        </w:rPr>
        <w:footnoteRef/>
      </w:r>
      <w:r>
        <w:t xml:space="preserve"> Plato, </w:t>
      </w:r>
      <w:r>
        <w:rPr>
          <w:i/>
        </w:rPr>
        <w:t>Euthyphro, Apology, Crito, Phaedo, Phaedrus</w:t>
      </w:r>
      <w:r>
        <w:t xml:space="preserve">, H. North Fowler (tr.), W.R.M. Lamb (intr.), </w:t>
      </w:r>
      <w:r>
        <w:rPr>
          <w:color w:val="000000"/>
        </w:rPr>
        <w:t xml:space="preserve">Loeb Classical Library, Harvard University Press, Cambridge-London 2005, </w:t>
      </w:r>
      <w:r>
        <w:t>246A-248A, pp. 470-477.</w:t>
      </w:r>
    </w:p>
  </w:footnote>
  <w:footnote w:id="29">
    <w:p w14:paraId="460CA0AF" w14:textId="73F431D8" w:rsidR="005F7A36" w:rsidRPr="00EE0F84" w:rsidRDefault="005F7A36">
      <w:pPr>
        <w:pStyle w:val="Titolo3"/>
        <w:rPr>
          <w:lang w:val="it-IT"/>
        </w:rPr>
      </w:pPr>
      <w:r>
        <w:rPr>
          <w:vertAlign w:val="superscript"/>
        </w:rPr>
        <w:footnoteRef/>
      </w:r>
      <w:r w:rsidRPr="00EE0F84">
        <w:rPr>
          <w:lang w:val="it-IT"/>
        </w:rPr>
        <w:t xml:space="preserve"> </w:t>
      </w:r>
      <w:r w:rsidRPr="00EE0F84">
        <w:rPr>
          <w:i/>
          <w:lang w:val="it-IT"/>
        </w:rPr>
        <w:t>Republic</w:t>
      </w:r>
      <w:r w:rsidRPr="00EE0F84">
        <w:rPr>
          <w:lang w:val="it-IT"/>
        </w:rPr>
        <w:t>, IX.580D-E, pp. 370-371.</w:t>
      </w:r>
    </w:p>
  </w:footnote>
  <w:footnote w:id="30">
    <w:p w14:paraId="6D7D3609" w14:textId="0CF56242" w:rsidR="005F7A36" w:rsidRPr="00EE0F84" w:rsidRDefault="005F7A36">
      <w:pPr>
        <w:pStyle w:val="Titolo3"/>
        <w:rPr>
          <w:lang w:val="it-IT"/>
        </w:rPr>
      </w:pPr>
      <w:r>
        <w:rPr>
          <w:vertAlign w:val="superscript"/>
        </w:rPr>
        <w:footnoteRef/>
      </w:r>
      <w:r w:rsidRPr="00EE0F84">
        <w:rPr>
          <w:lang w:val="it-IT"/>
        </w:rPr>
        <w:t xml:space="preserve"> Brouwer, Vimercati (2020), p. 6.</w:t>
      </w:r>
    </w:p>
  </w:footnote>
  <w:footnote w:id="31">
    <w:p w14:paraId="778ED6A6" w14:textId="77777777" w:rsidR="005F7A36" w:rsidRPr="00EE0F84" w:rsidRDefault="005F7A36">
      <w:pPr>
        <w:pStyle w:val="Titolo3"/>
        <w:rPr>
          <w:lang w:val="it-IT"/>
        </w:rPr>
      </w:pPr>
      <w:r>
        <w:rPr>
          <w:vertAlign w:val="superscript"/>
        </w:rPr>
        <w:footnoteRef/>
      </w:r>
      <w:r w:rsidRPr="00EE0F84">
        <w:rPr>
          <w:lang w:val="it-IT"/>
        </w:rPr>
        <w:t xml:space="preserve"> </w:t>
      </w:r>
      <w:r w:rsidRPr="00EE0F84">
        <w:rPr>
          <w:i/>
          <w:lang w:val="it-IT"/>
        </w:rPr>
        <w:t>Ibidem</w:t>
      </w:r>
      <w:r w:rsidRPr="00EE0F84">
        <w:rPr>
          <w:lang w:val="it-IT"/>
        </w:rPr>
        <w:t>.</w:t>
      </w:r>
    </w:p>
  </w:footnote>
  <w:footnote w:id="32">
    <w:p w14:paraId="3DCDA759" w14:textId="77777777" w:rsidR="005F7A36" w:rsidRDefault="005F7A36">
      <w:pPr>
        <w:pStyle w:val="Titolo3"/>
        <w:rPr>
          <w:i/>
        </w:rPr>
      </w:pPr>
      <w:r>
        <w:rPr>
          <w:vertAlign w:val="superscript"/>
        </w:rPr>
        <w:footnoteRef/>
      </w:r>
      <w:r>
        <w:t xml:space="preserve"> </w:t>
      </w:r>
      <w:r>
        <w:rPr>
          <w:i/>
        </w:rPr>
        <w:t>Ibidem.</w:t>
      </w:r>
    </w:p>
  </w:footnote>
  <w:footnote w:id="33">
    <w:p w14:paraId="1599E3B7" w14:textId="77777777" w:rsidR="005F7A36" w:rsidRDefault="005F7A36">
      <w:pPr>
        <w:pStyle w:val="Titolo3"/>
      </w:pPr>
      <w:r>
        <w:rPr>
          <w:vertAlign w:val="superscript"/>
        </w:rPr>
        <w:footnoteRef/>
      </w:r>
      <w:r>
        <w:t xml:space="preserve"> G. Van Riel, P. d’Hoine, </w:t>
      </w:r>
      <w:r>
        <w:rPr>
          <w:i/>
        </w:rPr>
        <w:t>Fate, Providence and Moral Responsibility. An Introduction</w:t>
      </w:r>
      <w:r>
        <w:t xml:space="preserve">, in </w:t>
      </w:r>
      <w:r>
        <w:rPr>
          <w:i/>
        </w:rPr>
        <w:t>Fate, Providence and Moral Responsibility in Ancient, Medieval and Early Modern Thought. Studies in Honour of Carlos Steel</w:t>
      </w:r>
      <w:r>
        <w:t xml:space="preserve">, Leuven University Press, Leuven 2014, p. </w:t>
      </w:r>
      <w:r>
        <w:rPr>
          <w:smallCaps/>
        </w:rPr>
        <w:t>xi</w:t>
      </w:r>
      <w:r>
        <w:t>.</w:t>
      </w:r>
    </w:p>
  </w:footnote>
  <w:footnote w:id="34">
    <w:p w14:paraId="4BC1A9EA" w14:textId="77777777" w:rsidR="005F7A36" w:rsidRDefault="005F7A36">
      <w:pPr>
        <w:pStyle w:val="Titolo3"/>
      </w:pPr>
      <w:r>
        <w:rPr>
          <w:vertAlign w:val="superscript"/>
        </w:rPr>
        <w:footnoteRef/>
      </w:r>
      <w:r>
        <w:t xml:space="preserve"> Peters (1967), p. 199.</w:t>
      </w:r>
    </w:p>
  </w:footnote>
  <w:footnote w:id="35">
    <w:p w14:paraId="5FA045F4" w14:textId="77777777" w:rsidR="005F7A36" w:rsidRDefault="005F7A36">
      <w:pPr>
        <w:pStyle w:val="Titolo3"/>
      </w:pPr>
      <w:r>
        <w:rPr>
          <w:vertAlign w:val="superscript"/>
        </w:rPr>
        <w:footnoteRef/>
      </w:r>
      <w:r>
        <w:t xml:space="preserve"> </w:t>
      </w:r>
      <w:r>
        <w:rPr>
          <w:i/>
        </w:rPr>
        <w:t>Ibidem</w:t>
      </w:r>
      <w:r>
        <w:t xml:space="preserve">. </w:t>
      </w:r>
    </w:p>
  </w:footnote>
  <w:footnote w:id="36">
    <w:p w14:paraId="22A89A94" w14:textId="77777777" w:rsidR="005F7A36" w:rsidRDefault="005F7A36">
      <w:pPr>
        <w:pStyle w:val="Titolo3"/>
      </w:pPr>
      <w:r>
        <w:rPr>
          <w:vertAlign w:val="superscript"/>
        </w:rPr>
        <w:footnoteRef/>
      </w:r>
      <w:r>
        <w:t xml:space="preserve"> D. Greenbaum, </w:t>
      </w:r>
      <w:r>
        <w:rPr>
          <w:i/>
        </w:rPr>
        <w:t>The Daimon in Hellenistic Astrology. Origins and Influence</w:t>
      </w:r>
      <w:r>
        <w:t>, Brill, Leiden-Boston 2016.</w:t>
      </w:r>
    </w:p>
  </w:footnote>
  <w:footnote w:id="37">
    <w:p w14:paraId="393ED9B0" w14:textId="77777777" w:rsidR="005F7A36" w:rsidRDefault="005F7A36">
      <w:pPr>
        <w:pStyle w:val="Titolo3"/>
      </w:pPr>
      <w:r>
        <w:rPr>
          <w:vertAlign w:val="superscript"/>
        </w:rPr>
        <w:footnoteRef/>
      </w:r>
      <w:r>
        <w:t xml:space="preserve"> </w:t>
      </w:r>
      <w:r>
        <w:rPr>
          <w:i/>
        </w:rPr>
        <w:t>Ibidem</w:t>
      </w:r>
      <w:r>
        <w:t>, p. 47.</w:t>
      </w:r>
    </w:p>
  </w:footnote>
  <w:footnote w:id="38">
    <w:p w14:paraId="3B31F813" w14:textId="77777777" w:rsidR="005F7A36" w:rsidRDefault="005F7A36">
      <w:pPr>
        <w:pStyle w:val="Titolo3"/>
      </w:pPr>
      <w:r>
        <w:rPr>
          <w:vertAlign w:val="superscript"/>
        </w:rPr>
        <w:footnoteRef/>
      </w:r>
      <w:r>
        <w:t xml:space="preserve"> </w:t>
      </w:r>
      <w:r>
        <w:rPr>
          <w:i/>
        </w:rPr>
        <w:t>Ibidem</w:t>
      </w:r>
      <w:r>
        <w:t xml:space="preserve">. </w:t>
      </w:r>
    </w:p>
  </w:footnote>
  <w:footnote w:id="39">
    <w:p w14:paraId="0706C128" w14:textId="77777777" w:rsidR="005F7A36" w:rsidRPr="0043020B" w:rsidRDefault="005F7A36">
      <w:pPr>
        <w:pStyle w:val="Titolo3"/>
      </w:pPr>
      <w:r>
        <w:rPr>
          <w:vertAlign w:val="superscript"/>
        </w:rPr>
        <w:footnoteRef/>
      </w:r>
      <w:r>
        <w:t xml:space="preserve"> </w:t>
      </w:r>
      <w:r w:rsidRPr="0043020B">
        <w:rPr>
          <w:i/>
        </w:rPr>
        <w:t>Ibidem</w:t>
      </w:r>
      <w:r w:rsidRPr="0043020B">
        <w:t>, p. 59.</w:t>
      </w:r>
    </w:p>
  </w:footnote>
  <w:footnote w:id="40">
    <w:p w14:paraId="292CBD40" w14:textId="1670DE66" w:rsidR="005F7A36" w:rsidRPr="0043020B" w:rsidRDefault="005F7A36">
      <w:pPr>
        <w:pBdr>
          <w:top w:val="nil"/>
          <w:left w:val="nil"/>
          <w:bottom w:val="nil"/>
          <w:right w:val="nil"/>
          <w:between w:val="nil"/>
        </w:pBdr>
        <w:spacing w:line="240" w:lineRule="auto"/>
        <w:ind w:firstLine="0"/>
        <w:rPr>
          <w:rFonts w:ascii="Calibri" w:hAnsi="Calibri"/>
          <w:color w:val="000000"/>
          <w:sz w:val="18"/>
          <w:szCs w:val="18"/>
        </w:rPr>
      </w:pPr>
      <w:r w:rsidRPr="0043020B">
        <w:rPr>
          <w:rStyle w:val="Titolo3Carattere"/>
          <w:vertAlign w:val="superscript"/>
        </w:rPr>
        <w:footnoteRef/>
      </w:r>
      <w:r w:rsidRPr="0043020B">
        <w:rPr>
          <w:rFonts w:ascii="Calibri" w:hAnsi="Calibri"/>
          <w:color w:val="000000"/>
          <w:sz w:val="18"/>
          <w:szCs w:val="18"/>
        </w:rPr>
        <w:t xml:space="preserve"> </w:t>
      </w:r>
      <w:r w:rsidRPr="0043020B">
        <w:rPr>
          <w:rStyle w:val="Titolo3Carattere"/>
          <w:i/>
          <w:iCs/>
        </w:rPr>
        <w:t>Enneads</w:t>
      </w:r>
      <w:r w:rsidRPr="0043020B">
        <w:rPr>
          <w:rStyle w:val="Titolo3Carattere"/>
        </w:rPr>
        <w:t xml:space="preserve"> III.4.3, pp. 146-151; </w:t>
      </w:r>
      <w:r w:rsidRPr="0043020B">
        <w:rPr>
          <w:rStyle w:val="Titolo3Carattere"/>
          <w:i/>
          <w:iCs/>
        </w:rPr>
        <w:t>ibidem</w:t>
      </w:r>
      <w:r w:rsidRPr="0043020B">
        <w:rPr>
          <w:rStyle w:val="Titolo3Carattere"/>
        </w:rPr>
        <w:t>, III.4.5, pp. 152-155.</w:t>
      </w:r>
      <w:r w:rsidRPr="0043020B">
        <w:rPr>
          <w:rFonts w:ascii="Calibri" w:hAnsi="Calibri"/>
          <w:color w:val="000000"/>
          <w:sz w:val="18"/>
          <w:szCs w:val="18"/>
        </w:rPr>
        <w:t xml:space="preserve"> </w:t>
      </w:r>
    </w:p>
  </w:footnote>
  <w:footnote w:id="41">
    <w:p w14:paraId="3465100D" w14:textId="77777777" w:rsidR="005F7A36" w:rsidRDefault="005F7A36">
      <w:pPr>
        <w:pStyle w:val="Titolo3"/>
      </w:pPr>
      <w:r w:rsidRPr="0043020B">
        <w:rPr>
          <w:vertAlign w:val="superscript"/>
        </w:rPr>
        <w:footnoteRef/>
      </w:r>
      <w:r w:rsidRPr="0043020B">
        <w:t xml:space="preserve"> </w:t>
      </w:r>
      <w:r w:rsidRPr="0043020B">
        <w:rPr>
          <w:i/>
        </w:rPr>
        <w:t>Republic</w:t>
      </w:r>
      <w:r w:rsidRPr="0043020B">
        <w:t>, X.620E, pp. 516-517.</w:t>
      </w:r>
    </w:p>
  </w:footnote>
  <w:footnote w:id="42">
    <w:p w14:paraId="2425875C" w14:textId="77777777" w:rsidR="005F7A36" w:rsidRDefault="005F7A36">
      <w:pPr>
        <w:pStyle w:val="Titolo3"/>
      </w:pPr>
      <w:r>
        <w:rPr>
          <w:vertAlign w:val="superscript"/>
        </w:rPr>
        <w:footnoteRef/>
      </w:r>
      <w:r>
        <w:t xml:space="preserve"> Greenbaum (2016), p. 22.</w:t>
      </w:r>
    </w:p>
  </w:footnote>
  <w:footnote w:id="43">
    <w:p w14:paraId="4EC69695" w14:textId="77777777" w:rsidR="005F7A36" w:rsidRDefault="005F7A36">
      <w:pPr>
        <w:pStyle w:val="Titolo3"/>
      </w:pPr>
      <w:r>
        <w:rPr>
          <w:vertAlign w:val="superscript"/>
        </w:rPr>
        <w:footnoteRef/>
      </w:r>
      <w:r>
        <w:t xml:space="preserve"> Peters (1967), p. 164.</w:t>
      </w:r>
    </w:p>
  </w:footnote>
  <w:footnote w:id="44">
    <w:p w14:paraId="338BBAE1" w14:textId="77777777" w:rsidR="005F7A36" w:rsidRDefault="005F7A36">
      <w:pPr>
        <w:pStyle w:val="Titolo3"/>
      </w:pPr>
      <w:r>
        <w:rPr>
          <w:vertAlign w:val="superscript"/>
        </w:rPr>
        <w:footnoteRef/>
      </w:r>
      <w:r>
        <w:t xml:space="preserve"> </w:t>
      </w:r>
      <w:r w:rsidRPr="00C851B5">
        <w:rPr>
          <w:rFonts w:eastAsia="Calibri" w:cstheme="majorHAnsi"/>
          <w:i/>
          <w:szCs w:val="18"/>
        </w:rPr>
        <w:t>Ibidem</w:t>
      </w:r>
      <w:r>
        <w:rPr>
          <w:rFonts w:ascii="Calibri" w:eastAsia="Calibri" w:hAnsi="Calibri" w:cs="Calibri"/>
          <w:szCs w:val="18"/>
        </w:rPr>
        <w:t>.</w:t>
      </w:r>
    </w:p>
  </w:footnote>
  <w:footnote w:id="45">
    <w:p w14:paraId="128D2108" w14:textId="77777777" w:rsidR="005F7A36" w:rsidRDefault="005F7A36">
      <w:pPr>
        <w:pStyle w:val="Titolo3"/>
      </w:pPr>
      <w:r>
        <w:rPr>
          <w:vertAlign w:val="superscript"/>
        </w:rPr>
        <w:footnoteRef/>
      </w:r>
      <w:r>
        <w:t xml:space="preserve"> </w:t>
      </w:r>
      <w:r>
        <w:rPr>
          <w:i/>
        </w:rPr>
        <w:t>Enneads</w:t>
      </w:r>
      <w:r>
        <w:t xml:space="preserve"> III.2.1, pp. 44-45.</w:t>
      </w:r>
    </w:p>
  </w:footnote>
  <w:footnote w:id="46">
    <w:p w14:paraId="4B38FAD6" w14:textId="77777777" w:rsidR="005F7A36" w:rsidRDefault="005F7A36">
      <w:pPr>
        <w:pStyle w:val="Titolo3"/>
      </w:pPr>
      <w:r>
        <w:rPr>
          <w:vertAlign w:val="superscript"/>
        </w:rPr>
        <w:footnoteRef/>
      </w:r>
      <w:r>
        <w:t xml:space="preserve"> </w:t>
      </w:r>
      <w:r>
        <w:rPr>
          <w:i/>
        </w:rPr>
        <w:t>Ibidem</w:t>
      </w:r>
      <w:r>
        <w:t>, III.3.5, pp. 124-125.</w:t>
      </w:r>
    </w:p>
  </w:footnote>
  <w:footnote w:id="47">
    <w:p w14:paraId="63FBAFCB" w14:textId="77777777" w:rsidR="005F7A36" w:rsidRPr="002F1B82" w:rsidRDefault="005F7A36">
      <w:pPr>
        <w:pStyle w:val="Titolo3"/>
      </w:pPr>
      <w:r>
        <w:rPr>
          <w:vertAlign w:val="superscript"/>
        </w:rPr>
        <w:footnoteRef/>
      </w:r>
      <w:r w:rsidRPr="002F1B82">
        <w:t xml:space="preserve"> </w:t>
      </w:r>
      <w:r w:rsidRPr="002F1B82">
        <w:rPr>
          <w:i/>
        </w:rPr>
        <w:t>Ibidem</w:t>
      </w:r>
      <w:r w:rsidRPr="002F1B82">
        <w:t>, pp. 128-129.</w:t>
      </w:r>
    </w:p>
    <w:bookmarkStart w:id="6" w:name="_heading=h.5q7qcpozteyj" w:colFirst="0" w:colLast="0"/>
    <w:bookmarkEnd w:id="6"/>
  </w:footnote>
  <w:footnote w:id="48">
    <w:p w14:paraId="4C0C36A8" w14:textId="77777777" w:rsidR="005F7A36" w:rsidRPr="002E02EA" w:rsidRDefault="005F7A36" w:rsidP="00DF5DF7">
      <w:pPr>
        <w:pStyle w:val="Titolo3"/>
        <w:rPr>
          <w:lang w:val="it-IT"/>
        </w:rPr>
      </w:pPr>
      <w:bookmarkStart w:id="7" w:name="_heading=h.5q7qcpozteyj" w:colFirst="0" w:colLast="0"/>
      <w:bookmarkEnd w:id="7"/>
      <w:r>
        <w:rPr>
          <w:rStyle w:val="Rimandonotaapidipagina"/>
        </w:rPr>
        <w:footnoteRef/>
      </w:r>
      <w:r w:rsidRPr="00DF5DF7">
        <w:rPr>
          <w:lang w:val="it-IT"/>
        </w:rPr>
        <w:t xml:space="preserve"> </w:t>
      </w:r>
      <w:r w:rsidRPr="002E02EA">
        <w:rPr>
          <w:lang w:val="it-IT"/>
        </w:rPr>
        <w:t xml:space="preserve">Cicero, </w:t>
      </w:r>
      <w:r w:rsidRPr="002E02EA">
        <w:rPr>
          <w:i/>
          <w:lang w:val="it-IT"/>
        </w:rPr>
        <w:t>De divinatione</w:t>
      </w:r>
      <w:r w:rsidRPr="002E02EA">
        <w:rPr>
          <w:lang w:val="it-IT"/>
        </w:rPr>
        <w:t xml:space="preserve"> I.VI.11-12, in Cicero, </w:t>
      </w:r>
      <w:r w:rsidRPr="002E02EA">
        <w:rPr>
          <w:i/>
          <w:lang w:val="it-IT"/>
        </w:rPr>
        <w:t>Cicero in Twenty-Eight Volumes. De Senectute, De Amicitia, De Divinatione</w:t>
      </w:r>
      <w:r w:rsidRPr="002E02EA">
        <w:rPr>
          <w:lang w:val="it-IT"/>
        </w:rPr>
        <w:t xml:space="preserve">, W.A. Falconer (tr.), v. XX, Loeb Classical Library, Harvard University Press, </w:t>
      </w:r>
      <w:r w:rsidRPr="00CD6D9F">
        <w:rPr>
          <w:lang w:val="it-IT"/>
        </w:rPr>
        <w:t>Cambridge-London 1971, pp.</w:t>
      </w:r>
      <w:r>
        <w:rPr>
          <w:lang w:val="it-IT"/>
        </w:rPr>
        <w:t xml:space="preserve"> 234-235.</w:t>
      </w:r>
    </w:p>
    <w:p w14:paraId="395C052C" w14:textId="0B99AF70" w:rsidR="005F7A36" w:rsidRPr="00DF5DF7" w:rsidRDefault="005F7A36" w:rsidP="00DF5DF7">
      <w:pPr>
        <w:pStyle w:val="Titolo3"/>
      </w:pPr>
      <w:r>
        <w:rPr>
          <w:vertAlign w:val="superscript"/>
        </w:rPr>
        <w:footnoteRef/>
      </w:r>
      <w:r>
        <w:t xml:space="preserve"> D. Greenbaum, Arrows, Aiming and Divination: Astrology as a Stochastic Art, in P. Curry (ed.), Divination. Perspectives for a New Millennium, Routledge, London-New York 2010, p. 189.</w:t>
      </w:r>
    </w:p>
  </w:footnote>
  <w:footnote w:id="49">
    <w:p w14:paraId="5529B233" w14:textId="69505629" w:rsidR="005F7A36" w:rsidRDefault="005F7A36">
      <w:pPr>
        <w:pStyle w:val="Titolo3"/>
      </w:pPr>
      <w:r>
        <w:rPr>
          <w:vertAlign w:val="superscript"/>
        </w:rPr>
        <w:footnoteRef/>
      </w:r>
      <w:r>
        <w:t xml:space="preserve"> D. Greenbaum, </w:t>
      </w:r>
      <w:r>
        <w:rPr>
          <w:i/>
        </w:rPr>
        <w:t>Arrows, Aiming and Divination: Astrology as a Stochastic Art</w:t>
      </w:r>
      <w:r>
        <w:t xml:space="preserve">, in P. Curry (ed.), </w:t>
      </w:r>
      <w:r>
        <w:rPr>
          <w:i/>
        </w:rPr>
        <w:t>Divination. Perspectives for a New Millennium</w:t>
      </w:r>
      <w:r>
        <w:t>, Routledge, London-New York 2010, p. 189.</w:t>
      </w:r>
    </w:p>
  </w:footnote>
  <w:footnote w:id="50">
    <w:p w14:paraId="3BA63C73" w14:textId="77777777" w:rsidR="005F7A36" w:rsidRDefault="005F7A36">
      <w:pPr>
        <w:pStyle w:val="Titolo3"/>
      </w:pPr>
      <w:r>
        <w:rPr>
          <w:vertAlign w:val="superscript"/>
        </w:rPr>
        <w:footnoteRef/>
      </w:r>
      <w:r>
        <w:t xml:space="preserve"> </w:t>
      </w:r>
      <w:r>
        <w:rPr>
          <w:i/>
        </w:rPr>
        <w:t>Ibidem</w:t>
      </w:r>
      <w:r>
        <w:t>, p. 183.</w:t>
      </w:r>
    </w:p>
  </w:footnote>
  <w:footnote w:id="51">
    <w:p w14:paraId="7369CD28" w14:textId="1BEB5C3D" w:rsidR="005F7A36" w:rsidRDefault="005F7A36" w:rsidP="007F2066">
      <w:pPr>
        <w:pStyle w:val="Titolo3"/>
      </w:pPr>
      <w:r>
        <w:rPr>
          <w:vertAlign w:val="superscript"/>
        </w:rPr>
        <w:footnoteRef/>
      </w:r>
      <w:r>
        <w:rPr>
          <w:rFonts w:eastAsia="Calibri"/>
        </w:rPr>
        <w:t xml:space="preserve"> </w:t>
      </w:r>
      <w:r>
        <w:rPr>
          <w:rFonts w:eastAsia="Calibri"/>
          <w:i/>
        </w:rPr>
        <w:t>Ibidem</w:t>
      </w:r>
      <w:r>
        <w:rPr>
          <w:rFonts w:eastAsia="Calibri"/>
        </w:rPr>
        <w:t>, p. 185.</w:t>
      </w:r>
    </w:p>
  </w:footnote>
  <w:footnote w:id="52">
    <w:p w14:paraId="3CF07F60" w14:textId="4A7EF02D" w:rsidR="005F7A36" w:rsidRPr="00790883" w:rsidRDefault="005F7A36" w:rsidP="007F2066">
      <w:pPr>
        <w:pStyle w:val="Titolo3"/>
      </w:pPr>
      <w:r>
        <w:rPr>
          <w:vertAlign w:val="superscript"/>
        </w:rPr>
        <w:footnoteRef/>
      </w:r>
      <w:r>
        <w:rPr>
          <w:rFonts w:eastAsia="Calibri"/>
        </w:rPr>
        <w:t xml:space="preserve"> </w:t>
      </w:r>
      <w:r>
        <w:rPr>
          <w:rFonts w:eastAsia="Calibri"/>
          <w:i/>
        </w:rPr>
        <w:t>Ibidem</w:t>
      </w:r>
      <w:r>
        <w:rPr>
          <w:rFonts w:eastAsia="Calibri"/>
        </w:rPr>
        <w:t xml:space="preserve">, p. 181. See </w:t>
      </w:r>
      <w:r w:rsidRPr="004D69E6">
        <w:t xml:space="preserve">Ptolemy, </w:t>
      </w:r>
      <w:r w:rsidRPr="004D69E6">
        <w:rPr>
          <w:i/>
          <w:iCs/>
        </w:rPr>
        <w:t>Tetrabiblos</w:t>
      </w:r>
      <w:r w:rsidRPr="004D69E6">
        <w:t xml:space="preserve">, F.E. Robbins (ed. and tr.), </w:t>
      </w:r>
      <w:r w:rsidRPr="00E45F0B">
        <w:t>Loeb Classical Library</w:t>
      </w:r>
      <w:r>
        <w:t>,</w:t>
      </w:r>
      <w:r w:rsidRPr="00E45F0B">
        <w:t xml:space="preserve"> </w:t>
      </w:r>
      <w:r w:rsidRPr="004D69E6">
        <w:t xml:space="preserve">Harvard University Press, </w:t>
      </w:r>
      <w:r w:rsidRPr="005B1E83">
        <w:t>Cambridge</w:t>
      </w:r>
      <w:r>
        <w:t>-</w:t>
      </w:r>
      <w:r w:rsidRPr="005B1E83">
        <w:t>London</w:t>
      </w:r>
      <w:r w:rsidRPr="004D69E6">
        <w:t xml:space="preserve"> 1940</w:t>
      </w:r>
      <w:r>
        <w:t>, I.3, pp. 26-27. Henceforth: “</w:t>
      </w:r>
      <w:r w:rsidRPr="004D69E6">
        <w:rPr>
          <w:i/>
          <w:iCs/>
        </w:rPr>
        <w:t>Tetrabiblos</w:t>
      </w:r>
      <w:r>
        <w:t>”.</w:t>
      </w:r>
    </w:p>
    <w:bookmarkStart w:id="8" w:name="_heading=h.wo7q0l3ge1bj" w:colFirst="0" w:colLast="0"/>
    <w:bookmarkEnd w:id="8"/>
  </w:footnote>
  <w:footnote w:id="53">
    <w:p w14:paraId="041040DD" w14:textId="5833AFCC" w:rsidR="005F7A36" w:rsidRPr="00DF5DF7" w:rsidRDefault="005F7A36" w:rsidP="00FC3BBD">
      <w:pPr>
        <w:pStyle w:val="Titolo3"/>
      </w:pPr>
      <w:bookmarkStart w:id="9" w:name="_heading=h.wo7q0l3ge1bj" w:colFirst="0" w:colLast="0"/>
      <w:bookmarkEnd w:id="9"/>
      <w:r>
        <w:rPr>
          <w:rStyle w:val="Rimandonotaapidipagina"/>
        </w:rPr>
        <w:footnoteRef/>
      </w:r>
      <w:r>
        <w:t xml:space="preserve"> </w:t>
      </w:r>
      <w:r w:rsidRPr="004D69E6">
        <w:rPr>
          <w:i/>
          <w:iCs/>
        </w:rPr>
        <w:t>Tetrabiblos</w:t>
      </w:r>
      <w:r w:rsidRPr="004D69E6">
        <w:t xml:space="preserve">, </w:t>
      </w:r>
      <w:r>
        <w:t>I.1, pp. 2-5; I.2, pp. 14-17.</w:t>
      </w:r>
    </w:p>
  </w:footnote>
  <w:footnote w:id="54">
    <w:p w14:paraId="71536BDA" w14:textId="1C7B6218" w:rsidR="005F7A36" w:rsidRDefault="005F7A36">
      <w:pPr>
        <w:pStyle w:val="Titolo3"/>
      </w:pPr>
      <w:r>
        <w:rPr>
          <w:vertAlign w:val="superscript"/>
        </w:rPr>
        <w:footnoteRef/>
      </w:r>
      <w:r>
        <w:t xml:space="preserve"> M. Lawrence, </w:t>
      </w:r>
      <w:r>
        <w:rPr>
          <w:i/>
        </w:rPr>
        <w:t>Astral Symbolism in Theurgic Rites</w:t>
      </w:r>
      <w:r>
        <w:t xml:space="preserve">, in C. Addey (ed.), </w:t>
      </w:r>
      <w:r>
        <w:rPr>
          <w:i/>
        </w:rPr>
        <w:t>Divination and Knowledge in Late Antiquity</w:t>
      </w:r>
      <w:r>
        <w:t>, Routledge, London-New York 2022, p. 275.</w:t>
      </w:r>
    </w:p>
  </w:footnote>
  <w:footnote w:id="55">
    <w:p w14:paraId="285D6C34" w14:textId="77777777" w:rsidR="005F7A36" w:rsidRDefault="005F7A36">
      <w:pPr>
        <w:pStyle w:val="Titolo3"/>
      </w:pPr>
      <w:r>
        <w:rPr>
          <w:vertAlign w:val="superscript"/>
        </w:rPr>
        <w:footnoteRef/>
      </w:r>
      <w:r>
        <w:t xml:space="preserve"> Iamblichus, </w:t>
      </w:r>
      <w:r>
        <w:rPr>
          <w:i/>
          <w:color w:val="000000"/>
        </w:rPr>
        <w:t>On the Mysteries</w:t>
      </w:r>
      <w:r>
        <w:rPr>
          <w:color w:val="000000"/>
        </w:rPr>
        <w:t xml:space="preserve">, E.C. Clarke, J.M. Dillon, J.P. Hershbell (tr., intr., notes), Society of Biblical Literature, Atlanta 2003, </w:t>
      </w:r>
      <w:r>
        <w:t>IX.4, p. 333. Henceforth: “</w:t>
      </w:r>
      <w:r>
        <w:rPr>
          <w:i/>
        </w:rPr>
        <w:t>De Mysteriis</w:t>
      </w:r>
      <w:r>
        <w:t>”.</w:t>
      </w:r>
    </w:p>
  </w:footnote>
  <w:footnote w:id="56">
    <w:p w14:paraId="230CD0D9" w14:textId="77777777" w:rsidR="005F7A36" w:rsidRDefault="005F7A36">
      <w:pPr>
        <w:pStyle w:val="Titolo3"/>
      </w:pPr>
      <w:r>
        <w:rPr>
          <w:vertAlign w:val="superscript"/>
        </w:rPr>
        <w:footnoteRef/>
      </w:r>
      <w:r>
        <w:t xml:space="preserve"> A. Timotin, </w:t>
      </w:r>
      <w:r>
        <w:rPr>
          <w:i/>
        </w:rPr>
        <w:t xml:space="preserve">La démonologie platonicienne Histoire de la notion de </w:t>
      </w:r>
      <w:r>
        <w:t>daimōn</w:t>
      </w:r>
      <w:r>
        <w:rPr>
          <w:i/>
        </w:rPr>
        <w:t xml:space="preserve"> de Platon aux derniers néoplatoniciens</w:t>
      </w:r>
      <w:r>
        <w:t>, Brill, Leiden-Boston 2012, p. 310.</w:t>
      </w:r>
    </w:p>
  </w:footnote>
  <w:footnote w:id="57">
    <w:p w14:paraId="3DB4D306" w14:textId="4017B12E" w:rsidR="005F7A36" w:rsidRDefault="005F7A36">
      <w:pPr>
        <w:pStyle w:val="Titolo3"/>
      </w:pPr>
      <w:r>
        <w:rPr>
          <w:vertAlign w:val="superscript"/>
        </w:rPr>
        <w:footnoteRef/>
      </w:r>
      <w:r>
        <w:t xml:space="preserve"> </w:t>
      </w:r>
      <w:r>
        <w:rPr>
          <w:i/>
        </w:rPr>
        <w:t>De Mysteriis</w:t>
      </w:r>
      <w:r>
        <w:t>, VIII.4, pp. 316-317.</w:t>
      </w:r>
    </w:p>
  </w:footnote>
  <w:footnote w:id="58">
    <w:p w14:paraId="5D105DE0" w14:textId="72DC5C2E" w:rsidR="005F7A36" w:rsidRDefault="005F7A36">
      <w:pPr>
        <w:pStyle w:val="Titolo3"/>
      </w:pPr>
      <w:r>
        <w:rPr>
          <w:vertAlign w:val="superscript"/>
        </w:rPr>
        <w:footnoteRef/>
      </w:r>
      <w:r>
        <w:t xml:space="preserve"> D. Greenbaum, </w:t>
      </w:r>
      <w:r>
        <w:rPr>
          <w:i/>
        </w:rPr>
        <w:t>Divination and Decumbiture: Katarchic Astrology and Greek Medicine</w:t>
      </w:r>
      <w:r>
        <w:t xml:space="preserve">, in C. Addey (ed.), </w:t>
      </w:r>
      <w:r>
        <w:rPr>
          <w:i/>
        </w:rPr>
        <w:t>Divination and Knowledge in Late Antiquity</w:t>
      </w:r>
      <w:r>
        <w:t>, Routledge, London-New York 2022, p. 116.</w:t>
      </w:r>
    </w:p>
  </w:footnote>
  <w:footnote w:id="59">
    <w:p w14:paraId="57EE4C44" w14:textId="77777777" w:rsidR="005F7A36" w:rsidRDefault="005F7A36">
      <w:pPr>
        <w:pStyle w:val="Titolo3"/>
      </w:pPr>
      <w:r>
        <w:rPr>
          <w:vertAlign w:val="superscript"/>
        </w:rPr>
        <w:footnoteRef/>
      </w:r>
      <w:r>
        <w:t xml:space="preserve"> </w:t>
      </w:r>
      <w:r>
        <w:rPr>
          <w:i/>
        </w:rPr>
        <w:t xml:space="preserve">Ibidem, </w:t>
      </w:r>
      <w:r>
        <w:t>p. 112.</w:t>
      </w:r>
    </w:p>
  </w:footnote>
  <w:footnote w:id="60">
    <w:p w14:paraId="6BF0AA23" w14:textId="77777777" w:rsidR="005F7A36" w:rsidRDefault="005F7A36">
      <w:pPr>
        <w:pStyle w:val="Titolo3"/>
      </w:pPr>
      <w:r>
        <w:rPr>
          <w:vertAlign w:val="superscript"/>
        </w:rPr>
        <w:footnoteRef/>
      </w:r>
      <w:r>
        <w:t xml:space="preserve"> </w:t>
      </w:r>
      <w:r>
        <w:rPr>
          <w:i/>
        </w:rPr>
        <w:t>Ibidem</w:t>
      </w:r>
      <w:r>
        <w:t>.</w:t>
      </w:r>
    </w:p>
  </w:footnote>
  <w:footnote w:id="61">
    <w:p w14:paraId="0ABBEDF7" w14:textId="77777777" w:rsidR="005F7A36" w:rsidRDefault="005F7A36" w:rsidP="00A533F3">
      <w:pPr>
        <w:pStyle w:val="Titolo3"/>
      </w:pPr>
      <w:r>
        <w:rPr>
          <w:vertAlign w:val="superscript"/>
        </w:rPr>
        <w:footnoteRef/>
      </w:r>
      <w:r>
        <w:rPr>
          <w:rFonts w:eastAsia="Calibri"/>
        </w:rPr>
        <w:t xml:space="preserve"> Greenbaum (2022), p. 115.</w:t>
      </w:r>
    </w:p>
  </w:footnote>
  <w:footnote w:id="62">
    <w:p w14:paraId="66A4C9E9" w14:textId="77777777" w:rsidR="005F7A36" w:rsidRDefault="005F7A36">
      <w:pPr>
        <w:pStyle w:val="Titolo3"/>
      </w:pPr>
      <w:r>
        <w:rPr>
          <w:vertAlign w:val="superscript"/>
        </w:rPr>
        <w:footnoteRef/>
      </w:r>
      <w:r>
        <w:t xml:space="preserve"> G.M. Cooper, </w:t>
      </w:r>
      <w:r>
        <w:rPr>
          <w:i/>
        </w:rPr>
        <w:t>Astrology. The Science of Signs in the Heaven</w:t>
      </w:r>
      <w:r>
        <w:t xml:space="preserve">, in J. Scarborough, P.T. Keyser (eds.), </w:t>
      </w:r>
      <w:r>
        <w:rPr>
          <w:i/>
        </w:rPr>
        <w:t>The Oxford Handbook to Science and Medicine in the Classical World</w:t>
      </w:r>
      <w:r>
        <w:t>, Oxford University Press, Oxford 2018, p. 383.</w:t>
      </w:r>
    </w:p>
  </w:footnote>
  <w:footnote w:id="63">
    <w:p w14:paraId="5AE2DDCA" w14:textId="77777777" w:rsidR="005F7A36" w:rsidRDefault="005F7A36">
      <w:pPr>
        <w:pStyle w:val="Titolo3"/>
      </w:pPr>
      <w:r>
        <w:rPr>
          <w:vertAlign w:val="superscript"/>
        </w:rPr>
        <w:footnoteRef/>
      </w:r>
      <w:r>
        <w:t xml:space="preserve"> </w:t>
      </w:r>
      <w:r>
        <w:rPr>
          <w:i/>
        </w:rPr>
        <w:t>Ibidem</w:t>
      </w:r>
      <w:r>
        <w:t>, p. 382.</w:t>
      </w:r>
    </w:p>
  </w:footnote>
  <w:footnote w:id="64">
    <w:p w14:paraId="4C6368AC" w14:textId="77777777" w:rsidR="005F7A36" w:rsidRDefault="005F7A36">
      <w:pPr>
        <w:pStyle w:val="Titolo3"/>
      </w:pPr>
      <w:r>
        <w:rPr>
          <w:vertAlign w:val="superscript"/>
        </w:rPr>
        <w:footnoteRef/>
      </w:r>
      <w:r>
        <w:t xml:space="preserve"> A.A. Long, </w:t>
      </w:r>
      <w:r>
        <w:rPr>
          <w:i/>
        </w:rPr>
        <w:t>Astrology: Arguments Pro and Contra</w:t>
      </w:r>
      <w:r>
        <w:t xml:space="preserve">, in J. Barnes, J. Brunschwig, M. Burnyeat, M. Schofield (eds.), </w:t>
      </w:r>
      <w:r>
        <w:rPr>
          <w:i/>
        </w:rPr>
        <w:t>Science and Speculation. Studies in Hellenistic Theory and Practice</w:t>
      </w:r>
      <w:r>
        <w:t>, Cambridge University Press, Cambridge 1982, p. 170, n. 19.</w:t>
      </w:r>
    </w:p>
    <w:bookmarkStart w:id="10" w:name="_heading=h.pyi55x2eqlqk" w:colFirst="0" w:colLast="0"/>
    <w:bookmarkEnd w:id="10"/>
  </w:footnote>
  <w:footnote w:id="65">
    <w:p w14:paraId="1CB3639B" w14:textId="152C0431" w:rsidR="005F7A36" w:rsidRPr="00187480" w:rsidRDefault="005F7A36">
      <w:pPr>
        <w:pStyle w:val="Titolo3"/>
      </w:pPr>
      <w:bookmarkStart w:id="11" w:name="_heading=h.pyi55x2eqlqk" w:colFirst="0" w:colLast="0"/>
      <w:bookmarkEnd w:id="11"/>
      <w:r>
        <w:rPr>
          <w:vertAlign w:val="superscript"/>
        </w:rPr>
        <w:footnoteRef/>
      </w:r>
      <w:r>
        <w:t xml:space="preserve"> </w:t>
      </w:r>
      <w:r w:rsidRPr="00187480">
        <w:t>Lawrence (2022), p. 272.</w:t>
      </w:r>
    </w:p>
  </w:footnote>
  <w:footnote w:id="66">
    <w:p w14:paraId="4699B2B5" w14:textId="1BC5C587" w:rsidR="005F7A36" w:rsidRDefault="005F7A36" w:rsidP="00387F62">
      <w:pPr>
        <w:pStyle w:val="Titolo3"/>
      </w:pPr>
      <w:r>
        <w:rPr>
          <w:vertAlign w:val="superscript"/>
        </w:rPr>
        <w:footnoteRef/>
      </w:r>
      <w:r>
        <w:t xml:space="preserve"> </w:t>
      </w:r>
      <w:r w:rsidRPr="00187480">
        <w:t>Leiden, Rijksmuseum van</w:t>
      </w:r>
      <w:r>
        <w:t xml:space="preserve"> Oudheden: PLugd.Bat.J 395 (W). </w:t>
      </w:r>
      <w:r>
        <w:rPr>
          <w:i/>
        </w:rPr>
        <w:t>The Greek Magical Papyri in Translation. Including the Demotic Spells</w:t>
      </w:r>
      <w:r>
        <w:t>, H.D. Betz (ed.), The University of Chicago Press, Chicago-London 1996, p. 182.</w:t>
      </w:r>
    </w:p>
  </w:footnote>
  <w:footnote w:id="67">
    <w:p w14:paraId="2900F1F9" w14:textId="2F33CC51" w:rsidR="005F7A36" w:rsidRDefault="005F7A36">
      <w:pPr>
        <w:pStyle w:val="Titolo3"/>
      </w:pPr>
      <w:r w:rsidRPr="00187480">
        <w:rPr>
          <w:vertAlign w:val="superscript"/>
        </w:rPr>
        <w:footnoteRef/>
      </w:r>
      <w:r w:rsidRPr="00387F62">
        <w:rPr>
          <w:i/>
        </w:rPr>
        <w:t xml:space="preserve"> </w:t>
      </w:r>
      <w:r>
        <w:rPr>
          <w:i/>
        </w:rPr>
        <w:t>Ibidem</w:t>
      </w:r>
      <w:r>
        <w:t>, p. xxiii.</w:t>
      </w:r>
    </w:p>
  </w:footnote>
  <w:footnote w:id="68">
    <w:p w14:paraId="1FD06073" w14:textId="424F32A1" w:rsidR="005F7A36" w:rsidRDefault="005F7A36">
      <w:pPr>
        <w:pStyle w:val="Titolo3"/>
      </w:pPr>
      <w:r>
        <w:rPr>
          <w:vertAlign w:val="superscript"/>
        </w:rPr>
        <w:footnoteRef/>
      </w:r>
      <w:r>
        <w:t xml:space="preserve"> </w:t>
      </w:r>
      <w:r>
        <w:rPr>
          <w:i/>
        </w:rPr>
        <w:t>Ibidem</w:t>
      </w:r>
      <w:r>
        <w:t>, p. 187.</w:t>
      </w:r>
    </w:p>
  </w:footnote>
  <w:footnote w:id="69">
    <w:p w14:paraId="1810DF37" w14:textId="77777777" w:rsidR="005F7A36" w:rsidRDefault="005F7A36">
      <w:pPr>
        <w:pStyle w:val="Titolo3"/>
      </w:pPr>
      <w:r>
        <w:rPr>
          <w:vertAlign w:val="superscript"/>
        </w:rPr>
        <w:footnoteRef/>
      </w:r>
      <w:r>
        <w:t xml:space="preserve"> Lawrence (2022), p. 270.</w:t>
      </w:r>
    </w:p>
  </w:footnote>
  <w:footnote w:id="70">
    <w:p w14:paraId="5A5006BD" w14:textId="77777777" w:rsidR="005F7A36" w:rsidRDefault="005F7A36">
      <w:pPr>
        <w:pStyle w:val="Titolo3"/>
      </w:pPr>
      <w:r>
        <w:rPr>
          <w:vertAlign w:val="superscript"/>
        </w:rPr>
        <w:footnoteRef/>
      </w:r>
      <w:r>
        <w:t xml:space="preserve"> N. Denzey Lewis, </w:t>
      </w:r>
      <w:r>
        <w:rPr>
          <w:i/>
        </w:rPr>
        <w:t>Cosmology and Fate in Gnosticism and Graeco-Roman Antiquity. Under Pitiless Skies</w:t>
      </w:r>
      <w:r>
        <w:t>, Brill, Leiden-Boston 2013, pp. 13-25.</w:t>
      </w:r>
    </w:p>
  </w:footnote>
  <w:footnote w:id="71">
    <w:p w14:paraId="4B1F5E9F" w14:textId="77777777" w:rsidR="005F7A36" w:rsidRDefault="005F7A36">
      <w:pPr>
        <w:pStyle w:val="Titolo3"/>
      </w:pPr>
      <w:r>
        <w:rPr>
          <w:vertAlign w:val="superscript"/>
        </w:rPr>
        <w:footnoteRef/>
      </w:r>
      <w:r>
        <w:t xml:space="preserve"> </w:t>
      </w:r>
      <w:r>
        <w:rPr>
          <w:i/>
        </w:rPr>
        <w:t>Ibidem</w:t>
      </w:r>
      <w:r>
        <w:t>, p. 23.</w:t>
      </w:r>
    </w:p>
  </w:footnote>
  <w:footnote w:id="72">
    <w:p w14:paraId="0D7DCB10" w14:textId="20A610F5" w:rsidR="005F7A36" w:rsidRDefault="005F7A36">
      <w:pPr>
        <w:pStyle w:val="Titolo3"/>
      </w:pPr>
      <w:r>
        <w:rPr>
          <w:vertAlign w:val="superscript"/>
        </w:rPr>
        <w:footnoteRef/>
      </w:r>
      <w:r>
        <w:t xml:space="preserve"> H. Lewy, </w:t>
      </w:r>
      <w:r>
        <w:rPr>
          <w:i/>
        </w:rPr>
        <w:t>Chaldaean Oracles and Theurgy: Mystic Magic and Platonism in the Later Roman Empire</w:t>
      </w:r>
      <w:r>
        <w:t xml:space="preserve">, </w:t>
      </w:r>
      <w:r>
        <w:rPr>
          <w:i/>
        </w:rPr>
        <w:t>Troisième édition par Michel Tardieu avec un supplément «Les Oracles chaldaïques 1891-2011»</w:t>
      </w:r>
      <w:r>
        <w:t xml:space="preserve">, Institut des </w:t>
      </w:r>
      <w:r w:rsidRPr="004B5A7E">
        <w:t>É</w:t>
      </w:r>
      <w:r>
        <w:t>tudes Augustiniennes, Paris 2011, p. xiv.</w:t>
      </w:r>
    </w:p>
  </w:footnote>
  <w:footnote w:id="73">
    <w:p w14:paraId="2DE3DB5D" w14:textId="77777777" w:rsidR="005F7A36" w:rsidRDefault="005F7A36">
      <w:pPr>
        <w:pStyle w:val="Titolo3"/>
      </w:pPr>
      <w:r>
        <w:rPr>
          <w:vertAlign w:val="superscript"/>
        </w:rPr>
        <w:footnoteRef/>
      </w:r>
      <w:r>
        <w:t xml:space="preserve"> </w:t>
      </w:r>
      <w:r>
        <w:rPr>
          <w:i/>
        </w:rPr>
        <w:t>Ibidem</w:t>
      </w:r>
      <w:r>
        <w:t xml:space="preserve">. </w:t>
      </w:r>
    </w:p>
  </w:footnote>
  <w:footnote w:id="74">
    <w:p w14:paraId="19633B41" w14:textId="2468F6AF" w:rsidR="005F7A36" w:rsidRDefault="005F7A36">
      <w:pPr>
        <w:pStyle w:val="Titolo3"/>
      </w:pPr>
      <w:r>
        <w:rPr>
          <w:vertAlign w:val="superscript"/>
        </w:rPr>
        <w:footnoteRef/>
      </w:r>
      <w:r>
        <w:t xml:space="preserve"> J.M. Redondo Ornelas, </w:t>
      </w:r>
      <w:r>
        <w:rPr>
          <w:i/>
        </w:rPr>
        <w:t>Astrology is to Theurgy What Astronomy is to Theology in Late Antique Platonism. Remarks on Proclus’s Theurgy</w:t>
      </w:r>
      <w:r>
        <w:t xml:space="preserve">, in A.M. Leminaru, L. Albanese, J.M. Zamora Calvo, G. Muscolino (eds.), </w:t>
      </w:r>
      <w:r>
        <w:rPr>
          <w:i/>
        </w:rPr>
        <w:t>Initiatic Religious Experience in Neoplatonism. From Late Antiquity to the Renaissance</w:t>
      </w:r>
      <w:r>
        <w:t>, Mimesis International, Sesto San Giovanni 2023, p. 36.</w:t>
      </w:r>
    </w:p>
  </w:footnote>
  <w:footnote w:id="75">
    <w:p w14:paraId="0EE4F67F" w14:textId="77777777" w:rsidR="005F7A36" w:rsidRPr="002E02EA" w:rsidRDefault="005F7A36">
      <w:pPr>
        <w:pStyle w:val="Titolo3"/>
        <w:rPr>
          <w:lang w:val="it-IT"/>
        </w:rPr>
      </w:pPr>
      <w:r>
        <w:rPr>
          <w:vertAlign w:val="superscript"/>
        </w:rPr>
        <w:footnoteRef/>
      </w:r>
      <w:r w:rsidRPr="002E02EA">
        <w:rPr>
          <w:lang w:val="it-IT"/>
        </w:rPr>
        <w:t xml:space="preserve"> Greenbaum (2016), p. 17.</w:t>
      </w:r>
    </w:p>
  </w:footnote>
  <w:footnote w:id="76">
    <w:p w14:paraId="00D11D5D" w14:textId="77777777" w:rsidR="005F7A36" w:rsidRPr="002E02EA" w:rsidRDefault="005F7A36">
      <w:pPr>
        <w:pStyle w:val="Titolo3"/>
        <w:rPr>
          <w:lang w:val="it-IT"/>
        </w:rPr>
      </w:pPr>
      <w:r>
        <w:rPr>
          <w:vertAlign w:val="superscript"/>
        </w:rPr>
        <w:footnoteRef/>
      </w:r>
      <w:r w:rsidRPr="002E02EA">
        <w:rPr>
          <w:lang w:val="it-IT"/>
        </w:rPr>
        <w:t xml:space="preserve"> Redondo Ornelas (2023), p. 37.</w:t>
      </w:r>
    </w:p>
  </w:footnote>
  <w:footnote w:id="77">
    <w:p w14:paraId="5ECDB5C7" w14:textId="743C2AB9" w:rsidR="005F7A36" w:rsidRPr="00E220A2" w:rsidRDefault="005F7A36" w:rsidP="00BB0014">
      <w:pPr>
        <w:pStyle w:val="Titolo3"/>
      </w:pPr>
      <w:r>
        <w:rPr>
          <w:rStyle w:val="Rimandonotaapidipagina"/>
        </w:rPr>
        <w:footnoteRef/>
      </w:r>
      <w:r>
        <w:t xml:space="preserve"> Plausibly, this </w:t>
      </w:r>
      <w:r>
        <w:rPr>
          <w:i/>
          <w:iCs/>
        </w:rPr>
        <w:t>corpus</w:t>
      </w:r>
      <w:r>
        <w:t xml:space="preserve"> of writings was produced by a certain Julian the Theurgist, within a Middle-Platonic environment, but what remains of the oracles are fragments reported and commented by several philosophers – especially Neoplatonists – from the III century until Psellus in the XI century. See R. Majercik, </w:t>
      </w:r>
      <w:r>
        <w:rPr>
          <w:i/>
          <w:iCs/>
        </w:rPr>
        <w:t>Introduction</w:t>
      </w:r>
      <w:r>
        <w:t xml:space="preserve">, in </w:t>
      </w:r>
      <w:r>
        <w:rPr>
          <w:i/>
          <w:iCs/>
        </w:rPr>
        <w:t>The Chaldean Oracles</w:t>
      </w:r>
      <w:r>
        <w:t>, R. Majercik (tr. and comm.), The Prometheus Trust, Sedbury 2013, pp. 1-3.</w:t>
      </w:r>
    </w:p>
  </w:footnote>
  <w:footnote w:id="78">
    <w:p w14:paraId="6630AF3B" w14:textId="280E64E2" w:rsidR="005F7A36" w:rsidRPr="00386B52" w:rsidRDefault="005F7A36" w:rsidP="00A81B23">
      <w:pPr>
        <w:pStyle w:val="Titolo3"/>
      </w:pPr>
      <w:r>
        <w:rPr>
          <w:rStyle w:val="Rimandonotaapidipagina"/>
        </w:rPr>
        <w:footnoteRef/>
      </w:r>
      <w:r>
        <w:t xml:space="preserve"> Egyptian and Chaldean religious rituals aimed at intensifying the human connection with the divinity and promoted by Iamblichus of Chalcis (III century), head of the Platonic school in Syria. See G. Shaw, ‘Theurgy: Rituals of Unification in the Neoplatonism of Iamblichus’, </w:t>
      </w:r>
      <w:r>
        <w:rPr>
          <w:i/>
        </w:rPr>
        <w:t>Traditio</w:t>
      </w:r>
      <w:r>
        <w:t xml:space="preserve">, v. 41, Fordham University Press, 1985, p. 1. </w:t>
      </w:r>
    </w:p>
  </w:footnote>
  <w:footnote w:id="79">
    <w:p w14:paraId="7160273D" w14:textId="77777777" w:rsidR="005F7A36" w:rsidRDefault="005F7A36">
      <w:pPr>
        <w:pStyle w:val="Titolo3"/>
      </w:pPr>
      <w:r>
        <w:rPr>
          <w:vertAlign w:val="superscript"/>
        </w:rPr>
        <w:footnoteRef/>
      </w:r>
      <w:r>
        <w:t xml:space="preserve"> All of them believed in the influence of the heavenly bodies. See H. Mace, </w:t>
      </w:r>
      <w:r>
        <w:rPr>
          <w:i/>
        </w:rPr>
        <w:t>Astrology and Religion in Late Antiquity</w:t>
      </w:r>
      <w:r>
        <w:t xml:space="preserve">, in J. Lössl, N.J. Baker-Brian (eds.), </w:t>
      </w:r>
      <w:r>
        <w:rPr>
          <w:i/>
        </w:rPr>
        <w:t>Companion to Religion in Late Antiquity</w:t>
      </w:r>
      <w:r>
        <w:t>, Wiley, Hoboken 2018, p. 442.</w:t>
      </w:r>
    </w:p>
  </w:footnote>
  <w:footnote w:id="80">
    <w:p w14:paraId="5251ADA2" w14:textId="34ABEB08" w:rsidR="005F7A36" w:rsidRPr="00D63F26" w:rsidRDefault="005F7A36" w:rsidP="00372C51">
      <w:pPr>
        <w:pStyle w:val="Titolo3"/>
      </w:pPr>
      <w:r>
        <w:rPr>
          <w:rStyle w:val="Rimandonotaapidipagina"/>
        </w:rPr>
        <w:footnoteRef/>
      </w:r>
      <w:r w:rsidRPr="00D63F26">
        <w:t xml:space="preserve"> A. Bouché-Leclercq, </w:t>
      </w:r>
      <w:r w:rsidRPr="00D63F26">
        <w:rPr>
          <w:i/>
          <w:iCs/>
        </w:rPr>
        <w:t>L’astrologie grecque</w:t>
      </w:r>
      <w:r w:rsidRPr="00D63F26">
        <w:t>, Leroux, Paris 1899,</w:t>
      </w:r>
      <w:r w:rsidRPr="00D63F26">
        <w:rPr>
          <w:i/>
          <w:iCs/>
        </w:rPr>
        <w:t xml:space="preserve"> </w:t>
      </w:r>
      <w:r w:rsidRPr="00D63F26">
        <w:t>p. 569 (the English translation is mine</w:t>
      </w:r>
      <w:r>
        <w:t>).</w:t>
      </w:r>
    </w:p>
  </w:footnote>
  <w:footnote w:id="81">
    <w:p w14:paraId="10CE40AE" w14:textId="77777777" w:rsidR="005F7A36" w:rsidRPr="003F3293" w:rsidRDefault="005F7A36">
      <w:pPr>
        <w:pStyle w:val="Titolo3"/>
      </w:pPr>
      <w:r>
        <w:rPr>
          <w:vertAlign w:val="superscript"/>
        </w:rPr>
        <w:footnoteRef/>
      </w:r>
      <w:r>
        <w:t xml:space="preserve"> </w:t>
      </w:r>
      <w:r>
        <w:rPr>
          <w:color w:val="000000"/>
        </w:rPr>
        <w:t>E</w:t>
      </w:r>
      <w:r>
        <w:rPr>
          <w:rFonts w:ascii="Calibri" w:eastAsia="Calibri" w:hAnsi="Calibri" w:cs="Calibri"/>
          <w:szCs w:val="18"/>
        </w:rPr>
        <w:t xml:space="preserve">. </w:t>
      </w:r>
      <w:r w:rsidRPr="003F3293">
        <w:t xml:space="preserve">Theodossiou, V. Manimanis, M.S. Dimitrijevic, ‘Astrology in the Early Byzantine Empire and the Anti-Astrology Stance of the Church Fathers’, </w:t>
      </w:r>
      <w:r w:rsidRPr="003F3293">
        <w:rPr>
          <w:i/>
          <w:iCs/>
        </w:rPr>
        <w:t>European Journal of Science and Theology</w:t>
      </w:r>
      <w:r w:rsidRPr="003F3293">
        <w:t>, v. 8, n. 2, June 2012, p. 8.</w:t>
      </w:r>
    </w:p>
  </w:footnote>
  <w:footnote w:id="82">
    <w:p w14:paraId="5394196B" w14:textId="77777777" w:rsidR="005F7A36" w:rsidRDefault="005F7A36">
      <w:pPr>
        <w:pStyle w:val="Titolo3"/>
      </w:pPr>
      <w:r>
        <w:rPr>
          <w:vertAlign w:val="superscript"/>
        </w:rPr>
        <w:footnoteRef/>
      </w:r>
      <w:r>
        <w:t xml:space="preserve"> P. Ripat, ‘Expelling Misconceptions: Astrologers at Rome’, </w:t>
      </w:r>
      <w:r>
        <w:rPr>
          <w:i/>
        </w:rPr>
        <w:t>Classical Philology</w:t>
      </w:r>
      <w:r>
        <w:t>, v. 106, n. 2, The University of Chicago Press, April 2011, pp. 115-116.</w:t>
      </w:r>
    </w:p>
  </w:footnote>
  <w:footnote w:id="83">
    <w:p w14:paraId="739FFF46" w14:textId="6B3020D0" w:rsidR="005F7A36" w:rsidRDefault="005F7A36">
      <w:pPr>
        <w:pStyle w:val="Titolo3"/>
        <w:rPr>
          <w:i/>
        </w:rPr>
      </w:pPr>
      <w:r>
        <w:rPr>
          <w:vertAlign w:val="superscript"/>
        </w:rPr>
        <w:footnoteRef/>
      </w:r>
      <w:r>
        <w:t xml:space="preserve"> For example, Mace reports the words of the </w:t>
      </w:r>
      <w:r>
        <w:rPr>
          <w:i/>
        </w:rPr>
        <w:t>Codex Justinianus</w:t>
      </w:r>
      <w:r>
        <w:t>, stating that for ‘Diocletian and Maximian and the Caesars to Tiberius […] the damnable magician’s art is forbidden’, in which “magician” was translated from “</w:t>
      </w:r>
      <w:r>
        <w:rPr>
          <w:i/>
        </w:rPr>
        <w:t>mathematicus</w:t>
      </w:r>
      <w:r>
        <w:t>”, the astrologer (</w:t>
      </w:r>
      <w:r>
        <w:rPr>
          <w:i/>
        </w:rPr>
        <w:t xml:space="preserve">Cod. Just. </w:t>
      </w:r>
      <w:r>
        <w:t>9.18.2: Sirmium, August 20, 294). See Mace (2018), p. 437.</w:t>
      </w:r>
    </w:p>
  </w:footnote>
  <w:footnote w:id="84">
    <w:p w14:paraId="5C1125BA" w14:textId="77777777" w:rsidR="005F7A36" w:rsidRPr="003F3293" w:rsidRDefault="005F7A36" w:rsidP="003F3293">
      <w:pPr>
        <w:pStyle w:val="Titolo3"/>
      </w:pPr>
      <w:r>
        <w:rPr>
          <w:vertAlign w:val="superscript"/>
        </w:rPr>
        <w:footnoteRef/>
      </w:r>
      <w:r>
        <w:t xml:space="preserve"> </w:t>
      </w:r>
      <w:r>
        <w:rPr>
          <w:i/>
        </w:rPr>
        <w:t>Cod. Theod.</w:t>
      </w:r>
      <w:r>
        <w:t xml:space="preserve"> 9.14.4: Milan, January 25, 357. The same prohibition was reinforced with Valentinian, Valens, Constantius II, Valentinianus III and </w:t>
      </w:r>
      <w:r w:rsidRPr="003F3293">
        <w:t>Theodosius, who followed the Church’s condemnation of astrology as heresy. See ibidem, pp. 438-439.</w:t>
      </w:r>
    </w:p>
  </w:footnote>
  <w:footnote w:id="85">
    <w:p w14:paraId="18E12FCF" w14:textId="77777777" w:rsidR="005F7A36" w:rsidRDefault="005F7A36" w:rsidP="003F3293">
      <w:pPr>
        <w:pStyle w:val="Titolo3"/>
        <w:rPr>
          <w:color w:val="000000"/>
        </w:rPr>
      </w:pPr>
      <w:r w:rsidRPr="003F3293">
        <w:rPr>
          <w:vertAlign w:val="superscript"/>
        </w:rPr>
        <w:footnoteRef/>
      </w:r>
      <w:r w:rsidRPr="003F3293">
        <w:rPr>
          <w:vertAlign w:val="superscript"/>
        </w:rPr>
        <w:t xml:space="preserve"> </w:t>
      </w:r>
      <w:r w:rsidRPr="003F3293">
        <w:t xml:space="preserve">Firmicus Maternus, </w:t>
      </w:r>
      <w:r w:rsidRPr="003F3293">
        <w:rPr>
          <w:i/>
          <w:iCs/>
        </w:rPr>
        <w:t>Ancient Astrology Theory and Practice. Matheseos Libri VIII</w:t>
      </w:r>
      <w:r w:rsidRPr="003F3293">
        <w:t>, J.R. Bram (tr.), Astrology Classics, Abingdon 2005, II.30.4-5, p. 69. Henceforth: “</w:t>
      </w:r>
      <w:r w:rsidRPr="00683AAA">
        <w:rPr>
          <w:i/>
          <w:iCs/>
        </w:rPr>
        <w:t>Matheseos</w:t>
      </w:r>
      <w:r w:rsidRPr="003F3293">
        <w:t>”.</w:t>
      </w:r>
    </w:p>
  </w:footnote>
  <w:footnote w:id="86">
    <w:p w14:paraId="4BA2A549" w14:textId="5082443C" w:rsidR="005F7A36" w:rsidRPr="00076EA5" w:rsidRDefault="005F7A36" w:rsidP="003F3293">
      <w:pPr>
        <w:pStyle w:val="Titolo3"/>
      </w:pPr>
      <w:r>
        <w:rPr>
          <w:rStyle w:val="Rimandonotaapidipagina"/>
        </w:rPr>
        <w:footnoteRef/>
      </w:r>
      <w:r w:rsidRPr="00D63F26">
        <w:t xml:space="preserve"> Bouché-Leclercq (1899),</w:t>
      </w:r>
      <w:r w:rsidRPr="00D63F26">
        <w:rPr>
          <w:i/>
          <w:iCs/>
        </w:rPr>
        <w:t xml:space="preserve"> </w:t>
      </w:r>
      <w:r w:rsidRPr="00D63F26">
        <w:t>p. 570 (</w:t>
      </w:r>
      <w:r>
        <w:t>t</w:t>
      </w:r>
      <w:r w:rsidRPr="00D63F26">
        <w:t>he English translation is mine</w:t>
      </w:r>
      <w:r>
        <w:t>).</w:t>
      </w:r>
      <w:r w:rsidRPr="00D63F26">
        <w:t xml:space="preserve"> </w:t>
      </w:r>
      <w:r w:rsidRPr="00076EA5">
        <w:t xml:space="preserve">See also: </w:t>
      </w:r>
      <w:r w:rsidRPr="00683AAA">
        <w:rPr>
          <w:i/>
          <w:iCs/>
        </w:rPr>
        <w:t>Matheseos</w:t>
      </w:r>
      <w:r>
        <w:t>, II.30, pp. 68-70 and Mace (2018), p. 440.</w:t>
      </w:r>
    </w:p>
  </w:footnote>
  <w:footnote w:id="87">
    <w:p w14:paraId="50132671" w14:textId="77777777" w:rsidR="005F7A36" w:rsidRDefault="005F7A36" w:rsidP="00006125">
      <w:pPr>
        <w:pStyle w:val="Titolo3"/>
      </w:pPr>
      <w:r>
        <w:rPr>
          <w:vertAlign w:val="superscript"/>
        </w:rPr>
        <w:footnoteRef/>
      </w:r>
      <w:r>
        <w:rPr>
          <w:sz w:val="20"/>
          <w:szCs w:val="20"/>
        </w:rPr>
        <w:t xml:space="preserve"> </w:t>
      </w:r>
      <w:r>
        <w:t>Mace (2018), p. 446.</w:t>
      </w:r>
    </w:p>
  </w:footnote>
  <w:footnote w:id="88">
    <w:p w14:paraId="09B6A641" w14:textId="1D7A778B" w:rsidR="005F7A36" w:rsidRDefault="005F7A36" w:rsidP="00006125">
      <w:pPr>
        <w:pStyle w:val="Titolo3"/>
        <w:rPr>
          <w:rFonts w:ascii="Calibri" w:hAnsi="Calibri"/>
          <w:color w:val="000000"/>
        </w:rPr>
      </w:pPr>
      <w:r w:rsidRPr="005B1E81">
        <w:rPr>
          <w:vertAlign w:val="superscript"/>
        </w:rPr>
        <w:footnoteRef/>
      </w:r>
      <w:r w:rsidRPr="005B1E81">
        <w:rPr>
          <w:rFonts w:ascii="Calibri" w:eastAsia="Calibri" w:hAnsi="Calibri" w:cs="Calibri"/>
          <w:color w:val="000000"/>
        </w:rPr>
        <w:t xml:space="preserve"> </w:t>
      </w:r>
      <w:r w:rsidRPr="005B1E81">
        <w:t>P</w:t>
      </w:r>
      <w:r>
        <w:t xml:space="preserve">orphyry, </w:t>
      </w:r>
      <w:r>
        <w:rPr>
          <w:i/>
          <w:color w:val="000000"/>
        </w:rPr>
        <w:t>Life of Plotinus</w:t>
      </w:r>
      <w:r>
        <w:rPr>
          <w:iCs/>
          <w:color w:val="000000"/>
        </w:rPr>
        <w:t xml:space="preserve">, in Plotinus, </w:t>
      </w:r>
      <w:r>
        <w:rPr>
          <w:i/>
          <w:color w:val="000000"/>
        </w:rPr>
        <w:t>Porphyry On the Life of Plotinus and the Order of His Books; Enneads I 1-9</w:t>
      </w:r>
      <w:r>
        <w:rPr>
          <w:iCs/>
          <w:color w:val="000000"/>
        </w:rPr>
        <w:t xml:space="preserve">, A.H. Armstrong (tr.), </w:t>
      </w:r>
      <w:r>
        <w:rPr>
          <w:color w:val="000000"/>
        </w:rPr>
        <w:t>Loeb Classical Library, Harvard University Press, Cambridge 1966, 15, pp. 42-45.</w:t>
      </w:r>
    </w:p>
  </w:footnote>
  <w:footnote w:id="89">
    <w:p w14:paraId="3F14BFFD" w14:textId="77777777" w:rsidR="005F7A36" w:rsidRDefault="005F7A36">
      <w:pPr>
        <w:pStyle w:val="Titolo3"/>
      </w:pPr>
      <w:r>
        <w:rPr>
          <w:vertAlign w:val="superscript"/>
        </w:rPr>
        <w:footnoteRef/>
      </w:r>
      <w:r>
        <w:t xml:space="preserve"> See also L. Thorndike, </w:t>
      </w:r>
      <w:r>
        <w:rPr>
          <w:i/>
        </w:rPr>
        <w:t>A History of Magic and Experimental Science</w:t>
      </w:r>
      <w:r>
        <w:t xml:space="preserve">, v. I, Columbia University Press, London-New York 1941, p. 302; P. Adamson, </w:t>
      </w:r>
      <w:r>
        <w:rPr>
          <w:i/>
        </w:rPr>
        <w:t>Studies on Plotinus and Al-Kindi</w:t>
      </w:r>
      <w:r>
        <w:t>, Routledge, London-New York 2014, p. 265.</w:t>
      </w:r>
    </w:p>
  </w:footnote>
  <w:footnote w:id="90">
    <w:p w14:paraId="1A16257A" w14:textId="77777777" w:rsidR="005F7A36" w:rsidRDefault="005F7A36">
      <w:pPr>
        <w:pStyle w:val="Titolo3"/>
      </w:pPr>
      <w:r>
        <w:rPr>
          <w:vertAlign w:val="superscript"/>
        </w:rPr>
        <w:footnoteRef/>
      </w:r>
      <w:r>
        <w:t xml:space="preserve"> See </w:t>
      </w:r>
      <w:r>
        <w:rPr>
          <w:i/>
        </w:rPr>
        <w:t>Matheseos</w:t>
      </w:r>
      <w:r>
        <w:t>, I.15-22, pp. 23-24.</w:t>
      </w:r>
    </w:p>
  </w:footnote>
  <w:footnote w:id="91">
    <w:p w14:paraId="5EA8879E" w14:textId="77777777" w:rsidR="005F7A36" w:rsidRDefault="005F7A36">
      <w:pPr>
        <w:pStyle w:val="Titolo3"/>
      </w:pPr>
      <w:r>
        <w:rPr>
          <w:vertAlign w:val="superscript"/>
        </w:rPr>
        <w:footnoteRef/>
      </w:r>
      <w:r>
        <w:t xml:space="preserve"> Thorndike (1941), p. 302.</w:t>
      </w:r>
    </w:p>
  </w:footnote>
  <w:footnote w:id="92">
    <w:p w14:paraId="0267B17D" w14:textId="77777777" w:rsidR="005F7A36" w:rsidRDefault="005F7A36">
      <w:pPr>
        <w:pStyle w:val="Titolo3"/>
      </w:pPr>
      <w:r>
        <w:rPr>
          <w:vertAlign w:val="superscript"/>
        </w:rPr>
        <w:footnoteRef/>
      </w:r>
      <w:r>
        <w:t xml:space="preserve"> </w:t>
      </w:r>
      <w:r>
        <w:rPr>
          <w:i/>
        </w:rPr>
        <w:t>Enneads</w:t>
      </w:r>
      <w:r>
        <w:t xml:space="preserve"> IV.3.11, pp. 72-73.</w:t>
      </w:r>
    </w:p>
  </w:footnote>
  <w:footnote w:id="93">
    <w:p w14:paraId="5F10A9E7" w14:textId="77777777" w:rsidR="005F7A36" w:rsidRDefault="005F7A36">
      <w:pPr>
        <w:pStyle w:val="Titolo3"/>
      </w:pPr>
      <w:r>
        <w:rPr>
          <w:vertAlign w:val="superscript"/>
        </w:rPr>
        <w:footnoteRef/>
      </w:r>
      <w:r>
        <w:t xml:space="preserve"> </w:t>
      </w:r>
      <w:r>
        <w:rPr>
          <w:i/>
        </w:rPr>
        <w:t>Ibidem</w:t>
      </w:r>
      <w:r>
        <w:t>, IV.3.12, pp. 74-75.</w:t>
      </w:r>
    </w:p>
  </w:footnote>
  <w:footnote w:id="94">
    <w:p w14:paraId="1D52E42E" w14:textId="77777777" w:rsidR="005F7A36" w:rsidRDefault="005F7A36">
      <w:pPr>
        <w:pStyle w:val="Titolo3"/>
      </w:pPr>
      <w:r>
        <w:rPr>
          <w:vertAlign w:val="superscript"/>
        </w:rPr>
        <w:footnoteRef/>
      </w:r>
      <w:r>
        <w:t xml:space="preserve"> </w:t>
      </w:r>
      <w:r>
        <w:rPr>
          <w:i/>
        </w:rPr>
        <w:t>Ibidem</w:t>
      </w:r>
      <w:r>
        <w:t>, IV.3.19-20.</w:t>
      </w:r>
    </w:p>
  </w:footnote>
  <w:footnote w:id="95">
    <w:p w14:paraId="10087A5A" w14:textId="77777777" w:rsidR="005F7A36" w:rsidRDefault="005F7A36">
      <w:pPr>
        <w:pStyle w:val="Titolo3"/>
      </w:pPr>
      <w:r>
        <w:rPr>
          <w:vertAlign w:val="superscript"/>
        </w:rPr>
        <w:footnoteRef/>
      </w:r>
      <w:r>
        <w:t xml:space="preserve"> </w:t>
      </w:r>
      <w:r>
        <w:rPr>
          <w:i/>
        </w:rPr>
        <w:t>Enneads</w:t>
      </w:r>
      <w:r>
        <w:t xml:space="preserve"> III.1.10, pp. 32-35.</w:t>
      </w:r>
    </w:p>
  </w:footnote>
  <w:footnote w:id="96">
    <w:p w14:paraId="304A86AB" w14:textId="77777777" w:rsidR="005F7A36" w:rsidRDefault="005F7A36">
      <w:pPr>
        <w:pStyle w:val="Titolo3"/>
      </w:pPr>
      <w:r>
        <w:rPr>
          <w:vertAlign w:val="superscript"/>
        </w:rPr>
        <w:footnoteRef/>
      </w:r>
      <w:r>
        <w:t xml:space="preserve"> </w:t>
      </w:r>
      <w:r>
        <w:rPr>
          <w:i/>
        </w:rPr>
        <w:t>Ibidem</w:t>
      </w:r>
      <w:r>
        <w:t>, pp. 34-35.</w:t>
      </w:r>
    </w:p>
  </w:footnote>
  <w:footnote w:id="97">
    <w:p w14:paraId="361D1BE6" w14:textId="77777777" w:rsidR="005F7A36" w:rsidRDefault="005F7A36">
      <w:pPr>
        <w:pStyle w:val="Titolo3"/>
      </w:pPr>
      <w:r>
        <w:rPr>
          <w:vertAlign w:val="superscript"/>
        </w:rPr>
        <w:footnoteRef/>
      </w:r>
      <w:r>
        <w:t xml:space="preserve"> </w:t>
      </w:r>
      <w:r>
        <w:rPr>
          <w:i/>
        </w:rPr>
        <w:t>Ibidem</w:t>
      </w:r>
      <w:r>
        <w:t>, III.1.2, pp. 12-15.</w:t>
      </w:r>
    </w:p>
  </w:footnote>
  <w:footnote w:id="98">
    <w:p w14:paraId="15C40EDD" w14:textId="77777777" w:rsidR="005F7A36" w:rsidRDefault="005F7A36">
      <w:pPr>
        <w:pStyle w:val="Titolo3"/>
      </w:pPr>
      <w:r>
        <w:rPr>
          <w:vertAlign w:val="superscript"/>
        </w:rPr>
        <w:footnoteRef/>
      </w:r>
      <w:r>
        <w:t xml:space="preserve"> </w:t>
      </w:r>
      <w:r>
        <w:rPr>
          <w:i/>
        </w:rPr>
        <w:t>Ibidem</w:t>
      </w:r>
      <w:r>
        <w:t>, III.1.5, pp. 22-23.</w:t>
      </w:r>
    </w:p>
  </w:footnote>
  <w:footnote w:id="99">
    <w:p w14:paraId="1D7AF2A1" w14:textId="77777777" w:rsidR="005F7A36" w:rsidRDefault="005F7A36">
      <w:pPr>
        <w:pStyle w:val="Titolo3"/>
      </w:pPr>
      <w:r>
        <w:rPr>
          <w:vertAlign w:val="superscript"/>
        </w:rPr>
        <w:footnoteRef/>
      </w:r>
      <w:r>
        <w:t xml:space="preserve"> G. Leroux, </w:t>
      </w:r>
      <w:r>
        <w:rPr>
          <w:i/>
        </w:rPr>
        <w:t>Human Freedom in the Thought of Plotinus</w:t>
      </w:r>
      <w:r>
        <w:t xml:space="preserve">, in L.P. Gerson (ed.), </w:t>
      </w:r>
      <w:r>
        <w:rPr>
          <w:i/>
        </w:rPr>
        <w:t>The Cambridge Companion to Plotinus</w:t>
      </w:r>
      <w:r>
        <w:t>, Cambridge University Press, Cambridge 1996, pp.292-296.</w:t>
      </w:r>
    </w:p>
  </w:footnote>
  <w:footnote w:id="100">
    <w:p w14:paraId="10BAC2C3" w14:textId="77777777" w:rsidR="005F7A36" w:rsidRDefault="005F7A36">
      <w:pPr>
        <w:pStyle w:val="Titolo3"/>
      </w:pPr>
      <w:r>
        <w:rPr>
          <w:vertAlign w:val="superscript"/>
        </w:rPr>
        <w:footnoteRef/>
      </w:r>
      <w:r>
        <w:t xml:space="preserve"> </w:t>
      </w:r>
      <w:r>
        <w:rPr>
          <w:i/>
        </w:rPr>
        <w:t>Enneads</w:t>
      </w:r>
      <w:r>
        <w:t xml:space="preserve"> III.2.1, pp. 44-45.</w:t>
      </w:r>
    </w:p>
  </w:footnote>
  <w:footnote w:id="101">
    <w:p w14:paraId="67CE7620" w14:textId="77777777" w:rsidR="005F7A36" w:rsidRDefault="005F7A36">
      <w:pPr>
        <w:pStyle w:val="Titolo3"/>
      </w:pPr>
      <w:r>
        <w:rPr>
          <w:vertAlign w:val="superscript"/>
        </w:rPr>
        <w:footnoteRef/>
      </w:r>
      <w:r>
        <w:t xml:space="preserve"> </w:t>
      </w:r>
      <w:r>
        <w:rPr>
          <w:i/>
        </w:rPr>
        <w:t xml:space="preserve">Enneads </w:t>
      </w:r>
      <w:r>
        <w:t>IV.4.31, pp. 232-233.</w:t>
      </w:r>
    </w:p>
  </w:footnote>
  <w:footnote w:id="102">
    <w:p w14:paraId="769687CF" w14:textId="77777777" w:rsidR="005F7A36" w:rsidRDefault="005F7A36">
      <w:pPr>
        <w:pStyle w:val="Titolo3"/>
      </w:pPr>
      <w:r>
        <w:rPr>
          <w:vertAlign w:val="superscript"/>
        </w:rPr>
        <w:footnoteRef/>
      </w:r>
      <w:r>
        <w:t xml:space="preserve"> Plotinus, </w:t>
      </w:r>
      <w:r>
        <w:rPr>
          <w:i/>
        </w:rPr>
        <w:t>Ennead II</w:t>
      </w:r>
      <w:r>
        <w:t>, A.H. Armstrong (tr.), Loeb Classical Library, Harvard University Press, Cambridge-London 1966,</w:t>
      </w:r>
      <w:r>
        <w:rPr>
          <w:i/>
        </w:rPr>
        <w:t xml:space="preserve"> </w:t>
      </w:r>
      <w:r>
        <w:t>II.3.1, pp. 56-59. Henceforth: “</w:t>
      </w:r>
      <w:r>
        <w:rPr>
          <w:i/>
        </w:rPr>
        <w:t xml:space="preserve">Enneads </w:t>
      </w:r>
      <w:r>
        <w:t>II”.</w:t>
      </w:r>
    </w:p>
  </w:footnote>
  <w:footnote w:id="103">
    <w:p w14:paraId="07E4F668" w14:textId="77777777" w:rsidR="005F7A36" w:rsidRDefault="005F7A36">
      <w:pPr>
        <w:pStyle w:val="Titolo3"/>
      </w:pPr>
      <w:r>
        <w:rPr>
          <w:vertAlign w:val="superscript"/>
        </w:rPr>
        <w:footnoteRef/>
      </w:r>
      <w:r>
        <w:t xml:space="preserve"> </w:t>
      </w:r>
      <w:r>
        <w:rPr>
          <w:i/>
        </w:rPr>
        <w:t>Enneads</w:t>
      </w:r>
      <w:r>
        <w:t xml:space="preserve"> IV.4.32, pp. 234-235; IV.4.34, pp. 242-243.</w:t>
      </w:r>
    </w:p>
  </w:footnote>
  <w:footnote w:id="104">
    <w:p w14:paraId="75CD9DF7" w14:textId="2D76FD2E" w:rsidR="005F7A36" w:rsidRDefault="005F7A36">
      <w:pPr>
        <w:pStyle w:val="Titolo3"/>
      </w:pPr>
      <w:r>
        <w:rPr>
          <w:vertAlign w:val="superscript"/>
        </w:rPr>
        <w:footnoteRef/>
      </w:r>
      <w:r>
        <w:t xml:space="preserve"> </w:t>
      </w:r>
      <w:r>
        <w:rPr>
          <w:i/>
        </w:rPr>
        <w:t>Enneads</w:t>
      </w:r>
      <w:r>
        <w:t xml:space="preserve"> III.1.6, pp. 28-29.</w:t>
      </w:r>
    </w:p>
  </w:footnote>
  <w:footnote w:id="105">
    <w:p w14:paraId="6C31F0AF" w14:textId="4EB2A402" w:rsidR="005F7A36" w:rsidRDefault="005F7A36">
      <w:pPr>
        <w:pStyle w:val="Titolo3"/>
      </w:pPr>
      <w:r>
        <w:rPr>
          <w:vertAlign w:val="superscript"/>
        </w:rPr>
        <w:footnoteRef/>
      </w:r>
      <w:r>
        <w:t xml:space="preserve"> </w:t>
      </w:r>
      <w:r w:rsidRPr="0050020A">
        <w:rPr>
          <w:i/>
        </w:rPr>
        <w:t>Enneads</w:t>
      </w:r>
      <w:r w:rsidRPr="0050020A">
        <w:t xml:space="preserve"> II.3.9, pp. 74-77;</w:t>
      </w:r>
      <w:r>
        <w:t xml:space="preserve"> </w:t>
      </w:r>
      <w:r>
        <w:rPr>
          <w:i/>
          <w:iCs/>
        </w:rPr>
        <w:t>ibidem</w:t>
      </w:r>
      <w:r>
        <w:t>, II.3.12, pp. 78-79;</w:t>
      </w:r>
      <w:r>
        <w:rPr>
          <w:i/>
          <w:iCs/>
        </w:rPr>
        <w:t xml:space="preserve"> </w:t>
      </w:r>
      <w:r>
        <w:rPr>
          <w:i/>
        </w:rPr>
        <w:t>Enneads</w:t>
      </w:r>
      <w:r>
        <w:t xml:space="preserve"> IV.4.38, pp. 258-259.</w:t>
      </w:r>
    </w:p>
  </w:footnote>
  <w:footnote w:id="106">
    <w:p w14:paraId="52EB4F67" w14:textId="77777777" w:rsidR="005F7A36" w:rsidRDefault="005F7A36">
      <w:pPr>
        <w:pStyle w:val="Titolo3"/>
      </w:pPr>
      <w:r>
        <w:rPr>
          <w:vertAlign w:val="superscript"/>
        </w:rPr>
        <w:footnoteRef/>
      </w:r>
      <w:r>
        <w:t xml:space="preserve"> </w:t>
      </w:r>
      <w:r>
        <w:rPr>
          <w:i/>
        </w:rPr>
        <w:t>Enneads</w:t>
      </w:r>
      <w:r>
        <w:t xml:space="preserve"> II.3.7, pp. 70-71.</w:t>
      </w:r>
    </w:p>
  </w:footnote>
  <w:footnote w:id="107">
    <w:p w14:paraId="2851F690" w14:textId="77777777" w:rsidR="005F7A36" w:rsidRDefault="005F7A36">
      <w:pPr>
        <w:pStyle w:val="Titolo3"/>
      </w:pPr>
      <w:r>
        <w:rPr>
          <w:vertAlign w:val="superscript"/>
        </w:rPr>
        <w:footnoteRef/>
      </w:r>
      <w:r>
        <w:t xml:space="preserve"> </w:t>
      </w:r>
      <w:r>
        <w:rPr>
          <w:i/>
        </w:rPr>
        <w:t>Ibidem</w:t>
      </w:r>
      <w:r>
        <w:t>,</w:t>
      </w:r>
      <w:r>
        <w:rPr>
          <w:i/>
        </w:rPr>
        <w:t xml:space="preserve"> </w:t>
      </w:r>
      <w:r>
        <w:t xml:space="preserve">II.3.5, pp. 64-67; </w:t>
      </w:r>
      <w:r>
        <w:rPr>
          <w:i/>
        </w:rPr>
        <w:t>Enneads</w:t>
      </w:r>
      <w:r>
        <w:t xml:space="preserve"> IV.4.35, pp. 244-247; IV.4.39, pp. 258-259</w:t>
      </w:r>
    </w:p>
  </w:footnote>
  <w:footnote w:id="108">
    <w:p w14:paraId="6B6CCB7A" w14:textId="70BDB45C" w:rsidR="005F7A36" w:rsidRDefault="005F7A36">
      <w:pPr>
        <w:pStyle w:val="Titolo3"/>
      </w:pPr>
      <w:r>
        <w:rPr>
          <w:vertAlign w:val="superscript"/>
        </w:rPr>
        <w:footnoteRef/>
      </w:r>
      <w:r>
        <w:t xml:space="preserve"> </w:t>
      </w:r>
      <w:r w:rsidRPr="00A35016">
        <w:rPr>
          <w:i/>
        </w:rPr>
        <w:t>Enneads</w:t>
      </w:r>
      <w:r w:rsidRPr="00A35016">
        <w:t>, II.3.13, pp. 82-83.</w:t>
      </w:r>
    </w:p>
    <w:bookmarkStart w:id="12" w:name="_heading=h.6ddsyy2awjay" w:colFirst="0" w:colLast="0"/>
    <w:bookmarkEnd w:id="12"/>
  </w:footnote>
  <w:footnote w:id="109">
    <w:p w14:paraId="47C6E701" w14:textId="77777777" w:rsidR="005F7A36" w:rsidRDefault="005F7A36">
      <w:pPr>
        <w:pStyle w:val="Titolo3"/>
      </w:pPr>
      <w:bookmarkStart w:id="13" w:name="_heading=h.6ddsyy2awjay" w:colFirst="0" w:colLast="0"/>
      <w:bookmarkEnd w:id="13"/>
      <w:r>
        <w:rPr>
          <w:vertAlign w:val="superscript"/>
        </w:rPr>
        <w:footnoteRef/>
      </w:r>
      <w:r>
        <w:t xml:space="preserve"> </w:t>
      </w:r>
      <w:r>
        <w:rPr>
          <w:i/>
        </w:rPr>
        <w:t xml:space="preserve">Enneads </w:t>
      </w:r>
      <w:r>
        <w:t>II.3.7, pp. 68-69.</w:t>
      </w:r>
    </w:p>
    <w:bookmarkStart w:id="14" w:name="_heading=h.7z4foaez0c31" w:colFirst="0" w:colLast="0"/>
    <w:bookmarkEnd w:id="14"/>
  </w:footnote>
  <w:footnote w:id="110">
    <w:p w14:paraId="3498E98E" w14:textId="7F51E935" w:rsidR="005F7A36" w:rsidRDefault="005F7A36">
      <w:pPr>
        <w:pStyle w:val="Titolo3"/>
      </w:pPr>
      <w:bookmarkStart w:id="15" w:name="_heading=h.7z4foaez0c31" w:colFirst="0" w:colLast="0"/>
      <w:bookmarkEnd w:id="15"/>
      <w:r>
        <w:rPr>
          <w:vertAlign w:val="superscript"/>
        </w:rPr>
        <w:footnoteRef/>
      </w:r>
      <w:r>
        <w:t xml:space="preserve"> Long (1982), pp. 187-188.</w:t>
      </w:r>
    </w:p>
  </w:footnote>
  <w:footnote w:id="111">
    <w:p w14:paraId="6944BE68" w14:textId="37CD4BC2" w:rsidR="005F7A36" w:rsidRDefault="005F7A36">
      <w:pPr>
        <w:pStyle w:val="Titolo3"/>
      </w:pPr>
      <w:r>
        <w:rPr>
          <w:vertAlign w:val="superscript"/>
        </w:rPr>
        <w:footnoteRef/>
      </w:r>
      <w:r>
        <w:t xml:space="preserve"> </w:t>
      </w:r>
      <w:r>
        <w:rPr>
          <w:i/>
        </w:rPr>
        <w:t>Enneads</w:t>
      </w:r>
      <w:r>
        <w:t>, IV.4.39, pp. 260-261.</w:t>
      </w:r>
    </w:p>
  </w:footnote>
  <w:footnote w:id="112">
    <w:p w14:paraId="0D49831C" w14:textId="77777777" w:rsidR="005F7A36" w:rsidRDefault="005F7A36">
      <w:pPr>
        <w:pStyle w:val="Titolo3"/>
      </w:pPr>
      <w:r>
        <w:rPr>
          <w:vertAlign w:val="superscript"/>
        </w:rPr>
        <w:footnoteRef/>
      </w:r>
      <w:r>
        <w:t xml:space="preserve"> </w:t>
      </w:r>
      <w:r>
        <w:rPr>
          <w:i/>
        </w:rPr>
        <w:t>Ibidem</w:t>
      </w:r>
      <w:r>
        <w:t xml:space="preserve">. </w:t>
      </w:r>
    </w:p>
  </w:footnote>
  <w:footnote w:id="113">
    <w:p w14:paraId="58378F27" w14:textId="77777777" w:rsidR="005F7A36" w:rsidRDefault="005F7A36">
      <w:pPr>
        <w:pStyle w:val="Titolo3"/>
      </w:pPr>
      <w:r>
        <w:rPr>
          <w:vertAlign w:val="superscript"/>
        </w:rPr>
        <w:footnoteRef/>
      </w:r>
      <w:r>
        <w:t xml:space="preserve"> </w:t>
      </w:r>
      <w:r>
        <w:rPr>
          <w:i/>
        </w:rPr>
        <w:t>Enneads</w:t>
      </w:r>
      <w:r>
        <w:t xml:space="preserve"> III.3.5, pp. 128-129.</w:t>
      </w:r>
    </w:p>
  </w:footnote>
  <w:footnote w:id="114">
    <w:p w14:paraId="667BBE08" w14:textId="77777777" w:rsidR="005F7A36" w:rsidRDefault="005F7A36" w:rsidP="004A23FD">
      <w:pPr>
        <w:pStyle w:val="Titolo3"/>
      </w:pPr>
      <w:r>
        <w:rPr>
          <w:vertAlign w:val="superscript"/>
        </w:rPr>
        <w:footnoteRef/>
      </w:r>
      <w:r>
        <w:t xml:space="preserve"> </w:t>
      </w:r>
      <w:r>
        <w:rPr>
          <w:i/>
        </w:rPr>
        <w:t>Ibidem</w:t>
      </w:r>
      <w:r>
        <w:t xml:space="preserve">, III.2.5, pp. 58-61. See also A. Smith, </w:t>
      </w:r>
      <w:r>
        <w:rPr>
          <w:i/>
        </w:rPr>
        <w:t>Plotinus, Porphyry and Iamblichus. Philosophy and Religion in Neoplatonism</w:t>
      </w:r>
      <w:r>
        <w:t>, Routledge, London-New York 2011, section VII p. 8.</w:t>
      </w:r>
    </w:p>
  </w:footnote>
  <w:footnote w:id="115">
    <w:p w14:paraId="34362434" w14:textId="77777777" w:rsidR="005F7A36" w:rsidRDefault="005F7A36" w:rsidP="004A23FD">
      <w:pPr>
        <w:pStyle w:val="Titolo3"/>
        <w:rPr>
          <w:rFonts w:ascii="Calibri" w:hAnsi="Calibri"/>
          <w:color w:val="000000"/>
          <w:szCs w:val="18"/>
        </w:rPr>
      </w:pPr>
      <w:r w:rsidRPr="002924B2">
        <w:rPr>
          <w:rStyle w:val="Titolo3Carattere"/>
          <w:vertAlign w:val="superscript"/>
        </w:rPr>
        <w:footnoteRef/>
      </w:r>
      <w:r w:rsidRPr="002924B2">
        <w:rPr>
          <w:rStyle w:val="Titolo3Carattere"/>
          <w:vertAlign w:val="superscript"/>
        </w:rPr>
        <w:t xml:space="preserve"> </w:t>
      </w:r>
      <w:r w:rsidRPr="002924B2">
        <w:rPr>
          <w:rStyle w:val="Titolo3Carattere"/>
          <w:i/>
          <w:iCs/>
        </w:rPr>
        <w:t>Enneads</w:t>
      </w:r>
      <w:r w:rsidRPr="002924B2">
        <w:rPr>
          <w:rStyle w:val="Titolo3Carattere"/>
        </w:rPr>
        <w:t xml:space="preserve"> II.3.9, pp. 74-75.</w:t>
      </w:r>
    </w:p>
  </w:footnote>
  <w:footnote w:id="116">
    <w:p w14:paraId="1C17BCEE" w14:textId="77777777" w:rsidR="005F7A36" w:rsidRDefault="005F7A36" w:rsidP="002924B2">
      <w:pPr>
        <w:pStyle w:val="Titolo3"/>
      </w:pPr>
      <w:r>
        <w:rPr>
          <w:vertAlign w:val="superscript"/>
        </w:rPr>
        <w:footnoteRef/>
      </w:r>
      <w:r>
        <w:t xml:space="preserve"> </w:t>
      </w:r>
      <w:r w:rsidRPr="002924B2">
        <w:rPr>
          <w:i/>
          <w:iCs/>
        </w:rPr>
        <w:t>Ibidem</w:t>
      </w:r>
      <w:r>
        <w:t>.</w:t>
      </w:r>
    </w:p>
  </w:footnote>
  <w:footnote w:id="117">
    <w:p w14:paraId="55B7A85D" w14:textId="77777777" w:rsidR="005F7A36" w:rsidRDefault="005F7A36" w:rsidP="002924B2">
      <w:pPr>
        <w:pStyle w:val="Titolo3"/>
      </w:pPr>
      <w:r>
        <w:rPr>
          <w:vertAlign w:val="superscript"/>
        </w:rPr>
        <w:footnoteRef/>
      </w:r>
      <w:r>
        <w:t xml:space="preserve"> </w:t>
      </w:r>
      <w:r w:rsidRPr="002924B2">
        <w:rPr>
          <w:rStyle w:val="Titolo3Carattere"/>
        </w:rPr>
        <w:t>Long (1982), pp. 188.</w:t>
      </w:r>
    </w:p>
  </w:footnote>
  <w:footnote w:id="118">
    <w:p w14:paraId="01C2D094" w14:textId="2AD93EF1" w:rsidR="005F7A36" w:rsidRDefault="005F7A36">
      <w:pPr>
        <w:pStyle w:val="Titolo3"/>
      </w:pPr>
      <w:r>
        <w:rPr>
          <w:vertAlign w:val="superscript"/>
        </w:rPr>
        <w:footnoteRef/>
      </w:r>
      <w:r>
        <w:t xml:space="preserve"> A.P. Johnson, </w:t>
      </w:r>
      <w:r>
        <w:rPr>
          <w:i/>
        </w:rPr>
        <w:t>Astrology and the Will in Porphyry of Tyre</w:t>
      </w:r>
      <w:r>
        <w:t xml:space="preserve">, in A. Marmodoro, B.D. Prince (eds.), </w:t>
      </w:r>
      <w:r>
        <w:rPr>
          <w:i/>
        </w:rPr>
        <w:t>Causation and Creation in Late Antiquity</w:t>
      </w:r>
      <w:r>
        <w:t>, Cambridge University Press, Cambridge 2015, p. 187.</w:t>
      </w:r>
    </w:p>
  </w:footnote>
  <w:footnote w:id="119">
    <w:p w14:paraId="29C87A9C" w14:textId="77777777" w:rsidR="005F7A36" w:rsidRDefault="005F7A36">
      <w:pPr>
        <w:pStyle w:val="Titolo3"/>
      </w:pPr>
      <w:r>
        <w:rPr>
          <w:vertAlign w:val="superscript"/>
        </w:rPr>
        <w:footnoteRef/>
      </w:r>
      <w:r>
        <w:t xml:space="preserve"> The title of these fragments (268F-271F Smith) have been variously rendered as </w:t>
      </w:r>
      <w:r>
        <w:rPr>
          <w:i/>
        </w:rPr>
        <w:t>What is Up to Us</w:t>
      </w:r>
      <w:r>
        <w:t xml:space="preserve">, </w:t>
      </w:r>
      <w:r>
        <w:rPr>
          <w:i/>
        </w:rPr>
        <w:t>On Free Will</w:t>
      </w:r>
      <w:r>
        <w:t xml:space="preserve">, </w:t>
      </w:r>
      <w:r>
        <w:rPr>
          <w:i/>
        </w:rPr>
        <w:t xml:space="preserve">What is in Our Power. </w:t>
      </w:r>
      <w:r>
        <w:t xml:space="preserve">Porphyry, </w:t>
      </w:r>
      <w:r>
        <w:rPr>
          <w:i/>
          <w:color w:val="000000"/>
        </w:rPr>
        <w:t>To Gaurus on How Embryos are Ensouled and On What is in Our Power</w:t>
      </w:r>
      <w:r>
        <w:rPr>
          <w:color w:val="000000"/>
        </w:rPr>
        <w:t xml:space="preserve">, J. Wilberding (tr. and ed.), Bloomsbury, London- New York 2011, </w:t>
      </w:r>
      <w:r>
        <w:t>p. 123, 141. Henceforth: “</w:t>
      </w:r>
      <w:r>
        <w:rPr>
          <w:i/>
        </w:rPr>
        <w:t>What is in Our Power</w:t>
      </w:r>
      <w:r>
        <w:t>”.</w:t>
      </w:r>
    </w:p>
  </w:footnote>
  <w:footnote w:id="120">
    <w:p w14:paraId="0B147909" w14:textId="77777777" w:rsidR="005F7A36" w:rsidRDefault="005F7A36" w:rsidP="002924B2">
      <w:pPr>
        <w:pStyle w:val="Titolo3"/>
      </w:pPr>
      <w:r>
        <w:rPr>
          <w:vertAlign w:val="superscript"/>
        </w:rPr>
        <w:footnoteRef/>
      </w:r>
      <w:r>
        <w:t xml:space="preserve"> </w:t>
      </w:r>
      <w:r>
        <w:rPr>
          <w:i/>
        </w:rPr>
        <w:t>Ibidem</w:t>
      </w:r>
      <w:r>
        <w:t>, 268F, p. 141.</w:t>
      </w:r>
    </w:p>
  </w:footnote>
  <w:footnote w:id="121">
    <w:p w14:paraId="2B7407E4" w14:textId="77777777" w:rsidR="005F7A36" w:rsidRDefault="005F7A36" w:rsidP="002924B2">
      <w:pPr>
        <w:pStyle w:val="Titolo3"/>
      </w:pPr>
      <w:r>
        <w:rPr>
          <w:vertAlign w:val="superscript"/>
        </w:rPr>
        <w:footnoteRef/>
      </w:r>
      <w:r>
        <w:t xml:space="preserve"> </w:t>
      </w:r>
      <w:r>
        <w:rPr>
          <w:i/>
        </w:rPr>
        <w:t>Ibidem</w:t>
      </w:r>
      <w:r>
        <w:t>, pp. 141-142.</w:t>
      </w:r>
    </w:p>
  </w:footnote>
  <w:footnote w:id="122">
    <w:p w14:paraId="1D5F8375" w14:textId="77777777" w:rsidR="005F7A36" w:rsidRDefault="005F7A36">
      <w:pPr>
        <w:pStyle w:val="Titolo3"/>
      </w:pPr>
      <w:r>
        <w:rPr>
          <w:vertAlign w:val="superscript"/>
        </w:rPr>
        <w:footnoteRef/>
      </w:r>
      <w:r>
        <w:t xml:space="preserve"> Johnson (2015), p. 188.</w:t>
      </w:r>
    </w:p>
  </w:footnote>
  <w:footnote w:id="123">
    <w:p w14:paraId="7442D9DF" w14:textId="77777777" w:rsidR="005F7A36" w:rsidRDefault="005F7A36">
      <w:pPr>
        <w:pStyle w:val="Titolo3"/>
      </w:pPr>
      <w:r>
        <w:rPr>
          <w:vertAlign w:val="superscript"/>
        </w:rPr>
        <w:footnoteRef/>
      </w:r>
      <w:r>
        <w:t xml:space="preserve"> </w:t>
      </w:r>
      <w:r>
        <w:rPr>
          <w:i/>
        </w:rPr>
        <w:t>What is in Our Power</w:t>
      </w:r>
      <w:r>
        <w:t>, 268F, p. 143.</w:t>
      </w:r>
    </w:p>
  </w:footnote>
  <w:footnote w:id="124">
    <w:p w14:paraId="43AD2CF5" w14:textId="77777777" w:rsidR="005F7A36" w:rsidRDefault="005F7A36">
      <w:pPr>
        <w:pStyle w:val="Titolo3"/>
      </w:pPr>
      <w:r>
        <w:rPr>
          <w:vertAlign w:val="superscript"/>
        </w:rPr>
        <w:footnoteRef/>
      </w:r>
      <w:r>
        <w:t xml:space="preserve"> </w:t>
      </w:r>
      <w:r>
        <w:rPr>
          <w:i/>
        </w:rPr>
        <w:t>Ibidem</w:t>
      </w:r>
      <w:r>
        <w:t>, 269F-270F, pp. 143-144.</w:t>
      </w:r>
    </w:p>
  </w:footnote>
  <w:footnote w:id="125">
    <w:p w14:paraId="65A29109" w14:textId="77777777" w:rsidR="005F7A36" w:rsidRDefault="005F7A36">
      <w:pPr>
        <w:pStyle w:val="Titolo3"/>
      </w:pPr>
      <w:r>
        <w:rPr>
          <w:vertAlign w:val="superscript"/>
        </w:rPr>
        <w:footnoteRef/>
      </w:r>
      <w:r>
        <w:t xml:space="preserve"> </w:t>
      </w:r>
      <w:r>
        <w:rPr>
          <w:i/>
        </w:rPr>
        <w:t>Ibidem</w:t>
      </w:r>
      <w:r>
        <w:t>, 268F, p. 142.</w:t>
      </w:r>
    </w:p>
  </w:footnote>
  <w:footnote w:id="126">
    <w:p w14:paraId="28A304E6" w14:textId="77777777" w:rsidR="005F7A36" w:rsidRDefault="005F7A36">
      <w:pPr>
        <w:pStyle w:val="Titolo3"/>
      </w:pPr>
      <w:r>
        <w:rPr>
          <w:vertAlign w:val="superscript"/>
        </w:rPr>
        <w:footnoteRef/>
      </w:r>
      <w:r>
        <w:t xml:space="preserve"> </w:t>
      </w:r>
      <w:r>
        <w:rPr>
          <w:i/>
        </w:rPr>
        <w:t>Ibidem</w:t>
      </w:r>
      <w:r>
        <w:t>, 271F, p. 144.</w:t>
      </w:r>
    </w:p>
  </w:footnote>
  <w:footnote w:id="127">
    <w:p w14:paraId="10FFC459" w14:textId="77777777" w:rsidR="005F7A36" w:rsidRDefault="005F7A36">
      <w:pPr>
        <w:pStyle w:val="Titolo3"/>
      </w:pPr>
      <w:r>
        <w:rPr>
          <w:vertAlign w:val="superscript"/>
        </w:rPr>
        <w:footnoteRef/>
      </w:r>
      <w:r>
        <w:t xml:space="preserve"> </w:t>
      </w:r>
      <w:r>
        <w:rPr>
          <w:i/>
        </w:rPr>
        <w:t xml:space="preserve">Ibidem, </w:t>
      </w:r>
      <w:r>
        <w:t>268F, p. 142.</w:t>
      </w:r>
    </w:p>
  </w:footnote>
  <w:footnote w:id="128">
    <w:p w14:paraId="3F1C472D" w14:textId="77777777" w:rsidR="005F7A36" w:rsidRDefault="005F7A36">
      <w:pPr>
        <w:pStyle w:val="Titolo3"/>
      </w:pPr>
      <w:r>
        <w:rPr>
          <w:vertAlign w:val="superscript"/>
        </w:rPr>
        <w:footnoteRef/>
      </w:r>
      <w:r>
        <w:t xml:space="preserve"> </w:t>
      </w:r>
      <w:r>
        <w:rPr>
          <w:i/>
        </w:rPr>
        <w:t>Ibidem</w:t>
      </w:r>
      <w:r>
        <w:t>, p. 143.</w:t>
      </w:r>
    </w:p>
  </w:footnote>
  <w:footnote w:id="129">
    <w:p w14:paraId="136D8395" w14:textId="25043C48" w:rsidR="005F7A36" w:rsidRPr="002A6B8F" w:rsidRDefault="005F7A36" w:rsidP="002A6B8F">
      <w:pPr>
        <w:pStyle w:val="Titolo3"/>
      </w:pPr>
      <w:r>
        <w:rPr>
          <w:rStyle w:val="Rimandonotaapidipagina"/>
        </w:rPr>
        <w:footnoteRef/>
      </w:r>
      <w:r>
        <w:t xml:space="preserve"> </w:t>
      </w:r>
      <w:r>
        <w:rPr>
          <w:i/>
          <w:iCs/>
        </w:rPr>
        <w:t>Ibidem</w:t>
      </w:r>
      <w:r>
        <w:t>, 271F, p. 145.</w:t>
      </w:r>
    </w:p>
  </w:footnote>
  <w:footnote w:id="130">
    <w:p w14:paraId="3AE34FB5" w14:textId="77777777" w:rsidR="005F7A36" w:rsidRDefault="005F7A36" w:rsidP="00574CED">
      <w:pPr>
        <w:pStyle w:val="Titolo3"/>
      </w:pPr>
      <w:r>
        <w:rPr>
          <w:vertAlign w:val="superscript"/>
        </w:rPr>
        <w:footnoteRef/>
      </w:r>
      <w:r>
        <w:t xml:space="preserve"> Johnson (2015), pp. 192-193.</w:t>
      </w:r>
    </w:p>
  </w:footnote>
  <w:footnote w:id="131">
    <w:p w14:paraId="3D759BBC" w14:textId="77777777" w:rsidR="005F7A36" w:rsidRDefault="005F7A36" w:rsidP="00574CED">
      <w:pPr>
        <w:pStyle w:val="Titolo3"/>
        <w:rPr>
          <w:rFonts w:ascii="Calibri" w:hAnsi="Calibri"/>
          <w:color w:val="000000"/>
          <w:szCs w:val="18"/>
        </w:rPr>
      </w:pPr>
      <w:r>
        <w:rPr>
          <w:vertAlign w:val="superscript"/>
        </w:rPr>
        <w:footnoteRef/>
      </w:r>
      <w:r>
        <w:rPr>
          <w:rFonts w:ascii="Calibri" w:hAnsi="Calibri"/>
          <w:color w:val="000000"/>
          <w:szCs w:val="18"/>
        </w:rPr>
        <w:t xml:space="preserve"> </w:t>
      </w:r>
      <w:r w:rsidRPr="00574CED">
        <w:rPr>
          <w:i/>
          <w:iCs/>
        </w:rPr>
        <w:t>Ibidem</w:t>
      </w:r>
      <w:r w:rsidRPr="00574CED">
        <w:t>, p. 196.</w:t>
      </w:r>
    </w:p>
  </w:footnote>
  <w:footnote w:id="132">
    <w:p w14:paraId="63E451FD" w14:textId="3B8505F6" w:rsidR="005F7A36" w:rsidRDefault="005F7A36" w:rsidP="00574CED">
      <w:pPr>
        <w:pStyle w:val="Titolo3"/>
      </w:pPr>
      <w:r>
        <w:rPr>
          <w:vertAlign w:val="superscript"/>
        </w:rPr>
        <w:footnoteRef/>
      </w:r>
      <w:r>
        <w:t xml:space="preserve"> </w:t>
      </w:r>
      <w:r>
        <w:rPr>
          <w:i/>
        </w:rPr>
        <w:t>What is in Our Power</w:t>
      </w:r>
      <w:r>
        <w:t>, 271F, p. 144.</w:t>
      </w:r>
    </w:p>
  </w:footnote>
  <w:footnote w:id="133">
    <w:p w14:paraId="492A36D1" w14:textId="77777777" w:rsidR="005F7A36" w:rsidRDefault="005F7A36" w:rsidP="00574CED">
      <w:pPr>
        <w:pStyle w:val="Titolo3"/>
        <w:rPr>
          <w:rFonts w:ascii="Calibri" w:hAnsi="Calibri"/>
          <w:color w:val="000000"/>
          <w:szCs w:val="18"/>
        </w:rPr>
      </w:pPr>
      <w:r>
        <w:rPr>
          <w:vertAlign w:val="superscript"/>
        </w:rPr>
        <w:footnoteRef/>
      </w:r>
      <w:r>
        <w:rPr>
          <w:rFonts w:ascii="Calibri" w:hAnsi="Calibri"/>
          <w:color w:val="000000"/>
          <w:szCs w:val="18"/>
        </w:rPr>
        <w:t xml:space="preserve"> </w:t>
      </w:r>
      <w:r w:rsidRPr="00574CED">
        <w:rPr>
          <w:rFonts w:cstheme="majorHAnsi"/>
          <w:color w:val="000000"/>
          <w:szCs w:val="18"/>
        </w:rPr>
        <w:t xml:space="preserve">Plotinus, </w:t>
      </w:r>
      <w:r w:rsidRPr="00574CED">
        <w:rPr>
          <w:rFonts w:cstheme="majorHAnsi"/>
          <w:i/>
          <w:color w:val="000000"/>
          <w:szCs w:val="18"/>
        </w:rPr>
        <w:t>Aids to the Study of the Intelligibles</w:t>
      </w:r>
      <w:r w:rsidRPr="00574CED">
        <w:rPr>
          <w:rFonts w:cstheme="majorHAnsi"/>
          <w:color w:val="000000"/>
          <w:szCs w:val="18"/>
        </w:rPr>
        <w:t xml:space="preserve">, T. Taylor (tr.), in </w:t>
      </w:r>
      <w:r w:rsidRPr="00574CED">
        <w:rPr>
          <w:rFonts w:cstheme="majorHAnsi"/>
          <w:i/>
          <w:color w:val="000000"/>
          <w:szCs w:val="18"/>
        </w:rPr>
        <w:t>The Collected Works of Porphyry</w:t>
      </w:r>
      <w:r w:rsidRPr="00574CED">
        <w:rPr>
          <w:rFonts w:cstheme="majorHAnsi"/>
          <w:color w:val="000000"/>
          <w:szCs w:val="18"/>
        </w:rPr>
        <w:t>, Delphi Classics, Hasting 2023, 34, pp. 306-309. He</w:t>
      </w:r>
      <w:r w:rsidRPr="00574CED">
        <w:rPr>
          <w:rFonts w:cstheme="majorHAnsi"/>
          <w:szCs w:val="18"/>
        </w:rPr>
        <w:t>nceforth</w:t>
      </w:r>
      <w:r w:rsidRPr="00574CED">
        <w:rPr>
          <w:rFonts w:cstheme="majorHAnsi"/>
          <w:color w:val="000000"/>
          <w:szCs w:val="18"/>
        </w:rPr>
        <w:t>: “</w:t>
      </w:r>
      <w:r w:rsidRPr="00574CED">
        <w:rPr>
          <w:rFonts w:cstheme="majorHAnsi"/>
          <w:i/>
          <w:color w:val="000000"/>
          <w:szCs w:val="18"/>
        </w:rPr>
        <w:t>Sententiae</w:t>
      </w:r>
      <w:r w:rsidRPr="00574CED">
        <w:rPr>
          <w:rFonts w:cstheme="majorHAnsi"/>
          <w:color w:val="000000"/>
          <w:szCs w:val="18"/>
        </w:rPr>
        <w:t>”</w:t>
      </w:r>
    </w:p>
  </w:footnote>
  <w:footnote w:id="134">
    <w:p w14:paraId="7385DCF2" w14:textId="00BFBCF2" w:rsidR="005F7A36" w:rsidRPr="00574CED" w:rsidRDefault="005F7A36" w:rsidP="00574CED">
      <w:pPr>
        <w:pStyle w:val="Titolo3"/>
        <w:rPr>
          <w:rFonts w:cstheme="majorHAnsi"/>
          <w:color w:val="000000"/>
          <w:szCs w:val="18"/>
        </w:rPr>
      </w:pPr>
      <w:r>
        <w:rPr>
          <w:vertAlign w:val="superscript"/>
        </w:rPr>
        <w:footnoteRef/>
      </w:r>
      <w:r>
        <w:rPr>
          <w:rFonts w:ascii="Calibri" w:hAnsi="Calibri"/>
          <w:color w:val="000000"/>
          <w:szCs w:val="18"/>
        </w:rPr>
        <w:t xml:space="preserve"> </w:t>
      </w:r>
      <w:r w:rsidRPr="00574CED">
        <w:rPr>
          <w:rFonts w:cstheme="majorHAnsi"/>
          <w:color w:val="000000"/>
          <w:szCs w:val="18"/>
        </w:rPr>
        <w:t xml:space="preserve">Here Simmons uses Porphyry’s </w:t>
      </w:r>
      <w:r w:rsidRPr="00574CED">
        <w:rPr>
          <w:rFonts w:cstheme="majorHAnsi"/>
          <w:i/>
          <w:color w:val="000000"/>
          <w:szCs w:val="18"/>
        </w:rPr>
        <w:t>De regressu animae</w:t>
      </w:r>
      <w:r w:rsidRPr="00574CED">
        <w:rPr>
          <w:rFonts w:cstheme="majorHAnsi"/>
          <w:color w:val="000000"/>
          <w:szCs w:val="18"/>
        </w:rPr>
        <w:t xml:space="preserve"> cited by Augustine and </w:t>
      </w:r>
      <w:r w:rsidRPr="00574CED">
        <w:rPr>
          <w:rFonts w:cstheme="majorHAnsi"/>
          <w:i/>
          <w:color w:val="000000"/>
          <w:szCs w:val="18"/>
        </w:rPr>
        <w:t xml:space="preserve">De philosophia ex oraculis </w:t>
      </w:r>
      <w:r w:rsidRPr="00574CED">
        <w:rPr>
          <w:rFonts w:cstheme="majorHAnsi"/>
          <w:color w:val="000000"/>
          <w:szCs w:val="18"/>
        </w:rPr>
        <w:t xml:space="preserve">cited by Eusebius </w:t>
      </w:r>
      <w:r>
        <w:rPr>
          <w:rFonts w:cstheme="majorHAnsi"/>
          <w:color w:val="000000"/>
          <w:szCs w:val="18"/>
        </w:rPr>
        <w:t xml:space="preserve">in order </w:t>
      </w:r>
      <w:r w:rsidRPr="00574CED">
        <w:rPr>
          <w:rFonts w:cstheme="majorHAnsi"/>
          <w:color w:val="000000"/>
          <w:szCs w:val="18"/>
        </w:rPr>
        <w:t xml:space="preserve">to </w:t>
      </w:r>
      <w:r>
        <w:rPr>
          <w:rFonts w:cstheme="majorHAnsi"/>
          <w:color w:val="000000"/>
          <w:szCs w:val="18"/>
        </w:rPr>
        <w:t>present</w:t>
      </w:r>
      <w:r w:rsidRPr="00574CED">
        <w:rPr>
          <w:rFonts w:cstheme="majorHAnsi"/>
          <w:color w:val="000000"/>
          <w:szCs w:val="18"/>
        </w:rPr>
        <w:t xml:space="preserve"> </w:t>
      </w:r>
      <w:r>
        <w:rPr>
          <w:rFonts w:cstheme="majorHAnsi"/>
          <w:color w:val="000000"/>
          <w:szCs w:val="18"/>
        </w:rPr>
        <w:t>the</w:t>
      </w:r>
      <w:r w:rsidRPr="00574CED">
        <w:rPr>
          <w:rFonts w:cstheme="majorHAnsi"/>
          <w:color w:val="000000"/>
          <w:szCs w:val="18"/>
        </w:rPr>
        <w:t xml:space="preserve"> tripartite system. See M.B. Simmons, </w:t>
      </w:r>
      <w:r w:rsidRPr="00574CED">
        <w:rPr>
          <w:rFonts w:cstheme="majorHAnsi"/>
          <w:i/>
          <w:color w:val="000000"/>
          <w:szCs w:val="18"/>
        </w:rPr>
        <w:t>Universal Salvation in Late Antiquity. Porphyry of Tyre and the Pagan-Christian Debate</w:t>
      </w:r>
      <w:r w:rsidRPr="00574CED">
        <w:rPr>
          <w:rFonts w:cstheme="majorHAnsi"/>
          <w:color w:val="000000"/>
          <w:szCs w:val="18"/>
        </w:rPr>
        <w:t xml:space="preserve">, Oxford University Press, Oxford 2015, p. 23. For the quadripartite division of the virtues as appear in </w:t>
      </w:r>
      <w:r w:rsidRPr="00574CED">
        <w:rPr>
          <w:rFonts w:cstheme="majorHAnsi"/>
          <w:i/>
          <w:color w:val="000000"/>
          <w:szCs w:val="18"/>
        </w:rPr>
        <w:t>Sententiae</w:t>
      </w:r>
      <w:r w:rsidRPr="00574CED">
        <w:rPr>
          <w:rFonts w:cstheme="majorHAnsi"/>
          <w:color w:val="000000"/>
          <w:szCs w:val="18"/>
        </w:rPr>
        <w:t xml:space="preserve">, </w:t>
      </w:r>
      <w:r>
        <w:rPr>
          <w:rFonts w:cstheme="majorHAnsi"/>
          <w:color w:val="000000"/>
          <w:szCs w:val="18"/>
        </w:rPr>
        <w:t>s</w:t>
      </w:r>
      <w:r w:rsidRPr="00574CED">
        <w:rPr>
          <w:rFonts w:cstheme="majorHAnsi"/>
          <w:color w:val="000000"/>
          <w:szCs w:val="18"/>
        </w:rPr>
        <w:t xml:space="preserve">ee </w:t>
      </w:r>
      <w:r w:rsidRPr="00574CED">
        <w:rPr>
          <w:rFonts w:cstheme="majorHAnsi"/>
          <w:i/>
          <w:color w:val="000000"/>
          <w:szCs w:val="18"/>
        </w:rPr>
        <w:t>ibidem</w:t>
      </w:r>
      <w:r w:rsidRPr="00574CED">
        <w:rPr>
          <w:rFonts w:cstheme="majorHAnsi"/>
          <w:color w:val="000000"/>
          <w:szCs w:val="18"/>
        </w:rPr>
        <w:t>, p. 115.</w:t>
      </w:r>
    </w:p>
  </w:footnote>
  <w:footnote w:id="135">
    <w:p w14:paraId="717A14C4" w14:textId="77777777" w:rsidR="005F7A36" w:rsidRPr="00574CED" w:rsidRDefault="005F7A36" w:rsidP="00574CED">
      <w:pPr>
        <w:pStyle w:val="Titolo3"/>
        <w:rPr>
          <w:rFonts w:cstheme="majorHAnsi"/>
        </w:rPr>
      </w:pPr>
      <w:r w:rsidRPr="00574CED">
        <w:rPr>
          <w:rFonts w:cstheme="majorHAnsi"/>
          <w:vertAlign w:val="superscript"/>
        </w:rPr>
        <w:footnoteRef/>
      </w:r>
      <w:r w:rsidRPr="00574CED">
        <w:rPr>
          <w:rFonts w:cstheme="majorHAnsi"/>
        </w:rPr>
        <w:t xml:space="preserve"> </w:t>
      </w:r>
      <w:r w:rsidRPr="00574CED">
        <w:rPr>
          <w:rFonts w:cstheme="majorHAnsi"/>
          <w:i/>
        </w:rPr>
        <w:t>Sententiae</w:t>
      </w:r>
      <w:r w:rsidRPr="00574CED">
        <w:rPr>
          <w:rFonts w:cstheme="majorHAnsi"/>
        </w:rPr>
        <w:t>, II, p. 308.</w:t>
      </w:r>
    </w:p>
  </w:footnote>
  <w:footnote w:id="136">
    <w:p w14:paraId="737B8FEC" w14:textId="77777777" w:rsidR="005F7A36" w:rsidRDefault="005F7A36">
      <w:pPr>
        <w:pStyle w:val="Titolo3"/>
      </w:pPr>
      <w:r>
        <w:rPr>
          <w:vertAlign w:val="superscript"/>
        </w:rPr>
        <w:footnoteRef/>
      </w:r>
      <w:r>
        <w:t xml:space="preserve"> Simmons (2015), pp. 24-31, 33 and 115.</w:t>
      </w:r>
    </w:p>
  </w:footnote>
  <w:footnote w:id="137">
    <w:p w14:paraId="664D4027" w14:textId="3F684FF9" w:rsidR="005F7A36" w:rsidRDefault="005F7A36">
      <w:pPr>
        <w:pStyle w:val="Titolo3"/>
      </w:pPr>
      <w:r>
        <w:rPr>
          <w:vertAlign w:val="superscript"/>
        </w:rPr>
        <w:footnoteRef/>
      </w:r>
      <w:r>
        <w:t xml:space="preserve"> Shaw reminds that Iamblichus described theurgy as divine acts or the working of the gods. See Shaw (1985), p. 1.</w:t>
      </w:r>
    </w:p>
  </w:footnote>
  <w:footnote w:id="138">
    <w:p w14:paraId="3CA2F5E7" w14:textId="77777777" w:rsidR="005F7A36" w:rsidRDefault="005F7A36">
      <w:pPr>
        <w:pStyle w:val="Titolo3"/>
      </w:pPr>
      <w:r>
        <w:rPr>
          <w:vertAlign w:val="superscript"/>
        </w:rPr>
        <w:footnoteRef/>
      </w:r>
      <w:r>
        <w:t xml:space="preserve"> </w:t>
      </w:r>
      <w:r>
        <w:rPr>
          <w:i/>
        </w:rPr>
        <w:t>Ibidem</w:t>
      </w:r>
      <w:r>
        <w:t>, p. 2.</w:t>
      </w:r>
    </w:p>
  </w:footnote>
  <w:footnote w:id="139">
    <w:p w14:paraId="52C081AC" w14:textId="77777777" w:rsidR="005F7A36" w:rsidRDefault="005F7A36">
      <w:pPr>
        <w:pStyle w:val="Titolo3"/>
      </w:pPr>
      <w:r>
        <w:rPr>
          <w:vertAlign w:val="superscript"/>
        </w:rPr>
        <w:footnoteRef/>
      </w:r>
      <w:r>
        <w:t xml:space="preserve"> Greenbaum (2016), p. 275.</w:t>
      </w:r>
    </w:p>
  </w:footnote>
  <w:footnote w:id="140">
    <w:p w14:paraId="3E3B8CC2" w14:textId="77777777" w:rsidR="005F7A36" w:rsidRDefault="005F7A36">
      <w:pPr>
        <w:pStyle w:val="Titolo3"/>
      </w:pPr>
      <w:r>
        <w:rPr>
          <w:vertAlign w:val="superscript"/>
        </w:rPr>
        <w:footnoteRef/>
      </w:r>
      <w:r>
        <w:t xml:space="preserve"> </w:t>
      </w:r>
      <w:r>
        <w:rPr>
          <w:i/>
        </w:rPr>
        <w:t>Ibidem</w:t>
      </w:r>
      <w:r>
        <w:t>, p. 12.</w:t>
      </w:r>
    </w:p>
  </w:footnote>
  <w:footnote w:id="141">
    <w:p w14:paraId="0D93D030" w14:textId="77777777" w:rsidR="005F7A36" w:rsidRDefault="005F7A36">
      <w:pPr>
        <w:pStyle w:val="Titolo3"/>
      </w:pPr>
      <w:r>
        <w:rPr>
          <w:vertAlign w:val="superscript"/>
        </w:rPr>
        <w:footnoteRef/>
      </w:r>
      <w:r>
        <w:t xml:space="preserve"> </w:t>
      </w:r>
      <w:r>
        <w:rPr>
          <w:i/>
        </w:rPr>
        <w:t>Ibidem</w:t>
      </w:r>
      <w:r>
        <w:t>, p. 270.</w:t>
      </w:r>
    </w:p>
  </w:footnote>
  <w:footnote w:id="142">
    <w:p w14:paraId="7AA66F84" w14:textId="77777777" w:rsidR="005F7A36" w:rsidRDefault="005F7A36">
      <w:pPr>
        <w:pStyle w:val="Titolo3"/>
      </w:pPr>
      <w:r>
        <w:rPr>
          <w:vertAlign w:val="superscript"/>
        </w:rPr>
        <w:footnoteRef/>
      </w:r>
      <w:r>
        <w:t xml:space="preserve"> Porphyry, </w:t>
      </w:r>
      <w:r>
        <w:rPr>
          <w:i/>
        </w:rPr>
        <w:t>Letter to Anebo</w:t>
      </w:r>
      <w:r>
        <w:t xml:space="preserve">, </w:t>
      </w:r>
      <w:r>
        <w:rPr>
          <w:color w:val="000000"/>
        </w:rPr>
        <w:t xml:space="preserve">T. Taylor (tr.), in </w:t>
      </w:r>
      <w:r>
        <w:rPr>
          <w:i/>
          <w:color w:val="000000"/>
        </w:rPr>
        <w:t>The Collected Works of Porphyry</w:t>
      </w:r>
      <w:r>
        <w:rPr>
          <w:color w:val="000000"/>
        </w:rPr>
        <w:t>, Delphi Classics, Hasting 2023, p. 342.</w:t>
      </w:r>
    </w:p>
  </w:footnote>
  <w:footnote w:id="143">
    <w:p w14:paraId="5E110FFD" w14:textId="77777777" w:rsidR="005F7A36" w:rsidRDefault="005F7A36">
      <w:pPr>
        <w:pStyle w:val="Titolo3"/>
      </w:pPr>
      <w:r>
        <w:rPr>
          <w:vertAlign w:val="superscript"/>
        </w:rPr>
        <w:footnoteRef/>
      </w:r>
      <w:r>
        <w:t xml:space="preserve"> Greenbaum (2016), p. 273.</w:t>
      </w:r>
    </w:p>
  </w:footnote>
  <w:footnote w:id="144">
    <w:p w14:paraId="4F9F529F" w14:textId="77777777" w:rsidR="005F7A36" w:rsidRDefault="005F7A36">
      <w:pPr>
        <w:pStyle w:val="Titolo3"/>
      </w:pPr>
      <w:r>
        <w:rPr>
          <w:vertAlign w:val="superscript"/>
        </w:rPr>
        <w:footnoteRef/>
      </w:r>
      <w:r>
        <w:t xml:space="preserve"> </w:t>
      </w:r>
      <w:r>
        <w:rPr>
          <w:i/>
        </w:rPr>
        <w:t>De Mysteriis</w:t>
      </w:r>
      <w:r>
        <w:t>, VIII.7, pp. 320-321.</w:t>
      </w:r>
    </w:p>
  </w:footnote>
  <w:footnote w:id="145">
    <w:p w14:paraId="2E318550" w14:textId="77777777" w:rsidR="005F7A36" w:rsidRDefault="005F7A36">
      <w:pPr>
        <w:pStyle w:val="Titolo3"/>
      </w:pPr>
      <w:r>
        <w:rPr>
          <w:vertAlign w:val="superscript"/>
        </w:rPr>
        <w:footnoteRef/>
      </w:r>
      <w:r>
        <w:t xml:space="preserve"> </w:t>
      </w:r>
      <w:r>
        <w:rPr>
          <w:i/>
        </w:rPr>
        <w:t>Ibidem</w:t>
      </w:r>
      <w:r>
        <w:t>, IX.3, pp. 330-331.</w:t>
      </w:r>
    </w:p>
  </w:footnote>
  <w:footnote w:id="146">
    <w:p w14:paraId="3CD428F3" w14:textId="77777777" w:rsidR="005F7A36" w:rsidRDefault="005F7A36">
      <w:pPr>
        <w:pStyle w:val="Titolo3"/>
      </w:pPr>
      <w:r>
        <w:rPr>
          <w:vertAlign w:val="superscript"/>
        </w:rPr>
        <w:footnoteRef/>
      </w:r>
      <w:r>
        <w:t xml:space="preserve"> </w:t>
      </w:r>
      <w:r>
        <w:rPr>
          <w:i/>
        </w:rPr>
        <w:t>Ibidem</w:t>
      </w:r>
      <w:r>
        <w:t>, IX.4, pp. 332-333.</w:t>
      </w:r>
    </w:p>
  </w:footnote>
  <w:footnote w:id="147">
    <w:p w14:paraId="3233D8C8" w14:textId="77777777" w:rsidR="005F7A36" w:rsidRDefault="005F7A36">
      <w:pPr>
        <w:pStyle w:val="Titolo3"/>
      </w:pPr>
      <w:r>
        <w:rPr>
          <w:vertAlign w:val="superscript"/>
        </w:rPr>
        <w:footnoteRef/>
      </w:r>
      <w:r>
        <w:t xml:space="preserve"> </w:t>
      </w:r>
      <w:r>
        <w:rPr>
          <w:i/>
        </w:rPr>
        <w:t>Ibidem</w:t>
      </w:r>
      <w:r>
        <w:t>.</w:t>
      </w:r>
    </w:p>
  </w:footnote>
  <w:footnote w:id="148">
    <w:p w14:paraId="0A1036B8" w14:textId="77777777" w:rsidR="005F7A36" w:rsidRDefault="005F7A36">
      <w:pPr>
        <w:pStyle w:val="Titolo3"/>
      </w:pPr>
      <w:r>
        <w:rPr>
          <w:vertAlign w:val="superscript"/>
        </w:rPr>
        <w:footnoteRef/>
      </w:r>
      <w:r>
        <w:t xml:space="preserve"> </w:t>
      </w:r>
      <w:r>
        <w:rPr>
          <w:i/>
        </w:rPr>
        <w:t>Ibidem</w:t>
      </w:r>
      <w:r>
        <w:t>, IX.6, pp. 336-337.</w:t>
      </w:r>
    </w:p>
  </w:footnote>
  <w:footnote w:id="149">
    <w:p w14:paraId="2B0FDDF4" w14:textId="77777777" w:rsidR="005F7A36" w:rsidRDefault="005F7A36">
      <w:pPr>
        <w:pStyle w:val="Titolo3"/>
      </w:pPr>
      <w:r>
        <w:rPr>
          <w:vertAlign w:val="superscript"/>
        </w:rPr>
        <w:footnoteRef/>
      </w:r>
      <w:r>
        <w:t xml:space="preserve"> </w:t>
      </w:r>
      <w:r>
        <w:rPr>
          <w:i/>
        </w:rPr>
        <w:t>Ibidem</w:t>
      </w:r>
      <w:r>
        <w:t>, IX.5, pp. 332-335.</w:t>
      </w:r>
    </w:p>
  </w:footnote>
  <w:footnote w:id="150">
    <w:p w14:paraId="1AC29A75" w14:textId="77777777" w:rsidR="005F7A36" w:rsidRDefault="005F7A36">
      <w:pPr>
        <w:pStyle w:val="Titolo3"/>
      </w:pPr>
      <w:r>
        <w:rPr>
          <w:vertAlign w:val="superscript"/>
        </w:rPr>
        <w:footnoteRef/>
      </w:r>
      <w:r>
        <w:t xml:space="preserve"> ‘Theurgic ascent is not an escape from the body and matter’, Shaws explains. See Shaw (1985), p. 15.</w:t>
      </w:r>
    </w:p>
  </w:footnote>
  <w:footnote w:id="151">
    <w:p w14:paraId="36AC328D" w14:textId="77777777" w:rsidR="005F7A36" w:rsidRDefault="005F7A36">
      <w:pPr>
        <w:pStyle w:val="Titolo3"/>
      </w:pPr>
      <w:r>
        <w:rPr>
          <w:vertAlign w:val="superscript"/>
        </w:rPr>
        <w:footnoteRef/>
      </w:r>
      <w:r>
        <w:t xml:space="preserve"> </w:t>
      </w:r>
      <w:r>
        <w:rPr>
          <w:i/>
        </w:rPr>
        <w:t>Matheseos</w:t>
      </w:r>
      <w:r>
        <w:t>, p. 2.</w:t>
      </w:r>
    </w:p>
  </w:footnote>
  <w:footnote w:id="152">
    <w:p w14:paraId="071C1FF8" w14:textId="77777777" w:rsidR="005F7A36" w:rsidRDefault="005F7A36">
      <w:pPr>
        <w:pStyle w:val="Titolo3"/>
      </w:pPr>
      <w:r>
        <w:rPr>
          <w:vertAlign w:val="superscript"/>
        </w:rPr>
        <w:footnoteRef/>
      </w:r>
      <w:r>
        <w:t xml:space="preserve"> Mace (2018), p. 444.</w:t>
      </w:r>
    </w:p>
  </w:footnote>
  <w:footnote w:id="153">
    <w:p w14:paraId="24CE72DB" w14:textId="30AFDBB8" w:rsidR="005F7A36" w:rsidRPr="00B10DA1" w:rsidRDefault="005F7A36" w:rsidP="00F1476B">
      <w:pPr>
        <w:pStyle w:val="Titolo3"/>
      </w:pPr>
      <w:r>
        <w:rPr>
          <w:rStyle w:val="Rimandonotaapidipagina"/>
        </w:rPr>
        <w:footnoteRef/>
      </w:r>
      <w:r>
        <w:t xml:space="preserve"> M. Edwards, </w:t>
      </w:r>
      <w:r w:rsidRPr="00F1476B">
        <w:rPr>
          <w:i/>
          <w:iCs/>
        </w:rPr>
        <w:t>Astrology and Freedom. The Case of Firmicus Maternus</w:t>
      </w:r>
      <w:r w:rsidRPr="00F1476B">
        <w:t xml:space="preserve">, in A. Torrance, J. Zachhuber (eds.), </w:t>
      </w:r>
      <w:r w:rsidRPr="00F1476B">
        <w:rPr>
          <w:i/>
          <w:iCs/>
        </w:rPr>
        <w:t>Individuality in Late Antiquity</w:t>
      </w:r>
      <w:r w:rsidRPr="00F1476B">
        <w:t>, Ashgate, Farnham-Burlington 2014.</w:t>
      </w:r>
      <w:r w:rsidRPr="00B10DA1">
        <w:t>p. 38</w:t>
      </w:r>
      <w:r>
        <w:t>.</w:t>
      </w:r>
    </w:p>
  </w:footnote>
  <w:footnote w:id="154">
    <w:p w14:paraId="5D033147" w14:textId="77777777" w:rsidR="005F7A36" w:rsidRPr="00E95E2B" w:rsidRDefault="005F7A36" w:rsidP="00E95E2B">
      <w:pPr>
        <w:pStyle w:val="Titolo3"/>
        <w:rPr>
          <w:rFonts w:cstheme="majorHAnsi"/>
        </w:rPr>
      </w:pPr>
      <w:r>
        <w:rPr>
          <w:vertAlign w:val="superscript"/>
        </w:rPr>
        <w:footnoteRef/>
      </w:r>
      <w:r>
        <w:t xml:space="preserve"> </w:t>
      </w:r>
      <w:r w:rsidRPr="00E95E2B">
        <w:rPr>
          <w:rFonts w:cstheme="majorHAnsi"/>
          <w:i/>
        </w:rPr>
        <w:t>Matheseos</w:t>
      </w:r>
      <w:r w:rsidRPr="00E95E2B">
        <w:rPr>
          <w:rFonts w:cstheme="majorHAnsi"/>
        </w:rPr>
        <w:t>, I.IV, p. 17.</w:t>
      </w:r>
    </w:p>
  </w:footnote>
  <w:footnote w:id="155">
    <w:p w14:paraId="5E8655DF" w14:textId="77777777" w:rsidR="005F7A36" w:rsidRPr="00E95E2B" w:rsidRDefault="005F7A36" w:rsidP="00E95E2B">
      <w:pPr>
        <w:pStyle w:val="Titolo3"/>
        <w:rPr>
          <w:rFonts w:cstheme="majorHAnsi"/>
          <w:color w:val="000000"/>
          <w:szCs w:val="18"/>
        </w:rPr>
      </w:pPr>
      <w:r w:rsidRPr="00E95E2B">
        <w:rPr>
          <w:rFonts w:cstheme="majorHAnsi"/>
          <w:vertAlign w:val="superscript"/>
        </w:rPr>
        <w:footnoteRef/>
      </w:r>
      <w:r w:rsidRPr="00E95E2B">
        <w:rPr>
          <w:rFonts w:cstheme="majorHAnsi"/>
          <w:color w:val="000000"/>
          <w:szCs w:val="18"/>
        </w:rPr>
        <w:t xml:space="preserve"> </w:t>
      </w:r>
      <w:r w:rsidRPr="00E95E2B">
        <w:rPr>
          <w:rFonts w:cstheme="majorHAnsi"/>
          <w:i/>
          <w:color w:val="000000"/>
          <w:szCs w:val="18"/>
        </w:rPr>
        <w:t>Ibidem</w:t>
      </w:r>
      <w:r w:rsidRPr="00E95E2B">
        <w:rPr>
          <w:rFonts w:cstheme="majorHAnsi"/>
          <w:color w:val="000000"/>
          <w:szCs w:val="18"/>
        </w:rPr>
        <w:t>, I.VIII, pp. 26-27.</w:t>
      </w:r>
    </w:p>
  </w:footnote>
  <w:footnote w:id="156">
    <w:p w14:paraId="6299271F" w14:textId="77777777" w:rsidR="005F7A36" w:rsidRPr="00E95E2B" w:rsidRDefault="005F7A36" w:rsidP="00E95E2B">
      <w:pPr>
        <w:pStyle w:val="Titolo3"/>
        <w:rPr>
          <w:rFonts w:cstheme="majorHAnsi"/>
          <w:color w:val="000000"/>
          <w:szCs w:val="18"/>
        </w:rPr>
      </w:pPr>
      <w:r w:rsidRPr="00E95E2B">
        <w:rPr>
          <w:rFonts w:cstheme="majorHAnsi"/>
          <w:vertAlign w:val="superscript"/>
        </w:rPr>
        <w:footnoteRef/>
      </w:r>
      <w:r w:rsidRPr="00E95E2B">
        <w:rPr>
          <w:rFonts w:cstheme="majorHAnsi"/>
          <w:color w:val="000000"/>
          <w:szCs w:val="18"/>
        </w:rPr>
        <w:t xml:space="preserve"> </w:t>
      </w:r>
      <w:r w:rsidRPr="00E95E2B">
        <w:rPr>
          <w:rFonts w:cstheme="majorHAnsi"/>
          <w:i/>
          <w:color w:val="000000"/>
          <w:szCs w:val="18"/>
        </w:rPr>
        <w:t>Ibidem</w:t>
      </w:r>
      <w:r w:rsidRPr="00E95E2B">
        <w:rPr>
          <w:rFonts w:cstheme="majorHAnsi"/>
          <w:color w:val="000000"/>
          <w:szCs w:val="18"/>
        </w:rPr>
        <w:t>, I.VII, p. 23.</w:t>
      </w:r>
    </w:p>
  </w:footnote>
  <w:footnote w:id="157">
    <w:p w14:paraId="287ECBAC" w14:textId="77777777" w:rsidR="005F7A36" w:rsidRPr="00E95E2B" w:rsidRDefault="005F7A36" w:rsidP="00E95E2B">
      <w:pPr>
        <w:pStyle w:val="Titolo3"/>
        <w:rPr>
          <w:rFonts w:cstheme="majorHAnsi"/>
          <w:color w:val="000000"/>
          <w:szCs w:val="18"/>
        </w:rPr>
      </w:pPr>
      <w:r w:rsidRPr="00E95E2B">
        <w:rPr>
          <w:rFonts w:cstheme="majorHAnsi"/>
          <w:vertAlign w:val="superscript"/>
        </w:rPr>
        <w:footnoteRef/>
      </w:r>
      <w:r w:rsidRPr="00E95E2B">
        <w:rPr>
          <w:rFonts w:cstheme="majorHAnsi"/>
          <w:color w:val="000000"/>
          <w:szCs w:val="18"/>
        </w:rPr>
        <w:t xml:space="preserve"> </w:t>
      </w:r>
      <w:r w:rsidRPr="00E95E2B">
        <w:rPr>
          <w:rFonts w:cstheme="majorHAnsi"/>
          <w:i/>
          <w:color w:val="000000"/>
          <w:szCs w:val="18"/>
        </w:rPr>
        <w:t>Ibidem</w:t>
      </w:r>
      <w:r w:rsidRPr="00E95E2B">
        <w:rPr>
          <w:rFonts w:cstheme="majorHAnsi"/>
          <w:color w:val="000000"/>
          <w:szCs w:val="18"/>
        </w:rPr>
        <w:t>, I.V, p. 19.</w:t>
      </w:r>
    </w:p>
  </w:footnote>
  <w:footnote w:id="158">
    <w:p w14:paraId="23583F2E" w14:textId="77777777" w:rsidR="005F7A36" w:rsidRPr="00E95E2B" w:rsidRDefault="005F7A36" w:rsidP="00E95E2B">
      <w:pPr>
        <w:pStyle w:val="Titolo3"/>
        <w:rPr>
          <w:rFonts w:cstheme="majorHAnsi"/>
          <w:color w:val="000000"/>
          <w:szCs w:val="18"/>
        </w:rPr>
      </w:pPr>
      <w:r w:rsidRPr="00E95E2B">
        <w:rPr>
          <w:rFonts w:cstheme="majorHAnsi"/>
          <w:vertAlign w:val="superscript"/>
        </w:rPr>
        <w:footnoteRef/>
      </w:r>
      <w:r w:rsidRPr="00E95E2B">
        <w:rPr>
          <w:rFonts w:cstheme="majorHAnsi"/>
          <w:color w:val="000000"/>
          <w:szCs w:val="18"/>
        </w:rPr>
        <w:t xml:space="preserve"> </w:t>
      </w:r>
      <w:r w:rsidRPr="00E95E2B">
        <w:rPr>
          <w:rFonts w:cstheme="majorHAnsi"/>
          <w:i/>
          <w:color w:val="000000"/>
          <w:szCs w:val="18"/>
        </w:rPr>
        <w:t>Ibidem</w:t>
      </w:r>
      <w:r w:rsidRPr="00E95E2B">
        <w:rPr>
          <w:rFonts w:cstheme="majorHAnsi"/>
          <w:color w:val="000000"/>
          <w:szCs w:val="18"/>
        </w:rPr>
        <w:t xml:space="preserve">. </w:t>
      </w:r>
    </w:p>
  </w:footnote>
  <w:footnote w:id="159">
    <w:p w14:paraId="20382CA5" w14:textId="0BD9D15A" w:rsidR="005F7A36" w:rsidRPr="00E95E2B" w:rsidRDefault="005F7A36" w:rsidP="00E95E2B">
      <w:pPr>
        <w:pStyle w:val="Titolo3"/>
        <w:rPr>
          <w:rFonts w:cstheme="majorHAnsi"/>
        </w:rPr>
      </w:pPr>
      <w:r w:rsidRPr="00E95E2B">
        <w:rPr>
          <w:rStyle w:val="Rimandonotaapidipagina"/>
          <w:rFonts w:cstheme="majorHAnsi"/>
        </w:rPr>
        <w:footnoteRef/>
      </w:r>
      <w:r w:rsidRPr="00E95E2B">
        <w:rPr>
          <w:rFonts w:cstheme="majorHAnsi"/>
        </w:rPr>
        <w:t xml:space="preserve"> </w:t>
      </w:r>
      <w:r w:rsidRPr="00E95E2B">
        <w:rPr>
          <w:rFonts w:cstheme="majorHAnsi"/>
          <w:i/>
          <w:iCs/>
        </w:rPr>
        <w:t>Ibidem</w:t>
      </w:r>
      <w:r w:rsidRPr="00E95E2B">
        <w:rPr>
          <w:rFonts w:cstheme="majorHAnsi"/>
        </w:rPr>
        <w:t>, I.</w:t>
      </w:r>
      <w:r>
        <w:rPr>
          <w:rFonts w:cstheme="majorHAnsi"/>
        </w:rPr>
        <w:t>VI, p. 20.</w:t>
      </w:r>
    </w:p>
  </w:footnote>
  <w:footnote w:id="160">
    <w:p w14:paraId="0B7C9C4F" w14:textId="572721A2" w:rsidR="005F7A36" w:rsidRPr="00E95E2B" w:rsidRDefault="005F7A36" w:rsidP="00E95E2B">
      <w:pPr>
        <w:pStyle w:val="Titolo3"/>
        <w:rPr>
          <w:rFonts w:cstheme="majorHAnsi"/>
          <w:color w:val="000000"/>
          <w:szCs w:val="18"/>
        </w:rPr>
      </w:pPr>
      <w:r w:rsidRPr="00E95E2B">
        <w:rPr>
          <w:rFonts w:cstheme="majorHAnsi"/>
          <w:vertAlign w:val="superscript"/>
        </w:rPr>
        <w:footnoteRef/>
      </w:r>
      <w:r w:rsidRPr="00E95E2B">
        <w:rPr>
          <w:rFonts w:cstheme="majorHAnsi"/>
          <w:color w:val="000000"/>
          <w:szCs w:val="18"/>
        </w:rPr>
        <w:t xml:space="preserve"> </w:t>
      </w:r>
      <w:r w:rsidRPr="00E95E2B">
        <w:rPr>
          <w:rFonts w:cstheme="majorHAnsi"/>
          <w:i/>
          <w:color w:val="000000"/>
          <w:szCs w:val="18"/>
        </w:rPr>
        <w:t>Ibidem</w:t>
      </w:r>
      <w:r>
        <w:rPr>
          <w:rFonts w:cstheme="majorHAnsi"/>
          <w:color w:val="000000"/>
          <w:szCs w:val="18"/>
        </w:rPr>
        <w:t>.</w:t>
      </w:r>
    </w:p>
  </w:footnote>
  <w:footnote w:id="161">
    <w:p w14:paraId="468538F2" w14:textId="77777777" w:rsidR="005F7A36" w:rsidRPr="00E95E2B" w:rsidRDefault="005F7A36" w:rsidP="00E95E2B">
      <w:pPr>
        <w:pStyle w:val="Titolo3"/>
        <w:rPr>
          <w:rFonts w:cstheme="majorHAnsi"/>
          <w:color w:val="000000"/>
          <w:szCs w:val="18"/>
        </w:rPr>
      </w:pPr>
      <w:r w:rsidRPr="00E95E2B">
        <w:rPr>
          <w:rFonts w:cstheme="majorHAnsi"/>
          <w:vertAlign w:val="superscript"/>
        </w:rPr>
        <w:footnoteRef/>
      </w:r>
      <w:r w:rsidRPr="00E95E2B">
        <w:rPr>
          <w:rFonts w:cstheme="majorHAnsi"/>
          <w:color w:val="000000"/>
          <w:szCs w:val="18"/>
        </w:rPr>
        <w:t xml:space="preserve"> </w:t>
      </w:r>
      <w:r w:rsidRPr="00E95E2B">
        <w:rPr>
          <w:rFonts w:cstheme="majorHAnsi"/>
          <w:i/>
          <w:color w:val="000000"/>
          <w:szCs w:val="18"/>
        </w:rPr>
        <w:t>Ibidem</w:t>
      </w:r>
      <w:r w:rsidRPr="00E95E2B">
        <w:rPr>
          <w:rFonts w:cstheme="majorHAnsi"/>
          <w:color w:val="000000"/>
          <w:szCs w:val="18"/>
        </w:rPr>
        <w:t>, I.VIII, p. 26.</w:t>
      </w:r>
    </w:p>
  </w:footnote>
  <w:footnote w:id="162">
    <w:p w14:paraId="7FE6893B" w14:textId="77777777" w:rsidR="005F7A36" w:rsidRPr="00722275" w:rsidRDefault="005F7A36" w:rsidP="00722275">
      <w:pPr>
        <w:pStyle w:val="Titolo3"/>
      </w:pPr>
      <w:r w:rsidRPr="00722275">
        <w:rPr>
          <w:vertAlign w:val="superscript"/>
        </w:rPr>
        <w:footnoteRef/>
      </w:r>
      <w:r w:rsidRPr="00722275">
        <w:t xml:space="preserve"> </w:t>
      </w:r>
      <w:r w:rsidRPr="00722275">
        <w:rPr>
          <w:i/>
        </w:rPr>
        <w:t>Ibidem</w:t>
      </w:r>
      <w:r w:rsidRPr="00722275">
        <w:t>, I.VI, p. 20.</w:t>
      </w:r>
    </w:p>
  </w:footnote>
  <w:footnote w:id="163">
    <w:p w14:paraId="26A18D36" w14:textId="3802E7FC" w:rsidR="005F7A36" w:rsidRPr="009F3C4F" w:rsidRDefault="005F7A36" w:rsidP="00652386">
      <w:pPr>
        <w:pStyle w:val="Testonotaapidipagina"/>
      </w:pPr>
      <w:r>
        <w:rPr>
          <w:rStyle w:val="Rimandonotaapidipagina"/>
        </w:rPr>
        <w:footnoteRef/>
      </w:r>
      <w:r>
        <w:t xml:space="preserve"> L. Thorndike, ‘A Roman Astrologer as a </w:t>
      </w:r>
      <w:r w:rsidRPr="0040164E">
        <w:t>Historical Source: Julius Firmicus Maternus</w:t>
      </w:r>
      <w:r>
        <w:t xml:space="preserve">’, </w:t>
      </w:r>
      <w:r>
        <w:rPr>
          <w:i/>
        </w:rPr>
        <w:t>Classical Philology</w:t>
      </w:r>
      <w:r>
        <w:t>, v. 8, n. 4, University  of Chicago Press, Chicago October 1913, p. 419.</w:t>
      </w:r>
    </w:p>
  </w:footnote>
  <w:footnote w:id="164">
    <w:p w14:paraId="4A2B9D29" w14:textId="6098AF56" w:rsidR="005F7A36" w:rsidRPr="00E42B45" w:rsidRDefault="005F7A36" w:rsidP="00722275">
      <w:pPr>
        <w:pStyle w:val="Titolo3"/>
      </w:pPr>
      <w:r w:rsidRPr="00722275">
        <w:rPr>
          <w:vertAlign w:val="superscript"/>
        </w:rPr>
        <w:footnoteRef/>
      </w:r>
      <w:r w:rsidRPr="00722275">
        <w:t xml:space="preserve"> Paulus Alexandrinus, Olympiodorus, </w:t>
      </w:r>
      <w:r w:rsidRPr="00722275">
        <w:rPr>
          <w:i/>
        </w:rPr>
        <w:t>Late Classical Astrology: Paulus Alexandrinus and Olympiodorus. With the Scolia from Later Commentators</w:t>
      </w:r>
      <w:r w:rsidRPr="00722275">
        <w:t>, D.G. Greenbaum (tr.), R. Hand (ed.), Arhat, Reston 2001, p. vi.</w:t>
      </w:r>
      <w:r>
        <w:t xml:space="preserve"> Henceforth: “</w:t>
      </w:r>
      <w:r w:rsidRPr="00FC73CD">
        <w:t>Paulus Alexandrinus</w:t>
      </w:r>
      <w:r>
        <w:t>”.</w:t>
      </w:r>
    </w:p>
  </w:footnote>
  <w:footnote w:id="165">
    <w:p w14:paraId="06390A23" w14:textId="77777777" w:rsidR="005F7A36" w:rsidRPr="00722275" w:rsidRDefault="005F7A36" w:rsidP="00722275">
      <w:pPr>
        <w:pStyle w:val="Titolo3"/>
      </w:pPr>
      <w:r w:rsidRPr="00722275">
        <w:rPr>
          <w:vertAlign w:val="superscript"/>
        </w:rPr>
        <w:footnoteRef/>
      </w:r>
      <w:r w:rsidRPr="00722275">
        <w:t xml:space="preserve"> </w:t>
      </w:r>
      <w:r w:rsidRPr="00722275">
        <w:rPr>
          <w:i/>
        </w:rPr>
        <w:t>Ibidem</w:t>
      </w:r>
      <w:r w:rsidRPr="00722275">
        <w:t>.</w:t>
      </w:r>
    </w:p>
  </w:footnote>
  <w:footnote w:id="166">
    <w:p w14:paraId="00FB61A3" w14:textId="68B3289F" w:rsidR="005F7A36" w:rsidRPr="00253D18" w:rsidRDefault="005F7A36" w:rsidP="003709D5">
      <w:pPr>
        <w:pStyle w:val="Titolo3"/>
      </w:pPr>
      <w:r>
        <w:rPr>
          <w:rStyle w:val="Rimandonotaapidipagina"/>
        </w:rPr>
        <w:footnoteRef/>
      </w:r>
      <w:r>
        <w:t xml:space="preserve"> </w:t>
      </w:r>
      <w:r w:rsidRPr="00253D18">
        <w:t>‘Who Thought the Stars</w:t>
      </w:r>
      <w:r>
        <w:t xml:space="preserve"> </w:t>
      </w:r>
      <w:r w:rsidRPr="00253D18">
        <w:t>are Causes? The Astrological Doctrine Criticized by Plotinus’, J</w:t>
      </w:r>
      <w:r>
        <w:t>.</w:t>
      </w:r>
      <w:r w:rsidRPr="00253D18">
        <w:t>F. Finamore</w:t>
      </w:r>
      <w:r>
        <w:t xml:space="preserve">, </w:t>
      </w:r>
      <w:r w:rsidRPr="00253D18">
        <w:t>R</w:t>
      </w:r>
      <w:r>
        <w:t>.</w:t>
      </w:r>
      <w:r w:rsidRPr="00253D18">
        <w:t xml:space="preserve">M. Berchman </w:t>
      </w:r>
      <w:r>
        <w:t xml:space="preserve">(eds.), </w:t>
      </w:r>
      <w:r w:rsidRPr="00253D18">
        <w:rPr>
          <w:i/>
          <w:iCs/>
        </w:rPr>
        <w:t>Metaphysical Patterns in Platonism</w:t>
      </w:r>
      <w:r w:rsidRPr="00253D18">
        <w:t>, University Press</w:t>
      </w:r>
      <w:r>
        <w:t xml:space="preserve"> </w:t>
      </w:r>
      <w:r w:rsidRPr="00253D18">
        <w:t>of the Sout</w:t>
      </w:r>
      <w:r>
        <w:t xml:space="preserve">h, </w:t>
      </w:r>
      <w:r w:rsidRPr="00253D18">
        <w:t>New Orleans</w:t>
      </w:r>
      <w:r>
        <w:t xml:space="preserve"> </w:t>
      </w:r>
      <w:r w:rsidRPr="00253D18">
        <w:t>2007</w:t>
      </w:r>
      <w:r>
        <w:t>, p. 29, cited by Greenbaum (2016), p. 239 n. 17.</w:t>
      </w:r>
    </w:p>
  </w:footnote>
  <w:footnote w:id="167">
    <w:p w14:paraId="7829F181" w14:textId="67764577" w:rsidR="005F7A36" w:rsidRPr="001D3A55" w:rsidRDefault="005F7A36" w:rsidP="000427B8">
      <w:pPr>
        <w:pStyle w:val="Titolo3"/>
      </w:pPr>
      <w:r>
        <w:rPr>
          <w:rStyle w:val="Rimandonotaapidipagina"/>
        </w:rPr>
        <w:footnoteRef/>
      </w:r>
      <w:r>
        <w:t xml:space="preserve"> </w:t>
      </w:r>
      <w:r w:rsidRPr="00FC73CD">
        <w:t>Paulus Alexandrinus</w:t>
      </w:r>
      <w:r>
        <w:t>, ch. 36, p. 75; s</w:t>
      </w:r>
      <w:r w:rsidRPr="001D3A55">
        <w:t xml:space="preserve">ee </w:t>
      </w:r>
      <w:r>
        <w:t>also Greenbaum (2016), p. 107.</w:t>
      </w:r>
    </w:p>
  </w:footnote>
  <w:footnote w:id="168">
    <w:p w14:paraId="554684D4" w14:textId="5F90481E" w:rsidR="005F7A36" w:rsidRPr="00722275" w:rsidRDefault="005F7A36" w:rsidP="00722275">
      <w:pPr>
        <w:pStyle w:val="Titolo3"/>
      </w:pPr>
      <w:r w:rsidRPr="00722275">
        <w:rPr>
          <w:vertAlign w:val="superscript"/>
        </w:rPr>
        <w:footnoteRef/>
      </w:r>
      <w:r w:rsidRPr="00722275">
        <w:t xml:space="preserve"> </w:t>
      </w:r>
      <w:r>
        <w:rPr>
          <w:i/>
          <w:iCs/>
        </w:rPr>
        <w:t>Ibidem</w:t>
      </w:r>
      <w:r w:rsidRPr="00FC73CD">
        <w:t xml:space="preserve">, </w:t>
      </w:r>
      <w:r w:rsidRPr="00722275">
        <w:t>ch. 23, p</w:t>
      </w:r>
      <w:r>
        <w:t>p</w:t>
      </w:r>
      <w:r w:rsidRPr="00722275">
        <w:t>. 42</w:t>
      </w:r>
      <w:r>
        <w:t>-43</w:t>
      </w:r>
      <w:r w:rsidRPr="00722275">
        <w:t>.</w:t>
      </w:r>
    </w:p>
  </w:footnote>
  <w:footnote w:id="169">
    <w:p w14:paraId="67670868" w14:textId="1FF6C6CD" w:rsidR="005F7A36" w:rsidRPr="00FB39CF" w:rsidRDefault="005F7A36" w:rsidP="00FB39CF">
      <w:pPr>
        <w:pStyle w:val="Titolo3"/>
        <w:rPr>
          <w:iCs/>
        </w:rPr>
      </w:pPr>
      <w:r>
        <w:rPr>
          <w:rStyle w:val="Rimandonotaapidipagina"/>
        </w:rPr>
        <w:footnoteRef/>
      </w:r>
      <w:r>
        <w:t xml:space="preserve"> </w:t>
      </w:r>
      <w:r>
        <w:rPr>
          <w:i/>
        </w:rPr>
        <w:t>What is in Our Power</w:t>
      </w:r>
      <w:r>
        <w:rPr>
          <w:iCs/>
        </w:rPr>
        <w:t xml:space="preserve">, 271F, p. 145. See also </w:t>
      </w:r>
      <w:r>
        <w:rPr>
          <w:i/>
        </w:rPr>
        <w:t>Republic</w:t>
      </w:r>
      <w:r>
        <w:t>, X.620D-E, pp. 516-517.</w:t>
      </w:r>
    </w:p>
  </w:footnote>
  <w:footnote w:id="170">
    <w:p w14:paraId="7560F73D" w14:textId="67E12953" w:rsidR="005F7A36" w:rsidRPr="004C0087" w:rsidRDefault="005F7A36" w:rsidP="00430131">
      <w:pPr>
        <w:pStyle w:val="Titolo3"/>
      </w:pPr>
      <w:r>
        <w:rPr>
          <w:rStyle w:val="Rimandonotaapidipagina"/>
        </w:rPr>
        <w:footnoteRef/>
      </w:r>
      <w:r>
        <w:t xml:space="preserve"> Anonymous of 379, </w:t>
      </w:r>
      <w:r>
        <w:rPr>
          <w:i/>
        </w:rPr>
        <w:t>The Treatise of the Bright Fixed Stars</w:t>
      </w:r>
      <w:r>
        <w:t>, R. Schmidt (tr.), R. Hand (ed.), The Golden Hind Press, Berkley Spring 1993.</w:t>
      </w:r>
    </w:p>
  </w:footnote>
  <w:footnote w:id="171">
    <w:p w14:paraId="5B7C5063" w14:textId="7EE7652C" w:rsidR="005F7A36" w:rsidRPr="001867E4" w:rsidRDefault="005F7A36" w:rsidP="00E31A5A">
      <w:pPr>
        <w:pStyle w:val="Titolo3"/>
      </w:pPr>
      <w:r>
        <w:rPr>
          <w:rStyle w:val="Rimandonotaapidipagina"/>
        </w:rPr>
        <w:footnoteRef/>
      </w:r>
      <w:r>
        <w:t xml:space="preserve"> </w:t>
      </w:r>
      <w:r w:rsidRPr="00430131">
        <w:rPr>
          <w:i/>
          <w:iCs/>
        </w:rPr>
        <w:t>Ibidem</w:t>
      </w:r>
      <w:r w:rsidRPr="00430131">
        <w:t xml:space="preserve">, p. 3. See also R.S. Bagnall, A. Cameron, S.R. Schwartz, K.A. Worp, </w:t>
      </w:r>
      <w:r w:rsidRPr="007216B5">
        <w:rPr>
          <w:i/>
          <w:iCs/>
        </w:rPr>
        <w:t>Consuls of the Later Roman Empire</w:t>
      </w:r>
      <w:r w:rsidRPr="00430131">
        <w:t>, The American Philological Association, Scholar Press, Atlanta 1987</w:t>
      </w:r>
      <w:r>
        <w:t xml:space="preserve">, pp. 292-293, as referred by C. Brennan, ‘Anonymous of 379’, </w:t>
      </w:r>
      <w:r w:rsidRPr="00E31A5A">
        <w:rPr>
          <w:i/>
          <w:iCs/>
        </w:rPr>
        <w:t>The Hellenistic Astrology Website</w:t>
      </w:r>
      <w:r>
        <w:t xml:space="preserve">, March 27 2014, </w:t>
      </w:r>
      <w:r w:rsidRPr="001867E4">
        <w:t>&lt;https://www.hellenisticastrology.com/astrologers/anonymous-of-379/&gt;</w:t>
      </w:r>
      <w:r>
        <w:t xml:space="preserve"> [Accessed December 2024].</w:t>
      </w:r>
    </w:p>
  </w:footnote>
  <w:footnote w:id="172">
    <w:p w14:paraId="215A0647" w14:textId="011B462F" w:rsidR="005F7A36" w:rsidRPr="002F1B82" w:rsidRDefault="005F7A36" w:rsidP="00514B1F">
      <w:pPr>
        <w:pStyle w:val="Titolo3"/>
      </w:pPr>
      <w:r>
        <w:rPr>
          <w:rStyle w:val="Rimandonotaapidipagina"/>
        </w:rPr>
        <w:footnoteRef/>
      </w:r>
      <w:r>
        <w:t xml:space="preserve"> </w:t>
      </w:r>
      <w:r w:rsidRPr="002F1B82">
        <w:t xml:space="preserve">See </w:t>
      </w:r>
      <w:r w:rsidRPr="002F1B82">
        <w:rPr>
          <w:i/>
          <w:iCs/>
        </w:rPr>
        <w:t>supra</w:t>
      </w:r>
      <w:r w:rsidRPr="002F1B82">
        <w:t>, n. 165.</w:t>
      </w:r>
    </w:p>
  </w:footnote>
  <w:footnote w:id="173">
    <w:p w14:paraId="0BFA32DD" w14:textId="2AA7BD4C" w:rsidR="005F7A36" w:rsidRPr="00934B65" w:rsidRDefault="005F7A36" w:rsidP="00666BC7">
      <w:pPr>
        <w:pStyle w:val="Titolo3"/>
      </w:pPr>
      <w:r>
        <w:rPr>
          <w:rStyle w:val="Rimandonotaapidipagina"/>
        </w:rPr>
        <w:footnoteRef/>
      </w:r>
      <w:r>
        <w:t xml:space="preserve"> Anonymous of 379, p. 3; </w:t>
      </w:r>
      <w:r w:rsidRPr="00C01E96">
        <w:rPr>
          <w:i/>
          <w:iCs/>
        </w:rPr>
        <w:t xml:space="preserve">Catalogus codicum astrologorum graecorum. </w:t>
      </w:r>
      <w:r w:rsidRPr="00934B65">
        <w:rPr>
          <w:i/>
          <w:iCs/>
        </w:rPr>
        <w:t>Codicum Romanorum,</w:t>
      </w:r>
      <w:r w:rsidRPr="00934B65">
        <w:t xml:space="preserve"> F. Cumont, F. Boll (eds.), V. 5.1, Lamertin, Bruxelles 1904, p. </w:t>
      </w:r>
      <w:r>
        <w:t>1</w:t>
      </w:r>
      <w:r w:rsidRPr="00934B65">
        <w:t>96. Henceforth</w:t>
      </w:r>
      <w:r>
        <w:t>: “CCAG 5.1”.</w:t>
      </w:r>
    </w:p>
  </w:footnote>
  <w:footnote w:id="174">
    <w:p w14:paraId="4E4750E9" w14:textId="632D6FC2" w:rsidR="005F7A36" w:rsidRDefault="005F7A36" w:rsidP="00666BC7">
      <w:pPr>
        <w:pStyle w:val="Titolo3"/>
      </w:pPr>
      <w:r>
        <w:rPr>
          <w:rStyle w:val="Rimandonotaapidipagina"/>
        </w:rPr>
        <w:footnoteRef/>
      </w:r>
      <w:r>
        <w:t xml:space="preserve"> H.G. Liddell, R. Scott, </w:t>
      </w:r>
      <w:r w:rsidRPr="00514B1F">
        <w:rPr>
          <w:i/>
          <w:iCs/>
        </w:rPr>
        <w:t>A Greek-English Lexicon. Revised and Augmented Throughout by Sir Henry Stuart Jones</w:t>
      </w:r>
      <w:r>
        <w:t>, with R. McKenzie, Oxford Clarendon Press, 1940, “</w:t>
      </w:r>
      <w:r w:rsidRPr="00514B1F">
        <w:t>ἀποτέλεσμα , ατος, τό</w:t>
      </w:r>
      <w:r>
        <w:t xml:space="preserve">”. Consulted online: </w:t>
      </w:r>
    </w:p>
    <w:p w14:paraId="581F1F5D" w14:textId="6B5F6DF6" w:rsidR="005F7A36" w:rsidRPr="00514B1F" w:rsidRDefault="005F7A36" w:rsidP="00666BC7">
      <w:pPr>
        <w:pStyle w:val="Titolo3"/>
      </w:pPr>
      <w:r>
        <w:t>&lt;</w:t>
      </w:r>
      <w:r w:rsidRPr="00514B1F">
        <w:t>https://www.perseus.tufts.edu/hopper/text?doc=Perseus%3Atext%3A1999.04.0057%3Aalphabetic+letter%3D*a%3Aentry+group%3D281%3Aentry%3Da%29pote%2Flesma</w:t>
      </w:r>
      <w:r>
        <w:t>&gt; [Accessed December 2024].</w:t>
      </w:r>
      <w:r w:rsidRPr="00514B1F">
        <w:t xml:space="preserve"> </w:t>
      </w:r>
    </w:p>
  </w:footnote>
  <w:footnote w:id="175">
    <w:p w14:paraId="2E25CF44" w14:textId="77777777" w:rsidR="005F7A36" w:rsidRDefault="005F7A36" w:rsidP="00666BC7">
      <w:pPr>
        <w:pStyle w:val="Titolo3"/>
      </w:pPr>
      <w:r>
        <w:rPr>
          <w:rStyle w:val="Rimandonotaapidipagina"/>
        </w:rPr>
        <w:footnoteRef/>
      </w:r>
      <w:r>
        <w:t xml:space="preserve"> </w:t>
      </w:r>
      <w:r w:rsidRPr="00686052">
        <w:rPr>
          <w:i/>
          <w:iCs/>
        </w:rPr>
        <w:t>Ibidem</w:t>
      </w:r>
      <w:r w:rsidRPr="00686052">
        <w:t>, “</w:t>
      </w:r>
      <w:r w:rsidRPr="00686052">
        <w:rPr>
          <w:lang w:val="it-IT"/>
        </w:rPr>
        <w:t>ἀποτελέω</w:t>
      </w:r>
      <w:r w:rsidRPr="00686052">
        <w:t xml:space="preserve"> , fut. -</w:t>
      </w:r>
      <w:r w:rsidRPr="00686052">
        <w:rPr>
          <w:lang w:val="it-IT"/>
        </w:rPr>
        <w:t>τελέσω</w:t>
      </w:r>
      <w:r w:rsidRPr="00686052">
        <w:t>, Att. -</w:t>
      </w:r>
      <w:r w:rsidRPr="00686052">
        <w:rPr>
          <w:lang w:val="it-IT"/>
        </w:rPr>
        <w:t>τελῶ</w:t>
      </w:r>
      <w:r>
        <w:t xml:space="preserve">”. Consulted online: </w:t>
      </w:r>
    </w:p>
    <w:p w14:paraId="7B8D366C" w14:textId="77777777" w:rsidR="005F7A36" w:rsidRDefault="005F7A36" w:rsidP="00666BC7">
      <w:pPr>
        <w:pStyle w:val="Titolo3"/>
      </w:pPr>
      <w:r>
        <w:t>&lt;</w:t>
      </w:r>
      <w:r w:rsidRPr="00AF1079">
        <w:t>http://www.perseus.tufts.edu/hopper/text?doc=Perseus%3Atext%3A1999.04.0057%3Aentry%3Da)potele%2Fw</w:t>
      </w:r>
      <w:r>
        <w:t xml:space="preserve">&gt; </w:t>
      </w:r>
    </w:p>
    <w:p w14:paraId="736DBB73" w14:textId="77777777" w:rsidR="005F7A36" w:rsidRPr="00686052" w:rsidRDefault="005F7A36" w:rsidP="00666BC7">
      <w:pPr>
        <w:pStyle w:val="Titolo3"/>
      </w:pPr>
      <w:r>
        <w:t>[Accessed December 2024].</w:t>
      </w:r>
    </w:p>
  </w:footnote>
  <w:footnote w:id="176">
    <w:p w14:paraId="56A74EF6" w14:textId="08FAC171" w:rsidR="005F7A36" w:rsidRPr="00934B65" w:rsidRDefault="005F7A36" w:rsidP="00666BC7">
      <w:pPr>
        <w:pStyle w:val="Titolo3"/>
        <w:rPr>
          <w:b/>
          <w:bCs/>
        </w:rPr>
      </w:pPr>
      <w:r>
        <w:rPr>
          <w:rStyle w:val="Rimandonotaapidipagina"/>
        </w:rPr>
        <w:footnoteRef/>
      </w:r>
      <w:r>
        <w:rPr>
          <w:b/>
          <w:bCs/>
        </w:rPr>
        <w:t xml:space="preserve"> </w:t>
      </w:r>
      <w:r>
        <w:t>Anonymous of 379, p. 3; CCAG 5.1, p. 198 (The English translation is slightly modified).</w:t>
      </w:r>
    </w:p>
  </w:footnote>
  <w:footnote w:id="177">
    <w:p w14:paraId="6E0A6978" w14:textId="76FA0EF2" w:rsidR="005F7A36" w:rsidRPr="000705CC" w:rsidRDefault="005F7A36" w:rsidP="00666BC7">
      <w:pPr>
        <w:pStyle w:val="Titolo3"/>
        <w:rPr>
          <w:i/>
          <w:iCs/>
        </w:rPr>
      </w:pPr>
      <w:r>
        <w:rPr>
          <w:rStyle w:val="Rimandonotaapidipagina"/>
        </w:rPr>
        <w:footnoteRef/>
      </w:r>
      <w:r>
        <w:t xml:space="preserve"> Anonymous of 379, p. 11; CCAG 5.1, p. 206.</w:t>
      </w:r>
    </w:p>
  </w:footnote>
  <w:footnote w:id="178">
    <w:p w14:paraId="0AA57177" w14:textId="53AAEDBB" w:rsidR="005F7A36" w:rsidRPr="000705CC" w:rsidRDefault="005F7A36" w:rsidP="00666BC7">
      <w:pPr>
        <w:pStyle w:val="Titolo3"/>
      </w:pPr>
      <w:r>
        <w:rPr>
          <w:rStyle w:val="Rimandonotaapidipagina"/>
        </w:rPr>
        <w:footnoteRef/>
      </w:r>
      <w:r w:rsidRPr="000705CC">
        <w:t xml:space="preserve"> </w:t>
      </w:r>
      <w:r w:rsidRPr="000705CC">
        <w:rPr>
          <w:i/>
          <w:iCs/>
        </w:rPr>
        <w:t>Tetrabiblos</w:t>
      </w:r>
      <w:r w:rsidRPr="000705CC">
        <w:t>, I.9, pp. 46-49.</w:t>
      </w:r>
    </w:p>
  </w:footnote>
  <w:footnote w:id="179">
    <w:p w14:paraId="5C58356C" w14:textId="77F94372" w:rsidR="005F7A36" w:rsidRPr="00790883" w:rsidRDefault="005F7A36" w:rsidP="00666BC7">
      <w:pPr>
        <w:pStyle w:val="Titolo3"/>
      </w:pPr>
      <w:r>
        <w:rPr>
          <w:rStyle w:val="Rimandonotaapidipagina"/>
        </w:rPr>
        <w:footnoteRef/>
      </w:r>
      <w:r>
        <w:t xml:space="preserve"> </w:t>
      </w:r>
      <w:r>
        <w:rPr>
          <w:i/>
          <w:iCs/>
        </w:rPr>
        <w:t>Ibidem</w:t>
      </w:r>
      <w:r>
        <w:t>,</w:t>
      </w:r>
      <w:r w:rsidRPr="004D69E6">
        <w:t xml:space="preserve">, </w:t>
      </w:r>
      <w:r>
        <w:t>I.1, pp. 2-5; I.2, pp. 14-17, as previously mentioned.</w:t>
      </w:r>
    </w:p>
  </w:footnote>
  <w:footnote w:id="180">
    <w:p w14:paraId="559FECAC" w14:textId="4476941A" w:rsidR="005F7A36" w:rsidRPr="002F1B82" w:rsidRDefault="005F7A36" w:rsidP="00767461">
      <w:pPr>
        <w:pStyle w:val="Titolo3"/>
      </w:pPr>
      <w:r>
        <w:rPr>
          <w:rStyle w:val="Rimandonotaapidipagina"/>
        </w:rPr>
        <w:footnoteRef/>
      </w:r>
      <w:r>
        <w:t xml:space="preserve"> </w:t>
      </w:r>
      <w:r w:rsidRPr="00D63F26">
        <w:t>Bouché-Leclercq (1899),</w:t>
      </w:r>
      <w:r w:rsidRPr="00D63F26">
        <w:rPr>
          <w:i/>
          <w:iCs/>
        </w:rPr>
        <w:t xml:space="preserve"> </w:t>
      </w:r>
      <w:r w:rsidRPr="00D63F26">
        <w:t>p. 570</w:t>
      </w:r>
      <w:r>
        <w:t>.</w:t>
      </w:r>
    </w:p>
  </w:footnote>
  <w:footnote w:id="181">
    <w:p w14:paraId="43B2033A" w14:textId="5EDAE650" w:rsidR="005F7A36" w:rsidRPr="001616EC" w:rsidRDefault="005F7A36" w:rsidP="00E85330">
      <w:pPr>
        <w:pStyle w:val="Titolo3"/>
      </w:pPr>
      <w:r>
        <w:rPr>
          <w:rStyle w:val="Rimandonotaapidipagina"/>
        </w:rPr>
        <w:footnoteRef/>
      </w:r>
      <w:r>
        <w:t xml:space="preserve"> </w:t>
      </w:r>
      <w:r w:rsidRPr="001616EC">
        <w:t xml:space="preserve">See </w:t>
      </w:r>
      <w:r w:rsidRPr="001616EC">
        <w:rPr>
          <w:i/>
          <w:iCs/>
        </w:rPr>
        <w:t>ibidem</w:t>
      </w:r>
      <w:r w:rsidRPr="001616EC">
        <w:t>, p. 569; also Thorndike (1</w:t>
      </w:r>
      <w:r>
        <w:t>941), pp. 317-318.</w:t>
      </w:r>
    </w:p>
  </w:footnote>
  <w:footnote w:id="182">
    <w:p w14:paraId="60DCBB63" w14:textId="767CDFA2" w:rsidR="005F7A36" w:rsidRPr="004F3090" w:rsidRDefault="005F7A36" w:rsidP="00E85330">
      <w:pPr>
        <w:pStyle w:val="Titolo3"/>
      </w:pPr>
      <w:r>
        <w:rPr>
          <w:rStyle w:val="Rimandonotaapidipagina"/>
        </w:rPr>
        <w:footnoteRef/>
      </w:r>
      <w:r>
        <w:t xml:space="preserve"> Julian, </w:t>
      </w:r>
      <w:r>
        <w:rPr>
          <w:i/>
          <w:iCs/>
        </w:rPr>
        <w:t>The Works of the Emperor Julian</w:t>
      </w:r>
      <w:r>
        <w:t>, W. Cave Wright (tr.), v. 1, Loeb Classical Library, Heinemann-Macmillan, London-New York 1913,</w:t>
      </w:r>
      <w:r>
        <w:rPr>
          <w:i/>
          <w:iCs/>
        </w:rPr>
        <w:t xml:space="preserve"> </w:t>
      </w:r>
      <w:r>
        <w:t>pp. 414-415. See also pp. 408-415.</w:t>
      </w:r>
    </w:p>
  </w:footnote>
  <w:footnote w:id="183">
    <w:p w14:paraId="1869060B" w14:textId="77777777" w:rsidR="005F7A36" w:rsidRPr="002F1B82" w:rsidRDefault="005F7A36" w:rsidP="00381854">
      <w:pPr>
        <w:pStyle w:val="Titolo3"/>
      </w:pPr>
      <w:r>
        <w:rPr>
          <w:rStyle w:val="Rimandonotaapidipagina"/>
        </w:rPr>
        <w:footnoteRef/>
      </w:r>
      <w:r>
        <w:t xml:space="preserve"> </w:t>
      </w:r>
      <w:r w:rsidRPr="002F1B82">
        <w:rPr>
          <w:i/>
          <w:iCs/>
        </w:rPr>
        <w:t>Ibidem</w:t>
      </w:r>
      <w:r w:rsidRPr="002F1B82">
        <w:t>, pp. 408-409.</w:t>
      </w:r>
    </w:p>
  </w:footnote>
  <w:footnote w:id="184">
    <w:p w14:paraId="5B671C57" w14:textId="32EAD7A2" w:rsidR="005F7A36" w:rsidRPr="007D2DDF" w:rsidRDefault="005F7A36" w:rsidP="00381854">
      <w:pPr>
        <w:pStyle w:val="Titolo3"/>
      </w:pPr>
      <w:r>
        <w:rPr>
          <w:rStyle w:val="Rimandonotaapidipagina"/>
        </w:rPr>
        <w:footnoteRef/>
      </w:r>
      <w:r>
        <w:t xml:space="preserve"> </w:t>
      </w:r>
      <w:r w:rsidRPr="007D2DDF">
        <w:t xml:space="preserve">J. Rist, </w:t>
      </w:r>
      <w:r w:rsidRPr="00381854">
        <w:rPr>
          <w:i/>
          <w:iCs/>
        </w:rPr>
        <w:t>Fate, Providence, and Free Will: Why Bother?</w:t>
      </w:r>
      <w:r>
        <w:rPr>
          <w:iCs/>
        </w:rPr>
        <w:t xml:space="preserve">, in </w:t>
      </w:r>
      <w:r>
        <w:t>R. Brouwer, E. Vimercati (eds</w:t>
      </w:r>
      <w:r w:rsidRPr="00381854">
        <w:rPr>
          <w:i/>
          <w:iCs/>
        </w:rPr>
        <w:t>.), Fate, Providence and Free Will:</w:t>
      </w:r>
      <w:r w:rsidRPr="00381854">
        <w:rPr>
          <w:rFonts w:ascii="Times New Roman" w:eastAsia="Times New Roman" w:hAnsi="Times New Roman" w:cs="Times New Roman"/>
          <w:i/>
          <w:iCs/>
          <w:sz w:val="24"/>
          <w:szCs w:val="24"/>
        </w:rPr>
        <w:t xml:space="preserve"> </w:t>
      </w:r>
      <w:r w:rsidRPr="00381854">
        <w:rPr>
          <w:i/>
          <w:iCs/>
        </w:rPr>
        <w:t>Philosophy and Religion in</w:t>
      </w:r>
      <w:r w:rsidRPr="00381854">
        <w:rPr>
          <w:rFonts w:ascii="Times New Roman" w:eastAsia="Times New Roman" w:hAnsi="Times New Roman" w:cs="Times New Roman"/>
          <w:i/>
          <w:iCs/>
          <w:sz w:val="24"/>
          <w:szCs w:val="24"/>
        </w:rPr>
        <w:t xml:space="preserve"> </w:t>
      </w:r>
      <w:r w:rsidRPr="00381854">
        <w:rPr>
          <w:i/>
          <w:iCs/>
        </w:rPr>
        <w:t>Dialogue in the Early Imperial Age</w:t>
      </w:r>
      <w:r>
        <w:t>, Brill, Leiden-Boston 2020, pp. 16, 27.</w:t>
      </w:r>
    </w:p>
  </w:footnote>
  <w:footnote w:id="185">
    <w:p w14:paraId="2C01F12E" w14:textId="1D251472" w:rsidR="005F7A36" w:rsidRPr="00DF7447" w:rsidRDefault="005F7A36" w:rsidP="00DF7447">
      <w:pPr>
        <w:pStyle w:val="Titolo3"/>
        <w:rPr>
          <w:lang w:val="it-IT"/>
        </w:rPr>
      </w:pPr>
      <w:r>
        <w:rPr>
          <w:rStyle w:val="Rimandonotaapidipagina"/>
        </w:rPr>
        <w:footnoteRef/>
      </w:r>
      <w:r>
        <w:t xml:space="preserve"> </w:t>
      </w:r>
      <w:r w:rsidRPr="00DF7447">
        <w:rPr>
          <w:i/>
          <w:iCs/>
          <w:lang w:val="it-IT"/>
        </w:rPr>
        <w:t>Tetrabi</w:t>
      </w:r>
      <w:r>
        <w:rPr>
          <w:i/>
          <w:iCs/>
          <w:lang w:val="it-IT"/>
        </w:rPr>
        <w:t>b</w:t>
      </w:r>
      <w:r w:rsidRPr="00DF7447">
        <w:rPr>
          <w:i/>
          <w:iCs/>
          <w:lang w:val="it-IT"/>
        </w:rPr>
        <w:t>los</w:t>
      </w:r>
      <w:r>
        <w:rPr>
          <w:lang w:val="it-IT"/>
        </w:rPr>
        <w:t>, I.3, pp. 22-23.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4A1F37" w14:textId="77777777" w:rsidR="005F7A36" w:rsidRDefault="005F7A36">
    <w:pPr>
      <w:pBdr>
        <w:top w:val="nil"/>
        <w:left w:val="nil"/>
        <w:bottom w:val="nil"/>
        <w:right w:val="nil"/>
        <w:between w:val="nil"/>
      </w:pBdr>
      <w:tabs>
        <w:tab w:val="center" w:pos="4819"/>
        <w:tab w:val="right" w:pos="9638"/>
      </w:tabs>
      <w:jc w:val="right"/>
      <w:rPr>
        <w:rFonts w:ascii="Calibri" w:hAnsi="Calibri"/>
        <w:color w:val="000000"/>
      </w:rPr>
    </w:pPr>
    <w:r>
      <w:rPr>
        <w:rFonts w:ascii="Calibri" w:hAnsi="Calibri"/>
        <w:color w:val="000000"/>
      </w:rPr>
      <w:fldChar w:fldCharType="begin"/>
    </w:r>
    <w:r>
      <w:rPr>
        <w:rFonts w:ascii="Calibri" w:hAnsi="Calibri"/>
        <w:color w:val="000000"/>
      </w:rPr>
      <w:instrText>PAGE</w:instrText>
    </w:r>
    <w:r>
      <w:rPr>
        <w:rFonts w:ascii="Calibri" w:hAnsi="Calibri"/>
        <w:color w:val="000000"/>
      </w:rPr>
      <w:fldChar w:fldCharType="end"/>
    </w:r>
  </w:p>
  <w:p w14:paraId="469C7100" w14:textId="77777777" w:rsidR="005F7A36" w:rsidRDefault="005F7A36">
    <w:pPr>
      <w:pBdr>
        <w:top w:val="nil"/>
        <w:left w:val="nil"/>
        <w:bottom w:val="nil"/>
        <w:right w:val="nil"/>
        <w:between w:val="nil"/>
      </w:pBdr>
      <w:tabs>
        <w:tab w:val="center" w:pos="4819"/>
        <w:tab w:val="right" w:pos="9638"/>
      </w:tabs>
      <w:ind w:right="360"/>
      <w:rPr>
        <w:rFonts w:ascii="Calibri" w:hAnsi="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D5565" w14:textId="77777777" w:rsidR="005F7A36" w:rsidRDefault="005F7A36">
    <w:pPr>
      <w:pBdr>
        <w:top w:val="nil"/>
        <w:left w:val="nil"/>
        <w:bottom w:val="nil"/>
        <w:right w:val="nil"/>
        <w:between w:val="nil"/>
      </w:pBdr>
      <w:tabs>
        <w:tab w:val="center" w:pos="4819"/>
        <w:tab w:val="right" w:pos="9638"/>
      </w:tabs>
      <w:jc w:val="right"/>
      <w:rPr>
        <w:rFonts w:ascii="Calibri" w:hAnsi="Calibri"/>
        <w:color w:val="000000"/>
      </w:rPr>
    </w:pPr>
    <w:r>
      <w:rPr>
        <w:rFonts w:ascii="Calibri" w:hAnsi="Calibri"/>
        <w:color w:val="000000"/>
      </w:rPr>
      <w:fldChar w:fldCharType="begin"/>
    </w:r>
    <w:r>
      <w:rPr>
        <w:rFonts w:ascii="Calibri" w:hAnsi="Calibri"/>
        <w:color w:val="000000"/>
      </w:rPr>
      <w:instrText>PAGE</w:instrText>
    </w:r>
    <w:r>
      <w:rPr>
        <w:rFonts w:ascii="Calibri" w:hAnsi="Calibri"/>
        <w:color w:val="000000"/>
      </w:rPr>
      <w:fldChar w:fldCharType="separate"/>
    </w:r>
    <w:r>
      <w:rPr>
        <w:rFonts w:ascii="Calibri" w:hAnsi="Calibri"/>
        <w:noProof/>
        <w:color w:val="000000"/>
      </w:rPr>
      <w:t>1</w:t>
    </w:r>
    <w:r>
      <w:rPr>
        <w:rFonts w:ascii="Calibri" w:hAnsi="Calibri"/>
        <w:color w:val="000000"/>
      </w:rPr>
      <w:fldChar w:fldCharType="end"/>
    </w:r>
  </w:p>
  <w:p w14:paraId="6181CDCB" w14:textId="77777777" w:rsidR="005F7A36" w:rsidRDefault="005F7A36">
    <w:pPr>
      <w:pBdr>
        <w:top w:val="nil"/>
        <w:left w:val="nil"/>
        <w:bottom w:val="nil"/>
        <w:right w:val="nil"/>
        <w:between w:val="nil"/>
      </w:pBdr>
      <w:tabs>
        <w:tab w:val="center" w:pos="4819"/>
        <w:tab w:val="right" w:pos="9638"/>
      </w:tabs>
      <w:ind w:right="360" w:firstLine="0"/>
      <w:rPr>
        <w:rFonts w:ascii="Calibri" w:hAnsi="Calibri"/>
        <w:color w:val="000000"/>
      </w:rPr>
    </w:pPr>
    <w:r>
      <w:rPr>
        <w:rFonts w:ascii="Calibri" w:hAnsi="Calibri"/>
        <w:color w:val="000000"/>
      </w:rPr>
      <w:t>Francesca Croce 2317231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C2E"/>
    <w:rsid w:val="000007CB"/>
    <w:rsid w:val="00005B83"/>
    <w:rsid w:val="00005E4D"/>
    <w:rsid w:val="00006125"/>
    <w:rsid w:val="000227F1"/>
    <w:rsid w:val="00024EC7"/>
    <w:rsid w:val="000255BD"/>
    <w:rsid w:val="000427B8"/>
    <w:rsid w:val="00056EB7"/>
    <w:rsid w:val="000705CC"/>
    <w:rsid w:val="00076EA5"/>
    <w:rsid w:val="0009248A"/>
    <w:rsid w:val="000A633B"/>
    <w:rsid w:val="000C5674"/>
    <w:rsid w:val="000E60F9"/>
    <w:rsid w:val="000E7AB9"/>
    <w:rsid w:val="001136D1"/>
    <w:rsid w:val="00145C07"/>
    <w:rsid w:val="001616EC"/>
    <w:rsid w:val="00166990"/>
    <w:rsid w:val="00170581"/>
    <w:rsid w:val="001867E4"/>
    <w:rsid w:val="001871D2"/>
    <w:rsid w:val="00187480"/>
    <w:rsid w:val="001B0438"/>
    <w:rsid w:val="001D3A55"/>
    <w:rsid w:val="001D46F5"/>
    <w:rsid w:val="001D4A7A"/>
    <w:rsid w:val="001F4897"/>
    <w:rsid w:val="00214DC0"/>
    <w:rsid w:val="00225011"/>
    <w:rsid w:val="0023232E"/>
    <w:rsid w:val="002439FC"/>
    <w:rsid w:val="00252A57"/>
    <w:rsid w:val="00253D18"/>
    <w:rsid w:val="0025531B"/>
    <w:rsid w:val="00257ABE"/>
    <w:rsid w:val="0028149F"/>
    <w:rsid w:val="00286C45"/>
    <w:rsid w:val="0029167A"/>
    <w:rsid w:val="002924B2"/>
    <w:rsid w:val="002A30D6"/>
    <w:rsid w:val="002A5711"/>
    <w:rsid w:val="002A6B8F"/>
    <w:rsid w:val="002A7EC0"/>
    <w:rsid w:val="002B31F8"/>
    <w:rsid w:val="002B5786"/>
    <w:rsid w:val="002C6FC2"/>
    <w:rsid w:val="002D5B5C"/>
    <w:rsid w:val="002E02EA"/>
    <w:rsid w:val="002E236B"/>
    <w:rsid w:val="002E27F8"/>
    <w:rsid w:val="002E36C5"/>
    <w:rsid w:val="002F1B82"/>
    <w:rsid w:val="002F26C7"/>
    <w:rsid w:val="002F7045"/>
    <w:rsid w:val="0034090B"/>
    <w:rsid w:val="00367C07"/>
    <w:rsid w:val="00367CF5"/>
    <w:rsid w:val="003709D5"/>
    <w:rsid w:val="00372C51"/>
    <w:rsid w:val="00374B17"/>
    <w:rsid w:val="00381854"/>
    <w:rsid w:val="00386B52"/>
    <w:rsid w:val="00387F62"/>
    <w:rsid w:val="003A52C8"/>
    <w:rsid w:val="003F0792"/>
    <w:rsid w:val="003F1A68"/>
    <w:rsid w:val="003F3293"/>
    <w:rsid w:val="003F3AB5"/>
    <w:rsid w:val="003F4CD4"/>
    <w:rsid w:val="003F782A"/>
    <w:rsid w:val="0040164E"/>
    <w:rsid w:val="0041325B"/>
    <w:rsid w:val="00415C2E"/>
    <w:rsid w:val="00430131"/>
    <w:rsid w:val="0043020B"/>
    <w:rsid w:val="00430CEC"/>
    <w:rsid w:val="00460185"/>
    <w:rsid w:val="00465659"/>
    <w:rsid w:val="0047500C"/>
    <w:rsid w:val="00477651"/>
    <w:rsid w:val="004818D8"/>
    <w:rsid w:val="004A1EE4"/>
    <w:rsid w:val="004A23FD"/>
    <w:rsid w:val="004A269C"/>
    <w:rsid w:val="004B08C0"/>
    <w:rsid w:val="004B170E"/>
    <w:rsid w:val="004B5A7E"/>
    <w:rsid w:val="004C0087"/>
    <w:rsid w:val="004C150F"/>
    <w:rsid w:val="004D21CA"/>
    <w:rsid w:val="004F2DE2"/>
    <w:rsid w:val="004F3090"/>
    <w:rsid w:val="004F470D"/>
    <w:rsid w:val="0050020A"/>
    <w:rsid w:val="005060A0"/>
    <w:rsid w:val="005075F8"/>
    <w:rsid w:val="00514B1F"/>
    <w:rsid w:val="00523D2F"/>
    <w:rsid w:val="005360F7"/>
    <w:rsid w:val="00565DF5"/>
    <w:rsid w:val="00566B96"/>
    <w:rsid w:val="00567F3D"/>
    <w:rsid w:val="00574CED"/>
    <w:rsid w:val="005A2E7A"/>
    <w:rsid w:val="005A3B6A"/>
    <w:rsid w:val="005B1E81"/>
    <w:rsid w:val="005B3B37"/>
    <w:rsid w:val="005B4704"/>
    <w:rsid w:val="005F3A94"/>
    <w:rsid w:val="005F7A36"/>
    <w:rsid w:val="00600839"/>
    <w:rsid w:val="00633AA7"/>
    <w:rsid w:val="00652386"/>
    <w:rsid w:val="00666BC7"/>
    <w:rsid w:val="00682703"/>
    <w:rsid w:val="00683AAA"/>
    <w:rsid w:val="00686012"/>
    <w:rsid w:val="00686052"/>
    <w:rsid w:val="006A06CA"/>
    <w:rsid w:val="006B48A0"/>
    <w:rsid w:val="006B74AA"/>
    <w:rsid w:val="006D103E"/>
    <w:rsid w:val="006E602F"/>
    <w:rsid w:val="006E72E8"/>
    <w:rsid w:val="00706413"/>
    <w:rsid w:val="007216B5"/>
    <w:rsid w:val="00722275"/>
    <w:rsid w:val="0073476D"/>
    <w:rsid w:val="00734F64"/>
    <w:rsid w:val="00737CE0"/>
    <w:rsid w:val="007671FF"/>
    <w:rsid w:val="00767461"/>
    <w:rsid w:val="00770D50"/>
    <w:rsid w:val="0077600A"/>
    <w:rsid w:val="00785AEB"/>
    <w:rsid w:val="00790883"/>
    <w:rsid w:val="00791B76"/>
    <w:rsid w:val="007962B8"/>
    <w:rsid w:val="007C2A2E"/>
    <w:rsid w:val="007D2DDF"/>
    <w:rsid w:val="007D2EF1"/>
    <w:rsid w:val="007D3A1D"/>
    <w:rsid w:val="007F2066"/>
    <w:rsid w:val="00806E0D"/>
    <w:rsid w:val="008175F8"/>
    <w:rsid w:val="00821F7C"/>
    <w:rsid w:val="008238F8"/>
    <w:rsid w:val="00832DD1"/>
    <w:rsid w:val="00854A5B"/>
    <w:rsid w:val="00865545"/>
    <w:rsid w:val="0086763F"/>
    <w:rsid w:val="008916EA"/>
    <w:rsid w:val="008A5424"/>
    <w:rsid w:val="008B4AC2"/>
    <w:rsid w:val="008D3EBC"/>
    <w:rsid w:val="00900547"/>
    <w:rsid w:val="00904335"/>
    <w:rsid w:val="00921B74"/>
    <w:rsid w:val="00934B65"/>
    <w:rsid w:val="00956A6A"/>
    <w:rsid w:val="009636D7"/>
    <w:rsid w:val="00974669"/>
    <w:rsid w:val="009805B2"/>
    <w:rsid w:val="009A2410"/>
    <w:rsid w:val="009B3D0C"/>
    <w:rsid w:val="009C2D04"/>
    <w:rsid w:val="009F3C4F"/>
    <w:rsid w:val="00A03091"/>
    <w:rsid w:val="00A05F06"/>
    <w:rsid w:val="00A134F7"/>
    <w:rsid w:val="00A26FB4"/>
    <w:rsid w:val="00A32D29"/>
    <w:rsid w:val="00A35016"/>
    <w:rsid w:val="00A41563"/>
    <w:rsid w:val="00A47BA5"/>
    <w:rsid w:val="00A515C9"/>
    <w:rsid w:val="00A533F3"/>
    <w:rsid w:val="00A65A4C"/>
    <w:rsid w:val="00A81B23"/>
    <w:rsid w:val="00A97CC6"/>
    <w:rsid w:val="00AA53BC"/>
    <w:rsid w:val="00AB3B74"/>
    <w:rsid w:val="00AC289E"/>
    <w:rsid w:val="00AD24AE"/>
    <w:rsid w:val="00AE06A3"/>
    <w:rsid w:val="00AE48C7"/>
    <w:rsid w:val="00AE4F4A"/>
    <w:rsid w:val="00AE6FD8"/>
    <w:rsid w:val="00AF081B"/>
    <w:rsid w:val="00AF1079"/>
    <w:rsid w:val="00AF3BA9"/>
    <w:rsid w:val="00B06A08"/>
    <w:rsid w:val="00B1009F"/>
    <w:rsid w:val="00B10DA1"/>
    <w:rsid w:val="00B300C6"/>
    <w:rsid w:val="00B31321"/>
    <w:rsid w:val="00B577EB"/>
    <w:rsid w:val="00B73C7A"/>
    <w:rsid w:val="00B7565A"/>
    <w:rsid w:val="00B809AF"/>
    <w:rsid w:val="00B920B1"/>
    <w:rsid w:val="00BA56FE"/>
    <w:rsid w:val="00BA58D4"/>
    <w:rsid w:val="00BB0014"/>
    <w:rsid w:val="00BB08B4"/>
    <w:rsid w:val="00BB56B6"/>
    <w:rsid w:val="00BC5762"/>
    <w:rsid w:val="00BD31A7"/>
    <w:rsid w:val="00BD623F"/>
    <w:rsid w:val="00BF1812"/>
    <w:rsid w:val="00BF6431"/>
    <w:rsid w:val="00C01E96"/>
    <w:rsid w:val="00C436E2"/>
    <w:rsid w:val="00C83FF9"/>
    <w:rsid w:val="00C851B5"/>
    <w:rsid w:val="00C94D2B"/>
    <w:rsid w:val="00C97010"/>
    <w:rsid w:val="00CA0DFB"/>
    <w:rsid w:val="00CB7C9A"/>
    <w:rsid w:val="00CD6D9F"/>
    <w:rsid w:val="00D03313"/>
    <w:rsid w:val="00D06E78"/>
    <w:rsid w:val="00D125D3"/>
    <w:rsid w:val="00D1454D"/>
    <w:rsid w:val="00D45578"/>
    <w:rsid w:val="00D457C8"/>
    <w:rsid w:val="00D63F26"/>
    <w:rsid w:val="00DB539A"/>
    <w:rsid w:val="00DB5CFF"/>
    <w:rsid w:val="00DB7C27"/>
    <w:rsid w:val="00DC6AD4"/>
    <w:rsid w:val="00DD20A8"/>
    <w:rsid w:val="00DF0711"/>
    <w:rsid w:val="00DF08EA"/>
    <w:rsid w:val="00DF2621"/>
    <w:rsid w:val="00DF5DF7"/>
    <w:rsid w:val="00DF7447"/>
    <w:rsid w:val="00E018C5"/>
    <w:rsid w:val="00E032FD"/>
    <w:rsid w:val="00E04CBF"/>
    <w:rsid w:val="00E220A2"/>
    <w:rsid w:val="00E23751"/>
    <w:rsid w:val="00E27821"/>
    <w:rsid w:val="00E31A5A"/>
    <w:rsid w:val="00E37DEA"/>
    <w:rsid w:val="00E42B45"/>
    <w:rsid w:val="00E524AE"/>
    <w:rsid w:val="00E52C15"/>
    <w:rsid w:val="00E53169"/>
    <w:rsid w:val="00E71DAD"/>
    <w:rsid w:val="00E74B9E"/>
    <w:rsid w:val="00E80055"/>
    <w:rsid w:val="00E8440A"/>
    <w:rsid w:val="00E85330"/>
    <w:rsid w:val="00E8646C"/>
    <w:rsid w:val="00E91241"/>
    <w:rsid w:val="00E95E2B"/>
    <w:rsid w:val="00EB2B1C"/>
    <w:rsid w:val="00EB6E20"/>
    <w:rsid w:val="00EC3708"/>
    <w:rsid w:val="00EE0F84"/>
    <w:rsid w:val="00F00B68"/>
    <w:rsid w:val="00F11BDF"/>
    <w:rsid w:val="00F1476B"/>
    <w:rsid w:val="00F26DEF"/>
    <w:rsid w:val="00F3740E"/>
    <w:rsid w:val="00F52BD7"/>
    <w:rsid w:val="00F77BBB"/>
    <w:rsid w:val="00F90948"/>
    <w:rsid w:val="00FA2EB5"/>
    <w:rsid w:val="00FB39CF"/>
    <w:rsid w:val="00FB4056"/>
    <w:rsid w:val="00FC026F"/>
    <w:rsid w:val="00FC3BBD"/>
    <w:rsid w:val="00FC73CD"/>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668B10"/>
  <w15:docId w15:val="{EF38A0FF-3EAF-3A43-91B3-D1D9561D5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1"/>
        <w:szCs w:val="21"/>
        <w:lang w:val="en-US" w:eastAsia="it-IT" w:bidi="ar-SA"/>
      </w:rPr>
    </w:rPrDefault>
    <w:pPrDefault>
      <w:pPr>
        <w:spacing w:line="360" w:lineRule="auto"/>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D0C8C"/>
    <w:rPr>
      <w:rFonts w:asciiTheme="majorHAnsi" w:hAnsiTheme="majorHAnsi"/>
    </w:rPr>
  </w:style>
  <w:style w:type="paragraph" w:styleId="Titolo1">
    <w:name w:val="heading 1"/>
    <w:aliases w:val="biblio"/>
    <w:basedOn w:val="Normale"/>
    <w:next w:val="Normale"/>
    <w:link w:val="Titolo1Carattere"/>
    <w:uiPriority w:val="9"/>
    <w:qFormat/>
    <w:rsid w:val="00652386"/>
    <w:pPr>
      <w:keepNext/>
      <w:keepLines/>
      <w:adjustRightInd w:val="0"/>
      <w:spacing w:line="480" w:lineRule="auto"/>
      <w:ind w:left="567" w:hanging="567"/>
      <w:outlineLvl w:val="0"/>
    </w:pPr>
    <w:rPr>
      <w:rFonts w:eastAsiaTheme="majorEastAsia" w:cstheme="majorBidi"/>
      <w:szCs w:val="32"/>
    </w:rPr>
  </w:style>
  <w:style w:type="paragraph" w:styleId="Titolo2">
    <w:name w:val="heading 2"/>
    <w:basedOn w:val="Normale"/>
    <w:next w:val="Normale"/>
    <w:link w:val="Titolo2Carattere"/>
    <w:uiPriority w:val="9"/>
    <w:unhideWhenUsed/>
    <w:qFormat/>
    <w:rsid w:val="007C5E0D"/>
    <w:pPr>
      <w:keepNext/>
      <w:keepLines/>
      <w:spacing w:before="40"/>
      <w:outlineLvl w:val="1"/>
    </w:pPr>
    <w:rPr>
      <w:rFonts w:eastAsiaTheme="majorEastAsia" w:cstheme="majorBidi"/>
      <w:color w:val="2F5496" w:themeColor="accent1" w:themeShade="BF"/>
      <w:sz w:val="26"/>
      <w:szCs w:val="26"/>
    </w:rPr>
  </w:style>
  <w:style w:type="paragraph" w:styleId="Titolo3">
    <w:name w:val="heading 3"/>
    <w:aliases w:val="note"/>
    <w:basedOn w:val="Pidipagina"/>
    <w:next w:val="Normale"/>
    <w:link w:val="Titolo3Carattere"/>
    <w:uiPriority w:val="9"/>
    <w:unhideWhenUsed/>
    <w:qFormat/>
    <w:rsid w:val="00C705F6"/>
    <w:pPr>
      <w:keepNext/>
      <w:keepLines/>
      <w:spacing w:line="280" w:lineRule="exact"/>
      <w:ind w:firstLine="0"/>
      <w:contextualSpacing/>
      <w:outlineLvl w:val="2"/>
    </w:pPr>
    <w:rPr>
      <w:rFonts w:eastAsiaTheme="majorEastAsia" w:cs="font235"/>
      <w:sz w:val="1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character" w:customStyle="1" w:styleId="Titolo3Carattere">
    <w:name w:val="Titolo 3 Carattere"/>
    <w:aliases w:val="note Carattere"/>
    <w:basedOn w:val="Carpredefinitoparagrafo"/>
    <w:link w:val="Titolo3"/>
    <w:uiPriority w:val="9"/>
    <w:rsid w:val="00C705F6"/>
    <w:rPr>
      <w:rFonts w:asciiTheme="majorHAnsi" w:eastAsiaTheme="majorEastAsia" w:hAnsiTheme="majorHAnsi" w:cs="font235"/>
      <w:sz w:val="18"/>
    </w:rPr>
  </w:style>
  <w:style w:type="paragraph" w:styleId="Pidipagina">
    <w:name w:val="footer"/>
    <w:basedOn w:val="Normale"/>
    <w:link w:val="PidipaginaCarattere"/>
    <w:uiPriority w:val="99"/>
    <w:unhideWhenUsed/>
    <w:rsid w:val="00437BD2"/>
    <w:pPr>
      <w:tabs>
        <w:tab w:val="center" w:pos="4819"/>
        <w:tab w:val="right" w:pos="9638"/>
      </w:tabs>
    </w:pPr>
  </w:style>
  <w:style w:type="character" w:customStyle="1" w:styleId="PidipaginaCarattere">
    <w:name w:val="Piè di pagina Carattere"/>
    <w:basedOn w:val="Carpredefinitoparagrafo"/>
    <w:link w:val="Pidipagina"/>
    <w:uiPriority w:val="99"/>
    <w:rsid w:val="00437BD2"/>
  </w:style>
  <w:style w:type="character" w:customStyle="1" w:styleId="Titolo1Carattere">
    <w:name w:val="Titolo 1 Carattere"/>
    <w:aliases w:val="biblio Carattere"/>
    <w:basedOn w:val="Carpredefinitoparagrafo"/>
    <w:link w:val="Titolo1"/>
    <w:uiPriority w:val="9"/>
    <w:rsid w:val="00652386"/>
    <w:rPr>
      <w:rFonts w:asciiTheme="majorHAnsi" w:eastAsiaTheme="majorEastAsia" w:hAnsiTheme="majorHAnsi" w:cstheme="majorBidi"/>
      <w:szCs w:val="32"/>
    </w:rPr>
  </w:style>
  <w:style w:type="character" w:customStyle="1" w:styleId="Titolo2Carattere">
    <w:name w:val="Titolo 2 Carattere"/>
    <w:basedOn w:val="Carpredefinitoparagrafo"/>
    <w:link w:val="Titolo2"/>
    <w:uiPriority w:val="9"/>
    <w:semiHidden/>
    <w:rsid w:val="007C5E0D"/>
    <w:rPr>
      <w:rFonts w:asciiTheme="majorHAnsi" w:eastAsiaTheme="majorEastAsia" w:hAnsiTheme="majorHAnsi" w:cstheme="majorBidi"/>
      <w:color w:val="2F5496" w:themeColor="accent1" w:themeShade="BF"/>
      <w:sz w:val="26"/>
      <w:szCs w:val="26"/>
    </w:rPr>
  </w:style>
  <w:style w:type="paragraph" w:styleId="Testonotaapidipagina">
    <w:name w:val="footnote text"/>
    <w:basedOn w:val="Normale"/>
    <w:link w:val="TestonotaapidipaginaCarattere"/>
    <w:autoRedefine/>
    <w:uiPriority w:val="99"/>
    <w:unhideWhenUsed/>
    <w:qFormat/>
    <w:rsid w:val="00652386"/>
    <w:pPr>
      <w:spacing w:line="240" w:lineRule="auto"/>
      <w:ind w:firstLine="0"/>
    </w:pPr>
    <w:rPr>
      <w:sz w:val="18"/>
      <w:szCs w:val="20"/>
    </w:rPr>
  </w:style>
  <w:style w:type="character" w:customStyle="1" w:styleId="TestonotaapidipaginaCarattere">
    <w:name w:val="Testo nota a piè di pagina Carattere"/>
    <w:basedOn w:val="Carpredefinitoparagrafo"/>
    <w:link w:val="Testonotaapidipagina"/>
    <w:uiPriority w:val="99"/>
    <w:rsid w:val="00652386"/>
    <w:rPr>
      <w:rFonts w:asciiTheme="majorHAnsi" w:hAnsiTheme="majorHAnsi"/>
      <w:sz w:val="18"/>
      <w:szCs w:val="20"/>
    </w:rPr>
  </w:style>
  <w:style w:type="character" w:styleId="Rimandonotaapidipagina">
    <w:name w:val="footnote reference"/>
    <w:basedOn w:val="Carpredefinitoparagrafo"/>
    <w:uiPriority w:val="99"/>
    <w:semiHidden/>
    <w:unhideWhenUsed/>
    <w:rsid w:val="007C5E0D"/>
    <w:rPr>
      <w:vertAlign w:val="superscript"/>
    </w:rPr>
  </w:style>
  <w:style w:type="character" w:styleId="Numeropagina">
    <w:name w:val="page number"/>
    <w:basedOn w:val="Carpredefinitoparagrafo"/>
    <w:uiPriority w:val="99"/>
    <w:semiHidden/>
    <w:unhideWhenUsed/>
    <w:rsid w:val="007C5E0D"/>
  </w:style>
  <w:style w:type="paragraph" w:styleId="Intestazione">
    <w:name w:val="header"/>
    <w:basedOn w:val="Normale"/>
    <w:link w:val="IntestazioneCarattere"/>
    <w:uiPriority w:val="99"/>
    <w:unhideWhenUsed/>
    <w:rsid w:val="007C5E0D"/>
    <w:pPr>
      <w:tabs>
        <w:tab w:val="center" w:pos="4819"/>
        <w:tab w:val="right" w:pos="9638"/>
      </w:tabs>
    </w:pPr>
  </w:style>
  <w:style w:type="character" w:customStyle="1" w:styleId="IntestazioneCarattere">
    <w:name w:val="Intestazione Carattere"/>
    <w:basedOn w:val="Carpredefinitoparagrafo"/>
    <w:link w:val="Intestazione"/>
    <w:uiPriority w:val="99"/>
    <w:rsid w:val="007C5E0D"/>
    <w:rPr>
      <w:rFonts w:asciiTheme="majorHAnsi" w:hAnsiTheme="majorHAnsi"/>
      <w:sz w:val="21"/>
    </w:rPr>
  </w:style>
  <w:style w:type="paragraph" w:styleId="NormaleWeb">
    <w:name w:val="Normal (Web)"/>
    <w:basedOn w:val="Normale"/>
    <w:rsid w:val="007C5E0D"/>
    <w:pPr>
      <w:spacing w:before="100" w:beforeAutospacing="1" w:after="100" w:afterAutospacing="1"/>
      <w:jc w:val="left"/>
    </w:pPr>
    <w:rPr>
      <w:rFonts w:ascii="Georgia" w:eastAsia="SimSun" w:hAnsi="Georgia" w:cs="Times New Roman"/>
      <w:color w:val="000000"/>
      <w:lang w:val="en-GB" w:eastAsia="zh-CN"/>
    </w:rPr>
  </w:style>
  <w:style w:type="numbering" w:customStyle="1" w:styleId="Nessunelenco1">
    <w:name w:val="Nessun elenco1"/>
    <w:next w:val="Nessunelenco"/>
    <w:uiPriority w:val="99"/>
    <w:semiHidden/>
    <w:unhideWhenUsed/>
    <w:rsid w:val="007C5E0D"/>
  </w:style>
  <w:style w:type="paragraph" w:styleId="Nessunaspaziatura">
    <w:name w:val="No Spacing"/>
    <w:aliases w:val="quotation"/>
    <w:autoRedefine/>
    <w:uiPriority w:val="1"/>
    <w:qFormat/>
    <w:rsid w:val="00B43746"/>
    <w:pPr>
      <w:ind w:left="567" w:right="567"/>
    </w:pPr>
    <w:rPr>
      <w:rFonts w:asciiTheme="majorHAnsi" w:eastAsia="Times New Roman" w:hAnsiTheme="majorHAnsi" w:cs="Times New Roman"/>
    </w:rPr>
  </w:style>
  <w:style w:type="character" w:styleId="Enfasicorsivo">
    <w:name w:val="Emphasis"/>
    <w:basedOn w:val="Carpredefinitoparagrafo"/>
    <w:uiPriority w:val="20"/>
    <w:qFormat/>
    <w:rsid w:val="007C5E0D"/>
    <w:rPr>
      <w:i/>
      <w:iCs/>
    </w:rPr>
  </w:style>
  <w:style w:type="table" w:styleId="Grigliatabella">
    <w:name w:val="Table Grid"/>
    <w:basedOn w:val="Tabellanormale"/>
    <w:uiPriority w:val="39"/>
    <w:rsid w:val="007C5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C5E0D"/>
    <w:pPr>
      <w:autoSpaceDE w:val="0"/>
      <w:autoSpaceDN w:val="0"/>
      <w:adjustRightInd w:val="0"/>
      <w:jc w:val="left"/>
    </w:pPr>
    <w:rPr>
      <w:rFonts w:ascii="Code" w:hAnsi="Code" w:cs="Code"/>
      <w:color w:val="000000"/>
    </w:rPr>
  </w:style>
  <w:style w:type="paragraph" w:styleId="Testonotadichiusura">
    <w:name w:val="endnote text"/>
    <w:basedOn w:val="Normale"/>
    <w:link w:val="TestonotadichiusuraCarattere"/>
    <w:uiPriority w:val="99"/>
    <w:semiHidden/>
    <w:unhideWhenUsed/>
    <w:rsid w:val="00A5306E"/>
    <w:pPr>
      <w:spacing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A5306E"/>
    <w:rPr>
      <w:rFonts w:asciiTheme="majorHAnsi" w:hAnsiTheme="majorHAnsi"/>
      <w:sz w:val="20"/>
      <w:szCs w:val="20"/>
    </w:rPr>
  </w:style>
  <w:style w:type="character" w:styleId="Rimandonotadichiusura">
    <w:name w:val="endnote reference"/>
    <w:basedOn w:val="Carpredefinitoparagrafo"/>
    <w:uiPriority w:val="99"/>
    <w:semiHidden/>
    <w:unhideWhenUsed/>
    <w:rsid w:val="00A5306E"/>
    <w:rPr>
      <w:vertAlign w:val="superscript"/>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335286">
      <w:bodyDiv w:val="1"/>
      <w:marLeft w:val="0"/>
      <w:marRight w:val="0"/>
      <w:marTop w:val="0"/>
      <w:marBottom w:val="0"/>
      <w:divBdr>
        <w:top w:val="none" w:sz="0" w:space="0" w:color="auto"/>
        <w:left w:val="none" w:sz="0" w:space="0" w:color="auto"/>
        <w:bottom w:val="none" w:sz="0" w:space="0" w:color="auto"/>
        <w:right w:val="none" w:sz="0" w:space="0" w:color="auto"/>
      </w:divBdr>
    </w:div>
    <w:div w:id="119151402">
      <w:bodyDiv w:val="1"/>
      <w:marLeft w:val="0"/>
      <w:marRight w:val="0"/>
      <w:marTop w:val="0"/>
      <w:marBottom w:val="0"/>
      <w:divBdr>
        <w:top w:val="none" w:sz="0" w:space="0" w:color="auto"/>
        <w:left w:val="none" w:sz="0" w:space="0" w:color="auto"/>
        <w:bottom w:val="none" w:sz="0" w:space="0" w:color="auto"/>
        <w:right w:val="none" w:sz="0" w:space="0" w:color="auto"/>
      </w:divBdr>
    </w:div>
    <w:div w:id="164828975">
      <w:bodyDiv w:val="1"/>
      <w:marLeft w:val="0"/>
      <w:marRight w:val="0"/>
      <w:marTop w:val="0"/>
      <w:marBottom w:val="0"/>
      <w:divBdr>
        <w:top w:val="none" w:sz="0" w:space="0" w:color="auto"/>
        <w:left w:val="none" w:sz="0" w:space="0" w:color="auto"/>
        <w:bottom w:val="none" w:sz="0" w:space="0" w:color="auto"/>
        <w:right w:val="none" w:sz="0" w:space="0" w:color="auto"/>
      </w:divBdr>
    </w:div>
    <w:div w:id="279336720">
      <w:bodyDiv w:val="1"/>
      <w:marLeft w:val="0"/>
      <w:marRight w:val="0"/>
      <w:marTop w:val="0"/>
      <w:marBottom w:val="0"/>
      <w:divBdr>
        <w:top w:val="none" w:sz="0" w:space="0" w:color="auto"/>
        <w:left w:val="none" w:sz="0" w:space="0" w:color="auto"/>
        <w:bottom w:val="none" w:sz="0" w:space="0" w:color="auto"/>
        <w:right w:val="none" w:sz="0" w:space="0" w:color="auto"/>
      </w:divBdr>
    </w:div>
    <w:div w:id="320353392">
      <w:bodyDiv w:val="1"/>
      <w:marLeft w:val="0"/>
      <w:marRight w:val="0"/>
      <w:marTop w:val="0"/>
      <w:marBottom w:val="0"/>
      <w:divBdr>
        <w:top w:val="none" w:sz="0" w:space="0" w:color="auto"/>
        <w:left w:val="none" w:sz="0" w:space="0" w:color="auto"/>
        <w:bottom w:val="none" w:sz="0" w:space="0" w:color="auto"/>
        <w:right w:val="none" w:sz="0" w:space="0" w:color="auto"/>
      </w:divBdr>
    </w:div>
    <w:div w:id="387536710">
      <w:bodyDiv w:val="1"/>
      <w:marLeft w:val="0"/>
      <w:marRight w:val="0"/>
      <w:marTop w:val="0"/>
      <w:marBottom w:val="0"/>
      <w:divBdr>
        <w:top w:val="none" w:sz="0" w:space="0" w:color="auto"/>
        <w:left w:val="none" w:sz="0" w:space="0" w:color="auto"/>
        <w:bottom w:val="none" w:sz="0" w:space="0" w:color="auto"/>
        <w:right w:val="none" w:sz="0" w:space="0" w:color="auto"/>
      </w:divBdr>
    </w:div>
    <w:div w:id="399249454">
      <w:bodyDiv w:val="1"/>
      <w:marLeft w:val="0"/>
      <w:marRight w:val="0"/>
      <w:marTop w:val="0"/>
      <w:marBottom w:val="0"/>
      <w:divBdr>
        <w:top w:val="none" w:sz="0" w:space="0" w:color="auto"/>
        <w:left w:val="none" w:sz="0" w:space="0" w:color="auto"/>
        <w:bottom w:val="none" w:sz="0" w:space="0" w:color="auto"/>
        <w:right w:val="none" w:sz="0" w:space="0" w:color="auto"/>
      </w:divBdr>
    </w:div>
    <w:div w:id="422577951">
      <w:bodyDiv w:val="1"/>
      <w:marLeft w:val="0"/>
      <w:marRight w:val="0"/>
      <w:marTop w:val="0"/>
      <w:marBottom w:val="0"/>
      <w:divBdr>
        <w:top w:val="none" w:sz="0" w:space="0" w:color="auto"/>
        <w:left w:val="none" w:sz="0" w:space="0" w:color="auto"/>
        <w:bottom w:val="none" w:sz="0" w:space="0" w:color="auto"/>
        <w:right w:val="none" w:sz="0" w:space="0" w:color="auto"/>
      </w:divBdr>
    </w:div>
    <w:div w:id="432555060">
      <w:bodyDiv w:val="1"/>
      <w:marLeft w:val="0"/>
      <w:marRight w:val="0"/>
      <w:marTop w:val="0"/>
      <w:marBottom w:val="0"/>
      <w:divBdr>
        <w:top w:val="none" w:sz="0" w:space="0" w:color="auto"/>
        <w:left w:val="none" w:sz="0" w:space="0" w:color="auto"/>
        <w:bottom w:val="none" w:sz="0" w:space="0" w:color="auto"/>
        <w:right w:val="none" w:sz="0" w:space="0" w:color="auto"/>
      </w:divBdr>
    </w:div>
    <w:div w:id="858854415">
      <w:bodyDiv w:val="1"/>
      <w:marLeft w:val="0"/>
      <w:marRight w:val="0"/>
      <w:marTop w:val="0"/>
      <w:marBottom w:val="0"/>
      <w:divBdr>
        <w:top w:val="none" w:sz="0" w:space="0" w:color="auto"/>
        <w:left w:val="none" w:sz="0" w:space="0" w:color="auto"/>
        <w:bottom w:val="none" w:sz="0" w:space="0" w:color="auto"/>
        <w:right w:val="none" w:sz="0" w:space="0" w:color="auto"/>
      </w:divBdr>
    </w:div>
    <w:div w:id="879246409">
      <w:bodyDiv w:val="1"/>
      <w:marLeft w:val="0"/>
      <w:marRight w:val="0"/>
      <w:marTop w:val="0"/>
      <w:marBottom w:val="0"/>
      <w:divBdr>
        <w:top w:val="none" w:sz="0" w:space="0" w:color="auto"/>
        <w:left w:val="none" w:sz="0" w:space="0" w:color="auto"/>
        <w:bottom w:val="none" w:sz="0" w:space="0" w:color="auto"/>
        <w:right w:val="none" w:sz="0" w:space="0" w:color="auto"/>
      </w:divBdr>
    </w:div>
    <w:div w:id="1041396581">
      <w:bodyDiv w:val="1"/>
      <w:marLeft w:val="0"/>
      <w:marRight w:val="0"/>
      <w:marTop w:val="0"/>
      <w:marBottom w:val="0"/>
      <w:divBdr>
        <w:top w:val="none" w:sz="0" w:space="0" w:color="auto"/>
        <w:left w:val="none" w:sz="0" w:space="0" w:color="auto"/>
        <w:bottom w:val="none" w:sz="0" w:space="0" w:color="auto"/>
        <w:right w:val="none" w:sz="0" w:space="0" w:color="auto"/>
      </w:divBdr>
    </w:div>
    <w:div w:id="1083910764">
      <w:bodyDiv w:val="1"/>
      <w:marLeft w:val="0"/>
      <w:marRight w:val="0"/>
      <w:marTop w:val="0"/>
      <w:marBottom w:val="0"/>
      <w:divBdr>
        <w:top w:val="none" w:sz="0" w:space="0" w:color="auto"/>
        <w:left w:val="none" w:sz="0" w:space="0" w:color="auto"/>
        <w:bottom w:val="none" w:sz="0" w:space="0" w:color="auto"/>
        <w:right w:val="none" w:sz="0" w:space="0" w:color="auto"/>
      </w:divBdr>
    </w:div>
    <w:div w:id="1279918722">
      <w:bodyDiv w:val="1"/>
      <w:marLeft w:val="0"/>
      <w:marRight w:val="0"/>
      <w:marTop w:val="0"/>
      <w:marBottom w:val="0"/>
      <w:divBdr>
        <w:top w:val="none" w:sz="0" w:space="0" w:color="auto"/>
        <w:left w:val="none" w:sz="0" w:space="0" w:color="auto"/>
        <w:bottom w:val="none" w:sz="0" w:space="0" w:color="auto"/>
        <w:right w:val="none" w:sz="0" w:space="0" w:color="auto"/>
      </w:divBdr>
    </w:div>
    <w:div w:id="1313604245">
      <w:bodyDiv w:val="1"/>
      <w:marLeft w:val="0"/>
      <w:marRight w:val="0"/>
      <w:marTop w:val="0"/>
      <w:marBottom w:val="0"/>
      <w:divBdr>
        <w:top w:val="none" w:sz="0" w:space="0" w:color="auto"/>
        <w:left w:val="none" w:sz="0" w:space="0" w:color="auto"/>
        <w:bottom w:val="none" w:sz="0" w:space="0" w:color="auto"/>
        <w:right w:val="none" w:sz="0" w:space="0" w:color="auto"/>
      </w:divBdr>
    </w:div>
    <w:div w:id="1350371089">
      <w:bodyDiv w:val="1"/>
      <w:marLeft w:val="0"/>
      <w:marRight w:val="0"/>
      <w:marTop w:val="0"/>
      <w:marBottom w:val="0"/>
      <w:divBdr>
        <w:top w:val="none" w:sz="0" w:space="0" w:color="auto"/>
        <w:left w:val="none" w:sz="0" w:space="0" w:color="auto"/>
        <w:bottom w:val="none" w:sz="0" w:space="0" w:color="auto"/>
        <w:right w:val="none" w:sz="0" w:space="0" w:color="auto"/>
      </w:divBdr>
    </w:div>
    <w:div w:id="1454059885">
      <w:bodyDiv w:val="1"/>
      <w:marLeft w:val="0"/>
      <w:marRight w:val="0"/>
      <w:marTop w:val="0"/>
      <w:marBottom w:val="0"/>
      <w:divBdr>
        <w:top w:val="none" w:sz="0" w:space="0" w:color="auto"/>
        <w:left w:val="none" w:sz="0" w:space="0" w:color="auto"/>
        <w:bottom w:val="none" w:sz="0" w:space="0" w:color="auto"/>
        <w:right w:val="none" w:sz="0" w:space="0" w:color="auto"/>
      </w:divBdr>
    </w:div>
    <w:div w:id="1531525647">
      <w:bodyDiv w:val="1"/>
      <w:marLeft w:val="0"/>
      <w:marRight w:val="0"/>
      <w:marTop w:val="0"/>
      <w:marBottom w:val="0"/>
      <w:divBdr>
        <w:top w:val="none" w:sz="0" w:space="0" w:color="auto"/>
        <w:left w:val="none" w:sz="0" w:space="0" w:color="auto"/>
        <w:bottom w:val="none" w:sz="0" w:space="0" w:color="auto"/>
        <w:right w:val="none" w:sz="0" w:space="0" w:color="auto"/>
      </w:divBdr>
    </w:div>
    <w:div w:id="1723212989">
      <w:bodyDiv w:val="1"/>
      <w:marLeft w:val="0"/>
      <w:marRight w:val="0"/>
      <w:marTop w:val="0"/>
      <w:marBottom w:val="0"/>
      <w:divBdr>
        <w:top w:val="none" w:sz="0" w:space="0" w:color="auto"/>
        <w:left w:val="none" w:sz="0" w:space="0" w:color="auto"/>
        <w:bottom w:val="none" w:sz="0" w:space="0" w:color="auto"/>
        <w:right w:val="none" w:sz="0" w:space="0" w:color="auto"/>
      </w:divBdr>
    </w:div>
    <w:div w:id="2072071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cm3zAce+HzSYG3cA3mbD0e0fAg==">CgMxLjAyCWlkLmdqZGd4czIKaWQuMzBqMHpsbDIKaWQuMWZvYjl0ZTIKaWQuM3pueXNoNzIKaWQuMmV0OTJwMDIJaWQudHlqY3d0Mg5oLndpdGE0enc3NHhtdzIOaC41cTdxY3BvenRleWoyDmgucHlpNTV4MmVxbHFrMg5oLjZkZHN5eTJhd2pheTIOaC43ejRmb2FlejBjMzEyDmgud283cTBsM2dlMWJqOAByITFlSTRPTzR0TjE3NTRyV2QzZ0dPcUFNQy1nU0wyVWtj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23</Pages>
  <Words>6594</Words>
  <Characters>36271</Characters>
  <Application>Microsoft Office Word</Application>
  <DocSecurity>0</DocSecurity>
  <Lines>416</Lines>
  <Paragraphs>41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 Croce</dc:creator>
  <cp:lastModifiedBy>Francesca Croce</cp:lastModifiedBy>
  <cp:revision>216</cp:revision>
  <cp:lastPrinted>2025-01-06T12:25:00Z</cp:lastPrinted>
  <dcterms:created xsi:type="dcterms:W3CDTF">2024-10-21T15:57:00Z</dcterms:created>
  <dcterms:modified xsi:type="dcterms:W3CDTF">2025-01-06T22:52:00Z</dcterms:modified>
</cp:coreProperties>
</file>