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681CE84" w14:textId="6093943B" w:rsidR="00962F9E" w:rsidRDefault="00962F9E" w:rsidP="00057605">
      <w:pPr>
        <w:pStyle w:val="Nornal"/>
        <w:spacing w:after="0" w:line="240" w:lineRule="auto"/>
        <w:rPr>
          <w:rFonts w:ascii="Trebuchet MS" w:hAnsi="Trebuchet MS"/>
          <w:color w:val="000000"/>
        </w:rPr>
      </w:pPr>
      <w:r w:rsidRPr="00962F9E">
        <w:rPr>
          <w:rFonts w:ascii="Trebuchet MS" w:hAnsi="Trebuchet MS"/>
        </w:rPr>
        <w:t xml:space="preserve"> </w:t>
      </w:r>
      <w:r w:rsidRPr="00962F9E">
        <w:rPr>
          <w:rFonts w:ascii="Trebuchet MS" w:hAnsi="Trebuchet MS"/>
          <w:color w:val="000000"/>
        </w:rPr>
        <w:t>(AC 1.1)</w:t>
      </w:r>
    </w:p>
    <w:p w14:paraId="42EB3E92" w14:textId="77777777" w:rsidR="00962F9E" w:rsidRDefault="00962F9E" w:rsidP="00962F9E">
      <w:pPr>
        <w:pStyle w:val="Nornal"/>
        <w:spacing w:after="0" w:line="240" w:lineRule="auto"/>
        <w:rPr>
          <w:rFonts w:ascii="Trebuchet MS" w:hAnsi="Trebuchet MS"/>
          <w:color w:val="000000"/>
        </w:rPr>
      </w:pPr>
    </w:p>
    <w:p w14:paraId="17426FB2" w14:textId="06B1D365" w:rsidR="00E9401C" w:rsidRDefault="00E9401C" w:rsidP="00962F9E">
      <w:pPr>
        <w:pStyle w:val="Nornal"/>
        <w:spacing w:after="0" w:line="240" w:lineRule="auto"/>
        <w:rPr>
          <w:rFonts w:asciiTheme="minorHAnsi" w:hAnsiTheme="minorHAnsi"/>
          <w:color w:val="000000"/>
        </w:rPr>
      </w:pPr>
      <w:r>
        <w:rPr>
          <w:rFonts w:asciiTheme="minorHAnsi" w:hAnsiTheme="minorHAnsi"/>
          <w:color w:val="000000"/>
        </w:rPr>
        <w:t xml:space="preserve">Reward refers to the financial and non-financial return employees receive in exchange for their contribution. According to CIPD (2023), effective reward management is built on principles of fairness, transparency, consistency and strategic alignment. </w:t>
      </w:r>
      <w:r w:rsidR="00A22299">
        <w:rPr>
          <w:rFonts w:asciiTheme="minorHAnsi" w:hAnsiTheme="minorHAnsi"/>
          <w:color w:val="000000"/>
        </w:rPr>
        <w:t xml:space="preserve">These principles are particularly relevant to </w:t>
      </w:r>
      <w:r w:rsidR="0087736E">
        <w:rPr>
          <w:rFonts w:asciiTheme="minorHAnsi" w:hAnsiTheme="minorHAnsi"/>
          <w:color w:val="000000"/>
        </w:rPr>
        <w:t>GreenFriendlyEco</w:t>
      </w:r>
      <w:r w:rsidR="00A22299">
        <w:rPr>
          <w:rFonts w:asciiTheme="minorHAnsi" w:hAnsiTheme="minorHAnsi"/>
          <w:color w:val="000000"/>
        </w:rPr>
        <w:t xml:space="preserve">, where rising turnover and negative culture suggests that current rewards practices are not meeting employee expectations. </w:t>
      </w:r>
    </w:p>
    <w:p w14:paraId="6885DB11" w14:textId="77777777" w:rsidR="00A22299" w:rsidRDefault="00A22299" w:rsidP="00962F9E">
      <w:pPr>
        <w:pStyle w:val="Nornal"/>
        <w:spacing w:after="0" w:line="240" w:lineRule="auto"/>
        <w:rPr>
          <w:rFonts w:asciiTheme="minorHAnsi" w:hAnsiTheme="minorHAnsi"/>
          <w:color w:val="000000"/>
        </w:rPr>
      </w:pPr>
    </w:p>
    <w:p w14:paraId="6FF5FDAD" w14:textId="1920370E" w:rsidR="00E9401C" w:rsidRDefault="0091654A" w:rsidP="00962F9E">
      <w:pPr>
        <w:pStyle w:val="Nornal"/>
        <w:spacing w:after="0" w:line="240" w:lineRule="auto"/>
        <w:rPr>
          <w:rFonts w:asciiTheme="minorHAnsi" w:hAnsiTheme="minorHAnsi"/>
          <w:color w:val="000000"/>
        </w:rPr>
      </w:pPr>
      <w:r>
        <w:rPr>
          <w:rFonts w:asciiTheme="minorHAnsi" w:hAnsiTheme="minorHAnsi"/>
          <w:color w:val="000000"/>
        </w:rPr>
        <w:t xml:space="preserve">A </w:t>
      </w:r>
      <w:r w:rsidR="00A22299">
        <w:rPr>
          <w:rFonts w:asciiTheme="minorHAnsi" w:hAnsiTheme="minorHAnsi"/>
          <w:color w:val="000000"/>
        </w:rPr>
        <w:t>key</w:t>
      </w:r>
      <w:r>
        <w:rPr>
          <w:rFonts w:asciiTheme="minorHAnsi" w:hAnsiTheme="minorHAnsi"/>
          <w:color w:val="000000"/>
        </w:rPr>
        <w:t xml:space="preserve"> principle is equity. </w:t>
      </w:r>
      <w:r w:rsidR="00A22299">
        <w:rPr>
          <w:rFonts w:asciiTheme="minorHAnsi" w:hAnsiTheme="minorHAnsi"/>
          <w:color w:val="000000"/>
        </w:rPr>
        <w:t>Employees must feel that reward decisions are fair both internally and externally. At</w:t>
      </w:r>
      <w:r w:rsidR="0087736E" w:rsidRPr="0087736E">
        <w:rPr>
          <w:rFonts w:asciiTheme="minorHAnsi" w:hAnsiTheme="minorHAnsi"/>
          <w:color w:val="000000"/>
        </w:rPr>
        <w:t xml:space="preserve"> </w:t>
      </w:r>
      <w:r w:rsidR="0087736E">
        <w:rPr>
          <w:rFonts w:asciiTheme="minorHAnsi" w:hAnsiTheme="minorHAnsi"/>
          <w:color w:val="000000"/>
        </w:rPr>
        <w:t>GreenFriendlyEco</w:t>
      </w:r>
      <w:r w:rsidR="00A22299">
        <w:rPr>
          <w:rFonts w:asciiTheme="minorHAnsi" w:hAnsiTheme="minorHAnsi"/>
          <w:color w:val="000000"/>
        </w:rPr>
        <w:t xml:space="preserve"> the existence of more beneficial schemes for senior staff but not for others may create perceptions of unfairness, weakening trust and morale. ACAS (2020) highlights that transparent and equitable reward systems help reduce conflict and improve engagement. </w:t>
      </w:r>
      <w:r>
        <w:rPr>
          <w:rFonts w:asciiTheme="minorHAnsi" w:hAnsiTheme="minorHAnsi"/>
          <w:color w:val="000000"/>
        </w:rPr>
        <w:t>When employees understand how pay and recognition is determined, the psychological contract is reinforced, supporting engagement and retention</w:t>
      </w:r>
      <w:r w:rsidR="0006732F">
        <w:rPr>
          <w:rFonts w:asciiTheme="minorHAnsi" w:hAnsiTheme="minorHAnsi"/>
          <w:color w:val="000000"/>
        </w:rPr>
        <w:t>.</w:t>
      </w:r>
    </w:p>
    <w:p w14:paraId="7D077D81" w14:textId="77777777" w:rsidR="0006732F" w:rsidRDefault="0006732F" w:rsidP="00962F9E">
      <w:pPr>
        <w:pStyle w:val="Nornal"/>
        <w:spacing w:after="0" w:line="240" w:lineRule="auto"/>
        <w:rPr>
          <w:rFonts w:asciiTheme="minorHAnsi" w:hAnsiTheme="minorHAnsi"/>
          <w:color w:val="000000"/>
        </w:rPr>
      </w:pPr>
    </w:p>
    <w:p w14:paraId="2DF50D0F" w14:textId="403D932A" w:rsidR="0006732F" w:rsidRDefault="0006732F" w:rsidP="00962F9E">
      <w:pPr>
        <w:pStyle w:val="Nornal"/>
        <w:spacing w:after="0" w:line="240" w:lineRule="auto"/>
        <w:rPr>
          <w:rFonts w:asciiTheme="minorHAnsi" w:hAnsiTheme="minorHAnsi"/>
          <w:color w:val="000000"/>
        </w:rPr>
      </w:pPr>
      <w:r>
        <w:rPr>
          <w:rFonts w:asciiTheme="minorHAnsi" w:hAnsiTheme="minorHAnsi"/>
          <w:color w:val="000000"/>
        </w:rPr>
        <w:t>Modern reward thinking is shaped by the total reward approach. Armstrong (2021) describes total reward as the combination of transactional rewards such as pay, bonuses and benefits with relational rewards such as career development, recognition</w:t>
      </w:r>
      <w:r w:rsidR="00041DF7">
        <w:rPr>
          <w:rFonts w:asciiTheme="minorHAnsi" w:hAnsiTheme="minorHAnsi"/>
          <w:color w:val="000000"/>
        </w:rPr>
        <w:t xml:space="preserve"> and</w:t>
      </w:r>
      <w:r>
        <w:rPr>
          <w:rFonts w:asciiTheme="minorHAnsi" w:hAnsiTheme="minorHAnsi"/>
          <w:color w:val="000000"/>
        </w:rPr>
        <w:t xml:space="preserve"> work environment</w:t>
      </w:r>
      <w:r w:rsidR="00041DF7">
        <w:rPr>
          <w:rFonts w:asciiTheme="minorHAnsi" w:hAnsiTheme="minorHAnsi"/>
          <w:color w:val="000000"/>
        </w:rPr>
        <w:t xml:space="preserve">. </w:t>
      </w:r>
      <w:r>
        <w:rPr>
          <w:rFonts w:asciiTheme="minorHAnsi" w:hAnsiTheme="minorHAnsi"/>
          <w:color w:val="000000"/>
        </w:rPr>
        <w:t xml:space="preserve">This approach acknowledges that employees are motivated by more than </w:t>
      </w:r>
      <w:r w:rsidR="00CF33E0">
        <w:rPr>
          <w:rFonts w:asciiTheme="minorHAnsi" w:hAnsiTheme="minorHAnsi"/>
          <w:color w:val="000000"/>
        </w:rPr>
        <w:t xml:space="preserve">just </w:t>
      </w:r>
      <w:r>
        <w:rPr>
          <w:rFonts w:asciiTheme="minorHAnsi" w:hAnsiTheme="minorHAnsi"/>
          <w:color w:val="000000"/>
        </w:rPr>
        <w:t>salary alone. For example, opportunities for learning, supportive leadership and meaningful work can be as influential as financial incentives</w:t>
      </w:r>
      <w:r w:rsidR="00957A64">
        <w:rPr>
          <w:rFonts w:asciiTheme="minorHAnsi" w:hAnsiTheme="minorHAnsi"/>
          <w:color w:val="000000"/>
        </w:rPr>
        <w:t xml:space="preserve"> (Taylor and Woodhams, 2022)</w:t>
      </w:r>
    </w:p>
    <w:p w14:paraId="5C65211D" w14:textId="77777777" w:rsidR="00CF33E0" w:rsidRDefault="00CF33E0" w:rsidP="00962F9E">
      <w:pPr>
        <w:pStyle w:val="Nornal"/>
        <w:spacing w:after="0" w:line="240" w:lineRule="auto"/>
        <w:rPr>
          <w:rFonts w:asciiTheme="minorHAnsi" w:hAnsiTheme="minorHAnsi"/>
          <w:color w:val="000000"/>
        </w:rPr>
      </w:pPr>
    </w:p>
    <w:p w14:paraId="5D9E1CD6" w14:textId="124108B3" w:rsidR="0006732F" w:rsidRDefault="0006732F" w:rsidP="00962F9E">
      <w:pPr>
        <w:pStyle w:val="Nornal"/>
        <w:spacing w:after="0" w:line="240" w:lineRule="auto"/>
        <w:rPr>
          <w:rFonts w:asciiTheme="minorHAnsi" w:hAnsiTheme="minorHAnsi"/>
          <w:color w:val="000000"/>
        </w:rPr>
      </w:pPr>
      <w:r>
        <w:rPr>
          <w:rFonts w:asciiTheme="minorHAnsi" w:hAnsiTheme="minorHAnsi"/>
          <w:color w:val="000000"/>
        </w:rPr>
        <w:t xml:space="preserve">Reward also connects closely with intrinsic and extrinsic motivation. Extrinsic rewards include pay, bonuses and benefits. These are tangible incentives that encourage specific behaviours. Intrinsic rewards arise from the work itself, such as </w:t>
      </w:r>
      <w:r w:rsidR="00071383">
        <w:rPr>
          <w:rFonts w:asciiTheme="minorHAnsi" w:hAnsiTheme="minorHAnsi"/>
          <w:color w:val="000000"/>
        </w:rPr>
        <w:t xml:space="preserve">autonomy, purpose and recognition. </w:t>
      </w:r>
    </w:p>
    <w:p w14:paraId="4B22D56F" w14:textId="79EB296B" w:rsidR="001A7934" w:rsidRDefault="00071383" w:rsidP="00962F9E">
      <w:pPr>
        <w:pStyle w:val="Nornal"/>
        <w:spacing w:after="0" w:line="240" w:lineRule="auto"/>
        <w:rPr>
          <w:rFonts w:asciiTheme="minorHAnsi" w:hAnsiTheme="minorHAnsi"/>
          <w:color w:val="000000"/>
        </w:rPr>
      </w:pPr>
      <w:r>
        <w:rPr>
          <w:rFonts w:asciiTheme="minorHAnsi" w:hAnsiTheme="minorHAnsi"/>
          <w:color w:val="000000"/>
        </w:rPr>
        <w:t>Herzberg’s motivation-hygiene theory supports distinction, suggesting that while pay prevents dissatisfaction, intrinsic factors drive long-term motivation and performance</w:t>
      </w:r>
      <w:r w:rsidR="00702428">
        <w:rPr>
          <w:rFonts w:asciiTheme="minorHAnsi" w:hAnsiTheme="minorHAnsi"/>
          <w:color w:val="000000"/>
        </w:rPr>
        <w:t xml:space="preserve">, a </w:t>
      </w:r>
      <w:r>
        <w:rPr>
          <w:rFonts w:asciiTheme="minorHAnsi" w:hAnsiTheme="minorHAnsi"/>
          <w:color w:val="000000"/>
        </w:rPr>
        <w:t xml:space="preserve">balanced reward strategy should therefore address </w:t>
      </w:r>
      <w:proofErr w:type="gramStart"/>
      <w:r>
        <w:rPr>
          <w:rFonts w:asciiTheme="minorHAnsi" w:hAnsiTheme="minorHAnsi"/>
          <w:color w:val="000000"/>
        </w:rPr>
        <w:t>both</w:t>
      </w:r>
      <w:r w:rsidR="00702428">
        <w:rPr>
          <w:rFonts w:asciiTheme="minorHAnsi" w:hAnsiTheme="minorHAnsi"/>
          <w:color w:val="000000"/>
        </w:rPr>
        <w:t>(</w:t>
      </w:r>
      <w:proofErr w:type="gramEnd"/>
      <w:r w:rsidR="00702428">
        <w:rPr>
          <w:rFonts w:asciiTheme="minorHAnsi" w:hAnsiTheme="minorHAnsi"/>
          <w:color w:val="000000"/>
        </w:rPr>
        <w:t>Herzberg, 1968).</w:t>
      </w:r>
    </w:p>
    <w:p w14:paraId="5B627034" w14:textId="77777777" w:rsidR="001A7934" w:rsidRDefault="001A7934" w:rsidP="00962F9E">
      <w:pPr>
        <w:pStyle w:val="Nornal"/>
        <w:spacing w:after="0" w:line="240" w:lineRule="auto"/>
        <w:rPr>
          <w:rFonts w:asciiTheme="minorHAnsi" w:hAnsiTheme="minorHAnsi"/>
          <w:color w:val="000000"/>
        </w:rPr>
      </w:pPr>
    </w:p>
    <w:p w14:paraId="5B87DF71" w14:textId="5483D50D" w:rsidR="004E2A57" w:rsidRDefault="004E2A57" w:rsidP="00962F9E">
      <w:pPr>
        <w:pStyle w:val="Nornal"/>
        <w:spacing w:after="0" w:line="240" w:lineRule="auto"/>
        <w:rPr>
          <w:rFonts w:asciiTheme="minorHAnsi" w:hAnsiTheme="minorHAnsi"/>
          <w:color w:val="000000"/>
        </w:rPr>
      </w:pPr>
      <w:r>
        <w:rPr>
          <w:rFonts w:asciiTheme="minorHAnsi" w:hAnsiTheme="minorHAnsi"/>
          <w:color w:val="000000"/>
        </w:rPr>
        <w:t xml:space="preserve">Reward plays a significant role in shaping organisational culture. What </w:t>
      </w:r>
      <w:r w:rsidR="00702428">
        <w:rPr>
          <w:rFonts w:asciiTheme="minorHAnsi" w:hAnsiTheme="minorHAnsi"/>
          <w:color w:val="000000"/>
        </w:rPr>
        <w:t>an</w:t>
      </w:r>
      <w:r>
        <w:rPr>
          <w:rFonts w:asciiTheme="minorHAnsi" w:hAnsiTheme="minorHAnsi"/>
          <w:color w:val="000000"/>
        </w:rPr>
        <w:t xml:space="preserve"> organisation chooses to reward highlights what it values. If recognition is rare or benefits favour only senior staff, a culture of inequality or low morale may develop. Conversely, inclusive reward practices promote a culture of appreciation, fairness and high performance (CIPD, 2022). The absence of incentives and perceived favouritism in pension arrangements may be contributing to a negative culture and increased turnover at</w:t>
      </w:r>
      <w:r w:rsidR="00AE10C4" w:rsidRPr="00AE10C4">
        <w:rPr>
          <w:rFonts w:asciiTheme="minorHAnsi" w:hAnsiTheme="minorHAnsi"/>
          <w:color w:val="000000"/>
        </w:rPr>
        <w:t xml:space="preserve"> </w:t>
      </w:r>
      <w:r w:rsidR="00AE10C4">
        <w:rPr>
          <w:rFonts w:asciiTheme="minorHAnsi" w:hAnsiTheme="minorHAnsi"/>
          <w:color w:val="000000"/>
        </w:rPr>
        <w:t>GreenFriendlyEco</w:t>
      </w:r>
      <w:r>
        <w:rPr>
          <w:rFonts w:asciiTheme="minorHAnsi" w:hAnsiTheme="minorHAnsi"/>
          <w:color w:val="000000"/>
        </w:rPr>
        <w:t xml:space="preserve">. </w:t>
      </w:r>
    </w:p>
    <w:p w14:paraId="7592564E" w14:textId="77777777" w:rsidR="004E2A57" w:rsidRDefault="004E2A57" w:rsidP="00962F9E">
      <w:pPr>
        <w:pStyle w:val="Nornal"/>
        <w:spacing w:after="0" w:line="240" w:lineRule="auto"/>
        <w:rPr>
          <w:rFonts w:asciiTheme="minorHAnsi" w:hAnsiTheme="minorHAnsi"/>
          <w:color w:val="000000"/>
        </w:rPr>
      </w:pPr>
    </w:p>
    <w:p w14:paraId="1DD415F4" w14:textId="2F6BEC44" w:rsidR="004E2A57" w:rsidRDefault="00A8768E" w:rsidP="00962F9E">
      <w:pPr>
        <w:pStyle w:val="Nornal"/>
        <w:spacing w:after="0" w:line="240" w:lineRule="auto"/>
        <w:rPr>
          <w:rFonts w:asciiTheme="minorHAnsi" w:hAnsiTheme="minorHAnsi"/>
          <w:color w:val="000000"/>
        </w:rPr>
      </w:pPr>
      <w:r>
        <w:rPr>
          <w:rFonts w:asciiTheme="minorHAnsi" w:hAnsiTheme="minorHAnsi"/>
          <w:color w:val="000000"/>
        </w:rPr>
        <w:t>Reward is also central to performance management</w:t>
      </w:r>
      <w:r w:rsidR="00E915FF">
        <w:rPr>
          <w:rFonts w:asciiTheme="minorHAnsi" w:hAnsiTheme="minorHAnsi"/>
          <w:color w:val="000000"/>
        </w:rPr>
        <w:t>,</w:t>
      </w:r>
      <w:r>
        <w:rPr>
          <w:rFonts w:asciiTheme="minorHAnsi" w:hAnsiTheme="minorHAnsi"/>
          <w:color w:val="000000"/>
        </w:rPr>
        <w:t xml:space="preserve"> </w:t>
      </w:r>
      <w:r w:rsidR="00E915FF">
        <w:rPr>
          <w:rFonts w:asciiTheme="minorHAnsi" w:hAnsiTheme="minorHAnsi"/>
          <w:color w:val="000000"/>
        </w:rPr>
        <w:t>c</w:t>
      </w:r>
      <w:r>
        <w:rPr>
          <w:rFonts w:asciiTheme="minorHAnsi" w:hAnsiTheme="minorHAnsi"/>
          <w:color w:val="000000"/>
        </w:rPr>
        <w:t xml:space="preserve">lear links between performance expectations and reward outcomes </w:t>
      </w:r>
      <w:r w:rsidR="00706F09">
        <w:rPr>
          <w:rFonts w:asciiTheme="minorHAnsi" w:hAnsiTheme="minorHAnsi"/>
          <w:color w:val="000000"/>
        </w:rPr>
        <w:t>can</w:t>
      </w:r>
      <w:r>
        <w:rPr>
          <w:rFonts w:asciiTheme="minorHAnsi" w:hAnsiTheme="minorHAnsi"/>
          <w:color w:val="000000"/>
        </w:rPr>
        <w:t xml:space="preserve"> help reinforce desired behaviours. CIPD </w:t>
      </w:r>
      <w:r w:rsidR="00535DC9">
        <w:rPr>
          <w:rFonts w:asciiTheme="minorHAnsi" w:hAnsiTheme="minorHAnsi"/>
          <w:color w:val="000000"/>
        </w:rPr>
        <w:t>research highlights that well-designed reward systems support goal achievement</w:t>
      </w:r>
      <w:r w:rsidR="00706F09">
        <w:rPr>
          <w:rFonts w:asciiTheme="minorHAnsi" w:hAnsiTheme="minorHAnsi"/>
          <w:color w:val="000000"/>
        </w:rPr>
        <w:t xml:space="preserve">, </w:t>
      </w:r>
      <w:r w:rsidR="00535DC9">
        <w:rPr>
          <w:rFonts w:asciiTheme="minorHAnsi" w:hAnsiTheme="minorHAnsi"/>
          <w:color w:val="000000"/>
        </w:rPr>
        <w:t xml:space="preserve">continuous improvement and </w:t>
      </w:r>
      <w:r w:rsidR="00706F09">
        <w:rPr>
          <w:rFonts w:asciiTheme="minorHAnsi" w:hAnsiTheme="minorHAnsi"/>
          <w:color w:val="000000"/>
        </w:rPr>
        <w:t xml:space="preserve">support </w:t>
      </w:r>
      <w:r w:rsidR="00535DC9">
        <w:rPr>
          <w:rFonts w:asciiTheme="minorHAnsi" w:hAnsiTheme="minorHAnsi"/>
          <w:color w:val="000000"/>
        </w:rPr>
        <w:t xml:space="preserve">constructive performance conversations (CIPD, 2023). When employees see a connection between effort, contribution and reward, engagement and productivity increases. </w:t>
      </w:r>
    </w:p>
    <w:p w14:paraId="67A1C155" w14:textId="77777777" w:rsidR="00535DC9" w:rsidRDefault="00535DC9" w:rsidP="00962F9E">
      <w:pPr>
        <w:pStyle w:val="Nornal"/>
        <w:spacing w:after="0" w:line="240" w:lineRule="auto"/>
        <w:rPr>
          <w:rFonts w:asciiTheme="minorHAnsi" w:hAnsiTheme="minorHAnsi"/>
          <w:color w:val="000000"/>
        </w:rPr>
      </w:pPr>
    </w:p>
    <w:p w14:paraId="0871D444" w14:textId="2DDA0960" w:rsidR="00535DC9" w:rsidRDefault="00535DC9" w:rsidP="00962F9E">
      <w:pPr>
        <w:pStyle w:val="Nornal"/>
        <w:spacing w:after="0" w:line="240" w:lineRule="auto"/>
        <w:rPr>
          <w:rFonts w:asciiTheme="minorHAnsi" w:hAnsiTheme="minorHAnsi"/>
          <w:color w:val="000000"/>
        </w:rPr>
      </w:pPr>
      <w:r>
        <w:rPr>
          <w:rFonts w:asciiTheme="minorHAnsi" w:hAnsiTheme="minorHAnsi"/>
          <w:color w:val="000000"/>
        </w:rPr>
        <w:t xml:space="preserve">Reward is a strategic tool that influences motivation, culture and performance. A fair, transparent, and total </w:t>
      </w:r>
      <w:proofErr w:type="gramStart"/>
      <w:r>
        <w:rPr>
          <w:rFonts w:asciiTheme="minorHAnsi" w:hAnsiTheme="minorHAnsi"/>
          <w:color w:val="000000"/>
        </w:rPr>
        <w:t>reward based</w:t>
      </w:r>
      <w:proofErr w:type="gramEnd"/>
      <w:r>
        <w:rPr>
          <w:rFonts w:asciiTheme="minorHAnsi" w:hAnsiTheme="minorHAnsi"/>
          <w:color w:val="000000"/>
        </w:rPr>
        <w:t xml:space="preserve"> approach is essential for improving organisational outcomes and employee experience. </w:t>
      </w:r>
    </w:p>
    <w:p w14:paraId="0397C675" w14:textId="77777777" w:rsidR="001A7934" w:rsidRDefault="001A7934" w:rsidP="00962F9E">
      <w:pPr>
        <w:pStyle w:val="Nornal"/>
        <w:spacing w:after="0" w:line="240" w:lineRule="auto"/>
        <w:rPr>
          <w:rFonts w:asciiTheme="minorHAnsi" w:hAnsiTheme="minorHAnsi"/>
          <w:color w:val="000000"/>
        </w:rPr>
      </w:pPr>
    </w:p>
    <w:p w14:paraId="7CB1C6F8" w14:textId="77777777" w:rsidR="008C49E0" w:rsidRDefault="008C49E0" w:rsidP="008C49E0">
      <w:pPr>
        <w:pStyle w:val="Nornal"/>
        <w:spacing w:after="0" w:line="240" w:lineRule="auto"/>
        <w:rPr>
          <w:rFonts w:ascii="Trebuchet MS" w:hAnsi="Trebuchet MS"/>
          <w:color w:val="000000" w:themeColor="text1"/>
        </w:rPr>
      </w:pPr>
    </w:p>
    <w:p w14:paraId="08D895A2" w14:textId="77777777" w:rsidR="00962F9E" w:rsidRPr="00962F9E" w:rsidRDefault="00962F9E" w:rsidP="00962F9E">
      <w:pPr>
        <w:pStyle w:val="Nornal"/>
        <w:spacing w:after="0" w:line="240" w:lineRule="auto"/>
        <w:rPr>
          <w:rFonts w:ascii="Trebuchet MS" w:hAnsi="Trebuchet MS"/>
          <w:color w:val="000000"/>
        </w:rPr>
      </w:pPr>
    </w:p>
    <w:p w14:paraId="4CDC8B59" w14:textId="77777777" w:rsidR="00962F9E" w:rsidRDefault="00962F9E" w:rsidP="00962F9E">
      <w:pPr>
        <w:pStyle w:val="Listparag"/>
        <w:spacing w:after="0" w:line="240" w:lineRule="auto"/>
        <w:ind w:left="720"/>
        <w:rPr>
          <w:rFonts w:ascii="Trebuchet MS" w:hAnsi="Trebuchet MS"/>
          <w:color w:val="FF0000"/>
        </w:rPr>
      </w:pPr>
    </w:p>
    <w:p w14:paraId="72EF5FDF" w14:textId="77777777" w:rsidR="00057605" w:rsidRDefault="00057605" w:rsidP="00962F9E">
      <w:pPr>
        <w:pStyle w:val="Listparag"/>
        <w:spacing w:after="0" w:line="240" w:lineRule="auto"/>
        <w:ind w:left="720"/>
        <w:rPr>
          <w:rFonts w:ascii="Trebuchet MS" w:hAnsi="Trebuchet MS"/>
          <w:color w:val="FF0000"/>
        </w:rPr>
      </w:pPr>
    </w:p>
    <w:p w14:paraId="33031288" w14:textId="77777777" w:rsidR="00057605" w:rsidRPr="00E446B9" w:rsidRDefault="00057605" w:rsidP="00962F9E">
      <w:pPr>
        <w:pStyle w:val="Listparag"/>
        <w:spacing w:after="0" w:line="240" w:lineRule="auto"/>
        <w:ind w:left="720"/>
        <w:rPr>
          <w:rFonts w:ascii="Trebuchet MS" w:hAnsi="Trebuchet MS"/>
          <w:color w:val="FF0000"/>
        </w:rPr>
      </w:pPr>
    </w:p>
    <w:p w14:paraId="43DAB6AA" w14:textId="0B7AC05C" w:rsidR="00962F9E" w:rsidRPr="00962F9E" w:rsidRDefault="00962F9E" w:rsidP="00057605">
      <w:pPr>
        <w:pStyle w:val="Nornal"/>
        <w:spacing w:after="0" w:line="240" w:lineRule="auto"/>
        <w:rPr>
          <w:rFonts w:ascii="Trebuchet MS" w:hAnsi="Trebuchet MS"/>
          <w:color w:val="000000"/>
        </w:rPr>
      </w:pPr>
      <w:r w:rsidRPr="00E446B9">
        <w:rPr>
          <w:rFonts w:ascii="Trebuchet MS" w:hAnsi="Trebuchet MS"/>
          <w:color w:val="000000"/>
        </w:rPr>
        <w:lastRenderedPageBreak/>
        <w:t xml:space="preserve"> </w:t>
      </w:r>
      <w:r w:rsidRPr="00E446B9">
        <w:rPr>
          <w:rFonts w:ascii="Trebuchet MS" w:hAnsi="Trebuchet MS"/>
          <w:color w:val="000000" w:themeColor="text1"/>
        </w:rPr>
        <w:t>(AC 1.2)</w:t>
      </w:r>
    </w:p>
    <w:p w14:paraId="60A201C1" w14:textId="77777777" w:rsidR="00535DC9" w:rsidRDefault="00535DC9" w:rsidP="008C49E0">
      <w:pPr>
        <w:pStyle w:val="Nornal"/>
        <w:spacing w:after="0" w:line="240" w:lineRule="auto"/>
        <w:rPr>
          <w:rFonts w:ascii="Trebuchet MS" w:hAnsi="Trebuchet MS"/>
          <w:color w:val="000000" w:themeColor="text1"/>
        </w:rPr>
      </w:pPr>
    </w:p>
    <w:p w14:paraId="12CEAFEB" w14:textId="45F0D043" w:rsidR="00535DC9" w:rsidRDefault="00647FE3" w:rsidP="008C49E0">
      <w:pPr>
        <w:pStyle w:val="Nornal"/>
        <w:spacing w:after="0" w:line="240" w:lineRule="auto"/>
        <w:rPr>
          <w:rFonts w:asciiTheme="minorHAnsi" w:hAnsiTheme="minorHAnsi"/>
          <w:color w:val="000000" w:themeColor="text1"/>
        </w:rPr>
      </w:pPr>
      <w:r>
        <w:rPr>
          <w:rFonts w:asciiTheme="minorHAnsi" w:hAnsiTheme="minorHAnsi"/>
          <w:color w:val="000000" w:themeColor="text1"/>
        </w:rPr>
        <w:t xml:space="preserve">Extrinsic and intrinsic rewards both play an essential role in influencing employee contribution and </w:t>
      </w:r>
      <w:r w:rsidR="00672FA4">
        <w:rPr>
          <w:rFonts w:asciiTheme="minorHAnsi" w:hAnsiTheme="minorHAnsi"/>
          <w:color w:val="000000" w:themeColor="text1"/>
        </w:rPr>
        <w:t>long-term</w:t>
      </w:r>
      <w:r>
        <w:rPr>
          <w:rFonts w:asciiTheme="minorHAnsi" w:hAnsiTheme="minorHAnsi"/>
          <w:color w:val="000000" w:themeColor="text1"/>
        </w:rPr>
        <w:t xml:space="preserve"> organisational performance. A balanced approach is necessary because each type of reward motivates employees in different but complementary ways (Armstrong, 2021).</w:t>
      </w:r>
    </w:p>
    <w:p w14:paraId="5389A898" w14:textId="77777777" w:rsidR="00647FE3" w:rsidRDefault="00647FE3" w:rsidP="008C49E0">
      <w:pPr>
        <w:pStyle w:val="Nornal"/>
        <w:spacing w:after="0" w:line="240" w:lineRule="auto"/>
        <w:rPr>
          <w:rFonts w:asciiTheme="minorHAnsi" w:hAnsiTheme="minorHAnsi"/>
          <w:color w:val="000000" w:themeColor="text1"/>
        </w:rPr>
      </w:pPr>
    </w:p>
    <w:p w14:paraId="53CC560C" w14:textId="2D4056E5" w:rsidR="00647FE3" w:rsidRDefault="00647FE3" w:rsidP="008C49E0">
      <w:pPr>
        <w:pStyle w:val="Nornal"/>
        <w:spacing w:after="0" w:line="240" w:lineRule="auto"/>
        <w:rPr>
          <w:rFonts w:asciiTheme="minorHAnsi" w:hAnsiTheme="minorHAnsi"/>
          <w:color w:val="000000" w:themeColor="text1"/>
        </w:rPr>
      </w:pPr>
      <w:r>
        <w:rPr>
          <w:rFonts w:asciiTheme="minorHAnsi" w:hAnsiTheme="minorHAnsi"/>
          <w:color w:val="000000" w:themeColor="text1"/>
        </w:rPr>
        <w:t>Extrinsic rewards are tangible and financial, such as pay, benefits, bonuses and incentive schemes. Extrinsic rewards are fundamental for attracting and retaining employees, particularly in competitive labour markets. For</w:t>
      </w:r>
      <w:r w:rsidR="00F26168">
        <w:rPr>
          <w:rFonts w:asciiTheme="minorHAnsi" w:hAnsiTheme="minorHAnsi"/>
          <w:color w:val="000000" w:themeColor="text1"/>
        </w:rPr>
        <w:t xml:space="preserve"> </w:t>
      </w:r>
      <w:r w:rsidR="00F26168">
        <w:rPr>
          <w:rFonts w:asciiTheme="minorHAnsi" w:hAnsiTheme="minorHAnsi"/>
          <w:color w:val="000000"/>
        </w:rPr>
        <w:t>GreenFriendlyEco</w:t>
      </w:r>
      <w:r>
        <w:rPr>
          <w:rFonts w:asciiTheme="minorHAnsi" w:hAnsiTheme="minorHAnsi"/>
          <w:color w:val="000000" w:themeColor="text1"/>
        </w:rPr>
        <w:t xml:space="preserve">, where turnover is increasing, strengthening extrinsic rewards could directly improve retention and workforce stability. </w:t>
      </w:r>
    </w:p>
    <w:p w14:paraId="57D0D1E9" w14:textId="77777777" w:rsidR="00054890" w:rsidRDefault="00054890" w:rsidP="008C49E0">
      <w:pPr>
        <w:pStyle w:val="Nornal"/>
        <w:spacing w:after="0" w:line="240" w:lineRule="auto"/>
        <w:rPr>
          <w:rFonts w:asciiTheme="minorHAnsi" w:hAnsiTheme="minorHAnsi"/>
          <w:color w:val="000000" w:themeColor="text1"/>
        </w:rPr>
      </w:pPr>
    </w:p>
    <w:p w14:paraId="225F0ADB" w14:textId="7E278C8E" w:rsidR="00054890" w:rsidRDefault="00054890" w:rsidP="008C49E0">
      <w:pPr>
        <w:pStyle w:val="Nornal"/>
        <w:spacing w:after="0" w:line="240" w:lineRule="auto"/>
        <w:rPr>
          <w:rFonts w:asciiTheme="minorHAnsi" w:hAnsiTheme="minorHAnsi"/>
          <w:color w:val="000000" w:themeColor="text1"/>
        </w:rPr>
      </w:pPr>
      <w:r>
        <w:rPr>
          <w:rFonts w:asciiTheme="minorHAnsi" w:hAnsiTheme="minorHAnsi"/>
          <w:color w:val="000000" w:themeColor="text1"/>
        </w:rPr>
        <w:t>Extrinsic rewards contribute to performance by:</w:t>
      </w:r>
    </w:p>
    <w:p w14:paraId="3D41D435" w14:textId="77777777" w:rsidR="00054890" w:rsidRDefault="00054890" w:rsidP="008C49E0">
      <w:pPr>
        <w:pStyle w:val="Nornal"/>
        <w:spacing w:after="0" w:line="240" w:lineRule="auto"/>
        <w:rPr>
          <w:rFonts w:asciiTheme="minorHAnsi" w:hAnsiTheme="minorHAnsi"/>
          <w:color w:val="000000" w:themeColor="text1"/>
        </w:rPr>
      </w:pPr>
    </w:p>
    <w:p w14:paraId="641952BA" w14:textId="769AA060" w:rsidR="00054890" w:rsidRDefault="00054890" w:rsidP="00054890">
      <w:pPr>
        <w:pStyle w:val="Nornal"/>
        <w:numPr>
          <w:ilvl w:val="0"/>
          <w:numId w:val="2"/>
        </w:numPr>
        <w:spacing w:after="0" w:line="240" w:lineRule="auto"/>
        <w:rPr>
          <w:rFonts w:asciiTheme="minorHAnsi" w:hAnsiTheme="minorHAnsi"/>
          <w:color w:val="000000" w:themeColor="text1"/>
        </w:rPr>
      </w:pPr>
      <w:r>
        <w:rPr>
          <w:rFonts w:asciiTheme="minorHAnsi" w:hAnsiTheme="minorHAnsi"/>
          <w:color w:val="000000" w:themeColor="text1"/>
        </w:rPr>
        <w:t>Reinforcing desired behaviours – Incentives and performance related pay can motivate employees to meet or exceed targets, improving productivity and output (Torrington et al, 2020).</w:t>
      </w:r>
    </w:p>
    <w:p w14:paraId="764F7875" w14:textId="38C21E98" w:rsidR="000F3D9F" w:rsidRDefault="000F3D9F" w:rsidP="00054890">
      <w:pPr>
        <w:pStyle w:val="Nornal"/>
        <w:numPr>
          <w:ilvl w:val="0"/>
          <w:numId w:val="2"/>
        </w:numPr>
        <w:spacing w:after="0" w:line="240" w:lineRule="auto"/>
        <w:rPr>
          <w:rFonts w:asciiTheme="minorHAnsi" w:hAnsiTheme="minorHAnsi"/>
          <w:color w:val="000000" w:themeColor="text1"/>
        </w:rPr>
      </w:pPr>
      <w:r>
        <w:rPr>
          <w:rFonts w:asciiTheme="minorHAnsi" w:hAnsiTheme="minorHAnsi"/>
          <w:color w:val="000000" w:themeColor="text1"/>
        </w:rPr>
        <w:t xml:space="preserve">Reducing satisfaction – Herzberg’s motivation-hygiene theory argues that pay and benefits do not create long term motivation but prevent dissatisfaction when managed well (Herzberg, 1968). </w:t>
      </w:r>
      <w:r w:rsidR="00AA7658">
        <w:rPr>
          <w:rFonts w:asciiTheme="minorHAnsi" w:hAnsiTheme="minorHAnsi"/>
          <w:color w:val="000000"/>
        </w:rPr>
        <w:t>GreenFriendlyEco</w:t>
      </w:r>
      <w:r w:rsidR="00AA7658">
        <w:rPr>
          <w:rFonts w:asciiTheme="minorHAnsi" w:hAnsiTheme="minorHAnsi"/>
          <w:color w:val="000000" w:themeColor="text1"/>
        </w:rPr>
        <w:t xml:space="preserve">’s </w:t>
      </w:r>
      <w:r>
        <w:rPr>
          <w:rFonts w:asciiTheme="minorHAnsi" w:hAnsiTheme="minorHAnsi"/>
          <w:color w:val="000000" w:themeColor="text1"/>
        </w:rPr>
        <w:t xml:space="preserve">lack of incentives and perceived inequity in pension schemes may therefore be contributing to disengagement. </w:t>
      </w:r>
    </w:p>
    <w:p w14:paraId="0A410CA6" w14:textId="6A6DE170" w:rsidR="000F3D9F" w:rsidRDefault="000F3D9F" w:rsidP="00054890">
      <w:pPr>
        <w:pStyle w:val="Nornal"/>
        <w:numPr>
          <w:ilvl w:val="0"/>
          <w:numId w:val="2"/>
        </w:numPr>
        <w:spacing w:after="0" w:line="240" w:lineRule="auto"/>
        <w:rPr>
          <w:rFonts w:asciiTheme="minorHAnsi" w:hAnsiTheme="minorHAnsi"/>
          <w:color w:val="000000" w:themeColor="text1"/>
        </w:rPr>
      </w:pPr>
      <w:r>
        <w:rPr>
          <w:rFonts w:asciiTheme="minorHAnsi" w:hAnsiTheme="minorHAnsi"/>
          <w:color w:val="000000" w:themeColor="text1"/>
        </w:rPr>
        <w:t>Supporting fairness and equity – Transparent pay structures help employees feel valued and fairly treated, strengthening commitment and reducing turnover (ACAS,2022).</w:t>
      </w:r>
    </w:p>
    <w:p w14:paraId="6A7302C8" w14:textId="4B1838CA" w:rsidR="000F3D9F" w:rsidRDefault="000F3D9F" w:rsidP="000F3D9F">
      <w:pPr>
        <w:pStyle w:val="Nornal"/>
        <w:spacing w:after="0" w:line="240" w:lineRule="auto"/>
        <w:rPr>
          <w:rFonts w:asciiTheme="minorHAnsi" w:hAnsiTheme="minorHAnsi"/>
          <w:color w:val="000000" w:themeColor="text1"/>
        </w:rPr>
      </w:pPr>
    </w:p>
    <w:p w14:paraId="01A40124" w14:textId="6C322D24" w:rsidR="000F3D9F" w:rsidRPr="00647FE3" w:rsidRDefault="000F3D9F" w:rsidP="000F3D9F">
      <w:pPr>
        <w:pStyle w:val="Nornal"/>
        <w:spacing w:after="0" w:line="240" w:lineRule="auto"/>
        <w:rPr>
          <w:rFonts w:asciiTheme="minorHAnsi" w:hAnsiTheme="minorHAnsi"/>
          <w:color w:val="000000" w:themeColor="text1"/>
        </w:rPr>
      </w:pPr>
      <w:r>
        <w:rPr>
          <w:rFonts w:asciiTheme="minorHAnsi" w:hAnsiTheme="minorHAnsi"/>
          <w:color w:val="000000" w:themeColor="text1"/>
        </w:rPr>
        <w:t xml:space="preserve">However, extrinsic rewards alone rarely sustain high performance. Over reliance on financial incentives can lead to </w:t>
      </w:r>
      <w:r w:rsidR="00762CE5">
        <w:rPr>
          <w:rFonts w:asciiTheme="minorHAnsi" w:hAnsiTheme="minorHAnsi"/>
          <w:color w:val="000000" w:themeColor="text1"/>
        </w:rPr>
        <w:t>short-term</w:t>
      </w:r>
      <w:r>
        <w:rPr>
          <w:rFonts w:asciiTheme="minorHAnsi" w:hAnsiTheme="minorHAnsi"/>
          <w:color w:val="000000" w:themeColor="text1"/>
        </w:rPr>
        <w:t xml:space="preserve"> thinking and weaken intrinsic motivation (Keeler and </w:t>
      </w:r>
      <w:proofErr w:type="gramStart"/>
      <w:r>
        <w:rPr>
          <w:rFonts w:asciiTheme="minorHAnsi" w:hAnsiTheme="minorHAnsi"/>
          <w:color w:val="000000" w:themeColor="text1"/>
        </w:rPr>
        <w:t>Purcell,  2020</w:t>
      </w:r>
      <w:proofErr w:type="gramEnd"/>
      <w:r>
        <w:rPr>
          <w:rFonts w:asciiTheme="minorHAnsi" w:hAnsiTheme="minorHAnsi"/>
          <w:color w:val="000000" w:themeColor="text1"/>
        </w:rPr>
        <w:t>).</w:t>
      </w:r>
    </w:p>
    <w:p w14:paraId="09490DA7" w14:textId="77777777" w:rsidR="00535DC9" w:rsidRDefault="00535DC9" w:rsidP="008C49E0">
      <w:pPr>
        <w:pStyle w:val="Nornal"/>
        <w:spacing w:after="0" w:line="240" w:lineRule="auto"/>
        <w:rPr>
          <w:rFonts w:ascii="Trebuchet MS" w:hAnsi="Trebuchet MS"/>
          <w:color w:val="000000" w:themeColor="text1"/>
        </w:rPr>
      </w:pPr>
    </w:p>
    <w:p w14:paraId="13D9F024" w14:textId="2ADC926D" w:rsidR="00963305" w:rsidRDefault="000F3D9F" w:rsidP="008C49E0">
      <w:pPr>
        <w:pStyle w:val="Nornal"/>
        <w:spacing w:after="0" w:line="240" w:lineRule="auto"/>
        <w:rPr>
          <w:rFonts w:asciiTheme="minorHAnsi" w:hAnsiTheme="minorHAnsi"/>
          <w:color w:val="000000" w:themeColor="text1"/>
        </w:rPr>
      </w:pPr>
      <w:r>
        <w:rPr>
          <w:rFonts w:asciiTheme="minorHAnsi" w:hAnsiTheme="minorHAnsi"/>
          <w:color w:val="000000" w:themeColor="text1"/>
        </w:rPr>
        <w:t xml:space="preserve">Intrinsic rewards </w:t>
      </w:r>
      <w:r w:rsidR="00963305">
        <w:rPr>
          <w:rFonts w:asciiTheme="minorHAnsi" w:hAnsiTheme="minorHAnsi"/>
          <w:color w:val="000000" w:themeColor="text1"/>
        </w:rPr>
        <w:t xml:space="preserve">are generated by the inherent characteristics of the task itself, such as autonomy, purpose, recognition and meaningful work. CIPD (2022) highlights intrinsic rewards are powerful drivers of </w:t>
      </w:r>
      <w:r w:rsidR="002B481D">
        <w:rPr>
          <w:rFonts w:asciiTheme="minorHAnsi" w:hAnsiTheme="minorHAnsi"/>
          <w:color w:val="000000" w:themeColor="text1"/>
        </w:rPr>
        <w:t>long-term</w:t>
      </w:r>
      <w:r w:rsidR="00963305">
        <w:rPr>
          <w:rFonts w:asciiTheme="minorHAnsi" w:hAnsiTheme="minorHAnsi"/>
          <w:color w:val="000000" w:themeColor="text1"/>
        </w:rPr>
        <w:t xml:space="preserve"> engagement and discretionary effort.</w:t>
      </w:r>
    </w:p>
    <w:p w14:paraId="2AFD0126" w14:textId="77777777" w:rsidR="00963305" w:rsidRDefault="00963305" w:rsidP="008C49E0">
      <w:pPr>
        <w:pStyle w:val="Nornal"/>
        <w:spacing w:after="0" w:line="240" w:lineRule="auto"/>
        <w:rPr>
          <w:rFonts w:asciiTheme="minorHAnsi" w:hAnsiTheme="minorHAnsi"/>
          <w:color w:val="000000" w:themeColor="text1"/>
        </w:rPr>
      </w:pPr>
    </w:p>
    <w:p w14:paraId="606A682F" w14:textId="77777777" w:rsidR="00963305" w:rsidRDefault="00963305" w:rsidP="008C49E0">
      <w:pPr>
        <w:pStyle w:val="Nornal"/>
        <w:spacing w:after="0" w:line="240" w:lineRule="auto"/>
        <w:rPr>
          <w:rFonts w:asciiTheme="minorHAnsi" w:hAnsiTheme="minorHAnsi"/>
          <w:color w:val="000000" w:themeColor="text1"/>
        </w:rPr>
      </w:pPr>
      <w:r>
        <w:rPr>
          <w:rFonts w:asciiTheme="minorHAnsi" w:hAnsiTheme="minorHAnsi"/>
          <w:color w:val="000000" w:themeColor="text1"/>
        </w:rPr>
        <w:t xml:space="preserve">Intrinsic rewards contribute to sustained performance </w:t>
      </w:r>
      <w:proofErr w:type="gramStart"/>
      <w:r>
        <w:rPr>
          <w:rFonts w:asciiTheme="minorHAnsi" w:hAnsiTheme="minorHAnsi"/>
          <w:color w:val="000000" w:themeColor="text1"/>
        </w:rPr>
        <w:t>by;</w:t>
      </w:r>
      <w:proofErr w:type="gramEnd"/>
    </w:p>
    <w:p w14:paraId="41B1C65E" w14:textId="77777777" w:rsidR="00963305" w:rsidRDefault="00963305" w:rsidP="008C49E0">
      <w:pPr>
        <w:pStyle w:val="Nornal"/>
        <w:spacing w:after="0" w:line="240" w:lineRule="auto"/>
        <w:rPr>
          <w:rFonts w:asciiTheme="minorHAnsi" w:hAnsiTheme="minorHAnsi"/>
          <w:color w:val="000000" w:themeColor="text1"/>
        </w:rPr>
      </w:pPr>
    </w:p>
    <w:p w14:paraId="5B701094" w14:textId="5D1CB734" w:rsidR="000F3D9F" w:rsidRDefault="00963305" w:rsidP="00963305">
      <w:pPr>
        <w:pStyle w:val="Nornal"/>
        <w:numPr>
          <w:ilvl w:val="0"/>
          <w:numId w:val="3"/>
        </w:numPr>
        <w:spacing w:after="0" w:line="240" w:lineRule="auto"/>
        <w:rPr>
          <w:rFonts w:asciiTheme="minorHAnsi" w:hAnsiTheme="minorHAnsi"/>
          <w:color w:val="000000" w:themeColor="text1"/>
        </w:rPr>
      </w:pPr>
      <w:r>
        <w:rPr>
          <w:rFonts w:asciiTheme="minorHAnsi" w:hAnsiTheme="minorHAnsi"/>
          <w:color w:val="000000" w:themeColor="text1"/>
        </w:rPr>
        <w:t>Enhancing engagement and commitment – When employees feel recognised, trusted and supported, they are more likely to contribute beyond minimum expectations (Armstrong, 2021).</w:t>
      </w:r>
    </w:p>
    <w:p w14:paraId="5B228988" w14:textId="29CBA9A9" w:rsidR="00963305" w:rsidRDefault="00963305" w:rsidP="00963305">
      <w:pPr>
        <w:pStyle w:val="Nornal"/>
        <w:numPr>
          <w:ilvl w:val="0"/>
          <w:numId w:val="3"/>
        </w:numPr>
        <w:spacing w:after="0" w:line="240" w:lineRule="auto"/>
        <w:rPr>
          <w:rFonts w:asciiTheme="minorHAnsi" w:hAnsiTheme="minorHAnsi"/>
          <w:color w:val="000000" w:themeColor="text1"/>
        </w:rPr>
      </w:pPr>
      <w:r>
        <w:rPr>
          <w:rFonts w:asciiTheme="minorHAnsi" w:hAnsiTheme="minorHAnsi"/>
          <w:color w:val="000000" w:themeColor="text1"/>
        </w:rPr>
        <w:t xml:space="preserve">Strengthening organisational culture – Recognition, development opportunities and supportive leadership foster a positive culture, which is currently lacking at </w:t>
      </w:r>
      <w:r w:rsidR="001573B3">
        <w:rPr>
          <w:rFonts w:asciiTheme="minorHAnsi" w:hAnsiTheme="minorHAnsi"/>
          <w:color w:val="000000"/>
        </w:rPr>
        <w:t>GreenFriendlyEco</w:t>
      </w:r>
      <w:r>
        <w:rPr>
          <w:rFonts w:asciiTheme="minorHAnsi" w:hAnsiTheme="minorHAnsi"/>
          <w:color w:val="000000" w:themeColor="text1"/>
        </w:rPr>
        <w:t>. A culture built on appreciation and growth encourages collaboration and loyalty (CIPD,2025).</w:t>
      </w:r>
    </w:p>
    <w:p w14:paraId="613AFBDB" w14:textId="56F6C157" w:rsidR="00963305" w:rsidRDefault="00963305" w:rsidP="00963305">
      <w:pPr>
        <w:pStyle w:val="Nornal"/>
        <w:numPr>
          <w:ilvl w:val="0"/>
          <w:numId w:val="3"/>
        </w:numPr>
        <w:spacing w:after="0" w:line="240" w:lineRule="auto"/>
        <w:rPr>
          <w:rFonts w:asciiTheme="minorHAnsi" w:hAnsiTheme="minorHAnsi"/>
          <w:color w:val="000000" w:themeColor="text1"/>
        </w:rPr>
      </w:pPr>
      <w:r>
        <w:rPr>
          <w:rFonts w:asciiTheme="minorHAnsi" w:hAnsiTheme="minorHAnsi"/>
          <w:color w:val="000000" w:themeColor="text1"/>
        </w:rPr>
        <w:t>Supporting continuous improvement – Opportunities for learning and skill development</w:t>
      </w:r>
      <w:r w:rsidR="0072084E">
        <w:rPr>
          <w:rFonts w:asciiTheme="minorHAnsi" w:hAnsiTheme="minorHAnsi"/>
          <w:color w:val="000000" w:themeColor="text1"/>
        </w:rPr>
        <w:t>,</w:t>
      </w:r>
      <w:r>
        <w:rPr>
          <w:rFonts w:asciiTheme="minorHAnsi" w:hAnsiTheme="minorHAnsi"/>
          <w:color w:val="000000" w:themeColor="text1"/>
        </w:rPr>
        <w:t xml:space="preserve"> increase capability and adaptability which is essential for long term organisation performance (Torrington et al, 2020).</w:t>
      </w:r>
    </w:p>
    <w:p w14:paraId="1C865EE2" w14:textId="77777777" w:rsidR="00963305" w:rsidRDefault="00963305" w:rsidP="00963305">
      <w:pPr>
        <w:pStyle w:val="Nornal"/>
        <w:spacing w:after="0" w:line="240" w:lineRule="auto"/>
        <w:rPr>
          <w:rFonts w:asciiTheme="minorHAnsi" w:hAnsiTheme="minorHAnsi"/>
          <w:color w:val="000000" w:themeColor="text1"/>
        </w:rPr>
      </w:pPr>
    </w:p>
    <w:p w14:paraId="0D47DB71" w14:textId="45D44751" w:rsidR="00086952" w:rsidRDefault="00963305" w:rsidP="00963305">
      <w:pPr>
        <w:pStyle w:val="Nornal"/>
        <w:spacing w:after="0" w:line="240" w:lineRule="auto"/>
        <w:rPr>
          <w:rFonts w:asciiTheme="minorHAnsi" w:hAnsiTheme="minorHAnsi"/>
          <w:color w:val="000000" w:themeColor="text1"/>
        </w:rPr>
      </w:pPr>
      <w:r>
        <w:rPr>
          <w:rFonts w:asciiTheme="minorHAnsi" w:hAnsiTheme="minorHAnsi"/>
          <w:color w:val="000000" w:themeColor="text1"/>
        </w:rPr>
        <w:t>For</w:t>
      </w:r>
      <w:r w:rsidR="00BB1B1A">
        <w:rPr>
          <w:rFonts w:asciiTheme="minorHAnsi" w:hAnsiTheme="minorHAnsi"/>
          <w:color w:val="000000" w:themeColor="text1"/>
        </w:rPr>
        <w:t xml:space="preserve"> </w:t>
      </w:r>
      <w:r w:rsidR="00BB1B1A">
        <w:rPr>
          <w:rFonts w:asciiTheme="minorHAnsi" w:hAnsiTheme="minorHAnsi"/>
          <w:color w:val="000000"/>
        </w:rPr>
        <w:t>GreenFriendlyEco</w:t>
      </w:r>
      <w:r>
        <w:rPr>
          <w:rFonts w:asciiTheme="minorHAnsi" w:hAnsiTheme="minorHAnsi"/>
          <w:color w:val="000000" w:themeColor="text1"/>
        </w:rPr>
        <w:t xml:space="preserve">, intrinsic rewards such as recognition programmes, career pathways and employee involvement in decision making could significantly improve morale and contribution. </w:t>
      </w:r>
    </w:p>
    <w:p w14:paraId="3C5DDEF2" w14:textId="77777777" w:rsidR="00086952" w:rsidRDefault="00086952" w:rsidP="00963305">
      <w:pPr>
        <w:pStyle w:val="Nornal"/>
        <w:spacing w:after="0" w:line="240" w:lineRule="auto"/>
        <w:rPr>
          <w:rFonts w:asciiTheme="minorHAnsi" w:hAnsiTheme="minorHAnsi"/>
          <w:color w:val="000000" w:themeColor="text1"/>
        </w:rPr>
      </w:pPr>
    </w:p>
    <w:p w14:paraId="222886CA" w14:textId="14BAA048" w:rsidR="00057605" w:rsidRPr="00057605" w:rsidRDefault="00086952" w:rsidP="00962F9E">
      <w:pPr>
        <w:pStyle w:val="Nornal"/>
        <w:spacing w:after="0" w:line="240" w:lineRule="auto"/>
        <w:rPr>
          <w:rFonts w:asciiTheme="minorHAnsi" w:hAnsiTheme="minorHAnsi"/>
          <w:color w:val="000000" w:themeColor="text1"/>
        </w:rPr>
      </w:pPr>
      <w:r>
        <w:rPr>
          <w:rFonts w:asciiTheme="minorHAnsi" w:hAnsiTheme="minorHAnsi"/>
          <w:color w:val="000000" w:themeColor="text1"/>
        </w:rPr>
        <w:t xml:space="preserve">Sustained organisational performance requires a balanced total reward approach. Extrinsic rewards help attract and retain employees, providing short term motivation. Intrinsic rewards drive deeper engagement, creativity and </w:t>
      </w:r>
      <w:r w:rsidR="00106A25">
        <w:rPr>
          <w:rFonts w:asciiTheme="minorHAnsi" w:hAnsiTheme="minorHAnsi"/>
          <w:color w:val="000000" w:themeColor="text1"/>
        </w:rPr>
        <w:t>long-term</w:t>
      </w:r>
      <w:r>
        <w:rPr>
          <w:rFonts w:asciiTheme="minorHAnsi" w:hAnsiTheme="minorHAnsi"/>
          <w:color w:val="000000" w:themeColor="text1"/>
        </w:rPr>
        <w:t xml:space="preserve"> commitment (Armstrong, 2021). For </w:t>
      </w:r>
      <w:r w:rsidR="00232A3B">
        <w:rPr>
          <w:rFonts w:asciiTheme="minorHAnsi" w:hAnsiTheme="minorHAnsi"/>
          <w:color w:val="000000"/>
        </w:rPr>
        <w:lastRenderedPageBreak/>
        <w:t>GreenFriendlyEco</w:t>
      </w:r>
      <w:r>
        <w:rPr>
          <w:rFonts w:asciiTheme="minorHAnsi" w:hAnsiTheme="minorHAnsi"/>
          <w:color w:val="000000" w:themeColor="text1"/>
        </w:rPr>
        <w:t xml:space="preserve">, strengthening both types is essential to reduce turnover, improve culture and support consistent performance. </w:t>
      </w:r>
      <w:r w:rsidR="00963305">
        <w:rPr>
          <w:rFonts w:asciiTheme="minorHAnsi" w:hAnsiTheme="minorHAnsi"/>
          <w:color w:val="000000" w:themeColor="text1"/>
        </w:rPr>
        <w:t xml:space="preserve"> </w:t>
      </w:r>
    </w:p>
    <w:p w14:paraId="2D8E53B2" w14:textId="77777777" w:rsidR="008C49E0" w:rsidRPr="00E446B9" w:rsidRDefault="008C49E0" w:rsidP="00962F9E">
      <w:pPr>
        <w:pStyle w:val="Nornal"/>
        <w:spacing w:after="0" w:line="240" w:lineRule="auto"/>
        <w:rPr>
          <w:rFonts w:ascii="Trebuchet MS" w:hAnsi="Trebuchet MS"/>
          <w:color w:val="000000"/>
        </w:rPr>
      </w:pPr>
    </w:p>
    <w:p w14:paraId="3130EF7D" w14:textId="44118816" w:rsidR="00962F9E" w:rsidRPr="00962F9E" w:rsidRDefault="00962F9E" w:rsidP="00057605">
      <w:pPr>
        <w:pStyle w:val="Nornal"/>
        <w:spacing w:after="0" w:line="240" w:lineRule="auto"/>
        <w:rPr>
          <w:rFonts w:ascii="Trebuchet MS" w:hAnsi="Trebuchet MS"/>
          <w:color w:val="000000"/>
        </w:rPr>
      </w:pPr>
      <w:r w:rsidRPr="00E446B9">
        <w:rPr>
          <w:rFonts w:ascii="Trebuchet MS" w:hAnsi="Trebuchet MS"/>
          <w:color w:val="000000" w:themeColor="text1"/>
        </w:rPr>
        <w:t xml:space="preserve"> (AC 2.1)</w:t>
      </w:r>
    </w:p>
    <w:p w14:paraId="76BAECF5" w14:textId="77777777" w:rsidR="00962F9E" w:rsidRDefault="00962F9E" w:rsidP="00962F9E">
      <w:pPr>
        <w:pStyle w:val="Nornal"/>
        <w:spacing w:after="0" w:line="240" w:lineRule="auto"/>
        <w:rPr>
          <w:rFonts w:ascii="Trebuchet MS" w:hAnsi="Trebuchet MS"/>
          <w:color w:val="000000" w:themeColor="text1"/>
        </w:rPr>
      </w:pPr>
    </w:p>
    <w:p w14:paraId="5BA0D2F9" w14:textId="379CC538" w:rsidR="00086952" w:rsidRDefault="00086952" w:rsidP="00962F9E">
      <w:pPr>
        <w:pStyle w:val="Nornal"/>
        <w:spacing w:after="0" w:line="240" w:lineRule="auto"/>
        <w:rPr>
          <w:rFonts w:asciiTheme="minorHAnsi" w:hAnsiTheme="minorHAnsi"/>
          <w:color w:val="000000" w:themeColor="text1"/>
        </w:rPr>
      </w:pPr>
      <w:r>
        <w:rPr>
          <w:rFonts w:asciiTheme="minorHAnsi" w:hAnsiTheme="minorHAnsi"/>
          <w:color w:val="000000" w:themeColor="text1"/>
        </w:rPr>
        <w:t xml:space="preserve">Grade and pay structures provide a framework for organising jobs and managing pay in a fair and consistent way. Different structures vary in hierarchy, flexibility and progression. Understanding these differences is important for </w:t>
      </w:r>
      <w:r w:rsidR="004905FD">
        <w:rPr>
          <w:rFonts w:asciiTheme="minorHAnsi" w:hAnsiTheme="minorHAnsi"/>
          <w:color w:val="000000"/>
        </w:rPr>
        <w:t>GreenFriendlyEco</w:t>
      </w:r>
      <w:r w:rsidR="004905FD">
        <w:rPr>
          <w:rFonts w:asciiTheme="minorHAnsi" w:hAnsiTheme="minorHAnsi"/>
          <w:color w:val="000000" w:themeColor="text1"/>
        </w:rPr>
        <w:t xml:space="preserve"> </w:t>
      </w:r>
      <w:r>
        <w:rPr>
          <w:rFonts w:asciiTheme="minorHAnsi" w:hAnsiTheme="minorHAnsi"/>
          <w:color w:val="000000" w:themeColor="text1"/>
        </w:rPr>
        <w:t xml:space="preserve">to help them modernise </w:t>
      </w:r>
      <w:r w:rsidR="00EC7D1D">
        <w:rPr>
          <w:rFonts w:asciiTheme="minorHAnsi" w:hAnsiTheme="minorHAnsi"/>
          <w:color w:val="000000" w:themeColor="text1"/>
        </w:rPr>
        <w:t>its</w:t>
      </w:r>
      <w:r>
        <w:rPr>
          <w:rFonts w:asciiTheme="minorHAnsi" w:hAnsiTheme="minorHAnsi"/>
          <w:color w:val="000000" w:themeColor="text1"/>
        </w:rPr>
        <w:t xml:space="preserve"> reward approach and address issues of turnover and perceived inequity. </w:t>
      </w:r>
    </w:p>
    <w:p w14:paraId="7A66E1EA" w14:textId="77777777" w:rsidR="00086952" w:rsidRDefault="00086952" w:rsidP="00962F9E">
      <w:pPr>
        <w:pStyle w:val="Nornal"/>
        <w:spacing w:after="0" w:line="240" w:lineRule="auto"/>
        <w:rPr>
          <w:rFonts w:asciiTheme="minorHAnsi" w:hAnsiTheme="minorHAnsi"/>
          <w:color w:val="000000" w:themeColor="text1"/>
        </w:rPr>
      </w:pPr>
    </w:p>
    <w:p w14:paraId="0CDAB505" w14:textId="273C3BFE" w:rsidR="00086952" w:rsidRDefault="00086952" w:rsidP="00962F9E">
      <w:pPr>
        <w:pStyle w:val="Nornal"/>
        <w:spacing w:after="0" w:line="240" w:lineRule="auto"/>
        <w:rPr>
          <w:rFonts w:asciiTheme="minorHAnsi" w:hAnsiTheme="minorHAnsi"/>
          <w:color w:val="000000" w:themeColor="text1"/>
        </w:rPr>
      </w:pPr>
      <w:r>
        <w:rPr>
          <w:rFonts w:asciiTheme="minorHAnsi" w:hAnsiTheme="minorHAnsi"/>
          <w:color w:val="000000" w:themeColor="text1"/>
        </w:rPr>
        <w:t>Narrow</w:t>
      </w:r>
      <w:r w:rsidR="004A6BC0">
        <w:rPr>
          <w:rFonts w:asciiTheme="minorHAnsi" w:hAnsiTheme="minorHAnsi"/>
          <w:color w:val="000000" w:themeColor="text1"/>
        </w:rPr>
        <w:t>-</w:t>
      </w:r>
      <w:r>
        <w:rPr>
          <w:rFonts w:asciiTheme="minorHAnsi" w:hAnsiTheme="minorHAnsi"/>
          <w:color w:val="000000" w:themeColor="text1"/>
        </w:rPr>
        <w:t xml:space="preserve">graded pay structures contain many grades with small pay ranges. Armstrong and Taylor (2020) note that these structures offer clear hierarchical </w:t>
      </w:r>
      <w:r w:rsidR="004A6BC0">
        <w:rPr>
          <w:rFonts w:asciiTheme="minorHAnsi" w:hAnsiTheme="minorHAnsi"/>
          <w:color w:val="000000" w:themeColor="text1"/>
        </w:rPr>
        <w:t xml:space="preserve">steps and predictable progression, which can support fairness and transparency. However, they can reinforce rigid hierarchies and create bureaucratic process (CIPD, 2023). For Eco-Insulate, adopting a narrow-graded structure may risk reinforcing the existing perception that senior staff receive preferential treatment, potentially worsening morale. </w:t>
      </w:r>
    </w:p>
    <w:p w14:paraId="620E42E8" w14:textId="77777777" w:rsidR="004A6BC0" w:rsidRDefault="004A6BC0" w:rsidP="00962F9E">
      <w:pPr>
        <w:pStyle w:val="Nornal"/>
        <w:spacing w:after="0" w:line="240" w:lineRule="auto"/>
        <w:rPr>
          <w:rFonts w:asciiTheme="minorHAnsi" w:hAnsiTheme="minorHAnsi"/>
          <w:color w:val="000000" w:themeColor="text1"/>
        </w:rPr>
      </w:pPr>
    </w:p>
    <w:p w14:paraId="4F4A8899" w14:textId="1F1B63B0" w:rsidR="004A6BC0" w:rsidRDefault="004A6BC0" w:rsidP="00962F9E">
      <w:pPr>
        <w:pStyle w:val="Nornal"/>
        <w:spacing w:after="0" w:line="240" w:lineRule="auto"/>
        <w:rPr>
          <w:rFonts w:asciiTheme="minorHAnsi" w:hAnsiTheme="minorHAnsi"/>
          <w:color w:val="000000" w:themeColor="text1"/>
        </w:rPr>
      </w:pPr>
      <w:r>
        <w:rPr>
          <w:rFonts w:asciiTheme="minorHAnsi" w:hAnsiTheme="minorHAnsi"/>
          <w:color w:val="000000" w:themeColor="text1"/>
        </w:rPr>
        <w:t xml:space="preserve">Broad-banded structures reduce the number of grades and widen pay ranges significantly. Torrington et al. (2020) </w:t>
      </w:r>
      <w:r w:rsidR="000D4733">
        <w:rPr>
          <w:rFonts w:asciiTheme="minorHAnsi" w:hAnsiTheme="minorHAnsi"/>
          <w:color w:val="000000" w:themeColor="text1"/>
        </w:rPr>
        <w:t>explains that</w:t>
      </w:r>
      <w:r>
        <w:rPr>
          <w:rFonts w:asciiTheme="minorHAnsi" w:hAnsiTheme="minorHAnsi"/>
          <w:color w:val="000000" w:themeColor="text1"/>
        </w:rPr>
        <w:t xml:space="preserve"> broad-banding increases flexibility and support</w:t>
      </w:r>
      <w:r w:rsidR="007F17AA">
        <w:rPr>
          <w:rFonts w:asciiTheme="minorHAnsi" w:hAnsiTheme="minorHAnsi"/>
          <w:color w:val="000000" w:themeColor="text1"/>
        </w:rPr>
        <w:t>s</w:t>
      </w:r>
      <w:r>
        <w:rPr>
          <w:rFonts w:asciiTheme="minorHAnsi" w:hAnsiTheme="minorHAnsi"/>
          <w:color w:val="000000" w:themeColor="text1"/>
        </w:rPr>
        <w:t xml:space="preserve"> flatter organisational structures. Brown and Reilly (2013) also highlight that </w:t>
      </w:r>
      <w:proofErr w:type="gramStart"/>
      <w:r>
        <w:rPr>
          <w:rFonts w:asciiTheme="minorHAnsi" w:hAnsiTheme="minorHAnsi"/>
          <w:color w:val="000000" w:themeColor="text1"/>
        </w:rPr>
        <w:t>broad-banding</w:t>
      </w:r>
      <w:proofErr w:type="gramEnd"/>
      <w:r>
        <w:rPr>
          <w:rFonts w:asciiTheme="minorHAnsi" w:hAnsiTheme="minorHAnsi"/>
          <w:color w:val="000000" w:themeColor="text1"/>
        </w:rPr>
        <w:t xml:space="preserve"> can encourage development and enable managers to reward contribution more flexibly. However, without strong governance, </w:t>
      </w:r>
      <w:proofErr w:type="gramStart"/>
      <w:r>
        <w:rPr>
          <w:rFonts w:asciiTheme="minorHAnsi" w:hAnsiTheme="minorHAnsi"/>
          <w:color w:val="000000" w:themeColor="text1"/>
        </w:rPr>
        <w:t>broad-banding</w:t>
      </w:r>
      <w:proofErr w:type="gramEnd"/>
      <w:r>
        <w:rPr>
          <w:rFonts w:asciiTheme="minorHAnsi" w:hAnsiTheme="minorHAnsi"/>
          <w:color w:val="000000" w:themeColor="text1"/>
        </w:rPr>
        <w:t xml:space="preserve"> can led to inconsistency or pay drift (Armstrong, 2021). Given </w:t>
      </w:r>
      <w:r w:rsidR="002121A3">
        <w:rPr>
          <w:rFonts w:asciiTheme="minorHAnsi" w:hAnsiTheme="minorHAnsi"/>
          <w:color w:val="000000"/>
        </w:rPr>
        <w:t>GreenFriendlyEco</w:t>
      </w:r>
      <w:r w:rsidR="002121A3">
        <w:rPr>
          <w:rFonts w:asciiTheme="minorHAnsi" w:hAnsiTheme="minorHAnsi"/>
          <w:color w:val="000000" w:themeColor="text1"/>
        </w:rPr>
        <w:t xml:space="preserve"> </w:t>
      </w:r>
      <w:r>
        <w:rPr>
          <w:rFonts w:asciiTheme="minorHAnsi" w:hAnsiTheme="minorHAnsi"/>
          <w:color w:val="000000" w:themeColor="text1"/>
        </w:rPr>
        <w:t xml:space="preserve">concerns about fairness, this structure may require careful control to avoid further perceptions of inequity. </w:t>
      </w:r>
    </w:p>
    <w:p w14:paraId="27B56DAE" w14:textId="77777777" w:rsidR="004A6BC0" w:rsidRDefault="004A6BC0" w:rsidP="00962F9E">
      <w:pPr>
        <w:pStyle w:val="Nornal"/>
        <w:spacing w:after="0" w:line="240" w:lineRule="auto"/>
        <w:rPr>
          <w:rFonts w:asciiTheme="minorHAnsi" w:hAnsiTheme="minorHAnsi"/>
          <w:color w:val="000000" w:themeColor="text1"/>
        </w:rPr>
      </w:pPr>
    </w:p>
    <w:p w14:paraId="2FBA0480" w14:textId="0993F994" w:rsidR="004A6BC0" w:rsidRDefault="004A6BC0" w:rsidP="00962F9E">
      <w:pPr>
        <w:pStyle w:val="Nornal"/>
        <w:spacing w:after="0" w:line="240" w:lineRule="auto"/>
        <w:rPr>
          <w:rFonts w:asciiTheme="minorHAnsi" w:hAnsiTheme="minorHAnsi"/>
          <w:color w:val="000000" w:themeColor="text1"/>
        </w:rPr>
      </w:pPr>
      <w:r>
        <w:rPr>
          <w:rFonts w:asciiTheme="minorHAnsi" w:hAnsiTheme="minorHAnsi"/>
          <w:color w:val="000000" w:themeColor="text1"/>
        </w:rPr>
        <w:t xml:space="preserve">Job family structures group roles into </w:t>
      </w:r>
      <w:r w:rsidR="00AA64EB">
        <w:rPr>
          <w:rFonts w:asciiTheme="minorHAnsi" w:hAnsiTheme="minorHAnsi"/>
          <w:color w:val="000000" w:themeColor="text1"/>
        </w:rPr>
        <w:t>families</w:t>
      </w:r>
      <w:r>
        <w:rPr>
          <w:rFonts w:asciiTheme="minorHAnsi" w:hAnsiTheme="minorHAnsi"/>
          <w:color w:val="000000" w:themeColor="text1"/>
        </w:rPr>
        <w:t xml:space="preserve"> based on similar skills or functions. </w:t>
      </w:r>
      <w:r w:rsidR="00AA64EB">
        <w:rPr>
          <w:rFonts w:asciiTheme="minorHAnsi" w:hAnsiTheme="minorHAnsi"/>
          <w:color w:val="000000" w:themeColor="text1"/>
        </w:rPr>
        <w:t xml:space="preserve">CIPD (2022) emphasises that this approach supports specialist career pathways and skill development. Milkovich, Newman and Gerhart (2014) also note that job family structures allow organisations to tailor pay to different professional groups. This could be particularly beneficial </w:t>
      </w:r>
      <w:r w:rsidR="005B3E4B">
        <w:rPr>
          <w:rFonts w:asciiTheme="minorHAnsi" w:hAnsiTheme="minorHAnsi"/>
          <w:color w:val="000000" w:themeColor="text1"/>
        </w:rPr>
        <w:t xml:space="preserve">for </w:t>
      </w:r>
      <w:r w:rsidR="007A5F79">
        <w:rPr>
          <w:rFonts w:asciiTheme="minorHAnsi" w:hAnsiTheme="minorHAnsi"/>
          <w:color w:val="000000"/>
        </w:rPr>
        <w:t>GreenFriendlyEco</w:t>
      </w:r>
      <w:r w:rsidR="00AA64EB">
        <w:rPr>
          <w:rFonts w:asciiTheme="minorHAnsi" w:hAnsiTheme="minorHAnsi"/>
          <w:color w:val="000000" w:themeColor="text1"/>
        </w:rPr>
        <w:t>, which employs both skilled and unskilled workers. Creating job families such as manufacturing, engineering and administration would allow clearer progression routes and help address turnover among skill</w:t>
      </w:r>
      <w:r w:rsidR="002B19F8">
        <w:rPr>
          <w:rFonts w:asciiTheme="minorHAnsi" w:hAnsiTheme="minorHAnsi"/>
          <w:color w:val="000000" w:themeColor="text1"/>
        </w:rPr>
        <w:t>ed</w:t>
      </w:r>
      <w:r w:rsidR="00AA64EB">
        <w:rPr>
          <w:rFonts w:asciiTheme="minorHAnsi" w:hAnsiTheme="minorHAnsi"/>
          <w:color w:val="000000" w:themeColor="text1"/>
        </w:rPr>
        <w:t xml:space="preserve"> employees. </w:t>
      </w:r>
    </w:p>
    <w:p w14:paraId="21B627EA" w14:textId="77777777" w:rsidR="00AA64EB" w:rsidRDefault="00AA64EB" w:rsidP="00962F9E">
      <w:pPr>
        <w:pStyle w:val="Nornal"/>
        <w:spacing w:after="0" w:line="240" w:lineRule="auto"/>
        <w:rPr>
          <w:rFonts w:asciiTheme="minorHAnsi" w:hAnsiTheme="minorHAnsi"/>
          <w:color w:val="000000" w:themeColor="text1"/>
        </w:rPr>
      </w:pPr>
    </w:p>
    <w:p w14:paraId="1EABF65C" w14:textId="5721D482" w:rsidR="00AA64EB" w:rsidRDefault="00AA64EB" w:rsidP="00962F9E">
      <w:pPr>
        <w:pStyle w:val="Nornal"/>
        <w:spacing w:after="0" w:line="240" w:lineRule="auto"/>
        <w:rPr>
          <w:rFonts w:asciiTheme="minorHAnsi" w:hAnsiTheme="minorHAnsi"/>
          <w:color w:val="000000" w:themeColor="text1"/>
        </w:rPr>
      </w:pPr>
      <w:r>
        <w:rPr>
          <w:rFonts w:asciiTheme="minorHAnsi" w:hAnsiTheme="minorHAnsi"/>
          <w:color w:val="000000" w:themeColor="text1"/>
        </w:rPr>
        <w:t xml:space="preserve">Pay spines consist of incremental points that employees move through annually or based on performance. They are commonly used in the public sector to ensure fairness and consistency (Kessler and Purcell, 2020). Thompson (2011) argues that pay spines promote transparency but may reward time served rather than contribution. For </w:t>
      </w:r>
      <w:r w:rsidR="0049677A">
        <w:rPr>
          <w:rFonts w:asciiTheme="minorHAnsi" w:hAnsiTheme="minorHAnsi"/>
          <w:color w:val="000000"/>
        </w:rPr>
        <w:t>GreenFriendlyEco</w:t>
      </w:r>
      <w:r>
        <w:rPr>
          <w:rFonts w:asciiTheme="minorHAnsi" w:hAnsiTheme="minorHAnsi"/>
          <w:color w:val="000000" w:themeColor="text1"/>
        </w:rPr>
        <w:t xml:space="preserve">, a pay spine could help improve fairness but may not support a performance driven culture. </w:t>
      </w:r>
    </w:p>
    <w:p w14:paraId="201F099B" w14:textId="77777777" w:rsidR="00AA64EB" w:rsidRDefault="00AA64EB" w:rsidP="00962F9E">
      <w:pPr>
        <w:pStyle w:val="Nornal"/>
        <w:spacing w:after="0" w:line="240" w:lineRule="auto"/>
        <w:rPr>
          <w:rFonts w:asciiTheme="minorHAnsi" w:hAnsiTheme="minorHAnsi"/>
          <w:color w:val="000000" w:themeColor="text1"/>
        </w:rPr>
      </w:pPr>
    </w:p>
    <w:p w14:paraId="257D39CA" w14:textId="1D956153" w:rsidR="00AA64EB" w:rsidRPr="00086952" w:rsidRDefault="00AA64EB" w:rsidP="00962F9E">
      <w:pPr>
        <w:pStyle w:val="Nornal"/>
        <w:spacing w:after="0" w:line="240" w:lineRule="auto"/>
        <w:rPr>
          <w:rFonts w:asciiTheme="minorHAnsi" w:hAnsiTheme="minorHAnsi"/>
          <w:color w:val="000000" w:themeColor="text1"/>
        </w:rPr>
      </w:pPr>
      <w:r>
        <w:rPr>
          <w:rFonts w:asciiTheme="minorHAnsi" w:hAnsiTheme="minorHAnsi"/>
          <w:color w:val="000000" w:themeColor="text1"/>
        </w:rPr>
        <w:t xml:space="preserve">Spot rates, or spot salaries involve a single fixed rate for a job with no range or progression. Armstrong (2021) notes that they are simple and easy to administer, making them suitable for routine or standardised roles. Reilly and Brown (2008) highlight that spot rates can be effective where roles are tightly defined, but they offer limited scope for </w:t>
      </w:r>
      <w:r w:rsidR="00B309E8">
        <w:rPr>
          <w:rFonts w:asciiTheme="minorHAnsi" w:hAnsiTheme="minorHAnsi"/>
          <w:color w:val="000000" w:themeColor="text1"/>
        </w:rPr>
        <w:t>development-based</w:t>
      </w:r>
      <w:r>
        <w:rPr>
          <w:rFonts w:asciiTheme="minorHAnsi" w:hAnsiTheme="minorHAnsi"/>
          <w:color w:val="000000" w:themeColor="text1"/>
        </w:rPr>
        <w:t xml:space="preserve"> progression. </w:t>
      </w:r>
      <w:r w:rsidR="00B606EA">
        <w:rPr>
          <w:rFonts w:asciiTheme="minorHAnsi" w:hAnsiTheme="minorHAnsi"/>
          <w:color w:val="000000"/>
        </w:rPr>
        <w:t>GreenFriendlyEco</w:t>
      </w:r>
      <w:r w:rsidR="00B606EA">
        <w:rPr>
          <w:rFonts w:asciiTheme="minorHAnsi" w:hAnsiTheme="minorHAnsi"/>
          <w:color w:val="000000" w:themeColor="text1"/>
        </w:rPr>
        <w:t xml:space="preserve"> </w:t>
      </w:r>
      <w:r>
        <w:rPr>
          <w:rFonts w:asciiTheme="minorHAnsi" w:hAnsiTheme="minorHAnsi"/>
          <w:color w:val="000000" w:themeColor="text1"/>
        </w:rPr>
        <w:t xml:space="preserve">may find spot salaries appropriate for some unskilled manufacturing roles, but they would not support retention of skilled employees who expect career growth. </w:t>
      </w:r>
    </w:p>
    <w:p w14:paraId="4ABF438E" w14:textId="77777777" w:rsidR="00086952" w:rsidRDefault="00086952" w:rsidP="00962F9E">
      <w:pPr>
        <w:pStyle w:val="Nornal"/>
        <w:spacing w:after="0" w:line="240" w:lineRule="auto"/>
        <w:rPr>
          <w:rFonts w:ascii="Trebuchet MS" w:hAnsi="Trebuchet MS"/>
          <w:color w:val="000000" w:themeColor="text1"/>
        </w:rPr>
      </w:pPr>
    </w:p>
    <w:p w14:paraId="68B58326" w14:textId="1F8BA5E4" w:rsidR="00086952" w:rsidRPr="00AA64EB" w:rsidRDefault="00AA64EB" w:rsidP="00962F9E">
      <w:pPr>
        <w:pStyle w:val="Nornal"/>
        <w:spacing w:after="0" w:line="240" w:lineRule="auto"/>
        <w:rPr>
          <w:rFonts w:asciiTheme="minorHAnsi" w:hAnsiTheme="minorHAnsi"/>
          <w:color w:val="000000" w:themeColor="text1"/>
        </w:rPr>
      </w:pPr>
      <w:r>
        <w:rPr>
          <w:rFonts w:asciiTheme="minorHAnsi" w:hAnsiTheme="minorHAnsi"/>
          <w:color w:val="000000" w:themeColor="text1"/>
        </w:rPr>
        <w:t xml:space="preserve">The main differences between grade and pay structures relate to hierarchy, flexibility and progression. For </w:t>
      </w:r>
      <w:r w:rsidR="00D21D9E">
        <w:rPr>
          <w:rFonts w:asciiTheme="minorHAnsi" w:hAnsiTheme="minorHAnsi"/>
          <w:color w:val="000000"/>
        </w:rPr>
        <w:t>GreenFriendlyEco</w:t>
      </w:r>
      <w:r>
        <w:rPr>
          <w:rFonts w:asciiTheme="minorHAnsi" w:hAnsiTheme="minorHAnsi"/>
          <w:color w:val="000000" w:themeColor="text1"/>
        </w:rPr>
        <w:t xml:space="preserve">, selecting the right structure is essential to improving transparency </w:t>
      </w:r>
      <w:r w:rsidR="00660FA7">
        <w:rPr>
          <w:rFonts w:asciiTheme="minorHAnsi" w:hAnsiTheme="minorHAnsi"/>
          <w:color w:val="000000" w:themeColor="text1"/>
        </w:rPr>
        <w:t>supporting career development, and addressing the cultural and retention challenges currently facing the organisation.</w:t>
      </w:r>
    </w:p>
    <w:p w14:paraId="16E23A60" w14:textId="77777777" w:rsidR="00962F9E" w:rsidRPr="00E446B9" w:rsidRDefault="00962F9E" w:rsidP="00962F9E">
      <w:pPr>
        <w:pStyle w:val="Nornal"/>
        <w:spacing w:after="0" w:line="240" w:lineRule="auto"/>
        <w:rPr>
          <w:rFonts w:ascii="Trebuchet MS" w:hAnsi="Trebuchet MS"/>
          <w:color w:val="000000"/>
        </w:rPr>
      </w:pPr>
    </w:p>
    <w:p w14:paraId="3D605BBD" w14:textId="77777777" w:rsidR="00962F9E" w:rsidRPr="00E446B9" w:rsidRDefault="00962F9E" w:rsidP="00962F9E">
      <w:pPr>
        <w:pStyle w:val="Nornal"/>
        <w:spacing w:after="0" w:line="240" w:lineRule="auto"/>
        <w:rPr>
          <w:rFonts w:ascii="Trebuchet MS" w:hAnsi="Trebuchet MS"/>
          <w:color w:val="000000"/>
        </w:rPr>
      </w:pPr>
    </w:p>
    <w:p w14:paraId="34AC2685" w14:textId="05FBA3D6" w:rsidR="00962F9E" w:rsidRPr="00660FA7" w:rsidRDefault="00962F9E" w:rsidP="00057605">
      <w:pPr>
        <w:pStyle w:val="Nornal"/>
        <w:spacing w:after="0" w:line="240" w:lineRule="auto"/>
        <w:rPr>
          <w:rFonts w:ascii="Trebuchet MS" w:hAnsi="Trebuchet MS"/>
          <w:color w:val="000000"/>
        </w:rPr>
      </w:pPr>
      <w:r w:rsidRPr="00E446B9">
        <w:rPr>
          <w:rFonts w:ascii="Trebuchet MS" w:hAnsi="Trebuchet MS"/>
          <w:color w:val="000000" w:themeColor="text1"/>
        </w:rPr>
        <w:t xml:space="preserve"> (AC 2.2)</w:t>
      </w:r>
    </w:p>
    <w:p w14:paraId="3D500CD6" w14:textId="77777777" w:rsidR="00660FA7" w:rsidRDefault="00660FA7" w:rsidP="00660FA7">
      <w:pPr>
        <w:pStyle w:val="Nornal"/>
        <w:spacing w:after="0" w:line="240" w:lineRule="auto"/>
        <w:rPr>
          <w:rFonts w:ascii="Trebuchet MS" w:hAnsi="Trebuchet MS"/>
          <w:color w:val="000000" w:themeColor="text1"/>
        </w:rPr>
      </w:pPr>
    </w:p>
    <w:p w14:paraId="56C3E886" w14:textId="51AC6059" w:rsidR="00660FA7" w:rsidRDefault="00966C1A" w:rsidP="00660FA7">
      <w:pPr>
        <w:pStyle w:val="Nornal"/>
        <w:spacing w:after="0" w:line="240" w:lineRule="auto"/>
        <w:rPr>
          <w:rFonts w:asciiTheme="minorHAnsi" w:hAnsiTheme="minorHAnsi"/>
          <w:color w:val="000000" w:themeColor="text1"/>
        </w:rPr>
      </w:pPr>
      <w:r>
        <w:rPr>
          <w:rFonts w:asciiTheme="minorHAnsi" w:hAnsiTheme="minorHAnsi"/>
          <w:color w:val="000000" w:themeColor="text1"/>
        </w:rPr>
        <w:t xml:space="preserve">Contingent rewards are rewards that are given only when specific performance criteria, behaviours or outcomes are achieved.  They can be financial such as bonuses, or non-financial such as recognition or development opportunities. According to Armstrong (2021), contingent rewards are designed to reinforce desired behaviours and align employee effort with organisational goals. When used effectively, they can significantly influence performance at individual, team and organisational levels. </w:t>
      </w:r>
    </w:p>
    <w:p w14:paraId="5D861045" w14:textId="77777777" w:rsidR="00966C1A" w:rsidRDefault="00966C1A" w:rsidP="00660FA7">
      <w:pPr>
        <w:pStyle w:val="Nornal"/>
        <w:spacing w:after="0" w:line="240" w:lineRule="auto"/>
        <w:rPr>
          <w:rFonts w:asciiTheme="minorHAnsi" w:hAnsiTheme="minorHAnsi"/>
          <w:color w:val="000000" w:themeColor="text1"/>
        </w:rPr>
      </w:pPr>
    </w:p>
    <w:p w14:paraId="3F552D58" w14:textId="48EFAAC1" w:rsidR="00966C1A" w:rsidRDefault="00966C1A" w:rsidP="00660FA7">
      <w:pPr>
        <w:pStyle w:val="Nornal"/>
        <w:spacing w:after="0" w:line="240" w:lineRule="auto"/>
        <w:rPr>
          <w:rFonts w:asciiTheme="minorHAnsi" w:hAnsiTheme="minorHAnsi"/>
          <w:color w:val="000000" w:themeColor="text1"/>
        </w:rPr>
      </w:pPr>
      <w:r>
        <w:rPr>
          <w:rFonts w:asciiTheme="minorHAnsi" w:hAnsiTheme="minorHAnsi"/>
          <w:color w:val="000000" w:themeColor="text1"/>
        </w:rPr>
        <w:t>At the individual level, contingent rewards can increase motivation, effort and focus. Milkovich, Newman and Gerhart (2014) argue that linking rewards to performance encourages employees to direct their energy towards tasks that deliver measurable results</w:t>
      </w:r>
      <w:r w:rsidR="00B5201A">
        <w:rPr>
          <w:rFonts w:asciiTheme="minorHAnsi" w:hAnsiTheme="minorHAnsi"/>
          <w:color w:val="000000" w:themeColor="text1"/>
        </w:rPr>
        <w:t>.</w:t>
      </w:r>
      <w:r>
        <w:rPr>
          <w:rFonts w:asciiTheme="minorHAnsi" w:hAnsiTheme="minorHAnsi"/>
          <w:color w:val="000000" w:themeColor="text1"/>
        </w:rPr>
        <w:t xml:space="preserve"> </w:t>
      </w:r>
      <w:r w:rsidR="00BD7D14">
        <w:rPr>
          <w:rFonts w:asciiTheme="minorHAnsi" w:hAnsiTheme="minorHAnsi"/>
          <w:color w:val="000000" w:themeColor="text1"/>
        </w:rPr>
        <w:t>This is supported by expectancy theory, which suggests that employees are more likely to exert effort when they believe it will lead to valued outcomes (Torrington et al, 2020).</w:t>
      </w:r>
    </w:p>
    <w:p w14:paraId="0AED6A05" w14:textId="77777777" w:rsidR="00BD7D14" w:rsidRDefault="00BD7D14" w:rsidP="00660FA7">
      <w:pPr>
        <w:pStyle w:val="Nornal"/>
        <w:spacing w:after="0" w:line="240" w:lineRule="auto"/>
        <w:rPr>
          <w:rFonts w:asciiTheme="minorHAnsi" w:hAnsiTheme="minorHAnsi"/>
          <w:color w:val="000000" w:themeColor="text1"/>
        </w:rPr>
      </w:pPr>
    </w:p>
    <w:p w14:paraId="60B124AA" w14:textId="7B4303F3" w:rsidR="00BD7D14" w:rsidRDefault="00BD7D14" w:rsidP="00660FA7">
      <w:pPr>
        <w:pStyle w:val="Nornal"/>
        <w:spacing w:after="0" w:line="240" w:lineRule="auto"/>
        <w:rPr>
          <w:rFonts w:asciiTheme="minorHAnsi" w:hAnsiTheme="minorHAnsi"/>
          <w:color w:val="000000" w:themeColor="text1"/>
        </w:rPr>
      </w:pPr>
      <w:r>
        <w:rPr>
          <w:rFonts w:asciiTheme="minorHAnsi" w:hAnsiTheme="minorHAnsi"/>
          <w:color w:val="000000" w:themeColor="text1"/>
        </w:rPr>
        <w:t xml:space="preserve">For </w:t>
      </w:r>
      <w:r w:rsidR="00B5201A">
        <w:rPr>
          <w:rFonts w:asciiTheme="minorHAnsi" w:hAnsiTheme="minorHAnsi"/>
          <w:color w:val="000000"/>
        </w:rPr>
        <w:t>GreenFriendlyEco</w:t>
      </w:r>
      <w:r>
        <w:rPr>
          <w:rFonts w:asciiTheme="minorHAnsi" w:hAnsiTheme="minorHAnsi"/>
          <w:color w:val="000000" w:themeColor="text1"/>
        </w:rPr>
        <w:t xml:space="preserve">, where no incentive scheme currently exists, introducing contingent rewards such as performance-related pay or recognition rewards could help address low morale and encourage higher levels of productivity. Brown and Reilly (2013) </w:t>
      </w:r>
      <w:r w:rsidR="0095418E">
        <w:rPr>
          <w:rFonts w:asciiTheme="minorHAnsi" w:hAnsiTheme="minorHAnsi"/>
          <w:color w:val="000000" w:themeColor="text1"/>
        </w:rPr>
        <w:t xml:space="preserve">suggest </w:t>
      </w:r>
      <w:r>
        <w:rPr>
          <w:rFonts w:asciiTheme="minorHAnsi" w:hAnsiTheme="minorHAnsi"/>
          <w:color w:val="000000" w:themeColor="text1"/>
        </w:rPr>
        <w:t xml:space="preserve">that contingent rewards also strengthen the psychological contract by signalling that contribution is valued. </w:t>
      </w:r>
    </w:p>
    <w:p w14:paraId="60870EF1" w14:textId="77777777" w:rsidR="00BD7D14" w:rsidRDefault="00BD7D14" w:rsidP="00660FA7">
      <w:pPr>
        <w:pStyle w:val="Nornal"/>
        <w:spacing w:after="0" w:line="240" w:lineRule="auto"/>
        <w:rPr>
          <w:rFonts w:asciiTheme="minorHAnsi" w:hAnsiTheme="minorHAnsi"/>
          <w:color w:val="000000" w:themeColor="text1"/>
        </w:rPr>
      </w:pPr>
    </w:p>
    <w:p w14:paraId="26EB8C90" w14:textId="1FA9DD54" w:rsidR="00BD7D14" w:rsidRDefault="00BD7D14" w:rsidP="00660FA7">
      <w:pPr>
        <w:pStyle w:val="Nornal"/>
        <w:spacing w:after="0" w:line="240" w:lineRule="auto"/>
        <w:rPr>
          <w:rFonts w:asciiTheme="minorHAnsi" w:hAnsiTheme="minorHAnsi"/>
          <w:color w:val="000000" w:themeColor="text1"/>
        </w:rPr>
      </w:pPr>
      <w:r>
        <w:rPr>
          <w:rFonts w:asciiTheme="minorHAnsi" w:hAnsiTheme="minorHAnsi"/>
          <w:color w:val="000000" w:themeColor="text1"/>
        </w:rPr>
        <w:t xml:space="preserve">Contingent rewards can also influence team dynamics and collective performance. Team-based bonuses or gain-sharing schemes encourage collaboration, shared responsibility and mutual support (Armstrong and Taylor, 2020). When rewards depend on collective outcomes, teams are more likely to co-ordinate effectively, share knowledge and support weaker team members. However poorly designed schemes can create competition or conflict with teams. Thompson (2011) warns that if individual rewards dominate, teamwork may suffer as employees prioritise personal goals over group success. For </w:t>
      </w:r>
      <w:r w:rsidR="00DD11E3">
        <w:rPr>
          <w:rFonts w:asciiTheme="minorHAnsi" w:hAnsiTheme="minorHAnsi"/>
          <w:color w:val="000000"/>
        </w:rPr>
        <w:t>GreenFriendlyEco</w:t>
      </w:r>
      <w:r>
        <w:rPr>
          <w:rFonts w:asciiTheme="minorHAnsi" w:hAnsiTheme="minorHAnsi"/>
          <w:color w:val="000000" w:themeColor="text1"/>
        </w:rPr>
        <w:t xml:space="preserve">, where skilled and unskilled workers must collaborate on production tasks, team-based contingent rewards could help strengthen cooperation and reduce siloed working. </w:t>
      </w:r>
    </w:p>
    <w:p w14:paraId="56DE62D5" w14:textId="77777777" w:rsidR="00BD7D14" w:rsidRDefault="00BD7D14" w:rsidP="00660FA7">
      <w:pPr>
        <w:pStyle w:val="Nornal"/>
        <w:spacing w:after="0" w:line="240" w:lineRule="auto"/>
        <w:rPr>
          <w:rFonts w:asciiTheme="minorHAnsi" w:hAnsiTheme="minorHAnsi"/>
          <w:color w:val="000000" w:themeColor="text1"/>
        </w:rPr>
      </w:pPr>
    </w:p>
    <w:p w14:paraId="20E7B4E1" w14:textId="5E4BB318" w:rsidR="00BD7D14" w:rsidRDefault="00BD7D14" w:rsidP="00660FA7">
      <w:pPr>
        <w:pStyle w:val="Nornal"/>
        <w:spacing w:after="0" w:line="240" w:lineRule="auto"/>
        <w:rPr>
          <w:rFonts w:asciiTheme="minorHAnsi" w:hAnsiTheme="minorHAnsi"/>
          <w:color w:val="000000" w:themeColor="text1"/>
        </w:rPr>
      </w:pPr>
      <w:r>
        <w:rPr>
          <w:rFonts w:asciiTheme="minorHAnsi" w:hAnsiTheme="minorHAnsi"/>
          <w:color w:val="000000" w:themeColor="text1"/>
        </w:rPr>
        <w:t>At the organisational level, contingent rewards help align employee behaviour with strategic objectives. CIPD (2023) highlights that reward systems linked to organisational goals – such as quality, sustainability or productivity can drive cultural change and support long term performance. When employees understand that organisational success leads to shared rewards</w:t>
      </w:r>
      <w:r w:rsidR="000E1C25">
        <w:rPr>
          <w:rFonts w:asciiTheme="minorHAnsi" w:hAnsiTheme="minorHAnsi"/>
          <w:color w:val="000000" w:themeColor="text1"/>
        </w:rPr>
        <w:t>, commitment and engagement increases (Reilly and Brown, 2008).</w:t>
      </w:r>
    </w:p>
    <w:p w14:paraId="5B842A46" w14:textId="2BB7DE4C" w:rsidR="000E1C25" w:rsidRDefault="000E1C25" w:rsidP="00660FA7">
      <w:pPr>
        <w:pStyle w:val="Nornal"/>
        <w:spacing w:after="0" w:line="240" w:lineRule="auto"/>
        <w:rPr>
          <w:rFonts w:asciiTheme="minorHAnsi" w:hAnsiTheme="minorHAnsi"/>
          <w:color w:val="000000" w:themeColor="text1"/>
        </w:rPr>
      </w:pPr>
      <w:r>
        <w:rPr>
          <w:rFonts w:asciiTheme="minorHAnsi" w:hAnsiTheme="minorHAnsi"/>
          <w:color w:val="000000" w:themeColor="text1"/>
        </w:rPr>
        <w:t xml:space="preserve">For </w:t>
      </w:r>
      <w:r w:rsidR="00541140">
        <w:rPr>
          <w:rFonts w:asciiTheme="minorHAnsi" w:hAnsiTheme="minorHAnsi"/>
          <w:color w:val="000000"/>
        </w:rPr>
        <w:t>GreenFriendlyEco</w:t>
      </w:r>
      <w:r>
        <w:rPr>
          <w:rFonts w:asciiTheme="minorHAnsi" w:hAnsiTheme="minorHAnsi"/>
          <w:color w:val="000000" w:themeColor="text1"/>
        </w:rPr>
        <w:t>, contingent rewards could support improvements in productivity, quality and retention. Incentive schemes tied to sustainability targets could also reinforce the</w:t>
      </w:r>
      <w:r w:rsidR="006573D1">
        <w:rPr>
          <w:rFonts w:asciiTheme="minorHAnsi" w:hAnsiTheme="minorHAnsi"/>
          <w:color w:val="000000" w:themeColor="text1"/>
        </w:rPr>
        <w:t xml:space="preserve"> organi</w:t>
      </w:r>
      <w:r w:rsidR="001A3446">
        <w:rPr>
          <w:rFonts w:asciiTheme="minorHAnsi" w:hAnsiTheme="minorHAnsi"/>
          <w:color w:val="000000" w:themeColor="text1"/>
        </w:rPr>
        <w:t>sations</w:t>
      </w:r>
      <w:r>
        <w:rPr>
          <w:rFonts w:asciiTheme="minorHAnsi" w:hAnsiTheme="minorHAnsi"/>
          <w:color w:val="000000" w:themeColor="text1"/>
        </w:rPr>
        <w:t xml:space="preserve"> eco-friendly values, helping shift the negative culture currently present. </w:t>
      </w:r>
    </w:p>
    <w:p w14:paraId="35539BCC" w14:textId="77777777" w:rsidR="000E1C25" w:rsidRDefault="000E1C25" w:rsidP="00660FA7">
      <w:pPr>
        <w:pStyle w:val="Nornal"/>
        <w:spacing w:after="0" w:line="240" w:lineRule="auto"/>
        <w:rPr>
          <w:rFonts w:asciiTheme="minorHAnsi" w:hAnsiTheme="minorHAnsi"/>
          <w:color w:val="000000" w:themeColor="text1"/>
        </w:rPr>
      </w:pPr>
    </w:p>
    <w:p w14:paraId="26A82813" w14:textId="03DCA62C" w:rsidR="000E1C25" w:rsidRPr="00966C1A" w:rsidRDefault="000E1C25" w:rsidP="00660FA7">
      <w:pPr>
        <w:pStyle w:val="Nornal"/>
        <w:spacing w:after="0" w:line="240" w:lineRule="auto"/>
        <w:rPr>
          <w:rFonts w:asciiTheme="minorHAnsi" w:hAnsiTheme="minorHAnsi"/>
          <w:color w:val="000000" w:themeColor="text1"/>
        </w:rPr>
      </w:pPr>
      <w:r>
        <w:rPr>
          <w:rFonts w:asciiTheme="minorHAnsi" w:hAnsiTheme="minorHAnsi"/>
          <w:color w:val="000000" w:themeColor="text1"/>
        </w:rPr>
        <w:t xml:space="preserve">Contingent rewards can significantly enhance performance at all levels by reinforcing desired behaviours, encouraging collaboration and aligning employee effort with organisational goals. For </w:t>
      </w:r>
      <w:r w:rsidR="00126BC5">
        <w:rPr>
          <w:rFonts w:asciiTheme="minorHAnsi" w:hAnsiTheme="minorHAnsi"/>
          <w:color w:val="000000"/>
        </w:rPr>
        <w:t>GreenFriendlyEco</w:t>
      </w:r>
      <w:r w:rsidR="00126BC5">
        <w:rPr>
          <w:rFonts w:asciiTheme="minorHAnsi" w:hAnsiTheme="minorHAnsi"/>
          <w:color w:val="000000" w:themeColor="text1"/>
        </w:rPr>
        <w:t xml:space="preserve"> </w:t>
      </w:r>
      <w:r>
        <w:rPr>
          <w:rFonts w:asciiTheme="minorHAnsi" w:hAnsiTheme="minorHAnsi"/>
          <w:color w:val="000000" w:themeColor="text1"/>
        </w:rPr>
        <w:t xml:space="preserve">introducing well-designed contingent reward mechanisms could help address turnover, improve morale and support a more positive and performance driven culture. </w:t>
      </w:r>
    </w:p>
    <w:p w14:paraId="3E0C6569" w14:textId="77777777" w:rsidR="00660FA7" w:rsidRPr="00962F9E" w:rsidRDefault="00660FA7" w:rsidP="00660FA7">
      <w:pPr>
        <w:pStyle w:val="Nornal"/>
        <w:spacing w:after="0" w:line="240" w:lineRule="auto"/>
        <w:rPr>
          <w:rFonts w:ascii="Trebuchet MS" w:hAnsi="Trebuchet MS"/>
          <w:color w:val="000000"/>
        </w:rPr>
      </w:pPr>
    </w:p>
    <w:p w14:paraId="0CF72789" w14:textId="77777777" w:rsidR="00962F9E" w:rsidRPr="00E446B9" w:rsidRDefault="00962F9E" w:rsidP="00057605">
      <w:pPr>
        <w:pStyle w:val="Nornal"/>
        <w:spacing w:after="0" w:line="240" w:lineRule="auto"/>
        <w:rPr>
          <w:rFonts w:ascii="Trebuchet MS" w:hAnsi="Trebuchet MS"/>
          <w:color w:val="000000"/>
        </w:rPr>
      </w:pPr>
    </w:p>
    <w:p w14:paraId="2078F2FE" w14:textId="0ACC7CB0" w:rsidR="00962F9E" w:rsidRDefault="00962F9E" w:rsidP="00057605">
      <w:pPr>
        <w:pStyle w:val="Nornal"/>
        <w:spacing w:after="0" w:line="240" w:lineRule="auto"/>
        <w:rPr>
          <w:rFonts w:ascii="Trebuchet MS" w:hAnsi="Trebuchet MS"/>
          <w:color w:val="000000"/>
        </w:rPr>
      </w:pPr>
      <w:r w:rsidRPr="00E446B9">
        <w:rPr>
          <w:rFonts w:ascii="Trebuchet MS" w:hAnsi="Trebuchet MS"/>
          <w:color w:val="000000"/>
        </w:rPr>
        <w:t xml:space="preserve"> (AC 2.3)</w:t>
      </w:r>
    </w:p>
    <w:p w14:paraId="6B7B7009" w14:textId="77777777" w:rsidR="000E1C25" w:rsidRDefault="000E1C25" w:rsidP="000E1C25">
      <w:pPr>
        <w:pStyle w:val="Nornal"/>
        <w:spacing w:after="0" w:line="240" w:lineRule="auto"/>
        <w:rPr>
          <w:rFonts w:ascii="Trebuchet MS" w:hAnsi="Trebuchet MS"/>
          <w:color w:val="000000"/>
        </w:rPr>
      </w:pPr>
    </w:p>
    <w:p w14:paraId="3F4421DB" w14:textId="56B1681A" w:rsidR="007E46C2" w:rsidRDefault="000E1C25" w:rsidP="000E1C25">
      <w:pPr>
        <w:pStyle w:val="Nornal"/>
        <w:spacing w:after="0" w:line="240" w:lineRule="auto"/>
        <w:rPr>
          <w:rFonts w:asciiTheme="minorHAnsi" w:hAnsiTheme="minorHAnsi"/>
          <w:color w:val="000000"/>
        </w:rPr>
      </w:pPr>
      <w:r>
        <w:rPr>
          <w:rFonts w:asciiTheme="minorHAnsi" w:hAnsiTheme="minorHAnsi"/>
          <w:color w:val="000000"/>
        </w:rPr>
        <w:t>Employee benefits form an important part of an organisations total reward offering. They include financial and non-financial provisions that support employee wellbeing, security and work-life balance. According to CIPD (2023</w:t>
      </w:r>
      <w:r w:rsidR="007E46C2">
        <w:rPr>
          <w:rFonts w:asciiTheme="minorHAnsi" w:hAnsiTheme="minorHAnsi"/>
          <w:color w:val="000000"/>
        </w:rPr>
        <w:t xml:space="preserve">), benefits help organisations attract talent, improve </w:t>
      </w:r>
      <w:r w:rsidR="007E46C2">
        <w:rPr>
          <w:rFonts w:asciiTheme="minorHAnsi" w:hAnsiTheme="minorHAnsi"/>
          <w:color w:val="000000"/>
        </w:rPr>
        <w:lastRenderedPageBreak/>
        <w:t>retention and strengthen the psychological contract. Different types of benefits offer different advantages depending on organisational needs, workforce demographics and strategic priorities.</w:t>
      </w:r>
    </w:p>
    <w:p w14:paraId="0FCAAAFF" w14:textId="77777777" w:rsidR="007E46C2" w:rsidRDefault="007E46C2" w:rsidP="000E1C25">
      <w:pPr>
        <w:pStyle w:val="Nornal"/>
        <w:spacing w:after="0" w:line="240" w:lineRule="auto"/>
        <w:rPr>
          <w:rFonts w:asciiTheme="minorHAnsi" w:hAnsiTheme="minorHAnsi"/>
          <w:color w:val="000000"/>
        </w:rPr>
      </w:pPr>
    </w:p>
    <w:p w14:paraId="67DF1B57" w14:textId="414F9A4A" w:rsidR="007E46C2" w:rsidRDefault="007E46C2" w:rsidP="000E1C25">
      <w:pPr>
        <w:pStyle w:val="Nornal"/>
        <w:spacing w:after="0" w:line="240" w:lineRule="auto"/>
        <w:rPr>
          <w:rFonts w:asciiTheme="minorHAnsi" w:hAnsiTheme="minorHAnsi"/>
          <w:color w:val="000000"/>
        </w:rPr>
      </w:pPr>
      <w:r>
        <w:rPr>
          <w:rFonts w:asciiTheme="minorHAnsi" w:hAnsiTheme="minorHAnsi"/>
          <w:color w:val="000000"/>
        </w:rPr>
        <w:t xml:space="preserve">Financial benefits include pensions, life assurance, income protection and share schemes. Their main merit is security, as they provide employees with long term financial stability. Armstrong (2021), notes that financial benefits are highly valued and can significantly enhance retention. </w:t>
      </w:r>
      <w:r w:rsidR="00636621">
        <w:rPr>
          <w:rFonts w:asciiTheme="minorHAnsi" w:hAnsiTheme="minorHAnsi"/>
          <w:color w:val="000000"/>
        </w:rPr>
        <w:t>GreenFriendlyEco</w:t>
      </w:r>
      <w:r w:rsidR="00636621">
        <w:rPr>
          <w:rFonts w:asciiTheme="minorHAnsi" w:hAnsiTheme="minorHAnsi"/>
          <w:color w:val="000000"/>
        </w:rPr>
        <w:t xml:space="preserve"> </w:t>
      </w:r>
      <w:r w:rsidR="00291D83">
        <w:rPr>
          <w:rFonts w:asciiTheme="minorHAnsi" w:hAnsiTheme="minorHAnsi"/>
          <w:color w:val="000000"/>
        </w:rPr>
        <w:t>need to</w:t>
      </w:r>
      <w:r w:rsidR="001A28AF">
        <w:rPr>
          <w:rFonts w:asciiTheme="minorHAnsi" w:hAnsiTheme="minorHAnsi"/>
          <w:color w:val="000000"/>
        </w:rPr>
        <w:t xml:space="preserve"> ensure</w:t>
      </w:r>
      <w:r>
        <w:rPr>
          <w:rFonts w:asciiTheme="minorHAnsi" w:hAnsiTheme="minorHAnsi"/>
          <w:color w:val="000000"/>
        </w:rPr>
        <w:t xml:space="preserve"> that pension arrangements are fair and consistent across all staff</w:t>
      </w:r>
      <w:r w:rsidR="00291D83">
        <w:rPr>
          <w:rFonts w:asciiTheme="minorHAnsi" w:hAnsiTheme="minorHAnsi"/>
          <w:color w:val="000000"/>
        </w:rPr>
        <w:t>, which</w:t>
      </w:r>
      <w:r>
        <w:rPr>
          <w:rFonts w:asciiTheme="minorHAnsi" w:hAnsiTheme="minorHAnsi"/>
          <w:color w:val="000000"/>
        </w:rPr>
        <w:t xml:space="preserve"> could help rebuild trust and address concerns about preferential treatment for senior employees. </w:t>
      </w:r>
    </w:p>
    <w:p w14:paraId="2C27555E" w14:textId="77777777" w:rsidR="007E46C2" w:rsidRDefault="007E46C2" w:rsidP="000E1C25">
      <w:pPr>
        <w:pStyle w:val="Nornal"/>
        <w:spacing w:after="0" w:line="240" w:lineRule="auto"/>
        <w:rPr>
          <w:rFonts w:asciiTheme="minorHAnsi" w:hAnsiTheme="minorHAnsi"/>
          <w:color w:val="000000"/>
        </w:rPr>
      </w:pPr>
    </w:p>
    <w:p w14:paraId="1146A089" w14:textId="49FC1658" w:rsidR="007E46C2" w:rsidRDefault="007E46C2" w:rsidP="000E1C25">
      <w:pPr>
        <w:pStyle w:val="Nornal"/>
        <w:spacing w:after="0" w:line="240" w:lineRule="auto"/>
        <w:rPr>
          <w:rFonts w:asciiTheme="minorHAnsi" w:hAnsiTheme="minorHAnsi"/>
          <w:color w:val="000000"/>
        </w:rPr>
      </w:pPr>
      <w:r>
        <w:rPr>
          <w:rFonts w:asciiTheme="minorHAnsi" w:hAnsiTheme="minorHAnsi"/>
          <w:color w:val="000000"/>
        </w:rPr>
        <w:t xml:space="preserve">Health and wellbeing benefits include private medical insurance, </w:t>
      </w:r>
      <w:r w:rsidR="00291D83">
        <w:rPr>
          <w:rFonts w:asciiTheme="minorHAnsi" w:hAnsiTheme="minorHAnsi"/>
          <w:color w:val="000000"/>
        </w:rPr>
        <w:t>Employee As</w:t>
      </w:r>
      <w:r>
        <w:rPr>
          <w:rFonts w:asciiTheme="minorHAnsi" w:hAnsiTheme="minorHAnsi"/>
          <w:color w:val="000000"/>
        </w:rPr>
        <w:t xml:space="preserve">sistance </w:t>
      </w:r>
      <w:r w:rsidR="00291D83">
        <w:rPr>
          <w:rFonts w:asciiTheme="minorHAnsi" w:hAnsiTheme="minorHAnsi"/>
          <w:color w:val="000000"/>
        </w:rPr>
        <w:t>P</w:t>
      </w:r>
      <w:r>
        <w:rPr>
          <w:rFonts w:asciiTheme="minorHAnsi" w:hAnsiTheme="minorHAnsi"/>
          <w:color w:val="000000"/>
        </w:rPr>
        <w:t>rogrammes, dental cover and wellbeing initiative</w:t>
      </w:r>
      <w:r w:rsidR="00AD6B37">
        <w:rPr>
          <w:rFonts w:asciiTheme="minorHAnsi" w:hAnsiTheme="minorHAnsi"/>
          <w:color w:val="000000"/>
        </w:rPr>
        <w:t>s</w:t>
      </w:r>
      <w:r>
        <w:rPr>
          <w:rFonts w:asciiTheme="minorHAnsi" w:hAnsiTheme="minorHAnsi"/>
          <w:color w:val="000000"/>
        </w:rPr>
        <w:t>. CIPD (20</w:t>
      </w:r>
      <w:r w:rsidR="009C7D9E">
        <w:rPr>
          <w:rFonts w:asciiTheme="minorHAnsi" w:hAnsiTheme="minorHAnsi"/>
          <w:color w:val="000000"/>
        </w:rPr>
        <w:t>2</w:t>
      </w:r>
      <w:r>
        <w:rPr>
          <w:rFonts w:asciiTheme="minorHAnsi" w:hAnsiTheme="minorHAnsi"/>
          <w:color w:val="000000"/>
        </w:rPr>
        <w:t xml:space="preserve">2) highlights that these benefits support physical and mental health, reducing sickness absence and improving productivity. Brown and Reilly (2013) also emphasise that wellbeing benefits </w:t>
      </w:r>
      <w:r w:rsidR="00151A6E">
        <w:rPr>
          <w:rFonts w:asciiTheme="minorHAnsi" w:hAnsiTheme="minorHAnsi"/>
          <w:color w:val="000000"/>
        </w:rPr>
        <w:t>show employees that the organisation cares about them,</w:t>
      </w:r>
      <w:r>
        <w:rPr>
          <w:rFonts w:asciiTheme="minorHAnsi" w:hAnsiTheme="minorHAnsi"/>
          <w:color w:val="000000"/>
        </w:rPr>
        <w:t xml:space="preserve"> strengthening engagement. Introducing wellbeing support for employees at </w:t>
      </w:r>
      <w:r w:rsidR="007C1CA7">
        <w:rPr>
          <w:rFonts w:asciiTheme="minorHAnsi" w:hAnsiTheme="minorHAnsi"/>
          <w:color w:val="000000"/>
        </w:rPr>
        <w:t>GreenFriendlyEco</w:t>
      </w:r>
      <w:r w:rsidR="007C1CA7">
        <w:rPr>
          <w:rFonts w:asciiTheme="minorHAnsi" w:hAnsiTheme="minorHAnsi"/>
          <w:color w:val="000000"/>
        </w:rPr>
        <w:t xml:space="preserve"> </w:t>
      </w:r>
      <w:r>
        <w:rPr>
          <w:rFonts w:asciiTheme="minorHAnsi" w:hAnsiTheme="minorHAnsi"/>
          <w:color w:val="000000"/>
        </w:rPr>
        <w:t xml:space="preserve">could help address low morale and improve the overall culture. </w:t>
      </w:r>
    </w:p>
    <w:p w14:paraId="1BF0733F" w14:textId="77777777" w:rsidR="007E46C2" w:rsidRDefault="007E46C2" w:rsidP="000E1C25">
      <w:pPr>
        <w:pStyle w:val="Nornal"/>
        <w:spacing w:after="0" w:line="240" w:lineRule="auto"/>
        <w:rPr>
          <w:rFonts w:asciiTheme="minorHAnsi" w:hAnsiTheme="minorHAnsi"/>
          <w:color w:val="000000"/>
        </w:rPr>
      </w:pPr>
    </w:p>
    <w:p w14:paraId="01C3EBB2" w14:textId="4480C668" w:rsidR="007E46C2" w:rsidRDefault="00FF1351" w:rsidP="000E1C25">
      <w:pPr>
        <w:pStyle w:val="Nornal"/>
        <w:spacing w:after="0" w:line="240" w:lineRule="auto"/>
        <w:rPr>
          <w:rFonts w:asciiTheme="minorHAnsi" w:hAnsiTheme="minorHAnsi"/>
          <w:color w:val="000000"/>
        </w:rPr>
      </w:pPr>
      <w:r>
        <w:rPr>
          <w:rFonts w:asciiTheme="minorHAnsi" w:hAnsiTheme="minorHAnsi"/>
          <w:color w:val="000000"/>
        </w:rPr>
        <w:t xml:space="preserve">Work-life benefits include flexible working, enhanced parental leave, additional holidays and childcare support. Armstrong and Taylor (2020) argue that these benefits improve work-life balance and are increasingly important for retention. Torrington et al. (2020) note that flexible working also supports inclusion and widens the talent pool. If </w:t>
      </w:r>
      <w:r w:rsidR="00A00EF0">
        <w:rPr>
          <w:rFonts w:asciiTheme="minorHAnsi" w:hAnsiTheme="minorHAnsi"/>
          <w:color w:val="000000"/>
        </w:rPr>
        <w:t>GreenFriendlyEco</w:t>
      </w:r>
      <w:r w:rsidR="00A00EF0">
        <w:rPr>
          <w:rFonts w:asciiTheme="minorHAnsi" w:hAnsiTheme="minorHAnsi"/>
          <w:color w:val="000000"/>
        </w:rPr>
        <w:t xml:space="preserve"> </w:t>
      </w:r>
      <w:r>
        <w:rPr>
          <w:rFonts w:asciiTheme="minorHAnsi" w:hAnsiTheme="minorHAnsi"/>
          <w:color w:val="000000"/>
        </w:rPr>
        <w:t>offers more flexible arrangements, this could help attract skilled workers in a competitive market.</w:t>
      </w:r>
    </w:p>
    <w:p w14:paraId="3FE5E1DF" w14:textId="77777777" w:rsidR="00FF1351" w:rsidRDefault="00FF1351" w:rsidP="000E1C25">
      <w:pPr>
        <w:pStyle w:val="Nornal"/>
        <w:spacing w:after="0" w:line="240" w:lineRule="auto"/>
        <w:rPr>
          <w:rFonts w:asciiTheme="minorHAnsi" w:hAnsiTheme="minorHAnsi"/>
          <w:color w:val="000000"/>
        </w:rPr>
      </w:pPr>
    </w:p>
    <w:p w14:paraId="18E00EB1" w14:textId="1C1ED9E6" w:rsidR="00FF1351" w:rsidRDefault="00FF1351" w:rsidP="000E1C25">
      <w:pPr>
        <w:pStyle w:val="Nornal"/>
        <w:spacing w:after="0" w:line="240" w:lineRule="auto"/>
        <w:rPr>
          <w:rFonts w:asciiTheme="minorHAnsi" w:hAnsiTheme="minorHAnsi"/>
          <w:color w:val="000000"/>
        </w:rPr>
      </w:pPr>
      <w:r>
        <w:rPr>
          <w:rFonts w:asciiTheme="minorHAnsi" w:hAnsiTheme="minorHAnsi"/>
          <w:color w:val="000000"/>
        </w:rPr>
        <w:t xml:space="preserve">Lifestyle and voluntary benefits include retail discounts, cycle-to-work schemes and gym memberships. Their merit lies in personalisation, as employees can choose benefits that suit their needs. Milkovich, Newman and Gerhart (2014) highlight that voluntary benefits are often low-cost for employers but high value for employees. These could enhance </w:t>
      </w:r>
      <w:r w:rsidR="0087398D">
        <w:rPr>
          <w:rFonts w:asciiTheme="minorHAnsi" w:hAnsiTheme="minorHAnsi"/>
          <w:color w:val="000000"/>
        </w:rPr>
        <w:t>GreenFriendlyEco</w:t>
      </w:r>
      <w:r w:rsidR="0087398D">
        <w:rPr>
          <w:rFonts w:asciiTheme="minorHAnsi" w:hAnsiTheme="minorHAnsi"/>
          <w:color w:val="000000"/>
        </w:rPr>
        <w:t xml:space="preserve"> </w:t>
      </w:r>
      <w:r>
        <w:rPr>
          <w:rFonts w:asciiTheme="minorHAnsi" w:hAnsiTheme="minorHAnsi"/>
          <w:color w:val="000000"/>
        </w:rPr>
        <w:t>employee experience without significantly increasing expenditure.</w:t>
      </w:r>
    </w:p>
    <w:p w14:paraId="0FF860D4" w14:textId="77777777" w:rsidR="00FF1351" w:rsidRDefault="00FF1351" w:rsidP="000E1C25">
      <w:pPr>
        <w:pStyle w:val="Nornal"/>
        <w:spacing w:after="0" w:line="240" w:lineRule="auto"/>
        <w:rPr>
          <w:rFonts w:asciiTheme="minorHAnsi" w:hAnsiTheme="minorHAnsi"/>
          <w:color w:val="000000"/>
        </w:rPr>
      </w:pPr>
    </w:p>
    <w:p w14:paraId="20A3C14A" w14:textId="1B3B0ED5" w:rsidR="00FF1351" w:rsidRDefault="00FF1351" w:rsidP="000E1C25">
      <w:pPr>
        <w:pStyle w:val="Nornal"/>
        <w:spacing w:after="0" w:line="240" w:lineRule="auto"/>
        <w:rPr>
          <w:rFonts w:asciiTheme="minorHAnsi" w:hAnsiTheme="minorHAnsi"/>
          <w:color w:val="000000"/>
        </w:rPr>
      </w:pPr>
      <w:r>
        <w:rPr>
          <w:rFonts w:asciiTheme="minorHAnsi" w:hAnsiTheme="minorHAnsi"/>
          <w:color w:val="000000"/>
        </w:rPr>
        <w:t xml:space="preserve">Developing opportunities, training and recognition schemes are increasingly considered part of a modern benefits package. Thompson (2011) notes that development benefits support intrinsic motivation and </w:t>
      </w:r>
      <w:r w:rsidR="00EF0D54">
        <w:rPr>
          <w:rFonts w:asciiTheme="minorHAnsi" w:hAnsiTheme="minorHAnsi"/>
          <w:color w:val="000000"/>
        </w:rPr>
        <w:t>long-term</w:t>
      </w:r>
      <w:r>
        <w:rPr>
          <w:rFonts w:asciiTheme="minorHAnsi" w:hAnsiTheme="minorHAnsi"/>
          <w:color w:val="000000"/>
        </w:rPr>
        <w:t xml:space="preserve"> capability building. Reilly and Brown (2008) also argue that recognition strengthens engagement and discretionary effort. By offering </w:t>
      </w:r>
      <w:r w:rsidR="00EF0D54">
        <w:rPr>
          <w:rFonts w:asciiTheme="minorHAnsi" w:hAnsiTheme="minorHAnsi"/>
          <w:color w:val="000000"/>
        </w:rPr>
        <w:t xml:space="preserve">a </w:t>
      </w:r>
      <w:r>
        <w:rPr>
          <w:rFonts w:asciiTheme="minorHAnsi" w:hAnsiTheme="minorHAnsi"/>
          <w:color w:val="000000"/>
        </w:rPr>
        <w:t xml:space="preserve">structured development pathways to employees, </w:t>
      </w:r>
      <w:r w:rsidR="00453EB6">
        <w:rPr>
          <w:rFonts w:asciiTheme="minorHAnsi" w:hAnsiTheme="minorHAnsi"/>
          <w:color w:val="000000"/>
        </w:rPr>
        <w:t>GreenFriendlyEco</w:t>
      </w:r>
      <w:r w:rsidR="00453EB6">
        <w:rPr>
          <w:rFonts w:asciiTheme="minorHAnsi" w:hAnsiTheme="minorHAnsi"/>
          <w:color w:val="000000"/>
        </w:rPr>
        <w:t xml:space="preserve"> </w:t>
      </w:r>
      <w:r>
        <w:rPr>
          <w:rFonts w:asciiTheme="minorHAnsi" w:hAnsiTheme="minorHAnsi"/>
          <w:color w:val="000000"/>
        </w:rPr>
        <w:t xml:space="preserve">would retain skilled employees and reduce turnover. </w:t>
      </w:r>
    </w:p>
    <w:p w14:paraId="32ED22EA" w14:textId="77777777" w:rsidR="00FF1351" w:rsidRDefault="00FF1351" w:rsidP="000E1C25">
      <w:pPr>
        <w:pStyle w:val="Nornal"/>
        <w:spacing w:after="0" w:line="240" w:lineRule="auto"/>
        <w:rPr>
          <w:rFonts w:asciiTheme="minorHAnsi" w:hAnsiTheme="minorHAnsi"/>
          <w:color w:val="000000"/>
        </w:rPr>
      </w:pPr>
    </w:p>
    <w:p w14:paraId="0116805F" w14:textId="6AA3038F" w:rsidR="00962F9E" w:rsidRPr="00057605" w:rsidRDefault="00FF1351" w:rsidP="00962F9E">
      <w:pPr>
        <w:pStyle w:val="Nornal"/>
        <w:spacing w:after="0" w:line="240" w:lineRule="auto"/>
        <w:rPr>
          <w:rFonts w:asciiTheme="minorHAnsi" w:hAnsiTheme="minorHAnsi"/>
          <w:color w:val="000000"/>
        </w:rPr>
      </w:pPr>
      <w:r>
        <w:rPr>
          <w:rFonts w:asciiTheme="minorHAnsi" w:hAnsiTheme="minorHAnsi"/>
          <w:color w:val="000000"/>
        </w:rPr>
        <w:t xml:space="preserve">Different types of benefits offer different advantages, from financial security and wellbeing support to flexibility and personalisation. A balanced benefits package helps organisations attract and retain talent, improve morale and support sustained performance. </w:t>
      </w:r>
      <w:r w:rsidR="009A52AB">
        <w:rPr>
          <w:rFonts w:asciiTheme="minorHAnsi" w:hAnsiTheme="minorHAnsi"/>
          <w:color w:val="000000"/>
        </w:rPr>
        <w:t xml:space="preserve">By </w:t>
      </w:r>
      <w:r w:rsidR="00B02509">
        <w:rPr>
          <w:rFonts w:asciiTheme="minorHAnsi" w:hAnsiTheme="minorHAnsi"/>
          <w:color w:val="000000"/>
        </w:rPr>
        <w:t>GreenFriendlyEco</w:t>
      </w:r>
      <w:r w:rsidR="00B02509">
        <w:rPr>
          <w:rFonts w:asciiTheme="minorHAnsi" w:hAnsiTheme="minorHAnsi"/>
          <w:color w:val="000000"/>
        </w:rPr>
        <w:t xml:space="preserve"> </w:t>
      </w:r>
      <w:r w:rsidR="009A52AB">
        <w:rPr>
          <w:rFonts w:asciiTheme="minorHAnsi" w:hAnsiTheme="minorHAnsi"/>
          <w:color w:val="000000"/>
        </w:rPr>
        <w:t xml:space="preserve">reviewing and modernising </w:t>
      </w:r>
      <w:proofErr w:type="spellStart"/>
      <w:proofErr w:type="gramStart"/>
      <w:r w:rsidR="009A52AB">
        <w:rPr>
          <w:rFonts w:asciiTheme="minorHAnsi" w:hAnsiTheme="minorHAnsi"/>
          <w:color w:val="000000"/>
        </w:rPr>
        <w:t>it’s</w:t>
      </w:r>
      <w:proofErr w:type="spellEnd"/>
      <w:proofErr w:type="gramEnd"/>
      <w:r w:rsidR="009A52AB">
        <w:rPr>
          <w:rFonts w:asciiTheme="minorHAnsi" w:hAnsiTheme="minorHAnsi"/>
          <w:color w:val="000000"/>
        </w:rPr>
        <w:t xml:space="preserve"> benefits package </w:t>
      </w:r>
      <w:r w:rsidR="00C6142E">
        <w:rPr>
          <w:rFonts w:asciiTheme="minorHAnsi" w:hAnsiTheme="minorHAnsi"/>
          <w:color w:val="000000"/>
        </w:rPr>
        <w:t xml:space="preserve">would play a key role in improving culture, fairness and employee engagement. </w:t>
      </w:r>
    </w:p>
    <w:p w14:paraId="5B0EAC53" w14:textId="77777777" w:rsidR="00962F9E" w:rsidRPr="00E446B9" w:rsidRDefault="00962F9E" w:rsidP="00962F9E">
      <w:pPr>
        <w:pStyle w:val="ListParagraph"/>
        <w:rPr>
          <w:rFonts w:ascii="Trebuchet MS" w:hAnsi="Trebuchet MS"/>
          <w:color w:val="000000"/>
        </w:rPr>
      </w:pPr>
    </w:p>
    <w:p w14:paraId="5CF5D2E1" w14:textId="634A86E3" w:rsidR="00962F9E" w:rsidRPr="00E446B9" w:rsidRDefault="00962F9E" w:rsidP="00057605">
      <w:pPr>
        <w:pStyle w:val="Nornal"/>
        <w:spacing w:after="0" w:line="240" w:lineRule="auto"/>
        <w:rPr>
          <w:rFonts w:ascii="Trebuchet MS" w:hAnsi="Trebuchet MS"/>
          <w:color w:val="000000"/>
        </w:rPr>
      </w:pPr>
      <w:r w:rsidRPr="00E446B9">
        <w:rPr>
          <w:rFonts w:ascii="Trebuchet MS" w:hAnsi="Trebuchet MS"/>
          <w:color w:val="000000"/>
        </w:rPr>
        <w:t xml:space="preserve"> (AC 2.4)</w:t>
      </w:r>
    </w:p>
    <w:p w14:paraId="5DA7DCB3" w14:textId="77777777" w:rsidR="00962F9E" w:rsidRDefault="00962F9E" w:rsidP="00962F9E">
      <w:pPr>
        <w:rPr>
          <w:rFonts w:ascii="Trebuchet MS" w:hAnsi="Trebuchet MS"/>
          <w:color w:val="000000"/>
        </w:rPr>
      </w:pPr>
    </w:p>
    <w:p w14:paraId="63FCC791" w14:textId="48384501" w:rsidR="00306B75" w:rsidRDefault="002F7671" w:rsidP="00962F9E">
      <w:pPr>
        <w:rPr>
          <w:rFonts w:asciiTheme="minorHAnsi" w:hAnsiTheme="minorHAnsi"/>
          <w:color w:val="000000"/>
        </w:rPr>
      </w:pPr>
      <w:r>
        <w:rPr>
          <w:rFonts w:asciiTheme="minorHAnsi" w:hAnsiTheme="minorHAnsi"/>
          <w:color w:val="000000"/>
        </w:rPr>
        <w:t>Recognition schemes are an important part of an organisations total reward strategy</w:t>
      </w:r>
      <w:r w:rsidR="0088708F">
        <w:rPr>
          <w:rFonts w:asciiTheme="minorHAnsi" w:hAnsiTheme="minorHAnsi"/>
          <w:color w:val="000000"/>
        </w:rPr>
        <w:t>. Unlike financial incentives, recognition focuses on acknowledging positive behaviours</w:t>
      </w:r>
      <w:r w:rsidR="00C93690">
        <w:rPr>
          <w:rFonts w:asciiTheme="minorHAnsi" w:hAnsiTheme="minorHAnsi"/>
          <w:color w:val="000000"/>
        </w:rPr>
        <w:t xml:space="preserve">, efforts and contribution. According to Armstrong (2021), effective recognition strengthens motivation, engagement </w:t>
      </w:r>
      <w:r w:rsidR="00D15703">
        <w:rPr>
          <w:rFonts w:asciiTheme="minorHAnsi" w:hAnsiTheme="minorHAnsi"/>
          <w:color w:val="000000"/>
        </w:rPr>
        <w:t xml:space="preserve">and organisational </w:t>
      </w:r>
      <w:r w:rsidR="00C647B2">
        <w:rPr>
          <w:rFonts w:asciiTheme="minorHAnsi" w:hAnsiTheme="minorHAnsi"/>
          <w:color w:val="000000"/>
        </w:rPr>
        <w:t xml:space="preserve">culture. Different types of recognition schemes offer different advantages depending on organisational needs and workforce expectations. </w:t>
      </w:r>
    </w:p>
    <w:p w14:paraId="198D6B4E" w14:textId="77777777" w:rsidR="00C647B2" w:rsidRDefault="00C647B2" w:rsidP="00962F9E">
      <w:pPr>
        <w:rPr>
          <w:rFonts w:asciiTheme="minorHAnsi" w:hAnsiTheme="minorHAnsi"/>
          <w:color w:val="000000"/>
        </w:rPr>
      </w:pPr>
    </w:p>
    <w:p w14:paraId="32985584" w14:textId="1BFE872E" w:rsidR="00AE6025" w:rsidRDefault="00C647B2" w:rsidP="00962F9E">
      <w:pPr>
        <w:rPr>
          <w:rFonts w:asciiTheme="minorHAnsi" w:hAnsiTheme="minorHAnsi"/>
          <w:color w:val="000000"/>
        </w:rPr>
      </w:pPr>
      <w:r>
        <w:rPr>
          <w:rFonts w:asciiTheme="minorHAnsi" w:hAnsiTheme="minorHAnsi"/>
          <w:color w:val="000000"/>
        </w:rPr>
        <w:t xml:space="preserve">Formal </w:t>
      </w:r>
      <w:r w:rsidR="008A239E">
        <w:rPr>
          <w:rFonts w:asciiTheme="minorHAnsi" w:hAnsiTheme="minorHAnsi"/>
          <w:color w:val="000000"/>
        </w:rPr>
        <w:t xml:space="preserve">schemes include structured programmes such as ‘Employee of the Month’, long service awards, annual excellence or formal </w:t>
      </w:r>
      <w:r w:rsidR="00616383">
        <w:rPr>
          <w:rFonts w:asciiTheme="minorHAnsi" w:hAnsiTheme="minorHAnsi"/>
          <w:color w:val="000000"/>
        </w:rPr>
        <w:t xml:space="preserve">certificates. Formal recognition provides consistency and transparency, helping employees understand </w:t>
      </w:r>
      <w:r w:rsidR="00AE6025">
        <w:rPr>
          <w:rFonts w:asciiTheme="minorHAnsi" w:hAnsiTheme="minorHAnsi"/>
          <w:color w:val="000000"/>
        </w:rPr>
        <w:t>what behaviours are valued. Formal recognition is fair, visible and motivational. Brown and Reilly (2013) high</w:t>
      </w:r>
      <w:r w:rsidR="00166DE8">
        <w:rPr>
          <w:rFonts w:asciiTheme="minorHAnsi" w:hAnsiTheme="minorHAnsi"/>
          <w:color w:val="000000"/>
        </w:rPr>
        <w:t xml:space="preserve">light that public recognition reinforces organisational values and boosts morale. A formal recognition scheme for </w:t>
      </w:r>
      <w:r w:rsidR="0038095A">
        <w:rPr>
          <w:rFonts w:asciiTheme="minorHAnsi" w:hAnsiTheme="minorHAnsi"/>
          <w:color w:val="000000"/>
        </w:rPr>
        <w:t>GreenFriendlyEco</w:t>
      </w:r>
      <w:r w:rsidR="0038095A">
        <w:rPr>
          <w:rFonts w:asciiTheme="minorHAnsi" w:hAnsiTheme="minorHAnsi"/>
          <w:color w:val="000000"/>
        </w:rPr>
        <w:t xml:space="preserve"> </w:t>
      </w:r>
      <w:r w:rsidR="003658D6">
        <w:rPr>
          <w:rFonts w:asciiTheme="minorHAnsi" w:hAnsiTheme="minorHAnsi"/>
          <w:color w:val="000000"/>
        </w:rPr>
        <w:t xml:space="preserve">could help address low morale and demonstrate fairness, especially given concerns about inconsistent </w:t>
      </w:r>
      <w:r w:rsidR="001E64AF">
        <w:rPr>
          <w:rFonts w:asciiTheme="minorHAnsi" w:hAnsiTheme="minorHAnsi"/>
          <w:color w:val="000000"/>
        </w:rPr>
        <w:t>treatment between senior and junior staff.</w:t>
      </w:r>
    </w:p>
    <w:p w14:paraId="51BBA0AD" w14:textId="77777777" w:rsidR="001E64AF" w:rsidRDefault="001E64AF" w:rsidP="00962F9E">
      <w:pPr>
        <w:rPr>
          <w:rFonts w:asciiTheme="minorHAnsi" w:hAnsiTheme="minorHAnsi"/>
          <w:color w:val="000000"/>
        </w:rPr>
      </w:pPr>
    </w:p>
    <w:p w14:paraId="2353C116" w14:textId="1981C43C" w:rsidR="00692040" w:rsidRDefault="001E64AF" w:rsidP="00962F9E">
      <w:pPr>
        <w:rPr>
          <w:rFonts w:asciiTheme="minorHAnsi" w:hAnsiTheme="minorHAnsi"/>
          <w:color w:val="000000"/>
        </w:rPr>
      </w:pPr>
      <w:r>
        <w:rPr>
          <w:rFonts w:asciiTheme="minorHAnsi" w:hAnsiTheme="minorHAnsi"/>
          <w:color w:val="000000"/>
        </w:rPr>
        <w:t>Informal recognition includes day to day praise</w:t>
      </w:r>
      <w:r w:rsidR="00E13CCA">
        <w:rPr>
          <w:rFonts w:asciiTheme="minorHAnsi" w:hAnsiTheme="minorHAnsi"/>
          <w:color w:val="000000"/>
        </w:rPr>
        <w:t>, thank you messages and spontaneous acknowledgements. Informal recognition is immediate and reinforces positive</w:t>
      </w:r>
      <w:r w:rsidR="009A3E52">
        <w:rPr>
          <w:rFonts w:asciiTheme="minorHAnsi" w:hAnsiTheme="minorHAnsi"/>
          <w:color w:val="000000"/>
        </w:rPr>
        <w:t xml:space="preserve"> behaviours in real time (</w:t>
      </w:r>
      <w:r w:rsidR="00692040">
        <w:rPr>
          <w:rFonts w:asciiTheme="minorHAnsi" w:hAnsiTheme="minorHAnsi"/>
          <w:color w:val="000000"/>
        </w:rPr>
        <w:t>Armstrong and Taylor, 2020).</w:t>
      </w:r>
      <w:r w:rsidR="00E64B28">
        <w:rPr>
          <w:rFonts w:asciiTheme="minorHAnsi" w:hAnsiTheme="minorHAnsi"/>
          <w:color w:val="000000"/>
        </w:rPr>
        <w:t xml:space="preserve"> </w:t>
      </w:r>
      <w:r w:rsidR="00692040">
        <w:rPr>
          <w:rFonts w:asciiTheme="minorHAnsi" w:hAnsiTheme="minorHAnsi"/>
          <w:color w:val="000000"/>
        </w:rPr>
        <w:t>It</w:t>
      </w:r>
      <w:r w:rsidR="00E64B28">
        <w:rPr>
          <w:rFonts w:asciiTheme="minorHAnsi" w:hAnsiTheme="minorHAnsi"/>
          <w:color w:val="000000"/>
        </w:rPr>
        <w:t>’</w:t>
      </w:r>
      <w:r w:rsidR="00692040">
        <w:rPr>
          <w:rFonts w:asciiTheme="minorHAnsi" w:hAnsiTheme="minorHAnsi"/>
          <w:color w:val="000000"/>
        </w:rPr>
        <w:t xml:space="preserve">s low cost, helps builds relationships and highly meaningful. </w:t>
      </w:r>
      <w:r w:rsidR="00806422">
        <w:rPr>
          <w:rFonts w:asciiTheme="minorHAnsi" w:hAnsiTheme="minorHAnsi"/>
          <w:color w:val="000000"/>
        </w:rPr>
        <w:t>Regular informal appreciation strengthens trust between managers and employees (Torrington et al, 2020)</w:t>
      </w:r>
      <w:r w:rsidR="00AB4734">
        <w:rPr>
          <w:rFonts w:asciiTheme="minorHAnsi" w:hAnsiTheme="minorHAnsi"/>
          <w:color w:val="000000"/>
        </w:rPr>
        <w:t xml:space="preserve">. </w:t>
      </w:r>
      <w:r w:rsidR="00E64B28">
        <w:rPr>
          <w:rFonts w:asciiTheme="minorHAnsi" w:hAnsiTheme="minorHAnsi"/>
          <w:color w:val="000000"/>
        </w:rPr>
        <w:t>GreenFriendlyEco</w:t>
      </w:r>
      <w:r w:rsidR="00E64B28">
        <w:rPr>
          <w:rFonts w:asciiTheme="minorHAnsi" w:hAnsiTheme="minorHAnsi"/>
          <w:color w:val="000000"/>
        </w:rPr>
        <w:t xml:space="preserve"> </w:t>
      </w:r>
      <w:r w:rsidR="00AB4734">
        <w:rPr>
          <w:rFonts w:asciiTheme="minorHAnsi" w:hAnsiTheme="minorHAnsi"/>
          <w:color w:val="000000"/>
        </w:rPr>
        <w:t xml:space="preserve">could benefit from encouraging managers to give more frequent </w:t>
      </w:r>
      <w:r w:rsidR="00281759">
        <w:rPr>
          <w:rFonts w:asciiTheme="minorHAnsi" w:hAnsiTheme="minorHAnsi"/>
          <w:color w:val="000000"/>
        </w:rPr>
        <w:t xml:space="preserve">informal recognition to help rebuild relationships and improve negative culture. </w:t>
      </w:r>
    </w:p>
    <w:p w14:paraId="4E604D23" w14:textId="77777777" w:rsidR="007431B4" w:rsidRDefault="007431B4" w:rsidP="00962F9E">
      <w:pPr>
        <w:rPr>
          <w:rFonts w:asciiTheme="minorHAnsi" w:hAnsiTheme="minorHAnsi"/>
          <w:color w:val="000000"/>
        </w:rPr>
      </w:pPr>
    </w:p>
    <w:p w14:paraId="7157C212" w14:textId="56DAD207" w:rsidR="00F44BF8" w:rsidRDefault="007431B4" w:rsidP="00962F9E">
      <w:pPr>
        <w:rPr>
          <w:rFonts w:asciiTheme="minorHAnsi" w:hAnsiTheme="minorHAnsi"/>
          <w:color w:val="000000"/>
        </w:rPr>
      </w:pPr>
      <w:r>
        <w:rPr>
          <w:rFonts w:asciiTheme="minorHAnsi" w:hAnsiTheme="minorHAnsi"/>
          <w:color w:val="000000"/>
        </w:rPr>
        <w:t xml:space="preserve">Peer-to-peer schemes </w:t>
      </w:r>
      <w:r w:rsidR="0095309C">
        <w:rPr>
          <w:rFonts w:asciiTheme="minorHAnsi" w:hAnsiTheme="minorHAnsi"/>
          <w:color w:val="000000"/>
        </w:rPr>
        <w:t xml:space="preserve">allow employees to recognise </w:t>
      </w:r>
      <w:r w:rsidR="00E64B28">
        <w:rPr>
          <w:rFonts w:asciiTheme="minorHAnsi" w:hAnsiTheme="minorHAnsi"/>
          <w:color w:val="000000"/>
        </w:rPr>
        <w:t>each other’s</w:t>
      </w:r>
      <w:r w:rsidR="0095309C">
        <w:rPr>
          <w:rFonts w:asciiTheme="minorHAnsi" w:hAnsiTheme="minorHAnsi"/>
          <w:color w:val="000000"/>
        </w:rPr>
        <w:t xml:space="preserve"> contributions through nominations</w:t>
      </w:r>
      <w:r w:rsidR="002028A6">
        <w:rPr>
          <w:rFonts w:asciiTheme="minorHAnsi" w:hAnsiTheme="minorHAnsi"/>
          <w:color w:val="000000"/>
        </w:rPr>
        <w:t>, digital platforms or team acknowledgments. Peer recognition enhances collaboration and mutual res</w:t>
      </w:r>
      <w:r w:rsidR="00F44BF8">
        <w:rPr>
          <w:rFonts w:asciiTheme="minorHAnsi" w:hAnsiTheme="minorHAnsi"/>
          <w:color w:val="000000"/>
        </w:rPr>
        <w:t xml:space="preserve">pect within the workforce (Milkovich, Newman and Gerhart, 2014). It is inclusive, strengthens </w:t>
      </w:r>
      <w:r w:rsidR="00E8376B">
        <w:rPr>
          <w:rFonts w:asciiTheme="minorHAnsi" w:hAnsiTheme="minorHAnsi"/>
          <w:color w:val="000000"/>
        </w:rPr>
        <w:t>teamwork</w:t>
      </w:r>
      <w:r w:rsidR="00F44BF8">
        <w:rPr>
          <w:rFonts w:asciiTheme="minorHAnsi" w:hAnsiTheme="minorHAnsi"/>
          <w:color w:val="000000"/>
        </w:rPr>
        <w:t xml:space="preserve"> and </w:t>
      </w:r>
      <w:r w:rsidR="00E050DA">
        <w:rPr>
          <w:rFonts w:asciiTheme="minorHAnsi" w:hAnsiTheme="minorHAnsi"/>
          <w:color w:val="000000"/>
        </w:rPr>
        <w:t xml:space="preserve">builds a supportive culture. Reilly and Brown (2008) </w:t>
      </w:r>
      <w:r w:rsidR="00E8376B">
        <w:rPr>
          <w:rFonts w:asciiTheme="minorHAnsi" w:hAnsiTheme="minorHAnsi"/>
          <w:color w:val="000000"/>
        </w:rPr>
        <w:t>highlight</w:t>
      </w:r>
      <w:r w:rsidR="00575B22">
        <w:rPr>
          <w:rFonts w:asciiTheme="minorHAnsi" w:hAnsiTheme="minorHAnsi"/>
          <w:color w:val="000000"/>
        </w:rPr>
        <w:t xml:space="preserve"> that peer recognition increases engagement because it comes from colleagues who understand the work. </w:t>
      </w:r>
      <w:r w:rsidR="009F77F6">
        <w:rPr>
          <w:rFonts w:asciiTheme="minorHAnsi" w:hAnsiTheme="minorHAnsi"/>
          <w:color w:val="000000"/>
        </w:rPr>
        <w:t xml:space="preserve">Peer recognition could help break down the divisions between skilled and unskilled workers at </w:t>
      </w:r>
      <w:r w:rsidR="00E8376B">
        <w:rPr>
          <w:rFonts w:asciiTheme="minorHAnsi" w:hAnsiTheme="minorHAnsi"/>
          <w:color w:val="000000"/>
        </w:rPr>
        <w:t>GreenFriendlyEco</w:t>
      </w:r>
      <w:r w:rsidR="00E8376B">
        <w:rPr>
          <w:rFonts w:asciiTheme="minorHAnsi" w:hAnsiTheme="minorHAnsi"/>
          <w:color w:val="000000"/>
        </w:rPr>
        <w:t xml:space="preserve"> </w:t>
      </w:r>
      <w:r w:rsidR="00644D51">
        <w:rPr>
          <w:rFonts w:asciiTheme="minorHAnsi" w:hAnsiTheme="minorHAnsi"/>
          <w:color w:val="000000"/>
        </w:rPr>
        <w:t xml:space="preserve">and help promote a more cohesive culture. </w:t>
      </w:r>
    </w:p>
    <w:p w14:paraId="089DD4DD" w14:textId="77777777" w:rsidR="00644D51" w:rsidRDefault="00644D51" w:rsidP="00962F9E">
      <w:pPr>
        <w:rPr>
          <w:rFonts w:asciiTheme="minorHAnsi" w:hAnsiTheme="minorHAnsi"/>
          <w:color w:val="000000"/>
        </w:rPr>
      </w:pPr>
    </w:p>
    <w:p w14:paraId="3E9A7C1F" w14:textId="02F0842D" w:rsidR="00644D51" w:rsidRDefault="00644D51" w:rsidP="00962F9E">
      <w:pPr>
        <w:rPr>
          <w:rFonts w:asciiTheme="minorHAnsi" w:hAnsiTheme="minorHAnsi"/>
          <w:color w:val="000000"/>
        </w:rPr>
      </w:pPr>
      <w:r>
        <w:rPr>
          <w:rFonts w:asciiTheme="minorHAnsi" w:hAnsiTheme="minorHAnsi"/>
          <w:color w:val="000000"/>
        </w:rPr>
        <w:t xml:space="preserve">Manager-led recognition </w:t>
      </w:r>
      <w:r w:rsidR="00882797">
        <w:rPr>
          <w:rFonts w:asciiTheme="minorHAnsi" w:hAnsiTheme="minorHAnsi"/>
          <w:color w:val="000000"/>
        </w:rPr>
        <w:t>includes structured one-to-one praise, performance discussions or personalised</w:t>
      </w:r>
      <w:r w:rsidR="0028654D">
        <w:rPr>
          <w:rFonts w:asciiTheme="minorHAnsi" w:hAnsiTheme="minorHAnsi"/>
          <w:color w:val="000000"/>
        </w:rPr>
        <w:t xml:space="preserve"> acknowledgements from line manager. Recognition from a direct line manager carries significant weight</w:t>
      </w:r>
      <w:r w:rsidR="00CE6C44">
        <w:rPr>
          <w:rFonts w:asciiTheme="minorHAnsi" w:hAnsiTheme="minorHAnsi"/>
          <w:color w:val="000000"/>
        </w:rPr>
        <w:t xml:space="preserve"> and strongly influences motivation (Thompson, 2011). It also supports performance </w:t>
      </w:r>
      <w:r w:rsidR="00FA0A5F">
        <w:rPr>
          <w:rFonts w:asciiTheme="minorHAnsi" w:hAnsiTheme="minorHAnsi"/>
          <w:color w:val="000000"/>
        </w:rPr>
        <w:t xml:space="preserve">management, reinforces expectations that build engagement. </w:t>
      </w:r>
      <w:r w:rsidR="000F008E">
        <w:rPr>
          <w:rFonts w:asciiTheme="minorHAnsi" w:hAnsiTheme="minorHAnsi"/>
          <w:color w:val="000000"/>
        </w:rPr>
        <w:t xml:space="preserve">By strengthening management recognition at </w:t>
      </w:r>
      <w:r w:rsidR="000E393E">
        <w:rPr>
          <w:rFonts w:asciiTheme="minorHAnsi" w:hAnsiTheme="minorHAnsi"/>
          <w:color w:val="000000"/>
        </w:rPr>
        <w:t>GreenFriendlyEco</w:t>
      </w:r>
      <w:r w:rsidR="00014FEE">
        <w:rPr>
          <w:rFonts w:asciiTheme="minorHAnsi" w:hAnsiTheme="minorHAnsi"/>
          <w:color w:val="000000"/>
        </w:rPr>
        <w:t>, it would help clarify performance standards and improve motivation across the teams</w:t>
      </w:r>
      <w:r w:rsidR="005B13FD">
        <w:rPr>
          <w:rFonts w:asciiTheme="minorHAnsi" w:hAnsiTheme="minorHAnsi"/>
          <w:color w:val="000000"/>
        </w:rPr>
        <w:t>.</w:t>
      </w:r>
    </w:p>
    <w:p w14:paraId="26BA3497" w14:textId="77777777" w:rsidR="009C2B93" w:rsidRDefault="009C2B93" w:rsidP="00962F9E">
      <w:pPr>
        <w:rPr>
          <w:rFonts w:asciiTheme="minorHAnsi" w:hAnsiTheme="minorHAnsi"/>
          <w:color w:val="000000"/>
        </w:rPr>
      </w:pPr>
    </w:p>
    <w:p w14:paraId="67956625" w14:textId="0860897E" w:rsidR="009C2B93" w:rsidRDefault="009C2B93" w:rsidP="00962F9E">
      <w:pPr>
        <w:rPr>
          <w:rFonts w:asciiTheme="minorHAnsi" w:hAnsiTheme="minorHAnsi"/>
          <w:color w:val="000000"/>
        </w:rPr>
      </w:pPr>
      <w:r>
        <w:rPr>
          <w:rFonts w:asciiTheme="minorHAnsi" w:hAnsiTheme="minorHAnsi"/>
          <w:color w:val="000000"/>
        </w:rPr>
        <w:t xml:space="preserve">CIPD (2022) highlights that non-financial recognition </w:t>
      </w:r>
      <w:r w:rsidR="00BC48FC">
        <w:rPr>
          <w:rFonts w:asciiTheme="minorHAnsi" w:hAnsiTheme="minorHAnsi"/>
          <w:color w:val="000000"/>
        </w:rPr>
        <w:t xml:space="preserve">supports intrinsic motivation and </w:t>
      </w:r>
      <w:r w:rsidR="000E393E">
        <w:rPr>
          <w:rFonts w:asciiTheme="minorHAnsi" w:hAnsiTheme="minorHAnsi"/>
          <w:color w:val="000000"/>
        </w:rPr>
        <w:t>long-term</w:t>
      </w:r>
      <w:r w:rsidR="00BC48FC">
        <w:rPr>
          <w:rFonts w:asciiTheme="minorHAnsi" w:hAnsiTheme="minorHAnsi"/>
          <w:color w:val="000000"/>
        </w:rPr>
        <w:t xml:space="preserve"> commitment. Examples of non-financial recognition include development opportunities</w:t>
      </w:r>
      <w:r w:rsidR="00D35D78">
        <w:rPr>
          <w:rFonts w:asciiTheme="minorHAnsi" w:hAnsiTheme="minorHAnsi"/>
          <w:color w:val="000000"/>
        </w:rPr>
        <w:t xml:space="preserve"> and additional responsibilities. </w:t>
      </w:r>
      <w:r w:rsidR="00204E67">
        <w:rPr>
          <w:rFonts w:asciiTheme="minorHAnsi" w:hAnsiTheme="minorHAnsi"/>
          <w:color w:val="000000"/>
        </w:rPr>
        <w:t xml:space="preserve">It is cost effective, meaningful and supports career growth. </w:t>
      </w:r>
      <w:r w:rsidR="00E35127">
        <w:rPr>
          <w:rFonts w:asciiTheme="minorHAnsi" w:hAnsiTheme="minorHAnsi"/>
          <w:color w:val="000000"/>
        </w:rPr>
        <w:t>Development</w:t>
      </w:r>
      <w:r w:rsidR="00F5122A">
        <w:rPr>
          <w:rFonts w:asciiTheme="minorHAnsi" w:hAnsiTheme="minorHAnsi"/>
          <w:color w:val="000000"/>
        </w:rPr>
        <w:t>-</w:t>
      </w:r>
      <w:r w:rsidR="00E35127">
        <w:rPr>
          <w:rFonts w:asciiTheme="minorHAnsi" w:hAnsiTheme="minorHAnsi"/>
          <w:color w:val="000000"/>
        </w:rPr>
        <w:t xml:space="preserve">based recognition </w:t>
      </w:r>
      <w:r w:rsidR="00F5122A">
        <w:rPr>
          <w:rFonts w:asciiTheme="minorHAnsi" w:hAnsiTheme="minorHAnsi"/>
          <w:color w:val="000000"/>
        </w:rPr>
        <w:t xml:space="preserve">is particularly effective for retaining </w:t>
      </w:r>
      <w:r w:rsidR="00073E9B">
        <w:rPr>
          <w:rFonts w:asciiTheme="minorHAnsi" w:hAnsiTheme="minorHAnsi"/>
          <w:color w:val="000000"/>
        </w:rPr>
        <w:t>skilled employees</w:t>
      </w:r>
      <w:r w:rsidR="00FB3A00">
        <w:rPr>
          <w:rFonts w:asciiTheme="minorHAnsi" w:hAnsiTheme="minorHAnsi"/>
          <w:color w:val="000000"/>
        </w:rPr>
        <w:t xml:space="preserve">. </w:t>
      </w:r>
      <w:r w:rsidR="000E393E">
        <w:rPr>
          <w:rFonts w:asciiTheme="minorHAnsi" w:hAnsiTheme="minorHAnsi"/>
          <w:color w:val="000000"/>
        </w:rPr>
        <w:t>GreenFriendlyEco</w:t>
      </w:r>
      <w:r w:rsidR="000E393E">
        <w:rPr>
          <w:rFonts w:asciiTheme="minorHAnsi" w:hAnsiTheme="minorHAnsi"/>
          <w:color w:val="000000"/>
        </w:rPr>
        <w:t xml:space="preserve"> </w:t>
      </w:r>
      <w:r w:rsidR="004E329D">
        <w:rPr>
          <w:rFonts w:asciiTheme="minorHAnsi" w:hAnsiTheme="minorHAnsi"/>
          <w:color w:val="000000"/>
        </w:rPr>
        <w:t xml:space="preserve">could </w:t>
      </w:r>
      <w:r w:rsidR="00221A0D">
        <w:rPr>
          <w:rFonts w:asciiTheme="minorHAnsi" w:hAnsiTheme="minorHAnsi"/>
          <w:color w:val="000000"/>
        </w:rPr>
        <w:t xml:space="preserve">retain skilled workers by offering non-financial recognition in the form of progression pathways or project opportunities. </w:t>
      </w:r>
    </w:p>
    <w:p w14:paraId="43219BDA" w14:textId="77777777" w:rsidR="00221A0D" w:rsidRDefault="00221A0D" w:rsidP="00962F9E">
      <w:pPr>
        <w:rPr>
          <w:rFonts w:asciiTheme="minorHAnsi" w:hAnsiTheme="minorHAnsi"/>
          <w:color w:val="000000"/>
        </w:rPr>
      </w:pPr>
    </w:p>
    <w:p w14:paraId="6497A0EA" w14:textId="5E6383E5" w:rsidR="00221A0D" w:rsidRPr="003233F7" w:rsidRDefault="00E32266" w:rsidP="00962F9E">
      <w:pPr>
        <w:rPr>
          <w:rFonts w:asciiTheme="minorHAnsi" w:hAnsiTheme="minorHAnsi"/>
          <w:color w:val="000000"/>
        </w:rPr>
      </w:pPr>
      <w:r>
        <w:rPr>
          <w:rFonts w:asciiTheme="minorHAnsi" w:hAnsiTheme="minorHAnsi"/>
          <w:color w:val="000000"/>
        </w:rPr>
        <w:t xml:space="preserve">A blended approach </w:t>
      </w:r>
      <w:r w:rsidR="00770167">
        <w:rPr>
          <w:rFonts w:asciiTheme="minorHAnsi" w:hAnsiTheme="minorHAnsi"/>
          <w:color w:val="000000"/>
        </w:rPr>
        <w:t xml:space="preserve">of the different types of recognition schemes </w:t>
      </w:r>
      <w:r w:rsidR="003D4B1D">
        <w:rPr>
          <w:rFonts w:asciiTheme="minorHAnsi" w:hAnsiTheme="minorHAnsi"/>
          <w:color w:val="000000"/>
        </w:rPr>
        <w:t>creates a more inclusive and motivating environment. This helps to rebuild trust, improve engagement and support a more positive organisational culture.</w:t>
      </w:r>
    </w:p>
    <w:p w14:paraId="1F743922" w14:textId="77777777" w:rsidR="00962F9E" w:rsidRPr="00E446B9" w:rsidRDefault="00962F9E" w:rsidP="00962F9E">
      <w:pPr>
        <w:rPr>
          <w:rFonts w:ascii="Trebuchet MS" w:hAnsi="Trebuchet MS"/>
          <w:color w:val="000000"/>
        </w:rPr>
      </w:pPr>
    </w:p>
    <w:p w14:paraId="0BCAAC80" w14:textId="2459F027" w:rsidR="00962F9E" w:rsidRDefault="00962F9E" w:rsidP="00057605">
      <w:pPr>
        <w:pStyle w:val="Nornal"/>
        <w:spacing w:after="0" w:line="240" w:lineRule="auto"/>
        <w:rPr>
          <w:rFonts w:ascii="Trebuchet MS" w:hAnsi="Trebuchet MS"/>
          <w:color w:val="000000" w:themeColor="text1"/>
        </w:rPr>
      </w:pPr>
      <w:r w:rsidRPr="00E446B9">
        <w:rPr>
          <w:rFonts w:ascii="Trebuchet MS" w:hAnsi="Trebuchet MS"/>
          <w:color w:val="000000" w:themeColor="text1"/>
        </w:rPr>
        <w:t xml:space="preserve"> (</w:t>
      </w:r>
      <w:r>
        <w:rPr>
          <w:rFonts w:ascii="Trebuchet MS" w:hAnsi="Trebuchet MS"/>
          <w:color w:val="000000" w:themeColor="text1"/>
        </w:rPr>
        <w:t xml:space="preserve">AC </w:t>
      </w:r>
      <w:r w:rsidRPr="00E446B9">
        <w:rPr>
          <w:rFonts w:ascii="Trebuchet MS" w:hAnsi="Trebuchet MS"/>
          <w:color w:val="000000" w:themeColor="text1"/>
        </w:rPr>
        <w:t>3.1)</w:t>
      </w:r>
    </w:p>
    <w:p w14:paraId="1BBC3AF5" w14:textId="77777777" w:rsidR="00962F9E" w:rsidRDefault="00962F9E" w:rsidP="00962F9E">
      <w:pPr>
        <w:pStyle w:val="Nornal"/>
        <w:spacing w:after="0" w:line="240" w:lineRule="auto"/>
        <w:rPr>
          <w:rFonts w:ascii="Trebuchet MS" w:hAnsi="Trebuchet MS"/>
          <w:color w:val="000000" w:themeColor="text1"/>
        </w:rPr>
      </w:pPr>
    </w:p>
    <w:p w14:paraId="6A64B6AF" w14:textId="2ADBC66D" w:rsidR="00003960" w:rsidRDefault="00273EE4" w:rsidP="00962F9E">
      <w:pPr>
        <w:pStyle w:val="Nornal"/>
        <w:spacing w:after="0" w:line="240" w:lineRule="auto"/>
        <w:rPr>
          <w:rFonts w:asciiTheme="minorHAnsi" w:hAnsiTheme="minorHAnsi"/>
        </w:rPr>
      </w:pPr>
      <w:r>
        <w:rPr>
          <w:rFonts w:asciiTheme="minorHAnsi" w:hAnsiTheme="minorHAnsi"/>
        </w:rPr>
        <w:t xml:space="preserve">The reward environment at </w:t>
      </w:r>
      <w:r w:rsidR="000569F6">
        <w:rPr>
          <w:rFonts w:asciiTheme="minorHAnsi" w:hAnsiTheme="minorHAnsi"/>
          <w:color w:val="000000"/>
        </w:rPr>
        <w:t>GreenFriendlyEco</w:t>
      </w:r>
      <w:r w:rsidR="000569F6">
        <w:rPr>
          <w:rFonts w:asciiTheme="minorHAnsi" w:hAnsiTheme="minorHAnsi"/>
        </w:rPr>
        <w:t xml:space="preserve"> </w:t>
      </w:r>
      <w:r>
        <w:rPr>
          <w:rFonts w:asciiTheme="minorHAnsi" w:hAnsiTheme="minorHAnsi"/>
        </w:rPr>
        <w:t xml:space="preserve">is influenced by a range of internal and external business factors that shape how reward strategies </w:t>
      </w:r>
      <w:r w:rsidR="00D879D8">
        <w:rPr>
          <w:rFonts w:asciiTheme="minorHAnsi" w:hAnsiTheme="minorHAnsi"/>
        </w:rPr>
        <w:t xml:space="preserve">should be designed to support organisational performance. </w:t>
      </w:r>
    </w:p>
    <w:p w14:paraId="6921757C" w14:textId="77777777" w:rsidR="00323491" w:rsidRDefault="00323491" w:rsidP="00962F9E">
      <w:pPr>
        <w:pStyle w:val="Nornal"/>
        <w:spacing w:after="0" w:line="240" w:lineRule="auto"/>
        <w:rPr>
          <w:rFonts w:asciiTheme="minorHAnsi" w:hAnsiTheme="minorHAnsi"/>
        </w:rPr>
      </w:pPr>
    </w:p>
    <w:p w14:paraId="2C56C953" w14:textId="5211B570" w:rsidR="00323491" w:rsidRDefault="00323491" w:rsidP="00962F9E">
      <w:pPr>
        <w:pStyle w:val="Nornal"/>
        <w:spacing w:after="0" w:line="240" w:lineRule="auto"/>
        <w:rPr>
          <w:rFonts w:asciiTheme="minorHAnsi" w:hAnsiTheme="minorHAnsi"/>
        </w:rPr>
      </w:pPr>
      <w:r>
        <w:rPr>
          <w:rFonts w:asciiTheme="minorHAnsi" w:hAnsiTheme="minorHAnsi"/>
        </w:rPr>
        <w:lastRenderedPageBreak/>
        <w:t>A key factor is the</w:t>
      </w:r>
      <w:r w:rsidR="00E65268">
        <w:rPr>
          <w:rFonts w:asciiTheme="minorHAnsi" w:hAnsiTheme="minorHAnsi"/>
        </w:rPr>
        <w:t xml:space="preserve"> nature of the</w:t>
      </w:r>
      <w:r>
        <w:rPr>
          <w:rFonts w:asciiTheme="minorHAnsi" w:hAnsiTheme="minorHAnsi"/>
        </w:rPr>
        <w:t xml:space="preserve"> UK manufacturing sector which i</w:t>
      </w:r>
      <w:r w:rsidR="00E65268">
        <w:rPr>
          <w:rFonts w:asciiTheme="minorHAnsi" w:hAnsiTheme="minorHAnsi"/>
        </w:rPr>
        <w:t>s characterised by increasing competition, technological changes</w:t>
      </w:r>
      <w:r w:rsidR="0065510F">
        <w:rPr>
          <w:rFonts w:asciiTheme="minorHAnsi" w:hAnsiTheme="minorHAnsi"/>
        </w:rPr>
        <w:t xml:space="preserve"> and pressure to improve productivity. Manufacturing organisations often rely on a mix of skilled technical roles and operational</w:t>
      </w:r>
      <w:r w:rsidR="000851C4">
        <w:rPr>
          <w:rFonts w:asciiTheme="minorHAnsi" w:hAnsiTheme="minorHAnsi"/>
        </w:rPr>
        <w:t xml:space="preserve"> roles, meaning reward strategies must address varied motivations and expectations across the workforce</w:t>
      </w:r>
      <w:r w:rsidR="00873092">
        <w:rPr>
          <w:rFonts w:asciiTheme="minorHAnsi" w:hAnsiTheme="minorHAnsi"/>
        </w:rPr>
        <w:t xml:space="preserve"> (Torrington et al, 2020).  This creates a need for reward approaches that recognise skill levels, support capability development and reinforce consistent </w:t>
      </w:r>
      <w:r w:rsidR="0061722E">
        <w:rPr>
          <w:rFonts w:asciiTheme="minorHAnsi" w:hAnsiTheme="minorHAnsi"/>
        </w:rPr>
        <w:t>performance.</w:t>
      </w:r>
    </w:p>
    <w:p w14:paraId="68BB20BD" w14:textId="77777777" w:rsidR="0061722E" w:rsidRDefault="0061722E" w:rsidP="00962F9E">
      <w:pPr>
        <w:pStyle w:val="Nornal"/>
        <w:spacing w:after="0" w:line="240" w:lineRule="auto"/>
        <w:rPr>
          <w:rFonts w:asciiTheme="minorHAnsi" w:hAnsiTheme="minorHAnsi"/>
        </w:rPr>
      </w:pPr>
    </w:p>
    <w:p w14:paraId="5A22D9E6" w14:textId="7340F7A9" w:rsidR="0061722E" w:rsidRDefault="007735F5" w:rsidP="00962F9E">
      <w:pPr>
        <w:pStyle w:val="Nornal"/>
        <w:spacing w:after="0" w:line="240" w:lineRule="auto"/>
        <w:rPr>
          <w:rFonts w:asciiTheme="minorHAnsi" w:hAnsiTheme="minorHAnsi"/>
        </w:rPr>
      </w:pPr>
      <w:r>
        <w:rPr>
          <w:rFonts w:asciiTheme="minorHAnsi" w:hAnsiTheme="minorHAnsi"/>
        </w:rPr>
        <w:t xml:space="preserve">The external labour market also shapes the reward environment. The UK continues to </w:t>
      </w:r>
      <w:r w:rsidR="004D0BED">
        <w:rPr>
          <w:rFonts w:asciiTheme="minorHAnsi" w:hAnsiTheme="minorHAnsi"/>
        </w:rPr>
        <w:t>experience shortages in engineering, maintenance and production related skills, increasing competition</w:t>
      </w:r>
      <w:r w:rsidR="009D6CD1">
        <w:rPr>
          <w:rFonts w:asciiTheme="minorHAnsi" w:hAnsiTheme="minorHAnsi"/>
        </w:rPr>
        <w:t xml:space="preserve"> for talent. CIPD highlights that organisations operating in a s</w:t>
      </w:r>
      <w:r w:rsidR="00BA40B2">
        <w:rPr>
          <w:rFonts w:asciiTheme="minorHAnsi" w:hAnsiTheme="minorHAnsi"/>
        </w:rPr>
        <w:t xml:space="preserve">kills shortage sectors must ensure their reward packages are competitive and clearly communicated to attract and retain employees. </w:t>
      </w:r>
      <w:r w:rsidR="00C27B06">
        <w:rPr>
          <w:rFonts w:asciiTheme="minorHAnsi" w:hAnsiTheme="minorHAnsi"/>
        </w:rPr>
        <w:t xml:space="preserve">For </w:t>
      </w:r>
      <w:r w:rsidR="005309EC">
        <w:rPr>
          <w:rFonts w:asciiTheme="minorHAnsi" w:hAnsiTheme="minorHAnsi"/>
          <w:color w:val="000000"/>
        </w:rPr>
        <w:t>GreenFriendlyEco</w:t>
      </w:r>
      <w:r w:rsidR="00C27B06">
        <w:rPr>
          <w:rFonts w:asciiTheme="minorHAnsi" w:hAnsiTheme="minorHAnsi"/>
        </w:rPr>
        <w:t>, this means understanding market pay rates, regional pay variations and the expectations of both skilled and entry level workers.</w:t>
      </w:r>
    </w:p>
    <w:p w14:paraId="29FD57E9" w14:textId="6C03DF9C" w:rsidR="00C27B06" w:rsidRDefault="00C27B06" w:rsidP="00962F9E">
      <w:pPr>
        <w:pStyle w:val="Nornal"/>
        <w:spacing w:after="0" w:line="240" w:lineRule="auto"/>
        <w:rPr>
          <w:rFonts w:asciiTheme="minorHAnsi" w:hAnsiTheme="minorHAnsi"/>
        </w:rPr>
      </w:pPr>
      <w:r>
        <w:rPr>
          <w:rFonts w:asciiTheme="minorHAnsi" w:hAnsiTheme="minorHAnsi"/>
        </w:rPr>
        <w:t xml:space="preserve">Economic conditions further influence </w:t>
      </w:r>
      <w:r w:rsidR="00432DC0">
        <w:rPr>
          <w:rFonts w:asciiTheme="minorHAnsi" w:hAnsiTheme="minorHAnsi"/>
        </w:rPr>
        <w:t xml:space="preserve">decisions. Inflation, rising living costs and fluctuating </w:t>
      </w:r>
      <w:r w:rsidR="006C15B5">
        <w:rPr>
          <w:rFonts w:asciiTheme="minorHAnsi" w:hAnsiTheme="minorHAnsi"/>
        </w:rPr>
        <w:t xml:space="preserve">energy prices place pressure on </w:t>
      </w:r>
      <w:proofErr w:type="gramStart"/>
      <w:r w:rsidR="006C15B5">
        <w:rPr>
          <w:rFonts w:asciiTheme="minorHAnsi" w:hAnsiTheme="minorHAnsi"/>
        </w:rPr>
        <w:t>employees</w:t>
      </w:r>
      <w:proofErr w:type="gramEnd"/>
      <w:r w:rsidR="006C15B5">
        <w:rPr>
          <w:rFonts w:asciiTheme="minorHAnsi" w:hAnsiTheme="minorHAnsi"/>
        </w:rPr>
        <w:t xml:space="preserve"> financial wellbeing, increasing expectations on fair pay progression, cost of living support and transparent reward structures</w:t>
      </w:r>
      <w:r w:rsidR="00470E12">
        <w:rPr>
          <w:rFonts w:asciiTheme="minorHAnsi" w:hAnsiTheme="minorHAnsi"/>
        </w:rPr>
        <w:t>.</w:t>
      </w:r>
    </w:p>
    <w:p w14:paraId="682487C6" w14:textId="77777777" w:rsidR="00470E12" w:rsidRDefault="00470E12" w:rsidP="00962F9E">
      <w:pPr>
        <w:pStyle w:val="Nornal"/>
        <w:spacing w:after="0" w:line="240" w:lineRule="auto"/>
        <w:rPr>
          <w:rFonts w:asciiTheme="minorHAnsi" w:hAnsiTheme="minorHAnsi"/>
        </w:rPr>
      </w:pPr>
    </w:p>
    <w:p w14:paraId="4256FD56" w14:textId="46044D23" w:rsidR="00470E12" w:rsidRDefault="00470E12" w:rsidP="00962F9E">
      <w:pPr>
        <w:pStyle w:val="Nornal"/>
        <w:spacing w:after="0" w:line="240" w:lineRule="auto"/>
        <w:rPr>
          <w:rFonts w:asciiTheme="minorHAnsi" w:hAnsiTheme="minorHAnsi"/>
        </w:rPr>
      </w:pPr>
      <w:r>
        <w:rPr>
          <w:rFonts w:asciiTheme="minorHAnsi" w:hAnsiTheme="minorHAnsi"/>
        </w:rPr>
        <w:t xml:space="preserve">Legal and regulatory requirements also form part of the business context. UK employers must comply with legislation relating to minimum pay, equal pay, working hours, pensions and reward transparency. </w:t>
      </w:r>
      <w:r w:rsidR="008C478C">
        <w:rPr>
          <w:rFonts w:asciiTheme="minorHAnsi" w:hAnsiTheme="minorHAnsi"/>
        </w:rPr>
        <w:t>ACAS emphasises that it is not only a legal obligation but also a foundation for trust and fairness within the employment relationship</w:t>
      </w:r>
      <w:r w:rsidR="005A17A3">
        <w:rPr>
          <w:rFonts w:asciiTheme="minorHAnsi" w:hAnsiTheme="minorHAnsi"/>
        </w:rPr>
        <w:t xml:space="preserve">. Reward systems that lack transparency or consistency can undermine employee confidence </w:t>
      </w:r>
      <w:r w:rsidR="009C3E1C">
        <w:rPr>
          <w:rFonts w:asciiTheme="minorHAnsi" w:hAnsiTheme="minorHAnsi"/>
        </w:rPr>
        <w:t xml:space="preserve">and damage organisational culture. </w:t>
      </w:r>
    </w:p>
    <w:p w14:paraId="379B5BFC" w14:textId="77777777" w:rsidR="009C3E1C" w:rsidRDefault="009C3E1C" w:rsidP="00962F9E">
      <w:pPr>
        <w:pStyle w:val="Nornal"/>
        <w:spacing w:after="0" w:line="240" w:lineRule="auto"/>
        <w:rPr>
          <w:rFonts w:asciiTheme="minorHAnsi" w:hAnsiTheme="minorHAnsi"/>
        </w:rPr>
      </w:pPr>
    </w:p>
    <w:p w14:paraId="4029E14F" w14:textId="6EBD5104" w:rsidR="009C3E1C" w:rsidRDefault="009C3E1C" w:rsidP="00962F9E">
      <w:pPr>
        <w:pStyle w:val="Nornal"/>
        <w:spacing w:after="0" w:line="240" w:lineRule="auto"/>
        <w:rPr>
          <w:rFonts w:asciiTheme="minorHAnsi" w:hAnsiTheme="minorHAnsi"/>
        </w:rPr>
      </w:pPr>
      <w:r>
        <w:rPr>
          <w:rFonts w:asciiTheme="minorHAnsi" w:hAnsiTheme="minorHAnsi"/>
        </w:rPr>
        <w:t>Employee expectations are another important contextual factor. Modern workforces</w:t>
      </w:r>
      <w:r w:rsidR="00EA6783">
        <w:rPr>
          <w:rFonts w:asciiTheme="minorHAnsi" w:hAnsiTheme="minorHAnsi"/>
        </w:rPr>
        <w:t xml:space="preserve"> increasingly value recognition, development opportunities, wellbeing support and a sense of fairness in how reward decisions are made. </w:t>
      </w:r>
      <w:r w:rsidR="008557C5">
        <w:rPr>
          <w:rFonts w:asciiTheme="minorHAnsi" w:hAnsiTheme="minorHAnsi"/>
        </w:rPr>
        <w:t xml:space="preserve">Reward must address </w:t>
      </w:r>
      <w:r w:rsidR="00A40867">
        <w:rPr>
          <w:rFonts w:asciiTheme="minorHAnsi" w:hAnsiTheme="minorHAnsi"/>
        </w:rPr>
        <w:t>both financial and psychological needs to support motivation and commitment</w:t>
      </w:r>
      <w:r w:rsidR="00AD1054">
        <w:rPr>
          <w:rFonts w:asciiTheme="minorHAnsi" w:hAnsiTheme="minorHAnsi"/>
        </w:rPr>
        <w:t xml:space="preserve"> (Armstrong and Taylor, 2020)</w:t>
      </w:r>
      <w:r w:rsidR="00A40867">
        <w:rPr>
          <w:rFonts w:asciiTheme="minorHAnsi" w:hAnsiTheme="minorHAnsi"/>
        </w:rPr>
        <w:t xml:space="preserve">. </w:t>
      </w:r>
      <w:r w:rsidR="00987763">
        <w:rPr>
          <w:rFonts w:asciiTheme="minorHAnsi" w:hAnsiTheme="minorHAnsi"/>
          <w:color w:val="000000"/>
        </w:rPr>
        <w:t>GreenFriendlyEco</w:t>
      </w:r>
      <w:r w:rsidR="00987763">
        <w:rPr>
          <w:rFonts w:asciiTheme="minorHAnsi" w:hAnsiTheme="minorHAnsi"/>
        </w:rPr>
        <w:t xml:space="preserve"> </w:t>
      </w:r>
      <w:r w:rsidR="00A40867">
        <w:rPr>
          <w:rFonts w:asciiTheme="minorHAnsi" w:hAnsiTheme="minorHAnsi"/>
        </w:rPr>
        <w:t>needs to consider how</w:t>
      </w:r>
      <w:r w:rsidR="00653B36">
        <w:rPr>
          <w:rFonts w:asciiTheme="minorHAnsi" w:hAnsiTheme="minorHAnsi"/>
        </w:rPr>
        <w:t xml:space="preserve"> reward can reinforce positive behaviours, support engagement and contribute to a more constructive organisational culture. </w:t>
      </w:r>
    </w:p>
    <w:p w14:paraId="40C3E5F4" w14:textId="77777777" w:rsidR="009F4946" w:rsidRDefault="009F4946" w:rsidP="00962F9E">
      <w:pPr>
        <w:pStyle w:val="Nornal"/>
        <w:spacing w:after="0" w:line="240" w:lineRule="auto"/>
        <w:rPr>
          <w:rFonts w:asciiTheme="minorHAnsi" w:hAnsiTheme="minorHAnsi"/>
        </w:rPr>
      </w:pPr>
    </w:p>
    <w:p w14:paraId="24F10367" w14:textId="4EF1EDE5" w:rsidR="009F4946" w:rsidRPr="00273EE4" w:rsidRDefault="00987763" w:rsidP="00962F9E">
      <w:pPr>
        <w:pStyle w:val="Nornal"/>
        <w:spacing w:after="0" w:line="240" w:lineRule="auto"/>
        <w:rPr>
          <w:rFonts w:asciiTheme="minorHAnsi" w:hAnsiTheme="minorHAnsi"/>
        </w:rPr>
      </w:pPr>
      <w:r>
        <w:rPr>
          <w:rFonts w:asciiTheme="minorHAnsi" w:hAnsiTheme="minorHAnsi"/>
          <w:color w:val="000000"/>
        </w:rPr>
        <w:t>GreenFriendlyEco</w:t>
      </w:r>
      <w:r>
        <w:rPr>
          <w:rFonts w:asciiTheme="minorHAnsi" w:hAnsiTheme="minorHAnsi"/>
        </w:rPr>
        <w:t xml:space="preserve">’s </w:t>
      </w:r>
      <w:r w:rsidR="009F4946">
        <w:rPr>
          <w:rFonts w:asciiTheme="minorHAnsi" w:hAnsiTheme="minorHAnsi"/>
        </w:rPr>
        <w:t>reward environment is shaped by sector specific labour challenges</w:t>
      </w:r>
      <w:r w:rsidR="00AD1054">
        <w:rPr>
          <w:rFonts w:asciiTheme="minorHAnsi" w:hAnsiTheme="minorHAnsi"/>
        </w:rPr>
        <w:t>, economic pressures, legal requirements and evolving employee expectations. Understanding the</w:t>
      </w:r>
      <w:r w:rsidR="00CC17CD">
        <w:rPr>
          <w:rFonts w:asciiTheme="minorHAnsi" w:hAnsiTheme="minorHAnsi"/>
        </w:rPr>
        <w:t xml:space="preserve">se contextual factors is essential for developing a reward strategy that supports retention, performance and organisational improvement. </w:t>
      </w:r>
    </w:p>
    <w:p w14:paraId="7BD2BCEF" w14:textId="77777777" w:rsidR="00962F9E" w:rsidRPr="00E446B9" w:rsidRDefault="00962F9E" w:rsidP="00962F9E">
      <w:pPr>
        <w:pStyle w:val="Nornal"/>
        <w:spacing w:after="0" w:line="240" w:lineRule="auto"/>
        <w:rPr>
          <w:rFonts w:ascii="Trebuchet MS" w:hAnsi="Trebuchet MS"/>
          <w:color w:val="000000" w:themeColor="text1"/>
        </w:rPr>
      </w:pPr>
    </w:p>
    <w:p w14:paraId="79486C6F" w14:textId="77777777" w:rsidR="00962F9E" w:rsidRPr="00E446B9" w:rsidRDefault="00962F9E" w:rsidP="00962F9E">
      <w:pPr>
        <w:pStyle w:val="Nornal"/>
        <w:spacing w:after="0" w:line="240" w:lineRule="auto"/>
        <w:ind w:left="720"/>
        <w:rPr>
          <w:rFonts w:ascii="Trebuchet MS" w:hAnsi="Trebuchet MS"/>
          <w:color w:val="000000" w:themeColor="text1"/>
        </w:rPr>
      </w:pPr>
    </w:p>
    <w:p w14:paraId="6A74D888" w14:textId="26A9D5D8" w:rsidR="00962F9E" w:rsidRDefault="00962F9E" w:rsidP="00057605">
      <w:pPr>
        <w:pStyle w:val="Nornal"/>
        <w:spacing w:after="0" w:line="240" w:lineRule="auto"/>
        <w:rPr>
          <w:rFonts w:ascii="Trebuchet MS" w:hAnsi="Trebuchet MS"/>
          <w:color w:val="000000" w:themeColor="text1"/>
        </w:rPr>
      </w:pPr>
      <w:r w:rsidRPr="00E446B9">
        <w:rPr>
          <w:rFonts w:ascii="Trebuchet MS" w:hAnsi="Trebuchet MS"/>
          <w:color w:val="000000" w:themeColor="text1"/>
        </w:rPr>
        <w:t xml:space="preserve"> (AC 3.2)</w:t>
      </w:r>
    </w:p>
    <w:p w14:paraId="4A8A78E1" w14:textId="77777777" w:rsidR="00962F9E" w:rsidRDefault="00962F9E" w:rsidP="00962F9E">
      <w:pPr>
        <w:pStyle w:val="Nornal"/>
        <w:spacing w:after="0" w:line="240" w:lineRule="auto"/>
        <w:rPr>
          <w:rFonts w:ascii="Trebuchet MS" w:hAnsi="Trebuchet MS"/>
          <w:color w:val="000000" w:themeColor="text1"/>
        </w:rPr>
      </w:pPr>
    </w:p>
    <w:p w14:paraId="7D672565" w14:textId="1AD41E12" w:rsidR="00C851FB" w:rsidRDefault="00E16BC7" w:rsidP="00962F9E">
      <w:pPr>
        <w:pStyle w:val="Nornal"/>
        <w:spacing w:after="0" w:line="240" w:lineRule="auto"/>
        <w:rPr>
          <w:rFonts w:asciiTheme="minorHAnsi" w:hAnsiTheme="minorHAnsi"/>
          <w:color w:val="000000" w:themeColor="text1"/>
        </w:rPr>
      </w:pPr>
      <w:r>
        <w:rPr>
          <w:rFonts w:asciiTheme="minorHAnsi" w:hAnsiTheme="minorHAnsi"/>
          <w:color w:val="000000" w:themeColor="text1"/>
        </w:rPr>
        <w:t>B</w:t>
      </w:r>
      <w:r w:rsidR="00AB17CC">
        <w:rPr>
          <w:rFonts w:asciiTheme="minorHAnsi" w:hAnsiTheme="minorHAnsi"/>
          <w:color w:val="000000" w:themeColor="text1"/>
        </w:rPr>
        <w:t xml:space="preserve">enchmarking </w:t>
      </w:r>
      <w:r w:rsidR="00274248">
        <w:rPr>
          <w:rFonts w:asciiTheme="minorHAnsi" w:hAnsiTheme="minorHAnsi"/>
          <w:color w:val="000000" w:themeColor="text1"/>
        </w:rPr>
        <w:t xml:space="preserve">enables </w:t>
      </w:r>
      <w:r w:rsidR="00D24E9B">
        <w:rPr>
          <w:rFonts w:asciiTheme="minorHAnsi" w:hAnsiTheme="minorHAnsi"/>
          <w:color w:val="000000"/>
        </w:rPr>
        <w:t>GreenFriendlyEco</w:t>
      </w:r>
      <w:r w:rsidR="00D24E9B">
        <w:rPr>
          <w:rFonts w:asciiTheme="minorHAnsi" w:hAnsiTheme="minorHAnsi"/>
          <w:color w:val="000000" w:themeColor="text1"/>
        </w:rPr>
        <w:t xml:space="preserve"> </w:t>
      </w:r>
      <w:r w:rsidR="00503378">
        <w:rPr>
          <w:rFonts w:asciiTheme="minorHAnsi" w:hAnsiTheme="minorHAnsi"/>
          <w:color w:val="000000" w:themeColor="text1"/>
        </w:rPr>
        <w:t>to compare its performance internally and externa</w:t>
      </w:r>
      <w:r w:rsidR="00DC31C4">
        <w:rPr>
          <w:rFonts w:asciiTheme="minorHAnsi" w:hAnsiTheme="minorHAnsi"/>
          <w:color w:val="000000" w:themeColor="text1"/>
        </w:rPr>
        <w:t>lly to drive improvement in productivity, workforce capability</w:t>
      </w:r>
      <w:r w:rsidR="006D7428">
        <w:rPr>
          <w:rFonts w:asciiTheme="minorHAnsi" w:hAnsiTheme="minorHAnsi"/>
          <w:color w:val="000000" w:themeColor="text1"/>
        </w:rPr>
        <w:t>, and sustainability. To generate meaningful insight, bench</w:t>
      </w:r>
      <w:r w:rsidR="00567E3E">
        <w:rPr>
          <w:rFonts w:asciiTheme="minorHAnsi" w:hAnsiTheme="minorHAnsi"/>
          <w:color w:val="000000" w:themeColor="text1"/>
        </w:rPr>
        <w:t xml:space="preserve">marking data must be gathered and measured using reliable and relevant methods. </w:t>
      </w:r>
    </w:p>
    <w:p w14:paraId="74838C86" w14:textId="77777777" w:rsidR="00567E3E" w:rsidRDefault="00567E3E" w:rsidP="00962F9E">
      <w:pPr>
        <w:pStyle w:val="Nornal"/>
        <w:spacing w:after="0" w:line="240" w:lineRule="auto"/>
        <w:rPr>
          <w:rFonts w:asciiTheme="minorHAnsi" w:hAnsiTheme="minorHAnsi"/>
          <w:color w:val="000000" w:themeColor="text1"/>
        </w:rPr>
      </w:pPr>
    </w:p>
    <w:p w14:paraId="6CAA819A" w14:textId="2EBD2213" w:rsidR="00567E3E" w:rsidRDefault="00567E3E" w:rsidP="00962F9E">
      <w:pPr>
        <w:pStyle w:val="Nornal"/>
        <w:spacing w:after="0" w:line="240" w:lineRule="auto"/>
        <w:rPr>
          <w:rFonts w:asciiTheme="minorHAnsi" w:hAnsiTheme="minorHAnsi"/>
          <w:color w:val="000000" w:themeColor="text1"/>
        </w:rPr>
      </w:pPr>
      <w:r>
        <w:rPr>
          <w:rFonts w:asciiTheme="minorHAnsi" w:hAnsiTheme="minorHAnsi"/>
          <w:color w:val="000000" w:themeColor="text1"/>
        </w:rPr>
        <w:t>Internal benchmarking in a high</w:t>
      </w:r>
      <w:r w:rsidR="00A44857">
        <w:rPr>
          <w:rFonts w:asciiTheme="minorHAnsi" w:hAnsiTheme="minorHAnsi"/>
          <w:color w:val="000000" w:themeColor="text1"/>
        </w:rPr>
        <w:t>ly</w:t>
      </w:r>
      <w:r>
        <w:rPr>
          <w:rFonts w:asciiTheme="minorHAnsi" w:hAnsiTheme="minorHAnsi"/>
          <w:color w:val="000000" w:themeColor="text1"/>
        </w:rPr>
        <w:t xml:space="preserve"> appropriate approach for </w:t>
      </w:r>
      <w:r w:rsidR="00A44857">
        <w:rPr>
          <w:rFonts w:asciiTheme="minorHAnsi" w:hAnsiTheme="minorHAnsi"/>
          <w:color w:val="000000"/>
        </w:rPr>
        <w:t>GreenFriendlyEco</w:t>
      </w:r>
      <w:r w:rsidR="00A44857">
        <w:rPr>
          <w:rFonts w:asciiTheme="minorHAnsi" w:hAnsiTheme="minorHAnsi"/>
          <w:color w:val="000000" w:themeColor="text1"/>
        </w:rPr>
        <w:t xml:space="preserve"> </w:t>
      </w:r>
      <w:r>
        <w:rPr>
          <w:rFonts w:asciiTheme="minorHAnsi" w:hAnsiTheme="minorHAnsi"/>
          <w:color w:val="000000" w:themeColor="text1"/>
        </w:rPr>
        <w:t xml:space="preserve">because manufacturing environments produce consistent operational and HR data. </w:t>
      </w:r>
      <w:r w:rsidR="000737A5">
        <w:rPr>
          <w:rFonts w:asciiTheme="minorHAnsi" w:hAnsiTheme="minorHAnsi"/>
          <w:color w:val="000000" w:themeColor="text1"/>
        </w:rPr>
        <w:t>Information can be gathered through HR systems, production dashboards, absence records and hea</w:t>
      </w:r>
      <w:r w:rsidR="008D3A84">
        <w:rPr>
          <w:rFonts w:asciiTheme="minorHAnsi" w:hAnsiTheme="minorHAnsi"/>
          <w:color w:val="000000" w:themeColor="text1"/>
        </w:rPr>
        <w:t xml:space="preserve">lth and safety </w:t>
      </w:r>
      <w:r w:rsidR="006A7D4B">
        <w:rPr>
          <w:rFonts w:asciiTheme="minorHAnsi" w:hAnsiTheme="minorHAnsi"/>
          <w:color w:val="000000" w:themeColor="text1"/>
        </w:rPr>
        <w:t xml:space="preserve">logs. Internal benchmarking supports continuous improvements by </w:t>
      </w:r>
      <w:r w:rsidR="00DF3D68">
        <w:rPr>
          <w:rFonts w:asciiTheme="minorHAnsi" w:hAnsiTheme="minorHAnsi"/>
          <w:color w:val="000000" w:themeColor="text1"/>
        </w:rPr>
        <w:t xml:space="preserve">identifying variations in performance across the teams and time periods (CIPD, 2023). </w:t>
      </w:r>
      <w:r w:rsidR="00435763">
        <w:rPr>
          <w:rFonts w:asciiTheme="minorHAnsi" w:hAnsiTheme="minorHAnsi"/>
          <w:color w:val="000000" w:themeColor="text1"/>
        </w:rPr>
        <w:t xml:space="preserve">For </w:t>
      </w:r>
      <w:r w:rsidR="00610B8A">
        <w:rPr>
          <w:rFonts w:asciiTheme="minorHAnsi" w:hAnsiTheme="minorHAnsi"/>
          <w:color w:val="000000"/>
        </w:rPr>
        <w:t>GreenFriendlyEco</w:t>
      </w:r>
      <w:r w:rsidR="00435763">
        <w:rPr>
          <w:rFonts w:asciiTheme="minorHAnsi" w:hAnsiTheme="minorHAnsi"/>
          <w:color w:val="000000" w:themeColor="text1"/>
        </w:rPr>
        <w:t>, comparing defect rates, absence levels or training completion across shifts can highlight best practice</w:t>
      </w:r>
      <w:r w:rsidR="001024D5">
        <w:rPr>
          <w:rFonts w:asciiTheme="minorHAnsi" w:hAnsiTheme="minorHAnsi"/>
          <w:color w:val="000000" w:themeColor="text1"/>
        </w:rPr>
        <w:t xml:space="preserve"> and areas requiring intervention. However, internal benchmarking alone may limit insight if the whole organisation </w:t>
      </w:r>
      <w:r w:rsidR="00FF7300">
        <w:rPr>
          <w:rFonts w:asciiTheme="minorHAnsi" w:hAnsiTheme="minorHAnsi"/>
          <w:color w:val="000000" w:themeColor="text1"/>
        </w:rPr>
        <w:t xml:space="preserve">is underperforming relative to the wider sector. </w:t>
      </w:r>
    </w:p>
    <w:p w14:paraId="74AF5DDD" w14:textId="77777777" w:rsidR="00FF7300" w:rsidRDefault="00FF7300" w:rsidP="00962F9E">
      <w:pPr>
        <w:pStyle w:val="Nornal"/>
        <w:spacing w:after="0" w:line="240" w:lineRule="auto"/>
        <w:rPr>
          <w:rFonts w:asciiTheme="minorHAnsi" w:hAnsiTheme="minorHAnsi"/>
          <w:color w:val="000000" w:themeColor="text1"/>
        </w:rPr>
      </w:pPr>
    </w:p>
    <w:p w14:paraId="4C7C6ED8" w14:textId="5B22DF19" w:rsidR="00FF7300" w:rsidRDefault="00FF7300" w:rsidP="00962F9E">
      <w:pPr>
        <w:pStyle w:val="Nornal"/>
        <w:spacing w:after="0" w:line="240" w:lineRule="auto"/>
        <w:rPr>
          <w:rFonts w:asciiTheme="minorHAnsi" w:hAnsiTheme="minorHAnsi"/>
          <w:color w:val="000000" w:themeColor="text1"/>
        </w:rPr>
      </w:pPr>
      <w:r>
        <w:rPr>
          <w:rFonts w:asciiTheme="minorHAnsi" w:hAnsiTheme="minorHAnsi"/>
          <w:color w:val="000000" w:themeColor="text1"/>
        </w:rPr>
        <w:t xml:space="preserve">External benchmarking provides essential context by comparing </w:t>
      </w:r>
      <w:r w:rsidR="00461D86">
        <w:rPr>
          <w:rFonts w:asciiTheme="minorHAnsi" w:hAnsiTheme="minorHAnsi"/>
          <w:color w:val="000000"/>
        </w:rPr>
        <w:t>GreenFriendlyEco</w:t>
      </w:r>
      <w:r w:rsidR="00461D86">
        <w:rPr>
          <w:rFonts w:asciiTheme="minorHAnsi" w:hAnsiTheme="minorHAnsi"/>
          <w:color w:val="000000" w:themeColor="text1"/>
        </w:rPr>
        <w:t xml:space="preserve"> </w:t>
      </w:r>
      <w:r>
        <w:rPr>
          <w:rFonts w:asciiTheme="minorHAnsi" w:hAnsiTheme="minorHAnsi"/>
          <w:color w:val="000000" w:themeColor="text1"/>
        </w:rPr>
        <w:t>with other UK ma</w:t>
      </w:r>
      <w:r w:rsidR="00E722D0">
        <w:rPr>
          <w:rFonts w:asciiTheme="minorHAnsi" w:hAnsiTheme="minorHAnsi"/>
          <w:color w:val="000000" w:themeColor="text1"/>
        </w:rPr>
        <w:t>nufacturers and sustainability focused organisations. Dat</w:t>
      </w:r>
      <w:r w:rsidR="00D76626">
        <w:rPr>
          <w:rFonts w:asciiTheme="minorHAnsi" w:hAnsiTheme="minorHAnsi"/>
          <w:color w:val="000000" w:themeColor="text1"/>
        </w:rPr>
        <w:t>a can be sourced from Make UK’S annual manufacturing reports, ONS labour market statistics</w:t>
      </w:r>
      <w:r w:rsidR="008D4716">
        <w:rPr>
          <w:rFonts w:asciiTheme="minorHAnsi" w:hAnsiTheme="minorHAnsi"/>
          <w:color w:val="000000" w:themeColor="text1"/>
        </w:rPr>
        <w:t xml:space="preserve">, CIPD reward surveys and ACAS guidance on good employment practice. </w:t>
      </w:r>
      <w:r w:rsidR="00576744">
        <w:rPr>
          <w:rFonts w:asciiTheme="minorHAnsi" w:hAnsiTheme="minorHAnsi"/>
          <w:color w:val="000000" w:themeColor="text1"/>
        </w:rPr>
        <w:t xml:space="preserve">This is particularly valuable in a competitive </w:t>
      </w:r>
      <w:r w:rsidR="00E42EDC">
        <w:rPr>
          <w:rFonts w:asciiTheme="minorHAnsi" w:hAnsiTheme="minorHAnsi"/>
          <w:color w:val="000000" w:themeColor="text1"/>
        </w:rPr>
        <w:t xml:space="preserve">green-skills labour market. For example, benchmarking pay and turnover rates against sector averages </w:t>
      </w:r>
      <w:r w:rsidR="001B7327">
        <w:rPr>
          <w:rFonts w:asciiTheme="minorHAnsi" w:hAnsiTheme="minorHAnsi"/>
          <w:color w:val="000000" w:themeColor="text1"/>
        </w:rPr>
        <w:t xml:space="preserve">helps </w:t>
      </w:r>
      <w:r w:rsidR="00813884">
        <w:rPr>
          <w:rFonts w:asciiTheme="minorHAnsi" w:hAnsiTheme="minorHAnsi"/>
          <w:color w:val="000000"/>
        </w:rPr>
        <w:t>GreenFriendlyEco</w:t>
      </w:r>
      <w:r w:rsidR="00813884">
        <w:rPr>
          <w:rFonts w:asciiTheme="minorHAnsi" w:hAnsiTheme="minorHAnsi"/>
          <w:color w:val="000000" w:themeColor="text1"/>
        </w:rPr>
        <w:t xml:space="preserve"> </w:t>
      </w:r>
      <w:r w:rsidR="001B7327">
        <w:rPr>
          <w:rFonts w:asciiTheme="minorHAnsi" w:hAnsiTheme="minorHAnsi"/>
          <w:color w:val="000000" w:themeColor="text1"/>
        </w:rPr>
        <w:t>remain competitive in attracting skilled production workers (ONS, 2023)</w:t>
      </w:r>
      <w:r w:rsidR="00AF1A9F">
        <w:rPr>
          <w:rFonts w:asciiTheme="minorHAnsi" w:hAnsiTheme="minorHAnsi"/>
          <w:color w:val="000000" w:themeColor="text1"/>
        </w:rPr>
        <w:t xml:space="preserve">. </w:t>
      </w:r>
      <w:r w:rsidR="001B3A92">
        <w:rPr>
          <w:rFonts w:asciiTheme="minorHAnsi" w:hAnsiTheme="minorHAnsi"/>
          <w:color w:val="000000" w:themeColor="text1"/>
        </w:rPr>
        <w:t xml:space="preserve">A limitation on external data is that </w:t>
      </w:r>
      <w:r w:rsidR="00B718C6">
        <w:rPr>
          <w:rFonts w:asciiTheme="minorHAnsi" w:hAnsiTheme="minorHAnsi"/>
          <w:color w:val="000000" w:themeColor="text1"/>
        </w:rPr>
        <w:t xml:space="preserve">definitions may vary along </w:t>
      </w:r>
      <w:r w:rsidR="00427D81">
        <w:rPr>
          <w:rFonts w:asciiTheme="minorHAnsi" w:hAnsiTheme="minorHAnsi"/>
          <w:color w:val="000000" w:themeColor="text1"/>
        </w:rPr>
        <w:t>with a time delay of data being published</w:t>
      </w:r>
      <w:r w:rsidR="008F3808">
        <w:rPr>
          <w:rFonts w:asciiTheme="minorHAnsi" w:hAnsiTheme="minorHAnsi"/>
          <w:color w:val="000000" w:themeColor="text1"/>
        </w:rPr>
        <w:t>, therefore this could reduce comparability (CIPD, 2022).</w:t>
      </w:r>
    </w:p>
    <w:p w14:paraId="2F4B4766" w14:textId="77777777" w:rsidR="008F3808" w:rsidRDefault="008F3808" w:rsidP="00962F9E">
      <w:pPr>
        <w:pStyle w:val="Nornal"/>
        <w:spacing w:after="0" w:line="240" w:lineRule="auto"/>
        <w:rPr>
          <w:rFonts w:asciiTheme="minorHAnsi" w:hAnsiTheme="minorHAnsi"/>
          <w:color w:val="000000" w:themeColor="text1"/>
        </w:rPr>
      </w:pPr>
    </w:p>
    <w:p w14:paraId="4C16A89C" w14:textId="7DF23D9A" w:rsidR="008F3808" w:rsidRDefault="008F3808" w:rsidP="00962F9E">
      <w:pPr>
        <w:pStyle w:val="Nornal"/>
        <w:spacing w:after="0" w:line="240" w:lineRule="auto"/>
        <w:rPr>
          <w:rFonts w:asciiTheme="minorHAnsi" w:hAnsiTheme="minorHAnsi"/>
          <w:color w:val="000000" w:themeColor="text1"/>
        </w:rPr>
      </w:pPr>
      <w:r>
        <w:rPr>
          <w:rFonts w:asciiTheme="minorHAnsi" w:hAnsiTheme="minorHAnsi"/>
          <w:color w:val="000000" w:themeColor="text1"/>
        </w:rPr>
        <w:t>Process benchmarking is also relevant, as manu</w:t>
      </w:r>
      <w:r w:rsidR="00094D76">
        <w:rPr>
          <w:rFonts w:asciiTheme="minorHAnsi" w:hAnsiTheme="minorHAnsi"/>
          <w:color w:val="000000" w:themeColor="text1"/>
        </w:rPr>
        <w:t>facturing performance is largely influenced by workflow efficiency</w:t>
      </w:r>
      <w:r w:rsidR="006B1BC9">
        <w:rPr>
          <w:rFonts w:asciiTheme="minorHAnsi" w:hAnsiTheme="minorHAnsi"/>
          <w:color w:val="000000" w:themeColor="text1"/>
        </w:rPr>
        <w:t xml:space="preserve">. Techniques such as process mapping </w:t>
      </w:r>
      <w:r w:rsidR="00BC2D7C">
        <w:rPr>
          <w:rFonts w:asciiTheme="minorHAnsi" w:hAnsiTheme="minorHAnsi"/>
          <w:color w:val="000000" w:themeColor="text1"/>
        </w:rPr>
        <w:t xml:space="preserve">and external auditing can identify </w:t>
      </w:r>
      <w:r w:rsidR="00BA0B8B">
        <w:rPr>
          <w:rFonts w:asciiTheme="minorHAnsi" w:hAnsiTheme="minorHAnsi"/>
          <w:color w:val="000000" w:themeColor="text1"/>
        </w:rPr>
        <w:t xml:space="preserve">production issues and monitor waste. The Health and Safety Executive emphasise </w:t>
      </w:r>
      <w:r w:rsidR="00805C8C">
        <w:rPr>
          <w:rFonts w:asciiTheme="minorHAnsi" w:hAnsiTheme="minorHAnsi"/>
          <w:color w:val="000000" w:themeColor="text1"/>
        </w:rPr>
        <w:t xml:space="preserve">the value of analysing safety process to reduce incidents, which is critical in a production </w:t>
      </w:r>
      <w:r w:rsidR="00503C99">
        <w:rPr>
          <w:rFonts w:asciiTheme="minorHAnsi" w:hAnsiTheme="minorHAnsi"/>
          <w:color w:val="000000" w:themeColor="text1"/>
        </w:rPr>
        <w:t>environment handling machinery and materials. Although this method provide</w:t>
      </w:r>
      <w:r w:rsidR="00A84CDE">
        <w:rPr>
          <w:rFonts w:asciiTheme="minorHAnsi" w:hAnsiTheme="minorHAnsi"/>
          <w:color w:val="000000" w:themeColor="text1"/>
        </w:rPr>
        <w:t xml:space="preserve">s </w:t>
      </w:r>
      <w:r w:rsidR="00503C99">
        <w:rPr>
          <w:rFonts w:asciiTheme="minorHAnsi" w:hAnsiTheme="minorHAnsi"/>
          <w:color w:val="000000" w:themeColor="text1"/>
        </w:rPr>
        <w:t xml:space="preserve">a deep understanding, it can be resource intensive and costly. </w:t>
      </w:r>
    </w:p>
    <w:p w14:paraId="1424845C" w14:textId="77777777" w:rsidR="00503C99" w:rsidRDefault="00503C99" w:rsidP="00962F9E">
      <w:pPr>
        <w:pStyle w:val="Nornal"/>
        <w:spacing w:after="0" w:line="240" w:lineRule="auto"/>
        <w:rPr>
          <w:rFonts w:asciiTheme="minorHAnsi" w:hAnsiTheme="minorHAnsi"/>
          <w:color w:val="000000" w:themeColor="text1"/>
        </w:rPr>
      </w:pPr>
    </w:p>
    <w:p w14:paraId="2738B7FE" w14:textId="4ADFE2CA" w:rsidR="00503C99" w:rsidRDefault="00503C99" w:rsidP="00962F9E">
      <w:pPr>
        <w:pStyle w:val="Nornal"/>
        <w:spacing w:after="0" w:line="240" w:lineRule="auto"/>
        <w:rPr>
          <w:rFonts w:asciiTheme="minorHAnsi" w:hAnsiTheme="minorHAnsi"/>
          <w:color w:val="000000" w:themeColor="text1"/>
        </w:rPr>
      </w:pPr>
      <w:r>
        <w:rPr>
          <w:rFonts w:asciiTheme="minorHAnsi" w:hAnsiTheme="minorHAnsi"/>
          <w:color w:val="000000" w:themeColor="text1"/>
        </w:rPr>
        <w:t xml:space="preserve">Quantitive </w:t>
      </w:r>
      <w:r w:rsidR="00FB5D6B">
        <w:rPr>
          <w:rFonts w:asciiTheme="minorHAnsi" w:hAnsiTheme="minorHAnsi"/>
          <w:color w:val="000000" w:themeColor="text1"/>
        </w:rPr>
        <w:t>measuring techniques</w:t>
      </w:r>
      <w:r w:rsidR="00A61129">
        <w:rPr>
          <w:rFonts w:asciiTheme="minorHAnsi" w:hAnsiTheme="minorHAnsi"/>
          <w:color w:val="000000" w:themeColor="text1"/>
        </w:rPr>
        <w:t>, such as calculating cost per hire, defect rates or energy consumption per unit produced</w:t>
      </w:r>
      <w:r w:rsidR="00995BD4">
        <w:rPr>
          <w:rFonts w:asciiTheme="minorHAnsi" w:hAnsiTheme="minorHAnsi"/>
          <w:color w:val="000000" w:themeColor="text1"/>
        </w:rPr>
        <w:t xml:space="preserve">, would allow </w:t>
      </w:r>
      <w:r w:rsidR="00BA7A7B">
        <w:rPr>
          <w:rFonts w:asciiTheme="minorHAnsi" w:hAnsiTheme="minorHAnsi"/>
          <w:color w:val="000000"/>
        </w:rPr>
        <w:t>GreenFriendlyEco</w:t>
      </w:r>
      <w:r w:rsidR="00BA7A7B">
        <w:rPr>
          <w:rFonts w:asciiTheme="minorHAnsi" w:hAnsiTheme="minorHAnsi"/>
          <w:color w:val="000000" w:themeColor="text1"/>
        </w:rPr>
        <w:t xml:space="preserve"> </w:t>
      </w:r>
      <w:r w:rsidR="00995BD4">
        <w:rPr>
          <w:rFonts w:asciiTheme="minorHAnsi" w:hAnsiTheme="minorHAnsi"/>
          <w:color w:val="000000" w:themeColor="text1"/>
        </w:rPr>
        <w:t>to track t</w:t>
      </w:r>
      <w:r w:rsidR="00BA7A7B">
        <w:rPr>
          <w:rFonts w:asciiTheme="minorHAnsi" w:hAnsiTheme="minorHAnsi"/>
          <w:color w:val="000000" w:themeColor="text1"/>
        </w:rPr>
        <w:t>r</w:t>
      </w:r>
      <w:r w:rsidR="00995BD4">
        <w:rPr>
          <w:rFonts w:asciiTheme="minorHAnsi" w:hAnsiTheme="minorHAnsi"/>
          <w:color w:val="000000" w:themeColor="text1"/>
        </w:rPr>
        <w:t xml:space="preserve">ends and compare performance against industry standards. </w:t>
      </w:r>
      <w:r w:rsidR="002030BA">
        <w:rPr>
          <w:rFonts w:asciiTheme="minorHAnsi" w:hAnsiTheme="minorHAnsi"/>
          <w:color w:val="000000" w:themeColor="text1"/>
        </w:rPr>
        <w:t xml:space="preserve">The CIPD (2022) notes that robust metrics support </w:t>
      </w:r>
      <w:proofErr w:type="gramStart"/>
      <w:r w:rsidR="002030BA">
        <w:rPr>
          <w:rFonts w:asciiTheme="minorHAnsi" w:hAnsiTheme="minorHAnsi"/>
          <w:color w:val="000000" w:themeColor="text1"/>
        </w:rPr>
        <w:t>evidence based</w:t>
      </w:r>
      <w:proofErr w:type="gramEnd"/>
      <w:r w:rsidR="002030BA">
        <w:rPr>
          <w:rFonts w:asciiTheme="minorHAnsi" w:hAnsiTheme="minorHAnsi"/>
          <w:color w:val="000000" w:themeColor="text1"/>
        </w:rPr>
        <w:t xml:space="preserve"> </w:t>
      </w:r>
      <w:r w:rsidR="00D9010B">
        <w:rPr>
          <w:rFonts w:asciiTheme="minorHAnsi" w:hAnsiTheme="minorHAnsi"/>
          <w:color w:val="000000" w:themeColor="text1"/>
        </w:rPr>
        <w:t xml:space="preserve">HR decisions. Qualitative methods including focus groups </w:t>
      </w:r>
      <w:r w:rsidR="00BC3E26">
        <w:rPr>
          <w:rFonts w:asciiTheme="minorHAnsi" w:hAnsiTheme="minorHAnsi"/>
          <w:color w:val="000000" w:themeColor="text1"/>
        </w:rPr>
        <w:t>and staff surveys can add context</w:t>
      </w:r>
      <w:r w:rsidR="00D52A7E">
        <w:rPr>
          <w:rFonts w:asciiTheme="minorHAnsi" w:hAnsiTheme="minorHAnsi"/>
          <w:color w:val="000000" w:themeColor="text1"/>
        </w:rPr>
        <w:t xml:space="preserve"> by giving an understanding as to why trends occur. For example, </w:t>
      </w:r>
      <w:r w:rsidR="003A7DCB">
        <w:rPr>
          <w:rFonts w:asciiTheme="minorHAnsi" w:hAnsiTheme="minorHAnsi"/>
          <w:color w:val="000000" w:themeColor="text1"/>
        </w:rPr>
        <w:t xml:space="preserve">understanding reasons behind higher turnover on a specific shift or department. </w:t>
      </w:r>
    </w:p>
    <w:p w14:paraId="1A0BB107" w14:textId="77777777" w:rsidR="003A7DCB" w:rsidRDefault="003A7DCB" w:rsidP="00962F9E">
      <w:pPr>
        <w:pStyle w:val="Nornal"/>
        <w:spacing w:after="0" w:line="240" w:lineRule="auto"/>
        <w:rPr>
          <w:rFonts w:asciiTheme="minorHAnsi" w:hAnsiTheme="minorHAnsi"/>
          <w:color w:val="000000" w:themeColor="text1"/>
        </w:rPr>
      </w:pPr>
    </w:p>
    <w:p w14:paraId="1FF6AD01" w14:textId="4F062910" w:rsidR="003A7DCB" w:rsidRPr="00E16BC7" w:rsidRDefault="003A7DCB" w:rsidP="00962F9E">
      <w:pPr>
        <w:pStyle w:val="Nornal"/>
        <w:spacing w:after="0" w:line="240" w:lineRule="auto"/>
        <w:rPr>
          <w:rFonts w:asciiTheme="minorHAnsi" w:hAnsiTheme="minorHAnsi"/>
          <w:color w:val="000000" w:themeColor="text1"/>
        </w:rPr>
      </w:pPr>
      <w:r>
        <w:rPr>
          <w:rFonts w:asciiTheme="minorHAnsi" w:hAnsiTheme="minorHAnsi"/>
          <w:color w:val="000000" w:themeColor="text1"/>
        </w:rPr>
        <w:t xml:space="preserve">By combining </w:t>
      </w:r>
      <w:r w:rsidR="00045126">
        <w:rPr>
          <w:rFonts w:asciiTheme="minorHAnsi" w:hAnsiTheme="minorHAnsi"/>
          <w:color w:val="000000" w:themeColor="text1"/>
        </w:rPr>
        <w:t xml:space="preserve">internal, external, process, quantitative and qualitative </w:t>
      </w:r>
      <w:r w:rsidR="00F711CD">
        <w:rPr>
          <w:rFonts w:asciiTheme="minorHAnsi" w:hAnsiTheme="minorHAnsi"/>
          <w:color w:val="000000" w:themeColor="text1"/>
        </w:rPr>
        <w:t xml:space="preserve">benchmarking provides </w:t>
      </w:r>
      <w:r w:rsidR="00252205">
        <w:rPr>
          <w:rFonts w:asciiTheme="minorHAnsi" w:hAnsiTheme="minorHAnsi"/>
          <w:color w:val="000000"/>
        </w:rPr>
        <w:t>GreenFriendlyEco</w:t>
      </w:r>
      <w:r w:rsidR="00252205">
        <w:rPr>
          <w:rFonts w:asciiTheme="minorHAnsi" w:hAnsiTheme="minorHAnsi"/>
          <w:color w:val="000000" w:themeColor="text1"/>
        </w:rPr>
        <w:t xml:space="preserve"> </w:t>
      </w:r>
      <w:r w:rsidR="00F711CD">
        <w:rPr>
          <w:rFonts w:asciiTheme="minorHAnsi" w:hAnsiTheme="minorHAnsi"/>
          <w:color w:val="000000" w:themeColor="text1"/>
        </w:rPr>
        <w:t>with comprehensive</w:t>
      </w:r>
      <w:r w:rsidR="00CE1D7F">
        <w:rPr>
          <w:rFonts w:asciiTheme="minorHAnsi" w:hAnsiTheme="minorHAnsi"/>
          <w:color w:val="000000" w:themeColor="text1"/>
        </w:rPr>
        <w:t xml:space="preserve"> information that can support strategic goals around sustainability, operational </w:t>
      </w:r>
      <w:r w:rsidR="00826F41">
        <w:rPr>
          <w:rFonts w:asciiTheme="minorHAnsi" w:hAnsiTheme="minorHAnsi"/>
          <w:color w:val="000000" w:themeColor="text1"/>
        </w:rPr>
        <w:t xml:space="preserve">efficiency and workforce stability. </w:t>
      </w:r>
    </w:p>
    <w:p w14:paraId="49724494" w14:textId="77777777" w:rsidR="00962F9E" w:rsidRDefault="00962F9E" w:rsidP="00962F9E">
      <w:pPr>
        <w:pStyle w:val="Nornal"/>
        <w:spacing w:after="0" w:line="240" w:lineRule="auto"/>
        <w:rPr>
          <w:rFonts w:ascii="Trebuchet MS" w:hAnsi="Trebuchet MS"/>
          <w:color w:val="000000" w:themeColor="text1"/>
        </w:rPr>
      </w:pPr>
    </w:p>
    <w:p w14:paraId="6CDE7A76" w14:textId="77777777" w:rsidR="00962F9E" w:rsidRPr="00E446B9" w:rsidRDefault="00962F9E" w:rsidP="00962F9E">
      <w:pPr>
        <w:pStyle w:val="Nornal"/>
        <w:spacing w:after="0" w:line="240" w:lineRule="auto"/>
        <w:rPr>
          <w:rFonts w:ascii="Trebuchet MS" w:hAnsi="Trebuchet MS"/>
          <w:color w:val="000000" w:themeColor="text1"/>
        </w:rPr>
      </w:pPr>
    </w:p>
    <w:p w14:paraId="679BB87C" w14:textId="482012FC" w:rsidR="00962F9E" w:rsidRPr="00962F9E" w:rsidRDefault="00962F9E" w:rsidP="00057605">
      <w:pPr>
        <w:pStyle w:val="Nornal"/>
        <w:spacing w:after="0" w:line="240" w:lineRule="auto"/>
        <w:rPr>
          <w:rFonts w:ascii="Trebuchet MS" w:hAnsi="Trebuchet MS"/>
          <w:color w:val="000000"/>
        </w:rPr>
      </w:pPr>
      <w:r w:rsidRPr="00E446B9">
        <w:rPr>
          <w:rFonts w:ascii="Trebuchet MS" w:hAnsi="Trebuchet MS"/>
          <w:color w:val="000000" w:themeColor="text1"/>
        </w:rPr>
        <w:t xml:space="preserve"> (AC 3.3)</w:t>
      </w:r>
    </w:p>
    <w:p w14:paraId="41653E84" w14:textId="77777777" w:rsidR="00962F9E" w:rsidRDefault="00962F9E" w:rsidP="00962F9E">
      <w:pPr>
        <w:pStyle w:val="Nornal"/>
        <w:spacing w:after="0" w:line="240" w:lineRule="auto"/>
        <w:rPr>
          <w:rFonts w:ascii="Trebuchet MS" w:hAnsi="Trebuchet MS"/>
          <w:color w:val="000000" w:themeColor="text1"/>
        </w:rPr>
      </w:pPr>
    </w:p>
    <w:p w14:paraId="25BF1D0E" w14:textId="61C330BC" w:rsidR="009D3695" w:rsidRDefault="0011269B" w:rsidP="00962F9E">
      <w:pPr>
        <w:pStyle w:val="Nornal"/>
        <w:spacing w:after="0" w:line="240" w:lineRule="auto"/>
        <w:rPr>
          <w:rFonts w:asciiTheme="minorHAnsi" w:hAnsiTheme="minorHAnsi"/>
          <w:color w:val="000000" w:themeColor="text1"/>
        </w:rPr>
      </w:pPr>
      <w:r>
        <w:rPr>
          <w:rFonts w:asciiTheme="minorHAnsi" w:hAnsiTheme="minorHAnsi"/>
          <w:color w:val="000000" w:themeColor="text1"/>
        </w:rPr>
        <w:t>Job evaluation is a systematic process used to determine the relative value of roles within an organisation. I</w:t>
      </w:r>
      <w:r w:rsidR="00252205">
        <w:rPr>
          <w:rFonts w:asciiTheme="minorHAnsi" w:hAnsiTheme="minorHAnsi"/>
          <w:color w:val="000000" w:themeColor="text1"/>
        </w:rPr>
        <w:t>t</w:t>
      </w:r>
      <w:r>
        <w:rPr>
          <w:rFonts w:asciiTheme="minorHAnsi" w:hAnsiTheme="minorHAnsi"/>
          <w:color w:val="000000" w:themeColor="text1"/>
        </w:rPr>
        <w:t xml:space="preserve"> provides a fair and transparent basis for pay structures</w:t>
      </w:r>
      <w:r w:rsidR="007F4A98">
        <w:rPr>
          <w:rFonts w:asciiTheme="minorHAnsi" w:hAnsiTheme="minorHAnsi"/>
          <w:color w:val="000000" w:themeColor="text1"/>
        </w:rPr>
        <w:t xml:space="preserve"> by assessing the job rather than the individual performing it</w:t>
      </w:r>
      <w:r w:rsidR="00D904E7">
        <w:rPr>
          <w:rFonts w:asciiTheme="minorHAnsi" w:hAnsiTheme="minorHAnsi"/>
          <w:color w:val="000000" w:themeColor="text1"/>
        </w:rPr>
        <w:t xml:space="preserve"> (Taylor and Woodhams, 2022)</w:t>
      </w:r>
      <w:r w:rsidR="007F4A98">
        <w:rPr>
          <w:rFonts w:asciiTheme="minorHAnsi" w:hAnsiTheme="minorHAnsi"/>
          <w:color w:val="000000" w:themeColor="text1"/>
        </w:rPr>
        <w:t xml:space="preserve">. Job evaluation is essential for ensuring internal </w:t>
      </w:r>
      <w:r w:rsidR="00A97726">
        <w:rPr>
          <w:rFonts w:asciiTheme="minorHAnsi" w:hAnsiTheme="minorHAnsi"/>
          <w:color w:val="000000" w:themeColor="text1"/>
        </w:rPr>
        <w:t xml:space="preserve">equity, support equal pay compliance and creating consistent reward frameworks (CIPD, 2023). </w:t>
      </w:r>
      <w:r w:rsidR="00A44849">
        <w:rPr>
          <w:rFonts w:asciiTheme="minorHAnsi" w:hAnsiTheme="minorHAnsi"/>
          <w:color w:val="000000" w:themeColor="text1"/>
        </w:rPr>
        <w:t xml:space="preserve">Several approaches to Job Evaluation exist, each offers different levels of detail, objectivity and organisational suitability. </w:t>
      </w:r>
    </w:p>
    <w:p w14:paraId="692D8AB3" w14:textId="77777777" w:rsidR="00A44849" w:rsidRDefault="00A44849" w:rsidP="00962F9E">
      <w:pPr>
        <w:pStyle w:val="Nornal"/>
        <w:spacing w:after="0" w:line="240" w:lineRule="auto"/>
        <w:rPr>
          <w:rFonts w:asciiTheme="minorHAnsi" w:hAnsiTheme="minorHAnsi"/>
          <w:color w:val="000000" w:themeColor="text1"/>
        </w:rPr>
      </w:pPr>
    </w:p>
    <w:p w14:paraId="078ED7A2" w14:textId="1CE728ED" w:rsidR="00A44849" w:rsidRDefault="00AE0E6F" w:rsidP="00962F9E">
      <w:pPr>
        <w:pStyle w:val="Nornal"/>
        <w:spacing w:after="0" w:line="240" w:lineRule="auto"/>
        <w:rPr>
          <w:rFonts w:asciiTheme="minorHAnsi" w:hAnsiTheme="minorHAnsi"/>
          <w:color w:val="000000" w:themeColor="text1"/>
        </w:rPr>
      </w:pPr>
      <w:r>
        <w:rPr>
          <w:rFonts w:asciiTheme="minorHAnsi" w:hAnsiTheme="minorHAnsi"/>
          <w:color w:val="000000" w:themeColor="text1"/>
        </w:rPr>
        <w:t xml:space="preserve">Non-analytical approaches evaluate the </w:t>
      </w:r>
      <w:r w:rsidR="00E17FB9">
        <w:rPr>
          <w:rFonts w:asciiTheme="minorHAnsi" w:hAnsiTheme="minorHAnsi"/>
          <w:color w:val="000000" w:themeColor="text1"/>
        </w:rPr>
        <w:t>job, without</w:t>
      </w:r>
      <w:r w:rsidR="00BF0D1A">
        <w:rPr>
          <w:rFonts w:asciiTheme="minorHAnsi" w:hAnsiTheme="minorHAnsi"/>
          <w:color w:val="000000" w:themeColor="text1"/>
        </w:rPr>
        <w:t xml:space="preserve"> breaking it down into separate factors</w:t>
      </w:r>
      <w:r w:rsidR="0066741A">
        <w:rPr>
          <w:rFonts w:asciiTheme="minorHAnsi" w:hAnsiTheme="minorHAnsi"/>
          <w:color w:val="000000" w:themeColor="text1"/>
        </w:rPr>
        <w:t>. One common method is job ranking, where roles are placed in order of perceived importance or contribution. This is a simple approach</w:t>
      </w:r>
      <w:r w:rsidR="00C21239">
        <w:rPr>
          <w:rFonts w:asciiTheme="minorHAnsi" w:hAnsiTheme="minorHAnsi"/>
          <w:color w:val="000000" w:themeColor="text1"/>
        </w:rPr>
        <w:t xml:space="preserve"> and cost-effective, making it suitable for smaller organisations, however </w:t>
      </w:r>
      <w:r w:rsidR="006E5C7C">
        <w:rPr>
          <w:rFonts w:asciiTheme="minorHAnsi" w:hAnsiTheme="minorHAnsi"/>
          <w:color w:val="000000" w:themeColor="text1"/>
        </w:rPr>
        <w:t xml:space="preserve">it is highly subjective and difficult to justify, particularly where roles are diverse (ACAS, 2023). </w:t>
      </w:r>
      <w:r w:rsidR="00B83073">
        <w:rPr>
          <w:rFonts w:asciiTheme="minorHAnsi" w:hAnsiTheme="minorHAnsi"/>
          <w:color w:val="000000" w:themeColor="text1"/>
        </w:rPr>
        <w:t>Another non-analytical method is job classification</w:t>
      </w:r>
      <w:r w:rsidR="00912309">
        <w:rPr>
          <w:rFonts w:asciiTheme="minorHAnsi" w:hAnsiTheme="minorHAnsi"/>
          <w:color w:val="000000" w:themeColor="text1"/>
        </w:rPr>
        <w:t>, where roles are matched to pre-define</w:t>
      </w:r>
      <w:r w:rsidR="007446D2">
        <w:rPr>
          <w:rFonts w:asciiTheme="minorHAnsi" w:hAnsiTheme="minorHAnsi"/>
          <w:color w:val="000000" w:themeColor="text1"/>
        </w:rPr>
        <w:t xml:space="preserve">d grade descriptions, such as ‘Operative or ‘Manager. </w:t>
      </w:r>
      <w:r w:rsidR="004924C0">
        <w:rPr>
          <w:rFonts w:asciiTheme="minorHAnsi" w:hAnsiTheme="minorHAnsi"/>
          <w:color w:val="000000" w:themeColor="text1"/>
        </w:rPr>
        <w:t xml:space="preserve">Whilst this provides a clearer structure than ranking, broad grade definitions can lead to inconsistent decisions and may not offer sufficient detail to defend pay outcomes (CIPD, 2022). These approaches are generally </w:t>
      </w:r>
      <w:r w:rsidR="00773F38">
        <w:rPr>
          <w:rFonts w:asciiTheme="minorHAnsi" w:hAnsiTheme="minorHAnsi"/>
          <w:color w:val="000000" w:themeColor="text1"/>
        </w:rPr>
        <w:t xml:space="preserve">quicker to implement but offer limited protection against pay challenges. </w:t>
      </w:r>
    </w:p>
    <w:p w14:paraId="77FBA8B3" w14:textId="77777777" w:rsidR="00773F38" w:rsidRDefault="00773F38" w:rsidP="00962F9E">
      <w:pPr>
        <w:pStyle w:val="Nornal"/>
        <w:spacing w:after="0" w:line="240" w:lineRule="auto"/>
        <w:rPr>
          <w:rFonts w:asciiTheme="minorHAnsi" w:hAnsiTheme="minorHAnsi"/>
          <w:color w:val="000000" w:themeColor="text1"/>
        </w:rPr>
      </w:pPr>
    </w:p>
    <w:p w14:paraId="05884A34" w14:textId="6F169CD5" w:rsidR="009D3695" w:rsidRDefault="0032586C" w:rsidP="00962F9E">
      <w:pPr>
        <w:pStyle w:val="Nornal"/>
        <w:spacing w:after="0" w:line="240" w:lineRule="auto"/>
        <w:rPr>
          <w:rFonts w:asciiTheme="minorHAnsi" w:hAnsiTheme="minorHAnsi"/>
          <w:color w:val="000000" w:themeColor="text1"/>
        </w:rPr>
      </w:pPr>
      <w:r>
        <w:rPr>
          <w:rFonts w:asciiTheme="minorHAnsi" w:hAnsiTheme="minorHAnsi"/>
          <w:color w:val="000000" w:themeColor="text1"/>
        </w:rPr>
        <w:t>Analytical approaches provide a more robust and defensible method by breaking jobs down into measurable components. The most widely used analytical m</w:t>
      </w:r>
      <w:r w:rsidR="0063728E">
        <w:rPr>
          <w:rFonts w:asciiTheme="minorHAnsi" w:hAnsiTheme="minorHAnsi"/>
          <w:color w:val="000000" w:themeColor="text1"/>
        </w:rPr>
        <w:t xml:space="preserve">ethod in the UK is the point-factor system, which evaluates </w:t>
      </w:r>
      <w:r w:rsidR="00DB7E89">
        <w:rPr>
          <w:rFonts w:asciiTheme="minorHAnsi" w:hAnsiTheme="minorHAnsi"/>
          <w:color w:val="000000" w:themeColor="text1"/>
        </w:rPr>
        <w:t xml:space="preserve">roles against </w:t>
      </w:r>
      <w:r w:rsidR="00423BDC">
        <w:rPr>
          <w:rFonts w:asciiTheme="minorHAnsi" w:hAnsiTheme="minorHAnsi"/>
          <w:color w:val="000000" w:themeColor="text1"/>
        </w:rPr>
        <w:t>compensable</w:t>
      </w:r>
      <w:r w:rsidR="00DB7E89">
        <w:rPr>
          <w:rFonts w:asciiTheme="minorHAnsi" w:hAnsiTheme="minorHAnsi"/>
          <w:color w:val="000000" w:themeColor="text1"/>
        </w:rPr>
        <w:t xml:space="preserve"> </w:t>
      </w:r>
      <w:r w:rsidR="00423BDC">
        <w:rPr>
          <w:rFonts w:asciiTheme="minorHAnsi" w:hAnsiTheme="minorHAnsi"/>
          <w:color w:val="000000" w:themeColor="text1"/>
        </w:rPr>
        <w:t>factors such as skills, responsibility</w:t>
      </w:r>
      <w:r w:rsidR="00DA72C6">
        <w:rPr>
          <w:rFonts w:asciiTheme="minorHAnsi" w:hAnsiTheme="minorHAnsi"/>
          <w:color w:val="000000" w:themeColor="text1"/>
        </w:rPr>
        <w:t xml:space="preserve">, </w:t>
      </w:r>
      <w:r w:rsidR="00DA72C6">
        <w:rPr>
          <w:rFonts w:asciiTheme="minorHAnsi" w:hAnsiTheme="minorHAnsi"/>
          <w:color w:val="000000" w:themeColor="text1"/>
        </w:rPr>
        <w:lastRenderedPageBreak/>
        <w:t>effort and working conditions. Each factor is weighted and scored, producing a total point value that determines the jo</w:t>
      </w:r>
      <w:r w:rsidR="005E59C7">
        <w:rPr>
          <w:rFonts w:asciiTheme="minorHAnsi" w:hAnsiTheme="minorHAnsi"/>
          <w:color w:val="000000" w:themeColor="text1"/>
        </w:rPr>
        <w:t>bs position within the pay structure. This method is transparent, systematic and str</w:t>
      </w:r>
      <w:r w:rsidR="00D332F6">
        <w:rPr>
          <w:rFonts w:asciiTheme="minorHAnsi" w:hAnsiTheme="minorHAnsi"/>
          <w:color w:val="000000" w:themeColor="text1"/>
        </w:rPr>
        <w:t>ongly aligned with equal pay legislation (CIPD, 2023</w:t>
      </w:r>
      <w:r w:rsidR="00A43C83">
        <w:rPr>
          <w:rFonts w:asciiTheme="minorHAnsi" w:hAnsiTheme="minorHAnsi"/>
          <w:color w:val="000000" w:themeColor="text1"/>
        </w:rPr>
        <w:t xml:space="preserve">). However, it can be time consuming </w:t>
      </w:r>
      <w:r w:rsidR="00BF31D8">
        <w:rPr>
          <w:rFonts w:asciiTheme="minorHAnsi" w:hAnsiTheme="minorHAnsi"/>
          <w:color w:val="000000" w:themeColor="text1"/>
        </w:rPr>
        <w:t xml:space="preserve">to design and requires specialist expertise. Another analytical </w:t>
      </w:r>
      <w:r w:rsidR="00F47C3B">
        <w:rPr>
          <w:rFonts w:asciiTheme="minorHAnsi" w:hAnsiTheme="minorHAnsi"/>
          <w:color w:val="000000" w:themeColor="text1"/>
        </w:rPr>
        <w:t>approach is factor comparison</w:t>
      </w:r>
      <w:r w:rsidR="008911E9">
        <w:rPr>
          <w:rFonts w:asciiTheme="minorHAnsi" w:hAnsiTheme="minorHAnsi"/>
          <w:color w:val="000000" w:themeColor="text1"/>
        </w:rPr>
        <w:t xml:space="preserve">, where jobs are compared factor by factor against benchmark roles and assigned monetary values. Although more precise </w:t>
      </w:r>
      <w:r w:rsidR="00C460C0">
        <w:rPr>
          <w:rFonts w:asciiTheme="minorHAnsi" w:hAnsiTheme="minorHAnsi"/>
          <w:color w:val="000000" w:themeColor="text1"/>
        </w:rPr>
        <w:t>than whole job methods, it is complex and less commonly used today (ACAS, 2023).</w:t>
      </w:r>
    </w:p>
    <w:p w14:paraId="740F17C4" w14:textId="77777777" w:rsidR="00C460C0" w:rsidRDefault="00C460C0" w:rsidP="00962F9E">
      <w:pPr>
        <w:pStyle w:val="Nornal"/>
        <w:spacing w:after="0" w:line="240" w:lineRule="auto"/>
        <w:rPr>
          <w:rFonts w:asciiTheme="minorHAnsi" w:hAnsiTheme="minorHAnsi"/>
          <w:color w:val="000000" w:themeColor="text1"/>
        </w:rPr>
      </w:pPr>
    </w:p>
    <w:p w14:paraId="2ED9ABD7" w14:textId="6F5EBA35" w:rsidR="00C460C0" w:rsidRDefault="00C460C0" w:rsidP="00962F9E">
      <w:pPr>
        <w:pStyle w:val="Nornal"/>
        <w:spacing w:after="0" w:line="240" w:lineRule="auto"/>
        <w:rPr>
          <w:rFonts w:asciiTheme="minorHAnsi" w:hAnsiTheme="minorHAnsi"/>
          <w:color w:val="000000" w:themeColor="text1"/>
        </w:rPr>
      </w:pPr>
      <w:r>
        <w:rPr>
          <w:rFonts w:asciiTheme="minorHAnsi" w:hAnsiTheme="minorHAnsi"/>
          <w:color w:val="000000" w:themeColor="text1"/>
        </w:rPr>
        <w:t>A further approach is market-based job evaluation, which uses external labour market data to determine pay levels. This method ensures competitiveness in recruitment and retention</w:t>
      </w:r>
      <w:r w:rsidR="002218BD">
        <w:rPr>
          <w:rFonts w:asciiTheme="minorHAnsi" w:hAnsiTheme="minorHAnsi"/>
          <w:color w:val="000000" w:themeColor="text1"/>
        </w:rPr>
        <w:t xml:space="preserve">, particularly in sectors facing skills shortages. However, it does not assess internal job value and may undermine internal equity if used in isolation (CIPD, 2022). </w:t>
      </w:r>
    </w:p>
    <w:p w14:paraId="337159D7" w14:textId="77777777" w:rsidR="002218BD" w:rsidRDefault="002218BD" w:rsidP="00962F9E">
      <w:pPr>
        <w:pStyle w:val="Nornal"/>
        <w:spacing w:after="0" w:line="240" w:lineRule="auto"/>
        <w:rPr>
          <w:rFonts w:asciiTheme="minorHAnsi" w:hAnsiTheme="minorHAnsi"/>
          <w:color w:val="000000" w:themeColor="text1"/>
        </w:rPr>
      </w:pPr>
    </w:p>
    <w:p w14:paraId="142756E0" w14:textId="1A751ED3" w:rsidR="008E4162" w:rsidRPr="00057605" w:rsidRDefault="008F48FA" w:rsidP="00962F9E">
      <w:pPr>
        <w:pStyle w:val="Nornal"/>
        <w:spacing w:after="0" w:line="240" w:lineRule="auto"/>
        <w:rPr>
          <w:rFonts w:asciiTheme="minorHAnsi" w:hAnsiTheme="minorHAnsi"/>
          <w:color w:val="000000" w:themeColor="text1"/>
        </w:rPr>
      </w:pPr>
      <w:r>
        <w:rPr>
          <w:rFonts w:asciiTheme="minorHAnsi" w:hAnsiTheme="minorHAnsi"/>
          <w:color w:val="000000" w:themeColor="text1"/>
        </w:rPr>
        <w:t xml:space="preserve">Job Evaluation for </w:t>
      </w:r>
      <w:r w:rsidR="00356106">
        <w:rPr>
          <w:rFonts w:asciiTheme="minorHAnsi" w:hAnsiTheme="minorHAnsi"/>
          <w:color w:val="000000"/>
        </w:rPr>
        <w:t>GreenFriendlyEco</w:t>
      </w:r>
      <w:r w:rsidR="00356106">
        <w:rPr>
          <w:rFonts w:asciiTheme="minorHAnsi" w:hAnsiTheme="minorHAnsi"/>
          <w:color w:val="000000" w:themeColor="text1"/>
        </w:rPr>
        <w:t xml:space="preserve"> </w:t>
      </w:r>
      <w:r>
        <w:rPr>
          <w:rFonts w:asciiTheme="minorHAnsi" w:hAnsiTheme="minorHAnsi"/>
          <w:color w:val="000000" w:themeColor="text1"/>
        </w:rPr>
        <w:t xml:space="preserve">is important due to the mix of manufacturing, technical and supervisory roles within the organisation. Analytical approaches </w:t>
      </w:r>
      <w:r w:rsidR="00F94C0F">
        <w:rPr>
          <w:rFonts w:asciiTheme="minorHAnsi" w:hAnsiTheme="minorHAnsi"/>
          <w:color w:val="000000" w:themeColor="text1"/>
        </w:rPr>
        <w:t xml:space="preserve">such as point-factor evaluation would allow the organisation to </w:t>
      </w:r>
      <w:r w:rsidR="00C32B90">
        <w:rPr>
          <w:rFonts w:asciiTheme="minorHAnsi" w:hAnsiTheme="minorHAnsi"/>
          <w:color w:val="000000" w:themeColor="text1"/>
        </w:rPr>
        <w:t xml:space="preserve">assess roles based on measurable factors such as technical skill, responsibility for machinery </w:t>
      </w:r>
      <w:r w:rsidR="004F5A50">
        <w:rPr>
          <w:rFonts w:asciiTheme="minorHAnsi" w:hAnsiTheme="minorHAnsi"/>
          <w:color w:val="000000" w:themeColor="text1"/>
        </w:rPr>
        <w:t xml:space="preserve">and compliance with environmental and safety standards. Market-based evaluation would also support </w:t>
      </w:r>
      <w:r w:rsidR="007F4937">
        <w:rPr>
          <w:rFonts w:asciiTheme="minorHAnsi" w:hAnsiTheme="minorHAnsi"/>
          <w:color w:val="000000"/>
        </w:rPr>
        <w:t>GreenFriendlyEco</w:t>
      </w:r>
      <w:r w:rsidR="007F4937">
        <w:rPr>
          <w:rFonts w:asciiTheme="minorHAnsi" w:hAnsiTheme="minorHAnsi"/>
          <w:color w:val="000000" w:themeColor="text1"/>
        </w:rPr>
        <w:t xml:space="preserve"> </w:t>
      </w:r>
      <w:r w:rsidR="004F5A50">
        <w:rPr>
          <w:rFonts w:asciiTheme="minorHAnsi" w:hAnsiTheme="minorHAnsi"/>
          <w:color w:val="000000" w:themeColor="text1"/>
        </w:rPr>
        <w:t xml:space="preserve">in benchmarking pay against other UK manufacturers competing </w:t>
      </w:r>
      <w:r w:rsidR="00E13DE1">
        <w:rPr>
          <w:rFonts w:asciiTheme="minorHAnsi" w:hAnsiTheme="minorHAnsi"/>
          <w:color w:val="000000" w:themeColor="text1"/>
        </w:rPr>
        <w:t xml:space="preserve">for similar green-skills talent, helping the organisation to remain competitive while maintaining internal fairness. </w:t>
      </w:r>
    </w:p>
    <w:p w14:paraId="33835A88" w14:textId="77777777" w:rsidR="00962F9E" w:rsidRPr="00E446B9" w:rsidRDefault="00962F9E" w:rsidP="00962F9E">
      <w:pPr>
        <w:pStyle w:val="Nornal"/>
        <w:spacing w:after="0" w:line="240" w:lineRule="auto"/>
        <w:rPr>
          <w:rFonts w:ascii="Trebuchet MS" w:hAnsi="Trebuchet MS"/>
          <w:color w:val="000000"/>
        </w:rPr>
      </w:pPr>
    </w:p>
    <w:p w14:paraId="5C0165E8" w14:textId="77777777" w:rsidR="00962F9E" w:rsidRPr="00E446B9" w:rsidRDefault="00962F9E" w:rsidP="00057605">
      <w:pPr>
        <w:pStyle w:val="Nornal"/>
        <w:spacing w:after="0" w:line="240" w:lineRule="auto"/>
        <w:rPr>
          <w:rFonts w:ascii="Trebuchet MS" w:hAnsi="Trebuchet MS"/>
          <w:color w:val="000000"/>
        </w:rPr>
      </w:pPr>
    </w:p>
    <w:p w14:paraId="3CAF4E99" w14:textId="56D76FE4" w:rsidR="00962F9E" w:rsidRPr="00E446B9" w:rsidRDefault="00962F9E" w:rsidP="00057605">
      <w:pPr>
        <w:pStyle w:val="Nornal"/>
        <w:spacing w:after="0" w:line="240" w:lineRule="auto"/>
        <w:rPr>
          <w:rFonts w:ascii="Trebuchet MS" w:hAnsi="Trebuchet MS"/>
          <w:color w:val="000000" w:themeColor="text1"/>
        </w:rPr>
      </w:pPr>
      <w:r w:rsidRPr="00E446B9">
        <w:rPr>
          <w:rFonts w:ascii="Trebuchet MS" w:hAnsi="Trebuchet MS"/>
          <w:color w:val="000000" w:themeColor="text1"/>
        </w:rPr>
        <w:t xml:space="preserve">(AC 3.4) </w:t>
      </w:r>
    </w:p>
    <w:p w14:paraId="6153725F" w14:textId="77777777" w:rsidR="00F96C3A" w:rsidRDefault="00F96C3A"/>
    <w:p w14:paraId="0D84C721" w14:textId="191F4868" w:rsidR="00F96C3A" w:rsidRDefault="001234E5">
      <w:pPr>
        <w:rPr>
          <w:rFonts w:asciiTheme="minorHAnsi" w:hAnsiTheme="minorHAnsi"/>
        </w:rPr>
      </w:pPr>
      <w:r>
        <w:rPr>
          <w:rFonts w:asciiTheme="minorHAnsi" w:hAnsiTheme="minorHAnsi"/>
        </w:rPr>
        <w:t xml:space="preserve">Reward practice in the UK is shaped by a range of legislative requirements designed to ensure fairness, transparency and legal compliance. These laws influence how organisations </w:t>
      </w:r>
      <w:r w:rsidR="0041074D">
        <w:rPr>
          <w:rFonts w:asciiTheme="minorHAnsi" w:hAnsiTheme="minorHAnsi"/>
        </w:rPr>
        <w:t xml:space="preserve">design pay structures, manage benefits and make reward-related decisions. HR Professionals </w:t>
      </w:r>
      <w:r w:rsidR="00B96A1D">
        <w:rPr>
          <w:rFonts w:asciiTheme="minorHAnsi" w:hAnsiTheme="minorHAnsi"/>
        </w:rPr>
        <w:t xml:space="preserve">within organisations must understand these requirements to minimise legal risk and promote equitable reward outcomes. </w:t>
      </w:r>
    </w:p>
    <w:p w14:paraId="14F38876" w14:textId="77777777" w:rsidR="00EE0317" w:rsidRDefault="00EE0317">
      <w:pPr>
        <w:rPr>
          <w:rFonts w:asciiTheme="minorHAnsi" w:hAnsiTheme="minorHAnsi"/>
        </w:rPr>
      </w:pPr>
    </w:p>
    <w:p w14:paraId="30A068DF" w14:textId="5ADCE34A" w:rsidR="00EE0317" w:rsidRDefault="00ED79DF">
      <w:pPr>
        <w:rPr>
          <w:rFonts w:asciiTheme="minorHAnsi" w:hAnsiTheme="minorHAnsi"/>
        </w:rPr>
      </w:pPr>
      <w:r>
        <w:rPr>
          <w:rFonts w:asciiTheme="minorHAnsi" w:hAnsiTheme="minorHAnsi"/>
        </w:rPr>
        <w:t>A central piece of legislations is th</w:t>
      </w:r>
      <w:r w:rsidR="003804CD">
        <w:rPr>
          <w:rFonts w:asciiTheme="minorHAnsi" w:hAnsiTheme="minorHAnsi"/>
        </w:rPr>
        <w:t xml:space="preserve">e Equality Act 2010, which </w:t>
      </w:r>
      <w:r w:rsidR="00661278">
        <w:rPr>
          <w:rFonts w:asciiTheme="minorHAnsi" w:hAnsiTheme="minorHAnsi"/>
        </w:rPr>
        <w:t xml:space="preserve">prohibits </w:t>
      </w:r>
      <w:r w:rsidR="00EE4DD1">
        <w:rPr>
          <w:rFonts w:asciiTheme="minorHAnsi" w:hAnsiTheme="minorHAnsi"/>
        </w:rPr>
        <w:t xml:space="preserve">discrimination in pay and benefits </w:t>
      </w:r>
      <w:proofErr w:type="gramStart"/>
      <w:r w:rsidR="00EE4DD1">
        <w:rPr>
          <w:rFonts w:asciiTheme="minorHAnsi" w:hAnsiTheme="minorHAnsi"/>
        </w:rPr>
        <w:t>on the basis of</w:t>
      </w:r>
      <w:proofErr w:type="gramEnd"/>
      <w:r w:rsidR="00EE4DD1">
        <w:rPr>
          <w:rFonts w:asciiTheme="minorHAnsi" w:hAnsiTheme="minorHAnsi"/>
        </w:rPr>
        <w:t xml:space="preserve"> protected characteristics such as se</w:t>
      </w:r>
      <w:r w:rsidR="00D31A4E">
        <w:rPr>
          <w:rFonts w:asciiTheme="minorHAnsi" w:hAnsiTheme="minorHAnsi"/>
        </w:rPr>
        <w:t>x</w:t>
      </w:r>
      <w:r w:rsidR="00EE4DD1">
        <w:rPr>
          <w:rFonts w:asciiTheme="minorHAnsi" w:hAnsiTheme="minorHAnsi"/>
        </w:rPr>
        <w:t xml:space="preserve">, race, disability, age and religion </w:t>
      </w:r>
      <w:r w:rsidR="00B6225D">
        <w:rPr>
          <w:rFonts w:asciiTheme="minorHAnsi" w:hAnsiTheme="minorHAnsi"/>
        </w:rPr>
        <w:t>(CIPD, 2023). The act also enforces the principals of equal pay for equal work</w:t>
      </w:r>
      <w:r w:rsidR="00FA4C47">
        <w:rPr>
          <w:rFonts w:asciiTheme="minorHAnsi" w:hAnsiTheme="minorHAnsi"/>
        </w:rPr>
        <w:t>, requiring employers to ensure that individuals performing like work</w:t>
      </w:r>
      <w:r w:rsidR="000E7F55">
        <w:rPr>
          <w:rFonts w:asciiTheme="minorHAnsi" w:hAnsiTheme="minorHAnsi"/>
        </w:rPr>
        <w:t>, work rated as equivalent, or work of equal value receive equal renumeration</w:t>
      </w:r>
      <w:r w:rsidR="005C1E24">
        <w:rPr>
          <w:rFonts w:asciiTheme="minorHAnsi" w:hAnsiTheme="minorHAnsi"/>
        </w:rPr>
        <w:t xml:space="preserve">. This legislation directly impacts job </w:t>
      </w:r>
      <w:proofErr w:type="gramStart"/>
      <w:r w:rsidR="00D31A4E">
        <w:rPr>
          <w:rFonts w:asciiTheme="minorHAnsi" w:hAnsiTheme="minorHAnsi"/>
        </w:rPr>
        <w:t>evaluation,</w:t>
      </w:r>
      <w:proofErr w:type="gramEnd"/>
      <w:r w:rsidR="00D31A4E">
        <w:rPr>
          <w:rFonts w:asciiTheme="minorHAnsi" w:hAnsiTheme="minorHAnsi"/>
        </w:rPr>
        <w:t xml:space="preserve"> </w:t>
      </w:r>
      <w:r w:rsidR="005C1E24">
        <w:rPr>
          <w:rFonts w:asciiTheme="minorHAnsi" w:hAnsiTheme="minorHAnsi"/>
        </w:rPr>
        <w:t xml:space="preserve">pay grading and the design of reward policies </w:t>
      </w:r>
      <w:r w:rsidR="00DA6BD2">
        <w:rPr>
          <w:rFonts w:asciiTheme="minorHAnsi" w:hAnsiTheme="minorHAnsi"/>
        </w:rPr>
        <w:t xml:space="preserve">to ensure they are objective and free from bias. </w:t>
      </w:r>
    </w:p>
    <w:p w14:paraId="39EFC5E9" w14:textId="77777777" w:rsidR="00655985" w:rsidRDefault="00655985">
      <w:pPr>
        <w:rPr>
          <w:rFonts w:asciiTheme="minorHAnsi" w:hAnsiTheme="minorHAnsi"/>
        </w:rPr>
      </w:pPr>
    </w:p>
    <w:p w14:paraId="0FC881C6" w14:textId="5D6359CA" w:rsidR="00655985" w:rsidRDefault="00655985">
      <w:pPr>
        <w:rPr>
          <w:rFonts w:asciiTheme="minorHAnsi" w:hAnsiTheme="minorHAnsi"/>
        </w:rPr>
      </w:pPr>
      <w:r>
        <w:rPr>
          <w:rFonts w:asciiTheme="minorHAnsi" w:hAnsiTheme="minorHAnsi"/>
        </w:rPr>
        <w:t xml:space="preserve">The National Minimum Wage Act 1988 and the introduction of the National Living Wage set </w:t>
      </w:r>
      <w:r w:rsidR="00D04511">
        <w:rPr>
          <w:rFonts w:asciiTheme="minorHAnsi" w:hAnsiTheme="minorHAnsi"/>
        </w:rPr>
        <w:t xml:space="preserve">legally enforceable minimum hourly pay rates. Employers must ensure that no worker is paid below the statutory threshold, which </w:t>
      </w:r>
      <w:r w:rsidR="00FE112C">
        <w:rPr>
          <w:rFonts w:asciiTheme="minorHAnsi" w:hAnsiTheme="minorHAnsi"/>
        </w:rPr>
        <w:t>affects reward budgeting, pay progression and workforce planning (UK Government, 2024). Failure to comply can result in financial penal</w:t>
      </w:r>
      <w:r w:rsidR="004A6580">
        <w:rPr>
          <w:rFonts w:asciiTheme="minorHAnsi" w:hAnsiTheme="minorHAnsi"/>
        </w:rPr>
        <w:t xml:space="preserve">ties and reputational damage. </w:t>
      </w:r>
    </w:p>
    <w:p w14:paraId="7698F7A3" w14:textId="77777777" w:rsidR="004A6580" w:rsidRDefault="004A6580">
      <w:pPr>
        <w:rPr>
          <w:rFonts w:asciiTheme="minorHAnsi" w:hAnsiTheme="minorHAnsi"/>
        </w:rPr>
      </w:pPr>
    </w:p>
    <w:p w14:paraId="5C35B895" w14:textId="5215085A" w:rsidR="004A6580" w:rsidRDefault="004A6580">
      <w:pPr>
        <w:rPr>
          <w:rFonts w:asciiTheme="minorHAnsi" w:hAnsiTheme="minorHAnsi"/>
        </w:rPr>
      </w:pPr>
      <w:r>
        <w:rPr>
          <w:rFonts w:asciiTheme="minorHAnsi" w:hAnsiTheme="minorHAnsi"/>
        </w:rPr>
        <w:t xml:space="preserve">The Employment Rights Act 1996 also plays a significant role </w:t>
      </w:r>
      <w:r w:rsidR="00D87E11">
        <w:rPr>
          <w:rFonts w:asciiTheme="minorHAnsi" w:hAnsiTheme="minorHAnsi"/>
        </w:rPr>
        <w:t xml:space="preserve">by </w:t>
      </w:r>
      <w:r w:rsidR="00B203A4">
        <w:rPr>
          <w:rFonts w:asciiTheme="minorHAnsi" w:hAnsiTheme="minorHAnsi"/>
        </w:rPr>
        <w:t>requiring employers to provide clear written statements of pay, benefits and terms of employment. It regulates lawful deductions</w:t>
      </w:r>
      <w:r w:rsidR="00B40E03">
        <w:rPr>
          <w:rFonts w:asciiTheme="minorHAnsi" w:hAnsiTheme="minorHAnsi"/>
        </w:rPr>
        <w:t xml:space="preserve"> from wages and supports transparency in reward communication (ACAS, 2023). This legislation underpins </w:t>
      </w:r>
      <w:r w:rsidR="00E32011">
        <w:rPr>
          <w:rFonts w:asciiTheme="minorHAnsi" w:hAnsiTheme="minorHAnsi"/>
        </w:rPr>
        <w:t xml:space="preserve">fair and consistent payroll practices. </w:t>
      </w:r>
    </w:p>
    <w:p w14:paraId="4D0D2903" w14:textId="77777777" w:rsidR="00E32011" w:rsidRDefault="00E32011">
      <w:pPr>
        <w:rPr>
          <w:rFonts w:asciiTheme="minorHAnsi" w:hAnsiTheme="minorHAnsi"/>
        </w:rPr>
      </w:pPr>
    </w:p>
    <w:p w14:paraId="358B4D46" w14:textId="4ED4C08B" w:rsidR="00E32011" w:rsidRDefault="00E32011">
      <w:pPr>
        <w:rPr>
          <w:rFonts w:asciiTheme="minorHAnsi" w:hAnsiTheme="minorHAnsi"/>
        </w:rPr>
      </w:pPr>
      <w:r>
        <w:rPr>
          <w:rFonts w:asciiTheme="minorHAnsi" w:hAnsiTheme="minorHAnsi"/>
        </w:rPr>
        <w:t xml:space="preserve">Working hours and holiday pay are governed by the Working Time Regulations 1998, which set limits </w:t>
      </w:r>
      <w:r w:rsidR="00B81C1D">
        <w:rPr>
          <w:rFonts w:asciiTheme="minorHAnsi" w:hAnsiTheme="minorHAnsi"/>
        </w:rPr>
        <w:t>on weekly working hours, rest breaks and paid annual leave. Case law cl</w:t>
      </w:r>
      <w:r w:rsidR="0072075E">
        <w:rPr>
          <w:rFonts w:asciiTheme="minorHAnsi" w:hAnsiTheme="minorHAnsi"/>
        </w:rPr>
        <w:t xml:space="preserve">arified that </w:t>
      </w:r>
      <w:r w:rsidR="0072075E">
        <w:rPr>
          <w:rFonts w:asciiTheme="minorHAnsi" w:hAnsiTheme="minorHAnsi"/>
        </w:rPr>
        <w:lastRenderedPageBreak/>
        <w:t xml:space="preserve">holiday pay must reflect ‘normal remuneration’, including overtime and regular allowances, which has implications for </w:t>
      </w:r>
      <w:r w:rsidR="00DA6E4A">
        <w:rPr>
          <w:rFonts w:asciiTheme="minorHAnsi" w:hAnsiTheme="minorHAnsi"/>
        </w:rPr>
        <w:t xml:space="preserve">reward calculations and overtime policies (CIPD, 2023). </w:t>
      </w:r>
    </w:p>
    <w:p w14:paraId="2ECC15B5" w14:textId="77777777" w:rsidR="00DA6E4A" w:rsidRDefault="00DA6E4A">
      <w:pPr>
        <w:rPr>
          <w:rFonts w:asciiTheme="minorHAnsi" w:hAnsiTheme="minorHAnsi"/>
        </w:rPr>
      </w:pPr>
    </w:p>
    <w:p w14:paraId="78BEF488" w14:textId="2AD0B4F8" w:rsidR="00DA6E4A" w:rsidRDefault="00DA6E4A">
      <w:pPr>
        <w:rPr>
          <w:rFonts w:asciiTheme="minorHAnsi" w:hAnsiTheme="minorHAnsi"/>
        </w:rPr>
      </w:pPr>
      <w:r>
        <w:rPr>
          <w:rFonts w:asciiTheme="minorHAnsi" w:hAnsiTheme="minorHAnsi"/>
        </w:rPr>
        <w:t xml:space="preserve">The Pensions Act 2008 introduced </w:t>
      </w:r>
      <w:r w:rsidR="008D5F11">
        <w:rPr>
          <w:rFonts w:asciiTheme="minorHAnsi" w:hAnsiTheme="minorHAnsi"/>
        </w:rPr>
        <w:t>auto-enrolment</w:t>
      </w:r>
      <w:r w:rsidR="007D5119">
        <w:rPr>
          <w:rFonts w:asciiTheme="minorHAnsi" w:hAnsiTheme="minorHAnsi"/>
        </w:rPr>
        <w:t xml:space="preserve">, requiring employers to enrol eligible workers into the pension scheme and contribute </w:t>
      </w:r>
      <w:r w:rsidR="00395545">
        <w:rPr>
          <w:rFonts w:asciiTheme="minorHAnsi" w:hAnsiTheme="minorHAnsi"/>
        </w:rPr>
        <w:t xml:space="preserve">at least the minimum percentage. This affects total reward design and long-term benefits planning. </w:t>
      </w:r>
    </w:p>
    <w:p w14:paraId="672D51E4" w14:textId="77777777" w:rsidR="00395545" w:rsidRDefault="00395545">
      <w:pPr>
        <w:rPr>
          <w:rFonts w:asciiTheme="minorHAnsi" w:hAnsiTheme="minorHAnsi"/>
        </w:rPr>
      </w:pPr>
    </w:p>
    <w:p w14:paraId="5FE3545F" w14:textId="043A103D" w:rsidR="00395545" w:rsidRDefault="00395545">
      <w:pPr>
        <w:rPr>
          <w:rFonts w:asciiTheme="minorHAnsi" w:hAnsiTheme="minorHAnsi"/>
        </w:rPr>
      </w:pPr>
      <w:r>
        <w:rPr>
          <w:rFonts w:asciiTheme="minorHAnsi" w:hAnsiTheme="minorHAnsi"/>
        </w:rPr>
        <w:t>For larger employ</w:t>
      </w:r>
      <w:r w:rsidR="00642431">
        <w:rPr>
          <w:rFonts w:asciiTheme="minorHAnsi" w:hAnsiTheme="minorHAnsi"/>
        </w:rPr>
        <w:t>ers, the Gender Pay Gap Reporting Regulations 2017 require annual reporting of pay and bonus gaps</w:t>
      </w:r>
      <w:r w:rsidR="00D2504A">
        <w:rPr>
          <w:rFonts w:asciiTheme="minorHAnsi" w:hAnsiTheme="minorHAnsi"/>
        </w:rPr>
        <w:t xml:space="preserve"> between men and women. This legislation encourages organisations to review pay structures and address system</w:t>
      </w:r>
      <w:r w:rsidR="000E4D4B">
        <w:rPr>
          <w:rFonts w:asciiTheme="minorHAnsi" w:hAnsiTheme="minorHAnsi"/>
        </w:rPr>
        <w:t xml:space="preserve">ic inequalities (UK Government, 2024). </w:t>
      </w:r>
    </w:p>
    <w:p w14:paraId="4D3A22D9" w14:textId="77777777" w:rsidR="000E4D4B" w:rsidRDefault="000E4D4B">
      <w:pPr>
        <w:rPr>
          <w:rFonts w:asciiTheme="minorHAnsi" w:hAnsiTheme="minorHAnsi"/>
        </w:rPr>
      </w:pPr>
    </w:p>
    <w:p w14:paraId="20B962A7" w14:textId="5452FD87" w:rsidR="000E4D4B" w:rsidRPr="001234E5" w:rsidRDefault="0092622B">
      <w:pPr>
        <w:rPr>
          <w:rFonts w:asciiTheme="minorHAnsi" w:hAnsiTheme="minorHAnsi"/>
        </w:rPr>
      </w:pPr>
      <w:r>
        <w:rPr>
          <w:rFonts w:asciiTheme="minorHAnsi" w:hAnsiTheme="minorHAnsi"/>
        </w:rPr>
        <w:t>Case law such as Asda v Brierley (2021) demonstrates that employers in manufacturing must ensure pay differences</w:t>
      </w:r>
      <w:r w:rsidR="009F3D4D">
        <w:rPr>
          <w:rFonts w:asciiTheme="minorHAnsi" w:hAnsiTheme="minorHAnsi"/>
        </w:rPr>
        <w:t xml:space="preserve"> between production, warehouse and distribution roles are objectively justified. Similarly, Cadman v HSE (2006) highlights that seniority-based pay schemes</w:t>
      </w:r>
      <w:r w:rsidR="0032790C">
        <w:rPr>
          <w:rFonts w:asciiTheme="minorHAnsi" w:hAnsiTheme="minorHAnsi"/>
        </w:rPr>
        <w:t xml:space="preserve"> which are common in manufacturing must be evidenced based to avoid indirect discrimination. </w:t>
      </w:r>
    </w:p>
    <w:p w14:paraId="2C0898B7" w14:textId="77777777" w:rsidR="00F96C3A" w:rsidRDefault="00F96C3A"/>
    <w:p w14:paraId="60A7D4C8" w14:textId="77777777" w:rsidR="00057605" w:rsidRDefault="00057605">
      <w:pPr>
        <w:rPr>
          <w:rFonts w:asciiTheme="minorHAnsi" w:hAnsiTheme="minorHAnsi"/>
          <w:b/>
          <w:bCs/>
          <w:szCs w:val="22"/>
          <w:u w:val="single"/>
        </w:rPr>
      </w:pPr>
    </w:p>
    <w:p w14:paraId="1AFF9357" w14:textId="66D33B05" w:rsidR="008E4162" w:rsidRPr="00057605" w:rsidRDefault="00057605">
      <w:pPr>
        <w:rPr>
          <w:rFonts w:asciiTheme="minorHAnsi" w:hAnsiTheme="minorHAnsi"/>
          <w:b/>
          <w:bCs/>
          <w:szCs w:val="22"/>
          <w:u w:val="single"/>
        </w:rPr>
      </w:pPr>
      <w:r w:rsidRPr="00057605">
        <w:rPr>
          <w:rFonts w:asciiTheme="minorHAnsi" w:hAnsiTheme="minorHAnsi"/>
          <w:b/>
          <w:bCs/>
          <w:szCs w:val="22"/>
          <w:u w:val="single"/>
        </w:rPr>
        <w:t>Bibliography</w:t>
      </w:r>
    </w:p>
    <w:p w14:paraId="588293DC" w14:textId="77777777" w:rsidR="0091654A" w:rsidRDefault="0091654A">
      <w:pPr>
        <w:rPr>
          <w:rFonts w:asciiTheme="minorHAnsi" w:hAnsiTheme="minorHAnsi"/>
          <w:szCs w:val="22"/>
        </w:rPr>
      </w:pPr>
    </w:p>
    <w:p w14:paraId="72A5C619" w14:textId="47EF50AA" w:rsidR="00071383" w:rsidRDefault="00071383" w:rsidP="00071383">
      <w:pPr>
        <w:pStyle w:val="NormalWeb"/>
        <w:ind w:left="567" w:hanging="567"/>
      </w:pPr>
      <w:r>
        <w:t xml:space="preserve">ACAS (2020) </w:t>
      </w:r>
      <w:r>
        <w:rPr>
          <w:i/>
          <w:iCs/>
        </w:rPr>
        <w:t>Making working life better for everyone in Britain</w:t>
      </w:r>
      <w:r>
        <w:t xml:space="preserve">, </w:t>
      </w:r>
      <w:proofErr w:type="spellStart"/>
      <w:r>
        <w:rPr>
          <w:i/>
          <w:iCs/>
        </w:rPr>
        <w:t>Acas</w:t>
      </w:r>
      <w:proofErr w:type="spellEnd"/>
      <w:r>
        <w:t xml:space="preserve">. Available at: https://www.acas.org.uk/ (Accessed: 09 January 2026). </w:t>
      </w:r>
    </w:p>
    <w:p w14:paraId="6AEB0FA2" w14:textId="7FF40C57" w:rsidR="00660FA7" w:rsidRDefault="00660FA7" w:rsidP="00071383">
      <w:pPr>
        <w:pStyle w:val="NormalWeb"/>
        <w:ind w:left="567" w:hanging="567"/>
      </w:pPr>
      <w:r>
        <w:t xml:space="preserve">ACAS (2022) </w:t>
      </w:r>
      <w:r w:rsidRPr="00660FA7">
        <w:rPr>
          <w:i/>
          <w:iCs/>
        </w:rPr>
        <w:t>Reward and Recognition.</w:t>
      </w:r>
      <w:r>
        <w:t xml:space="preserve"> </w:t>
      </w:r>
      <w:r w:rsidRPr="00660FA7">
        <w:rPr>
          <w:i/>
          <w:iCs/>
        </w:rPr>
        <w:t>A</w:t>
      </w:r>
      <w:r>
        <w:rPr>
          <w:i/>
          <w:iCs/>
        </w:rPr>
        <w:t>CAS</w:t>
      </w:r>
      <w:r>
        <w:t xml:space="preserve">. Available at: </w:t>
      </w:r>
      <w:hyperlink r:id="rId5" w:history="1">
        <w:r w:rsidRPr="008A01F0">
          <w:rPr>
            <w:rStyle w:val="Hyperlink"/>
          </w:rPr>
          <w:t>https://www.acas.org.uk/reward-and-recognition/</w:t>
        </w:r>
      </w:hyperlink>
      <w:r>
        <w:t xml:space="preserve"> (Accessed: 09 </w:t>
      </w:r>
      <w:proofErr w:type="spellStart"/>
      <w:r>
        <w:t>Janury</w:t>
      </w:r>
      <w:proofErr w:type="spellEnd"/>
      <w:r>
        <w:t xml:space="preserve"> 2026).</w:t>
      </w:r>
    </w:p>
    <w:p w14:paraId="6C2E5004" w14:textId="462EE1A4" w:rsidR="00E12CEA" w:rsidRDefault="00E12CEA" w:rsidP="00071383">
      <w:pPr>
        <w:pStyle w:val="NormalWeb"/>
        <w:ind w:left="567" w:hanging="567"/>
      </w:pPr>
      <w:r>
        <w:t xml:space="preserve">ACAS (2023) </w:t>
      </w:r>
      <w:r w:rsidRPr="00CA426C">
        <w:rPr>
          <w:i/>
          <w:iCs/>
        </w:rPr>
        <w:t>Employment rights and pay</w:t>
      </w:r>
      <w:r w:rsidR="007853E0" w:rsidRPr="00CA426C">
        <w:rPr>
          <w:i/>
          <w:iCs/>
        </w:rPr>
        <w:t>. ACAS</w:t>
      </w:r>
      <w:r w:rsidR="007853E0">
        <w:t xml:space="preserve">. Available at </w:t>
      </w:r>
      <w:hyperlink r:id="rId6" w:history="1">
        <w:r w:rsidR="00CA426C" w:rsidRPr="00086295">
          <w:rPr>
            <w:rStyle w:val="Hyperlink"/>
          </w:rPr>
          <w:t>https://www.acas.org.uk/</w:t>
        </w:r>
      </w:hyperlink>
      <w:r w:rsidR="00CA426C">
        <w:t xml:space="preserve"> (Accessed: 12 January 2026)</w:t>
      </w:r>
    </w:p>
    <w:p w14:paraId="007A6037" w14:textId="1CC52365" w:rsidR="00071383" w:rsidRDefault="00071383" w:rsidP="00071383">
      <w:pPr>
        <w:pStyle w:val="NormalWeb"/>
        <w:ind w:left="567" w:hanging="567"/>
      </w:pPr>
      <w:r>
        <w:t xml:space="preserve">Armstrong, M. (2021) </w:t>
      </w:r>
      <w:r w:rsidRPr="00071383">
        <w:rPr>
          <w:i/>
          <w:iCs/>
        </w:rPr>
        <w:t>Armstrong’s Handbook of Reward Management Practice</w:t>
      </w:r>
      <w:r>
        <w:t>. 7</w:t>
      </w:r>
      <w:r w:rsidRPr="00071383">
        <w:rPr>
          <w:vertAlign w:val="superscript"/>
        </w:rPr>
        <w:t>th</w:t>
      </w:r>
      <w:r>
        <w:t xml:space="preserve"> </w:t>
      </w:r>
      <w:proofErr w:type="spellStart"/>
      <w:r>
        <w:t>Edn</w:t>
      </w:r>
      <w:proofErr w:type="spellEnd"/>
      <w:r>
        <w:t>. London: Kogan Page</w:t>
      </w:r>
      <w:r w:rsidR="004E2A57">
        <w:t>.</w:t>
      </w:r>
    </w:p>
    <w:p w14:paraId="68AFC519" w14:textId="4B69F9FA" w:rsidR="00660FA7" w:rsidRDefault="00660FA7" w:rsidP="00071383">
      <w:pPr>
        <w:pStyle w:val="NormalWeb"/>
        <w:ind w:left="567" w:hanging="567"/>
      </w:pPr>
      <w:r>
        <w:t>Armstrong, M. and Taylor, S. (2020) A</w:t>
      </w:r>
      <w:r w:rsidRPr="00660FA7">
        <w:rPr>
          <w:i/>
          <w:iCs/>
        </w:rPr>
        <w:t>rmstrong’s Handbook of Human Resource Management Practice.</w:t>
      </w:r>
      <w:r>
        <w:t xml:space="preserve"> 15</w:t>
      </w:r>
      <w:r w:rsidRPr="00660FA7">
        <w:rPr>
          <w:vertAlign w:val="superscript"/>
        </w:rPr>
        <w:t>th</w:t>
      </w:r>
      <w:r>
        <w:t xml:space="preserve"> </w:t>
      </w:r>
      <w:proofErr w:type="spellStart"/>
      <w:r>
        <w:t>edn</w:t>
      </w:r>
      <w:proofErr w:type="spellEnd"/>
      <w:r>
        <w:t>. London: Kogan Page</w:t>
      </w:r>
    </w:p>
    <w:p w14:paraId="2B8194AB" w14:textId="47D47471" w:rsidR="005F56CD" w:rsidRDefault="005F56CD" w:rsidP="00071383">
      <w:pPr>
        <w:pStyle w:val="NormalWeb"/>
        <w:ind w:left="567" w:hanging="567"/>
      </w:pPr>
      <w:r w:rsidRPr="009B1ABE">
        <w:rPr>
          <w:i/>
          <w:iCs/>
        </w:rPr>
        <w:t>ASDA</w:t>
      </w:r>
      <w:r w:rsidR="00152773" w:rsidRPr="009B1ABE">
        <w:rPr>
          <w:i/>
          <w:iCs/>
        </w:rPr>
        <w:t xml:space="preserve"> Stores Ltd V Brierley</w:t>
      </w:r>
      <w:r w:rsidR="00152773">
        <w:t xml:space="preserve"> [2021] UKSC10</w:t>
      </w:r>
    </w:p>
    <w:p w14:paraId="2E34379F" w14:textId="25EEE065" w:rsidR="00660FA7" w:rsidRDefault="00660FA7" w:rsidP="00071383">
      <w:pPr>
        <w:pStyle w:val="NormalWeb"/>
        <w:ind w:left="567" w:hanging="567"/>
      </w:pPr>
      <w:r>
        <w:t xml:space="preserve">Brown, D. and Reilly, P. (2013) </w:t>
      </w:r>
      <w:r w:rsidRPr="00660FA7">
        <w:rPr>
          <w:i/>
          <w:iCs/>
        </w:rPr>
        <w:t>Reward Management: A practical Introduction</w:t>
      </w:r>
      <w:r>
        <w:t>. London: Kogan Page.</w:t>
      </w:r>
    </w:p>
    <w:p w14:paraId="29A87515" w14:textId="5803497D" w:rsidR="00152773" w:rsidRDefault="00152773" w:rsidP="00071383">
      <w:pPr>
        <w:pStyle w:val="NormalWeb"/>
        <w:ind w:left="567" w:hanging="567"/>
      </w:pPr>
      <w:r w:rsidRPr="009B1ABE">
        <w:rPr>
          <w:i/>
          <w:iCs/>
        </w:rPr>
        <w:t>Cadman v Health and Safety Executive</w:t>
      </w:r>
      <w:r>
        <w:t xml:space="preserve"> [2006] IRLR 969 (ECJ)</w:t>
      </w:r>
    </w:p>
    <w:p w14:paraId="2526E776" w14:textId="5F0E4F80" w:rsidR="00535DC9" w:rsidRDefault="004E2A57" w:rsidP="00535DC9">
      <w:pPr>
        <w:pStyle w:val="NormalWeb"/>
        <w:ind w:left="567" w:hanging="567"/>
      </w:pPr>
      <w:r>
        <w:t xml:space="preserve">CIPD (2022) </w:t>
      </w:r>
      <w:r>
        <w:rPr>
          <w:i/>
          <w:iCs/>
        </w:rPr>
        <w:t>Strategic &amp; Total Reward: Factsheets</w:t>
      </w:r>
      <w:r>
        <w:t xml:space="preserve">, </w:t>
      </w:r>
      <w:r>
        <w:rPr>
          <w:i/>
          <w:iCs/>
        </w:rPr>
        <w:t>CIPD</w:t>
      </w:r>
      <w:r>
        <w:t xml:space="preserve">. Available at: https://www.cipd.org/uk/knowledge/factsheets/strategic-total-factsheet/ (Accessed: 09 January 2026). </w:t>
      </w:r>
    </w:p>
    <w:p w14:paraId="6F8D65D3" w14:textId="394B7F12" w:rsidR="00912DED" w:rsidRDefault="00912DED" w:rsidP="00535DC9">
      <w:pPr>
        <w:pStyle w:val="NormalWeb"/>
        <w:ind w:left="567" w:hanging="567"/>
      </w:pPr>
      <w:r>
        <w:t>CIPD (2022)</w:t>
      </w:r>
      <w:r w:rsidR="005D6D5E">
        <w:t xml:space="preserve"> </w:t>
      </w:r>
      <w:r w:rsidR="005D6D5E" w:rsidRPr="009D0320">
        <w:rPr>
          <w:i/>
          <w:iCs/>
        </w:rPr>
        <w:t>People Analytics and evidence-based practice</w:t>
      </w:r>
      <w:r w:rsidR="005D6D5E" w:rsidRPr="00514FCB">
        <w:rPr>
          <w:i/>
          <w:iCs/>
        </w:rPr>
        <w:t>. CIPD</w:t>
      </w:r>
      <w:r w:rsidR="005D6D5E">
        <w:t xml:space="preserve">. Available at: </w:t>
      </w:r>
      <w:hyperlink r:id="rId7" w:history="1">
        <w:r w:rsidR="000F6D75" w:rsidRPr="00086295">
          <w:rPr>
            <w:rStyle w:val="Hyperlink"/>
          </w:rPr>
          <w:t>https://www.cipd.org/uk/knowledge/people-analytics/</w:t>
        </w:r>
      </w:hyperlink>
      <w:r w:rsidR="000F6D75">
        <w:t xml:space="preserve"> (Accessed:</w:t>
      </w:r>
      <w:r w:rsidR="009D0320">
        <w:t xml:space="preserve"> 12 January 2026)</w:t>
      </w:r>
    </w:p>
    <w:p w14:paraId="5D293B87" w14:textId="722B9D1C" w:rsidR="00660FA7" w:rsidRDefault="00660FA7" w:rsidP="00535DC9">
      <w:pPr>
        <w:pStyle w:val="NormalWeb"/>
        <w:ind w:left="567" w:hanging="567"/>
      </w:pPr>
      <w:r>
        <w:lastRenderedPageBreak/>
        <w:t xml:space="preserve">CIPD (2023) </w:t>
      </w:r>
      <w:r w:rsidRPr="009D0320">
        <w:rPr>
          <w:i/>
          <w:iCs/>
        </w:rPr>
        <w:t>Reward Management: an introduction</w:t>
      </w:r>
      <w:r>
        <w:t xml:space="preserve">. </w:t>
      </w:r>
      <w:r w:rsidRPr="00514FCB">
        <w:rPr>
          <w:i/>
          <w:iCs/>
        </w:rPr>
        <w:t>CIPD</w:t>
      </w:r>
      <w:r>
        <w:t xml:space="preserve">. Available at: </w:t>
      </w:r>
      <w:hyperlink r:id="rId8" w:history="1">
        <w:r w:rsidRPr="008A01F0">
          <w:rPr>
            <w:rStyle w:val="Hyperlink"/>
          </w:rPr>
          <w:t>https://www.cipd.org/uk/knowledge/factsheets/reward-factsheet/</w:t>
        </w:r>
      </w:hyperlink>
      <w:r>
        <w:t xml:space="preserve"> (Accessed: 09 January 2026)</w:t>
      </w:r>
    </w:p>
    <w:p w14:paraId="38ACCCBF" w14:textId="10721277" w:rsidR="009D0320" w:rsidRPr="00071383" w:rsidRDefault="009D0320" w:rsidP="00535DC9">
      <w:pPr>
        <w:pStyle w:val="NormalWeb"/>
        <w:ind w:left="567" w:hanging="567"/>
      </w:pPr>
      <w:r>
        <w:t xml:space="preserve">CIPD (2023) </w:t>
      </w:r>
      <w:r w:rsidRPr="00514FCB">
        <w:rPr>
          <w:i/>
          <w:iCs/>
        </w:rPr>
        <w:t>HR an</w:t>
      </w:r>
      <w:r w:rsidR="002561D3" w:rsidRPr="00514FCB">
        <w:rPr>
          <w:i/>
          <w:iCs/>
        </w:rPr>
        <w:t>alytics factsheet. CIPD</w:t>
      </w:r>
      <w:r w:rsidR="002561D3">
        <w:t xml:space="preserve">. Available at: </w:t>
      </w:r>
      <w:hyperlink r:id="rId9" w:history="1">
        <w:r w:rsidR="00514FCB" w:rsidRPr="00086295">
          <w:rPr>
            <w:rStyle w:val="Hyperlink"/>
          </w:rPr>
          <w:t>https://www.cipd.org/uk/knowledge/factsheets/hr-analytics-factsheet/</w:t>
        </w:r>
      </w:hyperlink>
      <w:r w:rsidR="00514FCB">
        <w:t xml:space="preserve"> (Accessed: 12 January 2026).</w:t>
      </w:r>
    </w:p>
    <w:p w14:paraId="2D26BC60" w14:textId="0ABC3E11" w:rsidR="0006732F" w:rsidRDefault="0006732F" w:rsidP="0006732F">
      <w:pPr>
        <w:pStyle w:val="NormalWeb"/>
        <w:ind w:left="567" w:hanging="567"/>
      </w:pPr>
      <w:r>
        <w:t>CIP</w:t>
      </w:r>
      <w:r w:rsidR="00071383">
        <w:t>D</w:t>
      </w:r>
      <w:r>
        <w:t xml:space="preserve"> (2025) </w:t>
      </w:r>
      <w:r>
        <w:rPr>
          <w:i/>
          <w:iCs/>
        </w:rPr>
        <w:t>Reward: Factsheets</w:t>
      </w:r>
      <w:r>
        <w:t xml:space="preserve">, </w:t>
      </w:r>
      <w:r>
        <w:rPr>
          <w:i/>
          <w:iCs/>
        </w:rPr>
        <w:t>CIPD</w:t>
      </w:r>
      <w:r>
        <w:t xml:space="preserve">. Available at: https://www.cipd.org/uk/knowledge/factsheets/reward-factsheet/ (Accessed: 09 January 2026). </w:t>
      </w:r>
    </w:p>
    <w:p w14:paraId="77A8A6B9" w14:textId="47A9F2A9" w:rsidR="00660FA7" w:rsidRDefault="00660FA7" w:rsidP="0006732F">
      <w:pPr>
        <w:pStyle w:val="NormalWeb"/>
        <w:ind w:left="567" w:hanging="567"/>
      </w:pPr>
      <w:r>
        <w:t xml:space="preserve">Herzberg, F. (1968) </w:t>
      </w:r>
      <w:r w:rsidRPr="00660FA7">
        <w:rPr>
          <w:i/>
          <w:iCs/>
        </w:rPr>
        <w:t>‘One more time: How do you motivate employees?</w:t>
      </w:r>
      <w:r>
        <w:t>’ Havard Business Review, 46(1), pp. 53-62</w:t>
      </w:r>
    </w:p>
    <w:p w14:paraId="2B11DDF6" w14:textId="1D0723D8" w:rsidR="000F3D9F" w:rsidRDefault="000F3D9F" w:rsidP="0006732F">
      <w:pPr>
        <w:pStyle w:val="NormalWeb"/>
        <w:ind w:left="567" w:hanging="567"/>
      </w:pPr>
      <w:r>
        <w:t xml:space="preserve">Kessler, I. and Purcell, J. (2020) </w:t>
      </w:r>
      <w:r w:rsidRPr="000F3D9F">
        <w:rPr>
          <w:i/>
          <w:iCs/>
        </w:rPr>
        <w:t>People Management and Performance</w:t>
      </w:r>
      <w:r>
        <w:t>. 2</w:t>
      </w:r>
      <w:r w:rsidRPr="000F3D9F">
        <w:rPr>
          <w:vertAlign w:val="superscript"/>
        </w:rPr>
        <w:t>nd</w:t>
      </w:r>
      <w:r>
        <w:t xml:space="preserve"> end. Oxford: Oxford University Press.</w:t>
      </w:r>
    </w:p>
    <w:p w14:paraId="0AFC0A6E" w14:textId="4B47F299" w:rsidR="00514FCB" w:rsidRDefault="00E07FC2" w:rsidP="0006732F">
      <w:pPr>
        <w:pStyle w:val="NormalWeb"/>
        <w:ind w:left="567" w:hanging="567"/>
      </w:pPr>
      <w:r>
        <w:t xml:space="preserve">Make UK (2023) </w:t>
      </w:r>
      <w:r w:rsidRPr="00193782">
        <w:rPr>
          <w:i/>
          <w:iCs/>
        </w:rPr>
        <w:t>UK manufacturing: The facts. Make UK</w:t>
      </w:r>
      <w:r>
        <w:t xml:space="preserve">. </w:t>
      </w:r>
      <w:r w:rsidR="00193782">
        <w:t xml:space="preserve">Available at </w:t>
      </w:r>
      <w:hyperlink r:id="rId10" w:history="1">
        <w:r w:rsidR="00193782" w:rsidRPr="00086295">
          <w:rPr>
            <w:rStyle w:val="Hyperlink"/>
          </w:rPr>
          <w:t>https://www.makeuk.org/insights/reports</w:t>
        </w:r>
      </w:hyperlink>
      <w:r w:rsidR="00193782">
        <w:t xml:space="preserve"> (Accessed: 12 January 2026)</w:t>
      </w:r>
    </w:p>
    <w:p w14:paraId="6C289110" w14:textId="194B2DA2" w:rsidR="00660FA7" w:rsidRDefault="00660FA7" w:rsidP="0006732F">
      <w:pPr>
        <w:pStyle w:val="NormalWeb"/>
        <w:ind w:left="567" w:hanging="567"/>
      </w:pPr>
      <w:r>
        <w:t xml:space="preserve">Milkovich, G., Newman, J. and Gerhart B. (2014) </w:t>
      </w:r>
      <w:r w:rsidRPr="00966C1A">
        <w:rPr>
          <w:i/>
          <w:iCs/>
        </w:rPr>
        <w:t>Compensation</w:t>
      </w:r>
      <w:r>
        <w:t>. 11</w:t>
      </w:r>
      <w:r w:rsidRPr="00660FA7">
        <w:rPr>
          <w:vertAlign w:val="superscript"/>
        </w:rPr>
        <w:t>th</w:t>
      </w:r>
      <w:r>
        <w:t xml:space="preserve"> </w:t>
      </w:r>
      <w:proofErr w:type="spellStart"/>
      <w:r>
        <w:t>edn</w:t>
      </w:r>
      <w:proofErr w:type="spellEnd"/>
      <w:r>
        <w:t>. New York: McGraw-Hill</w:t>
      </w:r>
      <w:r w:rsidR="00966C1A">
        <w:t>. Harlow: Pearson Education.</w:t>
      </w:r>
    </w:p>
    <w:p w14:paraId="6CC1AF4B" w14:textId="770C7F80" w:rsidR="00C00165" w:rsidRDefault="00C00165" w:rsidP="0006732F">
      <w:pPr>
        <w:pStyle w:val="NormalWeb"/>
        <w:ind w:left="567" w:hanging="567"/>
      </w:pPr>
      <w:r>
        <w:t xml:space="preserve">Office for National Statistics (ONS) (2023) </w:t>
      </w:r>
      <w:r w:rsidRPr="00A8717D">
        <w:rPr>
          <w:i/>
          <w:iCs/>
        </w:rPr>
        <w:t>Labour market overview,</w:t>
      </w:r>
      <w:r w:rsidR="004772C9" w:rsidRPr="00A8717D">
        <w:rPr>
          <w:i/>
          <w:iCs/>
        </w:rPr>
        <w:t xml:space="preserve"> UK. ONS</w:t>
      </w:r>
      <w:r w:rsidR="004772C9">
        <w:t xml:space="preserve">. Available at: </w:t>
      </w:r>
      <w:hyperlink r:id="rId11" w:history="1">
        <w:r w:rsidR="00A8717D" w:rsidRPr="00086295">
          <w:rPr>
            <w:rStyle w:val="Hyperlink"/>
          </w:rPr>
          <w:t>https://www.ons.gov.uk/employmentandlabourmarket/</w:t>
        </w:r>
      </w:hyperlink>
      <w:r w:rsidR="00A8717D">
        <w:t xml:space="preserve"> (Accessed: 12 January 2026)</w:t>
      </w:r>
    </w:p>
    <w:p w14:paraId="65E0584B" w14:textId="1FCCB8C3" w:rsidR="00966C1A" w:rsidRDefault="00966C1A" w:rsidP="0006732F">
      <w:pPr>
        <w:pStyle w:val="NormalWeb"/>
        <w:ind w:left="567" w:hanging="567"/>
      </w:pPr>
      <w:r>
        <w:t xml:space="preserve">Reilly, P. and Brown, D. (2008) </w:t>
      </w:r>
      <w:r w:rsidRPr="00966C1A">
        <w:rPr>
          <w:i/>
          <w:iCs/>
        </w:rPr>
        <w:t>Employee Engagement: Future Focus or Fashion?</w:t>
      </w:r>
      <w:r>
        <w:t xml:space="preserve"> Brighton: Institute for Employment Studies. </w:t>
      </w:r>
    </w:p>
    <w:p w14:paraId="3CB57115" w14:textId="0C510E97" w:rsidR="00957A64" w:rsidRDefault="00957A64" w:rsidP="00957A64">
      <w:pPr>
        <w:pStyle w:val="NormalWeb"/>
        <w:ind w:left="567" w:hanging="567"/>
      </w:pPr>
      <w:r>
        <w:t xml:space="preserve">Taylor, S. and Woodhams, C. (2022) </w:t>
      </w:r>
      <w:r>
        <w:rPr>
          <w:i/>
          <w:iCs/>
        </w:rPr>
        <w:t>Human Resource Management: People and organisations</w:t>
      </w:r>
      <w:r>
        <w:t xml:space="preserve">. 3rd </w:t>
      </w:r>
      <w:proofErr w:type="spellStart"/>
      <w:r>
        <w:t>edn</w:t>
      </w:r>
      <w:proofErr w:type="spellEnd"/>
      <w:r>
        <w:t xml:space="preserve">. New York, NY: Kogan Page Inc. </w:t>
      </w:r>
    </w:p>
    <w:p w14:paraId="71CFB6E1" w14:textId="2C63DB86" w:rsidR="000E1C25" w:rsidRDefault="000E1C25" w:rsidP="0006732F">
      <w:pPr>
        <w:pStyle w:val="NormalWeb"/>
        <w:ind w:left="567" w:hanging="567"/>
      </w:pPr>
      <w:r>
        <w:t xml:space="preserve">Thompson, P. (2011) </w:t>
      </w:r>
      <w:r w:rsidRPr="00A8717D">
        <w:rPr>
          <w:i/>
          <w:iCs/>
        </w:rPr>
        <w:t>The trouble with HRM</w:t>
      </w:r>
      <w:r>
        <w:t>. London: Routledge.</w:t>
      </w:r>
    </w:p>
    <w:p w14:paraId="3DEEAA02" w14:textId="5F70F577" w:rsidR="00535DC9" w:rsidRDefault="00054890" w:rsidP="00535DC9">
      <w:pPr>
        <w:pStyle w:val="NormalWeb"/>
      </w:pPr>
      <w:r>
        <w:t xml:space="preserve">Torrington, D. Hall, </w:t>
      </w:r>
      <w:r w:rsidR="00552C63">
        <w:t xml:space="preserve">L. Taylor, S. and Atkinson, C. (2020) </w:t>
      </w:r>
      <w:r w:rsidR="00552C63" w:rsidRPr="000F3D9F">
        <w:rPr>
          <w:i/>
          <w:iCs/>
        </w:rPr>
        <w:t>Human Resource Management</w:t>
      </w:r>
      <w:r w:rsidR="00552C63">
        <w:t>, 11</w:t>
      </w:r>
      <w:r w:rsidR="00552C63" w:rsidRPr="00552C63">
        <w:rPr>
          <w:vertAlign w:val="superscript"/>
        </w:rPr>
        <w:t>th</w:t>
      </w:r>
      <w:r w:rsidR="00552C63">
        <w:t xml:space="preserve"> </w:t>
      </w:r>
      <w:proofErr w:type="spellStart"/>
      <w:r w:rsidR="00552C63">
        <w:t>edn</w:t>
      </w:r>
      <w:proofErr w:type="spellEnd"/>
      <w:r w:rsidR="00552C63">
        <w:t>. Harlow: Pearson Education.</w:t>
      </w:r>
    </w:p>
    <w:p w14:paraId="41B2C693" w14:textId="7FEE7235" w:rsidR="000E1C25" w:rsidRDefault="005E3B60" w:rsidP="00535DC9">
      <w:pPr>
        <w:pStyle w:val="NormalWeb"/>
      </w:pPr>
      <w:r>
        <w:t xml:space="preserve">UK Government (2024) </w:t>
      </w:r>
      <w:r w:rsidRPr="00B81942">
        <w:rPr>
          <w:i/>
          <w:iCs/>
        </w:rPr>
        <w:t>Employment and pay legislation</w:t>
      </w:r>
      <w:r w:rsidR="00B81942" w:rsidRPr="00B81942">
        <w:rPr>
          <w:i/>
          <w:iCs/>
        </w:rPr>
        <w:t xml:space="preserve"> guidance</w:t>
      </w:r>
      <w:r w:rsidR="00B81942">
        <w:t xml:space="preserve">. Available at: </w:t>
      </w:r>
      <w:hyperlink r:id="rId12" w:history="1">
        <w:r w:rsidR="007853E0" w:rsidRPr="00086295">
          <w:rPr>
            <w:rStyle w:val="Hyperlink"/>
          </w:rPr>
          <w:t>https://www.gov.uk</w:t>
        </w:r>
      </w:hyperlink>
      <w:r w:rsidR="00B81942">
        <w:t xml:space="preserve"> (Accessed: 12 January 2026)</w:t>
      </w:r>
    </w:p>
    <w:p w14:paraId="5AE9D69D" w14:textId="77777777" w:rsidR="0091654A" w:rsidRPr="0091654A" w:rsidRDefault="0091654A">
      <w:pPr>
        <w:rPr>
          <w:rFonts w:asciiTheme="minorHAnsi" w:hAnsiTheme="minorHAnsi"/>
          <w:szCs w:val="22"/>
        </w:rPr>
      </w:pPr>
    </w:p>
    <w:sectPr w:rsidR="0091654A" w:rsidRPr="0091654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rebuchet MS">
    <w:panose1 w:val="020B0603020202020204"/>
    <w:charset w:val="00"/>
    <w:family w:val="swiss"/>
    <w:pitch w:val="variable"/>
    <w:sig w:usb0="000006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D183283"/>
    <w:multiLevelType w:val="hybridMultilevel"/>
    <w:tmpl w:val="0DAA7344"/>
    <w:lvl w:ilvl="0" w:tplc="08090011">
      <w:start w:val="1"/>
      <w:numFmt w:val="decimal"/>
      <w:lvlText w:val="%1)"/>
      <w:lvlJc w:val="left"/>
      <w:pPr>
        <w:ind w:left="720" w:hanging="360"/>
      </w:pPr>
      <w:rPr>
        <w:rFonts w:hint="default"/>
        <w:b/>
        <w:i w:val="0"/>
        <w:color w:val="80340D"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3FC36BB5"/>
    <w:multiLevelType w:val="hybridMultilevel"/>
    <w:tmpl w:val="B6788830"/>
    <w:lvl w:ilvl="0" w:tplc="08090001">
      <w:start w:val="1"/>
      <w:numFmt w:val="bullet"/>
      <w:lvlText w:val=""/>
      <w:lvlJc w:val="left"/>
      <w:pPr>
        <w:ind w:left="768" w:hanging="360"/>
      </w:pPr>
      <w:rPr>
        <w:rFonts w:ascii="Symbol" w:hAnsi="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abstractNum w:abstractNumId="2" w15:restartNumberingAfterBreak="0">
    <w:nsid w:val="68E60450"/>
    <w:multiLevelType w:val="hybridMultilevel"/>
    <w:tmpl w:val="54664A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20356007">
    <w:abstractNumId w:val="0"/>
  </w:num>
  <w:num w:numId="2" w16cid:durableId="2112314506">
    <w:abstractNumId w:val="2"/>
  </w:num>
  <w:num w:numId="3" w16cid:durableId="26249887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2F9E"/>
    <w:rsid w:val="00003960"/>
    <w:rsid w:val="00014FEE"/>
    <w:rsid w:val="00034EDD"/>
    <w:rsid w:val="00041DF7"/>
    <w:rsid w:val="00045126"/>
    <w:rsid w:val="00054890"/>
    <w:rsid w:val="000569F6"/>
    <w:rsid w:val="00057605"/>
    <w:rsid w:val="0006732F"/>
    <w:rsid w:val="00071383"/>
    <w:rsid w:val="000737A5"/>
    <w:rsid w:val="00073E9B"/>
    <w:rsid w:val="000851C4"/>
    <w:rsid w:val="00086952"/>
    <w:rsid w:val="00091DA5"/>
    <w:rsid w:val="00094429"/>
    <w:rsid w:val="00094D76"/>
    <w:rsid w:val="0009544E"/>
    <w:rsid w:val="000B2228"/>
    <w:rsid w:val="000D4733"/>
    <w:rsid w:val="000E1C25"/>
    <w:rsid w:val="000E393E"/>
    <w:rsid w:val="000E4D4B"/>
    <w:rsid w:val="000E7F55"/>
    <w:rsid w:val="000F008E"/>
    <w:rsid w:val="000F3D9F"/>
    <w:rsid w:val="000F6D75"/>
    <w:rsid w:val="001024D5"/>
    <w:rsid w:val="00106A25"/>
    <w:rsid w:val="0011269B"/>
    <w:rsid w:val="00117D09"/>
    <w:rsid w:val="0012284E"/>
    <w:rsid w:val="001234E5"/>
    <w:rsid w:val="00126BC5"/>
    <w:rsid w:val="0014613A"/>
    <w:rsid w:val="00151A6E"/>
    <w:rsid w:val="00152773"/>
    <w:rsid w:val="001558F3"/>
    <w:rsid w:val="001573B3"/>
    <w:rsid w:val="00166DE8"/>
    <w:rsid w:val="00193782"/>
    <w:rsid w:val="001A28AF"/>
    <w:rsid w:val="001A3446"/>
    <w:rsid w:val="001A7934"/>
    <w:rsid w:val="001B3A92"/>
    <w:rsid w:val="001B7327"/>
    <w:rsid w:val="001D2CFE"/>
    <w:rsid w:val="001E64AF"/>
    <w:rsid w:val="002028A6"/>
    <w:rsid w:val="002030BA"/>
    <w:rsid w:val="00204E67"/>
    <w:rsid w:val="002052F8"/>
    <w:rsid w:val="002121A3"/>
    <w:rsid w:val="002218BD"/>
    <w:rsid w:val="00221A0D"/>
    <w:rsid w:val="00232A3B"/>
    <w:rsid w:val="00252205"/>
    <w:rsid w:val="002561D3"/>
    <w:rsid w:val="0025652A"/>
    <w:rsid w:val="00273EE4"/>
    <w:rsid w:val="00274248"/>
    <w:rsid w:val="00281759"/>
    <w:rsid w:val="0028654D"/>
    <w:rsid w:val="00291D83"/>
    <w:rsid w:val="002B19F8"/>
    <w:rsid w:val="002B481D"/>
    <w:rsid w:val="002D4D38"/>
    <w:rsid w:val="002E3D96"/>
    <w:rsid w:val="002E74C2"/>
    <w:rsid w:val="002F7671"/>
    <w:rsid w:val="00306B75"/>
    <w:rsid w:val="003233F7"/>
    <w:rsid w:val="00323491"/>
    <w:rsid w:val="0032586C"/>
    <w:rsid w:val="0032790C"/>
    <w:rsid w:val="0033367E"/>
    <w:rsid w:val="003451F8"/>
    <w:rsid w:val="00346BC0"/>
    <w:rsid w:val="00356106"/>
    <w:rsid w:val="0036557F"/>
    <w:rsid w:val="003658D6"/>
    <w:rsid w:val="003804CD"/>
    <w:rsid w:val="0038095A"/>
    <w:rsid w:val="00395518"/>
    <w:rsid w:val="00395545"/>
    <w:rsid w:val="003A468C"/>
    <w:rsid w:val="003A7DCB"/>
    <w:rsid w:val="003D4B1D"/>
    <w:rsid w:val="003F08FF"/>
    <w:rsid w:val="0041074D"/>
    <w:rsid w:val="00423BDC"/>
    <w:rsid w:val="00427D81"/>
    <w:rsid w:val="00432DC0"/>
    <w:rsid w:val="00435763"/>
    <w:rsid w:val="00453EB6"/>
    <w:rsid w:val="004542F0"/>
    <w:rsid w:val="00461D86"/>
    <w:rsid w:val="00470E12"/>
    <w:rsid w:val="004772C9"/>
    <w:rsid w:val="00487EE1"/>
    <w:rsid w:val="004905FD"/>
    <w:rsid w:val="004924C0"/>
    <w:rsid w:val="0049677A"/>
    <w:rsid w:val="004A6580"/>
    <w:rsid w:val="004A6BC0"/>
    <w:rsid w:val="004B4943"/>
    <w:rsid w:val="004D0BED"/>
    <w:rsid w:val="004E2A57"/>
    <w:rsid w:val="004E329D"/>
    <w:rsid w:val="004F2BEC"/>
    <w:rsid w:val="004F5A50"/>
    <w:rsid w:val="00503378"/>
    <w:rsid w:val="00503C99"/>
    <w:rsid w:val="00514FCB"/>
    <w:rsid w:val="005309EC"/>
    <w:rsid w:val="00535DC9"/>
    <w:rsid w:val="00537293"/>
    <w:rsid w:val="00541140"/>
    <w:rsid w:val="00543EB7"/>
    <w:rsid w:val="00552C63"/>
    <w:rsid w:val="00567E3E"/>
    <w:rsid w:val="00575B22"/>
    <w:rsid w:val="00576744"/>
    <w:rsid w:val="00587858"/>
    <w:rsid w:val="005A17A3"/>
    <w:rsid w:val="005A4AF5"/>
    <w:rsid w:val="005A50B7"/>
    <w:rsid w:val="005B13FD"/>
    <w:rsid w:val="005B3E4B"/>
    <w:rsid w:val="005C1E24"/>
    <w:rsid w:val="005D6D5E"/>
    <w:rsid w:val="005E3B60"/>
    <w:rsid w:val="005E59C7"/>
    <w:rsid w:val="005F56CD"/>
    <w:rsid w:val="00610B8A"/>
    <w:rsid w:val="00616383"/>
    <w:rsid w:val="0061722E"/>
    <w:rsid w:val="00636621"/>
    <w:rsid w:val="0063728E"/>
    <w:rsid w:val="00642431"/>
    <w:rsid w:val="00644D51"/>
    <w:rsid w:val="00647FE3"/>
    <w:rsid w:val="00653B36"/>
    <w:rsid w:val="0065510F"/>
    <w:rsid w:val="00655985"/>
    <w:rsid w:val="006573D1"/>
    <w:rsid w:val="00660FA7"/>
    <w:rsid w:val="00661278"/>
    <w:rsid w:val="0066741A"/>
    <w:rsid w:val="00672FA4"/>
    <w:rsid w:val="00692040"/>
    <w:rsid w:val="006A7D4B"/>
    <w:rsid w:val="006B1BC9"/>
    <w:rsid w:val="006C15B5"/>
    <w:rsid w:val="006D7428"/>
    <w:rsid w:val="006E5C7C"/>
    <w:rsid w:val="00700E98"/>
    <w:rsid w:val="00702428"/>
    <w:rsid w:val="00706F09"/>
    <w:rsid w:val="0072075E"/>
    <w:rsid w:val="0072084E"/>
    <w:rsid w:val="007431B4"/>
    <w:rsid w:val="007446D2"/>
    <w:rsid w:val="00760B96"/>
    <w:rsid w:val="00762CE5"/>
    <w:rsid w:val="00770167"/>
    <w:rsid w:val="007735F5"/>
    <w:rsid w:val="00773F38"/>
    <w:rsid w:val="007853E0"/>
    <w:rsid w:val="00790CCE"/>
    <w:rsid w:val="007A5F79"/>
    <w:rsid w:val="007C1CA7"/>
    <w:rsid w:val="007D1928"/>
    <w:rsid w:val="007D5119"/>
    <w:rsid w:val="007E46C2"/>
    <w:rsid w:val="007F17AA"/>
    <w:rsid w:val="007F4937"/>
    <w:rsid w:val="007F4A98"/>
    <w:rsid w:val="00805C8C"/>
    <w:rsid w:val="00806422"/>
    <w:rsid w:val="00813884"/>
    <w:rsid w:val="00814F54"/>
    <w:rsid w:val="00826F41"/>
    <w:rsid w:val="00831252"/>
    <w:rsid w:val="008557C5"/>
    <w:rsid w:val="00873092"/>
    <w:rsid w:val="0087398D"/>
    <w:rsid w:val="0087736E"/>
    <w:rsid w:val="00882797"/>
    <w:rsid w:val="0088708F"/>
    <w:rsid w:val="008911E9"/>
    <w:rsid w:val="00893B98"/>
    <w:rsid w:val="008A239E"/>
    <w:rsid w:val="008C478C"/>
    <w:rsid w:val="008C49E0"/>
    <w:rsid w:val="008D1150"/>
    <w:rsid w:val="008D3A84"/>
    <w:rsid w:val="008D4716"/>
    <w:rsid w:val="008D5F11"/>
    <w:rsid w:val="008E4162"/>
    <w:rsid w:val="008F3808"/>
    <w:rsid w:val="008F48FA"/>
    <w:rsid w:val="009035E1"/>
    <w:rsid w:val="00912309"/>
    <w:rsid w:val="00912DED"/>
    <w:rsid w:val="0091654A"/>
    <w:rsid w:val="0092622B"/>
    <w:rsid w:val="00946C44"/>
    <w:rsid w:val="0095309C"/>
    <w:rsid w:val="0095418E"/>
    <w:rsid w:val="00957A64"/>
    <w:rsid w:val="00962F9E"/>
    <w:rsid w:val="00963305"/>
    <w:rsid w:val="00966C1A"/>
    <w:rsid w:val="00987763"/>
    <w:rsid w:val="00995BD4"/>
    <w:rsid w:val="009A3E52"/>
    <w:rsid w:val="009A52AB"/>
    <w:rsid w:val="009B1ABE"/>
    <w:rsid w:val="009C2B93"/>
    <w:rsid w:val="009C3E1C"/>
    <w:rsid w:val="009C6DB5"/>
    <w:rsid w:val="009C7D9E"/>
    <w:rsid w:val="009D0320"/>
    <w:rsid w:val="009D3695"/>
    <w:rsid w:val="009D3F2F"/>
    <w:rsid w:val="009D6CD1"/>
    <w:rsid w:val="009F3D4D"/>
    <w:rsid w:val="009F3EDA"/>
    <w:rsid w:val="009F4946"/>
    <w:rsid w:val="009F77F6"/>
    <w:rsid w:val="00A00EF0"/>
    <w:rsid w:val="00A02487"/>
    <w:rsid w:val="00A22299"/>
    <w:rsid w:val="00A40867"/>
    <w:rsid w:val="00A43C83"/>
    <w:rsid w:val="00A44849"/>
    <w:rsid w:val="00A44857"/>
    <w:rsid w:val="00A61129"/>
    <w:rsid w:val="00A84CDE"/>
    <w:rsid w:val="00A8717D"/>
    <w:rsid w:val="00A8768E"/>
    <w:rsid w:val="00A97726"/>
    <w:rsid w:val="00AA158E"/>
    <w:rsid w:val="00AA64EB"/>
    <w:rsid w:val="00AA7658"/>
    <w:rsid w:val="00AB17CC"/>
    <w:rsid w:val="00AB4734"/>
    <w:rsid w:val="00AD1054"/>
    <w:rsid w:val="00AD6B37"/>
    <w:rsid w:val="00AE0E6F"/>
    <w:rsid w:val="00AE10C4"/>
    <w:rsid w:val="00AE6025"/>
    <w:rsid w:val="00AF1A9F"/>
    <w:rsid w:val="00B02509"/>
    <w:rsid w:val="00B173E8"/>
    <w:rsid w:val="00B203A4"/>
    <w:rsid w:val="00B309E8"/>
    <w:rsid w:val="00B40E03"/>
    <w:rsid w:val="00B44005"/>
    <w:rsid w:val="00B5201A"/>
    <w:rsid w:val="00B606EA"/>
    <w:rsid w:val="00B6225D"/>
    <w:rsid w:val="00B65441"/>
    <w:rsid w:val="00B718C6"/>
    <w:rsid w:val="00B81942"/>
    <w:rsid w:val="00B81C1D"/>
    <w:rsid w:val="00B83073"/>
    <w:rsid w:val="00B96A1D"/>
    <w:rsid w:val="00BA0B8B"/>
    <w:rsid w:val="00BA40B2"/>
    <w:rsid w:val="00BA7A7B"/>
    <w:rsid w:val="00BB1B1A"/>
    <w:rsid w:val="00BC2D7C"/>
    <w:rsid w:val="00BC3E26"/>
    <w:rsid w:val="00BC48FC"/>
    <w:rsid w:val="00BD7D14"/>
    <w:rsid w:val="00BF0D1A"/>
    <w:rsid w:val="00BF31D8"/>
    <w:rsid w:val="00C00165"/>
    <w:rsid w:val="00C15AD4"/>
    <w:rsid w:val="00C21239"/>
    <w:rsid w:val="00C27B06"/>
    <w:rsid w:val="00C32B90"/>
    <w:rsid w:val="00C460C0"/>
    <w:rsid w:val="00C6142E"/>
    <w:rsid w:val="00C647B2"/>
    <w:rsid w:val="00C824B5"/>
    <w:rsid w:val="00C851FB"/>
    <w:rsid w:val="00C92435"/>
    <w:rsid w:val="00C93690"/>
    <w:rsid w:val="00CA426C"/>
    <w:rsid w:val="00CC17CD"/>
    <w:rsid w:val="00CD344B"/>
    <w:rsid w:val="00CE1D0D"/>
    <w:rsid w:val="00CE1D7F"/>
    <w:rsid w:val="00CE6C44"/>
    <w:rsid w:val="00CF33E0"/>
    <w:rsid w:val="00D04511"/>
    <w:rsid w:val="00D10A76"/>
    <w:rsid w:val="00D15703"/>
    <w:rsid w:val="00D21D9E"/>
    <w:rsid w:val="00D24E9B"/>
    <w:rsid w:val="00D2504A"/>
    <w:rsid w:val="00D31A4E"/>
    <w:rsid w:val="00D332F6"/>
    <w:rsid w:val="00D3382F"/>
    <w:rsid w:val="00D35D78"/>
    <w:rsid w:val="00D40B62"/>
    <w:rsid w:val="00D52A7E"/>
    <w:rsid w:val="00D76626"/>
    <w:rsid w:val="00D879D8"/>
    <w:rsid w:val="00D87E11"/>
    <w:rsid w:val="00D9010B"/>
    <w:rsid w:val="00D904E7"/>
    <w:rsid w:val="00DA6BD2"/>
    <w:rsid w:val="00DA6E4A"/>
    <w:rsid w:val="00DA72C6"/>
    <w:rsid w:val="00DB7E89"/>
    <w:rsid w:val="00DC31C4"/>
    <w:rsid w:val="00DC4103"/>
    <w:rsid w:val="00DD11E3"/>
    <w:rsid w:val="00DF3D68"/>
    <w:rsid w:val="00E050DA"/>
    <w:rsid w:val="00E07FC2"/>
    <w:rsid w:val="00E12CEA"/>
    <w:rsid w:val="00E135AF"/>
    <w:rsid w:val="00E13CCA"/>
    <w:rsid w:val="00E13DE1"/>
    <w:rsid w:val="00E16BC7"/>
    <w:rsid w:val="00E17FB9"/>
    <w:rsid w:val="00E32011"/>
    <w:rsid w:val="00E32266"/>
    <w:rsid w:val="00E35127"/>
    <w:rsid w:val="00E42EDC"/>
    <w:rsid w:val="00E64B28"/>
    <w:rsid w:val="00E65268"/>
    <w:rsid w:val="00E722D0"/>
    <w:rsid w:val="00E8376B"/>
    <w:rsid w:val="00E84CF4"/>
    <w:rsid w:val="00E915FF"/>
    <w:rsid w:val="00E9401C"/>
    <w:rsid w:val="00E97AA6"/>
    <w:rsid w:val="00EA6783"/>
    <w:rsid w:val="00EC7D1D"/>
    <w:rsid w:val="00ED79DF"/>
    <w:rsid w:val="00EE0317"/>
    <w:rsid w:val="00EE4DD1"/>
    <w:rsid w:val="00EF0D54"/>
    <w:rsid w:val="00F26168"/>
    <w:rsid w:val="00F365D7"/>
    <w:rsid w:val="00F44BF8"/>
    <w:rsid w:val="00F47C3B"/>
    <w:rsid w:val="00F5122A"/>
    <w:rsid w:val="00F711CD"/>
    <w:rsid w:val="00F94C0F"/>
    <w:rsid w:val="00F96C3A"/>
    <w:rsid w:val="00FA0A5F"/>
    <w:rsid w:val="00FA4C47"/>
    <w:rsid w:val="00FB3A00"/>
    <w:rsid w:val="00FB5D6B"/>
    <w:rsid w:val="00FC64F5"/>
    <w:rsid w:val="00FE112C"/>
    <w:rsid w:val="00FF0BA3"/>
    <w:rsid w:val="00FF1351"/>
    <w:rsid w:val="00FF73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F0175B"/>
  <w15:chartTrackingRefBased/>
  <w15:docId w15:val="{2013430B-E409-4108-9250-D69AEF29D8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962F9E"/>
    <w:pPr>
      <w:spacing w:after="0" w:line="259" w:lineRule="auto"/>
    </w:pPr>
    <w:rPr>
      <w:rFonts w:ascii="Arial" w:hAnsi="Arial"/>
      <w:kern w:val="0"/>
      <w:sz w:val="22"/>
      <w14:ligatures w14:val="none"/>
    </w:rPr>
  </w:style>
  <w:style w:type="paragraph" w:styleId="Heading1">
    <w:name w:val="heading 1"/>
    <w:basedOn w:val="Normal"/>
    <w:next w:val="Normal"/>
    <w:link w:val="Heading1Char"/>
    <w:uiPriority w:val="9"/>
    <w:qFormat/>
    <w:rsid w:val="00962F9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62F9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62F9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62F9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62F9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62F9E"/>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62F9E"/>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62F9E"/>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62F9E"/>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62F9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62F9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62F9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62F9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62F9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62F9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62F9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62F9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62F9E"/>
    <w:rPr>
      <w:rFonts w:eastAsiaTheme="majorEastAsia" w:cstheme="majorBidi"/>
      <w:color w:val="272727" w:themeColor="text1" w:themeTint="D8"/>
    </w:rPr>
  </w:style>
  <w:style w:type="paragraph" w:styleId="Title">
    <w:name w:val="Title"/>
    <w:basedOn w:val="Normal"/>
    <w:next w:val="Normal"/>
    <w:link w:val="TitleChar"/>
    <w:uiPriority w:val="10"/>
    <w:qFormat/>
    <w:rsid w:val="00962F9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62F9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62F9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62F9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62F9E"/>
    <w:pPr>
      <w:spacing w:before="160"/>
      <w:jc w:val="center"/>
    </w:pPr>
    <w:rPr>
      <w:i/>
      <w:iCs/>
      <w:color w:val="404040" w:themeColor="text1" w:themeTint="BF"/>
    </w:rPr>
  </w:style>
  <w:style w:type="character" w:customStyle="1" w:styleId="QuoteChar">
    <w:name w:val="Quote Char"/>
    <w:basedOn w:val="DefaultParagraphFont"/>
    <w:link w:val="Quote"/>
    <w:uiPriority w:val="29"/>
    <w:rsid w:val="00962F9E"/>
    <w:rPr>
      <w:i/>
      <w:iCs/>
      <w:color w:val="404040" w:themeColor="text1" w:themeTint="BF"/>
    </w:rPr>
  </w:style>
  <w:style w:type="paragraph" w:styleId="ListParagraph">
    <w:name w:val="List Paragraph"/>
    <w:basedOn w:val="Normal"/>
    <w:link w:val="ListParagraphChar"/>
    <w:uiPriority w:val="34"/>
    <w:qFormat/>
    <w:rsid w:val="00962F9E"/>
    <w:pPr>
      <w:ind w:left="720"/>
      <w:contextualSpacing/>
    </w:pPr>
  </w:style>
  <w:style w:type="character" w:styleId="IntenseEmphasis">
    <w:name w:val="Intense Emphasis"/>
    <w:basedOn w:val="DefaultParagraphFont"/>
    <w:uiPriority w:val="21"/>
    <w:qFormat/>
    <w:rsid w:val="00962F9E"/>
    <w:rPr>
      <w:i/>
      <w:iCs/>
      <w:color w:val="0F4761" w:themeColor="accent1" w:themeShade="BF"/>
    </w:rPr>
  </w:style>
  <w:style w:type="paragraph" w:styleId="IntenseQuote">
    <w:name w:val="Intense Quote"/>
    <w:basedOn w:val="Normal"/>
    <w:next w:val="Normal"/>
    <w:link w:val="IntenseQuoteChar"/>
    <w:uiPriority w:val="30"/>
    <w:qFormat/>
    <w:rsid w:val="00962F9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62F9E"/>
    <w:rPr>
      <w:i/>
      <w:iCs/>
      <w:color w:val="0F4761" w:themeColor="accent1" w:themeShade="BF"/>
    </w:rPr>
  </w:style>
  <w:style w:type="character" w:styleId="IntenseReference">
    <w:name w:val="Intense Reference"/>
    <w:basedOn w:val="DefaultParagraphFont"/>
    <w:uiPriority w:val="32"/>
    <w:qFormat/>
    <w:rsid w:val="00962F9E"/>
    <w:rPr>
      <w:b/>
      <w:bCs/>
      <w:smallCaps/>
      <w:color w:val="0F4761" w:themeColor="accent1" w:themeShade="BF"/>
      <w:spacing w:val="5"/>
    </w:rPr>
  </w:style>
  <w:style w:type="paragraph" w:customStyle="1" w:styleId="Nornal">
    <w:name w:val="Nornal"/>
    <w:basedOn w:val="Normal"/>
    <w:link w:val="NornalChar"/>
    <w:qFormat/>
    <w:rsid w:val="00962F9E"/>
    <w:pPr>
      <w:spacing w:after="160" w:line="264" w:lineRule="auto"/>
    </w:pPr>
    <w:rPr>
      <w:rFonts w:cs="Arial"/>
      <w:szCs w:val="22"/>
    </w:rPr>
  </w:style>
  <w:style w:type="character" w:customStyle="1" w:styleId="NornalChar">
    <w:name w:val="Nornal Char"/>
    <w:basedOn w:val="DefaultParagraphFont"/>
    <w:link w:val="Nornal"/>
    <w:rsid w:val="00962F9E"/>
    <w:rPr>
      <w:rFonts w:ascii="Arial" w:hAnsi="Arial" w:cs="Arial"/>
      <w:kern w:val="0"/>
      <w:sz w:val="22"/>
      <w:szCs w:val="22"/>
      <w14:ligatures w14:val="none"/>
    </w:rPr>
  </w:style>
  <w:style w:type="paragraph" w:customStyle="1" w:styleId="Listparag">
    <w:name w:val="List parag"/>
    <w:basedOn w:val="ListParagraph"/>
    <w:link w:val="ListparagChar"/>
    <w:qFormat/>
    <w:rsid w:val="00962F9E"/>
    <w:pPr>
      <w:spacing w:after="120" w:line="264" w:lineRule="auto"/>
      <w:ind w:left="0"/>
      <w:contextualSpacing w:val="0"/>
    </w:pPr>
    <w:rPr>
      <w:rFonts w:eastAsia="Times New Roman" w:cstheme="minorHAnsi"/>
      <w:color w:val="000000"/>
      <w:szCs w:val="22"/>
      <w:lang w:eastAsia="en-GB"/>
    </w:rPr>
  </w:style>
  <w:style w:type="character" w:customStyle="1" w:styleId="ListParagraphChar">
    <w:name w:val="List Paragraph Char"/>
    <w:basedOn w:val="DefaultParagraphFont"/>
    <w:link w:val="ListParagraph"/>
    <w:uiPriority w:val="34"/>
    <w:rsid w:val="00962F9E"/>
  </w:style>
  <w:style w:type="character" w:customStyle="1" w:styleId="ListparagChar">
    <w:name w:val="List parag Char"/>
    <w:basedOn w:val="ListParagraphChar"/>
    <w:link w:val="Listparag"/>
    <w:rsid w:val="00962F9E"/>
    <w:rPr>
      <w:rFonts w:eastAsia="Times New Roman" w:cstheme="minorHAnsi"/>
      <w:color w:val="000000"/>
      <w:kern w:val="0"/>
      <w:szCs w:val="22"/>
      <w:lang w:eastAsia="en-GB"/>
      <w14:ligatures w14:val="none"/>
    </w:rPr>
  </w:style>
  <w:style w:type="paragraph" w:styleId="NormalWeb">
    <w:name w:val="Normal (Web)"/>
    <w:basedOn w:val="Normal"/>
    <w:uiPriority w:val="99"/>
    <w:unhideWhenUsed/>
    <w:rsid w:val="0006732F"/>
    <w:pPr>
      <w:spacing w:before="100" w:beforeAutospacing="1" w:after="100" w:afterAutospacing="1" w:line="240" w:lineRule="auto"/>
    </w:pPr>
    <w:rPr>
      <w:rFonts w:ascii="Times New Roman" w:eastAsia="Times New Roman" w:hAnsi="Times New Roman" w:cs="Times New Roman"/>
      <w:sz w:val="24"/>
      <w:lang w:eastAsia="en-GB"/>
    </w:rPr>
  </w:style>
  <w:style w:type="character" w:styleId="Hyperlink">
    <w:name w:val="Hyperlink"/>
    <w:basedOn w:val="DefaultParagraphFont"/>
    <w:uiPriority w:val="99"/>
    <w:unhideWhenUsed/>
    <w:rsid w:val="00660FA7"/>
    <w:rPr>
      <w:color w:val="467886" w:themeColor="hyperlink"/>
      <w:u w:val="single"/>
    </w:rPr>
  </w:style>
  <w:style w:type="character" w:styleId="UnresolvedMention">
    <w:name w:val="Unresolved Mention"/>
    <w:basedOn w:val="DefaultParagraphFont"/>
    <w:uiPriority w:val="99"/>
    <w:semiHidden/>
    <w:unhideWhenUsed/>
    <w:rsid w:val="00660FA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org/uk/knowledge/factsheets/reward-factsheet/"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cipd.org/uk/knowledge/people-analytics/" TargetMode="External"/><Relationship Id="rId12" Type="http://schemas.openxmlformats.org/officeDocument/2006/relationships/hyperlink" Target="https://www.gov.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acas.org.uk/" TargetMode="External"/><Relationship Id="rId11" Type="http://schemas.openxmlformats.org/officeDocument/2006/relationships/hyperlink" Target="https://www.ons.gov.uk/employmentandlabourmarket/" TargetMode="External"/><Relationship Id="rId5" Type="http://schemas.openxmlformats.org/officeDocument/2006/relationships/hyperlink" Target="https://www.acas.org.uk/reward-and-recognition/" TargetMode="External"/><Relationship Id="rId10" Type="http://schemas.openxmlformats.org/officeDocument/2006/relationships/hyperlink" Target="https://www.makeuk.org/insights/reports" TargetMode="External"/><Relationship Id="rId4" Type="http://schemas.openxmlformats.org/officeDocument/2006/relationships/webSettings" Target="webSettings.xml"/><Relationship Id="rId9" Type="http://schemas.openxmlformats.org/officeDocument/2006/relationships/hyperlink" Target="https://www.cipd.org/uk/knowledge/factsheets/hr-analytics-factsheet/"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1012</TotalTime>
  <Pages>11</Pages>
  <Words>4635</Words>
  <Characters>30223</Characters>
  <Application>Microsoft Office Word</Application>
  <DocSecurity>0</DocSecurity>
  <Lines>839</Lines>
  <Paragraphs>536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34322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Deakin, Ceri</dc:creator>
  <cp:keywords/>
  <dc:description/>
  <cp:lastModifiedBy>Deakin, Ceri</cp:lastModifiedBy>
  <cp:revision>337</cp:revision>
  <dcterms:created xsi:type="dcterms:W3CDTF">2026-01-09T10:14:00Z</dcterms:created>
  <dcterms:modified xsi:type="dcterms:W3CDTF">2026-01-30T10:13:00Z</dcterms:modified>
</cp:coreProperties>
</file>