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3A8D7" w14:textId="77777777" w:rsidR="00E95173" w:rsidRPr="003D3773" w:rsidRDefault="00E95173" w:rsidP="00DC28DE">
      <w:pPr>
        <w:ind w:firstLine="0"/>
        <w:jc w:val="center"/>
        <w:rPr>
          <w:rFonts w:cs="Times New Roman"/>
          <w:szCs w:val="24"/>
        </w:rPr>
      </w:pPr>
    </w:p>
    <w:p w14:paraId="12313D2A" w14:textId="77777777" w:rsidR="00DC28DE" w:rsidRPr="003D3773" w:rsidRDefault="00DC28DE" w:rsidP="00DC28DE">
      <w:pPr>
        <w:ind w:firstLine="0"/>
        <w:jc w:val="center"/>
        <w:rPr>
          <w:rFonts w:cs="Times New Roman"/>
          <w:szCs w:val="24"/>
        </w:rPr>
      </w:pPr>
    </w:p>
    <w:p w14:paraId="06042DCE" w14:textId="77777777" w:rsidR="00DC28DE" w:rsidRDefault="00DC28DE" w:rsidP="00DC28DE">
      <w:pPr>
        <w:ind w:firstLine="0"/>
        <w:jc w:val="center"/>
        <w:rPr>
          <w:rFonts w:cs="Times New Roman"/>
          <w:szCs w:val="24"/>
        </w:rPr>
      </w:pPr>
    </w:p>
    <w:p w14:paraId="695DFE7E" w14:textId="77777777" w:rsidR="00FE28E5" w:rsidRPr="003D3773" w:rsidRDefault="00FE28E5" w:rsidP="00DC28DE">
      <w:pPr>
        <w:ind w:firstLine="0"/>
        <w:jc w:val="center"/>
        <w:rPr>
          <w:rFonts w:cs="Times New Roman"/>
          <w:szCs w:val="24"/>
        </w:rPr>
      </w:pPr>
    </w:p>
    <w:p w14:paraId="55F90CA0" w14:textId="77777777" w:rsidR="00DC28DE" w:rsidRPr="003D3773" w:rsidRDefault="00DC28DE" w:rsidP="00DC28DE">
      <w:pPr>
        <w:ind w:firstLine="0"/>
        <w:jc w:val="center"/>
        <w:rPr>
          <w:rFonts w:cs="Times New Roman"/>
          <w:szCs w:val="24"/>
        </w:rPr>
      </w:pPr>
    </w:p>
    <w:p w14:paraId="4E6642B2" w14:textId="77777777" w:rsidR="00DC28DE" w:rsidRPr="003D3773" w:rsidRDefault="00DC28DE" w:rsidP="00DC28DE">
      <w:pPr>
        <w:ind w:firstLine="0"/>
        <w:jc w:val="center"/>
        <w:rPr>
          <w:rFonts w:cs="Times New Roman"/>
          <w:szCs w:val="24"/>
        </w:rPr>
      </w:pPr>
    </w:p>
    <w:p w14:paraId="44198812" w14:textId="77777777" w:rsidR="00DC28DE" w:rsidRPr="003D3773" w:rsidRDefault="00DC28DE" w:rsidP="00DC28DE">
      <w:pPr>
        <w:ind w:firstLine="0"/>
        <w:jc w:val="center"/>
        <w:rPr>
          <w:rFonts w:cs="Times New Roman"/>
          <w:caps/>
          <w:szCs w:val="24"/>
        </w:rPr>
      </w:pPr>
      <w:r w:rsidRPr="003D3773">
        <w:rPr>
          <w:rFonts w:cs="Times New Roman"/>
          <w:caps/>
          <w:szCs w:val="24"/>
        </w:rPr>
        <w:t>International Financial Management Component 1: Written Report</w:t>
      </w:r>
    </w:p>
    <w:p w14:paraId="134A0B89" w14:textId="77777777" w:rsidR="00B24451" w:rsidRDefault="00DC28DE" w:rsidP="00DC28DE">
      <w:pPr>
        <w:ind w:firstLine="0"/>
        <w:jc w:val="center"/>
        <w:rPr>
          <w:rFonts w:cs="Times New Roman"/>
          <w:szCs w:val="24"/>
        </w:rPr>
      </w:pPr>
      <w:r w:rsidRPr="003D3773">
        <w:rPr>
          <w:rFonts w:cs="Times New Roman"/>
          <w:szCs w:val="24"/>
        </w:rPr>
        <w:t>By</w:t>
      </w:r>
      <w:r w:rsidR="00B24451">
        <w:rPr>
          <w:rFonts w:cs="Times New Roman"/>
          <w:szCs w:val="24"/>
        </w:rPr>
        <w:t xml:space="preserve"> </w:t>
      </w:r>
    </w:p>
    <w:p w14:paraId="24A23EF4" w14:textId="25D91010" w:rsidR="00B24451" w:rsidRDefault="00B24451" w:rsidP="00DC28DE">
      <w:pPr>
        <w:ind w:firstLine="0"/>
        <w:jc w:val="center"/>
        <w:rPr>
          <w:rFonts w:cs="Times New Roman"/>
          <w:szCs w:val="24"/>
        </w:rPr>
      </w:pPr>
      <w:r>
        <w:rPr>
          <w:rFonts w:cs="Times New Roman"/>
          <w:szCs w:val="24"/>
        </w:rPr>
        <w:t xml:space="preserve"> Natalia </w:t>
      </w:r>
      <w:proofErr w:type="spellStart"/>
      <w:r>
        <w:rPr>
          <w:rFonts w:cs="Times New Roman"/>
          <w:szCs w:val="24"/>
        </w:rPr>
        <w:t>Radoslavova</w:t>
      </w:r>
      <w:proofErr w:type="spellEnd"/>
      <w:r>
        <w:rPr>
          <w:rFonts w:cs="Times New Roman"/>
          <w:szCs w:val="24"/>
        </w:rPr>
        <w:t xml:space="preserve"> Dimitrova </w:t>
      </w:r>
    </w:p>
    <w:p w14:paraId="2285F97A" w14:textId="1A5FC541" w:rsidR="00DC28DE" w:rsidRPr="003D3773" w:rsidRDefault="00B24451" w:rsidP="00DC28DE">
      <w:pPr>
        <w:ind w:firstLine="0"/>
        <w:jc w:val="center"/>
        <w:rPr>
          <w:rFonts w:cs="Times New Roman"/>
          <w:szCs w:val="24"/>
        </w:rPr>
      </w:pPr>
      <w:r>
        <w:rPr>
          <w:rFonts w:cs="Times New Roman"/>
          <w:szCs w:val="24"/>
        </w:rPr>
        <w:t>(2123042)</w:t>
      </w:r>
    </w:p>
    <w:p w14:paraId="08C0761F" w14:textId="77777777" w:rsidR="00DC28DE" w:rsidRPr="003D3773" w:rsidRDefault="00DC28DE" w:rsidP="00DC28DE">
      <w:pPr>
        <w:ind w:firstLine="0"/>
        <w:jc w:val="center"/>
        <w:rPr>
          <w:rFonts w:cs="Times New Roman"/>
          <w:szCs w:val="24"/>
        </w:rPr>
      </w:pPr>
    </w:p>
    <w:p w14:paraId="5A802A99" w14:textId="77777777" w:rsidR="00DC28DE" w:rsidRPr="003D3773" w:rsidRDefault="00DC28DE" w:rsidP="00DC28DE">
      <w:pPr>
        <w:ind w:firstLine="0"/>
        <w:jc w:val="center"/>
        <w:rPr>
          <w:rFonts w:cs="Times New Roman"/>
          <w:szCs w:val="24"/>
        </w:rPr>
      </w:pPr>
    </w:p>
    <w:p w14:paraId="01EF1749" w14:textId="77777777" w:rsidR="00DC28DE" w:rsidRPr="003D3773" w:rsidRDefault="00DC28DE" w:rsidP="00DC28DE">
      <w:pPr>
        <w:ind w:firstLine="0"/>
        <w:jc w:val="center"/>
        <w:rPr>
          <w:rFonts w:cs="Times New Roman"/>
          <w:szCs w:val="24"/>
        </w:rPr>
      </w:pPr>
    </w:p>
    <w:p w14:paraId="4C5D0DFB" w14:textId="77777777" w:rsidR="00DC28DE" w:rsidRPr="003D3773" w:rsidRDefault="00DC28DE" w:rsidP="00DC28DE">
      <w:pPr>
        <w:ind w:firstLine="0"/>
        <w:jc w:val="center"/>
        <w:rPr>
          <w:rFonts w:cs="Times New Roman"/>
          <w:szCs w:val="24"/>
        </w:rPr>
      </w:pPr>
      <w:r w:rsidRPr="003D3773">
        <w:rPr>
          <w:rFonts w:cs="Times New Roman"/>
          <w:b/>
          <w:szCs w:val="24"/>
        </w:rPr>
        <w:t>Module Code and Name</w:t>
      </w:r>
      <w:r w:rsidRPr="003D3773">
        <w:rPr>
          <w:rFonts w:cs="Times New Roman"/>
          <w:szCs w:val="24"/>
        </w:rPr>
        <w:t>: LCBB6002 International Financial Management</w:t>
      </w:r>
    </w:p>
    <w:p w14:paraId="28EE3473" w14:textId="77777777" w:rsidR="00DC28DE" w:rsidRPr="003D3773" w:rsidRDefault="00DC28DE" w:rsidP="00DC28DE">
      <w:pPr>
        <w:ind w:firstLine="0"/>
        <w:jc w:val="center"/>
        <w:rPr>
          <w:rFonts w:cs="Times New Roman"/>
          <w:szCs w:val="24"/>
        </w:rPr>
      </w:pPr>
      <w:r w:rsidRPr="003D3773">
        <w:rPr>
          <w:rFonts w:cs="Times New Roman"/>
          <w:b/>
          <w:szCs w:val="24"/>
        </w:rPr>
        <w:t>Module Coordinator/Lecturer</w:t>
      </w:r>
      <w:r w:rsidRPr="003D3773">
        <w:rPr>
          <w:rFonts w:cs="Times New Roman"/>
          <w:szCs w:val="24"/>
        </w:rPr>
        <w:t>: Zainab Atta/Dr Thomas Adeyemi</w:t>
      </w:r>
    </w:p>
    <w:p w14:paraId="555ED739" w14:textId="77777777" w:rsidR="00DC28DE" w:rsidRPr="003D3773" w:rsidRDefault="00DC28DE" w:rsidP="00DC28DE">
      <w:pPr>
        <w:ind w:firstLine="0"/>
        <w:jc w:val="center"/>
        <w:rPr>
          <w:rFonts w:cs="Times New Roman"/>
          <w:szCs w:val="24"/>
        </w:rPr>
      </w:pPr>
      <w:r w:rsidRPr="003D3773">
        <w:rPr>
          <w:rFonts w:cs="Times New Roman"/>
          <w:b/>
          <w:szCs w:val="24"/>
        </w:rPr>
        <w:t>University</w:t>
      </w:r>
      <w:r w:rsidRPr="003D3773">
        <w:rPr>
          <w:rFonts w:cs="Times New Roman"/>
          <w:szCs w:val="24"/>
        </w:rPr>
        <w:t>: U</w:t>
      </w:r>
      <w:r w:rsidR="007239D4">
        <w:rPr>
          <w:rFonts w:cs="Times New Roman"/>
          <w:szCs w:val="24"/>
        </w:rPr>
        <w:t xml:space="preserve">niversity of </w:t>
      </w:r>
      <w:r w:rsidRPr="003D3773">
        <w:rPr>
          <w:rFonts w:cs="Times New Roman"/>
          <w:szCs w:val="24"/>
        </w:rPr>
        <w:t>W</w:t>
      </w:r>
      <w:r w:rsidR="007239D4">
        <w:rPr>
          <w:rFonts w:cs="Times New Roman"/>
          <w:szCs w:val="24"/>
        </w:rPr>
        <w:t xml:space="preserve">ales Trinity </w:t>
      </w:r>
      <w:r w:rsidRPr="003D3773">
        <w:rPr>
          <w:rFonts w:cs="Times New Roman"/>
          <w:szCs w:val="24"/>
        </w:rPr>
        <w:t>S</w:t>
      </w:r>
      <w:r w:rsidR="007239D4">
        <w:rPr>
          <w:rFonts w:cs="Times New Roman"/>
          <w:szCs w:val="24"/>
        </w:rPr>
        <w:t xml:space="preserve">aint </w:t>
      </w:r>
      <w:r w:rsidRPr="003D3773">
        <w:rPr>
          <w:rFonts w:cs="Times New Roman"/>
          <w:szCs w:val="24"/>
        </w:rPr>
        <w:t>D</w:t>
      </w:r>
      <w:r w:rsidR="007239D4">
        <w:rPr>
          <w:rFonts w:cs="Times New Roman"/>
          <w:szCs w:val="24"/>
        </w:rPr>
        <w:t>avid</w:t>
      </w:r>
    </w:p>
    <w:p w14:paraId="32738F6F" w14:textId="77777777" w:rsidR="00DC28DE" w:rsidRPr="003D3773" w:rsidRDefault="00DC28DE" w:rsidP="00DC28DE">
      <w:pPr>
        <w:ind w:firstLine="0"/>
        <w:jc w:val="center"/>
        <w:rPr>
          <w:rFonts w:cs="Times New Roman"/>
          <w:szCs w:val="24"/>
        </w:rPr>
      </w:pPr>
      <w:r w:rsidRPr="003D3773">
        <w:rPr>
          <w:rFonts w:cs="Times New Roman"/>
          <w:b/>
          <w:szCs w:val="24"/>
        </w:rPr>
        <w:t>City and State</w:t>
      </w:r>
      <w:r w:rsidRPr="003D3773">
        <w:rPr>
          <w:rFonts w:cs="Times New Roman"/>
          <w:szCs w:val="24"/>
        </w:rPr>
        <w:t>:</w:t>
      </w:r>
      <w:r w:rsidR="007239D4">
        <w:rPr>
          <w:rFonts w:cs="Times New Roman"/>
          <w:szCs w:val="24"/>
        </w:rPr>
        <w:t xml:space="preserve"> London, United Kingdom</w:t>
      </w:r>
    </w:p>
    <w:p w14:paraId="1652541E" w14:textId="77777777" w:rsidR="00F23621" w:rsidRPr="003D3773" w:rsidRDefault="00DC28DE" w:rsidP="00DC28DE">
      <w:pPr>
        <w:ind w:firstLine="0"/>
        <w:jc w:val="center"/>
        <w:rPr>
          <w:rFonts w:cs="Times New Roman"/>
          <w:szCs w:val="24"/>
        </w:rPr>
      </w:pPr>
      <w:r w:rsidRPr="003D3773">
        <w:rPr>
          <w:rFonts w:cs="Times New Roman"/>
          <w:b/>
          <w:szCs w:val="24"/>
        </w:rPr>
        <w:t>Due Date</w:t>
      </w:r>
      <w:r w:rsidR="00F23621" w:rsidRPr="003D3773">
        <w:rPr>
          <w:rFonts w:cs="Times New Roman"/>
          <w:szCs w:val="24"/>
        </w:rPr>
        <w:t>:</w:t>
      </w:r>
      <w:r w:rsidR="007239D4">
        <w:rPr>
          <w:rFonts w:cs="Times New Roman"/>
          <w:szCs w:val="24"/>
        </w:rPr>
        <w:t xml:space="preserve"> 2</w:t>
      </w:r>
      <w:r w:rsidR="007239D4" w:rsidRPr="007239D4">
        <w:rPr>
          <w:rFonts w:cs="Times New Roman"/>
          <w:szCs w:val="24"/>
          <w:vertAlign w:val="superscript"/>
        </w:rPr>
        <w:t>nd</w:t>
      </w:r>
      <w:r w:rsidRPr="003D3773">
        <w:rPr>
          <w:rFonts w:cs="Times New Roman"/>
          <w:szCs w:val="24"/>
        </w:rPr>
        <w:t xml:space="preserve"> April 2024</w:t>
      </w:r>
    </w:p>
    <w:p w14:paraId="6F71BE9D" w14:textId="77777777" w:rsidR="00731278" w:rsidRPr="003D3773" w:rsidRDefault="00731278">
      <w:pPr>
        <w:rPr>
          <w:rFonts w:cs="Times New Roman"/>
          <w:szCs w:val="24"/>
        </w:rPr>
      </w:pPr>
      <w:r w:rsidRPr="003D3773">
        <w:rPr>
          <w:rFonts w:cs="Times New Roman"/>
          <w:szCs w:val="24"/>
        </w:rPr>
        <w:br w:type="page"/>
      </w:r>
    </w:p>
    <w:sdt>
      <w:sdtPr>
        <w:rPr>
          <w:rFonts w:ascii="Times New Roman" w:eastAsiaTheme="minorHAnsi" w:hAnsi="Times New Roman" w:cstheme="minorBidi"/>
          <w:color w:val="auto"/>
          <w:sz w:val="24"/>
          <w:szCs w:val="22"/>
          <w:lang w:val="en-GB"/>
        </w:rPr>
        <w:id w:val="-94633195"/>
        <w:docPartObj>
          <w:docPartGallery w:val="Table of Contents"/>
          <w:docPartUnique/>
        </w:docPartObj>
      </w:sdtPr>
      <w:sdtEndPr>
        <w:rPr>
          <w:b/>
          <w:bCs/>
          <w:noProof/>
        </w:rPr>
      </w:sdtEndPr>
      <w:sdtContent>
        <w:p w14:paraId="79AA8451" w14:textId="77777777" w:rsidR="00DE2665" w:rsidRDefault="00DE2665">
          <w:pPr>
            <w:pStyle w:val="a8"/>
          </w:pPr>
          <w:r>
            <w:t>Table of Contents</w:t>
          </w:r>
        </w:p>
        <w:p w14:paraId="1DA31E39" w14:textId="77777777" w:rsidR="00C44622" w:rsidRDefault="00DE2665">
          <w:pPr>
            <w:pStyle w:val="11"/>
            <w:tabs>
              <w:tab w:val="left" w:pos="1100"/>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62630495" w:history="1">
            <w:r w:rsidR="00C44622" w:rsidRPr="00B2333D">
              <w:rPr>
                <w:rStyle w:val="a7"/>
                <w:rFonts w:cs="Times New Roman"/>
                <w:noProof/>
              </w:rPr>
              <w:t>1</w:t>
            </w:r>
            <w:r w:rsidR="00C44622">
              <w:rPr>
                <w:rFonts w:asciiTheme="minorHAnsi" w:eastAsiaTheme="minorEastAsia" w:hAnsiTheme="minorHAnsi"/>
                <w:noProof/>
                <w:sz w:val="22"/>
                <w:lang w:eastAsia="en-GB"/>
              </w:rPr>
              <w:tab/>
            </w:r>
            <w:r w:rsidR="00C44622" w:rsidRPr="00B2333D">
              <w:rPr>
                <w:rStyle w:val="a7"/>
                <w:rFonts w:cs="Times New Roman"/>
                <w:noProof/>
              </w:rPr>
              <w:t>Introduction</w:t>
            </w:r>
            <w:r w:rsidR="00C44622">
              <w:rPr>
                <w:noProof/>
                <w:webHidden/>
              </w:rPr>
              <w:tab/>
            </w:r>
            <w:r w:rsidR="00C44622">
              <w:rPr>
                <w:noProof/>
                <w:webHidden/>
              </w:rPr>
              <w:fldChar w:fldCharType="begin"/>
            </w:r>
            <w:r w:rsidR="00C44622">
              <w:rPr>
                <w:noProof/>
                <w:webHidden/>
              </w:rPr>
              <w:instrText xml:space="preserve"> PAGEREF _Toc162630495 \h </w:instrText>
            </w:r>
            <w:r w:rsidR="00C44622">
              <w:rPr>
                <w:noProof/>
                <w:webHidden/>
              </w:rPr>
            </w:r>
            <w:r w:rsidR="00C44622">
              <w:rPr>
                <w:noProof/>
                <w:webHidden/>
              </w:rPr>
              <w:fldChar w:fldCharType="separate"/>
            </w:r>
            <w:r w:rsidR="00C44622">
              <w:rPr>
                <w:noProof/>
                <w:webHidden/>
              </w:rPr>
              <w:t>3</w:t>
            </w:r>
            <w:r w:rsidR="00C44622">
              <w:rPr>
                <w:noProof/>
                <w:webHidden/>
              </w:rPr>
              <w:fldChar w:fldCharType="end"/>
            </w:r>
          </w:hyperlink>
        </w:p>
        <w:p w14:paraId="15CB41DB" w14:textId="77777777" w:rsidR="00C44622" w:rsidRDefault="00000000">
          <w:pPr>
            <w:pStyle w:val="11"/>
            <w:tabs>
              <w:tab w:val="left" w:pos="1100"/>
              <w:tab w:val="right" w:leader="dot" w:pos="9016"/>
            </w:tabs>
            <w:rPr>
              <w:rFonts w:asciiTheme="minorHAnsi" w:eastAsiaTheme="minorEastAsia" w:hAnsiTheme="minorHAnsi"/>
              <w:noProof/>
              <w:sz w:val="22"/>
              <w:lang w:eastAsia="en-GB"/>
            </w:rPr>
          </w:pPr>
          <w:hyperlink w:anchor="_Toc162630496" w:history="1">
            <w:r w:rsidR="00C44622" w:rsidRPr="00B2333D">
              <w:rPr>
                <w:rStyle w:val="a7"/>
                <w:rFonts w:cs="Times New Roman"/>
                <w:noProof/>
              </w:rPr>
              <w:t>2</w:t>
            </w:r>
            <w:r w:rsidR="00C44622">
              <w:rPr>
                <w:rFonts w:asciiTheme="minorHAnsi" w:eastAsiaTheme="minorEastAsia" w:hAnsiTheme="minorHAnsi"/>
                <w:noProof/>
                <w:sz w:val="22"/>
                <w:lang w:eastAsia="en-GB"/>
              </w:rPr>
              <w:tab/>
            </w:r>
            <w:r w:rsidR="00C44622" w:rsidRPr="00B2333D">
              <w:rPr>
                <w:rStyle w:val="a7"/>
                <w:rFonts w:cs="Times New Roman"/>
                <w:noProof/>
              </w:rPr>
              <w:t>Exposure to Foreign Exchange Risks and their Management Strategies</w:t>
            </w:r>
            <w:r w:rsidR="00C44622">
              <w:rPr>
                <w:noProof/>
                <w:webHidden/>
              </w:rPr>
              <w:tab/>
            </w:r>
            <w:r w:rsidR="00C44622">
              <w:rPr>
                <w:noProof/>
                <w:webHidden/>
              </w:rPr>
              <w:fldChar w:fldCharType="begin"/>
            </w:r>
            <w:r w:rsidR="00C44622">
              <w:rPr>
                <w:noProof/>
                <w:webHidden/>
              </w:rPr>
              <w:instrText xml:space="preserve"> PAGEREF _Toc162630496 \h </w:instrText>
            </w:r>
            <w:r w:rsidR="00C44622">
              <w:rPr>
                <w:noProof/>
                <w:webHidden/>
              </w:rPr>
            </w:r>
            <w:r w:rsidR="00C44622">
              <w:rPr>
                <w:noProof/>
                <w:webHidden/>
              </w:rPr>
              <w:fldChar w:fldCharType="separate"/>
            </w:r>
            <w:r w:rsidR="00C44622">
              <w:rPr>
                <w:noProof/>
                <w:webHidden/>
              </w:rPr>
              <w:t>3</w:t>
            </w:r>
            <w:r w:rsidR="00C44622">
              <w:rPr>
                <w:noProof/>
                <w:webHidden/>
              </w:rPr>
              <w:fldChar w:fldCharType="end"/>
            </w:r>
          </w:hyperlink>
        </w:p>
        <w:p w14:paraId="31AA3D89" w14:textId="77777777" w:rsidR="00C44622" w:rsidRDefault="00000000">
          <w:pPr>
            <w:pStyle w:val="21"/>
            <w:tabs>
              <w:tab w:val="left" w:pos="1540"/>
              <w:tab w:val="right" w:leader="dot" w:pos="9016"/>
            </w:tabs>
            <w:rPr>
              <w:rFonts w:asciiTheme="minorHAnsi" w:eastAsiaTheme="minorEastAsia" w:hAnsiTheme="minorHAnsi"/>
              <w:noProof/>
              <w:sz w:val="22"/>
              <w:lang w:eastAsia="en-GB"/>
            </w:rPr>
          </w:pPr>
          <w:hyperlink w:anchor="_Toc162630497" w:history="1">
            <w:r w:rsidR="00C44622" w:rsidRPr="00B2333D">
              <w:rPr>
                <w:rStyle w:val="a7"/>
                <w:rFonts w:cs="Times New Roman"/>
                <w:noProof/>
              </w:rPr>
              <w:t>2.1</w:t>
            </w:r>
            <w:r w:rsidR="00C44622">
              <w:rPr>
                <w:rFonts w:asciiTheme="minorHAnsi" w:eastAsiaTheme="minorEastAsia" w:hAnsiTheme="minorHAnsi"/>
                <w:noProof/>
                <w:sz w:val="22"/>
                <w:lang w:eastAsia="en-GB"/>
              </w:rPr>
              <w:tab/>
            </w:r>
            <w:r w:rsidR="00C44622" w:rsidRPr="00B2333D">
              <w:rPr>
                <w:rStyle w:val="a7"/>
                <w:rFonts w:cs="Times New Roman"/>
                <w:noProof/>
              </w:rPr>
              <w:t>Transaction Exposure Risk Management</w:t>
            </w:r>
            <w:r w:rsidR="00C44622">
              <w:rPr>
                <w:noProof/>
                <w:webHidden/>
              </w:rPr>
              <w:tab/>
            </w:r>
            <w:r w:rsidR="00C44622">
              <w:rPr>
                <w:noProof/>
                <w:webHidden/>
              </w:rPr>
              <w:fldChar w:fldCharType="begin"/>
            </w:r>
            <w:r w:rsidR="00C44622">
              <w:rPr>
                <w:noProof/>
                <w:webHidden/>
              </w:rPr>
              <w:instrText xml:space="preserve"> PAGEREF _Toc162630497 \h </w:instrText>
            </w:r>
            <w:r w:rsidR="00C44622">
              <w:rPr>
                <w:noProof/>
                <w:webHidden/>
              </w:rPr>
            </w:r>
            <w:r w:rsidR="00C44622">
              <w:rPr>
                <w:noProof/>
                <w:webHidden/>
              </w:rPr>
              <w:fldChar w:fldCharType="separate"/>
            </w:r>
            <w:r w:rsidR="00C44622">
              <w:rPr>
                <w:noProof/>
                <w:webHidden/>
              </w:rPr>
              <w:t>3</w:t>
            </w:r>
            <w:r w:rsidR="00C44622">
              <w:rPr>
                <w:noProof/>
                <w:webHidden/>
              </w:rPr>
              <w:fldChar w:fldCharType="end"/>
            </w:r>
          </w:hyperlink>
        </w:p>
        <w:p w14:paraId="6B07757A" w14:textId="77777777" w:rsidR="00C44622" w:rsidRDefault="00000000">
          <w:pPr>
            <w:pStyle w:val="21"/>
            <w:tabs>
              <w:tab w:val="left" w:pos="1540"/>
              <w:tab w:val="right" w:leader="dot" w:pos="9016"/>
            </w:tabs>
            <w:rPr>
              <w:rFonts w:asciiTheme="minorHAnsi" w:eastAsiaTheme="minorEastAsia" w:hAnsiTheme="minorHAnsi"/>
              <w:noProof/>
              <w:sz w:val="22"/>
              <w:lang w:eastAsia="en-GB"/>
            </w:rPr>
          </w:pPr>
          <w:hyperlink w:anchor="_Toc162630498" w:history="1">
            <w:r w:rsidR="00C44622" w:rsidRPr="00B2333D">
              <w:rPr>
                <w:rStyle w:val="a7"/>
                <w:rFonts w:cs="Times New Roman"/>
                <w:noProof/>
              </w:rPr>
              <w:t>2.2</w:t>
            </w:r>
            <w:r w:rsidR="00C44622">
              <w:rPr>
                <w:rFonts w:asciiTheme="minorHAnsi" w:eastAsiaTheme="minorEastAsia" w:hAnsiTheme="minorHAnsi"/>
                <w:noProof/>
                <w:sz w:val="22"/>
                <w:lang w:eastAsia="en-GB"/>
              </w:rPr>
              <w:tab/>
            </w:r>
            <w:r w:rsidR="00C44622" w:rsidRPr="00B2333D">
              <w:rPr>
                <w:rStyle w:val="a7"/>
                <w:rFonts w:cs="Times New Roman"/>
                <w:noProof/>
              </w:rPr>
              <w:t>Translation Exposure Risk Management</w:t>
            </w:r>
            <w:r w:rsidR="00C44622">
              <w:rPr>
                <w:noProof/>
                <w:webHidden/>
              </w:rPr>
              <w:tab/>
            </w:r>
            <w:r w:rsidR="00C44622">
              <w:rPr>
                <w:noProof/>
                <w:webHidden/>
              </w:rPr>
              <w:fldChar w:fldCharType="begin"/>
            </w:r>
            <w:r w:rsidR="00C44622">
              <w:rPr>
                <w:noProof/>
                <w:webHidden/>
              </w:rPr>
              <w:instrText xml:space="preserve"> PAGEREF _Toc162630498 \h </w:instrText>
            </w:r>
            <w:r w:rsidR="00C44622">
              <w:rPr>
                <w:noProof/>
                <w:webHidden/>
              </w:rPr>
            </w:r>
            <w:r w:rsidR="00C44622">
              <w:rPr>
                <w:noProof/>
                <w:webHidden/>
              </w:rPr>
              <w:fldChar w:fldCharType="separate"/>
            </w:r>
            <w:r w:rsidR="00C44622">
              <w:rPr>
                <w:noProof/>
                <w:webHidden/>
              </w:rPr>
              <w:t>5</w:t>
            </w:r>
            <w:r w:rsidR="00C44622">
              <w:rPr>
                <w:noProof/>
                <w:webHidden/>
              </w:rPr>
              <w:fldChar w:fldCharType="end"/>
            </w:r>
          </w:hyperlink>
        </w:p>
        <w:p w14:paraId="1832B8D1" w14:textId="77777777" w:rsidR="00C44622" w:rsidRDefault="00000000">
          <w:pPr>
            <w:pStyle w:val="21"/>
            <w:tabs>
              <w:tab w:val="left" w:pos="1540"/>
              <w:tab w:val="right" w:leader="dot" w:pos="9016"/>
            </w:tabs>
            <w:rPr>
              <w:rFonts w:asciiTheme="minorHAnsi" w:eastAsiaTheme="minorEastAsia" w:hAnsiTheme="minorHAnsi"/>
              <w:noProof/>
              <w:sz w:val="22"/>
              <w:lang w:eastAsia="en-GB"/>
            </w:rPr>
          </w:pPr>
          <w:hyperlink w:anchor="_Toc162630499" w:history="1">
            <w:r w:rsidR="00C44622" w:rsidRPr="00B2333D">
              <w:rPr>
                <w:rStyle w:val="a7"/>
                <w:rFonts w:cs="Times New Roman"/>
                <w:noProof/>
              </w:rPr>
              <w:t>2.3</w:t>
            </w:r>
            <w:r w:rsidR="00C44622">
              <w:rPr>
                <w:rFonts w:asciiTheme="minorHAnsi" w:eastAsiaTheme="minorEastAsia" w:hAnsiTheme="minorHAnsi"/>
                <w:noProof/>
                <w:sz w:val="22"/>
                <w:lang w:eastAsia="en-GB"/>
              </w:rPr>
              <w:tab/>
            </w:r>
            <w:r w:rsidR="00C44622" w:rsidRPr="00B2333D">
              <w:rPr>
                <w:rStyle w:val="a7"/>
                <w:rFonts w:cs="Times New Roman"/>
                <w:noProof/>
              </w:rPr>
              <w:t>Economic Exposure Risk Management</w:t>
            </w:r>
            <w:r w:rsidR="00C44622">
              <w:rPr>
                <w:noProof/>
                <w:webHidden/>
              </w:rPr>
              <w:tab/>
            </w:r>
            <w:r w:rsidR="00C44622">
              <w:rPr>
                <w:noProof/>
                <w:webHidden/>
              </w:rPr>
              <w:fldChar w:fldCharType="begin"/>
            </w:r>
            <w:r w:rsidR="00C44622">
              <w:rPr>
                <w:noProof/>
                <w:webHidden/>
              </w:rPr>
              <w:instrText xml:space="preserve"> PAGEREF _Toc162630499 \h </w:instrText>
            </w:r>
            <w:r w:rsidR="00C44622">
              <w:rPr>
                <w:noProof/>
                <w:webHidden/>
              </w:rPr>
            </w:r>
            <w:r w:rsidR="00C44622">
              <w:rPr>
                <w:noProof/>
                <w:webHidden/>
              </w:rPr>
              <w:fldChar w:fldCharType="separate"/>
            </w:r>
            <w:r w:rsidR="00C44622">
              <w:rPr>
                <w:noProof/>
                <w:webHidden/>
              </w:rPr>
              <w:t>6</w:t>
            </w:r>
            <w:r w:rsidR="00C44622">
              <w:rPr>
                <w:noProof/>
                <w:webHidden/>
              </w:rPr>
              <w:fldChar w:fldCharType="end"/>
            </w:r>
          </w:hyperlink>
        </w:p>
        <w:p w14:paraId="6CE8E830" w14:textId="77777777" w:rsidR="00C44622" w:rsidRDefault="00000000">
          <w:pPr>
            <w:pStyle w:val="11"/>
            <w:tabs>
              <w:tab w:val="left" w:pos="1100"/>
              <w:tab w:val="right" w:leader="dot" w:pos="9016"/>
            </w:tabs>
            <w:rPr>
              <w:rFonts w:asciiTheme="minorHAnsi" w:eastAsiaTheme="minorEastAsia" w:hAnsiTheme="minorHAnsi"/>
              <w:noProof/>
              <w:sz w:val="22"/>
              <w:lang w:eastAsia="en-GB"/>
            </w:rPr>
          </w:pPr>
          <w:hyperlink w:anchor="_Toc162630500" w:history="1">
            <w:r w:rsidR="00C44622" w:rsidRPr="00B2333D">
              <w:rPr>
                <w:rStyle w:val="a7"/>
                <w:rFonts w:cs="Times New Roman"/>
                <w:noProof/>
              </w:rPr>
              <w:t>3</w:t>
            </w:r>
            <w:r w:rsidR="00C44622">
              <w:rPr>
                <w:rFonts w:asciiTheme="minorHAnsi" w:eastAsiaTheme="minorEastAsia" w:hAnsiTheme="minorHAnsi"/>
                <w:noProof/>
                <w:sz w:val="22"/>
                <w:lang w:eastAsia="en-GB"/>
              </w:rPr>
              <w:tab/>
            </w:r>
            <w:r w:rsidR="00C44622" w:rsidRPr="00B2333D">
              <w:rPr>
                <w:rStyle w:val="a7"/>
                <w:rFonts w:cs="Times New Roman"/>
                <w:noProof/>
              </w:rPr>
              <w:t>Conclusion</w:t>
            </w:r>
            <w:r w:rsidR="00C44622">
              <w:rPr>
                <w:noProof/>
                <w:webHidden/>
              </w:rPr>
              <w:tab/>
            </w:r>
            <w:r w:rsidR="00C44622">
              <w:rPr>
                <w:noProof/>
                <w:webHidden/>
              </w:rPr>
              <w:fldChar w:fldCharType="begin"/>
            </w:r>
            <w:r w:rsidR="00C44622">
              <w:rPr>
                <w:noProof/>
                <w:webHidden/>
              </w:rPr>
              <w:instrText xml:space="preserve"> PAGEREF _Toc162630500 \h </w:instrText>
            </w:r>
            <w:r w:rsidR="00C44622">
              <w:rPr>
                <w:noProof/>
                <w:webHidden/>
              </w:rPr>
            </w:r>
            <w:r w:rsidR="00C44622">
              <w:rPr>
                <w:noProof/>
                <w:webHidden/>
              </w:rPr>
              <w:fldChar w:fldCharType="separate"/>
            </w:r>
            <w:r w:rsidR="00C44622">
              <w:rPr>
                <w:noProof/>
                <w:webHidden/>
              </w:rPr>
              <w:t>7</w:t>
            </w:r>
            <w:r w:rsidR="00C44622">
              <w:rPr>
                <w:noProof/>
                <w:webHidden/>
              </w:rPr>
              <w:fldChar w:fldCharType="end"/>
            </w:r>
          </w:hyperlink>
        </w:p>
        <w:p w14:paraId="3E207778" w14:textId="77777777" w:rsidR="00C44622" w:rsidRDefault="00000000">
          <w:pPr>
            <w:pStyle w:val="11"/>
            <w:tabs>
              <w:tab w:val="left" w:pos="1100"/>
              <w:tab w:val="right" w:leader="dot" w:pos="9016"/>
            </w:tabs>
            <w:rPr>
              <w:rFonts w:asciiTheme="minorHAnsi" w:eastAsiaTheme="minorEastAsia" w:hAnsiTheme="minorHAnsi"/>
              <w:noProof/>
              <w:sz w:val="22"/>
              <w:lang w:eastAsia="en-GB"/>
            </w:rPr>
          </w:pPr>
          <w:hyperlink w:anchor="_Toc162630501" w:history="1">
            <w:r w:rsidR="00C44622" w:rsidRPr="00B2333D">
              <w:rPr>
                <w:rStyle w:val="a7"/>
                <w:rFonts w:cs="Times New Roman"/>
                <w:noProof/>
              </w:rPr>
              <w:t>4</w:t>
            </w:r>
            <w:r w:rsidR="00C44622">
              <w:rPr>
                <w:rFonts w:asciiTheme="minorHAnsi" w:eastAsiaTheme="minorEastAsia" w:hAnsiTheme="minorHAnsi"/>
                <w:noProof/>
                <w:sz w:val="22"/>
                <w:lang w:eastAsia="en-GB"/>
              </w:rPr>
              <w:tab/>
            </w:r>
            <w:r w:rsidR="00C44622" w:rsidRPr="00B2333D">
              <w:rPr>
                <w:rStyle w:val="a7"/>
                <w:rFonts w:cs="Times New Roman"/>
                <w:noProof/>
              </w:rPr>
              <w:t>References List</w:t>
            </w:r>
            <w:r w:rsidR="00C44622">
              <w:rPr>
                <w:noProof/>
                <w:webHidden/>
              </w:rPr>
              <w:tab/>
            </w:r>
            <w:r w:rsidR="00C44622">
              <w:rPr>
                <w:noProof/>
                <w:webHidden/>
              </w:rPr>
              <w:fldChar w:fldCharType="begin"/>
            </w:r>
            <w:r w:rsidR="00C44622">
              <w:rPr>
                <w:noProof/>
                <w:webHidden/>
              </w:rPr>
              <w:instrText xml:space="preserve"> PAGEREF _Toc162630501 \h </w:instrText>
            </w:r>
            <w:r w:rsidR="00C44622">
              <w:rPr>
                <w:noProof/>
                <w:webHidden/>
              </w:rPr>
            </w:r>
            <w:r w:rsidR="00C44622">
              <w:rPr>
                <w:noProof/>
                <w:webHidden/>
              </w:rPr>
              <w:fldChar w:fldCharType="separate"/>
            </w:r>
            <w:r w:rsidR="00C44622">
              <w:rPr>
                <w:noProof/>
                <w:webHidden/>
              </w:rPr>
              <w:t>8</w:t>
            </w:r>
            <w:r w:rsidR="00C44622">
              <w:rPr>
                <w:noProof/>
                <w:webHidden/>
              </w:rPr>
              <w:fldChar w:fldCharType="end"/>
            </w:r>
          </w:hyperlink>
        </w:p>
        <w:p w14:paraId="7E93FE26" w14:textId="77777777" w:rsidR="00DE2665" w:rsidRDefault="00DE2665">
          <w:r>
            <w:rPr>
              <w:b/>
              <w:bCs/>
              <w:noProof/>
            </w:rPr>
            <w:fldChar w:fldCharType="end"/>
          </w:r>
        </w:p>
      </w:sdtContent>
    </w:sdt>
    <w:p w14:paraId="0E89E38E" w14:textId="77777777" w:rsidR="00731278" w:rsidRPr="003D3773" w:rsidRDefault="00731278" w:rsidP="00731278">
      <w:pPr>
        <w:ind w:firstLine="0"/>
        <w:rPr>
          <w:rFonts w:cs="Times New Roman"/>
          <w:szCs w:val="24"/>
        </w:rPr>
      </w:pPr>
    </w:p>
    <w:p w14:paraId="5AEB79DA" w14:textId="77777777" w:rsidR="00F23621" w:rsidRPr="003D3773" w:rsidRDefault="00F23621">
      <w:pPr>
        <w:rPr>
          <w:rFonts w:cs="Times New Roman"/>
          <w:szCs w:val="24"/>
        </w:rPr>
      </w:pPr>
      <w:r w:rsidRPr="003D3773">
        <w:rPr>
          <w:rFonts w:cs="Times New Roman"/>
          <w:szCs w:val="24"/>
        </w:rPr>
        <w:br w:type="page"/>
      </w:r>
    </w:p>
    <w:p w14:paraId="16AE940A" w14:textId="77777777" w:rsidR="00F23621" w:rsidRPr="003D3773" w:rsidRDefault="00F23621" w:rsidP="00E90E06">
      <w:pPr>
        <w:pStyle w:val="1"/>
        <w:rPr>
          <w:rFonts w:cs="Times New Roman"/>
          <w:szCs w:val="24"/>
        </w:rPr>
      </w:pPr>
      <w:bookmarkStart w:id="0" w:name="_Toc162630495"/>
      <w:r w:rsidRPr="003D3773">
        <w:rPr>
          <w:rFonts w:cs="Times New Roman"/>
          <w:szCs w:val="24"/>
        </w:rPr>
        <w:lastRenderedPageBreak/>
        <w:t>Introduction</w:t>
      </w:r>
      <w:bookmarkEnd w:id="0"/>
    </w:p>
    <w:p w14:paraId="4271F011" w14:textId="77777777" w:rsidR="00E90E06" w:rsidRPr="003D3773" w:rsidRDefault="00242AAA" w:rsidP="00E90E06">
      <w:pPr>
        <w:rPr>
          <w:rFonts w:cs="Times New Roman"/>
          <w:szCs w:val="24"/>
        </w:rPr>
      </w:pPr>
      <w:r w:rsidRPr="003D3773">
        <w:rPr>
          <w:rFonts w:cs="Times New Roman"/>
          <w:szCs w:val="24"/>
        </w:rPr>
        <w:t>Foreign exchange risks are currency risks that originate from changes in the relative value of currency valuations. The changes result in unpredictable gains or losses during international payments</w:t>
      </w:r>
      <w:r w:rsidR="00C44622">
        <w:rPr>
          <w:rFonts w:cs="Times New Roman"/>
          <w:szCs w:val="24"/>
        </w:rPr>
        <w:t>, and</w:t>
      </w:r>
      <w:r w:rsidRPr="003D3773">
        <w:rPr>
          <w:rFonts w:cs="Times New Roman"/>
          <w:szCs w:val="24"/>
        </w:rPr>
        <w:t xml:space="preserve"> during the conversion of profits or dividends from one currency to another</w:t>
      </w:r>
      <w:r w:rsidR="00A8197F">
        <w:rPr>
          <w:rFonts w:cs="Times New Roman"/>
          <w:szCs w:val="24"/>
        </w:rPr>
        <w:t>,</w:t>
      </w:r>
      <w:r w:rsidR="003D3773" w:rsidRPr="003D3773">
        <w:rPr>
          <w:rFonts w:cs="Times New Roman"/>
          <w:szCs w:val="24"/>
        </w:rPr>
        <w:t xml:space="preserve"> according to Picardo et al. (2023)</w:t>
      </w:r>
      <w:r w:rsidRPr="003D3773">
        <w:rPr>
          <w:rFonts w:cs="Times New Roman"/>
          <w:szCs w:val="24"/>
        </w:rPr>
        <w:t xml:space="preserve">. </w:t>
      </w:r>
      <w:r w:rsidR="00274D5B" w:rsidRPr="003D3773">
        <w:rPr>
          <w:rFonts w:cs="Times New Roman"/>
          <w:szCs w:val="24"/>
        </w:rPr>
        <w:t>For this reason, exchange rate risk is an integral part of international financial management t</w:t>
      </w:r>
      <w:r w:rsidR="00A8197F">
        <w:rPr>
          <w:rFonts w:cs="Times New Roman"/>
          <w:szCs w:val="24"/>
        </w:rPr>
        <w:t>hat helps multinational firms make</w:t>
      </w:r>
      <w:r w:rsidR="00274D5B" w:rsidRPr="003D3773">
        <w:rPr>
          <w:rFonts w:cs="Times New Roman"/>
          <w:szCs w:val="24"/>
        </w:rPr>
        <w:t xml:space="preserve"> decisions concerning foreign currency exposure.</w:t>
      </w:r>
      <w:r w:rsidR="00EF6B18" w:rsidRPr="003D3773">
        <w:rPr>
          <w:rFonts w:cs="Times New Roman"/>
          <w:szCs w:val="24"/>
        </w:rPr>
        <w:t xml:space="preserve"> IMF strategies help MNCs reduce or eliminate </w:t>
      </w:r>
      <w:r w:rsidR="008E0BDF" w:rsidRPr="003D3773">
        <w:rPr>
          <w:rFonts w:cs="Times New Roman"/>
          <w:szCs w:val="24"/>
        </w:rPr>
        <w:t xml:space="preserve">this risk, which takes three forms: transaction exposure, translation exposure, and </w:t>
      </w:r>
      <w:r w:rsidR="005A41C3" w:rsidRPr="003D3773">
        <w:rPr>
          <w:rFonts w:cs="Times New Roman"/>
          <w:szCs w:val="24"/>
        </w:rPr>
        <w:t>economic exposure</w:t>
      </w:r>
      <w:r w:rsidR="00F12BEA" w:rsidRPr="003D3773">
        <w:rPr>
          <w:rFonts w:cs="Times New Roman"/>
          <w:szCs w:val="24"/>
        </w:rPr>
        <w:t xml:space="preserve"> (</w:t>
      </w:r>
      <w:proofErr w:type="spellStart"/>
      <w:r w:rsidR="00F12BEA" w:rsidRPr="003D3773">
        <w:rPr>
          <w:rFonts w:cs="Times New Roman"/>
          <w:szCs w:val="24"/>
        </w:rPr>
        <w:t>Eiteman</w:t>
      </w:r>
      <w:proofErr w:type="spellEnd"/>
      <w:r w:rsidR="00F12BEA" w:rsidRPr="003D3773">
        <w:rPr>
          <w:rFonts w:cs="Times New Roman"/>
          <w:szCs w:val="24"/>
        </w:rPr>
        <w:t xml:space="preserve"> et al., 2016; Eun et al., 2021)</w:t>
      </w:r>
      <w:r w:rsidR="005A41C3" w:rsidRPr="003D3773">
        <w:rPr>
          <w:rFonts w:cs="Times New Roman"/>
          <w:szCs w:val="24"/>
        </w:rPr>
        <w:t>.</w:t>
      </w:r>
      <w:r w:rsidR="00831B9B" w:rsidRPr="003D3773">
        <w:rPr>
          <w:rFonts w:cs="Times New Roman"/>
          <w:szCs w:val="24"/>
        </w:rPr>
        <w:t xml:space="preserve"> </w:t>
      </w:r>
      <w:r w:rsidR="00C7691A" w:rsidRPr="003D3773">
        <w:rPr>
          <w:rFonts w:cs="Times New Roman"/>
          <w:szCs w:val="24"/>
        </w:rPr>
        <w:t xml:space="preserve">This individual report explores the different strategies used </w:t>
      </w:r>
      <w:r w:rsidR="00A8197F">
        <w:rPr>
          <w:rFonts w:cs="Times New Roman"/>
          <w:szCs w:val="24"/>
        </w:rPr>
        <w:t>by</w:t>
      </w:r>
      <w:r w:rsidR="00C7691A" w:rsidRPr="003D3773">
        <w:rPr>
          <w:rFonts w:cs="Times New Roman"/>
          <w:szCs w:val="24"/>
        </w:rPr>
        <w:t xml:space="preserve"> </w:t>
      </w:r>
      <w:r w:rsidR="00A8197F">
        <w:rPr>
          <w:rFonts w:cs="Times New Roman"/>
          <w:szCs w:val="24"/>
        </w:rPr>
        <w:t xml:space="preserve">the </w:t>
      </w:r>
      <w:r w:rsidR="00C7691A" w:rsidRPr="003D3773">
        <w:rPr>
          <w:rFonts w:cs="Times New Roman"/>
          <w:szCs w:val="24"/>
        </w:rPr>
        <w:t>IMF to manage the risks of exposure to foreign exchange risks to provide insights into the best practices for addressing the exchange rate risks.</w:t>
      </w:r>
    </w:p>
    <w:p w14:paraId="28138B01" w14:textId="77777777" w:rsidR="00C7691A" w:rsidRPr="003D3773" w:rsidRDefault="007922FF" w:rsidP="007922FF">
      <w:pPr>
        <w:pStyle w:val="1"/>
        <w:rPr>
          <w:rFonts w:cs="Times New Roman"/>
          <w:szCs w:val="24"/>
        </w:rPr>
      </w:pPr>
      <w:bookmarkStart w:id="1" w:name="_Toc162630496"/>
      <w:r w:rsidRPr="003D3773">
        <w:rPr>
          <w:rFonts w:cs="Times New Roman"/>
          <w:szCs w:val="24"/>
        </w:rPr>
        <w:t>Exposure to Foreign Exchange Risks and their Management Strategies</w:t>
      </w:r>
      <w:bookmarkEnd w:id="1"/>
    </w:p>
    <w:p w14:paraId="10C85C24" w14:textId="77777777" w:rsidR="007922FF" w:rsidRPr="003D3773" w:rsidRDefault="007922FF" w:rsidP="007922FF">
      <w:pPr>
        <w:pStyle w:val="2"/>
        <w:rPr>
          <w:rFonts w:cs="Times New Roman"/>
          <w:szCs w:val="24"/>
        </w:rPr>
      </w:pPr>
      <w:bookmarkStart w:id="2" w:name="_Toc162630497"/>
      <w:r w:rsidRPr="003D3773">
        <w:rPr>
          <w:rFonts w:cs="Times New Roman"/>
          <w:szCs w:val="24"/>
        </w:rPr>
        <w:t>Transaction Exposure Risk</w:t>
      </w:r>
      <w:r w:rsidR="00DE4772">
        <w:rPr>
          <w:rFonts w:cs="Times New Roman"/>
          <w:szCs w:val="24"/>
        </w:rPr>
        <w:t xml:space="preserve"> Management</w:t>
      </w:r>
      <w:bookmarkEnd w:id="2"/>
    </w:p>
    <w:p w14:paraId="71837C16" w14:textId="77777777" w:rsidR="007922FF" w:rsidRPr="003D3773" w:rsidRDefault="00ED371E" w:rsidP="007922FF">
      <w:pPr>
        <w:rPr>
          <w:rFonts w:cs="Times New Roman"/>
          <w:szCs w:val="24"/>
        </w:rPr>
      </w:pPr>
      <w:r w:rsidRPr="003D3773">
        <w:rPr>
          <w:rFonts w:cs="Times New Roman"/>
          <w:szCs w:val="24"/>
        </w:rPr>
        <w:t>Transaction exposure risk occurs when a business engages in commercial transactions</w:t>
      </w:r>
      <w:r w:rsidR="00775BA8" w:rsidRPr="003D3773">
        <w:rPr>
          <w:rFonts w:cs="Times New Roman"/>
          <w:szCs w:val="24"/>
        </w:rPr>
        <w:t xml:space="preserve"> that a</w:t>
      </w:r>
      <w:r w:rsidR="00A8197F">
        <w:rPr>
          <w:rFonts w:cs="Times New Roman"/>
          <w:szCs w:val="24"/>
        </w:rPr>
        <w:t>re</w:t>
      </w:r>
      <w:r w:rsidR="00775BA8" w:rsidRPr="003D3773">
        <w:rPr>
          <w:rFonts w:cs="Times New Roman"/>
          <w:szCs w:val="24"/>
        </w:rPr>
        <w:t xml:space="preserve"> denominated in a foreign currency</w:t>
      </w:r>
      <w:r w:rsidR="00A8197F">
        <w:rPr>
          <w:rFonts w:cs="Times New Roman"/>
          <w:szCs w:val="24"/>
        </w:rPr>
        <w:t>,</w:t>
      </w:r>
      <w:r w:rsidR="00775BA8" w:rsidRPr="003D3773">
        <w:rPr>
          <w:rFonts w:cs="Times New Roman"/>
          <w:szCs w:val="24"/>
        </w:rPr>
        <w:t xml:space="preserve"> exposing the business to a risk of losses</w:t>
      </w:r>
      <w:r w:rsidR="003D3773" w:rsidRPr="003D3773">
        <w:rPr>
          <w:rFonts w:cs="Times New Roman"/>
          <w:szCs w:val="24"/>
        </w:rPr>
        <w:t xml:space="preserve"> (Kenton and Ganti, 2022)</w:t>
      </w:r>
      <w:r w:rsidR="00775BA8" w:rsidRPr="003D3773">
        <w:rPr>
          <w:rFonts w:cs="Times New Roman"/>
          <w:szCs w:val="24"/>
        </w:rPr>
        <w:t>.</w:t>
      </w:r>
      <w:r w:rsidR="008C04C6" w:rsidRPr="003D3773">
        <w:rPr>
          <w:rFonts w:cs="Times New Roman"/>
          <w:szCs w:val="24"/>
        </w:rPr>
        <w:t xml:space="preserve"> This risk can be managed through </w:t>
      </w:r>
      <w:r w:rsidR="006F58DE" w:rsidRPr="003D3773">
        <w:rPr>
          <w:rFonts w:cs="Times New Roman"/>
          <w:szCs w:val="24"/>
        </w:rPr>
        <w:t xml:space="preserve">the use </w:t>
      </w:r>
      <w:r w:rsidR="00A8197F">
        <w:rPr>
          <w:rFonts w:cs="Times New Roman"/>
          <w:szCs w:val="24"/>
        </w:rPr>
        <w:t xml:space="preserve">of </w:t>
      </w:r>
      <w:r w:rsidR="006F58DE" w:rsidRPr="003D3773">
        <w:rPr>
          <w:rFonts w:cs="Times New Roman"/>
          <w:szCs w:val="24"/>
        </w:rPr>
        <w:t xml:space="preserve">foreign exchange derivatives such as </w:t>
      </w:r>
      <w:r w:rsidR="008C04C6" w:rsidRPr="003D3773">
        <w:rPr>
          <w:rFonts w:cs="Times New Roman"/>
          <w:szCs w:val="24"/>
        </w:rPr>
        <w:t xml:space="preserve">forward contracts, future contracts, and </w:t>
      </w:r>
      <w:r w:rsidR="00EC796D" w:rsidRPr="003D3773">
        <w:rPr>
          <w:rFonts w:cs="Times New Roman"/>
          <w:szCs w:val="24"/>
        </w:rPr>
        <w:t>hedging.</w:t>
      </w:r>
      <w:r w:rsidR="002B3584" w:rsidRPr="003D3773">
        <w:rPr>
          <w:rFonts w:cs="Times New Roman"/>
          <w:szCs w:val="24"/>
        </w:rPr>
        <w:t xml:space="preserve"> In </w:t>
      </w:r>
      <w:r w:rsidR="002B3584" w:rsidRPr="003D3773">
        <w:rPr>
          <w:rFonts w:cs="Times New Roman"/>
          <w:b/>
          <w:szCs w:val="24"/>
        </w:rPr>
        <w:t>forward contracts</w:t>
      </w:r>
      <w:r w:rsidR="002B3584" w:rsidRPr="003D3773">
        <w:rPr>
          <w:rFonts w:cs="Times New Roman"/>
          <w:szCs w:val="24"/>
        </w:rPr>
        <w:t xml:space="preserve">, </w:t>
      </w:r>
      <w:r w:rsidR="00E10A6B" w:rsidRPr="003D3773">
        <w:rPr>
          <w:rFonts w:cs="Times New Roman"/>
          <w:szCs w:val="24"/>
        </w:rPr>
        <w:t xml:space="preserve">an international firm enters into an agreement </w:t>
      </w:r>
      <w:r w:rsidR="0073441E">
        <w:rPr>
          <w:rFonts w:cs="Times New Roman"/>
          <w:szCs w:val="24"/>
        </w:rPr>
        <w:t>allowing it to pay or receive a fixed amount of foreign currency at an agreed</w:t>
      </w:r>
      <w:r w:rsidR="00E10A6B" w:rsidRPr="003D3773">
        <w:rPr>
          <w:rFonts w:cs="Times New Roman"/>
          <w:szCs w:val="24"/>
        </w:rPr>
        <w:t xml:space="preserve"> date</w:t>
      </w:r>
      <w:r w:rsidR="00297B32" w:rsidRPr="003D3773">
        <w:rPr>
          <w:rFonts w:cs="Times New Roman"/>
          <w:szCs w:val="24"/>
        </w:rPr>
        <w:t xml:space="preserve"> (</w:t>
      </w:r>
      <w:proofErr w:type="spellStart"/>
      <w:r w:rsidR="00297B32" w:rsidRPr="003D3773">
        <w:rPr>
          <w:rFonts w:cs="Times New Roman"/>
          <w:szCs w:val="24"/>
        </w:rPr>
        <w:t>Eiteman</w:t>
      </w:r>
      <w:proofErr w:type="spellEnd"/>
      <w:r w:rsidR="00297B32" w:rsidRPr="003D3773">
        <w:rPr>
          <w:rFonts w:cs="Times New Roman"/>
          <w:szCs w:val="24"/>
        </w:rPr>
        <w:t xml:space="preserve"> et al., 2016; </w:t>
      </w:r>
      <w:proofErr w:type="spellStart"/>
      <w:r w:rsidR="00297B32" w:rsidRPr="003D3773">
        <w:rPr>
          <w:rFonts w:cs="Times New Roman"/>
          <w:szCs w:val="24"/>
        </w:rPr>
        <w:t>Morstyn</w:t>
      </w:r>
      <w:proofErr w:type="spellEnd"/>
      <w:r w:rsidR="00297B32" w:rsidRPr="003D3773">
        <w:rPr>
          <w:rFonts w:cs="Times New Roman"/>
          <w:szCs w:val="24"/>
        </w:rPr>
        <w:t xml:space="preserve"> et al., 2018)</w:t>
      </w:r>
      <w:r w:rsidR="00E10A6B" w:rsidRPr="003D3773">
        <w:rPr>
          <w:rFonts w:cs="Times New Roman"/>
          <w:szCs w:val="24"/>
        </w:rPr>
        <w:t>. The future amount to be paid or received is based on the current exchange</w:t>
      </w:r>
      <w:r w:rsidR="007E477A" w:rsidRPr="003D3773">
        <w:rPr>
          <w:rFonts w:cs="Times New Roman"/>
          <w:szCs w:val="24"/>
        </w:rPr>
        <w:t xml:space="preserve"> rates. This strategy essentially converts the uncertain future exchange rate of a foreign currency into an asset (the certain home currency) and preserves the current value to use in the contract</w:t>
      </w:r>
      <w:r w:rsidR="00A8197F">
        <w:rPr>
          <w:rFonts w:cs="Times New Roman"/>
          <w:szCs w:val="24"/>
        </w:rPr>
        <w:t>'</w:t>
      </w:r>
      <w:r w:rsidR="007E477A" w:rsidRPr="003D3773">
        <w:rPr>
          <w:rFonts w:cs="Times New Roman"/>
          <w:szCs w:val="24"/>
        </w:rPr>
        <w:t>s life</w:t>
      </w:r>
      <w:r w:rsidR="00297B32" w:rsidRPr="003D3773">
        <w:rPr>
          <w:rFonts w:cs="Times New Roman"/>
          <w:szCs w:val="24"/>
        </w:rPr>
        <w:t xml:space="preserve"> (Titman et al., 2018)</w:t>
      </w:r>
      <w:r w:rsidR="007E477A" w:rsidRPr="003D3773">
        <w:rPr>
          <w:rFonts w:cs="Times New Roman"/>
          <w:szCs w:val="24"/>
        </w:rPr>
        <w:t xml:space="preserve">. </w:t>
      </w:r>
      <w:r w:rsidR="0058005C" w:rsidRPr="003D3773">
        <w:rPr>
          <w:rFonts w:cs="Times New Roman"/>
          <w:szCs w:val="24"/>
        </w:rPr>
        <w:t xml:space="preserve">The second strategy for managing transaction exposure risk is </w:t>
      </w:r>
      <w:r w:rsidR="0058005C" w:rsidRPr="003D3773">
        <w:rPr>
          <w:rFonts w:cs="Times New Roman"/>
          <w:b/>
          <w:szCs w:val="24"/>
        </w:rPr>
        <w:t>future contracts</w:t>
      </w:r>
      <w:r w:rsidR="000F60DD" w:rsidRPr="003D3773">
        <w:rPr>
          <w:rFonts w:cs="Times New Roman"/>
          <w:szCs w:val="24"/>
        </w:rPr>
        <w:t>, which</w:t>
      </w:r>
      <w:r w:rsidR="005C16CD" w:rsidRPr="003D3773">
        <w:rPr>
          <w:rFonts w:cs="Times New Roman"/>
          <w:szCs w:val="24"/>
        </w:rPr>
        <w:t xml:space="preserve"> have a similar function </w:t>
      </w:r>
      <w:r w:rsidR="000F60DD" w:rsidRPr="003D3773">
        <w:rPr>
          <w:rFonts w:cs="Times New Roman"/>
          <w:szCs w:val="24"/>
        </w:rPr>
        <w:t>to forward contracts</w:t>
      </w:r>
      <w:r w:rsidR="00C31813" w:rsidRPr="003D3773">
        <w:rPr>
          <w:rFonts w:cs="Times New Roman"/>
          <w:szCs w:val="24"/>
        </w:rPr>
        <w:t xml:space="preserve"> (Conlon, Cotter and </w:t>
      </w:r>
      <w:proofErr w:type="spellStart"/>
      <w:r w:rsidR="003D3773" w:rsidRPr="003D3773">
        <w:rPr>
          <w:rFonts w:cs="Times New Roman"/>
          <w:szCs w:val="24"/>
        </w:rPr>
        <w:t>Gençay</w:t>
      </w:r>
      <w:proofErr w:type="spellEnd"/>
      <w:r w:rsidR="00C31813" w:rsidRPr="003D3773">
        <w:rPr>
          <w:rFonts w:cs="Times New Roman"/>
          <w:szCs w:val="24"/>
        </w:rPr>
        <w:t>, 2016</w:t>
      </w:r>
      <w:r w:rsidR="000134DE" w:rsidRPr="003D3773">
        <w:rPr>
          <w:rFonts w:cs="Times New Roman"/>
          <w:szCs w:val="24"/>
        </w:rPr>
        <w:t>; Almeida et al., 2017</w:t>
      </w:r>
      <w:r w:rsidR="00C31813" w:rsidRPr="003D3773">
        <w:rPr>
          <w:rFonts w:cs="Times New Roman"/>
          <w:szCs w:val="24"/>
        </w:rPr>
        <w:t>)</w:t>
      </w:r>
      <w:r w:rsidR="00454A1A" w:rsidRPr="003D3773">
        <w:rPr>
          <w:rFonts w:cs="Times New Roman"/>
          <w:szCs w:val="24"/>
        </w:rPr>
        <w:t>.</w:t>
      </w:r>
      <w:r w:rsidR="00781297" w:rsidRPr="003D3773">
        <w:rPr>
          <w:rFonts w:cs="Times New Roman"/>
          <w:szCs w:val="24"/>
        </w:rPr>
        <w:t xml:space="preserve"> </w:t>
      </w:r>
      <w:r w:rsidR="008B7600" w:rsidRPr="003D3773">
        <w:rPr>
          <w:rFonts w:cs="Times New Roman"/>
          <w:szCs w:val="24"/>
        </w:rPr>
        <w:t xml:space="preserve">The future contracts strategy entails obliging buyers to purchase an </w:t>
      </w:r>
      <w:r w:rsidR="008B7600" w:rsidRPr="003D3773">
        <w:rPr>
          <w:rFonts w:cs="Times New Roman"/>
          <w:szCs w:val="24"/>
        </w:rPr>
        <w:lastRenderedPageBreak/>
        <w:t>underlying asset in the future at a predetermined price – this allows business organisation</w:t>
      </w:r>
      <w:r w:rsidR="00A8197F">
        <w:rPr>
          <w:rFonts w:cs="Times New Roman"/>
          <w:szCs w:val="24"/>
        </w:rPr>
        <w:t>s</w:t>
      </w:r>
      <w:r w:rsidR="008B7600" w:rsidRPr="003D3773">
        <w:rPr>
          <w:rFonts w:cs="Times New Roman"/>
          <w:szCs w:val="24"/>
        </w:rPr>
        <w:t xml:space="preserve"> to speculate the direction of foreign exchange rates and help prevent losses from unfavourable exchange rate changes. </w:t>
      </w:r>
      <w:r w:rsidR="00BC6CEE" w:rsidRPr="003D3773">
        <w:rPr>
          <w:rFonts w:cs="Times New Roman"/>
          <w:szCs w:val="24"/>
        </w:rPr>
        <w:t xml:space="preserve">The third strategy for managing transaction risk is the </w:t>
      </w:r>
      <w:r w:rsidR="00BC6CEE" w:rsidRPr="003D3773">
        <w:rPr>
          <w:rFonts w:cs="Times New Roman"/>
          <w:b/>
          <w:szCs w:val="24"/>
        </w:rPr>
        <w:t>hedgin</w:t>
      </w:r>
      <w:r w:rsidR="00CE7464" w:rsidRPr="003D3773">
        <w:rPr>
          <w:rFonts w:cs="Times New Roman"/>
          <w:b/>
          <w:szCs w:val="24"/>
        </w:rPr>
        <w:t xml:space="preserve">g strategy </w:t>
      </w:r>
      <w:r w:rsidR="00CE7464" w:rsidRPr="003D3773">
        <w:rPr>
          <w:rFonts w:cs="Times New Roman"/>
          <w:szCs w:val="24"/>
        </w:rPr>
        <w:t xml:space="preserve">(this hedging strategy can be applied to all three risks). </w:t>
      </w:r>
      <w:r w:rsidR="005A69C4" w:rsidRPr="003D3773">
        <w:rPr>
          <w:rFonts w:cs="Times New Roman"/>
          <w:szCs w:val="24"/>
        </w:rPr>
        <w:t>In managing transaction risk, international financial management use</w:t>
      </w:r>
      <w:r w:rsidR="00A8197F">
        <w:rPr>
          <w:rFonts w:cs="Times New Roman"/>
          <w:szCs w:val="24"/>
        </w:rPr>
        <w:t>s</w:t>
      </w:r>
      <w:r w:rsidR="005A69C4" w:rsidRPr="003D3773">
        <w:rPr>
          <w:rFonts w:cs="Times New Roman"/>
          <w:szCs w:val="24"/>
        </w:rPr>
        <w:t xml:space="preserve"> selective</w:t>
      </w:r>
      <w:r w:rsidR="001F7CFF" w:rsidRPr="003D3773">
        <w:rPr>
          <w:rFonts w:cs="Times New Roman"/>
          <w:szCs w:val="24"/>
        </w:rPr>
        <w:t>/tactical hedging to preserve earnings and cash flows depending on the organisation</w:t>
      </w:r>
      <w:r w:rsidR="00A8197F">
        <w:rPr>
          <w:rFonts w:cs="Times New Roman"/>
          <w:szCs w:val="24"/>
        </w:rPr>
        <w:t>'s</w:t>
      </w:r>
      <w:r w:rsidR="001F7CFF" w:rsidRPr="003D3773">
        <w:rPr>
          <w:rFonts w:cs="Times New Roman"/>
          <w:szCs w:val="24"/>
        </w:rPr>
        <w:t xml:space="preserve"> view on the future exchange rates of the currencies involved in its transactions</w:t>
      </w:r>
      <w:r w:rsidR="002C5F23" w:rsidRPr="003D3773">
        <w:rPr>
          <w:rFonts w:cs="Times New Roman"/>
          <w:szCs w:val="24"/>
        </w:rPr>
        <w:t>. Hedging reduce</w:t>
      </w:r>
      <w:r w:rsidR="006466F3" w:rsidRPr="003D3773">
        <w:rPr>
          <w:rFonts w:cs="Times New Roman"/>
          <w:szCs w:val="24"/>
        </w:rPr>
        <w:t>s</w:t>
      </w:r>
      <w:r w:rsidR="002C5F23" w:rsidRPr="003D3773">
        <w:rPr>
          <w:rFonts w:cs="Times New Roman"/>
          <w:szCs w:val="24"/>
        </w:rPr>
        <w:t xml:space="preserve"> the unpredictability and volatility of currency movement to eliminate or minimise losses due to exchange rate fluctuations by aligning a project</w:t>
      </w:r>
      <w:r w:rsidR="00A8197F">
        <w:rPr>
          <w:rFonts w:cs="Times New Roman"/>
          <w:szCs w:val="24"/>
        </w:rPr>
        <w:t>'</w:t>
      </w:r>
      <w:r w:rsidR="002C5F23" w:rsidRPr="003D3773">
        <w:rPr>
          <w:rFonts w:cs="Times New Roman"/>
          <w:szCs w:val="24"/>
        </w:rPr>
        <w:t>s cash flow and budget with expected revenues and costs in foreign currencies</w:t>
      </w:r>
      <w:r w:rsidR="001F7CFF" w:rsidRPr="003D3773">
        <w:rPr>
          <w:rFonts w:cs="Times New Roman"/>
          <w:szCs w:val="24"/>
        </w:rPr>
        <w:t xml:space="preserve">. </w:t>
      </w:r>
      <w:r w:rsidR="00723015" w:rsidRPr="003D3773">
        <w:rPr>
          <w:rFonts w:cs="Times New Roman"/>
          <w:szCs w:val="24"/>
        </w:rPr>
        <w:t xml:space="preserve">Organisations use tactical hedging </w:t>
      </w:r>
      <w:r w:rsidR="00E56583" w:rsidRPr="003D3773">
        <w:rPr>
          <w:rFonts w:cs="Times New Roman"/>
          <w:szCs w:val="24"/>
        </w:rPr>
        <w:t>for their short-term accounts receivable or payables and strategic hedg</w:t>
      </w:r>
      <w:r w:rsidR="00835C96" w:rsidRPr="003D3773">
        <w:rPr>
          <w:rFonts w:cs="Times New Roman"/>
          <w:szCs w:val="24"/>
        </w:rPr>
        <w:t>ing for long-term transactions</w:t>
      </w:r>
      <w:r w:rsidR="00F77EEA" w:rsidRPr="003D3773">
        <w:rPr>
          <w:rFonts w:cs="Times New Roman"/>
          <w:szCs w:val="24"/>
        </w:rPr>
        <w:t xml:space="preserve"> (some organisation</w:t>
      </w:r>
      <w:r w:rsidR="00A8197F">
        <w:rPr>
          <w:rFonts w:cs="Times New Roman"/>
          <w:szCs w:val="24"/>
        </w:rPr>
        <w:t>s</w:t>
      </w:r>
      <w:r w:rsidR="00F77EEA" w:rsidRPr="003D3773">
        <w:rPr>
          <w:rFonts w:cs="Times New Roman"/>
          <w:szCs w:val="24"/>
        </w:rPr>
        <w:t xml:space="preserve"> might maintain a passive hedging structure that is executed on a regular basis irrespective of the currency expectations).</w:t>
      </w:r>
    </w:p>
    <w:p w14:paraId="5C3C3BDF" w14:textId="77777777" w:rsidR="009E6679" w:rsidRPr="003D3773" w:rsidRDefault="00882866" w:rsidP="007922FF">
      <w:pPr>
        <w:rPr>
          <w:rFonts w:cs="Times New Roman"/>
          <w:szCs w:val="24"/>
        </w:rPr>
      </w:pPr>
      <w:r w:rsidRPr="003D3773">
        <w:rPr>
          <w:rFonts w:cs="Times New Roman"/>
          <w:szCs w:val="24"/>
        </w:rPr>
        <w:t>Organisation</w:t>
      </w:r>
      <w:r w:rsidR="00A8197F">
        <w:rPr>
          <w:rFonts w:cs="Times New Roman"/>
          <w:szCs w:val="24"/>
        </w:rPr>
        <w:t>s</w:t>
      </w:r>
      <w:r w:rsidRPr="003D3773">
        <w:rPr>
          <w:rFonts w:cs="Times New Roman"/>
          <w:szCs w:val="24"/>
        </w:rPr>
        <w:t xml:space="preserve"> also apply operational techniques to manage transaction exposure by adopting operational strategies that offset existing foreign currency transaction exposure. These techniques include risk shifting, currency risk sharing, leading and lagging, and re-invoicing centres. </w:t>
      </w:r>
      <w:r w:rsidR="00A71C76" w:rsidRPr="003D3773">
        <w:rPr>
          <w:rFonts w:cs="Times New Roman"/>
          <w:szCs w:val="24"/>
        </w:rPr>
        <w:t xml:space="preserve">In </w:t>
      </w:r>
      <w:r w:rsidR="00A71C76" w:rsidRPr="003D3773">
        <w:rPr>
          <w:rFonts w:cs="Times New Roman"/>
          <w:b/>
          <w:szCs w:val="24"/>
        </w:rPr>
        <w:t>risk shifting</w:t>
      </w:r>
      <w:r w:rsidR="00A71C76" w:rsidRPr="003D3773">
        <w:rPr>
          <w:rFonts w:cs="Times New Roman"/>
          <w:szCs w:val="24"/>
        </w:rPr>
        <w:t xml:space="preserve">, </w:t>
      </w:r>
      <w:r w:rsidR="00A21FDF" w:rsidRPr="003D3773">
        <w:rPr>
          <w:rFonts w:cs="Times New Roman"/>
          <w:szCs w:val="24"/>
        </w:rPr>
        <w:t>the business organisation invoices all of its transaction</w:t>
      </w:r>
      <w:r w:rsidR="00A8197F">
        <w:rPr>
          <w:rFonts w:cs="Times New Roman"/>
          <w:szCs w:val="24"/>
        </w:rPr>
        <w:t>s</w:t>
      </w:r>
      <w:r w:rsidR="00A21FDF" w:rsidRPr="003D3773">
        <w:rPr>
          <w:rFonts w:cs="Times New Roman"/>
          <w:szCs w:val="24"/>
        </w:rPr>
        <w:t xml:space="preserve"> in the home currency, shifting the currency risk to the foreign company or client.</w:t>
      </w:r>
      <w:r w:rsidR="0011568D" w:rsidRPr="003D3773">
        <w:rPr>
          <w:rFonts w:cs="Times New Roman"/>
          <w:szCs w:val="24"/>
        </w:rPr>
        <w:t xml:space="preserve"> However, this strategy is not widely accepted because </w:t>
      </w:r>
      <w:r w:rsidR="00A8197F">
        <w:rPr>
          <w:rFonts w:cs="Times New Roman"/>
          <w:szCs w:val="24"/>
        </w:rPr>
        <w:t>neither of the transacting organisations would</w:t>
      </w:r>
      <w:r w:rsidR="0011568D" w:rsidRPr="003D3773">
        <w:rPr>
          <w:rFonts w:cs="Times New Roman"/>
          <w:szCs w:val="24"/>
        </w:rPr>
        <w:t xml:space="preserve"> want to bear the foreign exchange risk alone; however, they can enter </w:t>
      </w:r>
      <w:r w:rsidR="00A8197F">
        <w:rPr>
          <w:rFonts w:cs="Times New Roman"/>
          <w:szCs w:val="24"/>
        </w:rPr>
        <w:t xml:space="preserve">into </w:t>
      </w:r>
      <w:r w:rsidR="0011568D" w:rsidRPr="003D3773">
        <w:rPr>
          <w:rFonts w:cs="Times New Roman"/>
          <w:szCs w:val="24"/>
        </w:rPr>
        <w:t xml:space="preserve">an agreement for the firm with the lowest cost to accept the </w:t>
      </w:r>
      <w:r w:rsidR="00C03E3E">
        <w:rPr>
          <w:rFonts w:cs="Times New Roman"/>
          <w:szCs w:val="24"/>
        </w:rPr>
        <w:t>other’s domestic</w:t>
      </w:r>
      <w:r w:rsidR="0011568D" w:rsidRPr="003D3773">
        <w:rPr>
          <w:rFonts w:cs="Times New Roman"/>
          <w:szCs w:val="24"/>
        </w:rPr>
        <w:t xml:space="preserve"> currency.</w:t>
      </w:r>
      <w:r w:rsidR="00F330E8" w:rsidRPr="003D3773">
        <w:rPr>
          <w:rFonts w:cs="Times New Roman"/>
          <w:szCs w:val="24"/>
        </w:rPr>
        <w:t xml:space="preserve"> In the </w:t>
      </w:r>
      <w:r w:rsidR="00F330E8" w:rsidRPr="003D3773">
        <w:rPr>
          <w:rFonts w:cs="Times New Roman"/>
          <w:b/>
          <w:szCs w:val="24"/>
        </w:rPr>
        <w:t>currency risk</w:t>
      </w:r>
      <w:r w:rsidR="00A8197F">
        <w:rPr>
          <w:rFonts w:cs="Times New Roman"/>
          <w:b/>
          <w:szCs w:val="24"/>
        </w:rPr>
        <w:t>-</w:t>
      </w:r>
      <w:r w:rsidR="00F330E8" w:rsidRPr="003D3773">
        <w:rPr>
          <w:rFonts w:cs="Times New Roman"/>
          <w:b/>
          <w:szCs w:val="24"/>
        </w:rPr>
        <w:t>sharing</w:t>
      </w:r>
      <w:r w:rsidR="00514D8E" w:rsidRPr="003D3773">
        <w:rPr>
          <w:rFonts w:cs="Times New Roman"/>
          <w:szCs w:val="24"/>
        </w:rPr>
        <w:t xml:space="preserve"> technique, where the transacting organisation enter an agr</w:t>
      </w:r>
      <w:r w:rsidR="0090712A" w:rsidRPr="003D3773">
        <w:rPr>
          <w:rFonts w:cs="Times New Roman"/>
          <w:szCs w:val="24"/>
        </w:rPr>
        <w:t>eement to share losses or gains at an agreed rate</w:t>
      </w:r>
      <w:r w:rsidR="006466F3" w:rsidRPr="003D3773">
        <w:rPr>
          <w:rFonts w:cs="Times New Roman"/>
          <w:szCs w:val="24"/>
        </w:rPr>
        <w:t xml:space="preserve"> (Wang and Huang, 2021)</w:t>
      </w:r>
      <w:r w:rsidR="0090712A" w:rsidRPr="003D3773">
        <w:rPr>
          <w:rFonts w:cs="Times New Roman"/>
          <w:szCs w:val="24"/>
        </w:rPr>
        <w:t>.</w:t>
      </w:r>
      <w:r w:rsidR="008F40F8" w:rsidRPr="003D3773">
        <w:rPr>
          <w:rFonts w:cs="Times New Roman"/>
          <w:szCs w:val="24"/>
        </w:rPr>
        <w:t xml:space="preserve"> </w:t>
      </w:r>
      <w:r w:rsidR="008F40F8" w:rsidRPr="003D3773">
        <w:rPr>
          <w:rFonts w:cs="Times New Roman"/>
          <w:b/>
          <w:szCs w:val="24"/>
        </w:rPr>
        <w:t>Leading and lagging</w:t>
      </w:r>
      <w:r w:rsidR="008F40F8" w:rsidRPr="003D3773">
        <w:rPr>
          <w:rFonts w:cs="Times New Roman"/>
          <w:szCs w:val="24"/>
        </w:rPr>
        <w:t xml:space="preserve"> reduces the transaction exposure risk</w:t>
      </w:r>
      <w:r w:rsidR="00C924E1" w:rsidRPr="003D3773">
        <w:rPr>
          <w:rFonts w:cs="Times New Roman"/>
          <w:szCs w:val="24"/>
        </w:rPr>
        <w:t xml:space="preserve"> by timing currency foreign cash flows</w:t>
      </w:r>
      <w:r w:rsidR="00A8073A" w:rsidRPr="003D3773">
        <w:rPr>
          <w:rFonts w:cs="Times New Roman"/>
          <w:szCs w:val="24"/>
        </w:rPr>
        <w:t xml:space="preserve"> (Tiwary, 2019)</w:t>
      </w:r>
      <w:r w:rsidR="00C924E1" w:rsidRPr="003D3773">
        <w:rPr>
          <w:rFonts w:cs="Times New Roman"/>
          <w:szCs w:val="24"/>
        </w:rPr>
        <w:t>. When the foreign currency is appreciating, the business can pay off its liabilities early</w:t>
      </w:r>
      <w:r w:rsidR="003372B2" w:rsidRPr="003D3773">
        <w:rPr>
          <w:rFonts w:cs="Times New Roman"/>
          <w:szCs w:val="24"/>
        </w:rPr>
        <w:t xml:space="preserve"> and take its receivables </w:t>
      </w:r>
      <w:r w:rsidR="003372B2" w:rsidRPr="003D3773">
        <w:rPr>
          <w:rFonts w:cs="Times New Roman"/>
          <w:szCs w:val="24"/>
        </w:rPr>
        <w:lastRenderedPageBreak/>
        <w:t xml:space="preserve">later (leading), and when currency </w:t>
      </w:r>
      <w:r w:rsidR="00A8197F">
        <w:rPr>
          <w:rFonts w:cs="Times New Roman"/>
          <w:szCs w:val="24"/>
        </w:rPr>
        <w:t>depreciates</w:t>
      </w:r>
      <w:r w:rsidR="003372B2" w:rsidRPr="003D3773">
        <w:rPr>
          <w:rFonts w:cs="Times New Roman"/>
          <w:szCs w:val="24"/>
        </w:rPr>
        <w:t>, the business takes its accounts receivables first and pays off liabilities after (lagging).</w:t>
      </w:r>
      <w:r w:rsidR="00B05E47" w:rsidRPr="003D3773">
        <w:rPr>
          <w:rFonts w:cs="Times New Roman"/>
          <w:szCs w:val="24"/>
        </w:rPr>
        <w:t xml:space="preserve"> </w:t>
      </w:r>
      <w:r w:rsidR="004A560B" w:rsidRPr="003D3773">
        <w:rPr>
          <w:rFonts w:cs="Times New Roman"/>
          <w:szCs w:val="24"/>
        </w:rPr>
        <w:t xml:space="preserve">The </w:t>
      </w:r>
      <w:r w:rsidR="004A560B" w:rsidRPr="003D3773">
        <w:rPr>
          <w:rFonts w:cs="Times New Roman"/>
          <w:b/>
          <w:szCs w:val="24"/>
        </w:rPr>
        <w:t>re-invoicing centres strategy</w:t>
      </w:r>
      <w:r w:rsidR="004A560B" w:rsidRPr="003D3773">
        <w:rPr>
          <w:rFonts w:cs="Times New Roman"/>
          <w:szCs w:val="24"/>
        </w:rPr>
        <w:t xml:space="preserve"> involves </w:t>
      </w:r>
      <w:r w:rsidR="004B2825" w:rsidRPr="003D3773">
        <w:rPr>
          <w:rFonts w:cs="Times New Roman"/>
          <w:szCs w:val="24"/>
        </w:rPr>
        <w:t xml:space="preserve">the use of a separate corporate subsidiary tasked with managing finances </w:t>
      </w:r>
      <w:r w:rsidR="00C037BF" w:rsidRPr="003D3773">
        <w:rPr>
          <w:rFonts w:cs="Times New Roman"/>
          <w:szCs w:val="24"/>
        </w:rPr>
        <w:t>in</w:t>
      </w:r>
      <w:r w:rsidR="004B2825" w:rsidRPr="003D3773">
        <w:rPr>
          <w:rFonts w:cs="Times New Roman"/>
          <w:szCs w:val="24"/>
        </w:rPr>
        <w:t xml:space="preserve"> one location </w:t>
      </w:r>
      <w:r w:rsidR="00C037BF" w:rsidRPr="003D3773">
        <w:rPr>
          <w:rFonts w:cs="Times New Roman"/>
          <w:szCs w:val="24"/>
        </w:rPr>
        <w:t>– the parent company sells its products or services to the foreign market only through the subsidiary that handles transactions in the local currency, absorbing all the transaction exposure</w:t>
      </w:r>
      <w:r w:rsidR="00C011A3" w:rsidRPr="003D3773">
        <w:rPr>
          <w:rFonts w:cs="Times New Roman"/>
          <w:szCs w:val="24"/>
        </w:rPr>
        <w:t xml:space="preserve"> (Tiwary, 2019)</w:t>
      </w:r>
      <w:r w:rsidR="007A2860" w:rsidRPr="003D3773">
        <w:rPr>
          <w:rFonts w:cs="Times New Roman"/>
          <w:szCs w:val="24"/>
        </w:rPr>
        <w:t>.</w:t>
      </w:r>
      <w:r w:rsidR="00063DA0" w:rsidRPr="003D3773">
        <w:rPr>
          <w:rFonts w:cs="Times New Roman"/>
          <w:szCs w:val="24"/>
        </w:rPr>
        <w:t xml:space="preserve"> For example, Trident Corporation US factory ships goods directly to Trident Brazil</w:t>
      </w:r>
      <w:r w:rsidR="00A8197F">
        <w:rPr>
          <w:rFonts w:cs="Times New Roman"/>
          <w:szCs w:val="24"/>
        </w:rPr>
        <w:t>,</w:t>
      </w:r>
      <w:r w:rsidR="00063DA0" w:rsidRPr="003D3773">
        <w:rPr>
          <w:rFonts w:cs="Times New Roman"/>
          <w:szCs w:val="24"/>
        </w:rPr>
        <w:t xml:space="preserve"> wh</w:t>
      </w:r>
      <w:r w:rsidR="00A8197F">
        <w:rPr>
          <w:rFonts w:cs="Times New Roman"/>
          <w:szCs w:val="24"/>
        </w:rPr>
        <w:t>ich sells the goods in</w:t>
      </w:r>
      <w:r w:rsidR="00063DA0" w:rsidRPr="003D3773">
        <w:rPr>
          <w:rFonts w:cs="Times New Roman"/>
          <w:szCs w:val="24"/>
        </w:rPr>
        <w:t xml:space="preserve"> Brazilian currency, and the factor re</w:t>
      </w:r>
      <w:r w:rsidR="006637B2" w:rsidRPr="003D3773">
        <w:rPr>
          <w:rFonts w:cs="Times New Roman"/>
          <w:szCs w:val="24"/>
        </w:rPr>
        <w:t>-in</w:t>
      </w:r>
      <w:r w:rsidR="00063DA0" w:rsidRPr="003D3773">
        <w:rPr>
          <w:rFonts w:cs="Times New Roman"/>
          <w:szCs w:val="24"/>
        </w:rPr>
        <w:t>v</w:t>
      </w:r>
      <w:r w:rsidR="006637B2" w:rsidRPr="003D3773">
        <w:rPr>
          <w:rFonts w:cs="Times New Roman"/>
          <w:szCs w:val="24"/>
        </w:rPr>
        <w:t>o</w:t>
      </w:r>
      <w:r w:rsidR="00063DA0" w:rsidRPr="003D3773">
        <w:rPr>
          <w:rFonts w:cs="Times New Roman"/>
          <w:szCs w:val="24"/>
        </w:rPr>
        <w:t xml:space="preserve">ices </w:t>
      </w:r>
      <w:r w:rsidR="006637B2" w:rsidRPr="003D3773">
        <w:rPr>
          <w:rFonts w:cs="Times New Roman"/>
          <w:szCs w:val="24"/>
        </w:rPr>
        <w:t>Trident</w:t>
      </w:r>
      <w:r w:rsidR="00A8197F">
        <w:rPr>
          <w:rFonts w:cs="Times New Roman"/>
          <w:szCs w:val="24"/>
        </w:rPr>
        <w:t>'</w:t>
      </w:r>
      <w:r w:rsidR="006637B2" w:rsidRPr="003D3773">
        <w:rPr>
          <w:rFonts w:cs="Times New Roman"/>
          <w:szCs w:val="24"/>
        </w:rPr>
        <w:t>s</w:t>
      </w:r>
      <w:r w:rsidR="00063DA0" w:rsidRPr="003D3773">
        <w:rPr>
          <w:rFonts w:cs="Times New Roman"/>
          <w:szCs w:val="24"/>
        </w:rPr>
        <w:t xml:space="preserve"> HQ in Los Angeles.</w:t>
      </w:r>
    </w:p>
    <w:p w14:paraId="0DD1B8CD" w14:textId="77777777" w:rsidR="007922FF" w:rsidRPr="003D3773" w:rsidRDefault="007922FF" w:rsidP="007922FF">
      <w:pPr>
        <w:pStyle w:val="2"/>
        <w:rPr>
          <w:rFonts w:cs="Times New Roman"/>
          <w:szCs w:val="24"/>
        </w:rPr>
      </w:pPr>
      <w:bookmarkStart w:id="3" w:name="_Toc162630498"/>
      <w:r w:rsidRPr="003D3773">
        <w:rPr>
          <w:rFonts w:cs="Times New Roman"/>
          <w:szCs w:val="24"/>
        </w:rPr>
        <w:t>Translation Exposure Risk</w:t>
      </w:r>
      <w:r w:rsidR="00DE4772">
        <w:rPr>
          <w:rFonts w:cs="Times New Roman"/>
          <w:szCs w:val="24"/>
        </w:rPr>
        <w:t xml:space="preserve"> Management</w:t>
      </w:r>
      <w:bookmarkEnd w:id="3"/>
    </w:p>
    <w:p w14:paraId="41AB3B55" w14:textId="77777777" w:rsidR="00065B8F" w:rsidRPr="003D3773" w:rsidRDefault="00D2317C" w:rsidP="00735EC2">
      <w:pPr>
        <w:rPr>
          <w:rFonts w:cs="Times New Roman"/>
          <w:szCs w:val="24"/>
        </w:rPr>
      </w:pPr>
      <w:r w:rsidRPr="003D3773">
        <w:rPr>
          <w:rFonts w:cs="Times New Roman"/>
          <w:szCs w:val="24"/>
        </w:rPr>
        <w:t xml:space="preserve">Translation exposure risk </w:t>
      </w:r>
      <w:r w:rsidR="00895284" w:rsidRPr="003D3773">
        <w:rPr>
          <w:rFonts w:cs="Times New Roman"/>
          <w:szCs w:val="24"/>
        </w:rPr>
        <w:t>or balance sheet exposure risk arises from the translation of cur</w:t>
      </w:r>
      <w:r w:rsidR="002118C0" w:rsidRPr="003D3773">
        <w:rPr>
          <w:rFonts w:cs="Times New Roman"/>
          <w:szCs w:val="24"/>
        </w:rPr>
        <w:t>rencies in financial statement</w:t>
      </w:r>
      <w:r w:rsidR="00D725BF" w:rsidRPr="003D3773">
        <w:rPr>
          <w:rFonts w:cs="Times New Roman"/>
          <w:szCs w:val="24"/>
        </w:rPr>
        <w:t>s</w:t>
      </w:r>
      <w:r w:rsidR="002118C0" w:rsidRPr="003D3773">
        <w:rPr>
          <w:rFonts w:cs="Times New Roman"/>
          <w:szCs w:val="24"/>
        </w:rPr>
        <w:t>, affecting the values of an organisation</w:t>
      </w:r>
      <w:r w:rsidR="00A8197F">
        <w:rPr>
          <w:rFonts w:cs="Times New Roman"/>
          <w:szCs w:val="24"/>
        </w:rPr>
        <w:t>'s</w:t>
      </w:r>
      <w:r w:rsidR="002118C0" w:rsidRPr="003D3773">
        <w:rPr>
          <w:rFonts w:cs="Times New Roman"/>
          <w:szCs w:val="24"/>
        </w:rPr>
        <w:t xml:space="preserve"> equities, liabilities, assets or incomes.</w:t>
      </w:r>
      <w:r w:rsidR="00CD279B" w:rsidRPr="003D3773">
        <w:rPr>
          <w:rFonts w:cs="Times New Roman"/>
          <w:szCs w:val="24"/>
        </w:rPr>
        <w:t xml:space="preserve"> </w:t>
      </w:r>
      <w:r w:rsidR="00D725BF" w:rsidRPr="003D3773">
        <w:rPr>
          <w:rFonts w:cs="Times New Roman"/>
          <w:szCs w:val="24"/>
        </w:rPr>
        <w:t xml:space="preserve">The business has to </w:t>
      </w:r>
      <w:r w:rsidR="007E4A01" w:rsidRPr="003D3773">
        <w:rPr>
          <w:rFonts w:cs="Times New Roman"/>
          <w:szCs w:val="24"/>
        </w:rPr>
        <w:t>consolidate</w:t>
      </w:r>
      <w:r w:rsidR="00D725BF" w:rsidRPr="003D3773">
        <w:rPr>
          <w:rFonts w:cs="Times New Roman"/>
          <w:szCs w:val="24"/>
        </w:rPr>
        <w:t xml:space="preserve"> its worldwide operations in its home currency or the US dollar in order to </w:t>
      </w:r>
      <w:r w:rsidR="00A8197F">
        <w:rPr>
          <w:rFonts w:cs="Times New Roman"/>
          <w:szCs w:val="24"/>
        </w:rPr>
        <w:t>indicate</w:t>
      </w:r>
      <w:r w:rsidR="00D725BF" w:rsidRPr="003D3773">
        <w:rPr>
          <w:rFonts w:cs="Times New Roman"/>
          <w:szCs w:val="24"/>
        </w:rPr>
        <w:t xml:space="preserve"> its financial position for </w:t>
      </w:r>
      <w:r w:rsidR="00A8197F">
        <w:rPr>
          <w:rFonts w:cs="Times New Roman"/>
          <w:szCs w:val="24"/>
        </w:rPr>
        <w:t xml:space="preserve">a </w:t>
      </w:r>
      <w:r w:rsidR="00D725BF" w:rsidRPr="003D3773">
        <w:rPr>
          <w:rFonts w:cs="Times New Roman"/>
          <w:szCs w:val="24"/>
        </w:rPr>
        <w:t>certain period.</w:t>
      </w:r>
      <w:r w:rsidR="0002614C" w:rsidRPr="003D3773">
        <w:rPr>
          <w:rFonts w:cs="Times New Roman"/>
          <w:szCs w:val="24"/>
        </w:rPr>
        <w:t xml:space="preserve"> </w:t>
      </w:r>
      <w:r w:rsidR="007E4A01" w:rsidRPr="003D3773">
        <w:rPr>
          <w:rFonts w:cs="Times New Roman"/>
          <w:szCs w:val="24"/>
        </w:rPr>
        <w:t>During the consolidation, financial statement</w:t>
      </w:r>
      <w:r w:rsidR="00A8197F">
        <w:rPr>
          <w:rFonts w:cs="Times New Roman"/>
          <w:szCs w:val="24"/>
        </w:rPr>
        <w:t>s</w:t>
      </w:r>
      <w:r w:rsidR="007E4A01" w:rsidRPr="003D3773">
        <w:rPr>
          <w:rFonts w:cs="Times New Roman"/>
          <w:szCs w:val="24"/>
        </w:rPr>
        <w:t xml:space="preserve"> denominated in foreign currencies could </w:t>
      </w:r>
      <w:r w:rsidR="0073441E">
        <w:rPr>
          <w:rFonts w:cs="Times New Roman"/>
          <w:szCs w:val="24"/>
        </w:rPr>
        <w:t>indicate</w:t>
      </w:r>
      <w:r w:rsidR="007E4A01" w:rsidRPr="003D3773">
        <w:rPr>
          <w:rFonts w:cs="Times New Roman"/>
          <w:szCs w:val="24"/>
        </w:rPr>
        <w:t xml:space="preserve"> loss or gain in the event of foreign exchange rate changes before the reporting dates.</w:t>
      </w:r>
      <w:r w:rsidR="00851FA0" w:rsidRPr="003D3773">
        <w:rPr>
          <w:rFonts w:cs="Times New Roman"/>
          <w:szCs w:val="24"/>
        </w:rPr>
        <w:t xml:space="preserve"> </w:t>
      </w:r>
      <w:r w:rsidR="00C056EB" w:rsidRPr="003D3773">
        <w:rPr>
          <w:rFonts w:cs="Times New Roman"/>
          <w:szCs w:val="24"/>
        </w:rPr>
        <w:t>This risk can be avoided by using historical exchange rates at the time of record t</w:t>
      </w:r>
      <w:r w:rsidR="00D54637" w:rsidRPr="003D3773">
        <w:rPr>
          <w:rFonts w:cs="Times New Roman"/>
          <w:szCs w:val="24"/>
        </w:rPr>
        <w:t>o</w:t>
      </w:r>
      <w:r w:rsidR="00AC6ED0" w:rsidRPr="003D3773">
        <w:rPr>
          <w:rFonts w:cs="Times New Roman"/>
          <w:szCs w:val="24"/>
        </w:rPr>
        <w:t xml:space="preserve"> represent realised cash flows; however, particular covenants such as loan agreements, </w:t>
      </w:r>
      <w:r w:rsidR="006962BC" w:rsidRPr="003D3773">
        <w:rPr>
          <w:rFonts w:cs="Times New Roman"/>
          <w:szCs w:val="24"/>
        </w:rPr>
        <w:t xml:space="preserve">assets, </w:t>
      </w:r>
      <w:r w:rsidR="00AC6ED0" w:rsidRPr="003D3773">
        <w:rPr>
          <w:rFonts w:cs="Times New Roman"/>
          <w:szCs w:val="24"/>
        </w:rPr>
        <w:t xml:space="preserve">and liabilities must be reported using the current currency exchange </w:t>
      </w:r>
      <w:r w:rsidR="006962BC" w:rsidRPr="003D3773">
        <w:rPr>
          <w:rFonts w:cs="Times New Roman"/>
          <w:szCs w:val="24"/>
        </w:rPr>
        <w:t>rates as dictated by the GAAP</w:t>
      </w:r>
      <w:r w:rsidR="00DF3C0F" w:rsidRPr="003D3773">
        <w:rPr>
          <w:rFonts w:cs="Times New Roman"/>
          <w:szCs w:val="24"/>
        </w:rPr>
        <w:t xml:space="preserve">. </w:t>
      </w:r>
      <w:r w:rsidR="00B41BE2" w:rsidRPr="003D3773">
        <w:rPr>
          <w:rFonts w:cs="Times New Roman"/>
          <w:szCs w:val="24"/>
        </w:rPr>
        <w:t>In addition to GAAP adherence, organisation</w:t>
      </w:r>
      <w:r w:rsidR="00A8197F">
        <w:rPr>
          <w:rFonts w:cs="Times New Roman"/>
          <w:szCs w:val="24"/>
        </w:rPr>
        <w:t>s</w:t>
      </w:r>
      <w:r w:rsidR="00B41BE2" w:rsidRPr="003D3773">
        <w:rPr>
          <w:rFonts w:cs="Times New Roman"/>
          <w:szCs w:val="24"/>
        </w:rPr>
        <w:t xml:space="preserve"> also have to observe the translation standards set by their home countries. For example, American</w:t>
      </w:r>
      <w:r w:rsidR="00A8197F">
        <w:rPr>
          <w:rFonts w:cs="Times New Roman"/>
          <w:szCs w:val="24"/>
        </w:rPr>
        <w:t>-</w:t>
      </w:r>
      <w:r w:rsidR="00B41BE2" w:rsidRPr="003D3773">
        <w:rPr>
          <w:rFonts w:cs="Times New Roman"/>
          <w:szCs w:val="24"/>
        </w:rPr>
        <w:t>based organisations ha</w:t>
      </w:r>
      <w:r w:rsidR="00A8197F">
        <w:rPr>
          <w:rFonts w:cs="Times New Roman"/>
          <w:szCs w:val="24"/>
        </w:rPr>
        <w:t>ve</w:t>
      </w:r>
      <w:r w:rsidR="00B41BE2" w:rsidRPr="003D3773">
        <w:rPr>
          <w:rFonts w:cs="Times New Roman"/>
          <w:szCs w:val="24"/>
        </w:rPr>
        <w:t xml:space="preserve"> to adhere to the United States Federal Accounting Board standards</w:t>
      </w:r>
      <w:r w:rsidR="00841F35" w:rsidRPr="003D3773">
        <w:rPr>
          <w:rFonts w:cs="Times New Roman"/>
          <w:szCs w:val="24"/>
        </w:rPr>
        <w:t xml:space="preserve"> (Edwards, 2020)</w:t>
      </w:r>
      <w:r w:rsidR="00545F7E" w:rsidRPr="003D3773">
        <w:rPr>
          <w:rFonts w:cs="Times New Roman"/>
          <w:szCs w:val="24"/>
        </w:rPr>
        <w:t xml:space="preserve">. </w:t>
      </w:r>
      <w:r w:rsidR="00175D96" w:rsidRPr="003D3773">
        <w:rPr>
          <w:rFonts w:cs="Times New Roman"/>
          <w:szCs w:val="24"/>
        </w:rPr>
        <w:t>The liabilities and assets must use current exchange rates during translation because the</w:t>
      </w:r>
      <w:r w:rsidR="00A8197F">
        <w:rPr>
          <w:rFonts w:cs="Times New Roman"/>
          <w:szCs w:val="24"/>
        </w:rPr>
        <w:t>y</w:t>
      </w:r>
      <w:r w:rsidR="00175D96" w:rsidRPr="003D3773">
        <w:rPr>
          <w:rFonts w:cs="Times New Roman"/>
          <w:szCs w:val="24"/>
        </w:rPr>
        <w:t xml:space="preserve"> retain value; thus, their translation exposure is not a real gain or loss but a perceived one.</w:t>
      </w:r>
      <w:r w:rsidR="00CF60EF" w:rsidRPr="003D3773">
        <w:rPr>
          <w:rFonts w:cs="Times New Roman"/>
          <w:szCs w:val="24"/>
        </w:rPr>
        <w:t xml:space="preserve"> </w:t>
      </w:r>
      <w:r w:rsidR="00545F7E" w:rsidRPr="003D3773">
        <w:rPr>
          <w:rFonts w:cs="Times New Roman"/>
          <w:szCs w:val="24"/>
        </w:rPr>
        <w:t>On the contrary</w:t>
      </w:r>
      <w:r w:rsidR="00A8197F">
        <w:rPr>
          <w:rFonts w:cs="Times New Roman"/>
          <w:szCs w:val="24"/>
        </w:rPr>
        <w:t>,</w:t>
      </w:r>
      <w:r w:rsidR="00545F7E" w:rsidRPr="003D3773">
        <w:rPr>
          <w:rFonts w:cs="Times New Roman"/>
          <w:szCs w:val="24"/>
        </w:rPr>
        <w:t xml:space="preserve"> equity accounts and cash flow can use historical exchange rates to avoid a distortion of the financial result when a transaction </w:t>
      </w:r>
      <w:r w:rsidR="00A8197F">
        <w:rPr>
          <w:rFonts w:cs="Times New Roman"/>
          <w:szCs w:val="24"/>
        </w:rPr>
        <w:t>i</w:t>
      </w:r>
      <w:r w:rsidR="00545F7E" w:rsidRPr="003D3773">
        <w:rPr>
          <w:rFonts w:cs="Times New Roman"/>
          <w:szCs w:val="24"/>
        </w:rPr>
        <w:t>s settled.</w:t>
      </w:r>
      <w:r w:rsidR="001569CA" w:rsidRPr="003D3773">
        <w:rPr>
          <w:rFonts w:cs="Times New Roman"/>
          <w:szCs w:val="24"/>
        </w:rPr>
        <w:t xml:space="preserve"> </w:t>
      </w:r>
      <w:r w:rsidR="00E338D3" w:rsidRPr="003D3773">
        <w:rPr>
          <w:rFonts w:cs="Times New Roman"/>
          <w:szCs w:val="24"/>
        </w:rPr>
        <w:t xml:space="preserve">The translation risk can also be managed </w:t>
      </w:r>
      <w:r w:rsidR="00E338D3" w:rsidRPr="003D3773">
        <w:rPr>
          <w:rFonts w:cs="Times New Roman"/>
          <w:szCs w:val="24"/>
        </w:rPr>
        <w:lastRenderedPageBreak/>
        <w:t xml:space="preserve">using </w:t>
      </w:r>
      <w:r w:rsidR="00E338D3" w:rsidRPr="003D3773">
        <w:rPr>
          <w:rFonts w:cs="Times New Roman"/>
          <w:b/>
          <w:szCs w:val="24"/>
        </w:rPr>
        <w:t>infrequent and non-systemic hedging techniques</w:t>
      </w:r>
      <w:r w:rsidR="001569CA" w:rsidRPr="003D3773">
        <w:rPr>
          <w:rFonts w:cs="Times New Roman"/>
          <w:szCs w:val="24"/>
        </w:rPr>
        <w:t xml:space="preserve"> to avoid the impact of possible exchange volatility on net assets or liabilities. </w:t>
      </w:r>
      <w:r w:rsidR="00924786" w:rsidRPr="003D3773">
        <w:rPr>
          <w:rFonts w:cs="Times New Roman"/>
          <w:szCs w:val="24"/>
        </w:rPr>
        <w:t xml:space="preserve">In this hedging technique, the business organisation purchases currency swaps to lock the exchange rate </w:t>
      </w:r>
      <w:r w:rsidR="00A8197F">
        <w:rPr>
          <w:rFonts w:cs="Times New Roman"/>
          <w:szCs w:val="24"/>
        </w:rPr>
        <w:t xml:space="preserve">at </w:t>
      </w:r>
      <w:r w:rsidR="00924786" w:rsidRPr="003D3773">
        <w:rPr>
          <w:rFonts w:cs="Times New Roman"/>
          <w:szCs w:val="24"/>
        </w:rPr>
        <w:t>a fixed point for a set period of time</w:t>
      </w:r>
      <w:r w:rsidR="0042185B" w:rsidRPr="003D3773">
        <w:rPr>
          <w:rFonts w:cs="Times New Roman"/>
          <w:szCs w:val="24"/>
        </w:rPr>
        <w:t xml:space="preserve"> (Tiwary, 2019; </w:t>
      </w:r>
      <w:proofErr w:type="spellStart"/>
      <w:r w:rsidR="0042185B" w:rsidRPr="003D3773">
        <w:rPr>
          <w:rFonts w:cs="Times New Roman"/>
          <w:szCs w:val="24"/>
        </w:rPr>
        <w:t>Hendrawan</w:t>
      </w:r>
      <w:proofErr w:type="spellEnd"/>
      <w:r w:rsidR="0042185B" w:rsidRPr="003D3773">
        <w:rPr>
          <w:rFonts w:cs="Times New Roman"/>
          <w:szCs w:val="24"/>
        </w:rPr>
        <w:t>, 2017)</w:t>
      </w:r>
      <w:r w:rsidR="00924786" w:rsidRPr="003D3773">
        <w:rPr>
          <w:rFonts w:cs="Times New Roman"/>
          <w:szCs w:val="24"/>
        </w:rPr>
        <w:t xml:space="preserve">. </w:t>
      </w:r>
      <w:r w:rsidR="004531FF" w:rsidRPr="003D3773">
        <w:rPr>
          <w:rFonts w:cs="Times New Roman"/>
          <w:szCs w:val="24"/>
        </w:rPr>
        <w:t>The company can also avoid payment in foreign currency and request it</w:t>
      </w:r>
      <w:r w:rsidR="00A8197F">
        <w:rPr>
          <w:rFonts w:cs="Times New Roman"/>
          <w:szCs w:val="24"/>
        </w:rPr>
        <w:t>s</w:t>
      </w:r>
      <w:r w:rsidR="004531FF" w:rsidRPr="003D3773">
        <w:rPr>
          <w:rFonts w:cs="Times New Roman"/>
          <w:szCs w:val="24"/>
        </w:rPr>
        <w:t xml:space="preserve"> clients to pay it using its domestic currency, transferring the risk associated with currency exchange to the clients.</w:t>
      </w:r>
    </w:p>
    <w:p w14:paraId="611001D2" w14:textId="77777777" w:rsidR="007922FF" w:rsidRPr="003D3773" w:rsidRDefault="007922FF" w:rsidP="007922FF">
      <w:pPr>
        <w:pStyle w:val="2"/>
        <w:rPr>
          <w:rFonts w:cs="Times New Roman"/>
          <w:szCs w:val="24"/>
        </w:rPr>
      </w:pPr>
      <w:bookmarkStart w:id="4" w:name="_Toc162630499"/>
      <w:r w:rsidRPr="003D3773">
        <w:rPr>
          <w:rFonts w:cs="Times New Roman"/>
          <w:szCs w:val="24"/>
        </w:rPr>
        <w:t>Economic Exposure Risk</w:t>
      </w:r>
      <w:r w:rsidR="00DE4772">
        <w:rPr>
          <w:rFonts w:cs="Times New Roman"/>
          <w:szCs w:val="24"/>
        </w:rPr>
        <w:t xml:space="preserve"> Management</w:t>
      </w:r>
      <w:bookmarkEnd w:id="4"/>
    </w:p>
    <w:p w14:paraId="3E22BC3E" w14:textId="77777777" w:rsidR="005A2C49" w:rsidRPr="003D3773" w:rsidRDefault="005E72BC" w:rsidP="005A2C49">
      <w:pPr>
        <w:rPr>
          <w:rFonts w:cs="Times New Roman"/>
          <w:szCs w:val="24"/>
        </w:rPr>
      </w:pPr>
      <w:r w:rsidRPr="003D3773">
        <w:rPr>
          <w:rFonts w:cs="Times New Roman"/>
          <w:szCs w:val="24"/>
        </w:rPr>
        <w:t xml:space="preserve">Economic exposure risk (or operational exposure risk) involves the strategic evaluation of foreign relationships and transactions. </w:t>
      </w:r>
      <w:r w:rsidR="007773B3" w:rsidRPr="003D3773">
        <w:rPr>
          <w:rFonts w:cs="Times New Roman"/>
          <w:szCs w:val="24"/>
        </w:rPr>
        <w:t>Economic exposure risk management is concerned with handling the implication of any changes in future cash flows that might be caused by changes in exchange rates or operating positions in foreign markets.</w:t>
      </w:r>
      <w:r w:rsidR="00382376" w:rsidRPr="003D3773">
        <w:rPr>
          <w:rFonts w:cs="Times New Roman"/>
          <w:szCs w:val="24"/>
        </w:rPr>
        <w:t xml:space="preserve"> It aims to provide IFM with a comprehensive understanding of the structure of foreign markets in terms of competitors, labour, materials, services o</w:t>
      </w:r>
      <w:r w:rsidR="00DB4034" w:rsidRPr="003D3773">
        <w:rPr>
          <w:rFonts w:cs="Times New Roman"/>
          <w:szCs w:val="24"/>
        </w:rPr>
        <w:t xml:space="preserve">r products, and consumers in order to determine the dependency or vulnerability of the organisation due to </w:t>
      </w:r>
      <w:r w:rsidR="00406F4D" w:rsidRPr="003D3773">
        <w:rPr>
          <w:rFonts w:cs="Times New Roman"/>
          <w:szCs w:val="24"/>
        </w:rPr>
        <w:t>future exchange</w:t>
      </w:r>
      <w:r w:rsidR="00964226" w:rsidRPr="003D3773">
        <w:rPr>
          <w:rFonts w:cs="Times New Roman"/>
          <w:szCs w:val="24"/>
        </w:rPr>
        <w:t xml:space="preserve"> rate movements; therefore, its economic exposure risk management</w:t>
      </w:r>
      <w:r w:rsidR="00A8197F">
        <w:rPr>
          <w:rFonts w:cs="Times New Roman"/>
          <w:szCs w:val="24"/>
        </w:rPr>
        <w:t>'</w:t>
      </w:r>
      <w:r w:rsidR="00964226" w:rsidRPr="003D3773">
        <w:rPr>
          <w:rFonts w:cs="Times New Roman"/>
          <w:szCs w:val="24"/>
        </w:rPr>
        <w:t>s role optimise</w:t>
      </w:r>
      <w:r w:rsidR="00A8197F">
        <w:rPr>
          <w:rFonts w:cs="Times New Roman"/>
          <w:szCs w:val="24"/>
        </w:rPr>
        <w:t>s</w:t>
      </w:r>
      <w:r w:rsidR="00964226" w:rsidRPr="003D3773">
        <w:rPr>
          <w:rFonts w:cs="Times New Roman"/>
          <w:szCs w:val="24"/>
        </w:rPr>
        <w:t xml:space="preserve"> the organisation positions in anticipation in changes of exchange rates.</w:t>
      </w:r>
      <w:r w:rsidR="008974E5" w:rsidRPr="003D3773">
        <w:rPr>
          <w:rFonts w:cs="Times New Roman"/>
          <w:szCs w:val="24"/>
        </w:rPr>
        <w:t xml:space="preserve"> In terms of operating exposure, the economic exposure risk helps ascertain the extent to which changes in exchange rates impact its value.</w:t>
      </w:r>
      <w:r w:rsidR="00BB0CD0" w:rsidRPr="003D3773">
        <w:rPr>
          <w:rFonts w:cs="Times New Roman"/>
          <w:szCs w:val="24"/>
        </w:rPr>
        <w:t xml:space="preserve"> The economic exposure risk can be managed through market selection, pricing strategy, and product strategy. </w:t>
      </w:r>
      <w:r w:rsidR="000A1950" w:rsidRPr="003D3773">
        <w:rPr>
          <w:rFonts w:cs="Times New Roman"/>
          <w:szCs w:val="24"/>
        </w:rPr>
        <w:t xml:space="preserve">In the </w:t>
      </w:r>
      <w:r w:rsidR="000A1950" w:rsidRPr="003D3773">
        <w:rPr>
          <w:rFonts w:cs="Times New Roman"/>
          <w:b/>
          <w:szCs w:val="24"/>
        </w:rPr>
        <w:t>market selection strategy</w:t>
      </w:r>
      <w:r w:rsidR="000A1950" w:rsidRPr="003D3773">
        <w:rPr>
          <w:rFonts w:cs="Times New Roman"/>
          <w:szCs w:val="24"/>
        </w:rPr>
        <w:t xml:space="preserve">, </w:t>
      </w:r>
      <w:r w:rsidR="006C4534" w:rsidRPr="003D3773">
        <w:rPr>
          <w:rFonts w:cs="Times New Roman"/>
          <w:szCs w:val="24"/>
        </w:rPr>
        <w:t>the business takes advantage of foreign economies through diversification or exchange rate risk between strong currency markets and weak currency markets</w:t>
      </w:r>
      <w:r w:rsidR="00587951" w:rsidRPr="003D3773">
        <w:rPr>
          <w:rFonts w:cs="Times New Roman"/>
          <w:szCs w:val="24"/>
        </w:rPr>
        <w:t xml:space="preserve">. For example, when Mexico devaluated its peso in 1994, Goodyear </w:t>
      </w:r>
      <w:r w:rsidR="00A8197F">
        <w:rPr>
          <w:rFonts w:cs="Times New Roman"/>
          <w:szCs w:val="24"/>
        </w:rPr>
        <w:t>T</w:t>
      </w:r>
      <w:r w:rsidR="00587951" w:rsidRPr="003D3773">
        <w:rPr>
          <w:rFonts w:cs="Times New Roman"/>
          <w:szCs w:val="24"/>
        </w:rPr>
        <w:t>ires</w:t>
      </w:r>
      <w:r w:rsidR="00A8197F">
        <w:rPr>
          <w:rFonts w:cs="Times New Roman"/>
          <w:szCs w:val="24"/>
        </w:rPr>
        <w:t>'</w:t>
      </w:r>
      <w:r w:rsidR="00587951" w:rsidRPr="003D3773">
        <w:rPr>
          <w:rFonts w:cs="Times New Roman"/>
          <w:szCs w:val="24"/>
        </w:rPr>
        <w:t xml:space="preserve"> revenue </w:t>
      </w:r>
      <w:r w:rsidR="00A8197F">
        <w:rPr>
          <w:rFonts w:cs="Times New Roman"/>
          <w:szCs w:val="24"/>
        </w:rPr>
        <w:t xml:space="preserve">was </w:t>
      </w:r>
      <w:r w:rsidR="00587951" w:rsidRPr="003D3773">
        <w:rPr>
          <w:rFonts w:cs="Times New Roman"/>
          <w:szCs w:val="24"/>
        </w:rPr>
        <w:t>reduced by 20% in Mexico – the company addressed this decline by quickly start</w:t>
      </w:r>
      <w:r w:rsidR="00A8197F">
        <w:rPr>
          <w:rFonts w:cs="Times New Roman"/>
          <w:szCs w:val="24"/>
        </w:rPr>
        <w:t>ing</w:t>
      </w:r>
      <w:r w:rsidR="003B17E6" w:rsidRPr="003D3773">
        <w:rPr>
          <w:rFonts w:cs="Times New Roman"/>
          <w:szCs w:val="24"/>
        </w:rPr>
        <w:t xml:space="preserve"> t</w:t>
      </w:r>
      <w:r w:rsidR="00A8197F">
        <w:rPr>
          <w:rFonts w:cs="Times New Roman"/>
          <w:szCs w:val="24"/>
        </w:rPr>
        <w:t>y</w:t>
      </w:r>
      <w:r w:rsidR="003B17E6" w:rsidRPr="003D3773">
        <w:rPr>
          <w:rFonts w:cs="Times New Roman"/>
          <w:szCs w:val="24"/>
        </w:rPr>
        <w:t>re</w:t>
      </w:r>
      <w:r w:rsidR="00587951" w:rsidRPr="003D3773">
        <w:rPr>
          <w:rFonts w:cs="Times New Roman"/>
          <w:szCs w:val="24"/>
        </w:rPr>
        <w:t xml:space="preserve"> exports to the United States and Europe</w:t>
      </w:r>
      <w:r w:rsidR="00A8197F">
        <w:rPr>
          <w:rFonts w:cs="Times New Roman"/>
          <w:szCs w:val="24"/>
        </w:rPr>
        <w:t>,</w:t>
      </w:r>
      <w:r w:rsidR="00587951" w:rsidRPr="003D3773">
        <w:rPr>
          <w:rFonts w:cs="Times New Roman"/>
          <w:szCs w:val="24"/>
        </w:rPr>
        <w:t xml:space="preserve"> whose markets had stronger currencies</w:t>
      </w:r>
      <w:r w:rsidR="003D473D" w:rsidRPr="003D3773">
        <w:rPr>
          <w:rFonts w:cs="Times New Roman"/>
          <w:szCs w:val="24"/>
        </w:rPr>
        <w:t xml:space="preserve"> </w:t>
      </w:r>
      <w:r w:rsidR="00AA3E84" w:rsidRPr="003D3773">
        <w:rPr>
          <w:rFonts w:cs="Times New Roman"/>
          <w:szCs w:val="24"/>
        </w:rPr>
        <w:t>(Valentini</w:t>
      </w:r>
      <w:r w:rsidR="003D473D" w:rsidRPr="003D3773">
        <w:rPr>
          <w:rFonts w:cs="Times New Roman"/>
          <w:szCs w:val="24"/>
        </w:rPr>
        <w:t xml:space="preserve"> and </w:t>
      </w:r>
      <w:proofErr w:type="spellStart"/>
      <w:r w:rsidR="003D473D" w:rsidRPr="003D3773">
        <w:rPr>
          <w:rFonts w:cs="Times New Roman"/>
          <w:szCs w:val="24"/>
        </w:rPr>
        <w:t>Pegoretti</w:t>
      </w:r>
      <w:proofErr w:type="spellEnd"/>
      <w:r w:rsidR="003D473D" w:rsidRPr="003D3773">
        <w:rPr>
          <w:rFonts w:cs="Times New Roman"/>
          <w:szCs w:val="24"/>
        </w:rPr>
        <w:t>, 2022)</w:t>
      </w:r>
      <w:r w:rsidR="006C4534" w:rsidRPr="003D3773">
        <w:rPr>
          <w:rFonts w:cs="Times New Roman"/>
          <w:szCs w:val="24"/>
        </w:rPr>
        <w:t xml:space="preserve">. </w:t>
      </w:r>
      <w:r w:rsidR="00436F33" w:rsidRPr="003D3773">
        <w:rPr>
          <w:rFonts w:cs="Times New Roman"/>
          <w:szCs w:val="24"/>
        </w:rPr>
        <w:t xml:space="preserve">The </w:t>
      </w:r>
      <w:r w:rsidR="00436F33" w:rsidRPr="003D3773">
        <w:rPr>
          <w:rFonts w:cs="Times New Roman"/>
          <w:b/>
          <w:szCs w:val="24"/>
        </w:rPr>
        <w:t>pricing strategy</w:t>
      </w:r>
      <w:r w:rsidR="00436F33" w:rsidRPr="003D3773">
        <w:rPr>
          <w:rFonts w:cs="Times New Roman"/>
          <w:szCs w:val="24"/>
        </w:rPr>
        <w:t xml:space="preserve"> emphasi</w:t>
      </w:r>
      <w:r w:rsidR="00A8197F">
        <w:rPr>
          <w:rFonts w:cs="Times New Roman"/>
          <w:szCs w:val="24"/>
        </w:rPr>
        <w:t>s</w:t>
      </w:r>
      <w:r w:rsidR="00436F33" w:rsidRPr="003D3773">
        <w:rPr>
          <w:rFonts w:cs="Times New Roman"/>
          <w:szCs w:val="24"/>
        </w:rPr>
        <w:t xml:space="preserve">es </w:t>
      </w:r>
      <w:r w:rsidR="006D71E3" w:rsidRPr="003D3773">
        <w:rPr>
          <w:rFonts w:cs="Times New Roman"/>
          <w:szCs w:val="24"/>
        </w:rPr>
        <w:t>leveraging exchange rates to increase market share and profit margins. Organisation</w:t>
      </w:r>
      <w:r w:rsidR="00A8197F">
        <w:rPr>
          <w:rFonts w:cs="Times New Roman"/>
          <w:szCs w:val="24"/>
        </w:rPr>
        <w:t>s</w:t>
      </w:r>
      <w:r w:rsidR="006D71E3" w:rsidRPr="003D3773">
        <w:rPr>
          <w:rFonts w:cs="Times New Roman"/>
          <w:szCs w:val="24"/>
        </w:rPr>
        <w:t xml:space="preserve"> from weak </w:t>
      </w:r>
      <w:r w:rsidR="006D71E3" w:rsidRPr="003D3773">
        <w:rPr>
          <w:rFonts w:cs="Times New Roman"/>
          <w:szCs w:val="24"/>
        </w:rPr>
        <w:lastRenderedPageBreak/>
        <w:t>currency market</w:t>
      </w:r>
      <w:r w:rsidR="00A8197F">
        <w:rPr>
          <w:rFonts w:cs="Times New Roman"/>
          <w:szCs w:val="24"/>
        </w:rPr>
        <w:t>s</w:t>
      </w:r>
      <w:r w:rsidR="006D71E3" w:rsidRPr="003D3773">
        <w:rPr>
          <w:rFonts w:cs="Times New Roman"/>
          <w:szCs w:val="24"/>
        </w:rPr>
        <w:t xml:space="preserve"> benefit more from weak home currencies, while importers benefit more from strong domestic currencies.</w:t>
      </w:r>
      <w:r w:rsidR="00745499" w:rsidRPr="003D3773">
        <w:rPr>
          <w:rFonts w:cs="Times New Roman"/>
          <w:szCs w:val="24"/>
        </w:rPr>
        <w:t xml:space="preserve"> In the </w:t>
      </w:r>
      <w:r w:rsidR="00745499" w:rsidRPr="003D3773">
        <w:rPr>
          <w:rFonts w:cs="Times New Roman"/>
          <w:b/>
          <w:szCs w:val="24"/>
        </w:rPr>
        <w:t>product strategy</w:t>
      </w:r>
      <w:r w:rsidR="00745499" w:rsidRPr="003D3773">
        <w:rPr>
          <w:rFonts w:cs="Times New Roman"/>
          <w:szCs w:val="24"/>
        </w:rPr>
        <w:t xml:space="preserve">, </w:t>
      </w:r>
      <w:r w:rsidR="00017B2B" w:rsidRPr="003D3773">
        <w:rPr>
          <w:rFonts w:cs="Times New Roman"/>
          <w:szCs w:val="24"/>
        </w:rPr>
        <w:t>IFM involve</w:t>
      </w:r>
      <w:r w:rsidR="00A8197F">
        <w:rPr>
          <w:rFonts w:cs="Times New Roman"/>
          <w:szCs w:val="24"/>
        </w:rPr>
        <w:t>s</w:t>
      </w:r>
      <w:r w:rsidR="00017B2B" w:rsidRPr="003D3773">
        <w:rPr>
          <w:rFonts w:cs="Times New Roman"/>
          <w:szCs w:val="24"/>
        </w:rPr>
        <w:t xml:space="preserve"> making product and product development decisions that will minimise the impact of foreign exchange rate changes </w:t>
      </w:r>
      <w:r w:rsidR="00A8197F">
        <w:rPr>
          <w:rFonts w:cs="Times New Roman"/>
          <w:szCs w:val="24"/>
        </w:rPr>
        <w:t>on</w:t>
      </w:r>
      <w:r w:rsidR="00017B2B" w:rsidRPr="003D3773">
        <w:rPr>
          <w:rFonts w:cs="Times New Roman"/>
          <w:szCs w:val="24"/>
        </w:rPr>
        <w:t xml:space="preserve"> production or product research and development. IFM leverages exchange rates to shift to lower production cost markets and source components from favourable oversea</w:t>
      </w:r>
      <w:r w:rsidR="00A8197F">
        <w:rPr>
          <w:rFonts w:cs="Times New Roman"/>
          <w:szCs w:val="24"/>
        </w:rPr>
        <w:t>s</w:t>
      </w:r>
      <w:r w:rsidR="00017B2B" w:rsidRPr="003D3773">
        <w:rPr>
          <w:rFonts w:cs="Times New Roman"/>
          <w:szCs w:val="24"/>
        </w:rPr>
        <w:t xml:space="preserve"> markets</w:t>
      </w:r>
      <w:r w:rsidR="00A8197F">
        <w:rPr>
          <w:rFonts w:cs="Times New Roman"/>
          <w:szCs w:val="24"/>
        </w:rPr>
        <w:t>;</w:t>
      </w:r>
      <w:r w:rsidR="003B17E6" w:rsidRPr="003D3773">
        <w:rPr>
          <w:rFonts w:cs="Times New Roman"/>
          <w:szCs w:val="24"/>
        </w:rPr>
        <w:t xml:space="preserve"> for example, Honda, a Japanese car maker</w:t>
      </w:r>
      <w:r w:rsidR="00A8197F">
        <w:rPr>
          <w:rFonts w:cs="Times New Roman"/>
          <w:szCs w:val="24"/>
        </w:rPr>
        <w:t>,</w:t>
      </w:r>
      <w:r w:rsidR="003B17E6" w:rsidRPr="003D3773">
        <w:rPr>
          <w:rFonts w:cs="Times New Roman"/>
          <w:szCs w:val="24"/>
        </w:rPr>
        <w:t xml:space="preserve"> buil</w:t>
      </w:r>
      <w:r w:rsidR="00A8197F">
        <w:rPr>
          <w:rFonts w:cs="Times New Roman"/>
          <w:szCs w:val="24"/>
        </w:rPr>
        <w:t>t</w:t>
      </w:r>
      <w:r w:rsidR="003B17E6" w:rsidRPr="003D3773">
        <w:rPr>
          <w:rFonts w:cs="Times New Roman"/>
          <w:szCs w:val="24"/>
        </w:rPr>
        <w:t xml:space="preserve"> a North America</w:t>
      </w:r>
      <w:r w:rsidR="00A8197F">
        <w:rPr>
          <w:rFonts w:cs="Times New Roman"/>
          <w:szCs w:val="24"/>
        </w:rPr>
        <w:t>n factory</w:t>
      </w:r>
      <w:r w:rsidR="003B17E6" w:rsidRPr="003D3773">
        <w:rPr>
          <w:rFonts w:cs="Times New Roman"/>
          <w:szCs w:val="24"/>
        </w:rPr>
        <w:t xml:space="preserve"> when the yen was stronger than the US dollar</w:t>
      </w:r>
      <w:r w:rsidR="00AA3E84" w:rsidRPr="003D3773">
        <w:rPr>
          <w:rFonts w:cs="Times New Roman"/>
          <w:szCs w:val="24"/>
        </w:rPr>
        <w:t xml:space="preserve"> (</w:t>
      </w:r>
      <w:r w:rsidR="003D3773" w:rsidRPr="003D3773">
        <w:rPr>
          <w:rFonts w:cs="Times New Roman"/>
          <w:szCs w:val="24"/>
        </w:rPr>
        <w:t>Minchin</w:t>
      </w:r>
      <w:r w:rsidR="00AA3E84" w:rsidRPr="003D3773">
        <w:rPr>
          <w:rFonts w:cs="Times New Roman"/>
          <w:szCs w:val="24"/>
        </w:rPr>
        <w:t>, 2021</w:t>
      </w:r>
      <w:r w:rsidR="008F088E" w:rsidRPr="003D3773">
        <w:rPr>
          <w:rFonts w:cs="Times New Roman"/>
          <w:szCs w:val="24"/>
        </w:rPr>
        <w:t>; Chen, 2017</w:t>
      </w:r>
      <w:r w:rsidR="00AA3E84" w:rsidRPr="003D3773">
        <w:rPr>
          <w:rFonts w:cs="Times New Roman"/>
          <w:szCs w:val="24"/>
        </w:rPr>
        <w:t>). The company</w:t>
      </w:r>
      <w:r w:rsidR="003B17E6" w:rsidRPr="003D3773">
        <w:rPr>
          <w:rFonts w:cs="Times New Roman"/>
          <w:szCs w:val="24"/>
        </w:rPr>
        <w:t xml:space="preserve"> shifted back to importing cars from Japan to </w:t>
      </w:r>
      <w:r w:rsidR="00A8197F">
        <w:rPr>
          <w:rFonts w:cs="Times New Roman"/>
          <w:szCs w:val="24"/>
        </w:rPr>
        <w:t xml:space="preserve">the </w:t>
      </w:r>
      <w:r w:rsidR="003B17E6" w:rsidRPr="003D3773">
        <w:rPr>
          <w:rFonts w:cs="Times New Roman"/>
          <w:szCs w:val="24"/>
        </w:rPr>
        <w:t>US when the yen became weaker than the dollar</w:t>
      </w:r>
      <w:r w:rsidR="00017B2B" w:rsidRPr="003D3773">
        <w:rPr>
          <w:rFonts w:cs="Times New Roman"/>
          <w:szCs w:val="24"/>
        </w:rPr>
        <w:t>.</w:t>
      </w:r>
    </w:p>
    <w:p w14:paraId="559C6007" w14:textId="77777777" w:rsidR="008D0F86" w:rsidRPr="003D3773" w:rsidRDefault="008D0F86" w:rsidP="008D0F86">
      <w:pPr>
        <w:pStyle w:val="1"/>
        <w:rPr>
          <w:rFonts w:cs="Times New Roman"/>
          <w:szCs w:val="24"/>
        </w:rPr>
      </w:pPr>
      <w:bookmarkStart w:id="5" w:name="_Toc162630500"/>
      <w:r w:rsidRPr="003D3773">
        <w:rPr>
          <w:rFonts w:cs="Times New Roman"/>
          <w:szCs w:val="24"/>
        </w:rPr>
        <w:t>Conclusion</w:t>
      </w:r>
      <w:bookmarkEnd w:id="5"/>
    </w:p>
    <w:p w14:paraId="6B1CCDA6" w14:textId="77777777" w:rsidR="003D3773" w:rsidRPr="003D3773" w:rsidRDefault="00507FE9" w:rsidP="00C82DD2">
      <w:pPr>
        <w:rPr>
          <w:rFonts w:cs="Times New Roman"/>
          <w:szCs w:val="24"/>
        </w:rPr>
      </w:pPr>
      <w:r w:rsidRPr="003D3773">
        <w:rPr>
          <w:rFonts w:cs="Times New Roman"/>
          <w:szCs w:val="24"/>
        </w:rPr>
        <w:t>International business organisation</w:t>
      </w:r>
      <w:r w:rsidR="00A8197F">
        <w:rPr>
          <w:rFonts w:cs="Times New Roman"/>
          <w:szCs w:val="24"/>
        </w:rPr>
        <w:t>s</w:t>
      </w:r>
      <w:r w:rsidRPr="003D3773">
        <w:rPr>
          <w:rFonts w:cs="Times New Roman"/>
          <w:szCs w:val="24"/>
        </w:rPr>
        <w:t xml:space="preserve"> transact in multiple currencies</w:t>
      </w:r>
      <w:r w:rsidR="00A8197F">
        <w:rPr>
          <w:rFonts w:cs="Times New Roman"/>
          <w:szCs w:val="24"/>
        </w:rPr>
        <w:t>,</w:t>
      </w:r>
      <w:r w:rsidRPr="003D3773">
        <w:rPr>
          <w:rFonts w:cs="Times New Roman"/>
          <w:szCs w:val="24"/>
        </w:rPr>
        <w:t xml:space="preserve"> which exposes them to transaction, translation, and economic exposure risks. </w:t>
      </w:r>
      <w:r w:rsidR="00EF2C8B" w:rsidRPr="003D3773">
        <w:rPr>
          <w:rFonts w:cs="Times New Roman"/>
          <w:szCs w:val="24"/>
        </w:rPr>
        <w:t xml:space="preserve">In order to protect themselves from these risks, </w:t>
      </w:r>
      <w:r w:rsidR="00A47A9C" w:rsidRPr="003D3773">
        <w:rPr>
          <w:rFonts w:cs="Times New Roman"/>
          <w:szCs w:val="24"/>
        </w:rPr>
        <w:t xml:space="preserve">the organisation use different strategies to address loss or gain risks from exchange rate volatilities. </w:t>
      </w:r>
      <w:r w:rsidR="00A73ABE" w:rsidRPr="003D3773">
        <w:rPr>
          <w:rFonts w:cs="Times New Roman"/>
          <w:szCs w:val="24"/>
        </w:rPr>
        <w:t>The strategies include foreign exchange derivatives such as forwa</w:t>
      </w:r>
      <w:r w:rsidR="009B6B0A" w:rsidRPr="003D3773">
        <w:rPr>
          <w:rFonts w:cs="Times New Roman"/>
          <w:szCs w:val="24"/>
        </w:rPr>
        <w:t>rd contracts, future contracts</w:t>
      </w:r>
      <w:r w:rsidR="00A73ABE" w:rsidRPr="003D3773">
        <w:rPr>
          <w:rFonts w:cs="Times New Roman"/>
          <w:szCs w:val="24"/>
        </w:rPr>
        <w:t xml:space="preserve">, and currency swaps, or </w:t>
      </w:r>
      <w:r w:rsidR="00C05688" w:rsidRPr="003D3773">
        <w:rPr>
          <w:rFonts w:cs="Times New Roman"/>
          <w:szCs w:val="24"/>
        </w:rPr>
        <w:t>operational strategies such as re-invoicing, leading and lagging, market selection and product management.</w:t>
      </w:r>
      <w:r w:rsidR="00CE6B49" w:rsidRPr="003D3773">
        <w:rPr>
          <w:rFonts w:cs="Times New Roman"/>
          <w:szCs w:val="24"/>
        </w:rPr>
        <w:t xml:space="preserve"> </w:t>
      </w:r>
      <w:r w:rsidR="009B6B0A" w:rsidRPr="003D3773">
        <w:rPr>
          <w:rFonts w:cs="Times New Roman"/>
          <w:szCs w:val="24"/>
        </w:rPr>
        <w:t>Last, they can use hedging strategies</w:t>
      </w:r>
      <w:r w:rsidR="00A8197F">
        <w:rPr>
          <w:rFonts w:cs="Times New Roman"/>
          <w:szCs w:val="24"/>
        </w:rPr>
        <w:t>,</w:t>
      </w:r>
      <w:r w:rsidR="009B6B0A" w:rsidRPr="003D3773">
        <w:rPr>
          <w:rFonts w:cs="Times New Roman"/>
          <w:szCs w:val="24"/>
        </w:rPr>
        <w:t xml:space="preserve"> </w:t>
      </w:r>
      <w:r w:rsidR="00A34844" w:rsidRPr="003D3773">
        <w:rPr>
          <w:rFonts w:cs="Times New Roman"/>
          <w:szCs w:val="24"/>
        </w:rPr>
        <w:t>including selective</w:t>
      </w:r>
      <w:r w:rsidR="00BD2C08">
        <w:rPr>
          <w:rFonts w:cs="Times New Roman"/>
          <w:szCs w:val="24"/>
        </w:rPr>
        <w:t>, infrequent/non-systemic</w:t>
      </w:r>
      <w:r w:rsidR="00A34844" w:rsidRPr="003D3773">
        <w:rPr>
          <w:rFonts w:cs="Times New Roman"/>
          <w:szCs w:val="24"/>
        </w:rPr>
        <w:t>, and diversification.</w:t>
      </w:r>
    </w:p>
    <w:p w14:paraId="4B0A42BA" w14:textId="77777777" w:rsidR="003D3773" w:rsidRPr="003D3773" w:rsidRDefault="003D3773">
      <w:pPr>
        <w:rPr>
          <w:rFonts w:cs="Times New Roman"/>
          <w:szCs w:val="24"/>
        </w:rPr>
      </w:pPr>
      <w:r w:rsidRPr="003D3773">
        <w:rPr>
          <w:rFonts w:cs="Times New Roman"/>
          <w:szCs w:val="24"/>
        </w:rPr>
        <w:br w:type="page"/>
      </w:r>
    </w:p>
    <w:p w14:paraId="63AEC949" w14:textId="77777777" w:rsidR="003D3773" w:rsidRPr="003D3773" w:rsidRDefault="003D3773" w:rsidP="003D3773">
      <w:pPr>
        <w:pStyle w:val="1"/>
        <w:rPr>
          <w:rFonts w:cs="Times New Roman"/>
          <w:szCs w:val="24"/>
        </w:rPr>
      </w:pPr>
      <w:bookmarkStart w:id="6" w:name="_Toc162630501"/>
      <w:r w:rsidRPr="003D3773">
        <w:rPr>
          <w:rFonts w:cs="Times New Roman"/>
          <w:szCs w:val="24"/>
        </w:rPr>
        <w:lastRenderedPageBreak/>
        <w:t>References List</w:t>
      </w:r>
      <w:bookmarkEnd w:id="6"/>
    </w:p>
    <w:p w14:paraId="436CEF0E"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Almeida, H., Hankins, K.W. and Williams, R. (2017) Risk management with supply contracts. </w:t>
      </w:r>
      <w:r w:rsidRPr="003D3773">
        <w:rPr>
          <w:rFonts w:cs="Times New Roman"/>
          <w:i/>
          <w:iCs/>
          <w:color w:val="222222"/>
          <w:szCs w:val="24"/>
          <w:shd w:val="clear" w:color="auto" w:fill="FFFFFF"/>
        </w:rPr>
        <w:t>The Review of Financial Studies</w:t>
      </w:r>
      <w:r w:rsidRPr="003D3773">
        <w:rPr>
          <w:rFonts w:cs="Times New Roman"/>
          <w:color w:val="222222"/>
          <w:szCs w:val="24"/>
          <w:shd w:val="clear" w:color="auto" w:fill="FFFFFF"/>
        </w:rPr>
        <w:t>, </w:t>
      </w:r>
      <w:r w:rsidRPr="003D3773">
        <w:rPr>
          <w:rFonts w:cs="Times New Roman"/>
          <w:i/>
          <w:iCs/>
          <w:color w:val="222222"/>
          <w:szCs w:val="24"/>
          <w:shd w:val="clear" w:color="auto" w:fill="FFFFFF"/>
        </w:rPr>
        <w:t>30</w:t>
      </w:r>
      <w:r w:rsidRPr="003D3773">
        <w:rPr>
          <w:rFonts w:cs="Times New Roman"/>
          <w:color w:val="222222"/>
          <w:szCs w:val="24"/>
          <w:shd w:val="clear" w:color="auto" w:fill="FFFFFF"/>
        </w:rPr>
        <w:t>(12), pp.4179-4215.</w:t>
      </w:r>
    </w:p>
    <w:p w14:paraId="451BB764"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Chen, J. (2017) The Chinese automobile market and the strategies of European, American, Japanese, Korean and Chinese automakers. </w:t>
      </w:r>
      <w:r w:rsidRPr="003D3773">
        <w:rPr>
          <w:rFonts w:cs="Times New Roman"/>
          <w:i/>
          <w:iCs/>
          <w:color w:val="222222"/>
          <w:szCs w:val="24"/>
          <w:shd w:val="clear" w:color="auto" w:fill="FFFFFF"/>
        </w:rPr>
        <w:t>International Relations and Diplomacy</w:t>
      </w:r>
      <w:r w:rsidRPr="003D3773">
        <w:rPr>
          <w:rFonts w:cs="Times New Roman"/>
          <w:color w:val="222222"/>
          <w:szCs w:val="24"/>
          <w:shd w:val="clear" w:color="auto" w:fill="FFFFFF"/>
        </w:rPr>
        <w:t>, </w:t>
      </w:r>
      <w:r w:rsidRPr="003D3773">
        <w:rPr>
          <w:rFonts w:cs="Times New Roman"/>
          <w:i/>
          <w:iCs/>
          <w:color w:val="222222"/>
          <w:szCs w:val="24"/>
          <w:shd w:val="clear" w:color="auto" w:fill="FFFFFF"/>
        </w:rPr>
        <w:t>5</w:t>
      </w:r>
      <w:r w:rsidRPr="003D3773">
        <w:rPr>
          <w:rFonts w:cs="Times New Roman"/>
          <w:color w:val="222222"/>
          <w:szCs w:val="24"/>
          <w:shd w:val="clear" w:color="auto" w:fill="FFFFFF"/>
        </w:rPr>
        <w:t>(5), pp.241-257.</w:t>
      </w:r>
    </w:p>
    <w:p w14:paraId="53573FDC"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 xml:space="preserve">Conlon, T., Cotter, J. and </w:t>
      </w:r>
      <w:proofErr w:type="spellStart"/>
      <w:r w:rsidRPr="003D3773">
        <w:rPr>
          <w:rFonts w:cs="Times New Roman"/>
          <w:color w:val="222222"/>
          <w:szCs w:val="24"/>
          <w:shd w:val="clear" w:color="auto" w:fill="FFFFFF"/>
        </w:rPr>
        <w:t>Gençay</w:t>
      </w:r>
      <w:proofErr w:type="spellEnd"/>
      <w:r w:rsidRPr="003D3773">
        <w:rPr>
          <w:rFonts w:cs="Times New Roman"/>
          <w:color w:val="222222"/>
          <w:szCs w:val="24"/>
          <w:shd w:val="clear" w:color="auto" w:fill="FFFFFF"/>
        </w:rPr>
        <w:t>, R. (2016) Commodity futures hedging, risk aversion and the hedging horizon. </w:t>
      </w:r>
      <w:r w:rsidRPr="003D3773">
        <w:rPr>
          <w:rFonts w:cs="Times New Roman"/>
          <w:i/>
          <w:iCs/>
          <w:color w:val="222222"/>
          <w:szCs w:val="24"/>
          <w:shd w:val="clear" w:color="auto" w:fill="FFFFFF"/>
        </w:rPr>
        <w:t>The European Journal of Finance</w:t>
      </w:r>
      <w:r w:rsidRPr="003D3773">
        <w:rPr>
          <w:rFonts w:cs="Times New Roman"/>
          <w:color w:val="222222"/>
          <w:szCs w:val="24"/>
          <w:shd w:val="clear" w:color="auto" w:fill="FFFFFF"/>
        </w:rPr>
        <w:t>, </w:t>
      </w:r>
      <w:r w:rsidRPr="003D3773">
        <w:rPr>
          <w:rFonts w:cs="Times New Roman"/>
          <w:i/>
          <w:iCs/>
          <w:color w:val="222222"/>
          <w:szCs w:val="24"/>
          <w:shd w:val="clear" w:color="auto" w:fill="FFFFFF"/>
        </w:rPr>
        <w:t>22</w:t>
      </w:r>
      <w:r w:rsidRPr="003D3773">
        <w:rPr>
          <w:rFonts w:cs="Times New Roman"/>
          <w:color w:val="222222"/>
          <w:szCs w:val="24"/>
          <w:shd w:val="clear" w:color="auto" w:fill="FFFFFF"/>
        </w:rPr>
        <w:t>(15), pp.1534-1560.</w:t>
      </w:r>
    </w:p>
    <w:p w14:paraId="5539AE2B"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Edwards, J.D. (2020) </w:t>
      </w:r>
      <w:r w:rsidRPr="003D3773">
        <w:rPr>
          <w:rFonts w:cs="Times New Roman"/>
          <w:i/>
          <w:iCs/>
          <w:color w:val="222222"/>
          <w:szCs w:val="24"/>
          <w:shd w:val="clear" w:color="auto" w:fill="FFFFFF"/>
        </w:rPr>
        <w:t>History of public accounting in the United States</w:t>
      </w:r>
      <w:r w:rsidRPr="003D3773">
        <w:rPr>
          <w:rFonts w:cs="Times New Roman"/>
          <w:color w:val="222222"/>
          <w:szCs w:val="24"/>
          <w:shd w:val="clear" w:color="auto" w:fill="FFFFFF"/>
        </w:rPr>
        <w:t>. Routledge.</w:t>
      </w:r>
    </w:p>
    <w:p w14:paraId="20DB79E5" w14:textId="77777777" w:rsidR="003D3773" w:rsidRPr="003D3773" w:rsidRDefault="003D3773" w:rsidP="003D3773">
      <w:pPr>
        <w:ind w:left="720" w:hanging="720"/>
        <w:rPr>
          <w:rFonts w:cs="Times New Roman"/>
          <w:color w:val="222222"/>
          <w:szCs w:val="24"/>
          <w:shd w:val="clear" w:color="auto" w:fill="FFFFFF"/>
        </w:rPr>
      </w:pPr>
      <w:proofErr w:type="spellStart"/>
      <w:r w:rsidRPr="003D3773">
        <w:rPr>
          <w:rFonts w:cs="Times New Roman"/>
          <w:color w:val="222222"/>
          <w:szCs w:val="24"/>
          <w:shd w:val="clear" w:color="auto" w:fill="FFFFFF"/>
        </w:rPr>
        <w:t>Eiteman</w:t>
      </w:r>
      <w:proofErr w:type="spellEnd"/>
      <w:r w:rsidRPr="003D3773">
        <w:rPr>
          <w:rFonts w:cs="Times New Roman"/>
          <w:color w:val="222222"/>
          <w:szCs w:val="24"/>
          <w:shd w:val="clear" w:color="auto" w:fill="FFFFFF"/>
        </w:rPr>
        <w:t>, D.K., Stonehill, A.I. and Moffett, M.H. (2016) </w:t>
      </w:r>
      <w:r w:rsidRPr="003D3773">
        <w:rPr>
          <w:rFonts w:cs="Times New Roman"/>
          <w:i/>
          <w:iCs/>
          <w:color w:val="222222"/>
          <w:szCs w:val="24"/>
          <w:shd w:val="clear" w:color="auto" w:fill="FFFFFF"/>
        </w:rPr>
        <w:t>Multinational business finance</w:t>
      </w:r>
      <w:r w:rsidRPr="003D3773">
        <w:rPr>
          <w:rFonts w:cs="Times New Roman"/>
          <w:color w:val="222222"/>
          <w:szCs w:val="24"/>
          <w:shd w:val="clear" w:color="auto" w:fill="FFFFFF"/>
        </w:rPr>
        <w:t>. Pearson.</w:t>
      </w:r>
    </w:p>
    <w:p w14:paraId="1EE00A9A"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Eun, C.S., Resnick, B.G. and Chuluun, T. (2021) </w:t>
      </w:r>
      <w:r w:rsidRPr="003D3773">
        <w:rPr>
          <w:rFonts w:cs="Times New Roman"/>
          <w:i/>
          <w:iCs/>
          <w:color w:val="222222"/>
          <w:szCs w:val="24"/>
          <w:shd w:val="clear" w:color="auto" w:fill="FFFFFF"/>
        </w:rPr>
        <w:t>International financial management</w:t>
      </w:r>
      <w:r w:rsidRPr="003D3773">
        <w:rPr>
          <w:rFonts w:cs="Times New Roman"/>
          <w:color w:val="222222"/>
          <w:szCs w:val="24"/>
          <w:shd w:val="clear" w:color="auto" w:fill="FFFFFF"/>
        </w:rPr>
        <w:t>. McGraw-Hill.</w:t>
      </w:r>
    </w:p>
    <w:p w14:paraId="14038991" w14:textId="77777777" w:rsidR="003D3773" w:rsidRPr="003D3773" w:rsidRDefault="003D3773" w:rsidP="003D3773">
      <w:pPr>
        <w:ind w:left="720" w:hanging="720"/>
        <w:rPr>
          <w:rFonts w:cs="Times New Roman"/>
          <w:color w:val="222222"/>
          <w:szCs w:val="24"/>
          <w:shd w:val="clear" w:color="auto" w:fill="FFFFFF"/>
        </w:rPr>
      </w:pPr>
      <w:proofErr w:type="spellStart"/>
      <w:r w:rsidRPr="003D3773">
        <w:rPr>
          <w:rFonts w:cs="Times New Roman"/>
          <w:color w:val="222222"/>
          <w:szCs w:val="24"/>
          <w:shd w:val="clear" w:color="auto" w:fill="FFFFFF"/>
        </w:rPr>
        <w:t>Hendrawan</w:t>
      </w:r>
      <w:proofErr w:type="spellEnd"/>
      <w:r w:rsidRPr="003D3773">
        <w:rPr>
          <w:rFonts w:cs="Times New Roman"/>
          <w:color w:val="222222"/>
          <w:szCs w:val="24"/>
          <w:shd w:val="clear" w:color="auto" w:fill="FFFFFF"/>
        </w:rPr>
        <w:t>, R. (2017) Forward, forward option, and no hedging which one is the best for managing currency risk. </w:t>
      </w:r>
      <w:proofErr w:type="spellStart"/>
      <w:r w:rsidRPr="003D3773">
        <w:rPr>
          <w:rFonts w:cs="Times New Roman"/>
          <w:i/>
          <w:iCs/>
          <w:color w:val="222222"/>
          <w:szCs w:val="24"/>
          <w:shd w:val="clear" w:color="auto" w:fill="FFFFFF"/>
        </w:rPr>
        <w:t>Jurnal</w:t>
      </w:r>
      <w:proofErr w:type="spellEnd"/>
      <w:r w:rsidRPr="003D3773">
        <w:rPr>
          <w:rFonts w:cs="Times New Roman"/>
          <w:i/>
          <w:iCs/>
          <w:color w:val="222222"/>
          <w:szCs w:val="24"/>
          <w:shd w:val="clear" w:color="auto" w:fill="FFFFFF"/>
        </w:rPr>
        <w:t xml:space="preserve"> </w:t>
      </w:r>
      <w:proofErr w:type="spellStart"/>
      <w:r w:rsidRPr="003D3773">
        <w:rPr>
          <w:rFonts w:cs="Times New Roman"/>
          <w:i/>
          <w:iCs/>
          <w:color w:val="222222"/>
          <w:szCs w:val="24"/>
          <w:shd w:val="clear" w:color="auto" w:fill="FFFFFF"/>
        </w:rPr>
        <w:t>Keuangan</w:t>
      </w:r>
      <w:proofErr w:type="spellEnd"/>
      <w:r w:rsidRPr="003D3773">
        <w:rPr>
          <w:rFonts w:cs="Times New Roman"/>
          <w:i/>
          <w:iCs/>
          <w:color w:val="222222"/>
          <w:szCs w:val="24"/>
          <w:shd w:val="clear" w:color="auto" w:fill="FFFFFF"/>
        </w:rPr>
        <w:t xml:space="preserve"> dan </w:t>
      </w:r>
      <w:proofErr w:type="spellStart"/>
      <w:r w:rsidRPr="003D3773">
        <w:rPr>
          <w:rFonts w:cs="Times New Roman"/>
          <w:i/>
          <w:iCs/>
          <w:color w:val="222222"/>
          <w:szCs w:val="24"/>
          <w:shd w:val="clear" w:color="auto" w:fill="FFFFFF"/>
        </w:rPr>
        <w:t>Perbankan</w:t>
      </w:r>
      <w:proofErr w:type="spellEnd"/>
      <w:r w:rsidRPr="003D3773">
        <w:rPr>
          <w:rFonts w:cs="Times New Roman"/>
          <w:color w:val="222222"/>
          <w:szCs w:val="24"/>
          <w:shd w:val="clear" w:color="auto" w:fill="FFFFFF"/>
        </w:rPr>
        <w:t>, </w:t>
      </w:r>
      <w:r w:rsidRPr="003D3773">
        <w:rPr>
          <w:rFonts w:cs="Times New Roman"/>
          <w:i/>
          <w:iCs/>
          <w:color w:val="222222"/>
          <w:szCs w:val="24"/>
          <w:shd w:val="clear" w:color="auto" w:fill="FFFFFF"/>
        </w:rPr>
        <w:t>21</w:t>
      </w:r>
      <w:r w:rsidRPr="003D3773">
        <w:rPr>
          <w:rFonts w:cs="Times New Roman"/>
          <w:color w:val="222222"/>
          <w:szCs w:val="24"/>
          <w:shd w:val="clear" w:color="auto" w:fill="FFFFFF"/>
        </w:rPr>
        <w:t>(3), pp.356-365.</w:t>
      </w:r>
    </w:p>
    <w:p w14:paraId="66C14E6C" w14:textId="77777777" w:rsidR="003D3773" w:rsidRPr="003D3773" w:rsidRDefault="003D3773" w:rsidP="003D3773">
      <w:pPr>
        <w:ind w:left="720" w:hanging="720"/>
        <w:rPr>
          <w:rFonts w:cs="Times New Roman"/>
          <w:szCs w:val="24"/>
        </w:rPr>
      </w:pPr>
      <w:r w:rsidRPr="003D3773">
        <w:rPr>
          <w:rFonts w:cs="Times New Roman"/>
          <w:szCs w:val="24"/>
        </w:rPr>
        <w:t xml:space="preserve">Kenton, W. and Ganti, A. (2022) </w:t>
      </w:r>
      <w:r w:rsidRPr="003D3773">
        <w:rPr>
          <w:rFonts w:cs="Times New Roman"/>
          <w:i/>
          <w:iCs/>
          <w:szCs w:val="24"/>
        </w:rPr>
        <w:t>Transaction exposure: Definition, example, hedging strategies</w:t>
      </w:r>
      <w:r w:rsidRPr="003D3773">
        <w:rPr>
          <w:rFonts w:cs="Times New Roman"/>
          <w:szCs w:val="24"/>
        </w:rPr>
        <w:t xml:space="preserve">, </w:t>
      </w:r>
      <w:r w:rsidRPr="003D3773">
        <w:rPr>
          <w:rFonts w:cs="Times New Roman"/>
          <w:i/>
          <w:iCs/>
          <w:szCs w:val="24"/>
        </w:rPr>
        <w:t>Investopedia</w:t>
      </w:r>
      <w:r w:rsidRPr="003D3773">
        <w:rPr>
          <w:rFonts w:cs="Times New Roman"/>
          <w:szCs w:val="24"/>
        </w:rPr>
        <w:t xml:space="preserve">. Available at: </w:t>
      </w:r>
      <w:hyperlink r:id="rId8" w:history="1">
        <w:r w:rsidRPr="003D3773">
          <w:rPr>
            <w:rStyle w:val="a7"/>
            <w:rFonts w:cs="Times New Roman"/>
            <w:szCs w:val="24"/>
          </w:rPr>
          <w:t>https://www.investopedia.com/terms/t/transactionexposure.asp</w:t>
        </w:r>
      </w:hyperlink>
      <w:r w:rsidRPr="003D3773">
        <w:rPr>
          <w:rFonts w:cs="Times New Roman"/>
          <w:szCs w:val="24"/>
        </w:rPr>
        <w:t xml:space="preserve"> (Accessed: 25 March 2024).</w:t>
      </w:r>
    </w:p>
    <w:p w14:paraId="20EA81C4"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Minchin, T.J. (2021) A world class industry: Honda in Alabama and the rise of the foreign-owned auto sector. </w:t>
      </w:r>
      <w:r w:rsidRPr="003D3773">
        <w:rPr>
          <w:rFonts w:cs="Times New Roman"/>
          <w:i/>
          <w:iCs/>
          <w:color w:val="222222"/>
          <w:szCs w:val="24"/>
          <w:shd w:val="clear" w:color="auto" w:fill="FFFFFF"/>
        </w:rPr>
        <w:t>Journal of Contemporary History</w:t>
      </w:r>
      <w:r w:rsidRPr="003D3773">
        <w:rPr>
          <w:rFonts w:cs="Times New Roman"/>
          <w:color w:val="222222"/>
          <w:szCs w:val="24"/>
          <w:shd w:val="clear" w:color="auto" w:fill="FFFFFF"/>
        </w:rPr>
        <w:t>, </w:t>
      </w:r>
      <w:r w:rsidRPr="003D3773">
        <w:rPr>
          <w:rFonts w:cs="Times New Roman"/>
          <w:i/>
          <w:iCs/>
          <w:color w:val="222222"/>
          <w:szCs w:val="24"/>
          <w:shd w:val="clear" w:color="auto" w:fill="FFFFFF"/>
        </w:rPr>
        <w:t>56</w:t>
      </w:r>
      <w:r w:rsidRPr="003D3773">
        <w:rPr>
          <w:rFonts w:cs="Times New Roman"/>
          <w:color w:val="222222"/>
          <w:szCs w:val="24"/>
          <w:shd w:val="clear" w:color="auto" w:fill="FFFFFF"/>
        </w:rPr>
        <w:t>(3), pp.789-816.</w:t>
      </w:r>
    </w:p>
    <w:p w14:paraId="5F8111B2" w14:textId="77777777" w:rsidR="003D3773" w:rsidRPr="003D3773" w:rsidRDefault="003D3773" w:rsidP="003D3773">
      <w:pPr>
        <w:ind w:left="720" w:hanging="720"/>
        <w:rPr>
          <w:rFonts w:cs="Times New Roman"/>
          <w:color w:val="222222"/>
          <w:szCs w:val="24"/>
          <w:shd w:val="clear" w:color="auto" w:fill="FFFFFF"/>
        </w:rPr>
      </w:pPr>
      <w:proofErr w:type="spellStart"/>
      <w:r w:rsidRPr="003D3773">
        <w:rPr>
          <w:rFonts w:cs="Times New Roman"/>
          <w:color w:val="222222"/>
          <w:szCs w:val="24"/>
          <w:shd w:val="clear" w:color="auto" w:fill="FFFFFF"/>
        </w:rPr>
        <w:t>Morstyn</w:t>
      </w:r>
      <w:proofErr w:type="spellEnd"/>
      <w:r w:rsidRPr="003D3773">
        <w:rPr>
          <w:rFonts w:cs="Times New Roman"/>
          <w:color w:val="222222"/>
          <w:szCs w:val="24"/>
          <w:shd w:val="clear" w:color="auto" w:fill="FFFFFF"/>
        </w:rPr>
        <w:t xml:space="preserve">, T., </w:t>
      </w:r>
      <w:proofErr w:type="spellStart"/>
      <w:r w:rsidRPr="003D3773">
        <w:rPr>
          <w:rFonts w:cs="Times New Roman"/>
          <w:color w:val="222222"/>
          <w:szCs w:val="24"/>
          <w:shd w:val="clear" w:color="auto" w:fill="FFFFFF"/>
        </w:rPr>
        <w:t>Teytelboym</w:t>
      </w:r>
      <w:proofErr w:type="spellEnd"/>
      <w:r w:rsidRPr="003D3773">
        <w:rPr>
          <w:rFonts w:cs="Times New Roman"/>
          <w:color w:val="222222"/>
          <w:szCs w:val="24"/>
          <w:shd w:val="clear" w:color="auto" w:fill="FFFFFF"/>
        </w:rPr>
        <w:t>, A. and McCulloch, M.D. (2018) Bilateral contract networks for peer-to-peer energy trading. </w:t>
      </w:r>
      <w:r w:rsidRPr="003D3773">
        <w:rPr>
          <w:rFonts w:cs="Times New Roman"/>
          <w:i/>
          <w:iCs/>
          <w:color w:val="222222"/>
          <w:szCs w:val="24"/>
          <w:shd w:val="clear" w:color="auto" w:fill="FFFFFF"/>
        </w:rPr>
        <w:t>IEEE Transactions on Smart Grid</w:t>
      </w:r>
      <w:r w:rsidRPr="003D3773">
        <w:rPr>
          <w:rFonts w:cs="Times New Roman"/>
          <w:color w:val="222222"/>
          <w:szCs w:val="24"/>
          <w:shd w:val="clear" w:color="auto" w:fill="FFFFFF"/>
        </w:rPr>
        <w:t>, </w:t>
      </w:r>
      <w:r w:rsidRPr="003D3773">
        <w:rPr>
          <w:rFonts w:cs="Times New Roman"/>
          <w:i/>
          <w:iCs/>
          <w:color w:val="222222"/>
          <w:szCs w:val="24"/>
          <w:shd w:val="clear" w:color="auto" w:fill="FFFFFF"/>
        </w:rPr>
        <w:t>10</w:t>
      </w:r>
      <w:r w:rsidRPr="003D3773">
        <w:rPr>
          <w:rFonts w:cs="Times New Roman"/>
          <w:color w:val="222222"/>
          <w:szCs w:val="24"/>
          <w:shd w:val="clear" w:color="auto" w:fill="FFFFFF"/>
        </w:rPr>
        <w:t>(2), pp.2026-2035.</w:t>
      </w:r>
    </w:p>
    <w:p w14:paraId="7590BD2A" w14:textId="77777777" w:rsidR="003D3773" w:rsidRPr="003D3773" w:rsidRDefault="003D3773" w:rsidP="003D3773">
      <w:pPr>
        <w:ind w:left="720" w:hanging="720"/>
        <w:rPr>
          <w:rFonts w:cs="Times New Roman"/>
          <w:szCs w:val="24"/>
        </w:rPr>
      </w:pPr>
      <w:r w:rsidRPr="003D3773">
        <w:rPr>
          <w:rFonts w:cs="Times New Roman"/>
          <w:szCs w:val="24"/>
        </w:rPr>
        <w:lastRenderedPageBreak/>
        <w:t xml:space="preserve">Picardo, E. (2023) </w:t>
      </w:r>
      <w:r w:rsidRPr="003D3773">
        <w:rPr>
          <w:rFonts w:cs="Times New Roman"/>
          <w:i/>
          <w:iCs/>
          <w:szCs w:val="24"/>
        </w:rPr>
        <w:t>Exchange rate risk: Economic exposure</w:t>
      </w:r>
      <w:r w:rsidRPr="003D3773">
        <w:rPr>
          <w:rFonts w:cs="Times New Roman"/>
          <w:szCs w:val="24"/>
        </w:rPr>
        <w:t xml:space="preserve">, </w:t>
      </w:r>
      <w:r w:rsidRPr="003D3773">
        <w:rPr>
          <w:rFonts w:cs="Times New Roman"/>
          <w:i/>
          <w:iCs/>
          <w:szCs w:val="24"/>
        </w:rPr>
        <w:t>Investopedia</w:t>
      </w:r>
      <w:r w:rsidRPr="003D3773">
        <w:rPr>
          <w:rFonts w:cs="Times New Roman"/>
          <w:szCs w:val="24"/>
        </w:rPr>
        <w:t xml:space="preserve">. Available at: </w:t>
      </w:r>
      <w:hyperlink r:id="rId9" w:history="1">
        <w:r w:rsidRPr="003D3773">
          <w:rPr>
            <w:rStyle w:val="a7"/>
            <w:rFonts w:cs="Times New Roman"/>
            <w:szCs w:val="24"/>
          </w:rPr>
          <w:t>https://www.investopedia.com/articles/forex/021114/exchange-rate-risk-economic-exposure.asp</w:t>
        </w:r>
      </w:hyperlink>
      <w:r w:rsidRPr="003D3773">
        <w:rPr>
          <w:rFonts w:cs="Times New Roman"/>
          <w:szCs w:val="24"/>
        </w:rPr>
        <w:t xml:space="preserve"> (Accessed: 25 March 2024).</w:t>
      </w:r>
    </w:p>
    <w:p w14:paraId="4CB5FCDA"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Titman, S., Keown, A.J. and Martin, J.D. (2018) </w:t>
      </w:r>
      <w:r w:rsidRPr="003D3773">
        <w:rPr>
          <w:rFonts w:cs="Times New Roman"/>
          <w:i/>
          <w:iCs/>
          <w:color w:val="222222"/>
          <w:szCs w:val="24"/>
          <w:shd w:val="clear" w:color="auto" w:fill="FFFFFF"/>
        </w:rPr>
        <w:t>Financial management: Principles and applications</w:t>
      </w:r>
      <w:r w:rsidRPr="003D3773">
        <w:rPr>
          <w:rFonts w:cs="Times New Roman"/>
          <w:color w:val="222222"/>
          <w:szCs w:val="24"/>
          <w:shd w:val="clear" w:color="auto" w:fill="FFFFFF"/>
        </w:rPr>
        <w:t>. Pearson.</w:t>
      </w:r>
    </w:p>
    <w:p w14:paraId="7CB21620"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Tiwary, A.R. (2019) Study of currency risk and the hedging strategies. </w:t>
      </w:r>
      <w:r w:rsidRPr="003D3773">
        <w:rPr>
          <w:rFonts w:cs="Times New Roman"/>
          <w:i/>
          <w:iCs/>
          <w:color w:val="222222"/>
          <w:szCs w:val="24"/>
          <w:shd w:val="clear" w:color="auto" w:fill="FFFFFF"/>
        </w:rPr>
        <w:t xml:space="preserve">Journal of Advanced Studies </w:t>
      </w:r>
      <w:proofErr w:type="gramStart"/>
      <w:r w:rsidRPr="003D3773">
        <w:rPr>
          <w:rFonts w:cs="Times New Roman"/>
          <w:i/>
          <w:iCs/>
          <w:color w:val="222222"/>
          <w:szCs w:val="24"/>
          <w:shd w:val="clear" w:color="auto" w:fill="FFFFFF"/>
        </w:rPr>
        <w:t>In</w:t>
      </w:r>
      <w:proofErr w:type="gramEnd"/>
      <w:r w:rsidRPr="003D3773">
        <w:rPr>
          <w:rFonts w:cs="Times New Roman"/>
          <w:i/>
          <w:iCs/>
          <w:color w:val="222222"/>
          <w:szCs w:val="24"/>
          <w:shd w:val="clear" w:color="auto" w:fill="FFFFFF"/>
        </w:rPr>
        <w:t xml:space="preserve"> Finance (JASF)</w:t>
      </w:r>
      <w:r w:rsidRPr="003D3773">
        <w:rPr>
          <w:rFonts w:cs="Times New Roman"/>
          <w:color w:val="222222"/>
          <w:szCs w:val="24"/>
          <w:shd w:val="clear" w:color="auto" w:fill="FFFFFF"/>
        </w:rPr>
        <w:t>, </w:t>
      </w:r>
      <w:r w:rsidRPr="003D3773">
        <w:rPr>
          <w:rFonts w:cs="Times New Roman"/>
          <w:i/>
          <w:iCs/>
          <w:color w:val="222222"/>
          <w:szCs w:val="24"/>
          <w:shd w:val="clear" w:color="auto" w:fill="FFFFFF"/>
        </w:rPr>
        <w:t>10</w:t>
      </w:r>
      <w:r w:rsidRPr="003D3773">
        <w:rPr>
          <w:rFonts w:cs="Times New Roman"/>
          <w:color w:val="222222"/>
          <w:szCs w:val="24"/>
          <w:shd w:val="clear" w:color="auto" w:fill="FFFFFF"/>
        </w:rPr>
        <w:t>(19), pp.45-55.</w:t>
      </w:r>
    </w:p>
    <w:p w14:paraId="5707CF25" w14:textId="77777777" w:rsidR="003D3773" w:rsidRPr="003D3773" w:rsidRDefault="003D3773" w:rsidP="003D3773">
      <w:pPr>
        <w:ind w:left="720" w:hanging="720"/>
        <w:rPr>
          <w:rFonts w:cs="Times New Roman"/>
          <w:color w:val="222222"/>
          <w:szCs w:val="24"/>
          <w:shd w:val="clear" w:color="auto" w:fill="FFFFFF"/>
        </w:rPr>
      </w:pPr>
      <w:r w:rsidRPr="003D3773">
        <w:rPr>
          <w:rFonts w:cs="Times New Roman"/>
          <w:color w:val="222222"/>
          <w:szCs w:val="24"/>
          <w:shd w:val="clear" w:color="auto" w:fill="FFFFFF"/>
        </w:rPr>
        <w:t xml:space="preserve">Valentini, F. and </w:t>
      </w:r>
      <w:proofErr w:type="spellStart"/>
      <w:r w:rsidRPr="003D3773">
        <w:rPr>
          <w:rFonts w:cs="Times New Roman"/>
          <w:color w:val="222222"/>
          <w:szCs w:val="24"/>
          <w:shd w:val="clear" w:color="auto" w:fill="FFFFFF"/>
        </w:rPr>
        <w:t>Pegoretti</w:t>
      </w:r>
      <w:proofErr w:type="spellEnd"/>
      <w:r w:rsidRPr="003D3773">
        <w:rPr>
          <w:rFonts w:cs="Times New Roman"/>
          <w:color w:val="222222"/>
          <w:szCs w:val="24"/>
          <w:shd w:val="clear" w:color="auto" w:fill="FFFFFF"/>
        </w:rPr>
        <w:t>, A. (2022) End-of-life options of tyres. A review. </w:t>
      </w:r>
      <w:r w:rsidRPr="003D3773">
        <w:rPr>
          <w:rFonts w:cs="Times New Roman"/>
          <w:i/>
          <w:iCs/>
          <w:color w:val="222222"/>
          <w:szCs w:val="24"/>
          <w:shd w:val="clear" w:color="auto" w:fill="FFFFFF"/>
        </w:rPr>
        <w:t>Advanced Industrial and Engineering Polymer Research</w:t>
      </w:r>
      <w:r w:rsidRPr="003D3773">
        <w:rPr>
          <w:rFonts w:cs="Times New Roman"/>
          <w:color w:val="222222"/>
          <w:szCs w:val="24"/>
          <w:shd w:val="clear" w:color="auto" w:fill="FFFFFF"/>
        </w:rPr>
        <w:t>, </w:t>
      </w:r>
      <w:r w:rsidRPr="003D3773">
        <w:rPr>
          <w:rFonts w:cs="Times New Roman"/>
          <w:i/>
          <w:iCs/>
          <w:color w:val="222222"/>
          <w:szCs w:val="24"/>
          <w:shd w:val="clear" w:color="auto" w:fill="FFFFFF"/>
        </w:rPr>
        <w:t>5</w:t>
      </w:r>
      <w:r w:rsidRPr="003D3773">
        <w:rPr>
          <w:rFonts w:cs="Times New Roman"/>
          <w:color w:val="222222"/>
          <w:szCs w:val="24"/>
          <w:shd w:val="clear" w:color="auto" w:fill="FFFFFF"/>
        </w:rPr>
        <w:t>(4), pp.203-213.</w:t>
      </w:r>
    </w:p>
    <w:sectPr w:rsidR="003D3773" w:rsidRPr="003D3773">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3292A" w14:textId="77777777" w:rsidR="00327A72" w:rsidRDefault="00327A72" w:rsidP="001114A5">
      <w:pPr>
        <w:spacing w:line="240" w:lineRule="auto"/>
      </w:pPr>
      <w:r>
        <w:separator/>
      </w:r>
    </w:p>
  </w:endnote>
  <w:endnote w:type="continuationSeparator" w:id="0">
    <w:p w14:paraId="701A782F" w14:textId="77777777" w:rsidR="00327A72" w:rsidRDefault="00327A72" w:rsidP="001114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8E61D" w14:textId="77777777" w:rsidR="00327A72" w:rsidRDefault="00327A72" w:rsidP="001114A5">
      <w:pPr>
        <w:spacing w:line="240" w:lineRule="auto"/>
      </w:pPr>
      <w:r>
        <w:separator/>
      </w:r>
    </w:p>
  </w:footnote>
  <w:footnote w:type="continuationSeparator" w:id="0">
    <w:p w14:paraId="021B55EB" w14:textId="77777777" w:rsidR="00327A72" w:rsidRDefault="00327A72" w:rsidP="001114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50111" w14:textId="77777777" w:rsidR="001114A5" w:rsidRDefault="001114A5">
    <w:pPr>
      <w:pStyle w:val="a3"/>
      <w:jc w:val="right"/>
    </w:pPr>
    <w:r>
      <w:t xml:space="preserve">Foreign Exchange Risks     </w:t>
    </w:r>
    <w:sdt>
      <w:sdtPr>
        <w:id w:val="-46235881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03E3E">
          <w:rPr>
            <w:noProof/>
          </w:rPr>
          <w:t>9</w:t>
        </w:r>
        <w:r>
          <w:rPr>
            <w:noProof/>
          </w:rPr>
          <w:fldChar w:fldCharType="end"/>
        </w:r>
      </w:sdtContent>
    </w:sdt>
  </w:p>
  <w:p w14:paraId="0B86CABC" w14:textId="77777777" w:rsidR="001114A5" w:rsidRDefault="001114A5" w:rsidP="001114A5">
    <w:pPr>
      <w:pStyle w:val="a3"/>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E4F8E"/>
    <w:multiLevelType w:val="multilevel"/>
    <w:tmpl w:val="692ADAFA"/>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4110147"/>
    <w:multiLevelType w:val="multilevel"/>
    <w:tmpl w:val="889402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686246955">
    <w:abstractNumId w:val="1"/>
  </w:num>
  <w:num w:numId="2" w16cid:durableId="1604536642">
    <w:abstractNumId w:val="0"/>
  </w:num>
  <w:num w:numId="3" w16cid:durableId="1166477451">
    <w:abstractNumId w:val="0"/>
  </w:num>
  <w:num w:numId="4" w16cid:durableId="127169754">
    <w:abstractNumId w:val="0"/>
  </w:num>
  <w:num w:numId="5" w16cid:durableId="1689520892">
    <w:abstractNumId w:val="0"/>
  </w:num>
  <w:num w:numId="6" w16cid:durableId="1630471726">
    <w:abstractNumId w:val="0"/>
  </w:num>
  <w:num w:numId="7" w16cid:durableId="867764029">
    <w:abstractNumId w:val="0"/>
  </w:num>
  <w:num w:numId="8" w16cid:durableId="382482641">
    <w:abstractNumId w:val="0"/>
  </w:num>
  <w:num w:numId="9" w16cid:durableId="1145319327">
    <w:abstractNumId w:val="0"/>
  </w:num>
  <w:num w:numId="10" w16cid:durableId="551311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W1tDQ0NTI3NrO0NDJU0lEKTi0uzszPAykwqQUAS99pViwAAAA="/>
  </w:docVars>
  <w:rsids>
    <w:rsidRoot w:val="000A5B68"/>
    <w:rsid w:val="00002FA0"/>
    <w:rsid w:val="000134DE"/>
    <w:rsid w:val="00017B2B"/>
    <w:rsid w:val="00020BF0"/>
    <w:rsid w:val="0002614C"/>
    <w:rsid w:val="000621C6"/>
    <w:rsid w:val="00063DA0"/>
    <w:rsid w:val="00065B8F"/>
    <w:rsid w:val="00093D14"/>
    <w:rsid w:val="000A1950"/>
    <w:rsid w:val="000A5B68"/>
    <w:rsid w:val="000C2744"/>
    <w:rsid w:val="000C6073"/>
    <w:rsid w:val="000F60DD"/>
    <w:rsid w:val="001114A5"/>
    <w:rsid w:val="0011568D"/>
    <w:rsid w:val="00154FF6"/>
    <w:rsid w:val="001569CA"/>
    <w:rsid w:val="00175D96"/>
    <w:rsid w:val="001815EE"/>
    <w:rsid w:val="001A3E79"/>
    <w:rsid w:val="001E0C55"/>
    <w:rsid w:val="001E24D1"/>
    <w:rsid w:val="001F7CFF"/>
    <w:rsid w:val="00210B5C"/>
    <w:rsid w:val="002118C0"/>
    <w:rsid w:val="00223A5C"/>
    <w:rsid w:val="00242AAA"/>
    <w:rsid w:val="00274D5B"/>
    <w:rsid w:val="00287EEA"/>
    <w:rsid w:val="00297B32"/>
    <w:rsid w:val="002B3584"/>
    <w:rsid w:val="002C5F23"/>
    <w:rsid w:val="002F35F6"/>
    <w:rsid w:val="00327A72"/>
    <w:rsid w:val="003372B2"/>
    <w:rsid w:val="00367D7A"/>
    <w:rsid w:val="00382376"/>
    <w:rsid w:val="003B17E6"/>
    <w:rsid w:val="003D3773"/>
    <w:rsid w:val="003D473D"/>
    <w:rsid w:val="003E2CA1"/>
    <w:rsid w:val="0040223B"/>
    <w:rsid w:val="00406F4D"/>
    <w:rsid w:val="0042185B"/>
    <w:rsid w:val="00436F33"/>
    <w:rsid w:val="00444570"/>
    <w:rsid w:val="004531FF"/>
    <w:rsid w:val="00454A1A"/>
    <w:rsid w:val="004A560B"/>
    <w:rsid w:val="004B2825"/>
    <w:rsid w:val="004C39A6"/>
    <w:rsid w:val="004F0919"/>
    <w:rsid w:val="00501266"/>
    <w:rsid w:val="00505820"/>
    <w:rsid w:val="00507FE9"/>
    <w:rsid w:val="00514D8E"/>
    <w:rsid w:val="00545F7E"/>
    <w:rsid w:val="005565AB"/>
    <w:rsid w:val="0058005C"/>
    <w:rsid w:val="00587951"/>
    <w:rsid w:val="00594326"/>
    <w:rsid w:val="005A2C49"/>
    <w:rsid w:val="005A41C3"/>
    <w:rsid w:val="005A69C4"/>
    <w:rsid w:val="005C16CD"/>
    <w:rsid w:val="005E72BC"/>
    <w:rsid w:val="006466F3"/>
    <w:rsid w:val="006637B2"/>
    <w:rsid w:val="00675CDF"/>
    <w:rsid w:val="00677839"/>
    <w:rsid w:val="00681B0F"/>
    <w:rsid w:val="00684752"/>
    <w:rsid w:val="00685BE4"/>
    <w:rsid w:val="006962BC"/>
    <w:rsid w:val="006C4534"/>
    <w:rsid w:val="006D71E3"/>
    <w:rsid w:val="006F58DE"/>
    <w:rsid w:val="007210E4"/>
    <w:rsid w:val="00723015"/>
    <w:rsid w:val="007239D4"/>
    <w:rsid w:val="00731278"/>
    <w:rsid w:val="0073441E"/>
    <w:rsid w:val="00735EC2"/>
    <w:rsid w:val="00743AC3"/>
    <w:rsid w:val="00745499"/>
    <w:rsid w:val="00755579"/>
    <w:rsid w:val="0077501B"/>
    <w:rsid w:val="00775BA8"/>
    <w:rsid w:val="007773B3"/>
    <w:rsid w:val="00781297"/>
    <w:rsid w:val="007922FF"/>
    <w:rsid w:val="007976FF"/>
    <w:rsid w:val="007A2860"/>
    <w:rsid w:val="007E1A5E"/>
    <w:rsid w:val="007E477A"/>
    <w:rsid w:val="007E4A01"/>
    <w:rsid w:val="00816F22"/>
    <w:rsid w:val="00831B9B"/>
    <w:rsid w:val="00835C96"/>
    <w:rsid w:val="00841F35"/>
    <w:rsid w:val="00851FA0"/>
    <w:rsid w:val="00852EF9"/>
    <w:rsid w:val="00882866"/>
    <w:rsid w:val="00895284"/>
    <w:rsid w:val="008974E5"/>
    <w:rsid w:val="008B7600"/>
    <w:rsid w:val="008C04C6"/>
    <w:rsid w:val="008D0F86"/>
    <w:rsid w:val="008E0BDF"/>
    <w:rsid w:val="008F088E"/>
    <w:rsid w:val="008F40F8"/>
    <w:rsid w:val="00905868"/>
    <w:rsid w:val="0090712A"/>
    <w:rsid w:val="00910DD8"/>
    <w:rsid w:val="00924786"/>
    <w:rsid w:val="00964226"/>
    <w:rsid w:val="00983937"/>
    <w:rsid w:val="009A607E"/>
    <w:rsid w:val="009B6B0A"/>
    <w:rsid w:val="009C74E5"/>
    <w:rsid w:val="009D673B"/>
    <w:rsid w:val="009E6679"/>
    <w:rsid w:val="00A20528"/>
    <w:rsid w:val="00A21FDF"/>
    <w:rsid w:val="00A34844"/>
    <w:rsid w:val="00A47A9C"/>
    <w:rsid w:val="00A64D09"/>
    <w:rsid w:val="00A71C76"/>
    <w:rsid w:val="00A729AD"/>
    <w:rsid w:val="00A73ABE"/>
    <w:rsid w:val="00A8073A"/>
    <w:rsid w:val="00A8197F"/>
    <w:rsid w:val="00A94C0D"/>
    <w:rsid w:val="00AA3E84"/>
    <w:rsid w:val="00AA66BC"/>
    <w:rsid w:val="00AC4F71"/>
    <w:rsid w:val="00AC6ED0"/>
    <w:rsid w:val="00AE2832"/>
    <w:rsid w:val="00AE5535"/>
    <w:rsid w:val="00B05E47"/>
    <w:rsid w:val="00B24451"/>
    <w:rsid w:val="00B364A9"/>
    <w:rsid w:val="00B41BE2"/>
    <w:rsid w:val="00B43E52"/>
    <w:rsid w:val="00B82C49"/>
    <w:rsid w:val="00B86758"/>
    <w:rsid w:val="00B924A6"/>
    <w:rsid w:val="00BB0CD0"/>
    <w:rsid w:val="00BB7FC8"/>
    <w:rsid w:val="00BC6CEE"/>
    <w:rsid w:val="00BD2C08"/>
    <w:rsid w:val="00BD72A9"/>
    <w:rsid w:val="00BF0804"/>
    <w:rsid w:val="00BF2A0C"/>
    <w:rsid w:val="00C011A3"/>
    <w:rsid w:val="00C037BF"/>
    <w:rsid w:val="00C03E3E"/>
    <w:rsid w:val="00C05688"/>
    <w:rsid w:val="00C056EB"/>
    <w:rsid w:val="00C26F9D"/>
    <w:rsid w:val="00C31813"/>
    <w:rsid w:val="00C33621"/>
    <w:rsid w:val="00C3761B"/>
    <w:rsid w:val="00C40AF9"/>
    <w:rsid w:val="00C44622"/>
    <w:rsid w:val="00C5708E"/>
    <w:rsid w:val="00C7691A"/>
    <w:rsid w:val="00C82DD2"/>
    <w:rsid w:val="00C924E1"/>
    <w:rsid w:val="00CA39A9"/>
    <w:rsid w:val="00CB0EFC"/>
    <w:rsid w:val="00CD24BF"/>
    <w:rsid w:val="00CD279B"/>
    <w:rsid w:val="00CE6B49"/>
    <w:rsid w:val="00CE7464"/>
    <w:rsid w:val="00CF60EF"/>
    <w:rsid w:val="00D1139B"/>
    <w:rsid w:val="00D2317C"/>
    <w:rsid w:val="00D40330"/>
    <w:rsid w:val="00D54637"/>
    <w:rsid w:val="00D55D0B"/>
    <w:rsid w:val="00D725BF"/>
    <w:rsid w:val="00D75866"/>
    <w:rsid w:val="00DB4034"/>
    <w:rsid w:val="00DC28DE"/>
    <w:rsid w:val="00DC40A3"/>
    <w:rsid w:val="00DC62C9"/>
    <w:rsid w:val="00DE2665"/>
    <w:rsid w:val="00DE4772"/>
    <w:rsid w:val="00DF3C0F"/>
    <w:rsid w:val="00E10A6B"/>
    <w:rsid w:val="00E27680"/>
    <w:rsid w:val="00E338D3"/>
    <w:rsid w:val="00E56583"/>
    <w:rsid w:val="00E90E06"/>
    <w:rsid w:val="00E95173"/>
    <w:rsid w:val="00EB270C"/>
    <w:rsid w:val="00EC796D"/>
    <w:rsid w:val="00ED371E"/>
    <w:rsid w:val="00EF2C8B"/>
    <w:rsid w:val="00EF6B18"/>
    <w:rsid w:val="00F02E07"/>
    <w:rsid w:val="00F12BEA"/>
    <w:rsid w:val="00F23621"/>
    <w:rsid w:val="00F330E8"/>
    <w:rsid w:val="00F779FD"/>
    <w:rsid w:val="00F77EEA"/>
    <w:rsid w:val="00F813F8"/>
    <w:rsid w:val="00FE28E5"/>
    <w:rsid w:val="00FF2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6C7F9"/>
  <w15:chartTrackingRefBased/>
  <w15:docId w15:val="{88EB35DF-69F7-4A9B-8D26-16A6B8B51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autoRedefine/>
    <w:uiPriority w:val="9"/>
    <w:qFormat/>
    <w:rsid w:val="007976FF"/>
    <w:pPr>
      <w:keepNext/>
      <w:keepLines/>
      <w:numPr>
        <w:numId w:val="10"/>
      </w:numPr>
      <w:contextualSpacing/>
      <w:jc w:val="center"/>
      <w:outlineLvl w:val="0"/>
    </w:pPr>
    <w:rPr>
      <w:rFonts w:eastAsiaTheme="majorEastAsia" w:cstheme="majorBidi"/>
      <w:b/>
      <w:color w:val="000000" w:themeColor="text1"/>
      <w:szCs w:val="32"/>
    </w:rPr>
  </w:style>
  <w:style w:type="paragraph" w:styleId="2">
    <w:name w:val="heading 2"/>
    <w:basedOn w:val="a"/>
    <w:next w:val="a"/>
    <w:link w:val="20"/>
    <w:autoRedefine/>
    <w:uiPriority w:val="9"/>
    <w:unhideWhenUsed/>
    <w:qFormat/>
    <w:rsid w:val="007976FF"/>
    <w:pPr>
      <w:keepNext/>
      <w:keepLines/>
      <w:numPr>
        <w:ilvl w:val="1"/>
        <w:numId w:val="10"/>
      </w:numPr>
      <w:spacing w:before="40"/>
      <w:outlineLvl w:val="1"/>
    </w:pPr>
    <w:rPr>
      <w:rFonts w:eastAsiaTheme="majorEastAsia" w:cstheme="majorBidi"/>
      <w:b/>
      <w:szCs w:val="26"/>
    </w:rPr>
  </w:style>
  <w:style w:type="paragraph" w:styleId="3">
    <w:name w:val="heading 3"/>
    <w:basedOn w:val="a"/>
    <w:next w:val="a"/>
    <w:link w:val="30"/>
    <w:autoRedefine/>
    <w:uiPriority w:val="9"/>
    <w:unhideWhenUsed/>
    <w:qFormat/>
    <w:rsid w:val="007976FF"/>
    <w:pPr>
      <w:keepNext/>
      <w:keepLines/>
      <w:numPr>
        <w:ilvl w:val="2"/>
        <w:numId w:val="2"/>
      </w:numPr>
      <w:ind w:left="1004"/>
      <w:contextualSpacing/>
      <w:outlineLvl w:val="2"/>
    </w:pPr>
    <w:rPr>
      <w:rFonts w:eastAsiaTheme="majorEastAsia" w:cstheme="majorBidi"/>
      <w:b/>
      <w:szCs w:val="24"/>
    </w:rPr>
  </w:style>
  <w:style w:type="paragraph" w:styleId="4">
    <w:name w:val="heading 4"/>
    <w:basedOn w:val="a"/>
    <w:next w:val="a"/>
    <w:link w:val="40"/>
    <w:autoRedefine/>
    <w:uiPriority w:val="9"/>
    <w:unhideWhenUsed/>
    <w:qFormat/>
    <w:rsid w:val="007976FF"/>
    <w:pPr>
      <w:keepNext/>
      <w:keepLines/>
      <w:numPr>
        <w:ilvl w:val="3"/>
        <w:numId w:val="10"/>
      </w:numPr>
      <w:contextualSpacing/>
      <w:outlineLvl w:val="3"/>
    </w:pPr>
    <w:rPr>
      <w:rFonts w:eastAsiaTheme="majorEastAsia" w:cstheme="majorBidi"/>
      <w:b/>
      <w:i/>
      <w:iCs/>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C39A6"/>
    <w:rPr>
      <w:rFonts w:eastAsiaTheme="majorEastAsia" w:cstheme="majorBidi"/>
      <w:b/>
      <w:color w:val="000000" w:themeColor="text1"/>
      <w:szCs w:val="32"/>
    </w:rPr>
  </w:style>
  <w:style w:type="character" w:customStyle="1" w:styleId="20">
    <w:name w:val="Заглавие 2 Знак"/>
    <w:basedOn w:val="a0"/>
    <w:link w:val="2"/>
    <w:uiPriority w:val="9"/>
    <w:rsid w:val="00AE5535"/>
    <w:rPr>
      <w:rFonts w:eastAsiaTheme="majorEastAsia" w:cstheme="majorBidi"/>
      <w:b/>
      <w:szCs w:val="26"/>
    </w:rPr>
  </w:style>
  <w:style w:type="character" w:customStyle="1" w:styleId="30">
    <w:name w:val="Заглавие 3 Знак"/>
    <w:basedOn w:val="a0"/>
    <w:link w:val="3"/>
    <w:uiPriority w:val="9"/>
    <w:rsid w:val="007976FF"/>
    <w:rPr>
      <w:rFonts w:eastAsiaTheme="majorEastAsia" w:cstheme="majorBidi"/>
      <w:b/>
      <w:noProof/>
      <w:szCs w:val="24"/>
    </w:rPr>
  </w:style>
  <w:style w:type="character" w:customStyle="1" w:styleId="40">
    <w:name w:val="Заглавие 4 Знак"/>
    <w:basedOn w:val="a0"/>
    <w:link w:val="4"/>
    <w:uiPriority w:val="9"/>
    <w:rsid w:val="007976FF"/>
    <w:rPr>
      <w:rFonts w:eastAsiaTheme="majorEastAsia" w:cstheme="majorBidi"/>
      <w:b/>
      <w:i/>
      <w:iCs/>
      <w:noProof/>
      <w:color w:val="000000" w:themeColor="text1"/>
    </w:rPr>
  </w:style>
  <w:style w:type="paragraph" w:styleId="a3">
    <w:name w:val="header"/>
    <w:basedOn w:val="a"/>
    <w:link w:val="a4"/>
    <w:uiPriority w:val="99"/>
    <w:unhideWhenUsed/>
    <w:rsid w:val="001114A5"/>
    <w:pPr>
      <w:tabs>
        <w:tab w:val="center" w:pos="4513"/>
        <w:tab w:val="right" w:pos="9026"/>
      </w:tabs>
      <w:spacing w:line="240" w:lineRule="auto"/>
    </w:pPr>
  </w:style>
  <w:style w:type="character" w:customStyle="1" w:styleId="a4">
    <w:name w:val="Горен колонтитул Знак"/>
    <w:basedOn w:val="a0"/>
    <w:link w:val="a3"/>
    <w:uiPriority w:val="99"/>
    <w:rsid w:val="001114A5"/>
  </w:style>
  <w:style w:type="paragraph" w:styleId="a5">
    <w:name w:val="footer"/>
    <w:basedOn w:val="a"/>
    <w:link w:val="a6"/>
    <w:uiPriority w:val="99"/>
    <w:unhideWhenUsed/>
    <w:rsid w:val="001114A5"/>
    <w:pPr>
      <w:tabs>
        <w:tab w:val="center" w:pos="4513"/>
        <w:tab w:val="right" w:pos="9026"/>
      </w:tabs>
      <w:spacing w:line="240" w:lineRule="auto"/>
    </w:pPr>
  </w:style>
  <w:style w:type="character" w:customStyle="1" w:styleId="a6">
    <w:name w:val="Долен колонтитул Знак"/>
    <w:basedOn w:val="a0"/>
    <w:link w:val="a5"/>
    <w:uiPriority w:val="99"/>
    <w:rsid w:val="001114A5"/>
  </w:style>
  <w:style w:type="character" w:styleId="a7">
    <w:name w:val="Hyperlink"/>
    <w:basedOn w:val="a0"/>
    <w:uiPriority w:val="99"/>
    <w:unhideWhenUsed/>
    <w:rsid w:val="003D3773"/>
    <w:rPr>
      <w:color w:val="0563C1" w:themeColor="hyperlink"/>
      <w:u w:val="single"/>
    </w:rPr>
  </w:style>
  <w:style w:type="paragraph" w:styleId="a8">
    <w:name w:val="TOC Heading"/>
    <w:basedOn w:val="1"/>
    <w:next w:val="a"/>
    <w:uiPriority w:val="39"/>
    <w:unhideWhenUsed/>
    <w:qFormat/>
    <w:rsid w:val="00DE2665"/>
    <w:pPr>
      <w:numPr>
        <w:numId w:val="0"/>
      </w:numPr>
      <w:spacing w:before="240" w:line="259" w:lineRule="auto"/>
      <w:contextualSpacing w:val="0"/>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DE2665"/>
    <w:pPr>
      <w:spacing w:after="100"/>
    </w:pPr>
  </w:style>
  <w:style w:type="paragraph" w:styleId="21">
    <w:name w:val="toc 2"/>
    <w:basedOn w:val="a"/>
    <w:next w:val="a"/>
    <w:autoRedefine/>
    <w:uiPriority w:val="39"/>
    <w:unhideWhenUsed/>
    <w:rsid w:val="00DE26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t/transactionexposure.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vestopedia.com/articles/forex/021114/exchange-rate-risk-economic-exposur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DB2F0-36F0-40CC-BAC2-E42D3498B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1990</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zlatina9307@gmail.com</cp:lastModifiedBy>
  <cp:revision>2</cp:revision>
  <dcterms:created xsi:type="dcterms:W3CDTF">2024-04-02T10:44:00Z</dcterms:created>
  <dcterms:modified xsi:type="dcterms:W3CDTF">2024-04-02T10:44:00Z</dcterms:modified>
</cp:coreProperties>
</file>