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BA9C6" w14:textId="77777777" w:rsidR="00197122" w:rsidRPr="00D64E9B" w:rsidRDefault="00197122" w:rsidP="00D64E9B">
      <w:pPr>
        <w:spacing w:line="360" w:lineRule="auto"/>
        <w:jc w:val="center"/>
        <w:rPr>
          <w:rFonts w:ascii="Arial" w:hAnsi="Arial" w:cs="Arial"/>
          <w:b/>
          <w:lang w:val="en-GB"/>
        </w:rPr>
      </w:pPr>
      <w:r w:rsidRPr="00D64E9B">
        <w:rPr>
          <w:rFonts w:ascii="Arial" w:hAnsi="Arial" w:cs="Arial"/>
          <w:noProof/>
        </w:rPr>
        <w:drawing>
          <wp:inline distT="0" distB="0" distL="0" distR="0" wp14:anchorId="3FFB94DD" wp14:editId="318ABF0C">
            <wp:extent cx="2552700" cy="82296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552700" cy="822960"/>
                    </a:xfrm>
                    <a:prstGeom prst="rect">
                      <a:avLst/>
                    </a:prstGeom>
                    <a:noFill/>
                    <a:ln>
                      <a:noFill/>
                    </a:ln>
                  </pic:spPr>
                </pic:pic>
              </a:graphicData>
            </a:graphic>
          </wp:inline>
        </w:drawing>
      </w:r>
    </w:p>
    <w:p w14:paraId="069CFB1B" w14:textId="77777777" w:rsidR="00197122" w:rsidRPr="00D64E9B" w:rsidRDefault="00197122" w:rsidP="00D64E9B">
      <w:pPr>
        <w:spacing w:line="360" w:lineRule="auto"/>
        <w:jc w:val="center"/>
        <w:rPr>
          <w:rFonts w:ascii="Arial" w:hAnsi="Arial" w:cs="Arial"/>
          <w:b/>
          <w:lang w:val="en-GB"/>
        </w:rPr>
      </w:pPr>
    </w:p>
    <w:p w14:paraId="4F59FD0B" w14:textId="77777777" w:rsidR="00197122" w:rsidRPr="00D64E9B" w:rsidRDefault="00197122" w:rsidP="00D64E9B">
      <w:pPr>
        <w:spacing w:line="360" w:lineRule="auto"/>
        <w:jc w:val="center"/>
        <w:rPr>
          <w:rFonts w:ascii="Arial" w:hAnsi="Arial" w:cs="Arial"/>
          <w:b/>
          <w:lang w:val="en-GB"/>
        </w:rPr>
      </w:pPr>
      <w:r w:rsidRPr="00D64E9B">
        <w:rPr>
          <w:rFonts w:ascii="Arial" w:hAnsi="Arial" w:cs="Arial"/>
          <w:b/>
          <w:lang w:val="en-GB"/>
        </w:rPr>
        <w:t>Prepared By</w:t>
      </w:r>
    </w:p>
    <w:p w14:paraId="4A4D7EB7" w14:textId="77777777" w:rsidR="00197122" w:rsidRPr="00D64E9B" w:rsidRDefault="00197122" w:rsidP="00D64E9B">
      <w:pPr>
        <w:spacing w:line="360" w:lineRule="auto"/>
        <w:jc w:val="center"/>
        <w:rPr>
          <w:rFonts w:ascii="Arial" w:hAnsi="Arial" w:cs="Arial"/>
          <w:b/>
          <w:lang w:val="en-GB"/>
        </w:rPr>
      </w:pPr>
      <w:r w:rsidRPr="00D64E9B">
        <w:rPr>
          <w:rFonts w:ascii="Arial" w:hAnsi="Arial" w:cs="Arial"/>
          <w:b/>
          <w:lang w:val="en-GB"/>
        </w:rPr>
        <w:t>Fazle Rabby Nahi</w:t>
      </w:r>
    </w:p>
    <w:p w14:paraId="1A0305A7" w14:textId="77777777" w:rsidR="00197122" w:rsidRPr="00D64E9B" w:rsidRDefault="00197122" w:rsidP="00D64E9B">
      <w:pPr>
        <w:spacing w:line="360" w:lineRule="auto"/>
        <w:jc w:val="center"/>
        <w:rPr>
          <w:rFonts w:ascii="Arial" w:hAnsi="Arial" w:cs="Arial"/>
          <w:b/>
          <w:lang w:val="en-GB"/>
        </w:rPr>
      </w:pPr>
      <w:r w:rsidRPr="00D64E9B">
        <w:rPr>
          <w:rFonts w:ascii="Arial" w:hAnsi="Arial" w:cs="Arial"/>
          <w:b/>
          <w:lang w:val="en-GB"/>
        </w:rPr>
        <w:t>Student ID: 2515592</w:t>
      </w:r>
    </w:p>
    <w:p w14:paraId="00FCA2FA" w14:textId="77777777" w:rsidR="00197122" w:rsidRPr="00D64E9B" w:rsidRDefault="00197122" w:rsidP="00D64E9B">
      <w:pPr>
        <w:spacing w:line="360" w:lineRule="auto"/>
        <w:jc w:val="center"/>
        <w:rPr>
          <w:rFonts w:ascii="Arial" w:hAnsi="Arial" w:cs="Arial"/>
          <w:b/>
          <w:bCs/>
          <w:lang w:val="en-GB"/>
        </w:rPr>
      </w:pPr>
    </w:p>
    <w:p w14:paraId="7704F2FC" w14:textId="77777777" w:rsidR="00197122" w:rsidRPr="00D64E9B" w:rsidRDefault="00197122" w:rsidP="00D64E9B">
      <w:pPr>
        <w:spacing w:line="360" w:lineRule="auto"/>
        <w:jc w:val="center"/>
        <w:rPr>
          <w:rFonts w:ascii="Arial" w:hAnsi="Arial" w:cs="Arial"/>
          <w:b/>
          <w:bCs/>
          <w:lang w:val="en-GB"/>
        </w:rPr>
      </w:pPr>
      <w:proofErr w:type="gramStart"/>
      <w:r w:rsidRPr="00D64E9B">
        <w:rPr>
          <w:rFonts w:ascii="Arial" w:hAnsi="Arial" w:cs="Arial"/>
          <w:b/>
        </w:rPr>
        <w:t>Master’s in Business Administration</w:t>
      </w:r>
      <w:proofErr w:type="gramEnd"/>
    </w:p>
    <w:p w14:paraId="13EAA729" w14:textId="77777777" w:rsidR="00197122" w:rsidRPr="00D64E9B" w:rsidRDefault="00197122" w:rsidP="00D64E9B">
      <w:pPr>
        <w:spacing w:line="360" w:lineRule="auto"/>
        <w:jc w:val="center"/>
        <w:rPr>
          <w:rFonts w:ascii="Arial" w:hAnsi="Arial" w:cs="Arial"/>
          <w:b/>
          <w:bCs/>
          <w:lang w:val="en-GB"/>
        </w:rPr>
      </w:pPr>
      <w:r w:rsidRPr="00D64E9B">
        <w:rPr>
          <w:rFonts w:ascii="Arial" w:hAnsi="Arial" w:cs="Arial"/>
          <w:b/>
          <w:lang w:val="en-GB"/>
        </w:rPr>
        <w:t xml:space="preserve">Prepared For: </w:t>
      </w:r>
      <w:r w:rsidRPr="00D64E9B">
        <w:rPr>
          <w:rFonts w:ascii="Arial" w:hAnsi="Arial" w:cs="Arial"/>
          <w:b/>
        </w:rPr>
        <w:t xml:space="preserve">Ejike </w:t>
      </w:r>
      <w:proofErr w:type="spellStart"/>
      <w:r w:rsidRPr="00D64E9B">
        <w:rPr>
          <w:rFonts w:ascii="Arial" w:hAnsi="Arial" w:cs="Arial"/>
          <w:b/>
        </w:rPr>
        <w:t>Udeogu</w:t>
      </w:r>
      <w:proofErr w:type="spellEnd"/>
    </w:p>
    <w:p w14:paraId="2C1B876B" w14:textId="77777777" w:rsidR="00197122" w:rsidRPr="00D64E9B" w:rsidRDefault="00197122" w:rsidP="00D64E9B">
      <w:pPr>
        <w:spacing w:line="360" w:lineRule="auto"/>
        <w:jc w:val="center"/>
        <w:rPr>
          <w:rFonts w:ascii="Arial" w:hAnsi="Arial" w:cs="Arial"/>
          <w:b/>
          <w:bCs/>
          <w:lang w:val="en-GB"/>
        </w:rPr>
      </w:pPr>
      <w:r w:rsidRPr="00D64E9B">
        <w:rPr>
          <w:rFonts w:ascii="Arial" w:hAnsi="Arial" w:cs="Arial"/>
          <w:b/>
          <w:bCs/>
        </w:rPr>
        <w:t>Module: Human Capital Management</w:t>
      </w:r>
    </w:p>
    <w:p w14:paraId="3726DE33" w14:textId="77777777" w:rsidR="00197122" w:rsidRPr="00D64E9B" w:rsidRDefault="00197122" w:rsidP="00D64E9B">
      <w:pPr>
        <w:spacing w:line="360" w:lineRule="auto"/>
        <w:jc w:val="center"/>
        <w:rPr>
          <w:rFonts w:ascii="Arial" w:hAnsi="Arial" w:cs="Arial"/>
          <w:b/>
          <w:bCs/>
        </w:rPr>
      </w:pPr>
      <w:r w:rsidRPr="00D64E9B">
        <w:rPr>
          <w:rFonts w:ascii="Arial" w:hAnsi="Arial" w:cs="Arial"/>
          <w:b/>
          <w:bCs/>
          <w:lang w:val="en-GB"/>
        </w:rPr>
        <w:t xml:space="preserve">Module Code: </w:t>
      </w:r>
      <w:r w:rsidRPr="00D64E9B">
        <w:rPr>
          <w:rFonts w:ascii="Arial" w:hAnsi="Arial" w:cs="Arial"/>
          <w:b/>
          <w:bCs/>
        </w:rPr>
        <w:t>LCMB7023</w:t>
      </w:r>
    </w:p>
    <w:p w14:paraId="69272B8F" w14:textId="77777777" w:rsidR="00197122" w:rsidRPr="00D64E9B" w:rsidRDefault="00197122" w:rsidP="00D64E9B">
      <w:pPr>
        <w:spacing w:line="360" w:lineRule="auto"/>
        <w:jc w:val="center"/>
        <w:rPr>
          <w:rFonts w:ascii="Arial" w:hAnsi="Arial" w:cs="Arial"/>
          <w:b/>
          <w:lang w:val="en-GB"/>
        </w:rPr>
      </w:pPr>
    </w:p>
    <w:p w14:paraId="1EBEEF68" w14:textId="2D799941" w:rsidR="00197122" w:rsidRPr="00D64E9B" w:rsidRDefault="00197122" w:rsidP="00D64E9B">
      <w:pPr>
        <w:spacing w:line="360" w:lineRule="auto"/>
        <w:jc w:val="center"/>
        <w:rPr>
          <w:rFonts w:ascii="Arial" w:hAnsi="Arial" w:cs="Arial"/>
          <w:b/>
          <w:lang w:val="en-GB"/>
        </w:rPr>
      </w:pPr>
      <w:r w:rsidRPr="00D64E9B">
        <w:rPr>
          <w:rFonts w:ascii="Arial" w:hAnsi="Arial" w:cs="Arial"/>
          <w:b/>
        </w:rPr>
        <w:t xml:space="preserve">Assignment Title: </w:t>
      </w:r>
      <w:r w:rsidRPr="00D64E9B">
        <w:rPr>
          <w:rFonts w:ascii="Arial" w:hAnsi="Arial" w:cs="Arial"/>
          <w:b/>
          <w:lang w:val="en-GB"/>
        </w:rPr>
        <w:t xml:space="preserve">Individual Report </w:t>
      </w:r>
    </w:p>
    <w:p w14:paraId="1DF3362F" w14:textId="77777777" w:rsidR="00197122" w:rsidRPr="00D64E9B" w:rsidRDefault="00197122" w:rsidP="00D64E9B">
      <w:pPr>
        <w:spacing w:line="360" w:lineRule="auto"/>
        <w:jc w:val="center"/>
        <w:rPr>
          <w:rFonts w:ascii="Arial" w:hAnsi="Arial" w:cs="Arial"/>
          <w:b/>
          <w:bCs/>
          <w:u w:val="single"/>
          <w:lang w:val="en-GB"/>
        </w:rPr>
      </w:pPr>
      <w:r w:rsidRPr="00D64E9B">
        <w:rPr>
          <w:rFonts w:ascii="Arial" w:hAnsi="Arial" w:cs="Arial"/>
          <w:b/>
          <w:bCs/>
        </w:rPr>
        <w:t xml:space="preserve">Assignment Topic: </w:t>
      </w:r>
      <w:r w:rsidRPr="00D64E9B">
        <w:rPr>
          <w:rFonts w:ascii="Arial" w:hAnsi="Arial" w:cs="Arial"/>
          <w:b/>
          <w:bCs/>
          <w:lang w:val="en-GB"/>
        </w:rPr>
        <w:t>The Influence of National and International Labour Markets on HRM and IHRM Strategies.</w:t>
      </w:r>
    </w:p>
    <w:p w14:paraId="167274E8" w14:textId="77777777" w:rsidR="00197122" w:rsidRPr="00696F05" w:rsidRDefault="00197122" w:rsidP="00D64E9B">
      <w:pPr>
        <w:spacing w:line="360" w:lineRule="auto"/>
        <w:jc w:val="center"/>
        <w:rPr>
          <w:rFonts w:ascii="Arial" w:hAnsi="Arial" w:cs="Arial"/>
          <w:b/>
          <w:lang w:val="en-GB"/>
        </w:rPr>
      </w:pPr>
      <w:r w:rsidRPr="00D64E9B">
        <w:rPr>
          <w:rFonts w:ascii="Arial" w:hAnsi="Arial" w:cs="Arial"/>
          <w:b/>
          <w:lang w:val="en-GB"/>
        </w:rPr>
        <w:t>Date of Submission:</w:t>
      </w:r>
      <w:r w:rsidRPr="00D64E9B">
        <w:rPr>
          <w:rFonts w:ascii="Arial" w:hAnsi="Arial" w:cs="Arial"/>
          <w:bCs/>
          <w:lang w:val="en-GB"/>
        </w:rPr>
        <w:t xml:space="preserve"> </w:t>
      </w:r>
      <w:r w:rsidRPr="00696F05">
        <w:rPr>
          <w:rFonts w:ascii="Arial" w:hAnsi="Arial" w:cs="Arial"/>
          <w:b/>
          <w:lang w:val="en-GB"/>
        </w:rPr>
        <w:t>17</w:t>
      </w:r>
      <w:r w:rsidRPr="00696F05">
        <w:rPr>
          <w:rFonts w:ascii="Arial" w:hAnsi="Arial" w:cs="Arial"/>
          <w:b/>
          <w:vertAlign w:val="superscript"/>
          <w:lang w:val="en-GB"/>
        </w:rPr>
        <w:t>th</w:t>
      </w:r>
      <w:r w:rsidRPr="00696F05">
        <w:rPr>
          <w:rFonts w:ascii="Arial" w:hAnsi="Arial" w:cs="Arial"/>
          <w:b/>
          <w:lang w:val="en-GB"/>
        </w:rPr>
        <w:t xml:space="preserve"> October 2025</w:t>
      </w:r>
    </w:p>
    <w:p w14:paraId="6B59B045" w14:textId="50CDC1F4" w:rsidR="004C6612" w:rsidRPr="00696F05" w:rsidRDefault="004C6612" w:rsidP="00D64E9B">
      <w:pPr>
        <w:spacing w:line="360" w:lineRule="auto"/>
        <w:jc w:val="center"/>
        <w:rPr>
          <w:rFonts w:ascii="Arial" w:hAnsi="Arial" w:cs="Arial"/>
          <w:b/>
          <w:lang w:val="en-GB"/>
        </w:rPr>
      </w:pPr>
      <w:r w:rsidRPr="00696F05">
        <w:rPr>
          <w:rFonts w:ascii="Arial" w:hAnsi="Arial" w:cs="Arial"/>
          <w:b/>
          <w:lang w:val="en-GB"/>
        </w:rPr>
        <w:t>Word Count: 2</w:t>
      </w:r>
      <w:r w:rsidR="00F20F4A">
        <w:rPr>
          <w:rFonts w:ascii="Arial" w:hAnsi="Arial" w:cs="Arial"/>
          <w:b/>
          <w:lang w:val="en-GB"/>
        </w:rPr>
        <w:t>526</w:t>
      </w:r>
      <w:r w:rsidRPr="00696F05">
        <w:rPr>
          <w:rFonts w:ascii="Arial" w:hAnsi="Arial" w:cs="Arial"/>
          <w:b/>
          <w:lang w:val="en-GB"/>
        </w:rPr>
        <w:t xml:space="preserve"> Words</w:t>
      </w:r>
    </w:p>
    <w:p w14:paraId="723A8167" w14:textId="498351A4" w:rsidR="00197122" w:rsidRPr="00D64E9B" w:rsidRDefault="00BA31B5" w:rsidP="00D64E9B">
      <w:pPr>
        <w:pStyle w:val="Heading1"/>
        <w:spacing w:line="360" w:lineRule="auto"/>
        <w:rPr>
          <w:rFonts w:ascii="Arial" w:hAnsi="Arial" w:cs="Arial"/>
          <w:sz w:val="24"/>
          <w:szCs w:val="24"/>
        </w:rPr>
      </w:pPr>
      <w:r>
        <w:rPr>
          <w:rFonts w:ascii="Arial" w:hAnsi="Arial" w:cs="Arial"/>
          <w:sz w:val="24"/>
          <w:szCs w:val="24"/>
        </w:rPr>
        <w:br w:type="page"/>
      </w:r>
    </w:p>
    <w:sdt>
      <w:sdtPr>
        <w:id w:val="1034612180"/>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1C769938" w14:textId="54798BD1" w:rsidR="00BA31B5" w:rsidRDefault="00BA31B5">
          <w:pPr>
            <w:pStyle w:val="TOCHeading"/>
          </w:pPr>
          <w:r>
            <w:t>Table of Contents</w:t>
          </w:r>
        </w:p>
        <w:p w14:paraId="590CAF58" w14:textId="67410100" w:rsidR="00BA31B5" w:rsidRDefault="00BA31B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1563886" w:history="1">
            <w:r w:rsidRPr="00A64FEC">
              <w:rPr>
                <w:rStyle w:val="Hyperlink"/>
                <w:noProof/>
              </w:rPr>
              <w:t>Introduction</w:t>
            </w:r>
            <w:r>
              <w:rPr>
                <w:noProof/>
                <w:webHidden/>
              </w:rPr>
              <w:tab/>
            </w:r>
            <w:r>
              <w:rPr>
                <w:noProof/>
                <w:webHidden/>
              </w:rPr>
              <w:fldChar w:fldCharType="begin"/>
            </w:r>
            <w:r>
              <w:rPr>
                <w:noProof/>
                <w:webHidden/>
              </w:rPr>
              <w:instrText xml:space="preserve"> PAGEREF _Toc211563886 \h </w:instrText>
            </w:r>
            <w:r>
              <w:rPr>
                <w:noProof/>
                <w:webHidden/>
              </w:rPr>
            </w:r>
            <w:r>
              <w:rPr>
                <w:noProof/>
                <w:webHidden/>
              </w:rPr>
              <w:fldChar w:fldCharType="separate"/>
            </w:r>
            <w:r>
              <w:rPr>
                <w:noProof/>
                <w:webHidden/>
              </w:rPr>
              <w:t>3</w:t>
            </w:r>
            <w:r>
              <w:rPr>
                <w:noProof/>
                <w:webHidden/>
              </w:rPr>
              <w:fldChar w:fldCharType="end"/>
            </w:r>
          </w:hyperlink>
        </w:p>
        <w:p w14:paraId="56AFAABE" w14:textId="2BB9C3E2" w:rsidR="00BA31B5" w:rsidRDefault="00BA31B5">
          <w:pPr>
            <w:pStyle w:val="TOC1"/>
            <w:tabs>
              <w:tab w:val="right" w:leader="dot" w:pos="9350"/>
            </w:tabs>
            <w:rPr>
              <w:rFonts w:eastAsiaTheme="minorEastAsia"/>
              <w:noProof/>
            </w:rPr>
          </w:pPr>
          <w:hyperlink w:anchor="_Toc211563887" w:history="1">
            <w:r w:rsidRPr="00A64FEC">
              <w:rPr>
                <w:rStyle w:val="Hyperlink"/>
                <w:noProof/>
              </w:rPr>
              <w:t>1. How Technological Advancements Are Reshaping Labour Markets and Their Implications for HRM and IHRM Strategies.</w:t>
            </w:r>
            <w:r>
              <w:rPr>
                <w:noProof/>
                <w:webHidden/>
              </w:rPr>
              <w:tab/>
            </w:r>
            <w:r>
              <w:rPr>
                <w:noProof/>
                <w:webHidden/>
              </w:rPr>
              <w:fldChar w:fldCharType="begin"/>
            </w:r>
            <w:r>
              <w:rPr>
                <w:noProof/>
                <w:webHidden/>
              </w:rPr>
              <w:instrText xml:space="preserve"> PAGEREF _Toc211563887 \h </w:instrText>
            </w:r>
            <w:r>
              <w:rPr>
                <w:noProof/>
                <w:webHidden/>
              </w:rPr>
            </w:r>
            <w:r>
              <w:rPr>
                <w:noProof/>
                <w:webHidden/>
              </w:rPr>
              <w:fldChar w:fldCharType="separate"/>
            </w:r>
            <w:r>
              <w:rPr>
                <w:noProof/>
                <w:webHidden/>
              </w:rPr>
              <w:t>4</w:t>
            </w:r>
            <w:r>
              <w:rPr>
                <w:noProof/>
                <w:webHidden/>
              </w:rPr>
              <w:fldChar w:fldCharType="end"/>
            </w:r>
          </w:hyperlink>
        </w:p>
        <w:p w14:paraId="2C362AD1" w14:textId="5ECBC040" w:rsidR="00BA31B5" w:rsidRDefault="00BA31B5">
          <w:pPr>
            <w:pStyle w:val="TOC1"/>
            <w:tabs>
              <w:tab w:val="right" w:leader="dot" w:pos="9350"/>
            </w:tabs>
            <w:rPr>
              <w:rFonts w:eastAsiaTheme="minorEastAsia"/>
              <w:noProof/>
            </w:rPr>
          </w:pPr>
          <w:hyperlink w:anchor="_Toc211563888" w:history="1">
            <w:r w:rsidRPr="00A64FEC">
              <w:rPr>
                <w:rStyle w:val="Hyperlink"/>
                <w:noProof/>
              </w:rPr>
              <w:t>2. Demographic and Geopolitical Factors Influencing Employment Markets and Their Challenges for HR Professionals.</w:t>
            </w:r>
            <w:r>
              <w:rPr>
                <w:noProof/>
                <w:webHidden/>
              </w:rPr>
              <w:tab/>
            </w:r>
            <w:r>
              <w:rPr>
                <w:noProof/>
                <w:webHidden/>
              </w:rPr>
              <w:fldChar w:fldCharType="begin"/>
            </w:r>
            <w:r>
              <w:rPr>
                <w:noProof/>
                <w:webHidden/>
              </w:rPr>
              <w:instrText xml:space="preserve"> PAGEREF _Toc211563888 \h </w:instrText>
            </w:r>
            <w:r>
              <w:rPr>
                <w:noProof/>
                <w:webHidden/>
              </w:rPr>
            </w:r>
            <w:r>
              <w:rPr>
                <w:noProof/>
                <w:webHidden/>
              </w:rPr>
              <w:fldChar w:fldCharType="separate"/>
            </w:r>
            <w:r>
              <w:rPr>
                <w:noProof/>
                <w:webHidden/>
              </w:rPr>
              <w:t>6</w:t>
            </w:r>
            <w:r>
              <w:rPr>
                <w:noProof/>
                <w:webHidden/>
              </w:rPr>
              <w:fldChar w:fldCharType="end"/>
            </w:r>
          </w:hyperlink>
        </w:p>
        <w:p w14:paraId="35156E11" w14:textId="643DD3ED" w:rsidR="00BA31B5" w:rsidRDefault="00BA31B5">
          <w:pPr>
            <w:pStyle w:val="TOC1"/>
            <w:tabs>
              <w:tab w:val="right" w:leader="dot" w:pos="9350"/>
            </w:tabs>
            <w:rPr>
              <w:rFonts w:eastAsiaTheme="minorEastAsia"/>
              <w:noProof/>
            </w:rPr>
          </w:pPr>
          <w:hyperlink w:anchor="_Toc211563889" w:history="1">
            <w:r w:rsidRPr="00A64FEC">
              <w:rPr>
                <w:rStyle w:val="Hyperlink"/>
                <w:noProof/>
              </w:rPr>
              <w:t>3. Addressing Skills Gaps and Talent Shortages through Strategic HRM.</w:t>
            </w:r>
            <w:r>
              <w:rPr>
                <w:noProof/>
                <w:webHidden/>
              </w:rPr>
              <w:tab/>
            </w:r>
            <w:r>
              <w:rPr>
                <w:noProof/>
                <w:webHidden/>
              </w:rPr>
              <w:fldChar w:fldCharType="begin"/>
            </w:r>
            <w:r>
              <w:rPr>
                <w:noProof/>
                <w:webHidden/>
              </w:rPr>
              <w:instrText xml:space="preserve"> PAGEREF _Toc211563889 \h </w:instrText>
            </w:r>
            <w:r>
              <w:rPr>
                <w:noProof/>
                <w:webHidden/>
              </w:rPr>
            </w:r>
            <w:r>
              <w:rPr>
                <w:noProof/>
                <w:webHidden/>
              </w:rPr>
              <w:fldChar w:fldCharType="separate"/>
            </w:r>
            <w:r>
              <w:rPr>
                <w:noProof/>
                <w:webHidden/>
              </w:rPr>
              <w:t>9</w:t>
            </w:r>
            <w:r>
              <w:rPr>
                <w:noProof/>
                <w:webHidden/>
              </w:rPr>
              <w:fldChar w:fldCharType="end"/>
            </w:r>
          </w:hyperlink>
        </w:p>
        <w:p w14:paraId="122C495C" w14:textId="7496A6AB" w:rsidR="00BA31B5" w:rsidRDefault="00BA31B5">
          <w:pPr>
            <w:pStyle w:val="TOC1"/>
            <w:tabs>
              <w:tab w:val="right" w:leader="dot" w:pos="9350"/>
            </w:tabs>
            <w:rPr>
              <w:rFonts w:eastAsiaTheme="minorEastAsia"/>
              <w:noProof/>
            </w:rPr>
          </w:pPr>
          <w:hyperlink w:anchor="_Toc211563890" w:history="1">
            <w:r w:rsidRPr="00A64FEC">
              <w:rPr>
                <w:rStyle w:val="Hyperlink"/>
                <w:noProof/>
              </w:rPr>
              <w:t>4. Reflective Report: Personal Capabilities in an International Context.</w:t>
            </w:r>
            <w:r>
              <w:rPr>
                <w:noProof/>
                <w:webHidden/>
              </w:rPr>
              <w:tab/>
            </w:r>
            <w:r>
              <w:rPr>
                <w:noProof/>
                <w:webHidden/>
              </w:rPr>
              <w:fldChar w:fldCharType="begin"/>
            </w:r>
            <w:r>
              <w:rPr>
                <w:noProof/>
                <w:webHidden/>
              </w:rPr>
              <w:instrText xml:space="preserve"> PAGEREF _Toc211563890 \h </w:instrText>
            </w:r>
            <w:r>
              <w:rPr>
                <w:noProof/>
                <w:webHidden/>
              </w:rPr>
            </w:r>
            <w:r>
              <w:rPr>
                <w:noProof/>
                <w:webHidden/>
              </w:rPr>
              <w:fldChar w:fldCharType="separate"/>
            </w:r>
            <w:r>
              <w:rPr>
                <w:noProof/>
                <w:webHidden/>
              </w:rPr>
              <w:t>12</w:t>
            </w:r>
            <w:r>
              <w:rPr>
                <w:noProof/>
                <w:webHidden/>
              </w:rPr>
              <w:fldChar w:fldCharType="end"/>
            </w:r>
          </w:hyperlink>
        </w:p>
        <w:p w14:paraId="48071754" w14:textId="5098193F" w:rsidR="00BA31B5" w:rsidRDefault="00BA31B5">
          <w:pPr>
            <w:pStyle w:val="TOC1"/>
            <w:tabs>
              <w:tab w:val="right" w:leader="dot" w:pos="9350"/>
            </w:tabs>
            <w:rPr>
              <w:rFonts w:eastAsiaTheme="minorEastAsia"/>
              <w:noProof/>
            </w:rPr>
          </w:pPr>
          <w:hyperlink w:anchor="_Toc211563891" w:history="1">
            <w:r w:rsidRPr="00A64FEC">
              <w:rPr>
                <w:rStyle w:val="Hyperlink"/>
                <w:noProof/>
              </w:rPr>
              <w:t>Conclusion</w:t>
            </w:r>
            <w:r>
              <w:rPr>
                <w:noProof/>
                <w:webHidden/>
              </w:rPr>
              <w:tab/>
            </w:r>
            <w:r>
              <w:rPr>
                <w:noProof/>
                <w:webHidden/>
              </w:rPr>
              <w:fldChar w:fldCharType="begin"/>
            </w:r>
            <w:r>
              <w:rPr>
                <w:noProof/>
                <w:webHidden/>
              </w:rPr>
              <w:instrText xml:space="preserve"> PAGEREF _Toc211563891 \h </w:instrText>
            </w:r>
            <w:r>
              <w:rPr>
                <w:noProof/>
                <w:webHidden/>
              </w:rPr>
            </w:r>
            <w:r>
              <w:rPr>
                <w:noProof/>
                <w:webHidden/>
              </w:rPr>
              <w:fldChar w:fldCharType="separate"/>
            </w:r>
            <w:r>
              <w:rPr>
                <w:noProof/>
                <w:webHidden/>
              </w:rPr>
              <w:t>14</w:t>
            </w:r>
            <w:r>
              <w:rPr>
                <w:noProof/>
                <w:webHidden/>
              </w:rPr>
              <w:fldChar w:fldCharType="end"/>
            </w:r>
          </w:hyperlink>
        </w:p>
        <w:p w14:paraId="5316C13D" w14:textId="7B1848FD" w:rsidR="00BA31B5" w:rsidRDefault="00BA31B5">
          <w:pPr>
            <w:pStyle w:val="TOC1"/>
            <w:tabs>
              <w:tab w:val="right" w:leader="dot" w:pos="9350"/>
            </w:tabs>
            <w:rPr>
              <w:rFonts w:eastAsiaTheme="minorEastAsia"/>
              <w:noProof/>
            </w:rPr>
          </w:pPr>
          <w:hyperlink w:anchor="_Toc211563892" w:history="1">
            <w:r w:rsidRPr="00A64FEC">
              <w:rPr>
                <w:rStyle w:val="Hyperlink"/>
                <w:noProof/>
              </w:rPr>
              <w:t>References</w:t>
            </w:r>
            <w:r>
              <w:rPr>
                <w:noProof/>
                <w:webHidden/>
              </w:rPr>
              <w:tab/>
            </w:r>
            <w:r>
              <w:rPr>
                <w:noProof/>
                <w:webHidden/>
              </w:rPr>
              <w:fldChar w:fldCharType="begin"/>
            </w:r>
            <w:r>
              <w:rPr>
                <w:noProof/>
                <w:webHidden/>
              </w:rPr>
              <w:instrText xml:space="preserve"> PAGEREF _Toc211563892 \h </w:instrText>
            </w:r>
            <w:r>
              <w:rPr>
                <w:noProof/>
                <w:webHidden/>
              </w:rPr>
            </w:r>
            <w:r>
              <w:rPr>
                <w:noProof/>
                <w:webHidden/>
              </w:rPr>
              <w:fldChar w:fldCharType="separate"/>
            </w:r>
            <w:r>
              <w:rPr>
                <w:noProof/>
                <w:webHidden/>
              </w:rPr>
              <w:t>15</w:t>
            </w:r>
            <w:r>
              <w:rPr>
                <w:noProof/>
                <w:webHidden/>
              </w:rPr>
              <w:fldChar w:fldCharType="end"/>
            </w:r>
          </w:hyperlink>
        </w:p>
        <w:p w14:paraId="0CE0C759" w14:textId="6DB50479" w:rsidR="00BA31B5" w:rsidRDefault="00BA31B5">
          <w:r>
            <w:rPr>
              <w:b/>
              <w:bCs/>
              <w:noProof/>
            </w:rPr>
            <w:fldChar w:fldCharType="end"/>
          </w:r>
        </w:p>
      </w:sdtContent>
    </w:sdt>
    <w:p w14:paraId="252013FD" w14:textId="26491770" w:rsidR="00197122" w:rsidRPr="00D64E9B" w:rsidRDefault="00197122" w:rsidP="00D64E9B">
      <w:pPr>
        <w:pStyle w:val="Heading1"/>
        <w:spacing w:line="360" w:lineRule="auto"/>
        <w:rPr>
          <w:rFonts w:ascii="Arial" w:hAnsi="Arial" w:cs="Arial"/>
          <w:sz w:val="24"/>
          <w:szCs w:val="24"/>
        </w:rPr>
      </w:pPr>
      <w:r w:rsidRPr="00D64E9B">
        <w:rPr>
          <w:rFonts w:ascii="Arial" w:hAnsi="Arial" w:cs="Arial"/>
          <w:sz w:val="24"/>
          <w:szCs w:val="24"/>
        </w:rPr>
        <w:br w:type="page"/>
      </w:r>
    </w:p>
    <w:p w14:paraId="0DCF5C80" w14:textId="5AB9CDFC" w:rsidR="00A201EC" w:rsidRPr="00D64E9B" w:rsidRDefault="00A201EC" w:rsidP="00D64E9B">
      <w:pPr>
        <w:pStyle w:val="Heading1"/>
      </w:pPr>
      <w:bookmarkStart w:id="0" w:name="_Toc211563886"/>
      <w:r w:rsidRPr="00D64E9B">
        <w:lastRenderedPageBreak/>
        <w:t>Introduction</w:t>
      </w:r>
      <w:bookmarkEnd w:id="0"/>
    </w:p>
    <w:p w14:paraId="0F528872" w14:textId="22CF0EC4" w:rsidR="000A3390" w:rsidRDefault="000A3390" w:rsidP="00D64E9B">
      <w:pPr>
        <w:spacing w:line="360" w:lineRule="auto"/>
        <w:jc w:val="both"/>
        <w:rPr>
          <w:rFonts w:ascii="Arial" w:hAnsi="Arial" w:cs="Arial"/>
        </w:rPr>
      </w:pPr>
      <w:r w:rsidRPr="000A3390">
        <w:rPr>
          <w:rFonts w:ascii="Arial" w:hAnsi="Arial" w:cs="Arial"/>
        </w:rPr>
        <w:t xml:space="preserve">In an era defined by rapid global transformation, </w:t>
      </w:r>
      <w:proofErr w:type="spellStart"/>
      <w:r w:rsidRPr="000A3390">
        <w:rPr>
          <w:rFonts w:ascii="Arial" w:hAnsi="Arial" w:cs="Arial"/>
        </w:rPr>
        <w:t>organisations</w:t>
      </w:r>
      <w:proofErr w:type="spellEnd"/>
      <w:r w:rsidRPr="000A3390">
        <w:rPr>
          <w:rFonts w:ascii="Arial" w:hAnsi="Arial" w:cs="Arial"/>
        </w:rPr>
        <w:t xml:space="preserve"> face a </w:t>
      </w:r>
      <w:proofErr w:type="spellStart"/>
      <w:r w:rsidRPr="000A3390">
        <w:rPr>
          <w:rFonts w:ascii="Arial" w:hAnsi="Arial" w:cs="Arial"/>
        </w:rPr>
        <w:t>labour</w:t>
      </w:r>
      <w:proofErr w:type="spellEnd"/>
      <w:r w:rsidRPr="000A3390">
        <w:rPr>
          <w:rFonts w:ascii="Arial" w:hAnsi="Arial" w:cs="Arial"/>
        </w:rPr>
        <w:t xml:space="preserve"> market landscape of unprecedented complexity and interconnectivity, spanning both national and international domains. This new environment is being shaped by a convergence of powerful forces: the relentless advancement of technologies like artificial intelligence and automation, significant demographic shifts including ageing populations and changing migration patterns, and a volatile geopolitical climate. These dynamics are fundamentally redefining how businesses manage their most </w:t>
      </w:r>
      <w:proofErr w:type="gramStart"/>
      <w:r w:rsidRPr="000A3390">
        <w:rPr>
          <w:rFonts w:ascii="Arial" w:hAnsi="Arial" w:cs="Arial"/>
        </w:rPr>
        <w:t>valuable asset</w:t>
      </w:r>
      <w:proofErr w:type="gramEnd"/>
      <w:r w:rsidRPr="000A3390">
        <w:rPr>
          <w:rFonts w:ascii="Arial" w:hAnsi="Arial" w:cs="Arial"/>
        </w:rPr>
        <w:t xml:space="preserve">—their people. Consequently, Human Resource Management (HRM) and International Human Resource Management (IHRM) have evolved from supporting administrative functions to becoming central strategic pillars that are critical for </w:t>
      </w:r>
      <w:proofErr w:type="spellStart"/>
      <w:r w:rsidRPr="000A3390">
        <w:rPr>
          <w:rFonts w:ascii="Arial" w:hAnsi="Arial" w:cs="Arial"/>
        </w:rPr>
        <w:t>organisational</w:t>
      </w:r>
      <w:proofErr w:type="spellEnd"/>
      <w:r w:rsidRPr="000A3390">
        <w:rPr>
          <w:rFonts w:ascii="Arial" w:hAnsi="Arial" w:cs="Arial"/>
        </w:rPr>
        <w:t xml:space="preserve"> resilience and sustaining a competitive advantage in a climate of continuous disruption (Bratton </w:t>
      </w:r>
      <w:r w:rsidR="00BA31B5">
        <w:rPr>
          <w:rFonts w:ascii="Arial" w:hAnsi="Arial" w:cs="Arial"/>
        </w:rPr>
        <w:t>and</w:t>
      </w:r>
      <w:r w:rsidRPr="000A3390">
        <w:rPr>
          <w:rFonts w:ascii="Arial" w:hAnsi="Arial" w:cs="Arial"/>
        </w:rPr>
        <w:t xml:space="preserve"> Gold, 2022). </w:t>
      </w:r>
    </w:p>
    <w:p w14:paraId="7DA9DF27" w14:textId="5D006180" w:rsidR="000A3390" w:rsidRDefault="000A3390" w:rsidP="00D64E9B">
      <w:pPr>
        <w:spacing w:line="360" w:lineRule="auto"/>
        <w:jc w:val="both"/>
        <w:rPr>
          <w:rFonts w:ascii="Arial" w:hAnsi="Arial" w:cs="Arial"/>
        </w:rPr>
      </w:pPr>
      <w:r w:rsidRPr="000A3390">
        <w:rPr>
          <w:rFonts w:ascii="Arial" w:hAnsi="Arial" w:cs="Arial"/>
        </w:rPr>
        <w:t xml:space="preserve">The distinction between these two fields is increasingly significant. Traditional HRM focuses on </w:t>
      </w:r>
      <w:proofErr w:type="spellStart"/>
      <w:r w:rsidRPr="000A3390">
        <w:rPr>
          <w:rFonts w:ascii="Arial" w:hAnsi="Arial" w:cs="Arial"/>
        </w:rPr>
        <w:t>optimising</w:t>
      </w:r>
      <w:proofErr w:type="spellEnd"/>
      <w:r w:rsidRPr="000A3390">
        <w:rPr>
          <w:rFonts w:ascii="Arial" w:hAnsi="Arial" w:cs="Arial"/>
        </w:rPr>
        <w:t xml:space="preserve"> workforce strategies within a single country's borders, covering essential practices from recruitment and training to performance management. IHRM, however, must navigate the additional complexities of a </w:t>
      </w:r>
      <w:proofErr w:type="spellStart"/>
      <w:r w:rsidRPr="000A3390">
        <w:rPr>
          <w:rFonts w:ascii="Arial" w:hAnsi="Arial" w:cs="Arial"/>
        </w:rPr>
        <w:t>globalised</w:t>
      </w:r>
      <w:proofErr w:type="spellEnd"/>
      <w:r w:rsidRPr="000A3390">
        <w:rPr>
          <w:rFonts w:ascii="Arial" w:hAnsi="Arial" w:cs="Arial"/>
        </w:rPr>
        <w:t xml:space="preserve"> operation, requiring </w:t>
      </w:r>
      <w:proofErr w:type="spellStart"/>
      <w:r w:rsidRPr="000A3390">
        <w:rPr>
          <w:rFonts w:ascii="Arial" w:hAnsi="Arial" w:cs="Arial"/>
        </w:rPr>
        <w:t>specialised</w:t>
      </w:r>
      <w:proofErr w:type="spellEnd"/>
      <w:r w:rsidRPr="000A3390">
        <w:rPr>
          <w:rFonts w:ascii="Arial" w:hAnsi="Arial" w:cs="Arial"/>
        </w:rPr>
        <w:t xml:space="preserve"> expertise in cross-cultural team integration, managing global talent mobility, and complying with a diverse array of international </w:t>
      </w:r>
      <w:proofErr w:type="spellStart"/>
      <w:r w:rsidRPr="000A3390">
        <w:rPr>
          <w:rFonts w:ascii="Arial" w:hAnsi="Arial" w:cs="Arial"/>
        </w:rPr>
        <w:t>labour</w:t>
      </w:r>
      <w:proofErr w:type="spellEnd"/>
      <w:r w:rsidRPr="000A3390">
        <w:rPr>
          <w:rFonts w:ascii="Arial" w:hAnsi="Arial" w:cs="Arial"/>
        </w:rPr>
        <w:t xml:space="preserve"> regulations (Dowling, </w:t>
      </w:r>
      <w:proofErr w:type="spellStart"/>
      <w:r w:rsidRPr="000A3390">
        <w:rPr>
          <w:rFonts w:ascii="Arial" w:hAnsi="Arial" w:cs="Arial"/>
        </w:rPr>
        <w:t>Festing</w:t>
      </w:r>
      <w:proofErr w:type="spellEnd"/>
      <w:r w:rsidRPr="000A3390">
        <w:rPr>
          <w:rFonts w:ascii="Arial" w:hAnsi="Arial" w:cs="Arial"/>
        </w:rPr>
        <w:t xml:space="preserve"> </w:t>
      </w:r>
      <w:r w:rsidR="00BA31B5">
        <w:rPr>
          <w:rFonts w:ascii="Arial" w:hAnsi="Arial" w:cs="Arial"/>
        </w:rPr>
        <w:t>and</w:t>
      </w:r>
      <w:r w:rsidRPr="000A3390">
        <w:rPr>
          <w:rFonts w:ascii="Arial" w:hAnsi="Arial" w:cs="Arial"/>
        </w:rPr>
        <w:t xml:space="preserve"> Engle, 2017). The urgency for strategic adaptation is clear; for instance, the World Economic Forum (2023) forecasts that the core skills of 44% of workers will require fundamental reshaping within five years due to technological disruption. Simultaneously, persistent global skills shortages in critical sectors and the challenges of demographic and geopolitical instability demand a proactive, data-driven, and agile approach from HR professionals. </w:t>
      </w:r>
    </w:p>
    <w:p w14:paraId="12320CC7" w14:textId="2D0D98C1" w:rsidR="00D64E9B" w:rsidRDefault="000A3390" w:rsidP="00D64E9B">
      <w:pPr>
        <w:spacing w:line="360" w:lineRule="auto"/>
        <w:jc w:val="both"/>
        <w:rPr>
          <w:rFonts w:ascii="Arial" w:hAnsi="Arial" w:cs="Arial"/>
        </w:rPr>
      </w:pPr>
      <w:r w:rsidRPr="000A3390">
        <w:rPr>
          <w:rFonts w:ascii="Arial" w:hAnsi="Arial" w:cs="Arial"/>
        </w:rPr>
        <w:t xml:space="preserve">This report will provide a critical examination of how these technological, demographic, and geopolitical forces are reshaping contemporary HRM and IHRM practices. The analysis begins by investigating the impact of technological advancements on employment structures and </w:t>
      </w:r>
      <w:proofErr w:type="spellStart"/>
      <w:r w:rsidRPr="000A3390">
        <w:rPr>
          <w:rFonts w:ascii="Arial" w:hAnsi="Arial" w:cs="Arial"/>
        </w:rPr>
        <w:t>organisational</w:t>
      </w:r>
      <w:proofErr w:type="spellEnd"/>
      <w:r w:rsidRPr="000A3390">
        <w:rPr>
          <w:rFonts w:ascii="Arial" w:hAnsi="Arial" w:cs="Arial"/>
        </w:rPr>
        <w:t xml:space="preserve"> strategy. It then explores key demographic and geopolitical factors and their implications for global talent management. The third section considers strategic HRM interventions that </w:t>
      </w:r>
      <w:proofErr w:type="spellStart"/>
      <w:r w:rsidRPr="000A3390">
        <w:rPr>
          <w:rFonts w:ascii="Arial" w:hAnsi="Arial" w:cs="Arial"/>
        </w:rPr>
        <w:t>organisations</w:t>
      </w:r>
      <w:proofErr w:type="spellEnd"/>
      <w:r w:rsidRPr="000A3390">
        <w:rPr>
          <w:rFonts w:ascii="Arial" w:hAnsi="Arial" w:cs="Arial"/>
        </w:rPr>
        <w:t xml:space="preserve"> can deploy to address persistent </w:t>
      </w:r>
      <w:r w:rsidRPr="000A3390">
        <w:rPr>
          <w:rFonts w:ascii="Arial" w:hAnsi="Arial" w:cs="Arial"/>
        </w:rPr>
        <w:lastRenderedPageBreak/>
        <w:t xml:space="preserve">skills gaps and talent shortages. The final component offers a personal reflection on my capabilities and development plan for working effectively within an international context. Throughout, the discussion adopts a research-informed, evidence-based approach, drawing upon contemporary academic literature, international </w:t>
      </w:r>
      <w:proofErr w:type="spellStart"/>
      <w:r w:rsidRPr="000A3390">
        <w:rPr>
          <w:rFonts w:ascii="Arial" w:hAnsi="Arial" w:cs="Arial"/>
        </w:rPr>
        <w:t>labour</w:t>
      </w:r>
      <w:proofErr w:type="spellEnd"/>
      <w:r w:rsidRPr="000A3390">
        <w:rPr>
          <w:rFonts w:ascii="Arial" w:hAnsi="Arial" w:cs="Arial"/>
        </w:rPr>
        <w:t>-market data, and professional frameworks to ensure a critical, current, and postgraduate-level analysis.</w:t>
      </w:r>
    </w:p>
    <w:p w14:paraId="32CA1477" w14:textId="77777777" w:rsidR="000A3390" w:rsidRPr="00D64E9B" w:rsidRDefault="000A3390" w:rsidP="00D64E9B">
      <w:pPr>
        <w:spacing w:line="360" w:lineRule="auto"/>
        <w:jc w:val="both"/>
        <w:rPr>
          <w:rFonts w:ascii="Arial" w:hAnsi="Arial" w:cs="Arial"/>
        </w:rPr>
      </w:pPr>
    </w:p>
    <w:p w14:paraId="4CC086F5" w14:textId="77777777" w:rsidR="00A201EC" w:rsidRPr="00D64E9B" w:rsidRDefault="00A201EC" w:rsidP="00D64E9B">
      <w:pPr>
        <w:pStyle w:val="Heading1"/>
      </w:pPr>
      <w:bookmarkStart w:id="1" w:name="_Toc211452466"/>
      <w:bookmarkStart w:id="2" w:name="_Toc211563887"/>
      <w:r w:rsidRPr="00D64E9B">
        <w:t xml:space="preserve">1. How Technological Advancements Are Reshaping </w:t>
      </w:r>
      <w:proofErr w:type="spellStart"/>
      <w:r w:rsidRPr="00D64E9B">
        <w:t>Labour</w:t>
      </w:r>
      <w:proofErr w:type="spellEnd"/>
      <w:r w:rsidRPr="00D64E9B">
        <w:t xml:space="preserve"> Markets and Their Implications for HRM and IHRM Strategies.</w:t>
      </w:r>
      <w:bookmarkEnd w:id="1"/>
      <w:bookmarkEnd w:id="2"/>
    </w:p>
    <w:p w14:paraId="110644C4" w14:textId="77777777" w:rsidR="00A201EC" w:rsidRPr="00D64E9B" w:rsidRDefault="00A201EC" w:rsidP="00D64E9B">
      <w:pPr>
        <w:spacing w:line="360" w:lineRule="auto"/>
        <w:jc w:val="both"/>
        <w:rPr>
          <w:rFonts w:ascii="Arial" w:hAnsi="Arial" w:cs="Arial"/>
        </w:rPr>
      </w:pPr>
      <w:r w:rsidRPr="00D64E9B">
        <w:rPr>
          <w:rFonts w:ascii="Arial" w:hAnsi="Arial" w:cs="Arial"/>
        </w:rPr>
        <w:t>Technological innovation, particularly artificial intelligence (AI), automation, robotics, and digital platforms, has become the defining force reshaping national and international labor markets. The World Economic Forum (2023) predicts that automation and intelligent systems will transform over 44 per cent of workers’ core skills within five years, creating a dual challenge of job displacement and job creation. Repetitive roles in manufacturing, logistics, and administration are being replaced by algorithms or robots, while new opportunities emerge in digital design, data science, cyber-security, and green technology. HRM and IHRM strategies must therefore manage disruption through proactive reskilling, ethical governance, and agile workforce planning.</w:t>
      </w:r>
    </w:p>
    <w:p w14:paraId="3888CBED" w14:textId="65EF4895" w:rsidR="00A201EC" w:rsidRPr="00D64E9B" w:rsidRDefault="00A201EC" w:rsidP="00D64E9B">
      <w:pPr>
        <w:spacing w:line="360" w:lineRule="auto"/>
        <w:jc w:val="both"/>
        <w:rPr>
          <w:rFonts w:ascii="Arial" w:hAnsi="Arial" w:cs="Arial"/>
        </w:rPr>
      </w:pPr>
      <w:r w:rsidRPr="00D64E9B">
        <w:rPr>
          <w:rFonts w:ascii="Arial" w:hAnsi="Arial" w:cs="Arial"/>
        </w:rPr>
        <w:t>At the national level, HRM is now driven by evidence-based, technology-enabled decision-making. Electronic HRM (e-HRM) systems integrate predictive analytics into recruitment, learning, and performance management (</w:t>
      </w:r>
      <w:proofErr w:type="spellStart"/>
      <w:r w:rsidRPr="00D64E9B">
        <w:rPr>
          <w:rFonts w:ascii="Arial" w:hAnsi="Arial" w:cs="Arial"/>
        </w:rPr>
        <w:t>Bondarouk</w:t>
      </w:r>
      <w:proofErr w:type="spellEnd"/>
      <w:r w:rsidRPr="00D64E9B">
        <w:rPr>
          <w:rFonts w:ascii="Arial" w:hAnsi="Arial" w:cs="Arial"/>
        </w:rPr>
        <w:t xml:space="preserve"> </w:t>
      </w:r>
      <w:r w:rsidR="00BA31B5">
        <w:rPr>
          <w:rFonts w:ascii="Arial" w:hAnsi="Arial" w:cs="Arial"/>
        </w:rPr>
        <w:t>and</w:t>
      </w:r>
      <w:r w:rsidRPr="00D64E9B">
        <w:rPr>
          <w:rFonts w:ascii="Arial" w:hAnsi="Arial" w:cs="Arial"/>
        </w:rPr>
        <w:t xml:space="preserve"> Brewster, 2023). Predictive data </w:t>
      </w:r>
      <w:proofErr w:type="gramStart"/>
      <w:r w:rsidRPr="00D64E9B">
        <w:rPr>
          <w:rFonts w:ascii="Arial" w:hAnsi="Arial" w:cs="Arial"/>
        </w:rPr>
        <w:t>help</w:t>
      </w:r>
      <w:proofErr w:type="gramEnd"/>
      <w:r w:rsidRPr="00D64E9B">
        <w:rPr>
          <w:rFonts w:ascii="Arial" w:hAnsi="Arial" w:cs="Arial"/>
        </w:rPr>
        <w:t xml:space="preserve"> identify turnover risks and skill gaps so HR can intervene early with targeted retention initiatives. Automation also streamlines administrative work—such as payroll and onboarding—allowing professionals to focus on strategic, people-</w:t>
      </w:r>
      <w:proofErr w:type="spellStart"/>
      <w:r w:rsidRPr="00D64E9B">
        <w:rPr>
          <w:rFonts w:ascii="Arial" w:hAnsi="Arial" w:cs="Arial"/>
        </w:rPr>
        <w:t>centred</w:t>
      </w:r>
      <w:proofErr w:type="spellEnd"/>
      <w:r w:rsidRPr="00D64E9B">
        <w:rPr>
          <w:rFonts w:ascii="Arial" w:hAnsi="Arial" w:cs="Arial"/>
        </w:rPr>
        <w:t xml:space="preserve"> tasks. Yet these gains raise ethical concerns around algorithmic bias and data privacy. Amazon’s experimental AI recruiting tool, for instance, was withdrawn after discriminating against female candidates (BBC, 2022). HR managers must therefore build digital-ethics </w:t>
      </w:r>
      <w:r w:rsidRPr="00D64E9B">
        <w:rPr>
          <w:rFonts w:ascii="Arial" w:hAnsi="Arial" w:cs="Arial"/>
        </w:rPr>
        <w:lastRenderedPageBreak/>
        <w:t>frameworks ensuring fairness, transparency, and compliance with equality legislation (CIPD, 2023).</w:t>
      </w:r>
    </w:p>
    <w:p w14:paraId="730409D4" w14:textId="77777777" w:rsidR="00A201EC" w:rsidRPr="00D64E9B" w:rsidRDefault="00A201EC" w:rsidP="00D64E9B">
      <w:pPr>
        <w:spacing w:line="360" w:lineRule="auto"/>
        <w:jc w:val="both"/>
        <w:rPr>
          <w:rFonts w:ascii="Arial" w:hAnsi="Arial" w:cs="Arial"/>
        </w:rPr>
      </w:pPr>
      <w:r w:rsidRPr="00D64E9B">
        <w:rPr>
          <w:rFonts w:ascii="Arial" w:hAnsi="Arial" w:cs="Arial"/>
        </w:rPr>
        <w:t xml:space="preserve">Globally, technology has opened </w:t>
      </w:r>
      <w:proofErr w:type="spellStart"/>
      <w:r w:rsidRPr="00D64E9B">
        <w:rPr>
          <w:rFonts w:ascii="Arial" w:hAnsi="Arial" w:cs="Arial"/>
        </w:rPr>
        <w:t>labour</w:t>
      </w:r>
      <w:proofErr w:type="spellEnd"/>
      <w:r w:rsidRPr="00D64E9B">
        <w:rPr>
          <w:rFonts w:ascii="Arial" w:hAnsi="Arial" w:cs="Arial"/>
        </w:rPr>
        <w:t xml:space="preserve"> markets. Platforms like Upwork, Fiverr, and </w:t>
      </w:r>
      <w:proofErr w:type="spellStart"/>
      <w:r w:rsidRPr="00D64E9B">
        <w:rPr>
          <w:rFonts w:ascii="Arial" w:hAnsi="Arial" w:cs="Arial"/>
        </w:rPr>
        <w:t>Toptal</w:t>
      </w:r>
      <w:proofErr w:type="spellEnd"/>
      <w:r w:rsidRPr="00D64E9B">
        <w:rPr>
          <w:rFonts w:ascii="Arial" w:hAnsi="Arial" w:cs="Arial"/>
        </w:rPr>
        <w:t xml:space="preserve"> enable remote freelance work across borders, while collaboration tools—Microsoft Teams, Slack, </w:t>
      </w:r>
      <w:proofErr w:type="gramStart"/>
      <w:r w:rsidRPr="00D64E9B">
        <w:rPr>
          <w:rFonts w:ascii="Arial" w:hAnsi="Arial" w:cs="Arial"/>
        </w:rPr>
        <w:t>Zoom</w:t>
      </w:r>
      <w:proofErr w:type="gramEnd"/>
      <w:r w:rsidRPr="00D64E9B">
        <w:rPr>
          <w:rFonts w:ascii="Arial" w:hAnsi="Arial" w:cs="Arial"/>
        </w:rPr>
        <w:t xml:space="preserve">—allow virtual teams to operate across time zones. The International </w:t>
      </w:r>
      <w:proofErr w:type="spellStart"/>
      <w:r w:rsidRPr="00D64E9B">
        <w:rPr>
          <w:rFonts w:ascii="Arial" w:hAnsi="Arial" w:cs="Arial"/>
        </w:rPr>
        <w:t>Labour</w:t>
      </w:r>
      <w:proofErr w:type="spellEnd"/>
      <w:r w:rsidRPr="00D64E9B">
        <w:rPr>
          <w:rFonts w:ascii="Arial" w:hAnsi="Arial" w:cs="Arial"/>
        </w:rPr>
        <w:t xml:space="preserve"> Organization (ILO, 2023) defines this as the rise of the “platform economy,” which expands opportunity but fragments employment protection. IHRM professionals must reconcile differing tax, visa, and data-protection regimes while preserving a consistent </w:t>
      </w:r>
      <w:proofErr w:type="spellStart"/>
      <w:r w:rsidRPr="00D64E9B">
        <w:rPr>
          <w:rFonts w:ascii="Arial" w:hAnsi="Arial" w:cs="Arial"/>
        </w:rPr>
        <w:t>organisational</w:t>
      </w:r>
      <w:proofErr w:type="spellEnd"/>
      <w:r w:rsidRPr="00D64E9B">
        <w:rPr>
          <w:rFonts w:ascii="Arial" w:hAnsi="Arial" w:cs="Arial"/>
        </w:rPr>
        <w:t xml:space="preserve"> culture.</w:t>
      </w:r>
    </w:p>
    <w:p w14:paraId="7CF9F5D6" w14:textId="56F56884" w:rsidR="00A201EC" w:rsidRPr="00D64E9B" w:rsidRDefault="00A201EC" w:rsidP="00D64E9B">
      <w:pPr>
        <w:spacing w:line="360" w:lineRule="auto"/>
        <w:jc w:val="both"/>
        <w:rPr>
          <w:rFonts w:ascii="Arial" w:hAnsi="Arial" w:cs="Arial"/>
        </w:rPr>
      </w:pPr>
      <w:r w:rsidRPr="00D64E9B">
        <w:rPr>
          <w:rFonts w:ascii="Arial" w:hAnsi="Arial" w:cs="Arial"/>
        </w:rPr>
        <w:t xml:space="preserve">Technological change also accelerated remote work, further blurring national and international boundaries. After COVID-19, firms such as Deloitte, IBM, and Accenture adopted hybrid or fully remote models supported by digital-learning and performance platforms (Accenture, 2023). HRM must now revise reward systems, monitor engagement online, and safeguard well-being despite physical distance. IHRM plays a key role in building trust, inclusion, and cross-cultural communication within dispersed teams. </w:t>
      </w:r>
      <w:r w:rsidR="00AF7AC0" w:rsidRPr="00AF7AC0">
        <w:rPr>
          <w:rFonts w:ascii="Arial" w:hAnsi="Arial" w:cs="Arial"/>
        </w:rPr>
        <w:t>When managing dispersed teams, IHRM must account for cultural preferences; for instance, team members in high-context cultures may prioritize relationship-building through synchronous video calls, whereas those in low-context cultures might prefer detailed, asynchronous written updates (Hofstede Insights, 2023)</w:t>
      </w:r>
      <w:r w:rsidR="00AF7AC0">
        <w:rPr>
          <w:rFonts w:ascii="Arial" w:hAnsi="Arial" w:cs="Arial"/>
        </w:rPr>
        <w:t>.</w:t>
      </w:r>
    </w:p>
    <w:p w14:paraId="1C58FB45" w14:textId="1AA8C602" w:rsidR="00A201EC" w:rsidRPr="00D64E9B" w:rsidRDefault="00A201EC" w:rsidP="00D64E9B">
      <w:pPr>
        <w:spacing w:line="360" w:lineRule="auto"/>
        <w:jc w:val="both"/>
        <w:rPr>
          <w:rFonts w:ascii="Arial" w:hAnsi="Arial" w:cs="Arial"/>
        </w:rPr>
      </w:pPr>
      <w:r w:rsidRPr="00D64E9B">
        <w:rPr>
          <w:rFonts w:ascii="Arial" w:hAnsi="Arial" w:cs="Arial"/>
        </w:rPr>
        <w:t xml:space="preserve">A major implication for both HRM and IHRM is the demand for continuous learning. As automation replaces routine </w:t>
      </w:r>
      <w:proofErr w:type="spellStart"/>
      <w:r w:rsidRPr="00D64E9B">
        <w:rPr>
          <w:rFonts w:ascii="Arial" w:hAnsi="Arial" w:cs="Arial"/>
        </w:rPr>
        <w:t>labour</w:t>
      </w:r>
      <w:proofErr w:type="spellEnd"/>
      <w:r w:rsidRPr="00D64E9B">
        <w:rPr>
          <w:rFonts w:ascii="Arial" w:hAnsi="Arial" w:cs="Arial"/>
        </w:rPr>
        <w:t xml:space="preserve">, priorities shift toward developing creativity, emotional intelligence, and digital literacy (Bratton </w:t>
      </w:r>
      <w:r w:rsidR="00BA31B5">
        <w:rPr>
          <w:rFonts w:ascii="Arial" w:hAnsi="Arial" w:cs="Arial"/>
        </w:rPr>
        <w:t>and</w:t>
      </w:r>
      <w:r w:rsidRPr="00D64E9B">
        <w:rPr>
          <w:rFonts w:ascii="Arial" w:hAnsi="Arial" w:cs="Arial"/>
        </w:rPr>
        <w:t xml:space="preserve"> Gold, 2022). </w:t>
      </w:r>
      <w:proofErr w:type="spellStart"/>
      <w:r w:rsidRPr="00D64E9B">
        <w:rPr>
          <w:rFonts w:ascii="Arial" w:hAnsi="Arial" w:cs="Arial"/>
        </w:rPr>
        <w:t>Organisations</w:t>
      </w:r>
      <w:proofErr w:type="spellEnd"/>
      <w:r w:rsidRPr="00D64E9B">
        <w:rPr>
          <w:rFonts w:ascii="Arial" w:hAnsi="Arial" w:cs="Arial"/>
        </w:rPr>
        <w:t xml:space="preserve"> are investing in lifelong-learning ecosystems: Unilever’s “Flex Experience” uses AI to match employees to short-term internal projects (WEF, 2023), while IBM’s </w:t>
      </w:r>
      <w:proofErr w:type="spellStart"/>
      <w:r w:rsidRPr="00D64E9B">
        <w:rPr>
          <w:rFonts w:ascii="Arial" w:hAnsi="Arial" w:cs="Arial"/>
        </w:rPr>
        <w:t>SkillsBuild</w:t>
      </w:r>
      <w:proofErr w:type="spellEnd"/>
      <w:r w:rsidRPr="00D64E9B">
        <w:rPr>
          <w:rFonts w:ascii="Arial" w:hAnsi="Arial" w:cs="Arial"/>
        </w:rPr>
        <w:t xml:space="preserve"> provides free digital training to staff and communities, strengthening its talent pipeline.</w:t>
      </w:r>
    </w:p>
    <w:p w14:paraId="1CAC4888" w14:textId="77777777" w:rsidR="00A201EC" w:rsidRPr="00D64E9B" w:rsidRDefault="00A201EC" w:rsidP="00D64E9B">
      <w:pPr>
        <w:spacing w:line="360" w:lineRule="auto"/>
        <w:jc w:val="both"/>
        <w:rPr>
          <w:rFonts w:ascii="Arial" w:hAnsi="Arial" w:cs="Arial"/>
        </w:rPr>
      </w:pPr>
      <w:r w:rsidRPr="00D64E9B">
        <w:rPr>
          <w:rFonts w:ascii="Arial" w:hAnsi="Arial" w:cs="Arial"/>
        </w:rPr>
        <w:t xml:space="preserve">However, technological transformation can widen inequality. Workers lacking digital access risk marginalization, particularly in developing economies where automation threatens low-skill employment. Strategic IHRM should therefore include digital-literacy </w:t>
      </w:r>
      <w:proofErr w:type="spellStart"/>
      <w:r w:rsidRPr="00D64E9B">
        <w:rPr>
          <w:rFonts w:ascii="Arial" w:hAnsi="Arial" w:cs="Arial"/>
        </w:rPr>
        <w:t>programmes</w:t>
      </w:r>
      <w:proofErr w:type="spellEnd"/>
      <w:r w:rsidRPr="00D64E9B">
        <w:rPr>
          <w:rFonts w:ascii="Arial" w:hAnsi="Arial" w:cs="Arial"/>
        </w:rPr>
        <w:t xml:space="preserve">, remote-work infrastructure, and global mobility policies to promote equitable participation (OECD, 2023). Although many argue automation improves </w:t>
      </w:r>
      <w:r w:rsidRPr="00D64E9B">
        <w:rPr>
          <w:rFonts w:ascii="Arial" w:hAnsi="Arial" w:cs="Arial"/>
        </w:rPr>
        <w:lastRenderedPageBreak/>
        <w:t>objectivity in HR decisions, others caution that algorithms may reproduce bias. Brougham and Haar (2023) stress the need for diverse training data and human oversight, while Raghavan et al. (2020) call for algorithmic audits and transparency. HR professionals thus become ethical curators of data-driven systems, ensuring fairness, accountability, and compliance throughout digital HRM.</w:t>
      </w:r>
    </w:p>
    <w:p w14:paraId="6A3E1AB0" w14:textId="1AF6470F" w:rsidR="003C5C79" w:rsidRPr="00D64E9B" w:rsidRDefault="003C5C79" w:rsidP="00D64E9B">
      <w:pPr>
        <w:spacing w:line="360" w:lineRule="auto"/>
        <w:rPr>
          <w:rFonts w:ascii="Arial" w:hAnsi="Arial" w:cs="Arial"/>
        </w:rPr>
      </w:pPr>
    </w:p>
    <w:p w14:paraId="0EF974B4" w14:textId="77777777" w:rsidR="00A201EC" w:rsidRPr="00D64E9B" w:rsidRDefault="00A201EC" w:rsidP="00D64E9B">
      <w:pPr>
        <w:pStyle w:val="Heading1"/>
      </w:pPr>
      <w:bookmarkStart w:id="3" w:name="_Toc211563888"/>
      <w:r w:rsidRPr="00D64E9B">
        <w:t>2. Demographic and Geopolitical Factors Influencing Employment Markets and Their Challenges for HR Professionals.</w:t>
      </w:r>
      <w:bookmarkEnd w:id="3"/>
    </w:p>
    <w:p w14:paraId="5D58EB02" w14:textId="77777777" w:rsidR="004C7BF0" w:rsidRPr="004C7BF0" w:rsidRDefault="004C7BF0" w:rsidP="00D64E9B">
      <w:pPr>
        <w:spacing w:line="360" w:lineRule="auto"/>
        <w:jc w:val="both"/>
        <w:rPr>
          <w:rFonts w:ascii="Arial" w:hAnsi="Arial" w:cs="Arial"/>
        </w:rPr>
      </w:pPr>
      <w:proofErr w:type="spellStart"/>
      <w:r w:rsidRPr="004C7BF0">
        <w:rPr>
          <w:rFonts w:ascii="Arial" w:hAnsi="Arial" w:cs="Arial"/>
        </w:rPr>
        <w:t>Labour</w:t>
      </w:r>
      <w:proofErr w:type="spellEnd"/>
      <w:r w:rsidRPr="004C7BF0">
        <w:rPr>
          <w:rFonts w:ascii="Arial" w:hAnsi="Arial" w:cs="Arial"/>
        </w:rPr>
        <w:t xml:space="preserve"> markets worldwide are changing rapidly. Demographic and political forces now shape how and where people work, directly influencing how </w:t>
      </w:r>
      <w:proofErr w:type="spellStart"/>
      <w:r w:rsidRPr="004C7BF0">
        <w:rPr>
          <w:rFonts w:ascii="Arial" w:hAnsi="Arial" w:cs="Arial"/>
        </w:rPr>
        <w:t>organisations</w:t>
      </w:r>
      <w:proofErr w:type="spellEnd"/>
      <w:r w:rsidRPr="004C7BF0">
        <w:rPr>
          <w:rFonts w:ascii="Arial" w:hAnsi="Arial" w:cs="Arial"/>
        </w:rPr>
        <w:t xml:space="preserve"> manage their workforce. HR professionals must create strategies that keep employees stable, skilled, and motivated in a time of constant change.</w:t>
      </w:r>
    </w:p>
    <w:p w14:paraId="373C91EE" w14:textId="33C62E56" w:rsidR="004C7BF0" w:rsidRPr="004C7BF0" w:rsidRDefault="004C7BF0" w:rsidP="00D64E9B">
      <w:pPr>
        <w:spacing w:line="360" w:lineRule="auto"/>
        <w:jc w:val="both"/>
        <w:rPr>
          <w:rFonts w:ascii="Arial" w:hAnsi="Arial" w:cs="Arial"/>
        </w:rPr>
      </w:pPr>
      <w:r w:rsidRPr="004C7BF0">
        <w:rPr>
          <w:rFonts w:ascii="Arial" w:hAnsi="Arial" w:cs="Arial"/>
        </w:rPr>
        <w:t xml:space="preserve">The global </w:t>
      </w:r>
      <w:proofErr w:type="spellStart"/>
      <w:r w:rsidRPr="004C7BF0">
        <w:rPr>
          <w:rFonts w:ascii="Arial" w:hAnsi="Arial" w:cs="Arial"/>
        </w:rPr>
        <w:t>labour</w:t>
      </w:r>
      <w:proofErr w:type="spellEnd"/>
      <w:r w:rsidRPr="004C7BF0">
        <w:rPr>
          <w:rFonts w:ascii="Arial" w:hAnsi="Arial" w:cs="Arial"/>
        </w:rPr>
        <w:t xml:space="preserve"> market differs sharply by region. Some countries face ageing populations, while others have large numbers of young people seeking work. Migration, political conflict, and shifting policies also affect </w:t>
      </w:r>
      <w:proofErr w:type="spellStart"/>
      <w:r w:rsidRPr="004C7BF0">
        <w:rPr>
          <w:rFonts w:ascii="Arial" w:hAnsi="Arial" w:cs="Arial"/>
        </w:rPr>
        <w:t>labour</w:t>
      </w:r>
      <w:proofErr w:type="spellEnd"/>
      <w:r w:rsidRPr="004C7BF0">
        <w:rPr>
          <w:rFonts w:ascii="Arial" w:hAnsi="Arial" w:cs="Arial"/>
        </w:rPr>
        <w:t xml:space="preserve"> mobility</w:t>
      </w:r>
      <w:r w:rsidRPr="00D64E9B">
        <w:rPr>
          <w:rFonts w:ascii="Arial" w:hAnsi="Arial" w:cs="Arial"/>
        </w:rPr>
        <w:t>.</w:t>
      </w:r>
    </w:p>
    <w:p w14:paraId="0FC87386" w14:textId="27ACEF8C" w:rsidR="00A201EC" w:rsidRPr="00D64E9B" w:rsidRDefault="004C7BF0" w:rsidP="00D64E9B">
      <w:pPr>
        <w:spacing w:line="360" w:lineRule="auto"/>
        <w:jc w:val="both"/>
        <w:rPr>
          <w:rFonts w:ascii="Arial" w:hAnsi="Arial" w:cs="Arial"/>
        </w:rPr>
      </w:pPr>
      <w:r w:rsidRPr="00D64E9B">
        <w:rPr>
          <w:rFonts w:ascii="Arial" w:hAnsi="Arial" w:cs="Arial"/>
          <w:b/>
          <w:bCs/>
        </w:rPr>
        <w:t>Table 1. Highlights of Demographic and Geopolitical Factors.</w:t>
      </w:r>
    </w:p>
    <w:tbl>
      <w:tblPr>
        <w:tblStyle w:val="TableGrid"/>
        <w:tblW w:w="9644" w:type="dxa"/>
        <w:tblLook w:val="04A0" w:firstRow="1" w:lastRow="0" w:firstColumn="1" w:lastColumn="0" w:noHBand="0" w:noVBand="1"/>
      </w:tblPr>
      <w:tblGrid>
        <w:gridCol w:w="2285"/>
        <w:gridCol w:w="2777"/>
        <w:gridCol w:w="3037"/>
        <w:gridCol w:w="1545"/>
      </w:tblGrid>
      <w:tr w:rsidR="00A201EC" w:rsidRPr="00D64E9B" w14:paraId="06BEBB14" w14:textId="77777777" w:rsidTr="00EE3F90">
        <w:trPr>
          <w:trHeight w:val="367"/>
        </w:trPr>
        <w:tc>
          <w:tcPr>
            <w:tcW w:w="2285" w:type="dxa"/>
          </w:tcPr>
          <w:p w14:paraId="1804942E" w14:textId="77777777" w:rsidR="00A201EC" w:rsidRPr="00D64E9B" w:rsidRDefault="00A201EC" w:rsidP="00D64E9B">
            <w:pPr>
              <w:spacing w:line="360" w:lineRule="auto"/>
              <w:rPr>
                <w:rFonts w:ascii="Arial" w:hAnsi="Arial" w:cs="Arial"/>
              </w:rPr>
            </w:pPr>
            <w:r w:rsidRPr="00D64E9B">
              <w:rPr>
                <w:rFonts w:ascii="Arial" w:hAnsi="Arial" w:cs="Arial"/>
              </w:rPr>
              <w:t>Factor</w:t>
            </w:r>
          </w:p>
        </w:tc>
        <w:tc>
          <w:tcPr>
            <w:tcW w:w="2777" w:type="dxa"/>
          </w:tcPr>
          <w:p w14:paraId="02B55A8B" w14:textId="77777777" w:rsidR="00A201EC" w:rsidRPr="00D64E9B" w:rsidRDefault="00A201EC" w:rsidP="00D64E9B">
            <w:pPr>
              <w:spacing w:line="360" w:lineRule="auto"/>
              <w:rPr>
                <w:rFonts w:ascii="Arial" w:hAnsi="Arial" w:cs="Arial"/>
              </w:rPr>
            </w:pPr>
            <w:r w:rsidRPr="00D64E9B">
              <w:rPr>
                <w:rFonts w:ascii="Arial" w:hAnsi="Arial" w:cs="Arial"/>
              </w:rPr>
              <w:t>Current Global Trend (2023)</w:t>
            </w:r>
          </w:p>
        </w:tc>
        <w:tc>
          <w:tcPr>
            <w:tcW w:w="3037" w:type="dxa"/>
          </w:tcPr>
          <w:p w14:paraId="025F31F5" w14:textId="77777777" w:rsidR="00A201EC" w:rsidRPr="00D64E9B" w:rsidRDefault="00A201EC" w:rsidP="00D64E9B">
            <w:pPr>
              <w:spacing w:line="360" w:lineRule="auto"/>
              <w:rPr>
                <w:rFonts w:ascii="Arial" w:hAnsi="Arial" w:cs="Arial"/>
              </w:rPr>
            </w:pPr>
            <w:r w:rsidRPr="00D64E9B">
              <w:rPr>
                <w:rFonts w:ascii="Arial" w:hAnsi="Arial" w:cs="Arial"/>
              </w:rPr>
              <w:t>Key HRM / IHRM Implications</w:t>
            </w:r>
          </w:p>
        </w:tc>
        <w:tc>
          <w:tcPr>
            <w:tcW w:w="1545" w:type="dxa"/>
          </w:tcPr>
          <w:p w14:paraId="190C44F9" w14:textId="77777777" w:rsidR="00A201EC" w:rsidRPr="00D64E9B" w:rsidRDefault="00A201EC" w:rsidP="00D64E9B">
            <w:pPr>
              <w:spacing w:line="360" w:lineRule="auto"/>
              <w:rPr>
                <w:rFonts w:ascii="Arial" w:hAnsi="Arial" w:cs="Arial"/>
              </w:rPr>
            </w:pPr>
            <w:r w:rsidRPr="00D64E9B">
              <w:rPr>
                <w:rFonts w:ascii="Arial" w:hAnsi="Arial" w:cs="Arial"/>
              </w:rPr>
              <w:t>Source (Data From)</w:t>
            </w:r>
          </w:p>
        </w:tc>
      </w:tr>
      <w:tr w:rsidR="00A201EC" w:rsidRPr="00D64E9B" w14:paraId="7F8ACA37" w14:textId="77777777" w:rsidTr="00EE3F90">
        <w:trPr>
          <w:trHeight w:val="379"/>
        </w:trPr>
        <w:tc>
          <w:tcPr>
            <w:tcW w:w="2285" w:type="dxa"/>
          </w:tcPr>
          <w:p w14:paraId="5E1BAA13" w14:textId="77777777" w:rsidR="00A201EC" w:rsidRPr="00D64E9B" w:rsidRDefault="00A201EC" w:rsidP="00D64E9B">
            <w:pPr>
              <w:spacing w:line="360" w:lineRule="auto"/>
              <w:rPr>
                <w:rFonts w:ascii="Arial" w:hAnsi="Arial" w:cs="Arial"/>
              </w:rPr>
            </w:pPr>
            <w:r w:rsidRPr="00D64E9B">
              <w:rPr>
                <w:rFonts w:ascii="Arial" w:hAnsi="Arial" w:cs="Arial"/>
              </w:rPr>
              <w:t>Ageing population</w:t>
            </w:r>
          </w:p>
        </w:tc>
        <w:tc>
          <w:tcPr>
            <w:tcW w:w="2777" w:type="dxa"/>
            <w:vAlign w:val="center"/>
          </w:tcPr>
          <w:p w14:paraId="6658914E" w14:textId="77777777" w:rsidR="00A201EC" w:rsidRPr="00D64E9B" w:rsidRDefault="00A201EC" w:rsidP="00D64E9B">
            <w:pPr>
              <w:spacing w:line="360" w:lineRule="auto"/>
              <w:rPr>
                <w:rFonts w:ascii="Arial" w:hAnsi="Arial" w:cs="Arial"/>
              </w:rPr>
            </w:pPr>
            <w:r w:rsidRPr="00D64E9B">
              <w:rPr>
                <w:rFonts w:ascii="Arial" w:hAnsi="Arial" w:cs="Arial"/>
              </w:rPr>
              <w:t>1 in 6 people worldwide aged 60+ by 2050</w:t>
            </w:r>
          </w:p>
        </w:tc>
        <w:tc>
          <w:tcPr>
            <w:tcW w:w="3037" w:type="dxa"/>
            <w:vAlign w:val="center"/>
          </w:tcPr>
          <w:p w14:paraId="6ECB555E" w14:textId="77777777" w:rsidR="00A201EC" w:rsidRPr="00D64E9B" w:rsidRDefault="00A201EC" w:rsidP="00D64E9B">
            <w:pPr>
              <w:spacing w:line="360" w:lineRule="auto"/>
              <w:rPr>
                <w:rFonts w:ascii="Arial" w:hAnsi="Arial" w:cs="Arial"/>
              </w:rPr>
            </w:pPr>
            <w:r w:rsidRPr="00D64E9B">
              <w:rPr>
                <w:rFonts w:ascii="Arial" w:hAnsi="Arial" w:cs="Arial"/>
              </w:rPr>
              <w:t>Skill shortages; need for flexible and safe work design</w:t>
            </w:r>
          </w:p>
        </w:tc>
        <w:tc>
          <w:tcPr>
            <w:tcW w:w="1545" w:type="dxa"/>
            <w:vAlign w:val="center"/>
          </w:tcPr>
          <w:p w14:paraId="0996F6E8" w14:textId="77777777" w:rsidR="00A201EC" w:rsidRPr="00D64E9B" w:rsidRDefault="00A201EC" w:rsidP="00D64E9B">
            <w:pPr>
              <w:spacing w:line="360" w:lineRule="auto"/>
              <w:rPr>
                <w:rFonts w:ascii="Arial" w:hAnsi="Arial" w:cs="Arial"/>
              </w:rPr>
            </w:pPr>
            <w:r w:rsidRPr="00D64E9B">
              <w:rPr>
                <w:rFonts w:ascii="Arial" w:hAnsi="Arial" w:cs="Arial"/>
              </w:rPr>
              <w:t>UN (2022)</w:t>
            </w:r>
          </w:p>
        </w:tc>
      </w:tr>
      <w:tr w:rsidR="00A201EC" w:rsidRPr="00D64E9B" w14:paraId="64361203" w14:textId="77777777" w:rsidTr="00EE3F90">
        <w:trPr>
          <w:trHeight w:val="735"/>
        </w:trPr>
        <w:tc>
          <w:tcPr>
            <w:tcW w:w="2285" w:type="dxa"/>
            <w:vAlign w:val="center"/>
          </w:tcPr>
          <w:p w14:paraId="0A7C9911" w14:textId="77777777" w:rsidR="00A201EC" w:rsidRPr="00D64E9B" w:rsidRDefault="00A201EC" w:rsidP="00D64E9B">
            <w:pPr>
              <w:spacing w:line="360" w:lineRule="auto"/>
              <w:rPr>
                <w:rFonts w:ascii="Arial" w:hAnsi="Arial" w:cs="Arial"/>
              </w:rPr>
            </w:pPr>
            <w:r w:rsidRPr="00D64E9B">
              <w:rPr>
                <w:rFonts w:ascii="Arial" w:hAnsi="Arial" w:cs="Arial"/>
              </w:rPr>
              <w:t>Youth bulge in developing regions</w:t>
            </w:r>
          </w:p>
        </w:tc>
        <w:tc>
          <w:tcPr>
            <w:tcW w:w="2777" w:type="dxa"/>
            <w:vAlign w:val="center"/>
          </w:tcPr>
          <w:p w14:paraId="6908E908" w14:textId="77777777" w:rsidR="00A201EC" w:rsidRPr="00D64E9B" w:rsidRDefault="00A201EC" w:rsidP="00D64E9B">
            <w:pPr>
              <w:spacing w:line="360" w:lineRule="auto"/>
              <w:rPr>
                <w:rFonts w:ascii="Arial" w:hAnsi="Arial" w:cs="Arial"/>
              </w:rPr>
            </w:pPr>
            <w:r w:rsidRPr="00D64E9B">
              <w:rPr>
                <w:rFonts w:ascii="Arial" w:hAnsi="Arial" w:cs="Arial"/>
              </w:rPr>
              <w:t>60% of Sub-Saharan Africa’s population is under 25 years</w:t>
            </w:r>
          </w:p>
        </w:tc>
        <w:tc>
          <w:tcPr>
            <w:tcW w:w="3037" w:type="dxa"/>
            <w:vAlign w:val="center"/>
          </w:tcPr>
          <w:p w14:paraId="15E0B92B" w14:textId="77777777" w:rsidR="00A201EC" w:rsidRPr="00D64E9B" w:rsidRDefault="00A201EC" w:rsidP="00D64E9B">
            <w:pPr>
              <w:spacing w:line="360" w:lineRule="auto"/>
              <w:rPr>
                <w:rFonts w:ascii="Arial" w:hAnsi="Arial" w:cs="Arial"/>
              </w:rPr>
            </w:pPr>
            <w:r w:rsidRPr="00D64E9B">
              <w:rPr>
                <w:rFonts w:ascii="Arial" w:hAnsi="Arial" w:cs="Arial"/>
              </w:rPr>
              <w:t>Unemployment; migration pressure</w:t>
            </w:r>
          </w:p>
        </w:tc>
        <w:tc>
          <w:tcPr>
            <w:tcW w:w="1545" w:type="dxa"/>
            <w:vAlign w:val="center"/>
          </w:tcPr>
          <w:p w14:paraId="692C5141" w14:textId="77777777" w:rsidR="00A201EC" w:rsidRPr="00D64E9B" w:rsidRDefault="00A201EC" w:rsidP="00D64E9B">
            <w:pPr>
              <w:spacing w:line="360" w:lineRule="auto"/>
              <w:rPr>
                <w:rFonts w:ascii="Arial" w:hAnsi="Arial" w:cs="Arial"/>
              </w:rPr>
            </w:pPr>
            <w:r w:rsidRPr="00D64E9B">
              <w:rPr>
                <w:rFonts w:ascii="Arial" w:hAnsi="Arial" w:cs="Arial"/>
              </w:rPr>
              <w:t>ILO (2023)</w:t>
            </w:r>
          </w:p>
        </w:tc>
      </w:tr>
      <w:tr w:rsidR="00A201EC" w:rsidRPr="00D64E9B" w14:paraId="79CB7267" w14:textId="77777777" w:rsidTr="00EE3F90">
        <w:trPr>
          <w:trHeight w:val="367"/>
        </w:trPr>
        <w:tc>
          <w:tcPr>
            <w:tcW w:w="2285" w:type="dxa"/>
            <w:vAlign w:val="center"/>
          </w:tcPr>
          <w:p w14:paraId="095DF068" w14:textId="77777777" w:rsidR="00A201EC" w:rsidRPr="00D64E9B" w:rsidRDefault="00A201EC" w:rsidP="00D64E9B">
            <w:pPr>
              <w:spacing w:line="360" w:lineRule="auto"/>
              <w:rPr>
                <w:rFonts w:ascii="Arial" w:hAnsi="Arial" w:cs="Arial"/>
              </w:rPr>
            </w:pPr>
            <w:proofErr w:type="spellStart"/>
            <w:r w:rsidRPr="00D64E9B">
              <w:rPr>
                <w:rFonts w:ascii="Arial" w:hAnsi="Arial" w:cs="Arial"/>
              </w:rPr>
              <w:t>Labour</w:t>
            </w:r>
            <w:proofErr w:type="spellEnd"/>
            <w:r w:rsidRPr="00D64E9B">
              <w:rPr>
                <w:rFonts w:ascii="Arial" w:hAnsi="Arial" w:cs="Arial"/>
              </w:rPr>
              <w:t xml:space="preserve"> migration</w:t>
            </w:r>
          </w:p>
        </w:tc>
        <w:tc>
          <w:tcPr>
            <w:tcW w:w="2777" w:type="dxa"/>
            <w:vAlign w:val="center"/>
          </w:tcPr>
          <w:p w14:paraId="73DC8E29" w14:textId="77777777" w:rsidR="00A201EC" w:rsidRPr="00D64E9B" w:rsidRDefault="00A201EC" w:rsidP="00D64E9B">
            <w:pPr>
              <w:spacing w:line="360" w:lineRule="auto"/>
              <w:rPr>
                <w:rFonts w:ascii="Arial" w:hAnsi="Arial" w:cs="Arial"/>
              </w:rPr>
            </w:pPr>
            <w:r w:rsidRPr="00D64E9B">
              <w:rPr>
                <w:rFonts w:ascii="Arial" w:hAnsi="Arial" w:cs="Arial"/>
              </w:rPr>
              <w:t>169 million migrant workers globally</w:t>
            </w:r>
          </w:p>
        </w:tc>
        <w:tc>
          <w:tcPr>
            <w:tcW w:w="3037" w:type="dxa"/>
            <w:vAlign w:val="center"/>
          </w:tcPr>
          <w:p w14:paraId="6F46A690" w14:textId="77777777" w:rsidR="00A201EC" w:rsidRPr="00D64E9B" w:rsidRDefault="00A201EC" w:rsidP="00D64E9B">
            <w:pPr>
              <w:spacing w:line="360" w:lineRule="auto"/>
              <w:rPr>
                <w:rFonts w:ascii="Arial" w:hAnsi="Arial" w:cs="Arial"/>
              </w:rPr>
            </w:pPr>
            <w:r w:rsidRPr="00D64E9B">
              <w:rPr>
                <w:rFonts w:ascii="Arial" w:hAnsi="Arial" w:cs="Arial"/>
              </w:rPr>
              <w:t>Integration challenges; visa risks</w:t>
            </w:r>
          </w:p>
        </w:tc>
        <w:tc>
          <w:tcPr>
            <w:tcW w:w="1545" w:type="dxa"/>
            <w:vAlign w:val="center"/>
          </w:tcPr>
          <w:p w14:paraId="0470E345" w14:textId="77777777" w:rsidR="00A201EC" w:rsidRPr="00D64E9B" w:rsidRDefault="00A201EC" w:rsidP="00D64E9B">
            <w:pPr>
              <w:spacing w:line="360" w:lineRule="auto"/>
              <w:rPr>
                <w:rFonts w:ascii="Arial" w:hAnsi="Arial" w:cs="Arial"/>
              </w:rPr>
            </w:pPr>
            <w:r w:rsidRPr="00D64E9B">
              <w:rPr>
                <w:rFonts w:ascii="Arial" w:hAnsi="Arial" w:cs="Arial"/>
              </w:rPr>
              <w:t>ILO (2023)</w:t>
            </w:r>
          </w:p>
        </w:tc>
      </w:tr>
      <w:tr w:rsidR="00A201EC" w:rsidRPr="00D64E9B" w14:paraId="48AE2B96" w14:textId="77777777" w:rsidTr="00EE3F90">
        <w:trPr>
          <w:trHeight w:val="748"/>
        </w:trPr>
        <w:tc>
          <w:tcPr>
            <w:tcW w:w="2285" w:type="dxa"/>
            <w:vAlign w:val="center"/>
          </w:tcPr>
          <w:p w14:paraId="0CF0DD4C" w14:textId="77777777" w:rsidR="00A201EC" w:rsidRPr="00D64E9B" w:rsidRDefault="00A201EC" w:rsidP="00D64E9B">
            <w:pPr>
              <w:spacing w:line="360" w:lineRule="auto"/>
              <w:rPr>
                <w:rFonts w:ascii="Arial" w:hAnsi="Arial" w:cs="Arial"/>
              </w:rPr>
            </w:pPr>
            <w:r w:rsidRPr="00D64E9B">
              <w:rPr>
                <w:rFonts w:ascii="Arial" w:hAnsi="Arial" w:cs="Arial"/>
              </w:rPr>
              <w:lastRenderedPageBreak/>
              <w:t>Geopolitical conflict</w:t>
            </w:r>
          </w:p>
        </w:tc>
        <w:tc>
          <w:tcPr>
            <w:tcW w:w="2777" w:type="dxa"/>
            <w:vAlign w:val="center"/>
          </w:tcPr>
          <w:p w14:paraId="0F66541A" w14:textId="77777777" w:rsidR="00A201EC" w:rsidRPr="00D64E9B" w:rsidRDefault="00A201EC" w:rsidP="00D64E9B">
            <w:pPr>
              <w:spacing w:line="360" w:lineRule="auto"/>
              <w:rPr>
                <w:rFonts w:ascii="Arial" w:hAnsi="Arial" w:cs="Arial"/>
              </w:rPr>
            </w:pPr>
            <w:r w:rsidRPr="00D64E9B">
              <w:rPr>
                <w:rFonts w:ascii="Arial" w:hAnsi="Arial" w:cs="Arial"/>
              </w:rPr>
              <w:t>Russia–Ukraine war displacing 6 million workers</w:t>
            </w:r>
          </w:p>
        </w:tc>
        <w:tc>
          <w:tcPr>
            <w:tcW w:w="3037" w:type="dxa"/>
            <w:vAlign w:val="center"/>
          </w:tcPr>
          <w:p w14:paraId="63B5125B" w14:textId="77777777" w:rsidR="00A201EC" w:rsidRPr="00D64E9B" w:rsidRDefault="00A201EC" w:rsidP="00D64E9B">
            <w:pPr>
              <w:spacing w:line="360" w:lineRule="auto"/>
              <w:rPr>
                <w:rFonts w:ascii="Arial" w:hAnsi="Arial" w:cs="Arial"/>
              </w:rPr>
            </w:pPr>
            <w:r w:rsidRPr="00D64E9B">
              <w:rPr>
                <w:rFonts w:ascii="Arial" w:hAnsi="Arial" w:cs="Arial"/>
              </w:rPr>
              <w:t xml:space="preserve">Disruption in supply chains and </w:t>
            </w:r>
            <w:proofErr w:type="spellStart"/>
            <w:r w:rsidRPr="00D64E9B">
              <w:rPr>
                <w:rFonts w:ascii="Arial" w:hAnsi="Arial" w:cs="Arial"/>
              </w:rPr>
              <w:t>labour</w:t>
            </w:r>
            <w:proofErr w:type="spellEnd"/>
            <w:r w:rsidRPr="00D64E9B">
              <w:rPr>
                <w:rFonts w:ascii="Arial" w:hAnsi="Arial" w:cs="Arial"/>
              </w:rPr>
              <w:t xml:space="preserve"> relocation</w:t>
            </w:r>
          </w:p>
        </w:tc>
        <w:tc>
          <w:tcPr>
            <w:tcW w:w="1545" w:type="dxa"/>
            <w:vAlign w:val="center"/>
          </w:tcPr>
          <w:p w14:paraId="348E0DA4" w14:textId="77777777" w:rsidR="00A201EC" w:rsidRPr="00D64E9B" w:rsidRDefault="00A201EC" w:rsidP="00D64E9B">
            <w:pPr>
              <w:spacing w:line="360" w:lineRule="auto"/>
              <w:rPr>
                <w:rFonts w:ascii="Arial" w:hAnsi="Arial" w:cs="Arial"/>
              </w:rPr>
            </w:pPr>
            <w:r w:rsidRPr="00D64E9B">
              <w:rPr>
                <w:rFonts w:ascii="Arial" w:hAnsi="Arial" w:cs="Arial"/>
              </w:rPr>
              <w:t>World Bank (2023)</w:t>
            </w:r>
          </w:p>
        </w:tc>
      </w:tr>
      <w:tr w:rsidR="00A201EC" w:rsidRPr="00D64E9B" w14:paraId="5619027A" w14:textId="77777777" w:rsidTr="00EE3F90">
        <w:trPr>
          <w:trHeight w:val="748"/>
        </w:trPr>
        <w:tc>
          <w:tcPr>
            <w:tcW w:w="2285" w:type="dxa"/>
            <w:vAlign w:val="center"/>
          </w:tcPr>
          <w:p w14:paraId="5CCAFF9E" w14:textId="77777777" w:rsidR="00A201EC" w:rsidRPr="00D64E9B" w:rsidRDefault="00A201EC" w:rsidP="00D64E9B">
            <w:pPr>
              <w:spacing w:line="360" w:lineRule="auto"/>
              <w:rPr>
                <w:rFonts w:ascii="Arial" w:hAnsi="Arial" w:cs="Arial"/>
              </w:rPr>
            </w:pPr>
            <w:r w:rsidRPr="00D64E9B">
              <w:rPr>
                <w:rFonts w:ascii="Arial" w:hAnsi="Arial" w:cs="Arial"/>
              </w:rPr>
              <w:t>Post-Brexit policy shift (UK)</w:t>
            </w:r>
          </w:p>
        </w:tc>
        <w:tc>
          <w:tcPr>
            <w:tcW w:w="2777" w:type="dxa"/>
            <w:vAlign w:val="center"/>
          </w:tcPr>
          <w:p w14:paraId="72BD4057" w14:textId="77777777" w:rsidR="00A201EC" w:rsidRPr="00D64E9B" w:rsidRDefault="00A201EC" w:rsidP="00D64E9B">
            <w:pPr>
              <w:spacing w:line="360" w:lineRule="auto"/>
              <w:rPr>
                <w:rFonts w:ascii="Arial" w:hAnsi="Arial" w:cs="Arial"/>
              </w:rPr>
            </w:pPr>
            <w:r w:rsidRPr="00D64E9B">
              <w:rPr>
                <w:rFonts w:ascii="Arial" w:hAnsi="Arial" w:cs="Arial"/>
              </w:rPr>
              <w:t xml:space="preserve">EU </w:t>
            </w:r>
            <w:proofErr w:type="spellStart"/>
            <w:r w:rsidRPr="00D64E9B">
              <w:rPr>
                <w:rFonts w:ascii="Arial" w:hAnsi="Arial" w:cs="Arial"/>
              </w:rPr>
              <w:t>labour</w:t>
            </w:r>
            <w:proofErr w:type="spellEnd"/>
            <w:r w:rsidRPr="00D64E9B">
              <w:rPr>
                <w:rFonts w:ascii="Arial" w:hAnsi="Arial" w:cs="Arial"/>
              </w:rPr>
              <w:t xml:space="preserve"> inflow ↓ by 40% since 2020</w:t>
            </w:r>
          </w:p>
        </w:tc>
        <w:tc>
          <w:tcPr>
            <w:tcW w:w="3037" w:type="dxa"/>
            <w:vAlign w:val="center"/>
          </w:tcPr>
          <w:p w14:paraId="615A31AE" w14:textId="77777777" w:rsidR="00A201EC" w:rsidRPr="00D64E9B" w:rsidRDefault="00A201EC" w:rsidP="00D64E9B">
            <w:pPr>
              <w:spacing w:line="360" w:lineRule="auto"/>
              <w:rPr>
                <w:rFonts w:ascii="Arial" w:hAnsi="Arial" w:cs="Arial"/>
              </w:rPr>
            </w:pPr>
            <w:r w:rsidRPr="00D64E9B">
              <w:rPr>
                <w:rFonts w:ascii="Arial" w:hAnsi="Arial" w:cs="Arial"/>
              </w:rPr>
              <w:t>Domestic upskilling; use of automation</w:t>
            </w:r>
          </w:p>
        </w:tc>
        <w:tc>
          <w:tcPr>
            <w:tcW w:w="1545" w:type="dxa"/>
            <w:vAlign w:val="center"/>
          </w:tcPr>
          <w:p w14:paraId="5C30C596" w14:textId="77777777" w:rsidR="00A201EC" w:rsidRPr="00D64E9B" w:rsidRDefault="00A201EC" w:rsidP="00D64E9B">
            <w:pPr>
              <w:spacing w:line="360" w:lineRule="auto"/>
              <w:rPr>
                <w:rFonts w:ascii="Arial" w:hAnsi="Arial" w:cs="Arial"/>
              </w:rPr>
            </w:pPr>
            <w:r w:rsidRPr="00D64E9B">
              <w:rPr>
                <w:rFonts w:ascii="Arial" w:hAnsi="Arial" w:cs="Arial"/>
              </w:rPr>
              <w:t>CIPD (2023)</w:t>
            </w:r>
          </w:p>
        </w:tc>
      </w:tr>
    </w:tbl>
    <w:p w14:paraId="1880ED3F" w14:textId="77777777" w:rsidR="00A201EC" w:rsidRPr="00D64E9B" w:rsidRDefault="00A201EC" w:rsidP="00D64E9B">
      <w:pPr>
        <w:spacing w:line="360" w:lineRule="auto"/>
        <w:jc w:val="center"/>
        <w:rPr>
          <w:rFonts w:ascii="Arial" w:hAnsi="Arial" w:cs="Arial"/>
          <w:color w:val="000000" w:themeColor="text1"/>
        </w:rPr>
      </w:pPr>
      <w:r w:rsidRPr="00D64E9B">
        <w:rPr>
          <w:rFonts w:ascii="Arial" w:hAnsi="Arial" w:cs="Arial"/>
          <w:color w:val="000000" w:themeColor="text1"/>
        </w:rPr>
        <w:t>Source: Author’s summary from various literature.</w:t>
      </w:r>
    </w:p>
    <w:p w14:paraId="251A4515" w14:textId="77777777" w:rsidR="00A201EC" w:rsidRDefault="00A201EC" w:rsidP="00D64E9B">
      <w:pPr>
        <w:spacing w:line="360" w:lineRule="auto"/>
        <w:jc w:val="both"/>
        <w:rPr>
          <w:rFonts w:ascii="Arial" w:hAnsi="Arial" w:cs="Arial"/>
          <w:color w:val="000000" w:themeColor="text1"/>
        </w:rPr>
      </w:pPr>
      <w:r w:rsidRPr="00D64E9B">
        <w:rPr>
          <w:rFonts w:ascii="Arial" w:hAnsi="Arial" w:cs="Arial"/>
          <w:color w:val="000000" w:themeColor="text1"/>
        </w:rPr>
        <w:t xml:space="preserve">The demographic and geopolitical shifts shown in Table 1 highlight how ageing populations, youth unemployment, and migration flows interact to reshape both the supply and demand of </w:t>
      </w:r>
      <w:proofErr w:type="spellStart"/>
      <w:r w:rsidRPr="00D64E9B">
        <w:rPr>
          <w:rFonts w:ascii="Arial" w:hAnsi="Arial" w:cs="Arial"/>
          <w:color w:val="000000" w:themeColor="text1"/>
        </w:rPr>
        <w:t>labour</w:t>
      </w:r>
      <w:proofErr w:type="spellEnd"/>
      <w:r w:rsidRPr="00D64E9B">
        <w:rPr>
          <w:rFonts w:ascii="Arial" w:hAnsi="Arial" w:cs="Arial"/>
          <w:color w:val="000000" w:themeColor="text1"/>
        </w:rPr>
        <w:t>. For HRM, these trends require the redesign of work to accommodate older employees and flexible career pathways for younger workers. For IHRM, they necessitate cross-border compliance frameworks, culturally inclusive onboarding, and the use of remote assignments to balance talent shortages. Together, these factors demand a proactive, data-driven approach to workforce planning that combines demographic forecasting with international policy awareness.</w:t>
      </w:r>
    </w:p>
    <w:p w14:paraId="4EAB8801" w14:textId="3981D16A" w:rsidR="00721BA2" w:rsidRPr="00D64E9B" w:rsidRDefault="00721BA2" w:rsidP="00D64E9B">
      <w:pPr>
        <w:spacing w:line="360" w:lineRule="auto"/>
        <w:jc w:val="both"/>
        <w:rPr>
          <w:rFonts w:ascii="Arial" w:hAnsi="Arial" w:cs="Arial"/>
          <w:color w:val="000000" w:themeColor="text1"/>
        </w:rPr>
      </w:pPr>
      <w:r w:rsidRPr="002B199E">
        <w:rPr>
          <w:rFonts w:ascii="Arial" w:hAnsi="Arial" w:cs="Arial"/>
          <w:b/>
          <w:bCs/>
          <w:color w:val="000000" w:themeColor="text1"/>
        </w:rPr>
        <w:t>Figure 1:</w:t>
      </w:r>
      <w:r>
        <w:rPr>
          <w:rFonts w:ascii="Arial" w:hAnsi="Arial" w:cs="Arial"/>
          <w:color w:val="000000" w:themeColor="text1"/>
        </w:rPr>
        <w:t xml:space="preserve"> </w:t>
      </w:r>
      <w:r w:rsidRPr="00D64E9B">
        <w:rPr>
          <w:rFonts w:ascii="Arial" w:hAnsi="Arial" w:cs="Arial"/>
          <w:i/>
          <w:iCs/>
        </w:rPr>
        <w:t>Youth and Ageing Population</w:t>
      </w:r>
      <w:r>
        <w:rPr>
          <w:rFonts w:ascii="Arial" w:hAnsi="Arial" w:cs="Arial"/>
          <w:i/>
          <w:iCs/>
        </w:rPr>
        <w:t>.</w:t>
      </w:r>
    </w:p>
    <w:p w14:paraId="7BD8FD22" w14:textId="77777777" w:rsidR="00A201EC" w:rsidRPr="00D64E9B" w:rsidRDefault="00A201EC" w:rsidP="00D64E9B">
      <w:pPr>
        <w:spacing w:line="360" w:lineRule="auto"/>
        <w:jc w:val="center"/>
        <w:rPr>
          <w:rFonts w:ascii="Arial" w:hAnsi="Arial" w:cs="Arial"/>
          <w:color w:val="EE0000"/>
        </w:rPr>
      </w:pPr>
      <w:r w:rsidRPr="00D64E9B">
        <w:rPr>
          <w:rFonts w:ascii="Arial" w:hAnsi="Arial" w:cs="Arial"/>
          <w:noProof/>
        </w:rPr>
        <w:drawing>
          <wp:inline distT="0" distB="0" distL="0" distR="0" wp14:anchorId="4AF8C816" wp14:editId="4520CD28">
            <wp:extent cx="6202680" cy="2689860"/>
            <wp:effectExtent l="0" t="0" r="7620" b="15240"/>
            <wp:docPr id="206440907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D64E9B">
        <w:rPr>
          <w:rFonts w:ascii="Arial" w:hAnsi="Arial" w:cs="Arial"/>
        </w:rPr>
        <w:br/>
      </w:r>
      <w:r w:rsidRPr="00D64E9B">
        <w:rPr>
          <w:rFonts w:ascii="Arial" w:hAnsi="Arial" w:cs="Arial"/>
          <w:i/>
          <w:iCs/>
        </w:rPr>
        <w:t>Source: Youth and Ageing Population by Region (UN, 2022; ILO, 2023)</w:t>
      </w:r>
    </w:p>
    <w:p w14:paraId="63BCD088" w14:textId="0E1DFA01" w:rsidR="00C9751F" w:rsidRPr="00C9751F" w:rsidRDefault="00C9751F" w:rsidP="00D64E9B">
      <w:pPr>
        <w:tabs>
          <w:tab w:val="left" w:pos="1704"/>
        </w:tabs>
        <w:spacing w:line="360" w:lineRule="auto"/>
        <w:rPr>
          <w:rFonts w:ascii="Arial" w:hAnsi="Arial" w:cs="Arial"/>
        </w:rPr>
      </w:pPr>
      <w:r w:rsidRPr="00C9751F">
        <w:rPr>
          <w:rFonts w:ascii="Arial" w:hAnsi="Arial" w:cs="Arial"/>
        </w:rPr>
        <w:t xml:space="preserve">Europe and North America have more </w:t>
      </w:r>
      <w:r w:rsidRPr="00D64E9B">
        <w:rPr>
          <w:rFonts w:ascii="Arial" w:hAnsi="Arial" w:cs="Arial"/>
        </w:rPr>
        <w:t>aging workers, while Asia and Sub-Saharan Africa have younger ones. These differences</w:t>
      </w:r>
      <w:r w:rsidRPr="00C9751F">
        <w:rPr>
          <w:rFonts w:ascii="Arial" w:hAnsi="Arial" w:cs="Arial"/>
        </w:rPr>
        <w:t xml:space="preserve"> will influence future talent flows. Ageing in developed countries reduces active </w:t>
      </w:r>
      <w:proofErr w:type="spellStart"/>
      <w:r w:rsidRPr="00C9751F">
        <w:rPr>
          <w:rFonts w:ascii="Arial" w:hAnsi="Arial" w:cs="Arial"/>
        </w:rPr>
        <w:t>labour</w:t>
      </w:r>
      <w:proofErr w:type="spellEnd"/>
      <w:r w:rsidRPr="00C9751F">
        <w:rPr>
          <w:rFonts w:ascii="Arial" w:hAnsi="Arial" w:cs="Arial"/>
        </w:rPr>
        <w:t xml:space="preserve"> forces and increases demand for healthcare </w:t>
      </w:r>
      <w:r w:rsidRPr="00C9751F">
        <w:rPr>
          <w:rFonts w:ascii="Arial" w:hAnsi="Arial" w:cs="Arial"/>
        </w:rPr>
        <w:lastRenderedPageBreak/>
        <w:t>roles. The UN (2022) projects that by 2050, 16 % of people will be over 60. Meanwhile, developing regions face youth unemployment, driving migration toward economies with better prospects.</w:t>
      </w:r>
    </w:p>
    <w:p w14:paraId="5D98CF71" w14:textId="77777777" w:rsidR="00C9751F" w:rsidRPr="00C9751F" w:rsidRDefault="00C9751F" w:rsidP="00D64E9B">
      <w:pPr>
        <w:tabs>
          <w:tab w:val="left" w:pos="1704"/>
        </w:tabs>
        <w:spacing w:line="360" w:lineRule="auto"/>
        <w:rPr>
          <w:rFonts w:ascii="Arial" w:hAnsi="Arial" w:cs="Arial"/>
        </w:rPr>
      </w:pPr>
      <w:r w:rsidRPr="00C9751F">
        <w:rPr>
          <w:rFonts w:ascii="Arial" w:hAnsi="Arial" w:cs="Arial"/>
        </w:rPr>
        <w:t>To manage these shifts, HR policies must support both older and younger workers. BMW’s Today for Tomorrow project redesigned factories to keep older staff productive (OECD, 2023). Younger employees, especially Generation Z, seek flexibility, fairness, and purpose, prompting firms to use digital tools and social media to attract and retain them (CIPD, 2023).</w:t>
      </w:r>
    </w:p>
    <w:p w14:paraId="4A5AFA51" w14:textId="19DD972B" w:rsidR="00C9751F" w:rsidRPr="00C9751F" w:rsidRDefault="00C9751F" w:rsidP="00D64E9B">
      <w:pPr>
        <w:tabs>
          <w:tab w:val="left" w:pos="1704"/>
        </w:tabs>
        <w:spacing w:line="360" w:lineRule="auto"/>
        <w:rPr>
          <w:rFonts w:ascii="Arial" w:hAnsi="Arial" w:cs="Arial"/>
        </w:rPr>
      </w:pPr>
      <w:r w:rsidRPr="00C9751F">
        <w:rPr>
          <w:rFonts w:ascii="Arial" w:hAnsi="Arial" w:cs="Arial"/>
        </w:rPr>
        <w:t xml:space="preserve">Migration remains vital to many economies. The UK NHS employs thousands of medical professionals from Asia and Africa (NHS, 2023). Yet hiring internationally brings </w:t>
      </w:r>
      <w:proofErr w:type="gramStart"/>
      <w:r w:rsidRPr="00C9751F">
        <w:rPr>
          <w:rFonts w:ascii="Arial" w:hAnsi="Arial" w:cs="Arial"/>
        </w:rPr>
        <w:t>visa</w:t>
      </w:r>
      <w:proofErr w:type="gramEnd"/>
      <w:r w:rsidRPr="00C9751F">
        <w:rPr>
          <w:rFonts w:ascii="Arial" w:hAnsi="Arial" w:cs="Arial"/>
        </w:rPr>
        <w:t xml:space="preserve">, </w:t>
      </w:r>
      <w:r w:rsidRPr="00D64E9B">
        <w:rPr>
          <w:rFonts w:ascii="Arial" w:hAnsi="Arial" w:cs="Arial"/>
        </w:rPr>
        <w:t>qualifications</w:t>
      </w:r>
      <w:r w:rsidRPr="00C9751F">
        <w:rPr>
          <w:rFonts w:ascii="Arial" w:hAnsi="Arial" w:cs="Arial"/>
        </w:rPr>
        <w:t>, and cultural challenges. HR managers must provide strong onboarding and cross-cultural training to help international staff integrate and feel valued.</w:t>
      </w:r>
    </w:p>
    <w:p w14:paraId="1F41CE38" w14:textId="77777777" w:rsidR="00C9751F" w:rsidRPr="00C9751F" w:rsidRDefault="00C9751F" w:rsidP="00D64E9B">
      <w:pPr>
        <w:tabs>
          <w:tab w:val="left" w:pos="1704"/>
        </w:tabs>
        <w:spacing w:line="360" w:lineRule="auto"/>
        <w:rPr>
          <w:rFonts w:ascii="Arial" w:hAnsi="Arial" w:cs="Arial"/>
        </w:rPr>
      </w:pPr>
      <w:r w:rsidRPr="00C9751F">
        <w:rPr>
          <w:rFonts w:ascii="Arial" w:hAnsi="Arial" w:cs="Arial"/>
        </w:rPr>
        <w:t xml:space="preserve">Political events also shape </w:t>
      </w:r>
      <w:proofErr w:type="spellStart"/>
      <w:r w:rsidRPr="00C9751F">
        <w:rPr>
          <w:rFonts w:ascii="Arial" w:hAnsi="Arial" w:cs="Arial"/>
        </w:rPr>
        <w:t>labour</w:t>
      </w:r>
      <w:proofErr w:type="spellEnd"/>
      <w:r w:rsidRPr="00C9751F">
        <w:rPr>
          <w:rFonts w:ascii="Arial" w:hAnsi="Arial" w:cs="Arial"/>
        </w:rPr>
        <w:t xml:space="preserve"> availability. Brexit reduced EU workers in the UK, forcing firms to train locals and automate (CIPD, 2023). The Russia–Ukraine war disrupted European supply chains and mobility (World Bank, 2023). Multinational HR teams now need contingency plans, flexible pay systems, and remote-work policies to stay resilient during such crises.</w:t>
      </w:r>
    </w:p>
    <w:p w14:paraId="3A90F730" w14:textId="77777777" w:rsidR="00C9751F" w:rsidRPr="00C9751F" w:rsidRDefault="00C9751F" w:rsidP="00D64E9B">
      <w:pPr>
        <w:tabs>
          <w:tab w:val="left" w:pos="1704"/>
        </w:tabs>
        <w:spacing w:line="360" w:lineRule="auto"/>
        <w:rPr>
          <w:rFonts w:ascii="Arial" w:hAnsi="Arial" w:cs="Arial"/>
        </w:rPr>
      </w:pPr>
      <w:r w:rsidRPr="00C9751F">
        <w:rPr>
          <w:rFonts w:ascii="Arial" w:hAnsi="Arial" w:cs="Arial"/>
        </w:rPr>
        <w:t xml:space="preserve">Recently, many nations have begun “reshoring” manufacturing to secure supply chains. While this creates local jobs, it increases competition for skilled </w:t>
      </w:r>
      <w:proofErr w:type="spellStart"/>
      <w:r w:rsidRPr="00C9751F">
        <w:rPr>
          <w:rFonts w:ascii="Arial" w:hAnsi="Arial" w:cs="Arial"/>
        </w:rPr>
        <w:t>labour</w:t>
      </w:r>
      <w:proofErr w:type="spellEnd"/>
      <w:r w:rsidRPr="00C9751F">
        <w:rPr>
          <w:rFonts w:ascii="Arial" w:hAnsi="Arial" w:cs="Arial"/>
        </w:rPr>
        <w:t xml:space="preserve"> (ILO, 2023). HR professionals must balance domestic hiring with international collaboration.</w:t>
      </w:r>
    </w:p>
    <w:p w14:paraId="6667B2CB" w14:textId="0B3363C1" w:rsidR="00C9751F" w:rsidRPr="00C9751F" w:rsidRDefault="00C9751F" w:rsidP="00D64E9B">
      <w:pPr>
        <w:tabs>
          <w:tab w:val="left" w:pos="1704"/>
        </w:tabs>
        <w:spacing w:line="360" w:lineRule="auto"/>
        <w:rPr>
          <w:rFonts w:ascii="Arial" w:hAnsi="Arial" w:cs="Arial"/>
        </w:rPr>
      </w:pPr>
      <w:r w:rsidRPr="00C9751F">
        <w:rPr>
          <w:rFonts w:ascii="Arial" w:hAnsi="Arial" w:cs="Arial"/>
        </w:rPr>
        <w:t xml:space="preserve">Cultural diversity further influences workplace </w:t>
      </w:r>
      <w:proofErr w:type="spellStart"/>
      <w:r w:rsidRPr="00C9751F">
        <w:rPr>
          <w:rFonts w:ascii="Arial" w:hAnsi="Arial" w:cs="Arial"/>
        </w:rPr>
        <w:t>behaviour</w:t>
      </w:r>
      <w:proofErr w:type="spellEnd"/>
      <w:r w:rsidRPr="00C9751F">
        <w:rPr>
          <w:rFonts w:ascii="Arial" w:hAnsi="Arial" w:cs="Arial"/>
        </w:rPr>
        <w:t>. Hofstede’s cultural dimensions theory (2023) shows how hierarchy and teamwork vary across countries. HR should design training that fosters understanding and respect for these differences. Global firms such as Google and IBM use workforce data to promote diversity and equitable treatment (Dow</w:t>
      </w:r>
      <w:r w:rsidR="00957A7E">
        <w:rPr>
          <w:rFonts w:ascii="Arial" w:hAnsi="Arial" w:cs="Arial"/>
        </w:rPr>
        <w:t>l</w:t>
      </w:r>
      <w:r w:rsidRPr="00C9751F">
        <w:rPr>
          <w:rFonts w:ascii="Arial" w:hAnsi="Arial" w:cs="Arial"/>
        </w:rPr>
        <w:t>ing et al., 2017).</w:t>
      </w:r>
    </w:p>
    <w:p w14:paraId="4EFFA483" w14:textId="77777777" w:rsidR="00C9751F" w:rsidRPr="00D64E9B" w:rsidRDefault="00A201EC" w:rsidP="00D64E9B">
      <w:pPr>
        <w:tabs>
          <w:tab w:val="left" w:pos="1704"/>
        </w:tabs>
        <w:spacing w:line="360" w:lineRule="auto"/>
        <w:rPr>
          <w:rFonts w:ascii="Arial" w:hAnsi="Arial" w:cs="Arial"/>
        </w:rPr>
      </w:pPr>
      <w:r w:rsidRPr="00D64E9B">
        <w:rPr>
          <w:rFonts w:ascii="Arial" w:hAnsi="Arial" w:cs="Arial"/>
          <w:b/>
          <w:bCs/>
        </w:rPr>
        <w:lastRenderedPageBreak/>
        <w:t>Figure 2:</w:t>
      </w:r>
      <w:r w:rsidRPr="00D64E9B">
        <w:rPr>
          <w:rFonts w:ascii="Arial" w:hAnsi="Arial" w:cs="Arial"/>
        </w:rPr>
        <w:t xml:space="preserve"> </w:t>
      </w:r>
      <w:r w:rsidRPr="00D64E9B">
        <w:rPr>
          <w:rFonts w:ascii="Arial" w:hAnsi="Arial" w:cs="Arial"/>
          <w:i/>
          <w:iCs/>
        </w:rPr>
        <w:t>Projected Global Population Distribution by Age Group, 2050 (UN, 2022)</w:t>
      </w:r>
      <w:r w:rsidRPr="00D64E9B">
        <w:rPr>
          <w:rFonts w:ascii="Arial" w:hAnsi="Arial" w:cs="Arial"/>
        </w:rPr>
        <w:br/>
      </w:r>
      <w:r w:rsidRPr="00D64E9B">
        <w:rPr>
          <w:rFonts w:ascii="Arial" w:hAnsi="Arial" w:cs="Arial"/>
          <w:noProof/>
        </w:rPr>
        <w:drawing>
          <wp:inline distT="0" distB="0" distL="0" distR="0" wp14:anchorId="166B5738" wp14:editId="2EFDB119">
            <wp:extent cx="5300133" cy="2582333"/>
            <wp:effectExtent l="0" t="0" r="15240" b="8890"/>
            <wp:docPr id="173389735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D64E9B">
        <w:rPr>
          <w:rFonts w:ascii="Arial" w:hAnsi="Arial" w:cs="Arial"/>
        </w:rPr>
        <w:br/>
      </w:r>
      <w:bookmarkStart w:id="4" w:name="_Toc211452468"/>
      <w:r w:rsidR="00C9751F" w:rsidRPr="00D64E9B">
        <w:rPr>
          <w:rFonts w:ascii="Arial" w:hAnsi="Arial" w:cs="Arial"/>
        </w:rPr>
        <w:t>By 2050, about 16 % of the global population will be 60 or older. HRM must therefore focus on succession planning and support for later-career employees.</w:t>
      </w:r>
    </w:p>
    <w:p w14:paraId="40571D5E" w14:textId="77777777" w:rsidR="00C9751F" w:rsidRPr="00D64E9B" w:rsidRDefault="00C9751F" w:rsidP="00D64E9B">
      <w:pPr>
        <w:tabs>
          <w:tab w:val="left" w:pos="1704"/>
        </w:tabs>
        <w:spacing w:line="360" w:lineRule="auto"/>
        <w:rPr>
          <w:rFonts w:ascii="Arial" w:hAnsi="Arial" w:cs="Arial"/>
        </w:rPr>
      </w:pPr>
      <w:r w:rsidRPr="00C9751F">
        <w:rPr>
          <w:rFonts w:ascii="Arial" w:hAnsi="Arial" w:cs="Arial"/>
        </w:rPr>
        <w:t xml:space="preserve">In summary, demographic and geopolitical forces are reshaping </w:t>
      </w:r>
      <w:proofErr w:type="spellStart"/>
      <w:r w:rsidRPr="00C9751F">
        <w:rPr>
          <w:rFonts w:ascii="Arial" w:hAnsi="Arial" w:cs="Arial"/>
        </w:rPr>
        <w:t>labour</w:t>
      </w:r>
      <w:proofErr w:type="spellEnd"/>
      <w:r w:rsidRPr="00C9751F">
        <w:rPr>
          <w:rFonts w:ascii="Arial" w:hAnsi="Arial" w:cs="Arial"/>
        </w:rPr>
        <w:t xml:space="preserve"> markets worldwide. HRM requires flexible, fair policies to manage ageing and youth talent domestically, while IHRM must navigate migration, diversity, and political risk abroad. Through careful planning and communication, HR leaders can transform these global challenges into sustainable opportunities for growth and inclusion.</w:t>
      </w:r>
    </w:p>
    <w:p w14:paraId="46D4DE72" w14:textId="77777777" w:rsidR="00C9751F" w:rsidRPr="00C9751F" w:rsidRDefault="00C9751F" w:rsidP="00D64E9B">
      <w:pPr>
        <w:tabs>
          <w:tab w:val="left" w:pos="1704"/>
        </w:tabs>
        <w:spacing w:line="360" w:lineRule="auto"/>
        <w:rPr>
          <w:rFonts w:ascii="Arial" w:hAnsi="Arial" w:cs="Arial"/>
        </w:rPr>
      </w:pPr>
    </w:p>
    <w:p w14:paraId="40CD4079" w14:textId="690E6893" w:rsidR="00A201EC" w:rsidRPr="00D64E9B" w:rsidRDefault="00A201EC" w:rsidP="00D64E9B">
      <w:pPr>
        <w:pStyle w:val="Heading1"/>
      </w:pPr>
      <w:bookmarkStart w:id="5" w:name="_Toc211563889"/>
      <w:r w:rsidRPr="00D64E9B">
        <w:t>3. Addressing Skills Gaps and Talent Shortages through Strategic HRM.</w:t>
      </w:r>
      <w:bookmarkEnd w:id="4"/>
      <w:bookmarkEnd w:id="5"/>
    </w:p>
    <w:p w14:paraId="1DCE9681" w14:textId="77777777" w:rsidR="00C9751F" w:rsidRPr="00C9751F" w:rsidRDefault="00C9751F" w:rsidP="00D64E9B">
      <w:pPr>
        <w:spacing w:line="360" w:lineRule="auto"/>
        <w:rPr>
          <w:rFonts w:ascii="Arial" w:hAnsi="Arial" w:cs="Arial"/>
        </w:rPr>
      </w:pPr>
      <w:r w:rsidRPr="00C9751F">
        <w:rPr>
          <w:rFonts w:ascii="Arial" w:hAnsi="Arial" w:cs="Arial"/>
        </w:rPr>
        <w:t xml:space="preserve">Persistent global skills shortages remain one of the greatest challenges in today’s </w:t>
      </w:r>
      <w:proofErr w:type="spellStart"/>
      <w:r w:rsidRPr="00C9751F">
        <w:rPr>
          <w:rFonts w:ascii="Arial" w:hAnsi="Arial" w:cs="Arial"/>
        </w:rPr>
        <w:t>labour</w:t>
      </w:r>
      <w:proofErr w:type="spellEnd"/>
      <w:r w:rsidRPr="00C9751F">
        <w:rPr>
          <w:rFonts w:ascii="Arial" w:hAnsi="Arial" w:cs="Arial"/>
        </w:rPr>
        <w:t xml:space="preserve"> markets. The OECD (2023) notes that over 75 per cent of </w:t>
      </w:r>
      <w:proofErr w:type="gramStart"/>
      <w:r w:rsidRPr="00C9751F">
        <w:rPr>
          <w:rFonts w:ascii="Arial" w:hAnsi="Arial" w:cs="Arial"/>
        </w:rPr>
        <w:t>employers</w:t>
      </w:r>
      <w:proofErr w:type="gramEnd"/>
      <w:r w:rsidRPr="00C9751F">
        <w:rPr>
          <w:rFonts w:ascii="Arial" w:hAnsi="Arial" w:cs="Arial"/>
        </w:rPr>
        <w:t xml:space="preserve"> struggle to fill vacancies because workforce capabilities </w:t>
      </w:r>
      <w:proofErr w:type="gramStart"/>
      <w:r w:rsidRPr="00C9751F">
        <w:rPr>
          <w:rFonts w:ascii="Arial" w:hAnsi="Arial" w:cs="Arial"/>
        </w:rPr>
        <w:t>lag behind</w:t>
      </w:r>
      <w:proofErr w:type="gramEnd"/>
      <w:r w:rsidRPr="00C9751F">
        <w:rPr>
          <w:rFonts w:ascii="Arial" w:hAnsi="Arial" w:cs="Arial"/>
        </w:rPr>
        <w:t xml:space="preserve"> changing job demands. Rapid technological change, demographic ageing, and post-pandemic industry shifts have widened these gaps. Strategic Human Resource Management (SHRM) therefore plays a pivotal role in forecasting talent needs and maintaining workforce agility.</w:t>
      </w:r>
    </w:p>
    <w:p w14:paraId="19708A76" w14:textId="77777777" w:rsidR="00C9751F" w:rsidRPr="00C9751F" w:rsidRDefault="00C9751F" w:rsidP="00D64E9B">
      <w:pPr>
        <w:spacing w:line="360" w:lineRule="auto"/>
        <w:rPr>
          <w:rFonts w:ascii="Arial" w:hAnsi="Arial" w:cs="Arial"/>
        </w:rPr>
      </w:pPr>
      <w:r w:rsidRPr="00C9751F">
        <w:rPr>
          <w:rFonts w:ascii="Arial" w:hAnsi="Arial" w:cs="Arial"/>
        </w:rPr>
        <w:lastRenderedPageBreak/>
        <w:t>Skills shortages arise mainly from three causes: technological disruption, demographic change, and evolving worker expectations. Innovation has advanced faster than education systems, driving demand for digital and analytical competencies (World Economic Forum, 2023).</w:t>
      </w:r>
    </w:p>
    <w:p w14:paraId="3CAD75B5" w14:textId="77777777" w:rsidR="00A201EC" w:rsidRPr="00D64E9B" w:rsidRDefault="00A201EC" w:rsidP="00D64E9B">
      <w:pPr>
        <w:spacing w:line="360" w:lineRule="auto"/>
        <w:rPr>
          <w:rFonts w:ascii="Arial" w:hAnsi="Arial" w:cs="Arial"/>
        </w:rPr>
      </w:pPr>
      <w:r w:rsidRPr="00D64E9B">
        <w:rPr>
          <w:rFonts w:ascii="Arial" w:hAnsi="Arial" w:cs="Arial"/>
          <w:b/>
          <w:bCs/>
        </w:rPr>
        <w:t>Figure 3:</w:t>
      </w:r>
      <w:r w:rsidRPr="00D64E9B">
        <w:rPr>
          <w:rFonts w:ascii="Arial" w:hAnsi="Arial" w:cs="Arial"/>
        </w:rPr>
        <w:t xml:space="preserve"> Global Skills Gap by Industry (2023). </w:t>
      </w:r>
      <w:r w:rsidRPr="00D64E9B">
        <w:rPr>
          <w:rFonts w:ascii="Arial" w:hAnsi="Arial" w:cs="Arial"/>
          <w:noProof/>
        </w:rPr>
        <w:drawing>
          <wp:inline distT="0" distB="0" distL="0" distR="0" wp14:anchorId="557FD6EF" wp14:editId="473242C9">
            <wp:extent cx="5844540" cy="3896360"/>
            <wp:effectExtent l="0" t="0" r="3810" b="8890"/>
            <wp:docPr id="861878007" name="Picture 1" descr="A graph of blue bar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78007" name="Picture 1" descr="A graph of blue bars with white text&#10;&#10;AI-generated content may be incorrect."/>
                    <pic:cNvPicPr/>
                  </pic:nvPicPr>
                  <pic:blipFill>
                    <a:blip r:embed="rId11"/>
                    <a:stretch>
                      <a:fillRect/>
                    </a:stretch>
                  </pic:blipFill>
                  <pic:spPr>
                    <a:xfrm>
                      <a:off x="0" y="0"/>
                      <a:ext cx="5844540" cy="3896360"/>
                    </a:xfrm>
                    <a:prstGeom prst="rect">
                      <a:avLst/>
                    </a:prstGeom>
                  </pic:spPr>
                </pic:pic>
              </a:graphicData>
            </a:graphic>
          </wp:inline>
        </w:drawing>
      </w:r>
    </w:p>
    <w:p w14:paraId="65898348" w14:textId="77777777" w:rsidR="00A201EC" w:rsidRPr="00D64E9B" w:rsidRDefault="00A201EC" w:rsidP="00D64E9B">
      <w:pPr>
        <w:spacing w:line="360" w:lineRule="auto"/>
        <w:jc w:val="both"/>
        <w:rPr>
          <w:rFonts w:ascii="Arial" w:hAnsi="Arial" w:cs="Arial"/>
        </w:rPr>
      </w:pPr>
      <w:r w:rsidRPr="00D64E9B">
        <w:rPr>
          <w:rFonts w:ascii="Arial" w:hAnsi="Arial" w:cs="Arial"/>
        </w:rPr>
        <w:t>Source: Adapted from World Economic Forum (2023); OECD (2023); CIPD (2023).</w:t>
      </w:r>
    </w:p>
    <w:p w14:paraId="3EF25257" w14:textId="77777777" w:rsidR="00C9751F" w:rsidRPr="00C9751F" w:rsidRDefault="00C9751F" w:rsidP="00D64E9B">
      <w:pPr>
        <w:spacing w:line="360" w:lineRule="auto"/>
        <w:jc w:val="both"/>
        <w:rPr>
          <w:rFonts w:ascii="Arial" w:hAnsi="Arial" w:cs="Arial"/>
        </w:rPr>
      </w:pPr>
      <w:r w:rsidRPr="00C9751F">
        <w:rPr>
          <w:rFonts w:ascii="Arial" w:hAnsi="Arial" w:cs="Arial"/>
        </w:rPr>
        <w:t xml:space="preserve">As shown in Figure 3, the most severe gaps appear in technology and healthcare, where automation and </w:t>
      </w:r>
      <w:proofErr w:type="spellStart"/>
      <w:r w:rsidRPr="00C9751F">
        <w:rPr>
          <w:rFonts w:ascii="Arial" w:hAnsi="Arial" w:cs="Arial"/>
        </w:rPr>
        <w:t>digitalisation</w:t>
      </w:r>
      <w:proofErr w:type="spellEnd"/>
      <w:r w:rsidRPr="00C9751F">
        <w:rPr>
          <w:rFonts w:ascii="Arial" w:hAnsi="Arial" w:cs="Arial"/>
        </w:rPr>
        <w:t xml:space="preserve"> have accelerated faster than workforce preparation. These trends illustrate why HR professionals must embed forecasting and continuous learning within strategic planning.</w:t>
      </w:r>
    </w:p>
    <w:p w14:paraId="714DAE1E" w14:textId="1FF7CD22" w:rsidR="00C9751F" w:rsidRPr="00C9751F" w:rsidRDefault="00C9751F" w:rsidP="00D64E9B">
      <w:pPr>
        <w:spacing w:line="360" w:lineRule="auto"/>
        <w:jc w:val="both"/>
        <w:rPr>
          <w:rFonts w:ascii="Arial" w:hAnsi="Arial" w:cs="Arial"/>
        </w:rPr>
      </w:pPr>
      <w:r w:rsidRPr="00C9751F">
        <w:rPr>
          <w:rFonts w:ascii="Arial" w:hAnsi="Arial" w:cs="Arial"/>
        </w:rPr>
        <w:t>To respond, SHRM uses workforce analytics to predict future skill needs. Microsoft’s Global Skills Initiative trained more than 30 million people worldwide in digital capabilities (Microsoft, 2023). Learning-and-development (</w:t>
      </w:r>
      <w:proofErr w:type="spellStart"/>
      <w:r w:rsidRPr="00C9751F">
        <w:rPr>
          <w:rFonts w:ascii="Arial" w:hAnsi="Arial" w:cs="Arial"/>
        </w:rPr>
        <w:t>L</w:t>
      </w:r>
      <w:r w:rsidR="00BA31B5">
        <w:rPr>
          <w:rFonts w:ascii="Arial" w:hAnsi="Arial" w:cs="Arial"/>
        </w:rPr>
        <w:t>and</w:t>
      </w:r>
      <w:r w:rsidRPr="00C9751F">
        <w:rPr>
          <w:rFonts w:ascii="Arial" w:hAnsi="Arial" w:cs="Arial"/>
        </w:rPr>
        <w:t>D</w:t>
      </w:r>
      <w:proofErr w:type="spellEnd"/>
      <w:r w:rsidRPr="00C9751F">
        <w:rPr>
          <w:rFonts w:ascii="Arial" w:hAnsi="Arial" w:cs="Arial"/>
        </w:rPr>
        <w:t xml:space="preserve">) ecosystems now sit at the </w:t>
      </w:r>
      <w:proofErr w:type="spellStart"/>
      <w:r w:rsidRPr="00C9751F">
        <w:rPr>
          <w:rFonts w:ascii="Arial" w:hAnsi="Arial" w:cs="Arial"/>
        </w:rPr>
        <w:t>centre</w:t>
      </w:r>
      <w:proofErr w:type="spellEnd"/>
      <w:r w:rsidRPr="00C9751F">
        <w:rPr>
          <w:rFonts w:ascii="Arial" w:hAnsi="Arial" w:cs="Arial"/>
        </w:rPr>
        <w:t xml:space="preserve"> of HR strategy. Unilever’s “U-Learn</w:t>
      </w:r>
      <w:proofErr w:type="gramStart"/>
      <w:r w:rsidRPr="00C9751F">
        <w:rPr>
          <w:rFonts w:ascii="Arial" w:hAnsi="Arial" w:cs="Arial"/>
        </w:rPr>
        <w:t>”</w:t>
      </w:r>
      <w:proofErr w:type="gramEnd"/>
      <w:r w:rsidRPr="00C9751F">
        <w:rPr>
          <w:rFonts w:ascii="Arial" w:hAnsi="Arial" w:cs="Arial"/>
        </w:rPr>
        <w:t xml:space="preserve"> and Accenture’s “Future Skills” platforms </w:t>
      </w:r>
      <w:proofErr w:type="spellStart"/>
      <w:r w:rsidRPr="00C9751F">
        <w:rPr>
          <w:rFonts w:ascii="Arial" w:hAnsi="Arial" w:cs="Arial"/>
        </w:rPr>
        <w:t>personalise</w:t>
      </w:r>
      <w:proofErr w:type="spellEnd"/>
      <w:r w:rsidRPr="00C9751F">
        <w:rPr>
          <w:rFonts w:ascii="Arial" w:hAnsi="Arial" w:cs="Arial"/>
        </w:rPr>
        <w:t xml:space="preserve"> </w:t>
      </w:r>
      <w:r w:rsidRPr="00C9751F">
        <w:rPr>
          <w:rFonts w:ascii="Arial" w:hAnsi="Arial" w:cs="Arial"/>
        </w:rPr>
        <w:lastRenderedPageBreak/>
        <w:t>training through AI, promoting lifelong learning (Accenture, 2023). These initiatives reflect Bratton and Gold’s (2022) view that adaptability and upskilling define modern HRM.</w:t>
      </w:r>
    </w:p>
    <w:p w14:paraId="4C1D9EEC" w14:textId="77777777" w:rsidR="00C9751F" w:rsidRPr="00C9751F" w:rsidRDefault="00C9751F" w:rsidP="00D64E9B">
      <w:pPr>
        <w:spacing w:line="360" w:lineRule="auto"/>
        <w:jc w:val="both"/>
        <w:rPr>
          <w:rFonts w:ascii="Arial" w:hAnsi="Arial" w:cs="Arial"/>
        </w:rPr>
      </w:pPr>
      <w:r w:rsidRPr="00C9751F">
        <w:rPr>
          <w:rFonts w:ascii="Arial" w:hAnsi="Arial" w:cs="Arial"/>
        </w:rPr>
        <w:t xml:space="preserve">A practical example is Microsoft’s Global Skills Initiative, which combined analytics and online learning to retrain over 30 million people for digital roles, improving employability and internal promotions within a year (Microsoft, 2023). Similarly, Singapore’s national </w:t>
      </w:r>
      <w:proofErr w:type="spellStart"/>
      <w:r w:rsidRPr="00C9751F">
        <w:rPr>
          <w:rFonts w:ascii="Arial" w:hAnsi="Arial" w:cs="Arial"/>
        </w:rPr>
        <w:t>SkillsFuture</w:t>
      </w:r>
      <w:proofErr w:type="spellEnd"/>
      <w:r w:rsidRPr="00C9751F">
        <w:rPr>
          <w:rFonts w:ascii="Arial" w:hAnsi="Arial" w:cs="Arial"/>
        </w:rPr>
        <w:t xml:space="preserve"> </w:t>
      </w:r>
      <w:proofErr w:type="spellStart"/>
      <w:r w:rsidRPr="00C9751F">
        <w:rPr>
          <w:rFonts w:ascii="Arial" w:hAnsi="Arial" w:cs="Arial"/>
        </w:rPr>
        <w:t>programme</w:t>
      </w:r>
      <w:proofErr w:type="spellEnd"/>
      <w:r w:rsidRPr="00C9751F">
        <w:rPr>
          <w:rFonts w:ascii="Arial" w:hAnsi="Arial" w:cs="Arial"/>
        </w:rPr>
        <w:t xml:space="preserve"> shows how public–private collaboration strengthens human-capital resilience through micro-credentials and </w:t>
      </w:r>
      <w:proofErr w:type="spellStart"/>
      <w:r w:rsidRPr="00C9751F">
        <w:rPr>
          <w:rFonts w:ascii="Arial" w:hAnsi="Arial" w:cs="Arial"/>
        </w:rPr>
        <w:t>subsidised</w:t>
      </w:r>
      <w:proofErr w:type="spellEnd"/>
      <w:r w:rsidRPr="00C9751F">
        <w:rPr>
          <w:rFonts w:ascii="Arial" w:hAnsi="Arial" w:cs="Arial"/>
        </w:rPr>
        <w:t xml:space="preserve"> retraining. Such cases prove that SHRM must integrate forecasting, continuous learning, and partnership to turn skill shortages into </w:t>
      </w:r>
      <w:proofErr w:type="gramStart"/>
      <w:r w:rsidRPr="00C9751F">
        <w:rPr>
          <w:rFonts w:ascii="Arial" w:hAnsi="Arial" w:cs="Arial"/>
        </w:rPr>
        <w:t>innovation</w:t>
      </w:r>
      <w:proofErr w:type="gramEnd"/>
      <w:r w:rsidRPr="00C9751F">
        <w:rPr>
          <w:rFonts w:ascii="Arial" w:hAnsi="Arial" w:cs="Arial"/>
        </w:rPr>
        <w:t xml:space="preserve"> opportunities.</w:t>
      </w:r>
    </w:p>
    <w:p w14:paraId="27669E79" w14:textId="166BAB23" w:rsidR="00C9751F" w:rsidRPr="00C9751F" w:rsidRDefault="00C9751F" w:rsidP="00D64E9B">
      <w:pPr>
        <w:spacing w:line="360" w:lineRule="auto"/>
        <w:jc w:val="both"/>
        <w:rPr>
          <w:rFonts w:ascii="Arial" w:hAnsi="Arial" w:cs="Arial"/>
        </w:rPr>
      </w:pPr>
      <w:r w:rsidRPr="00C9751F">
        <w:rPr>
          <w:rFonts w:ascii="Arial" w:hAnsi="Arial" w:cs="Arial"/>
        </w:rPr>
        <w:t xml:space="preserve">Talent Management Models (Lewis </w:t>
      </w:r>
      <w:r w:rsidR="00BA31B5">
        <w:rPr>
          <w:rFonts w:ascii="Arial" w:hAnsi="Arial" w:cs="Arial"/>
        </w:rPr>
        <w:t>and</w:t>
      </w:r>
      <w:r w:rsidRPr="00C9751F">
        <w:rPr>
          <w:rFonts w:ascii="Arial" w:hAnsi="Arial" w:cs="Arial"/>
        </w:rPr>
        <w:t xml:space="preserve"> Heckman, 2006) align recruitment, development, and retention with business strategy. The NHS retains medical professionals through international mobility and flexible work (NHS, 2023), while Hilton Hotels’ “Hilton University” supports career progression in hospitality. Employer branding has also become critical: companies such as Salesforce and Google </w:t>
      </w:r>
      <w:proofErr w:type="spellStart"/>
      <w:r w:rsidRPr="00C9751F">
        <w:rPr>
          <w:rFonts w:ascii="Arial" w:hAnsi="Arial" w:cs="Arial"/>
        </w:rPr>
        <w:t>emphasise</w:t>
      </w:r>
      <w:proofErr w:type="spellEnd"/>
      <w:r w:rsidRPr="00C9751F">
        <w:rPr>
          <w:rFonts w:ascii="Arial" w:hAnsi="Arial" w:cs="Arial"/>
        </w:rPr>
        <w:t xml:space="preserve"> inclusivity and sustainability to attract scarce talent (CIPD, 2023).</w:t>
      </w:r>
    </w:p>
    <w:p w14:paraId="26DA6086" w14:textId="77777777" w:rsidR="00C9751F" w:rsidRPr="00C9751F" w:rsidRDefault="00C9751F" w:rsidP="00D64E9B">
      <w:pPr>
        <w:spacing w:line="360" w:lineRule="auto"/>
        <w:jc w:val="both"/>
        <w:rPr>
          <w:rFonts w:ascii="Arial" w:hAnsi="Arial" w:cs="Arial"/>
        </w:rPr>
      </w:pPr>
      <w:r w:rsidRPr="00C9751F">
        <w:rPr>
          <w:rFonts w:ascii="Arial" w:hAnsi="Arial" w:cs="Arial"/>
        </w:rPr>
        <w:t xml:space="preserve">At the macro level, public–private collaboration is vital. Singapore’s </w:t>
      </w:r>
      <w:proofErr w:type="spellStart"/>
      <w:r w:rsidRPr="00C9751F">
        <w:rPr>
          <w:rFonts w:ascii="Arial" w:hAnsi="Arial" w:cs="Arial"/>
        </w:rPr>
        <w:t>SkillsFuture</w:t>
      </w:r>
      <w:proofErr w:type="spellEnd"/>
      <w:r w:rsidRPr="00C9751F">
        <w:rPr>
          <w:rFonts w:ascii="Arial" w:hAnsi="Arial" w:cs="Arial"/>
        </w:rPr>
        <w:t xml:space="preserve"> again demonstrates how government incentives and corporate participation promote continuous learning and workforce resilience (OECD, 2023). Addressing talent shortages thus requires cooperation across the entire employment ecosystem rather than isolated corporate action.</w:t>
      </w:r>
    </w:p>
    <w:p w14:paraId="59E13E91" w14:textId="00F904FA" w:rsidR="00A201EC" w:rsidRDefault="00C9751F" w:rsidP="00D64E9B">
      <w:pPr>
        <w:spacing w:line="360" w:lineRule="auto"/>
        <w:jc w:val="both"/>
        <w:rPr>
          <w:rFonts w:ascii="Arial" w:hAnsi="Arial" w:cs="Arial"/>
        </w:rPr>
      </w:pPr>
      <w:r w:rsidRPr="00C9751F">
        <w:rPr>
          <w:rFonts w:ascii="Arial" w:hAnsi="Arial" w:cs="Arial"/>
        </w:rPr>
        <w:t>In summary, closing skills gaps demands that HR professionals act as strategic partners in building human capability. Through workforce analytics, continuous learning, talent alignment, and coordinated policy efforts, SHRM converts shortages into opportunities for innovation, inclusion, and sustainable growth.</w:t>
      </w:r>
    </w:p>
    <w:p w14:paraId="4D60D76F" w14:textId="77777777" w:rsidR="002B199E" w:rsidRPr="00D64E9B" w:rsidRDefault="002B199E" w:rsidP="00D64E9B">
      <w:pPr>
        <w:spacing w:line="360" w:lineRule="auto"/>
        <w:jc w:val="both"/>
        <w:rPr>
          <w:rFonts w:ascii="Arial" w:hAnsi="Arial" w:cs="Arial"/>
        </w:rPr>
      </w:pPr>
    </w:p>
    <w:p w14:paraId="312A180B" w14:textId="77777777" w:rsidR="00A201EC" w:rsidRPr="00D64E9B" w:rsidRDefault="00A201EC" w:rsidP="00D64E9B">
      <w:pPr>
        <w:pStyle w:val="Heading1"/>
      </w:pPr>
      <w:bookmarkStart w:id="6" w:name="_Toc211452469"/>
      <w:bookmarkStart w:id="7" w:name="_Hlk211542931"/>
      <w:bookmarkStart w:id="8" w:name="_Toc211563890"/>
      <w:r w:rsidRPr="00D64E9B">
        <w:lastRenderedPageBreak/>
        <w:t>4. Reflective Report: Personal Capabilities in an International Context.</w:t>
      </w:r>
      <w:bookmarkEnd w:id="6"/>
      <w:bookmarkEnd w:id="8"/>
    </w:p>
    <w:p w14:paraId="5E9D5AE6" w14:textId="77777777" w:rsidR="00197122" w:rsidRPr="00197122" w:rsidRDefault="00197122" w:rsidP="00D64E9B">
      <w:pPr>
        <w:spacing w:line="360" w:lineRule="auto"/>
        <w:jc w:val="both"/>
        <w:rPr>
          <w:rFonts w:ascii="Arial" w:hAnsi="Arial" w:cs="Arial"/>
        </w:rPr>
      </w:pPr>
      <w:r w:rsidRPr="00197122">
        <w:rPr>
          <w:rFonts w:ascii="Arial" w:hAnsi="Arial" w:cs="Arial"/>
        </w:rPr>
        <w:t xml:space="preserve">In an increasingly </w:t>
      </w:r>
      <w:proofErr w:type="spellStart"/>
      <w:r w:rsidRPr="00197122">
        <w:rPr>
          <w:rFonts w:ascii="Arial" w:hAnsi="Arial" w:cs="Arial"/>
        </w:rPr>
        <w:t>globalised</w:t>
      </w:r>
      <w:proofErr w:type="spellEnd"/>
      <w:r w:rsidRPr="00197122">
        <w:rPr>
          <w:rFonts w:ascii="Arial" w:hAnsi="Arial" w:cs="Arial"/>
        </w:rPr>
        <w:t xml:space="preserve"> and technologically driven workplace, working effectively across international and digital environments is essential. The Chartered Institute of Personnel and Development (CIPD, 2023) identifies five key employability capabilities: technological literacy, communication, teamwork, leadership, and self-directed learning. This reflection evaluates my strengths and weaknesses in these areas, using Gibbs’ (1988) Reflective Cycle and Kolb’s (1984) Experiential Learning Model, and outlines how I intend to </w:t>
      </w:r>
      <w:proofErr w:type="gramStart"/>
      <w:r w:rsidRPr="00197122">
        <w:rPr>
          <w:rFonts w:ascii="Arial" w:hAnsi="Arial" w:cs="Arial"/>
        </w:rPr>
        <w:t>build on</w:t>
      </w:r>
      <w:proofErr w:type="gramEnd"/>
      <w:r w:rsidRPr="00197122">
        <w:rPr>
          <w:rFonts w:ascii="Arial" w:hAnsi="Arial" w:cs="Arial"/>
        </w:rPr>
        <w:t xml:space="preserve"> strengths while addressing development needs.</w:t>
      </w:r>
    </w:p>
    <w:p w14:paraId="55B52110" w14:textId="77777777" w:rsidR="00197122" w:rsidRPr="00197122" w:rsidRDefault="00197122" w:rsidP="001041D9">
      <w:pPr>
        <w:spacing w:line="360" w:lineRule="auto"/>
        <w:rPr>
          <w:rFonts w:ascii="Arial" w:hAnsi="Arial" w:cs="Arial"/>
        </w:rPr>
      </w:pPr>
      <w:r w:rsidRPr="00197122">
        <w:rPr>
          <w:rFonts w:ascii="Arial" w:hAnsi="Arial" w:cs="Arial"/>
          <w:b/>
          <w:bCs/>
        </w:rPr>
        <w:t>Technological Skills</w:t>
      </w:r>
      <w:r w:rsidRPr="00197122">
        <w:rPr>
          <w:rFonts w:ascii="Arial" w:hAnsi="Arial" w:cs="Arial"/>
        </w:rPr>
        <w:br/>
        <w:t xml:space="preserve">My studies have strengthened my ability to use digital tools such as Microsoft Teams, Google Workspace, and HR data platforms for research and collaboration. I am confident with online communication and cloud storage, showing adaptability in remote environments. However, I have limited experience with advanced HR analytics and AI-based HR systems. As </w:t>
      </w:r>
      <w:proofErr w:type="spellStart"/>
      <w:r w:rsidRPr="00197122">
        <w:rPr>
          <w:rFonts w:ascii="Arial" w:hAnsi="Arial" w:cs="Arial"/>
        </w:rPr>
        <w:t>Bondarouk</w:t>
      </w:r>
      <w:proofErr w:type="spellEnd"/>
      <w:r w:rsidRPr="00197122">
        <w:rPr>
          <w:rFonts w:ascii="Arial" w:hAnsi="Arial" w:cs="Arial"/>
        </w:rPr>
        <w:t xml:space="preserve"> and Brewster (2023) note, digital proficiency is now a core HRM competency. To improve, I plan to complete LinkedIn Learning courses on AI in HR and People Analytics within six months and apply these skills in future data-driven projects.</w:t>
      </w:r>
    </w:p>
    <w:p w14:paraId="20C25827" w14:textId="6C4D1B87" w:rsidR="00197122" w:rsidRPr="00197122" w:rsidRDefault="00197122" w:rsidP="001041D9">
      <w:pPr>
        <w:spacing w:line="360" w:lineRule="auto"/>
        <w:rPr>
          <w:rFonts w:ascii="Arial" w:hAnsi="Arial" w:cs="Arial"/>
        </w:rPr>
      </w:pPr>
      <w:r w:rsidRPr="00197122">
        <w:rPr>
          <w:rFonts w:ascii="Arial" w:hAnsi="Arial" w:cs="Arial"/>
          <w:b/>
          <w:bCs/>
        </w:rPr>
        <w:t>Communication Skills</w:t>
      </w:r>
      <w:r w:rsidRPr="00197122">
        <w:rPr>
          <w:rFonts w:ascii="Arial" w:hAnsi="Arial" w:cs="Arial"/>
        </w:rPr>
        <w:br/>
      </w:r>
      <w:r w:rsidR="001041D9">
        <w:rPr>
          <w:rFonts w:ascii="Arial" w:hAnsi="Arial" w:cs="Arial"/>
        </w:rPr>
        <w:t>Throughout my diploma, undergraduate, and MBA studies, I have developed strong written communication skills, particularly</w:t>
      </w:r>
      <w:r w:rsidRPr="00197122">
        <w:rPr>
          <w:rFonts w:ascii="Arial" w:hAnsi="Arial" w:cs="Arial"/>
        </w:rPr>
        <w:t xml:space="preserve"> in analytical reports. Yet I sometimes lack assertiveness in oral communication, particularly in multicultural settings. Hofstede’s Cultural Dimensions (Hofstede Insights, 2023) show that communication preferences vary across cultures, influencing teamwork and negotiation. My goal is to build confidence and persuasion by joining debate forums and leading class presentations, consistent with Kolb’s active-experimentation stage.</w:t>
      </w:r>
    </w:p>
    <w:p w14:paraId="5ABC94E0" w14:textId="77777777" w:rsidR="00197122" w:rsidRPr="00197122" w:rsidRDefault="00197122" w:rsidP="001041D9">
      <w:pPr>
        <w:spacing w:line="360" w:lineRule="auto"/>
        <w:rPr>
          <w:rFonts w:ascii="Arial" w:hAnsi="Arial" w:cs="Arial"/>
        </w:rPr>
      </w:pPr>
      <w:r w:rsidRPr="00197122">
        <w:rPr>
          <w:rFonts w:ascii="Arial" w:hAnsi="Arial" w:cs="Arial"/>
          <w:b/>
          <w:bCs/>
        </w:rPr>
        <w:t>Teamwork</w:t>
      </w:r>
      <w:r w:rsidRPr="00197122">
        <w:rPr>
          <w:rFonts w:ascii="Arial" w:hAnsi="Arial" w:cs="Arial"/>
        </w:rPr>
        <w:br/>
        <w:t>Collaborative projects have improved my coordination and conflict-resolution abilities. I am empathetic, reliable, and proactive—traits aligned with Goleman’s (2009) emotional-</w:t>
      </w:r>
      <w:r w:rsidRPr="00197122">
        <w:rPr>
          <w:rFonts w:ascii="Arial" w:hAnsi="Arial" w:cs="Arial"/>
        </w:rPr>
        <w:lastRenderedPageBreak/>
        <w:t xml:space="preserve">intelligence model. However, I sometimes </w:t>
      </w:r>
      <w:proofErr w:type="gramStart"/>
      <w:r w:rsidRPr="00197122">
        <w:rPr>
          <w:rFonts w:ascii="Arial" w:hAnsi="Arial" w:cs="Arial"/>
        </w:rPr>
        <w:t>defer</w:t>
      </w:r>
      <w:proofErr w:type="gramEnd"/>
      <w:r w:rsidRPr="00197122">
        <w:rPr>
          <w:rFonts w:ascii="Arial" w:hAnsi="Arial" w:cs="Arial"/>
        </w:rPr>
        <w:t xml:space="preserve"> to dominant personalities, limiting my contribution to group decisions. To strengthen this, I will apply Belbin’s (2010) Team Roles framework and consciously adopt roles such as “Coordinator” or “Shaper” in future teamwork situations.</w:t>
      </w:r>
    </w:p>
    <w:p w14:paraId="0FA844DF" w14:textId="77777777" w:rsidR="00197122" w:rsidRPr="00197122" w:rsidRDefault="00197122" w:rsidP="001041D9">
      <w:pPr>
        <w:spacing w:line="360" w:lineRule="auto"/>
        <w:rPr>
          <w:rFonts w:ascii="Arial" w:hAnsi="Arial" w:cs="Arial"/>
        </w:rPr>
      </w:pPr>
      <w:r w:rsidRPr="00197122">
        <w:rPr>
          <w:rFonts w:ascii="Arial" w:hAnsi="Arial" w:cs="Arial"/>
          <w:b/>
          <w:bCs/>
        </w:rPr>
        <w:t>Leadership</w:t>
      </w:r>
      <w:r w:rsidRPr="00197122">
        <w:rPr>
          <w:rFonts w:ascii="Arial" w:hAnsi="Arial" w:cs="Arial"/>
        </w:rPr>
        <w:br/>
        <w:t xml:space="preserve">I have shown leadership by </w:t>
      </w:r>
      <w:proofErr w:type="spellStart"/>
      <w:r w:rsidRPr="00197122">
        <w:rPr>
          <w:rFonts w:ascii="Arial" w:hAnsi="Arial" w:cs="Arial"/>
        </w:rPr>
        <w:t>organising</w:t>
      </w:r>
      <w:proofErr w:type="spellEnd"/>
      <w:r w:rsidRPr="00197122">
        <w:rPr>
          <w:rFonts w:ascii="Arial" w:hAnsi="Arial" w:cs="Arial"/>
        </w:rPr>
        <w:t xml:space="preserve"> group tasks and motivating peers. My style is participative and inclusive, reflecting Northouse’s (2021) democratic leadership model. Still, I need to enhance strategic decision-making and delegation. Using Gibbs’ reflection, I plan to </w:t>
      </w:r>
      <w:proofErr w:type="spellStart"/>
      <w:r w:rsidRPr="00197122">
        <w:rPr>
          <w:rFonts w:ascii="Arial" w:hAnsi="Arial" w:cs="Arial"/>
        </w:rPr>
        <w:t>enrol</w:t>
      </w:r>
      <w:proofErr w:type="spellEnd"/>
      <w:r w:rsidRPr="00197122">
        <w:rPr>
          <w:rFonts w:ascii="Arial" w:hAnsi="Arial" w:cs="Arial"/>
        </w:rPr>
        <w:t xml:space="preserve"> in an Advanced Leadership Skills workshop and study Goleman’s </w:t>
      </w:r>
      <w:r w:rsidRPr="00197122">
        <w:rPr>
          <w:rFonts w:ascii="Arial" w:hAnsi="Arial" w:cs="Arial"/>
          <w:i/>
          <w:iCs/>
        </w:rPr>
        <w:t>Primal Leadership</w:t>
      </w:r>
      <w:r w:rsidRPr="00197122">
        <w:rPr>
          <w:rFonts w:ascii="Arial" w:hAnsi="Arial" w:cs="Arial"/>
        </w:rPr>
        <w:t xml:space="preserve"> to improve situational leadership and adaptability in multicultural contexts.</w:t>
      </w:r>
    </w:p>
    <w:p w14:paraId="4566DD47" w14:textId="77777777" w:rsidR="00197122" w:rsidRPr="00197122" w:rsidRDefault="00197122" w:rsidP="001041D9">
      <w:pPr>
        <w:spacing w:line="360" w:lineRule="auto"/>
        <w:rPr>
          <w:rFonts w:ascii="Arial" w:hAnsi="Arial" w:cs="Arial"/>
        </w:rPr>
      </w:pPr>
      <w:r w:rsidRPr="00197122">
        <w:rPr>
          <w:rFonts w:ascii="Arial" w:hAnsi="Arial" w:cs="Arial"/>
          <w:b/>
          <w:bCs/>
        </w:rPr>
        <w:t>Self-Directed Learning</w:t>
      </w:r>
      <w:r w:rsidRPr="00197122">
        <w:rPr>
          <w:rFonts w:ascii="Arial" w:hAnsi="Arial" w:cs="Arial"/>
        </w:rPr>
        <w:br/>
        <w:t>The MBA has strengthened my independent-learning skills. I plan study schedules and act on feedback, reflecting Knowles’ (1975) principle of adult-learning autonomy. My challenge is maintaining consistency while managing multiple priorities. To improve, I will set SMART goals (Specific, Measurable, Achievable, Relevant, Time-bound) and use tools like Notion and Trello to track deadlines and progress.</w:t>
      </w:r>
    </w:p>
    <w:p w14:paraId="2095A6D6" w14:textId="77777777" w:rsidR="00A201EC" w:rsidRPr="00D64E9B" w:rsidRDefault="00A201EC" w:rsidP="00D64E9B">
      <w:pPr>
        <w:spacing w:line="360" w:lineRule="auto"/>
        <w:jc w:val="both"/>
        <w:rPr>
          <w:rFonts w:ascii="Arial" w:hAnsi="Arial" w:cs="Arial"/>
          <w:color w:val="000000" w:themeColor="text1"/>
        </w:rPr>
      </w:pPr>
      <w:r w:rsidRPr="00D64E9B">
        <w:rPr>
          <w:rFonts w:ascii="Arial" w:hAnsi="Arial" w:cs="Arial"/>
          <w:b/>
          <w:bCs/>
          <w:color w:val="000000" w:themeColor="text1"/>
        </w:rPr>
        <w:t>Table 2:</w:t>
      </w:r>
      <w:r w:rsidRPr="00D64E9B">
        <w:rPr>
          <w:rFonts w:ascii="Arial" w:hAnsi="Arial" w:cs="Arial"/>
          <w:color w:val="000000" w:themeColor="text1"/>
        </w:rPr>
        <w:t xml:space="preserve"> Shows the skills area and development plan within the expected time.</w:t>
      </w:r>
    </w:p>
    <w:tbl>
      <w:tblPr>
        <w:tblStyle w:val="TableGrid"/>
        <w:tblW w:w="0" w:type="auto"/>
        <w:tblLook w:val="04A0" w:firstRow="1" w:lastRow="0" w:firstColumn="1" w:lastColumn="0" w:noHBand="0" w:noVBand="1"/>
      </w:tblPr>
      <w:tblGrid>
        <w:gridCol w:w="1885"/>
        <w:gridCol w:w="1865"/>
        <w:gridCol w:w="1868"/>
        <w:gridCol w:w="1868"/>
        <w:gridCol w:w="1864"/>
      </w:tblGrid>
      <w:tr w:rsidR="00A201EC" w:rsidRPr="00D64E9B" w14:paraId="628256B8" w14:textId="77777777" w:rsidTr="00EE3F90">
        <w:tc>
          <w:tcPr>
            <w:tcW w:w="1885" w:type="dxa"/>
          </w:tcPr>
          <w:p w14:paraId="282E1E89" w14:textId="77777777" w:rsidR="00A201EC" w:rsidRPr="00D64E9B" w:rsidRDefault="00A201EC" w:rsidP="00D64E9B">
            <w:pPr>
              <w:spacing w:line="360" w:lineRule="auto"/>
              <w:jc w:val="both"/>
              <w:rPr>
                <w:rFonts w:ascii="Arial" w:hAnsi="Arial" w:cs="Arial"/>
              </w:rPr>
            </w:pPr>
            <w:r w:rsidRPr="00D64E9B">
              <w:rPr>
                <w:rFonts w:ascii="Arial" w:hAnsi="Arial" w:cs="Arial"/>
              </w:rPr>
              <w:t>Skill Area</w:t>
            </w:r>
          </w:p>
        </w:tc>
        <w:tc>
          <w:tcPr>
            <w:tcW w:w="1865" w:type="dxa"/>
          </w:tcPr>
          <w:p w14:paraId="0C56297E" w14:textId="77777777" w:rsidR="00A201EC" w:rsidRPr="00D64E9B" w:rsidRDefault="00A201EC" w:rsidP="00D64E9B">
            <w:pPr>
              <w:spacing w:line="360" w:lineRule="auto"/>
              <w:jc w:val="both"/>
              <w:rPr>
                <w:rFonts w:ascii="Arial" w:hAnsi="Arial" w:cs="Arial"/>
              </w:rPr>
            </w:pPr>
            <w:r w:rsidRPr="00D64E9B">
              <w:rPr>
                <w:rFonts w:ascii="Arial" w:hAnsi="Arial" w:cs="Arial"/>
              </w:rPr>
              <w:t>Strengths</w:t>
            </w:r>
          </w:p>
        </w:tc>
        <w:tc>
          <w:tcPr>
            <w:tcW w:w="1868" w:type="dxa"/>
          </w:tcPr>
          <w:p w14:paraId="60827155" w14:textId="77777777" w:rsidR="00A201EC" w:rsidRPr="00D64E9B" w:rsidRDefault="00A201EC" w:rsidP="00D64E9B">
            <w:pPr>
              <w:spacing w:line="360" w:lineRule="auto"/>
              <w:jc w:val="both"/>
              <w:rPr>
                <w:rFonts w:ascii="Arial" w:hAnsi="Arial" w:cs="Arial"/>
              </w:rPr>
            </w:pPr>
            <w:r w:rsidRPr="00D64E9B">
              <w:rPr>
                <w:rFonts w:ascii="Arial" w:hAnsi="Arial" w:cs="Arial"/>
              </w:rPr>
              <w:t>Weaknesses</w:t>
            </w:r>
          </w:p>
        </w:tc>
        <w:tc>
          <w:tcPr>
            <w:tcW w:w="1868" w:type="dxa"/>
          </w:tcPr>
          <w:p w14:paraId="0742AA51" w14:textId="77777777" w:rsidR="00A201EC" w:rsidRPr="00D64E9B" w:rsidRDefault="00A201EC" w:rsidP="00D64E9B">
            <w:pPr>
              <w:spacing w:line="360" w:lineRule="auto"/>
              <w:jc w:val="both"/>
              <w:rPr>
                <w:rFonts w:ascii="Arial" w:hAnsi="Arial" w:cs="Arial"/>
              </w:rPr>
            </w:pPr>
            <w:r w:rsidRPr="00D64E9B">
              <w:rPr>
                <w:rFonts w:ascii="Arial" w:hAnsi="Arial" w:cs="Arial"/>
              </w:rPr>
              <w:t>Development Plan</w:t>
            </w:r>
          </w:p>
        </w:tc>
        <w:tc>
          <w:tcPr>
            <w:tcW w:w="1864" w:type="dxa"/>
          </w:tcPr>
          <w:p w14:paraId="238C9023" w14:textId="77777777" w:rsidR="00A201EC" w:rsidRPr="00D64E9B" w:rsidRDefault="00A201EC" w:rsidP="00D64E9B">
            <w:pPr>
              <w:spacing w:line="360" w:lineRule="auto"/>
              <w:jc w:val="both"/>
              <w:rPr>
                <w:rFonts w:ascii="Arial" w:hAnsi="Arial" w:cs="Arial"/>
              </w:rPr>
            </w:pPr>
            <w:r w:rsidRPr="00D64E9B">
              <w:rPr>
                <w:rFonts w:ascii="Arial" w:hAnsi="Arial" w:cs="Arial"/>
              </w:rPr>
              <w:t>Timeline</w:t>
            </w:r>
          </w:p>
        </w:tc>
      </w:tr>
      <w:tr w:rsidR="00A201EC" w:rsidRPr="00D64E9B" w14:paraId="4BFDF95A" w14:textId="77777777" w:rsidTr="00EE3F90">
        <w:tc>
          <w:tcPr>
            <w:tcW w:w="1885" w:type="dxa"/>
            <w:vAlign w:val="center"/>
          </w:tcPr>
          <w:p w14:paraId="3D45C00A" w14:textId="77777777" w:rsidR="00A201EC" w:rsidRPr="00D64E9B" w:rsidRDefault="00A201EC" w:rsidP="00D64E9B">
            <w:pPr>
              <w:spacing w:line="360" w:lineRule="auto"/>
              <w:jc w:val="both"/>
              <w:rPr>
                <w:rFonts w:ascii="Arial" w:hAnsi="Arial" w:cs="Arial"/>
              </w:rPr>
            </w:pPr>
            <w:r w:rsidRPr="00D64E9B">
              <w:rPr>
                <w:rFonts w:ascii="Arial" w:hAnsi="Arial" w:cs="Arial"/>
              </w:rPr>
              <w:t>Technology</w:t>
            </w:r>
          </w:p>
        </w:tc>
        <w:tc>
          <w:tcPr>
            <w:tcW w:w="1865" w:type="dxa"/>
            <w:vAlign w:val="center"/>
          </w:tcPr>
          <w:p w14:paraId="37E50864" w14:textId="77777777" w:rsidR="00A201EC" w:rsidRPr="00D64E9B" w:rsidRDefault="00A201EC" w:rsidP="00D64E9B">
            <w:pPr>
              <w:spacing w:line="360" w:lineRule="auto"/>
              <w:jc w:val="both"/>
              <w:rPr>
                <w:rFonts w:ascii="Arial" w:hAnsi="Arial" w:cs="Arial"/>
              </w:rPr>
            </w:pPr>
            <w:r w:rsidRPr="00D64E9B">
              <w:rPr>
                <w:rFonts w:ascii="Arial" w:hAnsi="Arial" w:cs="Arial"/>
              </w:rPr>
              <w:t>Adaptable with digital tools</w:t>
            </w:r>
          </w:p>
        </w:tc>
        <w:tc>
          <w:tcPr>
            <w:tcW w:w="1868" w:type="dxa"/>
            <w:vAlign w:val="center"/>
          </w:tcPr>
          <w:p w14:paraId="687FA61D" w14:textId="77777777" w:rsidR="00A201EC" w:rsidRPr="00D64E9B" w:rsidRDefault="00A201EC" w:rsidP="00D64E9B">
            <w:pPr>
              <w:spacing w:line="360" w:lineRule="auto"/>
              <w:jc w:val="both"/>
              <w:rPr>
                <w:rFonts w:ascii="Arial" w:hAnsi="Arial" w:cs="Arial"/>
              </w:rPr>
            </w:pPr>
            <w:r w:rsidRPr="00D64E9B">
              <w:rPr>
                <w:rFonts w:ascii="Arial" w:hAnsi="Arial" w:cs="Arial"/>
              </w:rPr>
              <w:t>Limited analytics/AI exposure</w:t>
            </w:r>
          </w:p>
        </w:tc>
        <w:tc>
          <w:tcPr>
            <w:tcW w:w="1868" w:type="dxa"/>
            <w:vAlign w:val="center"/>
          </w:tcPr>
          <w:p w14:paraId="041492CF" w14:textId="4605B0B8" w:rsidR="00A201EC" w:rsidRPr="00D64E9B" w:rsidRDefault="00A201EC" w:rsidP="00D64E9B">
            <w:pPr>
              <w:spacing w:line="360" w:lineRule="auto"/>
              <w:jc w:val="both"/>
              <w:rPr>
                <w:rFonts w:ascii="Arial" w:hAnsi="Arial" w:cs="Arial"/>
              </w:rPr>
            </w:pPr>
            <w:r w:rsidRPr="00D64E9B">
              <w:rPr>
                <w:rFonts w:ascii="Arial" w:hAnsi="Arial" w:cs="Arial"/>
              </w:rPr>
              <w:t xml:space="preserve">Complete LinkedIn AI </w:t>
            </w:r>
            <w:r w:rsidR="00BA31B5">
              <w:rPr>
                <w:rFonts w:ascii="Arial" w:hAnsi="Arial" w:cs="Arial"/>
              </w:rPr>
              <w:t>and</w:t>
            </w:r>
            <w:r w:rsidRPr="00D64E9B">
              <w:rPr>
                <w:rFonts w:ascii="Arial" w:hAnsi="Arial" w:cs="Arial"/>
              </w:rPr>
              <w:t xml:space="preserve"> Analytics courses</w:t>
            </w:r>
          </w:p>
        </w:tc>
        <w:tc>
          <w:tcPr>
            <w:tcW w:w="1864" w:type="dxa"/>
            <w:vAlign w:val="center"/>
          </w:tcPr>
          <w:p w14:paraId="2450D4BC" w14:textId="77777777" w:rsidR="00A201EC" w:rsidRPr="00D64E9B" w:rsidRDefault="00A201EC" w:rsidP="00D64E9B">
            <w:pPr>
              <w:spacing w:line="360" w:lineRule="auto"/>
              <w:jc w:val="both"/>
              <w:rPr>
                <w:rFonts w:ascii="Arial" w:hAnsi="Arial" w:cs="Arial"/>
              </w:rPr>
            </w:pPr>
            <w:r w:rsidRPr="00D64E9B">
              <w:rPr>
                <w:rFonts w:ascii="Arial" w:hAnsi="Arial" w:cs="Arial"/>
              </w:rPr>
              <w:t>6 months</w:t>
            </w:r>
          </w:p>
        </w:tc>
      </w:tr>
      <w:tr w:rsidR="00A201EC" w:rsidRPr="00D64E9B" w14:paraId="75E55310" w14:textId="77777777" w:rsidTr="00EE3F90">
        <w:tc>
          <w:tcPr>
            <w:tcW w:w="1885" w:type="dxa"/>
            <w:vAlign w:val="center"/>
          </w:tcPr>
          <w:p w14:paraId="6953CF5A" w14:textId="77777777" w:rsidR="00A201EC" w:rsidRPr="00D64E9B" w:rsidRDefault="00A201EC" w:rsidP="00D64E9B">
            <w:pPr>
              <w:spacing w:line="360" w:lineRule="auto"/>
              <w:jc w:val="both"/>
              <w:rPr>
                <w:rFonts w:ascii="Arial" w:hAnsi="Arial" w:cs="Arial"/>
              </w:rPr>
            </w:pPr>
            <w:r w:rsidRPr="00D64E9B">
              <w:rPr>
                <w:rFonts w:ascii="Arial" w:hAnsi="Arial" w:cs="Arial"/>
              </w:rPr>
              <w:t>Communication</w:t>
            </w:r>
          </w:p>
        </w:tc>
        <w:tc>
          <w:tcPr>
            <w:tcW w:w="1865" w:type="dxa"/>
            <w:vAlign w:val="center"/>
          </w:tcPr>
          <w:p w14:paraId="4F46B1D8" w14:textId="77777777" w:rsidR="00A201EC" w:rsidRPr="00D64E9B" w:rsidRDefault="00A201EC" w:rsidP="00D64E9B">
            <w:pPr>
              <w:spacing w:line="360" w:lineRule="auto"/>
              <w:jc w:val="both"/>
              <w:rPr>
                <w:rFonts w:ascii="Arial" w:hAnsi="Arial" w:cs="Arial"/>
              </w:rPr>
            </w:pPr>
            <w:r w:rsidRPr="00D64E9B">
              <w:rPr>
                <w:rFonts w:ascii="Arial" w:hAnsi="Arial" w:cs="Arial"/>
              </w:rPr>
              <w:t>Strong writing</w:t>
            </w:r>
          </w:p>
        </w:tc>
        <w:tc>
          <w:tcPr>
            <w:tcW w:w="1868" w:type="dxa"/>
            <w:vAlign w:val="center"/>
          </w:tcPr>
          <w:p w14:paraId="662198DD" w14:textId="77777777" w:rsidR="00A201EC" w:rsidRPr="00D64E9B" w:rsidRDefault="00A201EC" w:rsidP="00D64E9B">
            <w:pPr>
              <w:spacing w:line="360" w:lineRule="auto"/>
              <w:jc w:val="both"/>
              <w:rPr>
                <w:rFonts w:ascii="Arial" w:hAnsi="Arial" w:cs="Arial"/>
              </w:rPr>
            </w:pPr>
            <w:r w:rsidRPr="00D64E9B">
              <w:rPr>
                <w:rFonts w:ascii="Arial" w:hAnsi="Arial" w:cs="Arial"/>
              </w:rPr>
              <w:t>Lacks verbal assertiveness</w:t>
            </w:r>
          </w:p>
        </w:tc>
        <w:tc>
          <w:tcPr>
            <w:tcW w:w="1868" w:type="dxa"/>
            <w:vAlign w:val="center"/>
          </w:tcPr>
          <w:p w14:paraId="31F2379E" w14:textId="77777777" w:rsidR="00A201EC" w:rsidRPr="00D64E9B" w:rsidRDefault="00A201EC" w:rsidP="00D64E9B">
            <w:pPr>
              <w:spacing w:line="360" w:lineRule="auto"/>
              <w:jc w:val="both"/>
              <w:rPr>
                <w:rFonts w:ascii="Arial" w:hAnsi="Arial" w:cs="Arial"/>
              </w:rPr>
            </w:pPr>
            <w:proofErr w:type="gramStart"/>
            <w:r w:rsidRPr="00D64E9B">
              <w:rPr>
                <w:rFonts w:ascii="Arial" w:hAnsi="Arial" w:cs="Arial"/>
              </w:rPr>
              <w:t>Attend</w:t>
            </w:r>
            <w:proofErr w:type="gramEnd"/>
            <w:r w:rsidRPr="00D64E9B">
              <w:rPr>
                <w:rFonts w:ascii="Arial" w:hAnsi="Arial" w:cs="Arial"/>
              </w:rPr>
              <w:t xml:space="preserve"> public-speaking workshops</w:t>
            </w:r>
          </w:p>
        </w:tc>
        <w:tc>
          <w:tcPr>
            <w:tcW w:w="1864" w:type="dxa"/>
            <w:vAlign w:val="center"/>
          </w:tcPr>
          <w:p w14:paraId="344C805E" w14:textId="77777777" w:rsidR="00A201EC" w:rsidRPr="00D64E9B" w:rsidRDefault="00A201EC" w:rsidP="00D64E9B">
            <w:pPr>
              <w:spacing w:line="360" w:lineRule="auto"/>
              <w:jc w:val="both"/>
              <w:rPr>
                <w:rFonts w:ascii="Arial" w:hAnsi="Arial" w:cs="Arial"/>
              </w:rPr>
            </w:pPr>
            <w:r w:rsidRPr="00D64E9B">
              <w:rPr>
                <w:rFonts w:ascii="Arial" w:hAnsi="Arial" w:cs="Arial"/>
              </w:rPr>
              <w:t>3–6 months</w:t>
            </w:r>
          </w:p>
        </w:tc>
      </w:tr>
      <w:tr w:rsidR="00A201EC" w:rsidRPr="00D64E9B" w14:paraId="561E94D5" w14:textId="77777777" w:rsidTr="00EE3F90">
        <w:tc>
          <w:tcPr>
            <w:tcW w:w="1885" w:type="dxa"/>
            <w:vAlign w:val="center"/>
          </w:tcPr>
          <w:p w14:paraId="79B08080" w14:textId="77777777" w:rsidR="00A201EC" w:rsidRPr="00D64E9B" w:rsidRDefault="00A201EC" w:rsidP="00D64E9B">
            <w:pPr>
              <w:spacing w:line="360" w:lineRule="auto"/>
              <w:jc w:val="both"/>
              <w:rPr>
                <w:rFonts w:ascii="Arial" w:hAnsi="Arial" w:cs="Arial"/>
              </w:rPr>
            </w:pPr>
            <w:r w:rsidRPr="00D64E9B">
              <w:rPr>
                <w:rFonts w:ascii="Arial" w:hAnsi="Arial" w:cs="Arial"/>
              </w:rPr>
              <w:lastRenderedPageBreak/>
              <w:t>Teamwork</w:t>
            </w:r>
          </w:p>
        </w:tc>
        <w:tc>
          <w:tcPr>
            <w:tcW w:w="1865" w:type="dxa"/>
            <w:vAlign w:val="center"/>
          </w:tcPr>
          <w:p w14:paraId="033E99BA" w14:textId="740F30B8" w:rsidR="00A201EC" w:rsidRPr="00D64E9B" w:rsidRDefault="00A201EC" w:rsidP="00D64E9B">
            <w:pPr>
              <w:spacing w:line="360" w:lineRule="auto"/>
              <w:jc w:val="both"/>
              <w:rPr>
                <w:rFonts w:ascii="Arial" w:hAnsi="Arial" w:cs="Arial"/>
              </w:rPr>
            </w:pPr>
            <w:r w:rsidRPr="00D64E9B">
              <w:rPr>
                <w:rFonts w:ascii="Arial" w:hAnsi="Arial" w:cs="Arial"/>
              </w:rPr>
              <w:t xml:space="preserve">Empathetic </w:t>
            </w:r>
            <w:r w:rsidR="00BA31B5">
              <w:rPr>
                <w:rFonts w:ascii="Arial" w:hAnsi="Arial" w:cs="Arial"/>
              </w:rPr>
              <w:t>and</w:t>
            </w:r>
            <w:r w:rsidRPr="00D64E9B">
              <w:rPr>
                <w:rFonts w:ascii="Arial" w:hAnsi="Arial" w:cs="Arial"/>
              </w:rPr>
              <w:t xml:space="preserve"> reliable</w:t>
            </w:r>
          </w:p>
        </w:tc>
        <w:tc>
          <w:tcPr>
            <w:tcW w:w="1868" w:type="dxa"/>
            <w:vAlign w:val="center"/>
          </w:tcPr>
          <w:p w14:paraId="139C255A" w14:textId="77777777" w:rsidR="00A201EC" w:rsidRPr="00D64E9B" w:rsidRDefault="00A201EC" w:rsidP="00D64E9B">
            <w:pPr>
              <w:spacing w:line="360" w:lineRule="auto"/>
              <w:jc w:val="both"/>
              <w:rPr>
                <w:rFonts w:ascii="Arial" w:hAnsi="Arial" w:cs="Arial"/>
              </w:rPr>
            </w:pPr>
            <w:r w:rsidRPr="00D64E9B">
              <w:rPr>
                <w:rFonts w:ascii="Arial" w:hAnsi="Arial" w:cs="Arial"/>
              </w:rPr>
              <w:t>Overly deferential</w:t>
            </w:r>
          </w:p>
        </w:tc>
        <w:tc>
          <w:tcPr>
            <w:tcW w:w="1868" w:type="dxa"/>
            <w:vAlign w:val="center"/>
          </w:tcPr>
          <w:p w14:paraId="6851AAB0" w14:textId="77777777" w:rsidR="00A201EC" w:rsidRPr="00D64E9B" w:rsidRDefault="00A201EC" w:rsidP="00D64E9B">
            <w:pPr>
              <w:spacing w:line="360" w:lineRule="auto"/>
              <w:jc w:val="both"/>
              <w:rPr>
                <w:rFonts w:ascii="Arial" w:hAnsi="Arial" w:cs="Arial"/>
              </w:rPr>
            </w:pPr>
            <w:r w:rsidRPr="00D64E9B">
              <w:rPr>
                <w:rFonts w:ascii="Arial" w:hAnsi="Arial" w:cs="Arial"/>
              </w:rPr>
              <w:t>Apply Belbin roles; lead group projects</w:t>
            </w:r>
          </w:p>
        </w:tc>
        <w:tc>
          <w:tcPr>
            <w:tcW w:w="1864" w:type="dxa"/>
            <w:vAlign w:val="center"/>
          </w:tcPr>
          <w:p w14:paraId="200E0D3D" w14:textId="77777777" w:rsidR="00A201EC" w:rsidRPr="00D64E9B" w:rsidRDefault="00A201EC" w:rsidP="00D64E9B">
            <w:pPr>
              <w:spacing w:line="360" w:lineRule="auto"/>
              <w:jc w:val="both"/>
              <w:rPr>
                <w:rFonts w:ascii="Arial" w:hAnsi="Arial" w:cs="Arial"/>
              </w:rPr>
            </w:pPr>
            <w:r w:rsidRPr="00D64E9B">
              <w:rPr>
                <w:rFonts w:ascii="Arial" w:hAnsi="Arial" w:cs="Arial"/>
              </w:rPr>
              <w:t>Ongoing</w:t>
            </w:r>
          </w:p>
        </w:tc>
      </w:tr>
      <w:tr w:rsidR="00A201EC" w:rsidRPr="00D64E9B" w14:paraId="62D8F104" w14:textId="77777777" w:rsidTr="00EE3F90">
        <w:tc>
          <w:tcPr>
            <w:tcW w:w="1885" w:type="dxa"/>
            <w:vAlign w:val="center"/>
          </w:tcPr>
          <w:p w14:paraId="6E4087A4" w14:textId="77777777" w:rsidR="00A201EC" w:rsidRPr="00D64E9B" w:rsidRDefault="00A201EC" w:rsidP="00D64E9B">
            <w:pPr>
              <w:spacing w:line="360" w:lineRule="auto"/>
              <w:jc w:val="both"/>
              <w:rPr>
                <w:rFonts w:ascii="Arial" w:hAnsi="Arial" w:cs="Arial"/>
              </w:rPr>
            </w:pPr>
            <w:r w:rsidRPr="00D64E9B">
              <w:rPr>
                <w:rFonts w:ascii="Arial" w:hAnsi="Arial" w:cs="Arial"/>
              </w:rPr>
              <w:t>Leadership</w:t>
            </w:r>
          </w:p>
        </w:tc>
        <w:tc>
          <w:tcPr>
            <w:tcW w:w="1865" w:type="dxa"/>
            <w:vAlign w:val="center"/>
          </w:tcPr>
          <w:p w14:paraId="3CA09DBB" w14:textId="77777777" w:rsidR="00A201EC" w:rsidRPr="00D64E9B" w:rsidRDefault="00A201EC" w:rsidP="00D64E9B">
            <w:pPr>
              <w:spacing w:line="360" w:lineRule="auto"/>
              <w:jc w:val="both"/>
              <w:rPr>
                <w:rFonts w:ascii="Arial" w:hAnsi="Arial" w:cs="Arial"/>
              </w:rPr>
            </w:pPr>
            <w:r w:rsidRPr="00D64E9B">
              <w:rPr>
                <w:rFonts w:ascii="Arial" w:hAnsi="Arial" w:cs="Arial"/>
              </w:rPr>
              <w:t>Inclusive, ethical</w:t>
            </w:r>
          </w:p>
        </w:tc>
        <w:tc>
          <w:tcPr>
            <w:tcW w:w="1868" w:type="dxa"/>
            <w:vAlign w:val="center"/>
          </w:tcPr>
          <w:p w14:paraId="78CFF236" w14:textId="77777777" w:rsidR="00A201EC" w:rsidRPr="00D64E9B" w:rsidRDefault="00A201EC" w:rsidP="00D64E9B">
            <w:pPr>
              <w:spacing w:line="360" w:lineRule="auto"/>
              <w:jc w:val="both"/>
              <w:rPr>
                <w:rFonts w:ascii="Arial" w:hAnsi="Arial" w:cs="Arial"/>
              </w:rPr>
            </w:pPr>
            <w:r w:rsidRPr="00D64E9B">
              <w:rPr>
                <w:rFonts w:ascii="Arial" w:hAnsi="Arial" w:cs="Arial"/>
              </w:rPr>
              <w:t>Weak in strategic delegation</w:t>
            </w:r>
          </w:p>
        </w:tc>
        <w:tc>
          <w:tcPr>
            <w:tcW w:w="1868" w:type="dxa"/>
            <w:vAlign w:val="center"/>
          </w:tcPr>
          <w:p w14:paraId="5C8BF54E" w14:textId="77777777" w:rsidR="00A201EC" w:rsidRPr="00D64E9B" w:rsidRDefault="00A201EC" w:rsidP="00D64E9B">
            <w:pPr>
              <w:spacing w:line="360" w:lineRule="auto"/>
              <w:jc w:val="both"/>
              <w:rPr>
                <w:rFonts w:ascii="Arial" w:hAnsi="Arial" w:cs="Arial"/>
              </w:rPr>
            </w:pPr>
            <w:r w:rsidRPr="00D64E9B">
              <w:rPr>
                <w:rFonts w:ascii="Arial" w:hAnsi="Arial" w:cs="Arial"/>
              </w:rPr>
              <w:t>Attend leadership workshop</w:t>
            </w:r>
          </w:p>
        </w:tc>
        <w:tc>
          <w:tcPr>
            <w:tcW w:w="1864" w:type="dxa"/>
            <w:vAlign w:val="center"/>
          </w:tcPr>
          <w:p w14:paraId="004E9C90" w14:textId="77777777" w:rsidR="00A201EC" w:rsidRPr="00D64E9B" w:rsidRDefault="00A201EC" w:rsidP="00D64E9B">
            <w:pPr>
              <w:spacing w:line="360" w:lineRule="auto"/>
              <w:jc w:val="both"/>
              <w:rPr>
                <w:rFonts w:ascii="Arial" w:hAnsi="Arial" w:cs="Arial"/>
              </w:rPr>
            </w:pPr>
            <w:r w:rsidRPr="00D64E9B">
              <w:rPr>
                <w:rFonts w:ascii="Arial" w:hAnsi="Arial" w:cs="Arial"/>
              </w:rPr>
              <w:t>6 months</w:t>
            </w:r>
          </w:p>
        </w:tc>
      </w:tr>
      <w:tr w:rsidR="00A201EC" w:rsidRPr="00D64E9B" w14:paraId="67AAB81A" w14:textId="77777777" w:rsidTr="00EE3F90">
        <w:tc>
          <w:tcPr>
            <w:tcW w:w="1885" w:type="dxa"/>
            <w:vAlign w:val="center"/>
          </w:tcPr>
          <w:p w14:paraId="37A302D8" w14:textId="77777777" w:rsidR="00A201EC" w:rsidRPr="00D64E9B" w:rsidRDefault="00A201EC" w:rsidP="00D64E9B">
            <w:pPr>
              <w:spacing w:line="360" w:lineRule="auto"/>
              <w:jc w:val="both"/>
              <w:rPr>
                <w:rFonts w:ascii="Arial" w:hAnsi="Arial" w:cs="Arial"/>
              </w:rPr>
            </w:pPr>
            <w:r w:rsidRPr="00D64E9B">
              <w:rPr>
                <w:rFonts w:ascii="Arial" w:hAnsi="Arial" w:cs="Arial"/>
              </w:rPr>
              <w:t>Self-Learning</w:t>
            </w:r>
          </w:p>
        </w:tc>
        <w:tc>
          <w:tcPr>
            <w:tcW w:w="1865" w:type="dxa"/>
            <w:vAlign w:val="center"/>
          </w:tcPr>
          <w:p w14:paraId="03B0D8E9" w14:textId="77777777" w:rsidR="00A201EC" w:rsidRPr="00D64E9B" w:rsidRDefault="00A201EC" w:rsidP="00D64E9B">
            <w:pPr>
              <w:spacing w:line="360" w:lineRule="auto"/>
              <w:jc w:val="both"/>
              <w:rPr>
                <w:rFonts w:ascii="Arial" w:hAnsi="Arial" w:cs="Arial"/>
              </w:rPr>
            </w:pPr>
            <w:r w:rsidRPr="00D64E9B">
              <w:rPr>
                <w:rFonts w:ascii="Arial" w:hAnsi="Arial" w:cs="Arial"/>
              </w:rPr>
              <w:t>Reflective, motivated</w:t>
            </w:r>
          </w:p>
        </w:tc>
        <w:tc>
          <w:tcPr>
            <w:tcW w:w="1868" w:type="dxa"/>
            <w:vAlign w:val="center"/>
          </w:tcPr>
          <w:p w14:paraId="327E1E37" w14:textId="77777777" w:rsidR="00A201EC" w:rsidRPr="00D64E9B" w:rsidRDefault="00A201EC" w:rsidP="00D64E9B">
            <w:pPr>
              <w:spacing w:line="360" w:lineRule="auto"/>
              <w:jc w:val="both"/>
              <w:rPr>
                <w:rFonts w:ascii="Arial" w:hAnsi="Arial" w:cs="Arial"/>
              </w:rPr>
            </w:pPr>
            <w:r w:rsidRPr="00D64E9B">
              <w:rPr>
                <w:rFonts w:ascii="Arial" w:hAnsi="Arial" w:cs="Arial"/>
              </w:rPr>
              <w:t>Time management</w:t>
            </w:r>
          </w:p>
        </w:tc>
        <w:tc>
          <w:tcPr>
            <w:tcW w:w="1868" w:type="dxa"/>
            <w:vAlign w:val="center"/>
          </w:tcPr>
          <w:p w14:paraId="2B59E6F8" w14:textId="25D80B13" w:rsidR="00A201EC" w:rsidRPr="00D64E9B" w:rsidRDefault="00A201EC" w:rsidP="00D64E9B">
            <w:pPr>
              <w:spacing w:line="360" w:lineRule="auto"/>
              <w:jc w:val="both"/>
              <w:rPr>
                <w:rFonts w:ascii="Arial" w:hAnsi="Arial" w:cs="Arial"/>
              </w:rPr>
            </w:pPr>
            <w:r w:rsidRPr="00D64E9B">
              <w:rPr>
                <w:rFonts w:ascii="Arial" w:hAnsi="Arial" w:cs="Arial"/>
              </w:rPr>
              <w:t xml:space="preserve">SMART goals </w:t>
            </w:r>
            <w:r w:rsidR="00BA31B5">
              <w:rPr>
                <w:rFonts w:ascii="Arial" w:hAnsi="Arial" w:cs="Arial"/>
              </w:rPr>
              <w:t>and</w:t>
            </w:r>
            <w:r w:rsidRPr="00D64E9B">
              <w:rPr>
                <w:rFonts w:ascii="Arial" w:hAnsi="Arial" w:cs="Arial"/>
              </w:rPr>
              <w:t xml:space="preserve"> Trello tracking</w:t>
            </w:r>
          </w:p>
        </w:tc>
        <w:tc>
          <w:tcPr>
            <w:tcW w:w="1864" w:type="dxa"/>
            <w:vAlign w:val="center"/>
          </w:tcPr>
          <w:p w14:paraId="32FE7A68" w14:textId="77777777" w:rsidR="00A201EC" w:rsidRPr="00D64E9B" w:rsidRDefault="00A201EC" w:rsidP="00D64E9B">
            <w:pPr>
              <w:spacing w:line="360" w:lineRule="auto"/>
              <w:jc w:val="both"/>
              <w:rPr>
                <w:rFonts w:ascii="Arial" w:hAnsi="Arial" w:cs="Arial"/>
              </w:rPr>
            </w:pPr>
            <w:r w:rsidRPr="00D64E9B">
              <w:rPr>
                <w:rFonts w:ascii="Arial" w:hAnsi="Arial" w:cs="Arial"/>
              </w:rPr>
              <w:t>Immediate</w:t>
            </w:r>
          </w:p>
        </w:tc>
      </w:tr>
    </w:tbl>
    <w:p w14:paraId="1B65B2DC" w14:textId="77777777" w:rsidR="00A201EC" w:rsidRPr="00D64E9B" w:rsidRDefault="00A201EC" w:rsidP="00D64E9B">
      <w:pPr>
        <w:spacing w:line="360" w:lineRule="auto"/>
        <w:jc w:val="both"/>
        <w:rPr>
          <w:rFonts w:ascii="Arial" w:hAnsi="Arial" w:cs="Arial"/>
        </w:rPr>
      </w:pPr>
    </w:p>
    <w:p w14:paraId="278B6D9A" w14:textId="01634235" w:rsidR="00A201EC" w:rsidRPr="00D64E9B" w:rsidRDefault="00197122" w:rsidP="00D64E9B">
      <w:pPr>
        <w:spacing w:line="360" w:lineRule="auto"/>
        <w:jc w:val="both"/>
        <w:rPr>
          <w:rFonts w:ascii="Arial" w:hAnsi="Arial" w:cs="Arial"/>
        </w:rPr>
      </w:pPr>
      <w:r w:rsidRPr="00197122">
        <w:rPr>
          <w:rFonts w:ascii="Arial" w:hAnsi="Arial" w:cs="Arial"/>
        </w:rPr>
        <w:t xml:space="preserve">These targeted improvements—advancing HR-analytics expertise, developing verbal confidence, and </w:t>
      </w:r>
      <w:proofErr w:type="spellStart"/>
      <w:r w:rsidRPr="00197122">
        <w:rPr>
          <w:rFonts w:ascii="Arial" w:hAnsi="Arial" w:cs="Arial"/>
        </w:rPr>
        <w:t>practising</w:t>
      </w:r>
      <w:proofErr w:type="spellEnd"/>
      <w:r w:rsidRPr="00197122">
        <w:rPr>
          <w:rFonts w:ascii="Arial" w:hAnsi="Arial" w:cs="Arial"/>
        </w:rPr>
        <w:t xml:space="preserve"> adaptive leadership—align with the competencies required in global HR and people-analytics roles. Strengthening these abilities will enable me to perform effectively in culturally diverse, data-driven environments and contribute strategically to </w:t>
      </w:r>
      <w:proofErr w:type="spellStart"/>
      <w:r w:rsidRPr="00197122">
        <w:rPr>
          <w:rFonts w:ascii="Arial" w:hAnsi="Arial" w:cs="Arial"/>
        </w:rPr>
        <w:t>organisational</w:t>
      </w:r>
      <w:proofErr w:type="spellEnd"/>
      <w:r w:rsidRPr="00197122">
        <w:rPr>
          <w:rFonts w:ascii="Arial" w:hAnsi="Arial" w:cs="Arial"/>
        </w:rPr>
        <w:t xml:space="preserve"> success.</w:t>
      </w:r>
    </w:p>
    <w:p w14:paraId="1FD43029" w14:textId="77777777" w:rsidR="00197122" w:rsidRPr="00D64E9B" w:rsidRDefault="00197122" w:rsidP="00D64E9B">
      <w:pPr>
        <w:spacing w:line="360" w:lineRule="auto"/>
        <w:jc w:val="both"/>
        <w:rPr>
          <w:rFonts w:ascii="Arial" w:hAnsi="Arial" w:cs="Arial"/>
        </w:rPr>
      </w:pPr>
    </w:p>
    <w:p w14:paraId="2AF871F5" w14:textId="77777777" w:rsidR="00A201EC" w:rsidRPr="00D64E9B" w:rsidRDefault="00A201EC" w:rsidP="00D64E9B">
      <w:pPr>
        <w:pStyle w:val="Heading1"/>
      </w:pPr>
      <w:bookmarkStart w:id="9" w:name="_Toc211452470"/>
      <w:bookmarkStart w:id="10" w:name="_Toc211563891"/>
      <w:r w:rsidRPr="00D64E9B">
        <w:t>Conclusion</w:t>
      </w:r>
      <w:bookmarkEnd w:id="9"/>
      <w:bookmarkEnd w:id="10"/>
      <w:r w:rsidRPr="00D64E9B">
        <w:t xml:space="preserve"> </w:t>
      </w:r>
    </w:p>
    <w:bookmarkEnd w:id="7"/>
    <w:p w14:paraId="495FC6DC" w14:textId="2DB4ED4B" w:rsidR="004C7BF0" w:rsidRPr="00D64E9B" w:rsidRDefault="00197122" w:rsidP="00D64E9B">
      <w:pPr>
        <w:spacing w:line="360" w:lineRule="auto"/>
        <w:jc w:val="both"/>
        <w:rPr>
          <w:rFonts w:ascii="Arial" w:hAnsi="Arial" w:cs="Arial"/>
        </w:rPr>
      </w:pPr>
      <w:r w:rsidRPr="00D64E9B">
        <w:rPr>
          <w:rFonts w:ascii="Arial" w:hAnsi="Arial" w:cs="Arial"/>
        </w:rPr>
        <w:t xml:space="preserve">The global </w:t>
      </w:r>
      <w:proofErr w:type="spellStart"/>
      <w:r w:rsidRPr="00D64E9B">
        <w:rPr>
          <w:rFonts w:ascii="Arial" w:hAnsi="Arial" w:cs="Arial"/>
        </w:rPr>
        <w:t>labour</w:t>
      </w:r>
      <w:proofErr w:type="spellEnd"/>
      <w:r w:rsidRPr="00D64E9B">
        <w:rPr>
          <w:rFonts w:ascii="Arial" w:hAnsi="Arial" w:cs="Arial"/>
        </w:rPr>
        <w:t xml:space="preserve"> market demands adaptive HRM and IHRM strategies that address technological, demographic, and geopolitical shifts. Digital innovation has redefined </w:t>
      </w:r>
      <w:proofErr w:type="gramStart"/>
      <w:r w:rsidRPr="00D64E9B">
        <w:rPr>
          <w:rFonts w:ascii="Arial" w:hAnsi="Arial" w:cs="Arial"/>
        </w:rPr>
        <w:t>work,</w:t>
      </w:r>
      <w:proofErr w:type="gramEnd"/>
      <w:r w:rsidRPr="00D64E9B">
        <w:rPr>
          <w:rFonts w:ascii="Arial" w:hAnsi="Arial" w:cs="Arial"/>
        </w:rPr>
        <w:t xml:space="preserve"> while ageing and migration reshape talent supply. Skills shortages highlight the importance of lifelong learning and strategic workforce planning. Effective HRM must be inclusive, data-driven, and agile, developing digital, communication, and leadership skills to ensure sustainable success for both employers and employees in a rapidly changing world.</w:t>
      </w:r>
    </w:p>
    <w:p w14:paraId="0DECFF5D" w14:textId="6A77F036" w:rsidR="00D64E9B" w:rsidRPr="00D64E9B" w:rsidRDefault="00D64E9B" w:rsidP="00D64E9B">
      <w:pPr>
        <w:pStyle w:val="Heading1"/>
      </w:pPr>
      <w:r w:rsidRPr="00D64E9B">
        <w:br w:type="page"/>
      </w:r>
      <w:bookmarkStart w:id="11" w:name="_Toc211452471"/>
      <w:bookmarkStart w:id="12" w:name="_Toc211563892"/>
      <w:r w:rsidRPr="00D64E9B">
        <w:lastRenderedPageBreak/>
        <w:t>References</w:t>
      </w:r>
      <w:bookmarkEnd w:id="11"/>
      <w:bookmarkEnd w:id="12"/>
      <w:r w:rsidRPr="00D64E9B">
        <w:t xml:space="preserve"> </w:t>
      </w:r>
    </w:p>
    <w:p w14:paraId="580D56BE" w14:textId="77777777" w:rsidR="00D64E9B" w:rsidRPr="00D64E9B" w:rsidRDefault="00D64E9B" w:rsidP="00D64E9B">
      <w:pPr>
        <w:spacing w:line="360" w:lineRule="auto"/>
        <w:rPr>
          <w:rFonts w:ascii="Arial" w:hAnsi="Arial" w:cs="Arial"/>
        </w:rPr>
      </w:pPr>
      <w:r w:rsidRPr="00D64E9B">
        <w:rPr>
          <w:rFonts w:ascii="Arial" w:hAnsi="Arial" w:cs="Arial"/>
        </w:rPr>
        <w:t xml:space="preserve">Accenture (2023) </w:t>
      </w:r>
      <w:r w:rsidRPr="00D64E9B">
        <w:rPr>
          <w:rFonts w:ascii="Arial" w:hAnsi="Arial" w:cs="Arial"/>
          <w:i/>
          <w:iCs/>
        </w:rPr>
        <w:t>Future Skills Initiative: Empowering Global Workforce.</w:t>
      </w:r>
      <w:r w:rsidRPr="00D64E9B">
        <w:rPr>
          <w:rFonts w:ascii="Arial" w:hAnsi="Arial" w:cs="Arial"/>
        </w:rPr>
        <w:t xml:space="preserve"> [Online] Available at: https://www.accenture.com</w:t>
      </w:r>
    </w:p>
    <w:p w14:paraId="12C5AD90" w14:textId="1EC77917" w:rsidR="00D64E9B" w:rsidRPr="00541F91" w:rsidRDefault="00D64E9B" w:rsidP="00D64E9B">
      <w:pPr>
        <w:spacing w:line="360" w:lineRule="auto"/>
        <w:rPr>
          <w:rFonts w:ascii="Arial" w:hAnsi="Arial" w:cs="Arial"/>
        </w:rPr>
      </w:pPr>
      <w:r w:rsidRPr="00D64E9B">
        <w:rPr>
          <w:rFonts w:ascii="Arial" w:hAnsi="Arial" w:cs="Arial"/>
        </w:rPr>
        <w:t xml:space="preserve">BBC (2022) </w:t>
      </w:r>
      <w:r w:rsidRPr="00D64E9B">
        <w:rPr>
          <w:rFonts w:ascii="Arial" w:hAnsi="Arial" w:cs="Arial"/>
          <w:i/>
          <w:iCs/>
        </w:rPr>
        <w:t>Amazon Scraps AI Recruitment Tool that Showed Bias Against Women.</w:t>
      </w:r>
      <w:r w:rsidRPr="00D64E9B">
        <w:rPr>
          <w:rFonts w:ascii="Arial" w:hAnsi="Arial" w:cs="Arial"/>
        </w:rPr>
        <w:t xml:space="preserve"> Available at: </w:t>
      </w:r>
      <w:hyperlink r:id="rId12" w:tgtFrame="_new" w:history="1">
        <w:r w:rsidRPr="00D64E9B">
          <w:rPr>
            <w:rStyle w:val="Hyperlink"/>
            <w:rFonts w:ascii="Arial" w:hAnsi="Arial" w:cs="Arial"/>
          </w:rPr>
          <w:t>https://www.bbc.com</w:t>
        </w:r>
      </w:hyperlink>
      <w:r w:rsidR="00541F91">
        <w:t xml:space="preserve"> </w:t>
      </w:r>
      <w:r w:rsidR="00541F91" w:rsidRPr="00541F91">
        <w:rPr>
          <w:rFonts w:ascii="Arial" w:hAnsi="Arial" w:cs="Arial"/>
        </w:rPr>
        <w:t>(Accessed: 15 October 2023).</w:t>
      </w:r>
    </w:p>
    <w:p w14:paraId="020381CC" w14:textId="77777777" w:rsidR="00541F91" w:rsidRDefault="00D64E9B" w:rsidP="00D64E9B">
      <w:pPr>
        <w:spacing w:line="360" w:lineRule="auto"/>
        <w:rPr>
          <w:rFonts w:ascii="Arial" w:hAnsi="Arial" w:cs="Arial"/>
        </w:rPr>
      </w:pPr>
      <w:r w:rsidRPr="00D64E9B">
        <w:rPr>
          <w:rFonts w:ascii="Arial" w:hAnsi="Arial" w:cs="Arial"/>
        </w:rPr>
        <w:t xml:space="preserve">Belbin, R. M. (2010) </w:t>
      </w:r>
      <w:r w:rsidRPr="00D64E9B">
        <w:rPr>
          <w:rFonts w:ascii="Arial" w:hAnsi="Arial" w:cs="Arial"/>
          <w:i/>
          <w:iCs/>
        </w:rPr>
        <w:t>Team Roles at Work.</w:t>
      </w:r>
      <w:r w:rsidRPr="00D64E9B">
        <w:rPr>
          <w:rFonts w:ascii="Arial" w:hAnsi="Arial" w:cs="Arial"/>
        </w:rPr>
        <w:t xml:space="preserve"> 2nd ed. Oxford: Butterworth-Heinemann.</w:t>
      </w:r>
    </w:p>
    <w:p w14:paraId="44A02E6D" w14:textId="653BC539" w:rsidR="00D64E9B" w:rsidRPr="00D64E9B" w:rsidRDefault="00D64E9B" w:rsidP="00D64E9B">
      <w:pPr>
        <w:spacing w:line="360" w:lineRule="auto"/>
        <w:rPr>
          <w:rFonts w:ascii="Arial" w:hAnsi="Arial" w:cs="Arial"/>
        </w:rPr>
      </w:pPr>
      <w:r w:rsidRPr="00D64E9B">
        <w:rPr>
          <w:rFonts w:ascii="Arial" w:hAnsi="Arial" w:cs="Arial"/>
        </w:rPr>
        <w:t xml:space="preserve">Bondarouk, T. </w:t>
      </w:r>
      <w:r w:rsidR="00541F91">
        <w:rPr>
          <w:rFonts w:ascii="Arial" w:hAnsi="Arial" w:cs="Arial"/>
        </w:rPr>
        <w:t>and</w:t>
      </w:r>
      <w:r w:rsidRPr="00D64E9B">
        <w:rPr>
          <w:rFonts w:ascii="Arial" w:hAnsi="Arial" w:cs="Arial"/>
        </w:rPr>
        <w:t xml:space="preserve"> Brewster, C. (2023) </w:t>
      </w:r>
      <w:r w:rsidRPr="00D64E9B">
        <w:rPr>
          <w:rFonts w:ascii="Arial" w:hAnsi="Arial" w:cs="Arial"/>
          <w:i/>
          <w:iCs/>
        </w:rPr>
        <w:t>e-HRM: Digital Transformation of Human Resource Management.</w:t>
      </w:r>
      <w:r w:rsidRPr="00D64E9B">
        <w:rPr>
          <w:rFonts w:ascii="Arial" w:hAnsi="Arial" w:cs="Arial"/>
        </w:rPr>
        <w:t xml:space="preserve"> London: Routledge.</w:t>
      </w:r>
    </w:p>
    <w:p w14:paraId="5021DF84" w14:textId="685D552E" w:rsidR="00D64E9B" w:rsidRPr="00D64E9B" w:rsidRDefault="00D64E9B" w:rsidP="00D64E9B">
      <w:pPr>
        <w:spacing w:line="360" w:lineRule="auto"/>
        <w:rPr>
          <w:rFonts w:ascii="Arial" w:hAnsi="Arial" w:cs="Arial"/>
        </w:rPr>
      </w:pPr>
      <w:r w:rsidRPr="00D64E9B">
        <w:rPr>
          <w:rFonts w:ascii="Arial" w:hAnsi="Arial" w:cs="Arial"/>
        </w:rPr>
        <w:t xml:space="preserve">Bratton, J. </w:t>
      </w:r>
      <w:r w:rsidR="00541F91">
        <w:rPr>
          <w:rFonts w:ascii="Arial" w:hAnsi="Arial" w:cs="Arial"/>
        </w:rPr>
        <w:t>and</w:t>
      </w:r>
      <w:r w:rsidRPr="00D64E9B">
        <w:rPr>
          <w:rFonts w:ascii="Arial" w:hAnsi="Arial" w:cs="Arial"/>
        </w:rPr>
        <w:t xml:space="preserve"> Gold, J. (2022) </w:t>
      </w:r>
      <w:r w:rsidRPr="00D64E9B">
        <w:rPr>
          <w:rFonts w:ascii="Arial" w:hAnsi="Arial" w:cs="Arial"/>
          <w:i/>
          <w:iCs/>
        </w:rPr>
        <w:t>Human Resource Management: Theory and Practice.</w:t>
      </w:r>
      <w:r w:rsidRPr="00D64E9B">
        <w:rPr>
          <w:rFonts w:ascii="Arial" w:hAnsi="Arial" w:cs="Arial"/>
        </w:rPr>
        <w:t xml:space="preserve"> 7th ed. Palgrave Macmillan.</w:t>
      </w:r>
    </w:p>
    <w:p w14:paraId="3E88B594" w14:textId="7C0762A4" w:rsidR="00D64E9B" w:rsidRPr="00D64E9B" w:rsidRDefault="00D64E9B" w:rsidP="00D64E9B">
      <w:pPr>
        <w:spacing w:line="360" w:lineRule="auto"/>
        <w:rPr>
          <w:rFonts w:ascii="Arial" w:hAnsi="Arial" w:cs="Arial"/>
        </w:rPr>
      </w:pPr>
      <w:r w:rsidRPr="00D64E9B">
        <w:rPr>
          <w:rFonts w:ascii="Arial" w:hAnsi="Arial" w:cs="Arial"/>
        </w:rPr>
        <w:t xml:space="preserve">Brougham, D. </w:t>
      </w:r>
      <w:r w:rsidR="00541F91">
        <w:rPr>
          <w:rFonts w:ascii="Arial" w:hAnsi="Arial" w:cs="Arial"/>
        </w:rPr>
        <w:t>and</w:t>
      </w:r>
      <w:r w:rsidRPr="00D64E9B">
        <w:rPr>
          <w:rFonts w:ascii="Arial" w:hAnsi="Arial" w:cs="Arial"/>
        </w:rPr>
        <w:t xml:space="preserve"> Haar, J. (</w:t>
      </w:r>
      <w:proofErr w:type="gramStart"/>
      <w:r w:rsidRPr="00D64E9B">
        <w:rPr>
          <w:rFonts w:ascii="Arial" w:hAnsi="Arial" w:cs="Arial"/>
        </w:rPr>
        <w:t>2023) ‘</w:t>
      </w:r>
      <w:proofErr w:type="gramEnd"/>
      <w:r w:rsidRPr="00D64E9B">
        <w:rPr>
          <w:rFonts w:ascii="Arial" w:hAnsi="Arial" w:cs="Arial"/>
        </w:rPr>
        <w:t xml:space="preserve">Artificial intelligence in HRM: Opportunities, ethics, and implications.’ </w:t>
      </w:r>
      <w:r w:rsidRPr="00D64E9B">
        <w:rPr>
          <w:rFonts w:ascii="Arial" w:hAnsi="Arial" w:cs="Arial"/>
          <w:i/>
          <w:iCs/>
        </w:rPr>
        <w:t>Human Resource Management Review</w:t>
      </w:r>
      <w:r w:rsidRPr="00D64E9B">
        <w:rPr>
          <w:rFonts w:ascii="Arial" w:hAnsi="Arial" w:cs="Arial"/>
        </w:rPr>
        <w:t>, 33(2), pp. 1–10.</w:t>
      </w:r>
    </w:p>
    <w:p w14:paraId="1DAAB474" w14:textId="77777777" w:rsidR="00D64E9B" w:rsidRPr="00D64E9B" w:rsidRDefault="00D64E9B" w:rsidP="00D64E9B">
      <w:pPr>
        <w:spacing w:line="360" w:lineRule="auto"/>
        <w:rPr>
          <w:rFonts w:ascii="Arial" w:hAnsi="Arial" w:cs="Arial"/>
        </w:rPr>
      </w:pPr>
      <w:r w:rsidRPr="00D64E9B">
        <w:rPr>
          <w:rFonts w:ascii="Arial" w:hAnsi="Arial" w:cs="Arial"/>
        </w:rPr>
        <w:t xml:space="preserve">CIPD (2023) </w:t>
      </w:r>
      <w:r w:rsidRPr="00D64E9B">
        <w:rPr>
          <w:rFonts w:ascii="Arial" w:hAnsi="Arial" w:cs="Arial"/>
          <w:i/>
          <w:iCs/>
        </w:rPr>
        <w:t xml:space="preserve">Professional Map: Core </w:t>
      </w:r>
      <w:proofErr w:type="spellStart"/>
      <w:r w:rsidRPr="00D64E9B">
        <w:rPr>
          <w:rFonts w:ascii="Arial" w:hAnsi="Arial" w:cs="Arial"/>
          <w:i/>
          <w:iCs/>
        </w:rPr>
        <w:t>Behaviours</w:t>
      </w:r>
      <w:proofErr w:type="spellEnd"/>
      <w:r w:rsidRPr="00D64E9B">
        <w:rPr>
          <w:rFonts w:ascii="Arial" w:hAnsi="Arial" w:cs="Arial"/>
          <w:i/>
          <w:iCs/>
        </w:rPr>
        <w:t xml:space="preserve"> for People Professionals.</w:t>
      </w:r>
      <w:r w:rsidRPr="00D64E9B">
        <w:rPr>
          <w:rFonts w:ascii="Arial" w:hAnsi="Arial" w:cs="Arial"/>
        </w:rPr>
        <w:t xml:space="preserve"> London: CIPD.</w:t>
      </w:r>
    </w:p>
    <w:p w14:paraId="38D976C5" w14:textId="77777777" w:rsidR="00D64E9B" w:rsidRPr="00D64E9B" w:rsidRDefault="00D64E9B" w:rsidP="00D64E9B">
      <w:pPr>
        <w:spacing w:line="360" w:lineRule="auto"/>
        <w:rPr>
          <w:rFonts w:ascii="Arial" w:hAnsi="Arial" w:cs="Arial"/>
        </w:rPr>
      </w:pPr>
      <w:r w:rsidRPr="00D64E9B">
        <w:rPr>
          <w:rFonts w:ascii="Arial" w:hAnsi="Arial" w:cs="Arial"/>
        </w:rPr>
        <w:t xml:space="preserve">CIPD (2023) </w:t>
      </w:r>
      <w:r w:rsidRPr="00D64E9B">
        <w:rPr>
          <w:rFonts w:ascii="Arial" w:hAnsi="Arial" w:cs="Arial"/>
          <w:i/>
          <w:iCs/>
        </w:rPr>
        <w:t>Resourcing and Talent Planning Survey 2023.</w:t>
      </w:r>
      <w:r w:rsidRPr="00D64E9B">
        <w:rPr>
          <w:rFonts w:ascii="Arial" w:hAnsi="Arial" w:cs="Arial"/>
        </w:rPr>
        <w:t xml:space="preserve"> London: CIPD.</w:t>
      </w:r>
    </w:p>
    <w:p w14:paraId="09AE38FD" w14:textId="2500742E" w:rsidR="00D64E9B" w:rsidRPr="00D64E9B" w:rsidRDefault="00D64E9B" w:rsidP="00D64E9B">
      <w:pPr>
        <w:spacing w:line="360" w:lineRule="auto"/>
        <w:rPr>
          <w:rFonts w:ascii="Arial" w:hAnsi="Arial" w:cs="Arial"/>
        </w:rPr>
      </w:pPr>
      <w:r w:rsidRPr="00D64E9B">
        <w:rPr>
          <w:rFonts w:ascii="Arial" w:hAnsi="Arial" w:cs="Arial"/>
        </w:rPr>
        <w:t xml:space="preserve">Dowling, P. J., </w:t>
      </w:r>
      <w:proofErr w:type="spellStart"/>
      <w:r w:rsidRPr="00D64E9B">
        <w:rPr>
          <w:rFonts w:ascii="Arial" w:hAnsi="Arial" w:cs="Arial"/>
        </w:rPr>
        <w:t>Festing</w:t>
      </w:r>
      <w:proofErr w:type="spellEnd"/>
      <w:r w:rsidRPr="00D64E9B">
        <w:rPr>
          <w:rFonts w:ascii="Arial" w:hAnsi="Arial" w:cs="Arial"/>
        </w:rPr>
        <w:t xml:space="preserve">, M. </w:t>
      </w:r>
      <w:r w:rsidR="00C9722A">
        <w:rPr>
          <w:rFonts w:ascii="Arial" w:hAnsi="Arial" w:cs="Arial"/>
        </w:rPr>
        <w:t>and</w:t>
      </w:r>
      <w:r w:rsidRPr="00D64E9B">
        <w:rPr>
          <w:rFonts w:ascii="Arial" w:hAnsi="Arial" w:cs="Arial"/>
        </w:rPr>
        <w:t xml:space="preserve"> Engle, A. D. (2017) </w:t>
      </w:r>
      <w:r w:rsidRPr="00D64E9B">
        <w:rPr>
          <w:rFonts w:ascii="Arial" w:hAnsi="Arial" w:cs="Arial"/>
          <w:i/>
          <w:iCs/>
        </w:rPr>
        <w:t>International Human Resource Management.</w:t>
      </w:r>
      <w:r w:rsidRPr="00D64E9B">
        <w:rPr>
          <w:rFonts w:ascii="Arial" w:hAnsi="Arial" w:cs="Arial"/>
        </w:rPr>
        <w:t xml:space="preserve"> 7th ed. London: Cengage Learning.</w:t>
      </w:r>
    </w:p>
    <w:p w14:paraId="7BCCF814" w14:textId="77777777" w:rsidR="00D64E9B" w:rsidRPr="00D64E9B" w:rsidRDefault="00D64E9B" w:rsidP="00D64E9B">
      <w:pPr>
        <w:spacing w:line="360" w:lineRule="auto"/>
        <w:rPr>
          <w:rFonts w:ascii="Arial" w:hAnsi="Arial" w:cs="Arial"/>
        </w:rPr>
      </w:pPr>
      <w:r w:rsidRPr="00D64E9B">
        <w:rPr>
          <w:rFonts w:ascii="Arial" w:hAnsi="Arial" w:cs="Arial"/>
        </w:rPr>
        <w:t xml:space="preserve">Gibbs, G. (1988) </w:t>
      </w:r>
      <w:r w:rsidRPr="00D64E9B">
        <w:rPr>
          <w:rFonts w:ascii="Arial" w:hAnsi="Arial" w:cs="Arial"/>
          <w:i/>
          <w:iCs/>
        </w:rPr>
        <w:t>Learning by Doing.</w:t>
      </w:r>
      <w:r w:rsidRPr="00D64E9B">
        <w:rPr>
          <w:rFonts w:ascii="Arial" w:hAnsi="Arial" w:cs="Arial"/>
        </w:rPr>
        <w:t xml:space="preserve"> Oxford: Oxford Polytechnic.</w:t>
      </w:r>
    </w:p>
    <w:p w14:paraId="015623FC" w14:textId="77777777" w:rsidR="00D64E9B" w:rsidRPr="00D64E9B" w:rsidRDefault="00D64E9B" w:rsidP="00D64E9B">
      <w:pPr>
        <w:spacing w:line="360" w:lineRule="auto"/>
        <w:rPr>
          <w:rFonts w:ascii="Arial" w:hAnsi="Arial" w:cs="Arial"/>
        </w:rPr>
      </w:pPr>
      <w:r w:rsidRPr="00D64E9B">
        <w:rPr>
          <w:rFonts w:ascii="Arial" w:hAnsi="Arial" w:cs="Arial"/>
        </w:rPr>
        <w:t xml:space="preserve">Goleman, D. (2009) </w:t>
      </w:r>
      <w:r w:rsidRPr="00D64E9B">
        <w:rPr>
          <w:rFonts w:ascii="Arial" w:hAnsi="Arial" w:cs="Arial"/>
          <w:i/>
          <w:iCs/>
        </w:rPr>
        <w:t>Emotional Intelligence: Why It Can Matter More Than IQ.</w:t>
      </w:r>
      <w:r w:rsidRPr="00D64E9B">
        <w:rPr>
          <w:rFonts w:ascii="Arial" w:hAnsi="Arial" w:cs="Arial"/>
        </w:rPr>
        <w:t xml:space="preserve"> London: Bloomsbury.</w:t>
      </w:r>
    </w:p>
    <w:p w14:paraId="60AF32D1" w14:textId="77777777" w:rsidR="00D64E9B" w:rsidRPr="00D64E9B" w:rsidRDefault="00D64E9B" w:rsidP="00D64E9B">
      <w:pPr>
        <w:spacing w:line="360" w:lineRule="auto"/>
        <w:rPr>
          <w:rFonts w:ascii="Arial" w:hAnsi="Arial" w:cs="Arial"/>
        </w:rPr>
      </w:pPr>
      <w:r w:rsidRPr="00D64E9B">
        <w:rPr>
          <w:rFonts w:ascii="Arial" w:hAnsi="Arial" w:cs="Arial"/>
        </w:rPr>
        <w:t xml:space="preserve">Hofstede Insights (2023) </w:t>
      </w:r>
      <w:r w:rsidRPr="00D64E9B">
        <w:rPr>
          <w:rFonts w:ascii="Arial" w:hAnsi="Arial" w:cs="Arial"/>
          <w:i/>
          <w:iCs/>
        </w:rPr>
        <w:t>Cultural Dimensions.</w:t>
      </w:r>
      <w:r w:rsidRPr="00D64E9B">
        <w:rPr>
          <w:rFonts w:ascii="Arial" w:hAnsi="Arial" w:cs="Arial"/>
        </w:rPr>
        <w:t xml:space="preserve"> [Online] Available at: https://www.hofstede-insights.com</w:t>
      </w:r>
    </w:p>
    <w:p w14:paraId="3C3D6594" w14:textId="77777777" w:rsidR="00D64E9B" w:rsidRPr="00D64E9B" w:rsidRDefault="00D64E9B" w:rsidP="00D64E9B">
      <w:pPr>
        <w:spacing w:line="360" w:lineRule="auto"/>
        <w:rPr>
          <w:rFonts w:ascii="Arial" w:hAnsi="Arial" w:cs="Arial"/>
        </w:rPr>
      </w:pPr>
      <w:r w:rsidRPr="00D64E9B">
        <w:rPr>
          <w:rFonts w:ascii="Arial" w:hAnsi="Arial" w:cs="Arial"/>
        </w:rPr>
        <w:t xml:space="preserve">International </w:t>
      </w:r>
      <w:proofErr w:type="spellStart"/>
      <w:r w:rsidRPr="00D64E9B">
        <w:rPr>
          <w:rFonts w:ascii="Arial" w:hAnsi="Arial" w:cs="Arial"/>
        </w:rPr>
        <w:t>Labour</w:t>
      </w:r>
      <w:proofErr w:type="spellEnd"/>
      <w:r w:rsidRPr="00D64E9B">
        <w:rPr>
          <w:rFonts w:ascii="Arial" w:hAnsi="Arial" w:cs="Arial"/>
        </w:rPr>
        <w:t xml:space="preserve"> Organization (ILO) (2023) </w:t>
      </w:r>
      <w:r w:rsidRPr="00D64E9B">
        <w:rPr>
          <w:rFonts w:ascii="Arial" w:hAnsi="Arial" w:cs="Arial"/>
          <w:i/>
          <w:iCs/>
        </w:rPr>
        <w:t>World Employment and Social Outlook 2023.</w:t>
      </w:r>
      <w:r w:rsidRPr="00D64E9B">
        <w:rPr>
          <w:rFonts w:ascii="Arial" w:hAnsi="Arial" w:cs="Arial"/>
        </w:rPr>
        <w:t xml:space="preserve"> Geneva: ILO.</w:t>
      </w:r>
    </w:p>
    <w:p w14:paraId="1A6EA20E" w14:textId="77777777" w:rsidR="00D64E9B" w:rsidRPr="00D64E9B" w:rsidRDefault="00D64E9B" w:rsidP="00D64E9B">
      <w:pPr>
        <w:spacing w:line="360" w:lineRule="auto"/>
        <w:rPr>
          <w:rFonts w:ascii="Arial" w:hAnsi="Arial" w:cs="Arial"/>
        </w:rPr>
      </w:pPr>
      <w:r w:rsidRPr="00D64E9B">
        <w:rPr>
          <w:rFonts w:ascii="Arial" w:hAnsi="Arial" w:cs="Arial"/>
        </w:rPr>
        <w:t xml:space="preserve">Kolb, D. A. (1984) </w:t>
      </w:r>
      <w:r w:rsidRPr="00D64E9B">
        <w:rPr>
          <w:rFonts w:ascii="Arial" w:hAnsi="Arial" w:cs="Arial"/>
          <w:i/>
          <w:iCs/>
        </w:rPr>
        <w:t>Experiential Learning: Experience as the Source of Learning and Development.</w:t>
      </w:r>
      <w:r w:rsidRPr="00D64E9B">
        <w:rPr>
          <w:rFonts w:ascii="Arial" w:hAnsi="Arial" w:cs="Arial"/>
        </w:rPr>
        <w:t xml:space="preserve"> Englewood Cliffs: Prentice Hall.</w:t>
      </w:r>
    </w:p>
    <w:p w14:paraId="214BAAE9" w14:textId="77777777" w:rsidR="00D64E9B" w:rsidRPr="00D64E9B" w:rsidRDefault="00D64E9B" w:rsidP="00D64E9B">
      <w:pPr>
        <w:spacing w:line="360" w:lineRule="auto"/>
        <w:rPr>
          <w:rFonts w:ascii="Arial" w:hAnsi="Arial" w:cs="Arial"/>
        </w:rPr>
      </w:pPr>
      <w:r w:rsidRPr="00D64E9B">
        <w:rPr>
          <w:rFonts w:ascii="Arial" w:hAnsi="Arial" w:cs="Arial"/>
        </w:rPr>
        <w:lastRenderedPageBreak/>
        <w:t xml:space="preserve">Knowles, M. S. (1975) </w:t>
      </w:r>
      <w:r w:rsidRPr="00D64E9B">
        <w:rPr>
          <w:rFonts w:ascii="Arial" w:hAnsi="Arial" w:cs="Arial"/>
          <w:i/>
          <w:iCs/>
        </w:rPr>
        <w:t>Self-Directed Learning: A Guide for Learners and Teachers.</w:t>
      </w:r>
      <w:r w:rsidRPr="00D64E9B">
        <w:rPr>
          <w:rFonts w:ascii="Arial" w:hAnsi="Arial" w:cs="Arial"/>
        </w:rPr>
        <w:t xml:space="preserve"> New York: Association Press.</w:t>
      </w:r>
    </w:p>
    <w:p w14:paraId="6EE86C7B" w14:textId="3F7FFFCB" w:rsidR="00D64E9B" w:rsidRPr="00D64E9B" w:rsidRDefault="00D64E9B" w:rsidP="00D64E9B">
      <w:pPr>
        <w:spacing w:line="360" w:lineRule="auto"/>
        <w:rPr>
          <w:rFonts w:ascii="Arial" w:hAnsi="Arial" w:cs="Arial"/>
        </w:rPr>
      </w:pPr>
      <w:r w:rsidRPr="00D64E9B">
        <w:rPr>
          <w:rFonts w:ascii="Arial" w:hAnsi="Arial" w:cs="Arial"/>
        </w:rPr>
        <w:t xml:space="preserve">Lewis, R. E. </w:t>
      </w:r>
      <w:r w:rsidR="00C9722A">
        <w:rPr>
          <w:rFonts w:ascii="Arial" w:hAnsi="Arial" w:cs="Arial"/>
        </w:rPr>
        <w:t>and</w:t>
      </w:r>
      <w:r w:rsidRPr="00D64E9B">
        <w:rPr>
          <w:rFonts w:ascii="Arial" w:hAnsi="Arial" w:cs="Arial"/>
        </w:rPr>
        <w:t xml:space="preserve"> Heckman, R. J. (2006) ‘Talent management: A critical review’, </w:t>
      </w:r>
      <w:r w:rsidRPr="00D64E9B">
        <w:rPr>
          <w:rFonts w:ascii="Arial" w:hAnsi="Arial" w:cs="Arial"/>
          <w:i/>
          <w:iCs/>
        </w:rPr>
        <w:t>Human Resource Management Review</w:t>
      </w:r>
      <w:r w:rsidRPr="00D64E9B">
        <w:rPr>
          <w:rFonts w:ascii="Arial" w:hAnsi="Arial" w:cs="Arial"/>
        </w:rPr>
        <w:t>, 16(2), pp.139–154.</w:t>
      </w:r>
    </w:p>
    <w:p w14:paraId="6596A198" w14:textId="00772434" w:rsidR="00D64E9B" w:rsidRPr="00D64E9B" w:rsidRDefault="00D64E9B" w:rsidP="00D64E9B">
      <w:pPr>
        <w:spacing w:line="360" w:lineRule="auto"/>
        <w:rPr>
          <w:rFonts w:ascii="Arial" w:hAnsi="Arial" w:cs="Arial"/>
        </w:rPr>
      </w:pPr>
      <w:r w:rsidRPr="00D64E9B">
        <w:rPr>
          <w:rFonts w:ascii="Arial" w:hAnsi="Arial" w:cs="Arial"/>
        </w:rPr>
        <w:t xml:space="preserve">Microsoft (2023) </w:t>
      </w:r>
      <w:r w:rsidRPr="00D64E9B">
        <w:rPr>
          <w:rFonts w:ascii="Arial" w:hAnsi="Arial" w:cs="Arial"/>
          <w:i/>
          <w:iCs/>
        </w:rPr>
        <w:t>Global Skills Initiative Report.</w:t>
      </w:r>
      <w:r w:rsidRPr="00D64E9B">
        <w:rPr>
          <w:rFonts w:ascii="Arial" w:hAnsi="Arial" w:cs="Arial"/>
        </w:rPr>
        <w:t xml:space="preserve"> [Online] Available at:</w:t>
      </w:r>
      <w:r w:rsidR="00C9722A">
        <w:rPr>
          <w:rFonts w:ascii="Arial" w:hAnsi="Arial" w:cs="Arial"/>
        </w:rPr>
        <w:t xml:space="preserve"> </w:t>
      </w:r>
      <w:r w:rsidRPr="00D64E9B">
        <w:rPr>
          <w:rFonts w:ascii="Arial" w:hAnsi="Arial" w:cs="Arial"/>
        </w:rPr>
        <w:t>https://news.microsoft.com</w:t>
      </w:r>
    </w:p>
    <w:p w14:paraId="5EC2283F" w14:textId="77777777" w:rsidR="00D64E9B" w:rsidRPr="00D64E9B" w:rsidRDefault="00D64E9B" w:rsidP="00D64E9B">
      <w:pPr>
        <w:spacing w:line="360" w:lineRule="auto"/>
        <w:rPr>
          <w:rFonts w:ascii="Arial" w:hAnsi="Arial" w:cs="Arial"/>
        </w:rPr>
      </w:pPr>
      <w:r w:rsidRPr="00D64E9B">
        <w:rPr>
          <w:rFonts w:ascii="Arial" w:hAnsi="Arial" w:cs="Arial"/>
        </w:rPr>
        <w:t xml:space="preserve">NHS (2023) </w:t>
      </w:r>
      <w:r w:rsidRPr="00D64E9B">
        <w:rPr>
          <w:rFonts w:ascii="Arial" w:hAnsi="Arial" w:cs="Arial"/>
          <w:i/>
          <w:iCs/>
        </w:rPr>
        <w:t>International Recruitment Strategy.</w:t>
      </w:r>
      <w:r w:rsidRPr="00D64E9B">
        <w:rPr>
          <w:rFonts w:ascii="Arial" w:hAnsi="Arial" w:cs="Arial"/>
        </w:rPr>
        <w:t xml:space="preserve"> London: NHS England.</w:t>
      </w:r>
    </w:p>
    <w:p w14:paraId="598EE588" w14:textId="77777777" w:rsidR="00D64E9B" w:rsidRPr="00D64E9B" w:rsidRDefault="00D64E9B" w:rsidP="00D64E9B">
      <w:pPr>
        <w:spacing w:line="360" w:lineRule="auto"/>
        <w:rPr>
          <w:rFonts w:ascii="Arial" w:hAnsi="Arial" w:cs="Arial"/>
        </w:rPr>
      </w:pPr>
      <w:r w:rsidRPr="00D64E9B">
        <w:rPr>
          <w:rFonts w:ascii="Arial" w:hAnsi="Arial" w:cs="Arial"/>
        </w:rPr>
        <w:t xml:space="preserve">OECD (2023) </w:t>
      </w:r>
      <w:r w:rsidRPr="00D64E9B">
        <w:rPr>
          <w:rFonts w:ascii="Arial" w:hAnsi="Arial" w:cs="Arial"/>
          <w:i/>
          <w:iCs/>
        </w:rPr>
        <w:t>Skills Outlook 2023: Building a Resilient Workforce.</w:t>
      </w:r>
      <w:r w:rsidRPr="00D64E9B">
        <w:rPr>
          <w:rFonts w:ascii="Arial" w:hAnsi="Arial" w:cs="Arial"/>
        </w:rPr>
        <w:t xml:space="preserve"> Paris: OECD Publishing.</w:t>
      </w:r>
    </w:p>
    <w:p w14:paraId="5A087AC8" w14:textId="4B5BB38E" w:rsidR="00D64E9B" w:rsidRPr="00D64E9B" w:rsidRDefault="00D64E9B" w:rsidP="00D64E9B">
      <w:pPr>
        <w:spacing w:line="360" w:lineRule="auto"/>
        <w:rPr>
          <w:rFonts w:ascii="Arial" w:hAnsi="Arial" w:cs="Arial"/>
        </w:rPr>
      </w:pPr>
      <w:r w:rsidRPr="00D64E9B">
        <w:rPr>
          <w:rFonts w:ascii="Arial" w:hAnsi="Arial" w:cs="Arial"/>
        </w:rPr>
        <w:t xml:space="preserve">Raghavan, M., Barocas, S., Kleinberg, J. </w:t>
      </w:r>
      <w:r w:rsidR="00C9722A">
        <w:rPr>
          <w:rFonts w:ascii="Arial" w:hAnsi="Arial" w:cs="Arial"/>
        </w:rPr>
        <w:t>and</w:t>
      </w:r>
      <w:r w:rsidRPr="00D64E9B">
        <w:rPr>
          <w:rFonts w:ascii="Arial" w:hAnsi="Arial" w:cs="Arial"/>
        </w:rPr>
        <w:t xml:space="preserve"> Levy, K. (</w:t>
      </w:r>
      <w:proofErr w:type="gramStart"/>
      <w:r w:rsidRPr="00D64E9B">
        <w:rPr>
          <w:rFonts w:ascii="Arial" w:hAnsi="Arial" w:cs="Arial"/>
        </w:rPr>
        <w:t>2020) ‘</w:t>
      </w:r>
      <w:proofErr w:type="gramEnd"/>
      <w:r w:rsidRPr="00D64E9B">
        <w:rPr>
          <w:rFonts w:ascii="Arial" w:hAnsi="Arial" w:cs="Arial"/>
        </w:rPr>
        <w:t xml:space="preserve">Mitigating bias in algorithmic hiring: Evaluating claims and practices.’ </w:t>
      </w:r>
      <w:r w:rsidRPr="00D64E9B">
        <w:rPr>
          <w:rFonts w:ascii="Arial" w:hAnsi="Arial" w:cs="Arial"/>
          <w:i/>
          <w:iCs/>
        </w:rPr>
        <w:t>Proceedings of the 2020 Conference on Fairness, Accountability, and Transparency</w:t>
      </w:r>
      <w:r w:rsidRPr="00D64E9B">
        <w:rPr>
          <w:rFonts w:ascii="Arial" w:hAnsi="Arial" w:cs="Arial"/>
        </w:rPr>
        <w:t>, pp. 469–481.</w:t>
      </w:r>
    </w:p>
    <w:p w14:paraId="125B2579" w14:textId="77777777" w:rsidR="00D64E9B" w:rsidRPr="00D64E9B" w:rsidRDefault="00D64E9B" w:rsidP="00D64E9B">
      <w:pPr>
        <w:spacing w:line="360" w:lineRule="auto"/>
        <w:rPr>
          <w:rFonts w:ascii="Arial" w:hAnsi="Arial" w:cs="Arial"/>
        </w:rPr>
      </w:pPr>
      <w:r w:rsidRPr="00D64E9B">
        <w:rPr>
          <w:rFonts w:ascii="Arial" w:hAnsi="Arial" w:cs="Arial"/>
        </w:rPr>
        <w:t xml:space="preserve">United Nations (2022) </w:t>
      </w:r>
      <w:r w:rsidRPr="00D64E9B">
        <w:rPr>
          <w:rFonts w:ascii="Arial" w:hAnsi="Arial" w:cs="Arial"/>
          <w:i/>
          <w:iCs/>
        </w:rPr>
        <w:t>World Population Prospects 2022.</w:t>
      </w:r>
      <w:r w:rsidRPr="00D64E9B">
        <w:rPr>
          <w:rFonts w:ascii="Arial" w:hAnsi="Arial" w:cs="Arial"/>
        </w:rPr>
        <w:t xml:space="preserve"> New York: United Nations.</w:t>
      </w:r>
    </w:p>
    <w:p w14:paraId="4DB94C20" w14:textId="77777777" w:rsidR="00D64E9B" w:rsidRPr="00D64E9B" w:rsidRDefault="00D64E9B" w:rsidP="00D64E9B">
      <w:pPr>
        <w:spacing w:line="360" w:lineRule="auto"/>
        <w:rPr>
          <w:rFonts w:ascii="Arial" w:hAnsi="Arial" w:cs="Arial"/>
        </w:rPr>
      </w:pPr>
      <w:r w:rsidRPr="00D64E9B">
        <w:rPr>
          <w:rFonts w:ascii="Arial" w:hAnsi="Arial" w:cs="Arial"/>
        </w:rPr>
        <w:t xml:space="preserve">World Bank (2023) </w:t>
      </w:r>
      <w:r w:rsidRPr="00D64E9B">
        <w:rPr>
          <w:rFonts w:ascii="Arial" w:hAnsi="Arial" w:cs="Arial"/>
          <w:i/>
          <w:iCs/>
        </w:rPr>
        <w:t>Global Economic Prospects.</w:t>
      </w:r>
      <w:r w:rsidRPr="00D64E9B">
        <w:rPr>
          <w:rFonts w:ascii="Arial" w:hAnsi="Arial" w:cs="Arial"/>
        </w:rPr>
        <w:t xml:space="preserve"> Washington, DC: World Bank.</w:t>
      </w:r>
    </w:p>
    <w:p w14:paraId="3AB35C69" w14:textId="72EBB1B4" w:rsidR="00D64E9B" w:rsidRPr="00D64E9B" w:rsidRDefault="00D64E9B" w:rsidP="00AF4A91">
      <w:pPr>
        <w:spacing w:line="360" w:lineRule="auto"/>
        <w:rPr>
          <w:rFonts w:ascii="Arial" w:hAnsi="Arial" w:cs="Arial"/>
        </w:rPr>
      </w:pPr>
      <w:r w:rsidRPr="00D64E9B">
        <w:rPr>
          <w:rFonts w:ascii="Arial" w:hAnsi="Arial" w:cs="Arial"/>
        </w:rPr>
        <w:t xml:space="preserve">World Economic Forum (2023) </w:t>
      </w:r>
      <w:r w:rsidRPr="00D64E9B">
        <w:rPr>
          <w:rFonts w:ascii="Arial" w:hAnsi="Arial" w:cs="Arial"/>
          <w:i/>
          <w:iCs/>
        </w:rPr>
        <w:t>Future of Jobs Report 2023.</w:t>
      </w:r>
      <w:r w:rsidRPr="00D64E9B">
        <w:rPr>
          <w:rFonts w:ascii="Arial" w:hAnsi="Arial" w:cs="Arial"/>
        </w:rPr>
        <w:t xml:space="preserve"> Geneva: WEF.</w:t>
      </w:r>
    </w:p>
    <w:sectPr w:rsidR="00D64E9B" w:rsidRPr="00D64E9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A4043" w14:textId="77777777" w:rsidR="00C71125" w:rsidRDefault="00C71125" w:rsidP="00AA5636">
      <w:pPr>
        <w:spacing w:after="0" w:line="240" w:lineRule="auto"/>
      </w:pPr>
      <w:r>
        <w:separator/>
      </w:r>
    </w:p>
  </w:endnote>
  <w:endnote w:type="continuationSeparator" w:id="0">
    <w:p w14:paraId="11C4FC29" w14:textId="77777777" w:rsidR="00C71125" w:rsidRDefault="00C71125" w:rsidP="00AA5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412640"/>
      <w:docPartObj>
        <w:docPartGallery w:val="Page Numbers (Bottom of Page)"/>
        <w:docPartUnique/>
      </w:docPartObj>
    </w:sdtPr>
    <w:sdtEndPr>
      <w:rPr>
        <w:noProof/>
      </w:rPr>
    </w:sdtEndPr>
    <w:sdtContent>
      <w:p w14:paraId="5FB17BD5" w14:textId="0EED57F3" w:rsidR="00D64E9B" w:rsidRDefault="00D64E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B85380" w14:textId="77777777" w:rsidR="00D64E9B" w:rsidRDefault="00D64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51362" w14:textId="77777777" w:rsidR="00C71125" w:rsidRDefault="00C71125" w:rsidP="00AA5636">
      <w:pPr>
        <w:spacing w:after="0" w:line="240" w:lineRule="auto"/>
      </w:pPr>
      <w:r>
        <w:separator/>
      </w:r>
    </w:p>
  </w:footnote>
  <w:footnote w:type="continuationSeparator" w:id="0">
    <w:p w14:paraId="0FDC7D30" w14:textId="77777777" w:rsidR="00C71125" w:rsidRDefault="00C71125" w:rsidP="00AA56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636"/>
    <w:rsid w:val="00017093"/>
    <w:rsid w:val="000A3390"/>
    <w:rsid w:val="001041D9"/>
    <w:rsid w:val="00197122"/>
    <w:rsid w:val="00201AF5"/>
    <w:rsid w:val="002B199E"/>
    <w:rsid w:val="00312D06"/>
    <w:rsid w:val="003C5C79"/>
    <w:rsid w:val="003E1BB0"/>
    <w:rsid w:val="004C6612"/>
    <w:rsid w:val="004C7BF0"/>
    <w:rsid w:val="00541F91"/>
    <w:rsid w:val="005F0039"/>
    <w:rsid w:val="0061758D"/>
    <w:rsid w:val="00696F05"/>
    <w:rsid w:val="006D26BE"/>
    <w:rsid w:val="00721BA2"/>
    <w:rsid w:val="00731A41"/>
    <w:rsid w:val="00781CBC"/>
    <w:rsid w:val="007E220A"/>
    <w:rsid w:val="00903EC7"/>
    <w:rsid w:val="00957A7E"/>
    <w:rsid w:val="00A201EC"/>
    <w:rsid w:val="00AA5636"/>
    <w:rsid w:val="00AC0848"/>
    <w:rsid w:val="00AF4A91"/>
    <w:rsid w:val="00AF7AC0"/>
    <w:rsid w:val="00B561D9"/>
    <w:rsid w:val="00BA31B5"/>
    <w:rsid w:val="00C71125"/>
    <w:rsid w:val="00C74561"/>
    <w:rsid w:val="00C9722A"/>
    <w:rsid w:val="00C9751F"/>
    <w:rsid w:val="00D1627A"/>
    <w:rsid w:val="00D64E9B"/>
    <w:rsid w:val="00DE3F82"/>
    <w:rsid w:val="00E97BA5"/>
    <w:rsid w:val="00F20F4A"/>
    <w:rsid w:val="00FD6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3515BA"/>
  <w15:chartTrackingRefBased/>
  <w15:docId w15:val="{92AFBA35-D4E6-4681-8025-40A6CC3B3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1EC"/>
  </w:style>
  <w:style w:type="paragraph" w:styleId="Heading1">
    <w:name w:val="heading 1"/>
    <w:basedOn w:val="Normal"/>
    <w:next w:val="Normal"/>
    <w:link w:val="Heading1Char"/>
    <w:uiPriority w:val="9"/>
    <w:qFormat/>
    <w:rsid w:val="00AA56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56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56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56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56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56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6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6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6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6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56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56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6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6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6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6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6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636"/>
    <w:rPr>
      <w:rFonts w:eastAsiaTheme="majorEastAsia" w:cstheme="majorBidi"/>
      <w:color w:val="272727" w:themeColor="text1" w:themeTint="D8"/>
    </w:rPr>
  </w:style>
  <w:style w:type="paragraph" w:styleId="Title">
    <w:name w:val="Title"/>
    <w:basedOn w:val="Normal"/>
    <w:next w:val="Normal"/>
    <w:link w:val="TitleChar"/>
    <w:uiPriority w:val="10"/>
    <w:qFormat/>
    <w:rsid w:val="00AA56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6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6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6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636"/>
    <w:pPr>
      <w:spacing w:before="160"/>
      <w:jc w:val="center"/>
    </w:pPr>
    <w:rPr>
      <w:i/>
      <w:iCs/>
      <w:color w:val="404040" w:themeColor="text1" w:themeTint="BF"/>
    </w:rPr>
  </w:style>
  <w:style w:type="character" w:customStyle="1" w:styleId="QuoteChar">
    <w:name w:val="Quote Char"/>
    <w:basedOn w:val="DefaultParagraphFont"/>
    <w:link w:val="Quote"/>
    <w:uiPriority w:val="29"/>
    <w:rsid w:val="00AA5636"/>
    <w:rPr>
      <w:i/>
      <w:iCs/>
      <w:color w:val="404040" w:themeColor="text1" w:themeTint="BF"/>
    </w:rPr>
  </w:style>
  <w:style w:type="paragraph" w:styleId="ListParagraph">
    <w:name w:val="List Paragraph"/>
    <w:basedOn w:val="Normal"/>
    <w:uiPriority w:val="34"/>
    <w:qFormat/>
    <w:rsid w:val="00AA5636"/>
    <w:pPr>
      <w:ind w:left="720"/>
      <w:contextualSpacing/>
    </w:pPr>
  </w:style>
  <w:style w:type="character" w:styleId="IntenseEmphasis">
    <w:name w:val="Intense Emphasis"/>
    <w:basedOn w:val="DefaultParagraphFont"/>
    <w:uiPriority w:val="21"/>
    <w:qFormat/>
    <w:rsid w:val="00AA5636"/>
    <w:rPr>
      <w:i/>
      <w:iCs/>
      <w:color w:val="0F4761" w:themeColor="accent1" w:themeShade="BF"/>
    </w:rPr>
  </w:style>
  <w:style w:type="paragraph" w:styleId="IntenseQuote">
    <w:name w:val="Intense Quote"/>
    <w:basedOn w:val="Normal"/>
    <w:next w:val="Normal"/>
    <w:link w:val="IntenseQuoteChar"/>
    <w:uiPriority w:val="30"/>
    <w:qFormat/>
    <w:rsid w:val="00AA56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5636"/>
    <w:rPr>
      <w:i/>
      <w:iCs/>
      <w:color w:val="0F4761" w:themeColor="accent1" w:themeShade="BF"/>
    </w:rPr>
  </w:style>
  <w:style w:type="character" w:styleId="IntenseReference">
    <w:name w:val="Intense Reference"/>
    <w:basedOn w:val="DefaultParagraphFont"/>
    <w:uiPriority w:val="32"/>
    <w:qFormat/>
    <w:rsid w:val="00AA5636"/>
    <w:rPr>
      <w:b/>
      <w:bCs/>
      <w:smallCaps/>
      <w:color w:val="0F4761" w:themeColor="accent1" w:themeShade="BF"/>
      <w:spacing w:val="5"/>
    </w:rPr>
  </w:style>
  <w:style w:type="character" w:styleId="Hyperlink">
    <w:name w:val="Hyperlink"/>
    <w:basedOn w:val="DefaultParagraphFont"/>
    <w:uiPriority w:val="99"/>
    <w:unhideWhenUsed/>
    <w:rsid w:val="00AA5636"/>
    <w:rPr>
      <w:color w:val="467886" w:themeColor="hyperlink"/>
      <w:u w:val="single"/>
    </w:rPr>
  </w:style>
  <w:style w:type="table" w:styleId="TableGrid">
    <w:name w:val="Table Grid"/>
    <w:basedOn w:val="TableNormal"/>
    <w:uiPriority w:val="39"/>
    <w:rsid w:val="00AA5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A563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A5636"/>
    <w:pPr>
      <w:spacing w:after="100"/>
    </w:pPr>
  </w:style>
  <w:style w:type="paragraph" w:styleId="Header">
    <w:name w:val="header"/>
    <w:basedOn w:val="Normal"/>
    <w:link w:val="HeaderChar"/>
    <w:uiPriority w:val="99"/>
    <w:unhideWhenUsed/>
    <w:rsid w:val="00AA56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5636"/>
  </w:style>
  <w:style w:type="paragraph" w:styleId="Footer">
    <w:name w:val="footer"/>
    <w:basedOn w:val="Normal"/>
    <w:link w:val="FooterChar"/>
    <w:uiPriority w:val="99"/>
    <w:unhideWhenUsed/>
    <w:rsid w:val="00AA56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636"/>
  </w:style>
  <w:style w:type="paragraph" w:styleId="NormalWeb">
    <w:name w:val="Normal (Web)"/>
    <w:basedOn w:val="Normal"/>
    <w:uiPriority w:val="99"/>
    <w:semiHidden/>
    <w:unhideWhenUsed/>
    <w:rsid w:val="00C9751F"/>
    <w:rPr>
      <w:rFonts w:ascii="Times New Roman" w:hAnsi="Times New Roman" w:cs="Times New Roman"/>
    </w:rPr>
  </w:style>
  <w:style w:type="paragraph" w:styleId="HTMLPreformatted">
    <w:name w:val="HTML Preformatted"/>
    <w:basedOn w:val="Normal"/>
    <w:link w:val="HTMLPreformattedChar"/>
    <w:uiPriority w:val="99"/>
    <w:semiHidden/>
    <w:unhideWhenUsed/>
    <w:rsid w:val="00541F9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41F91"/>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bc.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Youth and Ageing Population by Region (UN, 2022; ILO, 2023)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Young (&lt;25 Age)</c:v>
                </c:pt>
              </c:strCache>
            </c:strRef>
          </c:tx>
          <c:spPr>
            <a:solidFill>
              <a:schemeClr val="accent1"/>
            </a:solidFill>
            <a:ln>
              <a:noFill/>
            </a:ln>
            <a:effectLst/>
          </c:spPr>
          <c:invertIfNegative val="0"/>
          <c:cat>
            <c:strRef>
              <c:f>Sheet1!$A$2:$A$5</c:f>
              <c:strCache>
                <c:ptCount val="4"/>
                <c:pt idx="0">
                  <c:v>Asia</c:v>
                </c:pt>
                <c:pt idx="1">
                  <c:v>Sub-saharan Africa</c:v>
                </c:pt>
                <c:pt idx="2">
                  <c:v>Europe</c:v>
                </c:pt>
                <c:pt idx="3">
                  <c:v>North America4</c:v>
                </c:pt>
              </c:strCache>
            </c:strRef>
          </c:cat>
          <c:val>
            <c:numRef>
              <c:f>Sheet1!$B$2:$B$5</c:f>
              <c:numCache>
                <c:formatCode>General</c:formatCode>
                <c:ptCount val="4"/>
                <c:pt idx="0">
                  <c:v>45</c:v>
                </c:pt>
                <c:pt idx="1">
                  <c:v>60</c:v>
                </c:pt>
                <c:pt idx="2">
                  <c:v>25</c:v>
                </c:pt>
                <c:pt idx="3">
                  <c:v>24</c:v>
                </c:pt>
              </c:numCache>
            </c:numRef>
          </c:val>
          <c:extLst>
            <c:ext xmlns:c16="http://schemas.microsoft.com/office/drawing/2014/chart" uri="{C3380CC4-5D6E-409C-BE32-E72D297353CC}">
              <c16:uniqueId val="{00000000-6395-458E-A5B5-62DA6D31340D}"/>
            </c:ext>
          </c:extLst>
        </c:ser>
        <c:ser>
          <c:idx val="1"/>
          <c:order val="1"/>
          <c:tx>
            <c:strRef>
              <c:f>Sheet1!$C$1</c:f>
              <c:strCache>
                <c:ptCount val="1"/>
                <c:pt idx="0">
                  <c:v>Old (60+ Age)</c:v>
                </c:pt>
              </c:strCache>
            </c:strRef>
          </c:tx>
          <c:spPr>
            <a:solidFill>
              <a:schemeClr val="accent2"/>
            </a:solidFill>
            <a:ln>
              <a:noFill/>
            </a:ln>
            <a:effectLst/>
          </c:spPr>
          <c:invertIfNegative val="0"/>
          <c:cat>
            <c:strRef>
              <c:f>Sheet1!$A$2:$A$5</c:f>
              <c:strCache>
                <c:ptCount val="4"/>
                <c:pt idx="0">
                  <c:v>Asia</c:v>
                </c:pt>
                <c:pt idx="1">
                  <c:v>Sub-saharan Africa</c:v>
                </c:pt>
                <c:pt idx="2">
                  <c:v>Europe</c:v>
                </c:pt>
                <c:pt idx="3">
                  <c:v>North America4</c:v>
                </c:pt>
              </c:strCache>
            </c:strRef>
          </c:cat>
          <c:val>
            <c:numRef>
              <c:f>Sheet1!$C$2:$C$5</c:f>
              <c:numCache>
                <c:formatCode>General</c:formatCode>
                <c:ptCount val="4"/>
                <c:pt idx="0">
                  <c:v>12</c:v>
                </c:pt>
                <c:pt idx="1">
                  <c:v>5</c:v>
                </c:pt>
                <c:pt idx="2">
                  <c:v>30</c:v>
                </c:pt>
                <c:pt idx="3">
                  <c:v>28</c:v>
                </c:pt>
              </c:numCache>
            </c:numRef>
          </c:val>
          <c:extLst>
            <c:ext xmlns:c16="http://schemas.microsoft.com/office/drawing/2014/chart" uri="{C3380CC4-5D6E-409C-BE32-E72D297353CC}">
              <c16:uniqueId val="{00000001-6395-458E-A5B5-62DA6D31340D}"/>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4"/>
                <c:pt idx="0">
                  <c:v>Asia</c:v>
                </c:pt>
                <c:pt idx="1">
                  <c:v>Sub-saharan Africa</c:v>
                </c:pt>
                <c:pt idx="2">
                  <c:v>Europe</c:v>
                </c:pt>
                <c:pt idx="3">
                  <c:v>North America4</c:v>
                </c:pt>
              </c:strCache>
            </c:strRef>
          </c:cat>
          <c:val>
            <c:numRef>
              <c:f>Sheet1!$D$2:$D$5</c:f>
              <c:numCache>
                <c:formatCode>General</c:formatCode>
                <c:ptCount val="4"/>
              </c:numCache>
            </c:numRef>
          </c:val>
          <c:extLst>
            <c:ext xmlns:c16="http://schemas.microsoft.com/office/drawing/2014/chart" uri="{C3380CC4-5D6E-409C-BE32-E72D297353CC}">
              <c16:uniqueId val="{00000002-6395-458E-A5B5-62DA6D31340D}"/>
            </c:ext>
          </c:extLst>
        </c:ser>
        <c:dLbls>
          <c:showLegendKey val="0"/>
          <c:showVal val="0"/>
          <c:showCatName val="0"/>
          <c:showSerName val="0"/>
          <c:showPercent val="0"/>
          <c:showBubbleSize val="0"/>
        </c:dLbls>
        <c:gapWidth val="219"/>
        <c:overlap val="-27"/>
        <c:axId val="1113585087"/>
        <c:axId val="1113586047"/>
      </c:barChart>
      <c:catAx>
        <c:axId val="11135850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3586047"/>
        <c:crosses val="autoZero"/>
        <c:auto val="1"/>
        <c:lblAlgn val="ctr"/>
        <c:lblOffset val="100"/>
        <c:noMultiLvlLbl val="0"/>
      </c:catAx>
      <c:valAx>
        <c:axId val="1113586047"/>
        <c:scaling>
          <c:orientation val="minMax"/>
          <c:max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r>
                  <a:rPr lang="en-US" baseline="0"/>
                  <a:t> of Age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3585087"/>
        <c:crosses val="autoZero"/>
        <c:crossBetween val="between"/>
      </c:valAx>
      <c:spPr>
        <a:noFill/>
        <a:ln>
          <a:noFill/>
        </a:ln>
        <a:effectLst/>
      </c:spPr>
    </c:plotArea>
    <c:legend>
      <c:legendPos val="b"/>
      <c:legendEntry>
        <c:idx val="2"/>
        <c:delete val="1"/>
      </c:legendEntry>
      <c:layout>
        <c:manualLayout>
          <c:xMode val="edge"/>
          <c:yMode val="edge"/>
          <c:x val="0.2877510018908927"/>
          <c:y val="0.91716222972128481"/>
          <c:w val="0.40881681624474359"/>
          <c:h val="5.902824646919134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Projected Global Population Distribution by Age Group, 2050 (UN, 2022)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CEE-4856-B3FF-1096D149AC8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CEE-4856-B3FF-1096D149AC8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CEE-4856-B3FF-1096D149AC85}"/>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Sheet1!$A$2:$A$4</c:f>
              <c:strCache>
                <c:ptCount val="3"/>
                <c:pt idx="0">
                  <c:v>Under 25 Years</c:v>
                </c:pt>
                <c:pt idx="1">
                  <c:v>26-59 Years</c:v>
                </c:pt>
                <c:pt idx="2">
                  <c:v>Above 60 Yraes</c:v>
                </c:pt>
              </c:strCache>
            </c:strRef>
          </c:cat>
          <c:val>
            <c:numRef>
              <c:f>Sheet1!$B$2:$B$4</c:f>
              <c:numCache>
                <c:formatCode>General</c:formatCode>
                <c:ptCount val="3"/>
                <c:pt idx="0">
                  <c:v>26</c:v>
                </c:pt>
                <c:pt idx="1">
                  <c:v>58</c:v>
                </c:pt>
                <c:pt idx="2">
                  <c:v>16</c:v>
                </c:pt>
              </c:numCache>
            </c:numRef>
          </c:val>
          <c:extLst>
            <c:ext xmlns:c16="http://schemas.microsoft.com/office/drawing/2014/chart" uri="{C3380CC4-5D6E-409C-BE32-E72D297353CC}">
              <c16:uniqueId val="{00000006-ACEE-4856-B3FF-1096D149AC85}"/>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5BEE0-3D01-4F5A-924E-5A5E0AEC4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16</Pages>
  <Words>3225</Words>
  <Characters>21131</Characters>
  <Application>Microsoft Office Word</Application>
  <DocSecurity>0</DocSecurity>
  <Lines>449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BBM FAZLE RABBY NAHI</dc:creator>
  <cp:keywords/>
  <dc:description/>
  <cp:lastModifiedBy>BBM FAZLE RABBY NAHI</cp:lastModifiedBy>
  <cp:revision>16</cp:revision>
  <dcterms:created xsi:type="dcterms:W3CDTF">2025-10-16T16:43:00Z</dcterms:created>
  <dcterms:modified xsi:type="dcterms:W3CDTF">2025-10-16T21:27:00Z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7cbb3697-afd9-4233-9aa3-46c095c0256a</vt:lpwstr>
  </property>
</Properties>
</file>