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E089A" w:rsidRPr="00DE0EAC" w:rsidRDefault="00DE089A" w:rsidP="00DE089A">
      <w:pPr>
        <w:rPr>
          <w:rFonts w:ascii="KaiTi" w:eastAsia="KaiTi" w:hAnsi="KaiTi" w:cs="Times New Roman"/>
          <w:color w:val="000000" w:themeColor="text1"/>
          <w:sz w:val="36"/>
          <w:szCs w:val="36"/>
          <w:lang w:eastAsia="zh-TW"/>
        </w:rPr>
      </w:pPr>
      <w:hyperlink r:id="rId4" w:tooltip="資治通鑑" w:history="1">
        <w:r w:rsidRPr="00DE0EAC">
          <w:rPr>
            <w:rFonts w:ascii="KaiTi" w:eastAsia="KaiTi" w:hAnsi="KaiTi" w:cs="SimSun" w:hint="eastAsia"/>
            <w:b/>
            <w:bCs/>
            <w:color w:val="000000" w:themeColor="text1"/>
            <w:sz w:val="36"/>
            <w:szCs w:val="36"/>
            <w:u w:val="single"/>
            <w:bdr w:val="none" w:sz="0" w:space="0" w:color="auto" w:frame="1"/>
            <w:lang w:eastAsia="zh-TW"/>
          </w:rPr>
          <w:t>資治通鑑</w:t>
        </w:r>
      </w:hyperlink>
      <w:r w:rsidR="00DE0EAC" w:rsidRPr="00DE0EAC">
        <w:rPr>
          <w:rFonts w:ascii="KaiTi" w:eastAsia="KaiTi" w:hAnsi="KaiTi" w:cs="Segoe UI"/>
          <w:color w:val="000000" w:themeColor="text1"/>
          <w:sz w:val="36"/>
          <w:szCs w:val="36"/>
          <w:lang w:eastAsia="zh-TW"/>
        </w:rPr>
        <w:t xml:space="preserve"> </w:t>
      </w:r>
      <w:r w:rsidRPr="00DE0EAC">
        <w:rPr>
          <w:rFonts w:ascii="KaiTi" w:eastAsia="KaiTi" w:hAnsi="KaiTi" w:cs="SimSun" w:hint="eastAsia"/>
          <w:color w:val="000000" w:themeColor="text1"/>
          <w:sz w:val="36"/>
          <w:szCs w:val="36"/>
          <w:shd w:val="clear" w:color="auto" w:fill="F9F9F9"/>
          <w:lang w:eastAsia="zh-TW"/>
        </w:rPr>
        <w:t>第一卷　周紀</w:t>
      </w:r>
      <w:r w:rsidRPr="00DE0EAC">
        <w:rPr>
          <w:rFonts w:ascii="KaiTi" w:eastAsia="KaiTi" w:hAnsi="KaiTi" w:cs="SimSun"/>
          <w:color w:val="000000" w:themeColor="text1"/>
          <w:sz w:val="36"/>
          <w:szCs w:val="36"/>
          <w:shd w:val="clear" w:color="auto" w:fill="F9F9F9"/>
          <w:lang w:eastAsia="zh-TW"/>
        </w:rPr>
        <w:t>一</w:t>
      </w:r>
    </w:p>
    <w:p w:rsidR="00DE0EAC" w:rsidRDefault="00DE089A" w:rsidP="00DE089A">
      <w:pPr>
        <w:textAlignment w:val="baseline"/>
        <w:outlineLvl w:val="2"/>
        <w:rPr>
          <w:rFonts w:ascii="KaiTi" w:eastAsia="KaiTi" w:hAnsi="KaiTi" w:cs="SimSun"/>
          <w:b/>
          <w:bCs/>
          <w:color w:val="000000" w:themeColor="text1"/>
          <w:sz w:val="36"/>
          <w:szCs w:val="36"/>
          <w:bdr w:val="none" w:sz="0" w:space="0" w:color="auto" w:frame="1"/>
        </w:rPr>
      </w:pPr>
      <w:r w:rsidRPr="00DE0EAC">
        <w:rPr>
          <w:rFonts w:ascii="KaiTi" w:eastAsia="KaiTi" w:hAnsi="KaiTi" w:cs="SimSun" w:hint="eastAsia"/>
          <w:b/>
          <w:bCs/>
          <w:color w:val="000000" w:themeColor="text1"/>
          <w:sz w:val="36"/>
          <w:szCs w:val="36"/>
          <w:bdr w:val="none" w:sz="0" w:space="0" w:color="auto" w:frame="1"/>
        </w:rPr>
        <w:t>威烈王二十三年（戊寅，西元前四〇三年</w:t>
      </w:r>
      <w:r w:rsidRPr="00DE0EAC">
        <w:rPr>
          <w:rFonts w:ascii="KaiTi" w:eastAsia="KaiTi" w:hAnsi="KaiTi" w:cs="SimSun"/>
          <w:b/>
          <w:bCs/>
          <w:color w:val="000000" w:themeColor="text1"/>
          <w:sz w:val="36"/>
          <w:szCs w:val="36"/>
          <w:bdr w:val="none" w:sz="0" w:space="0" w:color="auto" w:frame="1"/>
        </w:rPr>
        <w:t>）</w:t>
      </w:r>
    </w:p>
    <w:p w:rsidR="00DE0EAC" w:rsidRPr="00DE0EAC" w:rsidRDefault="00DE0EAC" w:rsidP="00DE089A">
      <w:pPr>
        <w:textAlignment w:val="baseline"/>
        <w:outlineLvl w:val="2"/>
        <w:rPr>
          <w:rFonts w:ascii="KaiTi" w:eastAsia="KaiTi" w:hAnsi="KaiTi" w:cs="SimSun" w:hint="eastAsia"/>
          <w:b/>
          <w:bCs/>
          <w:color w:val="000000" w:themeColor="text1"/>
          <w:sz w:val="36"/>
          <w:szCs w:val="36"/>
          <w:bdr w:val="none" w:sz="0" w:space="0" w:color="auto" w:frame="1"/>
        </w:rPr>
      </w:pPr>
    </w:p>
    <w:p w:rsidR="00DE089A" w:rsidRPr="00DE0EAC" w:rsidRDefault="00DE089A" w:rsidP="00DE089A">
      <w:pPr>
        <w:textAlignment w:val="baseline"/>
        <w:rPr>
          <w:rFonts w:ascii="KaiTi" w:eastAsia="KaiTi" w:hAnsi="KaiTi" w:cs="Segoe U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Segoe UI"/>
          <w:b/>
          <w:bCs/>
          <w:color w:val="000000" w:themeColor="text1"/>
          <w:sz w:val="32"/>
          <w:szCs w:val="32"/>
          <w:bdr w:val="none" w:sz="0" w:space="0" w:color="auto" w:frame="1"/>
          <w:lang w:eastAsia="zh-TW"/>
        </w:rPr>
        <w:t>2</w:t>
      </w: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 xml:space="preserve">　初，智宣子將以瑤為後。智果曰：「不如宵也。瑤之賢於人者五，其不逮者一也。美鬢長大則賢，射御足力則賢，伎藝畢給則賢，巧文辯慧則賢，強毅果敢則賢，如是而甚不仁。夫以其五賢陵人，而以不仁行之，其誰能待之？若果立瑤也，智宗必滅。」弗聽，智果別族於太史為輔氏。趙簡子之子，長曰伯魯，幼曰無恤。將置後，不知所立。乃書訓戒之辭於二簡，以授二子曰：「謹識之。」三年而問之，伯魯不能舉其辭，求其簡，已失之矣。問無恤，誦其辭甚習，求其簡，出諸袖中而奏之。於是簡子以無恤為賢，立以為後。簡子使尹鐸為晉陽。請曰：「以為繭絲乎？抑為保障乎？」簡子曰：「保障哉！」尹鐸損其戶數。簡子謂無恤曰：「晉國有難，而無以尹鐸為少，無以晉陽為遠，必以為歸。」及智宣子卒，智襄子為政，與韓康子、魏桓子宴於藍台。智伯戲康子而侮段規，智國聞之，諫曰：「主不備，難必至矣！」智伯曰：「難將由我。我不為難，誰敢興之？」對曰：「不然。《夏書》有之曰：『一人三失，怨豈在明，不見是圖。』夫君子能勤小物，故無大患。今主一宴而恥人之君相，又弗備，曰不敢興難，無乃不可乎！蜹、蟻、蜂、蠆，皆能害人，況君相乎！」弗聽</w:t>
      </w:r>
      <w:r w:rsidRPr="00DE0EAC"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  <w:t>。</w:t>
      </w:r>
    </w:p>
    <w:p w:rsidR="00DE089A" w:rsidRPr="00DE0EAC" w:rsidRDefault="00DE089A" w:rsidP="00DE089A">
      <w:pPr>
        <w:textAlignment w:val="baseline"/>
        <w:rPr>
          <w:rFonts w:ascii="KaiTi" w:eastAsia="KaiTi" w:hAnsi="KaiTi" w:cs="Segoe U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智伯請地於韓康子，康子欲弗與。段規曰：「智伯好利而愎，不與，將伐我；不如與之。彼狃於得地，必請於他人；他人不與，必向之以兵。然則我得免於患而待事之變矣。」康子曰：「善。」使使者致萬家之邑於智伯，智伯悅。又求地於魏桓子，桓子欲弗與。任章曰：「何故弗與？」桓子曰：「無故索地，故弗與。」任章曰：「無故索地，諸大夫必懼；吾與之地，智伯必驕。彼驕而輕敵，此懼而相親。以相親之兵待輕敵之人，智氏之命必不長矣。《周書》曰：『將欲敗之，必姑輔之；將欲取之，必姑與之。』主不如與之以驕智伯，然後可以擇交而圖智氏矣。奈何獨以吾為智氏質乎！」桓子曰：「善。」復與之萬家之邑一。智伯又求</w:t>
      </w:r>
      <w:r w:rsidRPr="00DE0EAC">
        <w:rPr>
          <w:rFonts w:ascii="KaiTi" w:eastAsia="KaiTi" w:hAnsi="KaiTi" w:cs="Segoe UI"/>
          <w:color w:val="000000" w:themeColor="text1"/>
          <w:sz w:val="32"/>
          <w:szCs w:val="32"/>
          <w:lang w:eastAsia="zh-TW"/>
        </w:rPr>
        <w:t>〔</w:t>
      </w: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藺</w:t>
      </w:r>
      <w:r w:rsidRPr="00DE0EAC">
        <w:rPr>
          <w:rFonts w:ascii="KaiTi" w:eastAsia="KaiTi" w:hAnsi="KaiTi" w:cs="Segoe UI"/>
          <w:color w:val="000000" w:themeColor="text1"/>
          <w:sz w:val="32"/>
          <w:szCs w:val="32"/>
          <w:lang w:eastAsia="zh-TW"/>
        </w:rPr>
        <w:t>〕(</w:t>
      </w: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蔡</w:t>
      </w:r>
      <w:r w:rsidRPr="00DE0EAC">
        <w:rPr>
          <w:rFonts w:ascii="KaiTi" w:eastAsia="KaiTi" w:hAnsi="KaiTi" w:cs="Segoe UI"/>
          <w:color w:val="000000" w:themeColor="text1"/>
          <w:sz w:val="32"/>
          <w:szCs w:val="32"/>
          <w:lang w:eastAsia="zh-TW"/>
        </w:rPr>
        <w:t>)</w:t>
      </w: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、皋狼之地於趙襄子</w:t>
      </w:r>
      <w:hyperlink r:id="rId5" w:anchor="cite_note-5" w:history="1">
        <w:r w:rsidRPr="00DE0EAC">
          <w:rPr>
            <w:rFonts w:ascii="KaiTi" w:eastAsia="KaiTi" w:hAnsi="KaiTi" w:cs="Segoe UI"/>
            <w:color w:val="000000" w:themeColor="text1"/>
            <w:sz w:val="32"/>
            <w:szCs w:val="32"/>
            <w:u w:val="single"/>
            <w:bdr w:val="none" w:sz="0" w:space="0" w:color="auto" w:frame="1"/>
            <w:lang w:eastAsia="zh-TW"/>
          </w:rPr>
          <w:t>[5]</w:t>
        </w:r>
      </w:hyperlink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，襄子弗與。智伯怒，帥韓、魏之甲以攻趙氏。襄子將出，曰：「吾何走乎？」從者曰：「長子近，且城厚完。」襄子曰：「民罷力以完之，又斃死以守之，其誰與我！」從者曰：「邯鄲之倉庫實。」襄子曰：「浚民之膏澤以實之，又因而殺之，其誰與我！其晉陽乎，先主之所屬也，尹鐸之所寬也，民必和矣。」乃走晉陽</w:t>
      </w:r>
      <w:r w:rsidRPr="00DE0EAC"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  <w:t>。</w:t>
      </w:r>
    </w:p>
    <w:p w:rsidR="00DE089A" w:rsidRPr="00DE0EAC" w:rsidRDefault="00DE089A" w:rsidP="00DE089A">
      <w:pPr>
        <w:spacing w:before="120" w:after="240"/>
        <w:textAlignment w:val="baseline"/>
        <w:rPr>
          <w:rFonts w:ascii="KaiTi" w:eastAsia="KaiTi" w:hAnsi="KaiTi" w:cs="Segoe U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三家以國人圍而灌之，城不浸者三版。沈竈產鼃，民無叛意。智伯行水，魏桓子御，韓康子驂乘。智伯曰：「吾乃今知水可以亡人國也。」桓子肘康子，康子履桓子之跗，以汾水可以灌安邑，絳水可以灌平陽也。絺疵謂智伯曰：「韓、魏必反矣。」智伯曰：「子何以知之？」絺疵曰：「以人事知之。夫從韓、魏之兵以攻趙，趙亡，難必及韓、魏矣。今約勝趙而三分其</w:t>
      </w: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lastRenderedPageBreak/>
        <w:t>地，城不沒者三版，人馬相食，城降有日，而二子無喜志，有憂色，是非反而何？」明日，智伯以絺疵之言告二子，二子曰：「此夫讒臣欲為趙氏游說，使主疑於二家而懈於攻趙氏也。不然，夫二家豈不利朝夕分趙氏之田，而欲為危難不可成之事乎？」二子出，絺疵入曰：「主何以臣之言告二子也？」智伯曰：「子何以知之？」對曰：「臣見其視臣端而趨疾，知臣得其情故也。」智伯不悛。絺疵請使於齊</w:t>
      </w:r>
      <w:r w:rsidRPr="00DE0EAC"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  <w:t>。</w:t>
      </w:r>
    </w:p>
    <w:p w:rsidR="00DE089A" w:rsidRPr="00DE0EAC" w:rsidRDefault="00DE089A" w:rsidP="00DE089A">
      <w:pPr>
        <w:spacing w:before="120" w:after="240"/>
        <w:textAlignment w:val="baseline"/>
        <w:rPr>
          <w:rFonts w:ascii="KaiTi" w:eastAsia="KaiTi" w:hAnsi="KaiTi" w:cs="Segoe U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趙襄子使張孟談潛出見二子，曰：「臣聞脣亡則齒寒。今智伯帥韓、魏而攻趙，趙亡則韓、魏為之次矣。」二子曰：「我心知其然也，恐事末遂而謀洩，則禍立至矣」。張孟談曰：「謀出二主之口，入臣之耳，何傷也？」二子乃陰與張孟談約，為之期日而遣之。襄子夜使人殺守堤之吏，而決水灌智伯軍。智伯軍救水而亂，韓、魏翼而擊之，襄子將卒犯其前，大敗智伯之眾。遂殺智伯，盡滅智氏之族。唯輔果在</w:t>
      </w:r>
      <w:r w:rsidRPr="00DE0EAC"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  <w:t>。</w:t>
      </w:r>
    </w:p>
    <w:p w:rsidR="00DE089A" w:rsidRDefault="00DE089A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SimSun" w:hint="eastAsia"/>
          <w:color w:val="000000" w:themeColor="text1"/>
          <w:sz w:val="32"/>
          <w:szCs w:val="32"/>
          <w:lang w:eastAsia="zh-TW"/>
        </w:rPr>
        <w:t>臣光曰：智伯之亡也，才勝德也。夫才與德異，而世俗莫之能辨，通謂之賢，此其所以失人也。夫聰察強毅之謂才，正直中和之謂德。才者，德之資也；德者，才之帥也。雲夢之竹，天下之勁也，然而不矯揉，不羽括，則不能以入堅；棠溪之金，天下之利也，然而不熔范，不砥礪，則不能以擊強。是故才德全盡謂之聖人，才德兼亡謂之愚人，德勝才謂之君子，才勝德謂之小人。凡取人之術，苟不得聖人、君子而與之，與其得小人，不若得愚人。何則？君子挾才以為善，小人挾才以為惡。挾才以為善者，善無不至矣；挾才以為惡者，惡亦無不至矣。愚者雖欲為不善，智不能周，力不能勝，譬之乳狗搏人，人得而制之。小人智足以遂其奸，勇足以決其暴，是虎而翼者也，其為害豈不多哉！夫德者人之所嚴，而才者人之所愛。愛者易親，嚴者易疏，是以察者多蔽於才而遺於德。自古昔以來，國之亂臣，家之敗子，才有餘而德不足，以至於顛覆者多矣，豈特智伯哉！故為國為家者，苟能審於才德之分而知所先後，又何失人之足患哉</w:t>
      </w:r>
      <w:r w:rsidRPr="00DE0EAC"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  <w:t>！</w:t>
      </w: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Default="00DE0EAC" w:rsidP="00DE0EAC">
      <w:pPr>
        <w:ind w:left="720"/>
        <w:textAlignment w:val="baseline"/>
        <w:rPr>
          <w:rFonts w:ascii="KaiTi" w:eastAsia="KaiTi" w:hAnsi="KaiTi" w:cs="SimSun"/>
          <w:color w:val="000000" w:themeColor="text1"/>
          <w:sz w:val="32"/>
          <w:szCs w:val="32"/>
          <w:lang w:eastAsia="zh-TW"/>
        </w:rPr>
      </w:pPr>
    </w:p>
    <w:p w:rsidR="00DE0EAC" w:rsidRPr="00DE0EAC" w:rsidRDefault="00DE0EAC" w:rsidP="00DE0EAC">
      <w:pPr>
        <w:ind w:left="720"/>
        <w:textAlignment w:val="baseline"/>
        <w:rPr>
          <w:rFonts w:ascii="KaiTi" w:eastAsia="KaiTi" w:hAnsi="KaiTi" w:cs="Segoe UI" w:hint="eastAsia"/>
          <w:color w:val="000000" w:themeColor="text1"/>
          <w:sz w:val="32"/>
          <w:szCs w:val="32"/>
          <w:lang w:eastAsia="zh-TW"/>
        </w:rPr>
      </w:pPr>
      <w:bookmarkStart w:id="0" w:name="_GoBack"/>
      <w:bookmarkEnd w:id="0"/>
    </w:p>
    <w:p w:rsidR="00DE0EAC" w:rsidRPr="00DE0EAC" w:rsidRDefault="00DE0EAC" w:rsidP="00DE0EAC">
      <w:pPr>
        <w:jc w:val="center"/>
        <w:rPr>
          <w:rFonts w:ascii="KaiTi" w:eastAsia="KaiTi" w:hAnsi="KaiTi" w:cs="Times New Roman"/>
          <w:color w:val="000000" w:themeColor="text1"/>
          <w:sz w:val="44"/>
          <w:szCs w:val="44"/>
          <w:lang w:eastAsia="zh-TW"/>
        </w:rPr>
      </w:pPr>
      <w:hyperlink r:id="rId6" w:tooltip="墨子" w:history="1">
        <w:r w:rsidRPr="00DE0EAC">
          <w:rPr>
            <w:rFonts w:ascii="KaiTi" w:eastAsia="KaiTi" w:hAnsi="KaiTi" w:cs="Microsoft YaHei" w:hint="eastAsia"/>
            <w:b/>
            <w:bCs/>
            <w:color w:val="000000" w:themeColor="text1"/>
            <w:sz w:val="44"/>
            <w:szCs w:val="44"/>
            <w:u w:val="single"/>
            <w:lang w:eastAsia="zh-TW"/>
          </w:rPr>
          <w:t>墨子</w:t>
        </w:r>
      </w:hyperlink>
      <w:r w:rsidRPr="00DE0EAC">
        <w:rPr>
          <w:rFonts w:ascii="KaiTi" w:eastAsia="KaiTi" w:hAnsi="KaiTi" w:cs="Arial"/>
          <w:color w:val="000000" w:themeColor="text1"/>
          <w:sz w:val="44"/>
          <w:szCs w:val="44"/>
          <w:lang w:eastAsia="zh-TW"/>
        </w:rPr>
        <w:t xml:space="preserve">  </w:t>
      </w:r>
      <w:r w:rsidRPr="00DE0EAC">
        <w:rPr>
          <w:rFonts w:ascii="KaiTi" w:eastAsia="KaiTi" w:hAnsi="KaiTi" w:cs="Microsoft YaHei" w:hint="eastAsia"/>
          <w:color w:val="000000" w:themeColor="text1"/>
          <w:sz w:val="44"/>
          <w:szCs w:val="44"/>
          <w:shd w:val="clear" w:color="auto" w:fill="F9F9F9"/>
          <w:lang w:eastAsia="zh-TW"/>
        </w:rPr>
        <w:t>辭過第</w:t>
      </w:r>
      <w:r w:rsidRPr="00DE0EAC">
        <w:rPr>
          <w:rFonts w:ascii="KaiTi" w:eastAsia="KaiTi" w:hAnsi="KaiTi" w:cs="Microsoft YaHei"/>
          <w:color w:val="000000" w:themeColor="text1"/>
          <w:sz w:val="44"/>
          <w:szCs w:val="44"/>
          <w:shd w:val="clear" w:color="auto" w:fill="F9F9F9"/>
          <w:lang w:eastAsia="zh-TW"/>
        </w:rPr>
        <w:t>六</w:t>
      </w:r>
    </w:p>
    <w:p w:rsidR="00DE0EAC" w:rsidRDefault="00DE0EAC" w:rsidP="00DE0EAC">
      <w:pPr>
        <w:pStyle w:val="NormalWeb"/>
        <w:tabs>
          <w:tab w:val="left" w:pos="2694"/>
        </w:tabs>
        <w:spacing w:before="120" w:beforeAutospacing="0" w:after="120" w:afterAutospacing="0"/>
        <w:rPr>
          <w:rFonts w:ascii="KaiTi" w:eastAsia="KaiTi" w:hAnsi="KaiTi" w:cs="Microsoft YaHe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子墨子曰：古之民未知爲宮室時，就陵阜而居，穴而處。下潤濕傷民，故聖王作爲宮室。爲宮室之法，曰：室高足以辟潤濕，邊足以圉風寒，上足以待雪霜雨露，宮牆之高足以別男女之禮。謹此則止。凡費財勞力，不加利者，不爲也。役，脩其城郭，則民勞而不傷；以其常正，收其租稅，則民費而不病。民所苦者，非此也，苦於厚作斂於百姓。</w:t>
      </w:r>
      <w:hyperlink r:id="rId7" w:anchor="cite_note-1" w:history="1">
        <w:r w:rsidRPr="00DE0EAC">
          <w:rPr>
            <w:rStyle w:val="Hyperlink"/>
            <w:rFonts w:ascii="KaiTi" w:eastAsia="KaiTi" w:hAnsi="KaiTi" w:cs="Arial"/>
            <w:color w:val="000000" w:themeColor="text1"/>
            <w:sz w:val="32"/>
            <w:szCs w:val="32"/>
            <w:vertAlign w:val="superscript"/>
            <w:lang w:eastAsia="zh-TW"/>
          </w:rPr>
          <w:t>[1]</w:t>
        </w:r>
      </w:hyperlink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是故聖王作爲宮室，便於生，不以爲觀樂也。作爲衣服帶履，便於身，不以爲辟怪也。故節於身，誨於民，是以天下之民可得而治，財用可得而足。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 w:hint="eastAsia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墨子說：「上古的人民不知道作宮室之時，靠近山陵居住，住在洞穴里，地下潮濕，傷害人民，所以聖王開始營造宮室。營造宮室的法則是：地基的高度足以避濕潤，四邊足以御風寒，屋頂足以防備霜雪雨露，宮墻的高度足以分隔內外，使男女有別</w:t>
      </w:r>
      <w:r w:rsidRPr="00DE0EAC">
        <w:rPr>
          <w:rFonts w:ascii="Verdana" w:eastAsia="Times New Roman" w:hAnsi="Verdana" w:cs="Times New Roman"/>
          <w:color w:val="000000"/>
          <w:shd w:val="clear" w:color="auto" w:fill="FFFFFF"/>
          <w:lang w:eastAsia="zh-TW"/>
        </w:rPr>
        <w:t>——</w:t>
      </w: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僅此而已。凡屬勞民傷財而不增加益處的事，是不會做的。（照常規）分派勞役，修治城郭，那么民眾就雖勞苦而不至傷害；照常規征收租稅，那么民眾雖破費而不至困苦。因為民眾所疾苦并不是這些，而是苦于對老百姓橫征暴斂。所以聖王開始制造宮室，只為方便生活，并不是為了觀賞之樂；開始創制衣服帶履，只為便利身體，而不是為了奇怪的裝束。所以，（聖王）自身節儉，（以身作則地）教導百姓，因而天下的民眾得以治理，財用得以充足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Microsoft YaHe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當今之主，其爲宮室則與此異矣。必厚作斂於百姓，暴奪民衣食之財，以爲宮室臺榭曲直之望、青黃刻鏤之飾。爲宮室若此，故左右皆法象之。是以其財不足以待凶饑，振孤寡，故國貧而民難治也。君實欲天下之治而惡其亂也，當爲宮室不可不節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 w:hint="eastAsia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現在的君主，修造宮室卻與此不同：他們必定要向百姓橫征暴斂，強奪民眾的衣食之資用來營造宮室，（在宮室上）修造臺榭曲折的景觀，講究顏色雕刻的裝飾。營造宮室如此（鋪張），身邊的人都效法這種做法，因此財用（被浪費）而不能應付兇年饑饉，振恤孤寡之人，所以國家窮困而人民無法治理。國君若是真希望天下得到治理，而不愿其混亂，那么，營造宮室就不可不節儉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Microsoft YaHe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古之民未知爲衣服時，衣皮帶茭，冬則不輕而溫，夏則不輕而清。聖王以爲不中人之情，故作誨婦人治絲麻，梱布絹，以爲民衣。爲衣服之法：冬則練帛之中，</w:t>
      </w: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shd w:val="clear" w:color="auto" w:fill="FAF0E6"/>
          <w:lang w:eastAsia="zh-TW"/>
        </w:rPr>
        <w:t>足以爲輕且煖；夏則絺綌之中</w:t>
      </w: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，足以爲輕且凊。謹此則止。</w:t>
      </w: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shd w:val="clear" w:color="auto" w:fill="FAF0E6"/>
          <w:lang w:eastAsia="zh-TW"/>
        </w:rPr>
        <w:t>故聖人爲衣服</w:t>
      </w: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，適身體，和肌膚而足矣，非榮耳目而觀愚民也。當是之時，堅車良馬不知貴也，刻鏤文采不知喜也。何則？其所道之然。故民衣食之財，家足以待旱水凶饑者，何也？得其所以自養之情，而不感於外也。是以其民儉而易治，其君用財節而易贍也。府庫實滿，足以待不然。兵革不頓，士民不勞，足以征不服。故霸王之業可行於天下矣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 w:hint="eastAsia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上古的人民不知道做衣服的時候，穿著獸皮，圍著草索，冬天不輕便又不溫暖，夏天不輕便又不涼爽。聖王認為這樣不符合人情，所以開始教女子治絲麻、織布匹，以它作人的衣服。制造衣服的法則是：冬天穿生絲麻制的中衣，只求其輕便而溫暖，夏天穿葛制的中衣，只求其輕便而涼爽，僅此而</w:t>
      </w: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lastRenderedPageBreak/>
        <w:t>已。所以聖人制作衣服只圖身體合適、肌膚舒適就夠了，并不是夸耀耳目、炫動愚民。當這時候，堅車良馬沒有人知道貴重，雕刻文采沒有人知道欣賞，為什么呢？這是（君主）教導的結果。所以民眾的衣服之財，家家都足以防患水旱兇饑，為什么呢？因為他們懂得自我供養的情實，不被外界所誘惑，所以民眾儉樸而容易治理，國君用財有節制而容易富足。國庫充實，足以應付非常的變故：兵甲不壞，士民不勞，足以證伐不順之臣，所以可實現霸王事業于天下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Microsoft YaHe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當今之王，其爲衣服，則與此異矣。冬則輕煗，夏則輕凊，皆已具矣，必厚作斂於百姓，暴奪民衣食之財，以爲錦繡文采靡曼之衣，鑄金以爲鉤，珠玉以爲珮，女工作文采，男工作刻鏤，以爲身服。此非雲益煗之情也。單財勞力，畢歸之於無用也。以此觀之，其爲衣服，非爲身體，皆爲觀好。是以其民淫僻而難治，其君奢侈而難諫也。夫以奢侈之君御好淫僻之民，欲國無亂，不可得也。君實欲天下之治而惡其亂，當爲衣服不可不節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 w:hint="eastAsia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現在的君主，他們制造衣服卻與此不同：冬天（的衣服）輕便而暖和，夏天（的衣服）輕便而涼爽，這都已經具備了，他們還一定要向百姓橫征暴斂，強奪民眾的衣食之資，用來做錦繡文彩華麗的衣服，拿黃金作成衣帶鉤，拿珠玉作成佩飾，女工作文采，男工作雕刻，用來穿在身上。這并非真的為了溫暖。耗盡錢財費了民力，都是為了無用之事，由此看來，他們作衣服，不是為身體，而是為好看。因此民眾邪僻而難以治理，國君奢侈而難以進諫。以奢侈的國君統治邪僻的民眾，希望國家不亂，是不可能的。國君若真希望天下治理好而厭惡混亂，作衣服時就不可不節儉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Microsoft YaHe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古之民未知爲飲食時，素食而分處。故聖人作誨男耕稼樹藝，以爲民食。其爲食也，足以增氣充虛，強體適腹而已矣。故其用財節，其自養儉，民富國治。今則不然，厚作斂於百姓，以爲美食芻豢，蒸炙魚鼈。大國累百器，小國累十器，</w:t>
      </w: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shd w:val="clear" w:color="auto" w:fill="FAF0E6"/>
          <w:lang w:eastAsia="zh-TW"/>
        </w:rPr>
        <w:t>美食</w:t>
      </w: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方丈，目不能徧視，手不能徧操，口不能徧味。冬則凍冰，夏則飾饐。人君爲飲食如此，故左右象之。是以富貴者奢侈，孤寡者凍餒，雖欲無亂，不可得也。君實欲天下治而惡其亂，當爲食飲不可不節。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 w:hint="eastAsia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上古的人民不知道制作飲食時，只吃素食而各自分居，所以聖人起來教勇子耕稼栽種，以供人作糧食。作飲食的原則是，只求補氣益虛、強身飽腹就夠了。所以他們用財節省，自養儉樸，（因而）民眾富足，國家安定。現在卻不是這樣，向老百姓厚斂錢財，用來享受美味牛羊，蒸烤魚鱉，大國之君集有上百樣的菜，小國之君也有上十樣的菜，擺在前面一丈見方，眼不能全看到，手不能全撿取到，嘴也不能全嘗到，冬天結凍，夏天臭爛，國君這樣講究飲食，左右大臣都效法他。因此富貴的人奢侈，孤寡的人凍餓。這樣一來，即使不希望國家混亂，也是不可能的。國君若真希望天下治理好而厭惡其混亂，飲食就不可不節省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Microsoft YaHe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古之民未知爲舟車時，重任不移，遠道不至。故聖王作爲舟車，以便民之事。其爲舟車也，全固輕利，可以任重致遠。其爲用財少而爲利多，是以民樂而利之。故法令不急而行，民不勞而上足用，故民歸之。當今之主，其爲舟車與此異矣。全固輕利皆已具，必厚作斂於百姓，以飾舟車，飾車以文采，飾舟以刻鏤。女子廢其紡織而修文采，故民寒；男子離其耕稼而修刻鏤，故民饑。人君爲舟車若此，故左右象之。是以其民饑寒並至，故爲姦</w:t>
      </w: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lastRenderedPageBreak/>
        <w:t>邪。奸邪多則刑罰深，刑罰深則國亂。君實欲天下之治而惡其亂，當爲舟車不可不節。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上古的人民不知道制造舟車時，重的東西搬不動，遠的地方去不了，所以聖王開始制造舟車，用以便利民事。他們作舟車只求堅固輕便，可以運重物、行遠路，費用花的少，而利益很大，所以民眾樂于使用。所以法令不用催促而可行使，民眾不用勞苦而財用充足，所以民眾歸順他了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 w:hint="eastAsia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現在的君主制造舟車則與此不同。舟車已經堅固輕利了，他們還要向百姓橫征暴斂，用以裝飾舟車。在車上畫以文彩，在舟上加以雕刻。女子廢棄紡織而去描繪文彩，所以民眾受寒；男子脫離耕稼而去從事雕刻，所以民眾挨餓。國君這樣制造舟車，左右大臣跟著仿效，所以民眾饑寒交迫，不得已而作奸邪之事。奸邪之事一多，刑罰必然繁重。刑罰一繁重，國家就亂了。國君如果真的希望天下治理好而厭惡混亂，制造舟車就不可不節省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P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Arial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凡回於天地之間，包於四海之內，天壤之情，陰陽之和，莫不有也，雖至聖不能更也。何以知其然？聖人有傳：天地也，則曰上下；四時也，則曰陰陽；人情也，則曰男女；禽獸也，則曰牡牝、雄雌也。真天壤之情，雖有先王不能更也。雖上世至聖必蓄私，不以傷行，故民無怨。宮無拘女，故天下無寡夫。內無拘女，外無寡夫，故天下之民衆。</w:t>
      </w:r>
    </w:p>
    <w:p w:rsid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Microsoft YaHei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當今之君，其蓄私也，大國拘女累千，小國累百，是以天下之男多寡無妻，女多拘無夫，男女失時，故民少。君實欲民之衆而惡其寡，當蓄私不可不節。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 w:hint="eastAsia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凡周回于天地之間，包裹于四海之內的，天地之情，陰陽之和，一切都具備了，即使至聖也不能更動。何以知道這樣呢？聖人傳下的書說：天地稱作上下，四時稱作陰陽，人類分為男女，禽獸分為牝牡雌雄。這是真正的天地之情，即使有先世賢王也不能更動。即使上代至聖，一定都養有私人侍妾，但不傷害品行，所以民眾無怨。宮中沒有拘禁的女子，所以天下沒有鰥夫。內無拘禁之婦，外無鰥夫，因而天下人民眾多。現在的國君養侍妾，大國拘禁女子數千，小國數百，所以天下男子大多沒有妻子，女子多遭拘禁而沒有丈夫。男女婚姻失時，所以百姓減少。國君如果真想人民增多而厭惡減少，養侍妾就不可不節制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Pr="00DE0EAC" w:rsidRDefault="00DE0EAC" w:rsidP="00DE0EAC">
      <w:pPr>
        <w:pStyle w:val="NormalWeb"/>
        <w:spacing w:before="120" w:beforeAutospacing="0" w:after="120" w:afterAutospacing="0"/>
        <w:rPr>
          <w:rFonts w:ascii="KaiTi" w:eastAsia="KaiTi" w:hAnsi="KaiTi" w:cs="Arial"/>
          <w:color w:val="000000" w:themeColor="text1"/>
          <w:sz w:val="32"/>
          <w:szCs w:val="32"/>
          <w:lang w:eastAsia="zh-TW"/>
        </w:rPr>
      </w:pPr>
      <w:r w:rsidRPr="00DE0EAC">
        <w:rPr>
          <w:rFonts w:ascii="KaiTi" w:eastAsia="KaiTi" w:hAnsi="KaiTi" w:cs="Microsoft YaHei" w:hint="eastAsia"/>
          <w:color w:val="000000" w:themeColor="text1"/>
          <w:sz w:val="32"/>
          <w:szCs w:val="32"/>
          <w:lang w:eastAsia="zh-TW"/>
        </w:rPr>
        <w:t>凡此五者，聖人之所儉節也，小人之所淫佚也。儉節則昌，淫佚則亡，此五者不可不節。夫婦節而天地和，風雨節而五穀孰，衣服節而肌膚和。</w:t>
      </w:r>
    </w:p>
    <w:p w:rsidR="00DE0EAC" w:rsidRPr="00DE0EAC" w:rsidRDefault="00DE0EAC" w:rsidP="00DE0EAC">
      <w:pPr>
        <w:rPr>
          <w:rFonts w:ascii="Times New Roman" w:eastAsia="Times New Roman" w:hAnsi="Times New Roman" w:cs="Times New Roman"/>
          <w:lang w:eastAsia="zh-TW"/>
        </w:rPr>
      </w:pPr>
      <w:r w:rsidRPr="00DE0EAC">
        <w:rPr>
          <w:rFonts w:ascii="Microsoft YaHei" w:eastAsia="Microsoft YaHei" w:hAnsi="Microsoft YaHei" w:cs="Microsoft YaHei" w:hint="eastAsia"/>
          <w:color w:val="000000"/>
          <w:shd w:val="clear" w:color="auto" w:fill="FFFFFF"/>
          <w:lang w:eastAsia="zh-TW"/>
        </w:rPr>
        <w:t>以上所說的五者，都是聖人所節儉而小人所奢侈淫佚的。節儉的就昌盛，淫佚的就滅亡，這五者不可不節制。夫婦之事有節制，天地就和順；風雨調節，五谷就豐收；衣服有節制，身體肌膚就安適</w:t>
      </w:r>
      <w:r w:rsidRPr="00DE0EAC">
        <w:rPr>
          <w:rFonts w:ascii="Microsoft YaHei" w:eastAsia="Microsoft YaHei" w:hAnsi="Microsoft YaHei" w:cs="Microsoft YaHei"/>
          <w:color w:val="000000"/>
          <w:shd w:val="clear" w:color="auto" w:fill="FFFFFF"/>
          <w:lang w:eastAsia="zh-TW"/>
        </w:rPr>
        <w:t>。</w:t>
      </w:r>
    </w:p>
    <w:p w:rsidR="00DE0EAC" w:rsidRPr="00DE0EAC" w:rsidRDefault="00DE0EAC">
      <w:pPr>
        <w:rPr>
          <w:rFonts w:ascii="KaiTi" w:eastAsia="KaiTi" w:hAnsi="KaiTi"/>
          <w:color w:val="000000" w:themeColor="text1"/>
          <w:sz w:val="32"/>
          <w:szCs w:val="32"/>
          <w:lang w:eastAsia="zh-TW"/>
        </w:rPr>
      </w:pPr>
    </w:p>
    <w:sectPr w:rsidR="00DE0EAC" w:rsidRPr="00DE0EAC" w:rsidSect="00DE0EAC"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altName w:val="Cambria"/>
    <w:panose1 w:val="020B0604020202020204"/>
    <w:charset w:val="CC"/>
    <w:family w:val="auto"/>
    <w:pitch w:val="default"/>
    <w:sig w:usb0="E4002EFF" w:usb1="C000E47F" w:usb2="00000009" w:usb3="00000000" w:csb0="200001FF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89A"/>
    <w:rsid w:val="00DE089A"/>
    <w:rsid w:val="00DE0EAC"/>
    <w:rsid w:val="00E85C95"/>
    <w:rsid w:val="00F82CCF"/>
    <w:rsid w:val="00FD1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69AB3F"/>
  <w15:chartTrackingRefBased/>
  <w15:docId w15:val="{6F9C3ADD-AD7D-F246-A47E-423E5A960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DE089A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E089A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DE089A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mw-headline">
    <w:name w:val="mw-headline"/>
    <w:basedOn w:val="DefaultParagraphFont"/>
    <w:rsid w:val="00DE089A"/>
  </w:style>
  <w:style w:type="paragraph" w:styleId="NormalWeb">
    <w:name w:val="Normal (Web)"/>
    <w:basedOn w:val="Normal"/>
    <w:uiPriority w:val="99"/>
    <w:semiHidden/>
    <w:unhideWhenUsed/>
    <w:rsid w:val="00DE089A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90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09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96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0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1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0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3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1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3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1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7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zh.wikisource.org/zh-hant/%E5%A2%A8%E5%AD%90/%E8%BE%AD%E9%81%8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zh.wikisource.org/wiki/%E5%A2%A8%E5%AD%90" TargetMode="External"/><Relationship Id="rId5" Type="http://schemas.openxmlformats.org/officeDocument/2006/relationships/hyperlink" Target="https://zh.m.wikisource.org/wiki/%E8%B3%87%E6%B2%BB%E9%80%9A%E9%91%91/%E5%8D%B7001" TargetMode="External"/><Relationship Id="rId4" Type="http://schemas.openxmlformats.org/officeDocument/2006/relationships/hyperlink" Target="https://zh.m.wikisource.org/wiki/%E8%B3%87%E6%B2%BB%E9%80%9A%E9%91%91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870</Words>
  <Characters>4960</Characters>
  <Application>Microsoft Office Word</Application>
  <DocSecurity>0</DocSecurity>
  <Lines>41</Lines>
  <Paragraphs>11</Paragraphs>
  <ScaleCrop>false</ScaleCrop>
  <Company/>
  <LinksUpToDate>false</LinksUpToDate>
  <CharactersWithSpaces>5819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4</cp:revision>
  <cp:lastPrinted>2020-02-22T02:02:00Z</cp:lastPrinted>
  <dcterms:created xsi:type="dcterms:W3CDTF">2020-02-21T09:24:00Z</dcterms:created>
  <dcterms:modified xsi:type="dcterms:W3CDTF">2020-02-22T02:10:00Z</dcterms:modified>
</cp:coreProperties>
</file>