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FB2DFA1" w:rsidP="0FB2DFA1" w:rsidRDefault="0FB2DFA1" w14:paraId="27FDD684" w14:textId="6B340A7F">
      <w:pPr>
        <w:rPr>
          <w:rFonts w:ascii="Calibri" w:hAnsi="Calibri" w:eastAsia="Calibri" w:cs="Calibri"/>
          <w:b w:val="1"/>
          <w:bCs w:val="1"/>
          <w:noProof w:val="0"/>
          <w:color w:val="0E101A"/>
          <w:sz w:val="22"/>
          <w:szCs w:val="22"/>
          <w:u w:val="single"/>
          <w:lang w:val="en-US"/>
        </w:rPr>
      </w:pPr>
    </w:p>
    <w:p w:rsidR="0FB2DFA1" w:rsidP="0FB2DFA1" w:rsidRDefault="0FB2DFA1" w14:paraId="4A14272E" w14:textId="423F5FFB">
      <w:pPr>
        <w:rPr>
          <w:rFonts w:ascii="Calibri" w:hAnsi="Calibri" w:eastAsia="Calibri" w:cs="Calibri"/>
          <w:b w:val="1"/>
          <w:bCs w:val="1"/>
          <w:noProof w:val="0"/>
          <w:color w:val="0E101A"/>
          <w:sz w:val="22"/>
          <w:szCs w:val="22"/>
          <w:u w:val="single"/>
          <w:lang w:val="en-US"/>
        </w:rPr>
      </w:pPr>
    </w:p>
    <w:p w:rsidR="0FB2DFA1" w:rsidP="0FB2DFA1" w:rsidRDefault="0FB2DFA1" w14:paraId="79606ABD" w14:textId="08FD270B">
      <w:pPr>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1"/>
          <w:bCs w:val="1"/>
          <w:noProof w:val="0"/>
          <w:color w:val="0E101A"/>
          <w:sz w:val="28"/>
          <w:szCs w:val="28"/>
          <w:u w:val="single"/>
          <w:lang w:val="en-US"/>
        </w:rPr>
        <w:t>Name: Samiya Emma Alexander</w:t>
      </w:r>
    </w:p>
    <w:p w:rsidR="0FB2DFA1" w:rsidP="0FB2DFA1" w:rsidRDefault="0FB2DFA1" w14:paraId="331B283F" w14:textId="2775D457">
      <w:pPr>
        <w:pStyle w:val="Normal"/>
        <w:ind w:left="0"/>
        <w:rPr>
          <w:rFonts w:ascii="Calibri" w:hAnsi="Calibri" w:eastAsia="Calibri" w:cs="Calibri"/>
          <w:b w:val="0"/>
          <w:bCs w:val="0"/>
          <w:i w:val="0"/>
          <w:iCs w:val="0"/>
          <w:caps w:val="0"/>
          <w:smallCaps w:val="0"/>
          <w:strike w:val="0"/>
          <w:dstrike w:val="0"/>
          <w:noProof w:val="0"/>
          <w:color w:val="auto"/>
          <w:sz w:val="28"/>
          <w:szCs w:val="28"/>
          <w:u w:val="none"/>
          <w:lang w:val="en-US"/>
        </w:rPr>
      </w:pPr>
      <w:r w:rsidRPr="0FB2DFA1" w:rsidR="0FB2DFA1">
        <w:rPr>
          <w:rFonts w:ascii="Calibri" w:hAnsi="Calibri" w:eastAsia="Calibri" w:cs="Calibri"/>
          <w:b w:val="1"/>
          <w:bCs w:val="1"/>
          <w:noProof w:val="0"/>
          <w:color w:val="0E101A"/>
          <w:sz w:val="28"/>
          <w:szCs w:val="28"/>
          <w:u w:val="single"/>
          <w:lang w:val="en-US"/>
        </w:rPr>
        <w:t>Module:</w:t>
      </w:r>
      <w:r w:rsidRPr="0FB2DFA1" w:rsidR="0FB2DFA1">
        <w:rPr>
          <w:rFonts w:ascii="Calibri" w:hAnsi="Calibri" w:eastAsia="Calibri" w:cs="Calibri"/>
          <w:b w:val="0"/>
          <w:bCs w:val="0"/>
          <w:noProof w:val="0"/>
          <w:color w:val="auto"/>
          <w:sz w:val="28"/>
          <w:szCs w:val="28"/>
          <w:u w:val="single"/>
          <w:lang w:val="en-US"/>
        </w:rPr>
        <w:t xml:space="preserve"> </w:t>
      </w:r>
      <w:hyperlink r:id="Re74de3b25ce9474a">
        <w:r w:rsidRPr="0FB2DFA1" w:rsidR="0FB2DFA1">
          <w:rPr>
            <w:rStyle w:val="Hyperlink"/>
            <w:rFonts w:ascii="Calibri" w:hAnsi="Calibri" w:eastAsia="Calibri" w:cs="Calibri"/>
            <w:b w:val="1"/>
            <w:bCs w:val="1"/>
            <w:i w:val="0"/>
            <w:iCs w:val="0"/>
            <w:caps w:val="0"/>
            <w:smallCaps w:val="0"/>
            <w:strike w:val="0"/>
            <w:dstrike w:val="0"/>
            <w:noProof w:val="0"/>
            <w:color w:val="auto"/>
            <w:sz w:val="28"/>
            <w:szCs w:val="28"/>
            <w:lang w:val="en-US"/>
          </w:rPr>
          <w:t>ECEY4003C</w:t>
        </w:r>
      </w:hyperlink>
    </w:p>
    <w:p w:rsidR="0FB2DFA1" w:rsidP="0FB2DFA1" w:rsidRDefault="0FB2DFA1" w14:paraId="2763B3EC" w14:textId="08F48783">
      <w:pPr>
        <w:pStyle w:val="Normal"/>
        <w:ind w:left="0"/>
        <w:rPr>
          <w:rFonts w:ascii="Calibri" w:hAnsi="Calibri" w:eastAsia="Calibri" w:cs="Calibri"/>
          <w:b w:val="1"/>
          <w:bCs w:val="1"/>
          <w:i w:val="0"/>
          <w:iCs w:val="0"/>
          <w:caps w:val="0"/>
          <w:smallCaps w:val="0"/>
          <w:strike w:val="0"/>
          <w:dstrike w:val="0"/>
          <w:noProof w:val="0"/>
          <w:color w:val="auto"/>
          <w:sz w:val="28"/>
          <w:szCs w:val="28"/>
          <w:lang w:val="en-US"/>
        </w:rPr>
      </w:pPr>
      <w:r w:rsidRPr="0FB2DFA1" w:rsidR="0FB2DFA1">
        <w:rPr>
          <w:rFonts w:ascii="Calibri" w:hAnsi="Calibri" w:eastAsia="Calibri" w:cs="Calibri"/>
          <w:b w:val="1"/>
          <w:bCs w:val="1"/>
          <w:i w:val="0"/>
          <w:iCs w:val="0"/>
          <w:caps w:val="0"/>
          <w:smallCaps w:val="0"/>
          <w:strike w:val="0"/>
          <w:dstrike w:val="0"/>
          <w:noProof w:val="0"/>
          <w:color w:val="auto"/>
          <w:sz w:val="28"/>
          <w:szCs w:val="28"/>
          <w:lang w:val="en-US"/>
        </w:rPr>
        <w:t xml:space="preserve">Children’s play: Theory and practice </w:t>
      </w:r>
    </w:p>
    <w:p w:rsidR="0FB2DFA1" w:rsidP="0FB2DFA1" w:rsidRDefault="0FB2DFA1" w14:paraId="2427CEC8" w14:textId="68575515">
      <w:pPr>
        <w:pStyle w:val="Normal"/>
        <w:ind w:left="0"/>
        <w:rPr>
          <w:rFonts w:ascii="Calibri" w:hAnsi="Calibri" w:eastAsia="Calibri" w:cs="Calibri"/>
          <w:b w:val="1"/>
          <w:bCs w:val="1"/>
          <w:i w:val="0"/>
          <w:iCs w:val="0"/>
          <w:caps w:val="0"/>
          <w:smallCaps w:val="0"/>
          <w:strike w:val="0"/>
          <w:dstrike w:val="0"/>
          <w:noProof w:val="0"/>
          <w:color w:val="auto"/>
          <w:sz w:val="28"/>
          <w:szCs w:val="28"/>
          <w:lang w:val="en-US"/>
        </w:rPr>
      </w:pPr>
      <w:r w:rsidRPr="0FB2DFA1" w:rsidR="0FB2DFA1">
        <w:rPr>
          <w:rFonts w:ascii="Calibri" w:hAnsi="Calibri" w:eastAsia="Calibri" w:cs="Calibri"/>
          <w:b w:val="1"/>
          <w:bCs w:val="1"/>
          <w:i w:val="0"/>
          <w:iCs w:val="0"/>
          <w:caps w:val="0"/>
          <w:smallCaps w:val="0"/>
          <w:strike w:val="0"/>
          <w:dstrike w:val="0"/>
          <w:noProof w:val="0"/>
          <w:color w:val="auto"/>
          <w:sz w:val="28"/>
          <w:szCs w:val="28"/>
          <w:lang w:val="en-US"/>
        </w:rPr>
        <w:t>Portfolio</w:t>
      </w:r>
    </w:p>
    <w:p w:rsidR="0FB2DFA1" w:rsidP="0FB2DFA1" w:rsidRDefault="0FB2DFA1" w14:paraId="1B470DD0" w14:textId="34E6D416">
      <w:pPr>
        <w:pStyle w:val="Normal"/>
        <w:rPr>
          <w:rFonts w:ascii="Calibri" w:hAnsi="Calibri" w:eastAsia="Calibri" w:cs="Calibri"/>
          <w:b w:val="1"/>
          <w:bCs w:val="1"/>
          <w:noProof w:val="0"/>
          <w:color w:val="0E101A"/>
          <w:sz w:val="28"/>
          <w:szCs w:val="28"/>
          <w:u w:val="single"/>
          <w:lang w:val="en-US"/>
        </w:rPr>
      </w:pPr>
      <w:r w:rsidRPr="0FB2DFA1" w:rsidR="0FB2DFA1">
        <w:rPr>
          <w:rFonts w:ascii="Calibri" w:hAnsi="Calibri" w:eastAsia="Calibri" w:cs="Calibri"/>
          <w:b w:val="1"/>
          <w:bCs w:val="1"/>
          <w:noProof w:val="0"/>
          <w:color w:val="0E101A"/>
          <w:sz w:val="28"/>
          <w:szCs w:val="28"/>
          <w:u w:val="single"/>
          <w:lang w:val="en-US"/>
        </w:rPr>
        <w:t xml:space="preserve"> </w:t>
      </w:r>
    </w:p>
    <w:p w:rsidR="0FB2DFA1" w:rsidP="0FB2DFA1" w:rsidRDefault="0FB2DFA1" w14:paraId="44A40C36" w14:textId="500B0161">
      <w:pPr>
        <w:rPr>
          <w:rFonts w:ascii="Calibri" w:hAnsi="Calibri" w:eastAsia="Calibri" w:cs="Calibri"/>
          <w:b w:val="1"/>
          <w:bCs w:val="1"/>
          <w:noProof w:val="0"/>
          <w:color w:val="0E101A"/>
          <w:sz w:val="22"/>
          <w:szCs w:val="22"/>
          <w:u w:val="single"/>
          <w:lang w:val="en-US"/>
        </w:rPr>
      </w:pPr>
    </w:p>
    <w:p w:rsidR="0FB2DFA1" w:rsidP="0FB2DFA1" w:rsidRDefault="0FB2DFA1" w14:paraId="77DE4936" w14:textId="5C33E5D0">
      <w:pPr>
        <w:rPr>
          <w:rFonts w:ascii="Calibri" w:hAnsi="Calibri" w:eastAsia="Calibri" w:cs="Calibri"/>
          <w:b w:val="1"/>
          <w:bCs w:val="1"/>
          <w:noProof w:val="0"/>
          <w:color w:val="0E101A"/>
          <w:sz w:val="22"/>
          <w:szCs w:val="22"/>
          <w:u w:val="single"/>
          <w:lang w:val="en-US"/>
        </w:rPr>
      </w:pPr>
    </w:p>
    <w:p w:rsidR="0FB2DFA1" w:rsidP="0FB2DFA1" w:rsidRDefault="0FB2DFA1" w14:paraId="1146C068" w14:textId="1AAB8A83">
      <w:pPr>
        <w:rPr>
          <w:rFonts w:ascii="Calibri" w:hAnsi="Calibri" w:eastAsia="Calibri" w:cs="Calibri"/>
          <w:b w:val="1"/>
          <w:bCs w:val="1"/>
          <w:noProof w:val="0"/>
          <w:color w:val="0E101A"/>
          <w:sz w:val="22"/>
          <w:szCs w:val="22"/>
          <w:u w:val="single"/>
          <w:lang w:val="en-US"/>
        </w:rPr>
      </w:pPr>
    </w:p>
    <w:p w:rsidR="0FB2DFA1" w:rsidP="0FB2DFA1" w:rsidRDefault="0FB2DFA1" w14:paraId="43ABFC17" w14:textId="2BB146C5">
      <w:pPr>
        <w:rPr>
          <w:rFonts w:ascii="Calibri" w:hAnsi="Calibri" w:eastAsia="Calibri" w:cs="Calibri"/>
          <w:b w:val="1"/>
          <w:bCs w:val="1"/>
          <w:noProof w:val="0"/>
          <w:color w:val="0E101A"/>
          <w:sz w:val="22"/>
          <w:szCs w:val="22"/>
          <w:u w:val="single"/>
          <w:lang w:val="en-US"/>
        </w:rPr>
      </w:pPr>
    </w:p>
    <w:p w:rsidR="0FB2DFA1" w:rsidP="0FB2DFA1" w:rsidRDefault="0FB2DFA1" w14:paraId="4C17736A" w14:textId="0C96884C">
      <w:pPr>
        <w:rPr>
          <w:rFonts w:ascii="Calibri" w:hAnsi="Calibri" w:eastAsia="Calibri" w:cs="Calibri"/>
          <w:b w:val="1"/>
          <w:bCs w:val="1"/>
          <w:noProof w:val="0"/>
          <w:color w:val="0E101A"/>
          <w:sz w:val="22"/>
          <w:szCs w:val="22"/>
          <w:u w:val="single"/>
          <w:lang w:val="en-US"/>
        </w:rPr>
      </w:pPr>
    </w:p>
    <w:p w:rsidR="0FB2DFA1" w:rsidP="0FB2DFA1" w:rsidRDefault="0FB2DFA1" w14:paraId="5441C9C0" w14:textId="0171446D">
      <w:pPr>
        <w:rPr>
          <w:rFonts w:ascii="Calibri" w:hAnsi="Calibri" w:eastAsia="Calibri" w:cs="Calibri"/>
          <w:b w:val="1"/>
          <w:bCs w:val="1"/>
          <w:noProof w:val="0"/>
          <w:color w:val="0E101A"/>
          <w:sz w:val="22"/>
          <w:szCs w:val="22"/>
          <w:u w:val="single"/>
          <w:lang w:val="en-US"/>
        </w:rPr>
      </w:pPr>
    </w:p>
    <w:p w:rsidR="0FB2DFA1" w:rsidP="0FB2DFA1" w:rsidRDefault="0FB2DFA1" w14:paraId="50B3327B" w14:textId="2A0140F7">
      <w:pPr>
        <w:rPr>
          <w:rFonts w:ascii="Calibri" w:hAnsi="Calibri" w:eastAsia="Calibri" w:cs="Calibri"/>
          <w:b w:val="1"/>
          <w:bCs w:val="1"/>
          <w:noProof w:val="0"/>
          <w:color w:val="0E101A"/>
          <w:sz w:val="22"/>
          <w:szCs w:val="22"/>
          <w:u w:val="single"/>
          <w:lang w:val="en-US"/>
        </w:rPr>
      </w:pPr>
    </w:p>
    <w:p w:rsidR="0FB2DFA1" w:rsidP="0FB2DFA1" w:rsidRDefault="0FB2DFA1" w14:paraId="0256FB08" w14:textId="39DEE3A1">
      <w:pPr>
        <w:rPr>
          <w:rFonts w:ascii="Calibri" w:hAnsi="Calibri" w:eastAsia="Calibri" w:cs="Calibri"/>
          <w:b w:val="1"/>
          <w:bCs w:val="1"/>
          <w:noProof w:val="0"/>
          <w:color w:val="0E101A"/>
          <w:sz w:val="22"/>
          <w:szCs w:val="22"/>
          <w:u w:val="single"/>
          <w:lang w:val="en-US"/>
        </w:rPr>
      </w:pPr>
    </w:p>
    <w:p w:rsidR="0FB2DFA1" w:rsidP="0FB2DFA1" w:rsidRDefault="0FB2DFA1" w14:paraId="723B7F3A" w14:textId="30D5028E">
      <w:pPr>
        <w:rPr>
          <w:rFonts w:ascii="Calibri" w:hAnsi="Calibri" w:eastAsia="Calibri" w:cs="Calibri"/>
          <w:b w:val="1"/>
          <w:bCs w:val="1"/>
          <w:noProof w:val="0"/>
          <w:color w:val="0E101A"/>
          <w:sz w:val="22"/>
          <w:szCs w:val="22"/>
          <w:u w:val="single"/>
          <w:lang w:val="en-US"/>
        </w:rPr>
      </w:pPr>
    </w:p>
    <w:p w:rsidR="0FB2DFA1" w:rsidP="0FB2DFA1" w:rsidRDefault="0FB2DFA1" w14:paraId="7E39EAF0" w14:textId="7DF96909">
      <w:pPr>
        <w:rPr>
          <w:rFonts w:ascii="Calibri" w:hAnsi="Calibri" w:eastAsia="Calibri" w:cs="Calibri"/>
          <w:b w:val="1"/>
          <w:bCs w:val="1"/>
          <w:noProof w:val="0"/>
          <w:color w:val="0E101A"/>
          <w:sz w:val="22"/>
          <w:szCs w:val="22"/>
          <w:u w:val="single"/>
          <w:lang w:val="en-US"/>
        </w:rPr>
      </w:pPr>
    </w:p>
    <w:p w:rsidR="0FB2DFA1" w:rsidP="0FB2DFA1" w:rsidRDefault="0FB2DFA1" w14:paraId="02AD7639" w14:textId="7E303186">
      <w:pPr>
        <w:rPr>
          <w:rFonts w:ascii="Calibri" w:hAnsi="Calibri" w:eastAsia="Calibri" w:cs="Calibri"/>
          <w:b w:val="1"/>
          <w:bCs w:val="1"/>
          <w:noProof w:val="0"/>
          <w:color w:val="0E101A"/>
          <w:sz w:val="22"/>
          <w:szCs w:val="22"/>
          <w:u w:val="single"/>
          <w:lang w:val="en-US"/>
        </w:rPr>
      </w:pPr>
    </w:p>
    <w:p w:rsidR="0FB2DFA1" w:rsidP="0FB2DFA1" w:rsidRDefault="0FB2DFA1" w14:paraId="1A886882" w14:textId="391439A3">
      <w:pPr>
        <w:rPr>
          <w:rFonts w:ascii="Calibri" w:hAnsi="Calibri" w:eastAsia="Calibri" w:cs="Calibri"/>
          <w:b w:val="1"/>
          <w:bCs w:val="1"/>
          <w:noProof w:val="0"/>
          <w:color w:val="0E101A"/>
          <w:sz w:val="22"/>
          <w:szCs w:val="22"/>
          <w:u w:val="single"/>
          <w:lang w:val="en-US"/>
        </w:rPr>
      </w:pPr>
    </w:p>
    <w:p w:rsidR="0FB2DFA1" w:rsidP="0FB2DFA1" w:rsidRDefault="0FB2DFA1" w14:paraId="78DEB4A8" w14:textId="30EA60FD">
      <w:pPr>
        <w:rPr>
          <w:rFonts w:ascii="Calibri" w:hAnsi="Calibri" w:eastAsia="Calibri" w:cs="Calibri"/>
          <w:b w:val="1"/>
          <w:bCs w:val="1"/>
          <w:noProof w:val="0"/>
          <w:color w:val="0E101A"/>
          <w:sz w:val="22"/>
          <w:szCs w:val="22"/>
          <w:u w:val="single"/>
          <w:lang w:val="en-US"/>
        </w:rPr>
      </w:pPr>
    </w:p>
    <w:p w:rsidR="0FB2DFA1" w:rsidP="0FB2DFA1" w:rsidRDefault="0FB2DFA1" w14:paraId="2A747ED6" w14:textId="3679D19E">
      <w:pPr>
        <w:rPr>
          <w:rFonts w:ascii="Calibri" w:hAnsi="Calibri" w:eastAsia="Calibri" w:cs="Calibri"/>
          <w:b w:val="1"/>
          <w:bCs w:val="1"/>
          <w:noProof w:val="0"/>
          <w:color w:val="0E101A"/>
          <w:sz w:val="22"/>
          <w:szCs w:val="22"/>
          <w:u w:val="single"/>
          <w:lang w:val="en-US"/>
        </w:rPr>
      </w:pPr>
    </w:p>
    <w:p w:rsidR="0FB2DFA1" w:rsidP="0FB2DFA1" w:rsidRDefault="0FB2DFA1" w14:paraId="6C2AEAFF" w14:textId="2DF4A561">
      <w:pPr>
        <w:rPr>
          <w:rFonts w:ascii="Calibri" w:hAnsi="Calibri" w:eastAsia="Calibri" w:cs="Calibri"/>
          <w:b w:val="1"/>
          <w:bCs w:val="1"/>
          <w:noProof w:val="0"/>
          <w:color w:val="0E101A"/>
          <w:sz w:val="22"/>
          <w:szCs w:val="22"/>
          <w:u w:val="single"/>
          <w:lang w:val="en-US"/>
        </w:rPr>
      </w:pPr>
    </w:p>
    <w:p w:rsidR="0FB2DFA1" w:rsidP="0FB2DFA1" w:rsidRDefault="0FB2DFA1" w14:paraId="44391BEF" w14:textId="4820814C">
      <w:pPr>
        <w:rPr>
          <w:rFonts w:ascii="Calibri" w:hAnsi="Calibri" w:eastAsia="Calibri" w:cs="Calibri"/>
          <w:b w:val="1"/>
          <w:bCs w:val="1"/>
          <w:noProof w:val="0"/>
          <w:color w:val="0E101A"/>
          <w:sz w:val="22"/>
          <w:szCs w:val="22"/>
          <w:u w:val="single"/>
          <w:lang w:val="en-US"/>
        </w:rPr>
      </w:pPr>
    </w:p>
    <w:p w:rsidR="0FB2DFA1" w:rsidP="0FB2DFA1" w:rsidRDefault="0FB2DFA1" w14:paraId="4E8CB605" w14:textId="17E256E6">
      <w:pPr>
        <w:rPr>
          <w:rFonts w:ascii="Calibri" w:hAnsi="Calibri" w:eastAsia="Calibri" w:cs="Calibri"/>
          <w:b w:val="1"/>
          <w:bCs w:val="1"/>
          <w:noProof w:val="0"/>
          <w:color w:val="0E101A"/>
          <w:sz w:val="22"/>
          <w:szCs w:val="22"/>
          <w:u w:val="single"/>
          <w:lang w:val="en-US"/>
        </w:rPr>
      </w:pPr>
    </w:p>
    <w:p w:rsidR="0FB2DFA1" w:rsidP="0FB2DFA1" w:rsidRDefault="0FB2DFA1" w14:paraId="14BC507A" w14:textId="263E9632">
      <w:pPr>
        <w:rPr>
          <w:rFonts w:ascii="Calibri" w:hAnsi="Calibri" w:eastAsia="Calibri" w:cs="Calibri"/>
          <w:b w:val="1"/>
          <w:bCs w:val="1"/>
          <w:noProof w:val="0"/>
          <w:color w:val="0E101A"/>
          <w:sz w:val="22"/>
          <w:szCs w:val="22"/>
          <w:u w:val="single"/>
          <w:lang w:val="en-US"/>
        </w:rPr>
      </w:pPr>
    </w:p>
    <w:p w:rsidR="0FB2DFA1" w:rsidP="0FB2DFA1" w:rsidRDefault="0FB2DFA1" w14:paraId="11F3B0AE" w14:textId="3E2D873B">
      <w:pPr>
        <w:rPr>
          <w:rFonts w:ascii="Calibri" w:hAnsi="Calibri" w:eastAsia="Calibri" w:cs="Calibri"/>
          <w:b w:val="1"/>
          <w:bCs w:val="1"/>
          <w:noProof w:val="0"/>
          <w:color w:val="0E101A"/>
          <w:sz w:val="22"/>
          <w:szCs w:val="22"/>
          <w:u w:val="single"/>
          <w:lang w:val="en-US"/>
        </w:rPr>
      </w:pPr>
    </w:p>
    <w:p w:rsidR="0FB2DFA1" w:rsidP="0FB2DFA1" w:rsidRDefault="0FB2DFA1" w14:paraId="1EAFEA4E" w14:textId="5D4FAE4B">
      <w:pPr>
        <w:rPr>
          <w:rFonts w:ascii="Calibri" w:hAnsi="Calibri" w:eastAsia="Calibri" w:cs="Calibri"/>
          <w:b w:val="1"/>
          <w:bCs w:val="1"/>
          <w:noProof w:val="0"/>
          <w:color w:val="0E101A"/>
          <w:sz w:val="22"/>
          <w:szCs w:val="22"/>
          <w:u w:val="single"/>
          <w:lang w:val="en-US"/>
        </w:rPr>
      </w:pPr>
    </w:p>
    <w:p w:rsidR="0FB2DFA1" w:rsidP="0FB2DFA1" w:rsidRDefault="0FB2DFA1" w14:paraId="4943855A" w14:textId="0FBB835A">
      <w:pPr>
        <w:rPr>
          <w:rFonts w:ascii="Calibri" w:hAnsi="Calibri" w:eastAsia="Calibri" w:cs="Calibri"/>
          <w:b w:val="1"/>
          <w:bCs w:val="1"/>
          <w:noProof w:val="0"/>
          <w:color w:val="0E101A"/>
          <w:sz w:val="22"/>
          <w:szCs w:val="22"/>
          <w:u w:val="single"/>
          <w:lang w:val="en-US"/>
        </w:rPr>
      </w:pPr>
    </w:p>
    <w:p w:rsidR="0FB2DFA1" w:rsidP="0FB2DFA1" w:rsidRDefault="0FB2DFA1" w14:paraId="605EC172" w14:textId="165A7477">
      <w:pPr>
        <w:rPr>
          <w:rFonts w:ascii="Calibri" w:hAnsi="Calibri" w:eastAsia="Calibri" w:cs="Calibri"/>
          <w:b w:val="1"/>
          <w:bCs w:val="1"/>
          <w:noProof w:val="0"/>
          <w:color w:val="0E101A"/>
          <w:sz w:val="22"/>
          <w:szCs w:val="22"/>
          <w:u w:val="single"/>
          <w:lang w:val="en-US"/>
        </w:rPr>
      </w:pPr>
    </w:p>
    <w:p w:rsidR="0FB2DFA1" w:rsidP="0FB2DFA1" w:rsidRDefault="0FB2DFA1" w14:paraId="2458D474" w14:textId="1F376D65">
      <w:pPr>
        <w:pStyle w:val="Normal"/>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1"/>
          <w:bCs w:val="1"/>
          <w:noProof w:val="0"/>
          <w:color w:val="0E101A"/>
          <w:sz w:val="22"/>
          <w:szCs w:val="22"/>
          <w:u w:val="single"/>
          <w:lang w:val="en-US"/>
        </w:rPr>
        <w:t>Table of content</w:t>
      </w:r>
    </w:p>
    <w:p w:rsidR="0FB2DFA1" w:rsidP="0FB2DFA1" w:rsidRDefault="0FB2DFA1" w14:paraId="12AEEC12" w14:textId="04F2EF5A">
      <w:pPr>
        <w:pStyle w:val="Normal"/>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0"/>
          <w:bCs w:val="0"/>
          <w:noProof w:val="0"/>
          <w:color w:val="0E101A"/>
          <w:sz w:val="22"/>
          <w:szCs w:val="22"/>
          <w:u w:val="none"/>
          <w:lang w:val="en-US"/>
        </w:rPr>
        <w:t>Section 1</w:t>
      </w:r>
    </w:p>
    <w:p w:rsidR="0FB2DFA1" w:rsidP="0FB2DFA1" w:rsidRDefault="0FB2DFA1" w14:paraId="3F21EE8B" w14:textId="5C090CBE">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 xml:space="preserve">What is play? </w:t>
      </w:r>
    </w:p>
    <w:p w:rsidR="0FB2DFA1" w:rsidP="0FB2DFA1" w:rsidRDefault="0FB2DFA1" w14:paraId="38D015ED" w14:textId="011F6272">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Rough and Tumble Play</w:t>
      </w:r>
    </w:p>
    <w:p w:rsidR="0FB2DFA1" w:rsidP="0FB2DFA1" w:rsidRDefault="0FB2DFA1" w14:paraId="2E0CC756" w14:textId="2295BB14">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Constructive Play</w:t>
      </w:r>
    </w:p>
    <w:p w:rsidR="0FB2DFA1" w:rsidP="0FB2DFA1" w:rsidRDefault="0FB2DFA1" w14:paraId="19AE5DD8" w14:textId="6A844B24">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Section 2</w:t>
      </w:r>
    </w:p>
    <w:p w:rsidR="0FB2DFA1" w:rsidP="0FB2DFA1" w:rsidRDefault="0FB2DFA1" w14:paraId="6412AFC1" w14:textId="25E19D7F">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What is Self-directed play</w:t>
      </w:r>
    </w:p>
    <w:p w:rsidR="0FB2DFA1" w:rsidP="0FB2DFA1" w:rsidRDefault="0FB2DFA1" w14:paraId="232F4355" w14:textId="209E890D">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The importance of self-directed play</w:t>
      </w:r>
    </w:p>
    <w:p w:rsidR="0FB2DFA1" w:rsidP="0FB2DFA1" w:rsidRDefault="0FB2DFA1" w14:paraId="18700E7A" w14:textId="5801E5CB">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The role of the Adult</w:t>
      </w:r>
    </w:p>
    <w:p w:rsidR="0FB2DFA1" w:rsidP="0FB2DFA1" w:rsidRDefault="0FB2DFA1" w14:paraId="7E84370D" w14:textId="5BBEA2F3">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Section 3</w:t>
      </w:r>
    </w:p>
    <w:p w:rsidR="0FB2DFA1" w:rsidP="0FB2DFA1" w:rsidRDefault="0FB2DFA1" w14:paraId="00840DBA" w14:textId="7C3319C5">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Discussion of observation type</w:t>
      </w:r>
    </w:p>
    <w:p w:rsidR="0FB2DFA1" w:rsidP="0FB2DFA1" w:rsidRDefault="0FB2DFA1" w14:paraId="7293A194" w14:textId="4A19E0AD">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Section 4</w:t>
      </w:r>
    </w:p>
    <w:p w:rsidR="0FB2DFA1" w:rsidP="0FB2DFA1" w:rsidRDefault="0FB2DFA1" w14:paraId="0B05A5D9" w14:textId="091C54A4">
      <w:pPr>
        <w:pStyle w:val="Normal"/>
        <w:rPr>
          <w:rFonts w:ascii="Calibri" w:hAnsi="Calibri" w:eastAsia="Calibri" w:cs="Calibri"/>
          <w:b w:val="0"/>
          <w:bCs w:val="0"/>
          <w:noProof w:val="0"/>
          <w:color w:val="0E101A"/>
          <w:sz w:val="22"/>
          <w:szCs w:val="22"/>
          <w:u w:val="none"/>
          <w:lang w:val="en-US"/>
        </w:rPr>
      </w:pPr>
      <w:r w:rsidRPr="0FB2DFA1" w:rsidR="0FB2DFA1">
        <w:rPr>
          <w:rFonts w:ascii="Calibri" w:hAnsi="Calibri" w:eastAsia="Calibri" w:cs="Calibri"/>
          <w:b w:val="0"/>
          <w:bCs w:val="0"/>
          <w:noProof w:val="0"/>
          <w:color w:val="0E101A"/>
          <w:sz w:val="22"/>
          <w:szCs w:val="22"/>
          <w:u w:val="none"/>
          <w:lang w:val="en-US"/>
        </w:rPr>
        <w:t>The role of play when overserving</w:t>
      </w:r>
    </w:p>
    <w:p w:rsidR="0FB2DFA1" w:rsidP="0FB2DFA1" w:rsidRDefault="0FB2DFA1" w14:paraId="2CABDF21" w14:textId="719B0606">
      <w:pPr>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0"/>
          <w:bCs w:val="0"/>
          <w:noProof w:val="0"/>
          <w:color w:val="0E101A"/>
          <w:sz w:val="22"/>
          <w:szCs w:val="22"/>
          <w:u w:val="none"/>
          <w:lang w:val="en-US"/>
        </w:rPr>
        <w:t>References</w:t>
      </w:r>
    </w:p>
    <w:p w:rsidR="0FB2DFA1" w:rsidP="0FB2DFA1" w:rsidRDefault="0FB2DFA1" w14:paraId="1D7CC5DF" w14:textId="05D958EA">
      <w:pPr>
        <w:rPr>
          <w:rFonts w:ascii="Calibri" w:hAnsi="Calibri" w:eastAsia="Calibri" w:cs="Calibri"/>
          <w:b w:val="1"/>
          <w:bCs w:val="1"/>
          <w:noProof w:val="0"/>
          <w:color w:val="0E101A"/>
          <w:sz w:val="22"/>
          <w:szCs w:val="22"/>
          <w:u w:val="single"/>
          <w:lang w:val="en-US"/>
        </w:rPr>
      </w:pPr>
    </w:p>
    <w:p w:rsidR="0FB2DFA1" w:rsidP="0FB2DFA1" w:rsidRDefault="0FB2DFA1" w14:paraId="4EDAE6B5" w14:textId="392E1567">
      <w:pPr>
        <w:rPr>
          <w:rFonts w:ascii="Calibri" w:hAnsi="Calibri" w:eastAsia="Calibri" w:cs="Calibri"/>
          <w:b w:val="1"/>
          <w:bCs w:val="1"/>
          <w:noProof w:val="0"/>
          <w:color w:val="0E101A"/>
          <w:sz w:val="22"/>
          <w:szCs w:val="22"/>
          <w:u w:val="single"/>
          <w:lang w:val="en-US"/>
        </w:rPr>
      </w:pPr>
    </w:p>
    <w:p w:rsidR="0FB2DFA1" w:rsidP="0FB2DFA1" w:rsidRDefault="0FB2DFA1" w14:paraId="30C00DE8" w14:textId="015BC3E9">
      <w:pPr>
        <w:rPr>
          <w:rFonts w:ascii="Calibri" w:hAnsi="Calibri" w:eastAsia="Calibri" w:cs="Calibri"/>
          <w:b w:val="1"/>
          <w:bCs w:val="1"/>
          <w:noProof w:val="0"/>
          <w:color w:val="0E101A"/>
          <w:sz w:val="22"/>
          <w:szCs w:val="22"/>
          <w:u w:val="single"/>
          <w:lang w:val="en-US"/>
        </w:rPr>
      </w:pPr>
    </w:p>
    <w:p w:rsidR="0FB2DFA1" w:rsidP="0FB2DFA1" w:rsidRDefault="0FB2DFA1" w14:paraId="0DC40735" w14:textId="5875762F">
      <w:pPr>
        <w:rPr>
          <w:rFonts w:ascii="Calibri" w:hAnsi="Calibri" w:eastAsia="Calibri" w:cs="Calibri"/>
          <w:b w:val="1"/>
          <w:bCs w:val="1"/>
          <w:noProof w:val="0"/>
          <w:color w:val="0E101A"/>
          <w:sz w:val="22"/>
          <w:szCs w:val="22"/>
          <w:u w:val="single"/>
          <w:lang w:val="en-US"/>
        </w:rPr>
      </w:pPr>
    </w:p>
    <w:p w:rsidR="0FB2DFA1" w:rsidP="0FB2DFA1" w:rsidRDefault="0FB2DFA1" w14:paraId="5A35DB0D" w14:textId="0AF33BA6">
      <w:pPr>
        <w:rPr>
          <w:rFonts w:ascii="Calibri" w:hAnsi="Calibri" w:eastAsia="Calibri" w:cs="Calibri"/>
          <w:b w:val="1"/>
          <w:bCs w:val="1"/>
          <w:noProof w:val="0"/>
          <w:color w:val="0E101A"/>
          <w:sz w:val="22"/>
          <w:szCs w:val="22"/>
          <w:u w:val="single"/>
          <w:lang w:val="en-US"/>
        </w:rPr>
      </w:pPr>
    </w:p>
    <w:p w:rsidR="0FB2DFA1" w:rsidP="0FB2DFA1" w:rsidRDefault="0FB2DFA1" w14:paraId="2CE3D4E6" w14:textId="662206D0">
      <w:pPr>
        <w:rPr>
          <w:rFonts w:ascii="Calibri" w:hAnsi="Calibri" w:eastAsia="Calibri" w:cs="Calibri"/>
          <w:b w:val="1"/>
          <w:bCs w:val="1"/>
          <w:noProof w:val="0"/>
          <w:color w:val="0E101A"/>
          <w:sz w:val="22"/>
          <w:szCs w:val="22"/>
          <w:u w:val="single"/>
          <w:lang w:val="en-US"/>
        </w:rPr>
      </w:pPr>
    </w:p>
    <w:p w:rsidR="0FB2DFA1" w:rsidP="0FB2DFA1" w:rsidRDefault="0FB2DFA1" w14:paraId="3696DC74" w14:textId="1D776AEE">
      <w:pPr>
        <w:rPr>
          <w:rFonts w:ascii="Calibri" w:hAnsi="Calibri" w:eastAsia="Calibri" w:cs="Calibri"/>
          <w:b w:val="1"/>
          <w:bCs w:val="1"/>
          <w:noProof w:val="0"/>
          <w:color w:val="0E101A"/>
          <w:sz w:val="22"/>
          <w:szCs w:val="22"/>
          <w:u w:val="single"/>
          <w:lang w:val="en-US"/>
        </w:rPr>
      </w:pPr>
    </w:p>
    <w:p w:rsidR="0FB2DFA1" w:rsidP="0FB2DFA1" w:rsidRDefault="0FB2DFA1" w14:paraId="5FE2C109" w14:textId="136854A1">
      <w:pPr>
        <w:rPr>
          <w:rFonts w:ascii="Calibri" w:hAnsi="Calibri" w:eastAsia="Calibri" w:cs="Calibri"/>
          <w:b w:val="1"/>
          <w:bCs w:val="1"/>
          <w:noProof w:val="0"/>
          <w:color w:val="0E101A"/>
          <w:sz w:val="22"/>
          <w:szCs w:val="22"/>
          <w:u w:val="single"/>
          <w:lang w:val="en-US"/>
        </w:rPr>
      </w:pPr>
    </w:p>
    <w:p w:rsidR="0FB2DFA1" w:rsidP="0FB2DFA1" w:rsidRDefault="0FB2DFA1" w14:paraId="7CED4B04" w14:textId="626C5763">
      <w:pPr>
        <w:rPr>
          <w:rFonts w:ascii="Calibri" w:hAnsi="Calibri" w:eastAsia="Calibri" w:cs="Calibri"/>
          <w:b w:val="1"/>
          <w:bCs w:val="1"/>
          <w:noProof w:val="0"/>
          <w:color w:val="0E101A"/>
          <w:sz w:val="22"/>
          <w:szCs w:val="22"/>
          <w:u w:val="single"/>
          <w:lang w:val="en-US"/>
        </w:rPr>
      </w:pPr>
    </w:p>
    <w:p w:rsidR="0FB2DFA1" w:rsidP="0FB2DFA1" w:rsidRDefault="0FB2DFA1" w14:paraId="2F414F5A" w14:textId="7A18E120">
      <w:pPr>
        <w:rPr>
          <w:rFonts w:ascii="Calibri" w:hAnsi="Calibri" w:eastAsia="Calibri" w:cs="Calibri"/>
          <w:b w:val="1"/>
          <w:bCs w:val="1"/>
          <w:noProof w:val="0"/>
          <w:color w:val="0E101A"/>
          <w:sz w:val="22"/>
          <w:szCs w:val="22"/>
          <w:u w:val="single"/>
          <w:lang w:val="en-US"/>
        </w:rPr>
      </w:pPr>
    </w:p>
    <w:p w:rsidR="0FB2DFA1" w:rsidP="0FB2DFA1" w:rsidRDefault="0FB2DFA1" w14:paraId="07B9D503" w14:textId="4A189A19">
      <w:pPr>
        <w:rPr>
          <w:rFonts w:ascii="Calibri" w:hAnsi="Calibri" w:eastAsia="Calibri" w:cs="Calibri"/>
          <w:b w:val="1"/>
          <w:bCs w:val="1"/>
          <w:noProof w:val="0"/>
          <w:color w:val="0E101A"/>
          <w:sz w:val="22"/>
          <w:szCs w:val="22"/>
          <w:u w:val="single"/>
          <w:lang w:val="en-US"/>
        </w:rPr>
      </w:pPr>
    </w:p>
    <w:p w:rsidR="0FB2DFA1" w:rsidP="0FB2DFA1" w:rsidRDefault="0FB2DFA1" w14:paraId="5D437A94" w14:textId="4B5B408F">
      <w:pPr>
        <w:rPr>
          <w:rFonts w:ascii="Calibri" w:hAnsi="Calibri" w:eastAsia="Calibri" w:cs="Calibri"/>
          <w:b w:val="1"/>
          <w:bCs w:val="1"/>
          <w:noProof w:val="0"/>
          <w:color w:val="0E101A"/>
          <w:sz w:val="22"/>
          <w:szCs w:val="22"/>
          <w:u w:val="single"/>
          <w:lang w:val="en-US"/>
        </w:rPr>
      </w:pPr>
    </w:p>
    <w:p w:rsidR="0FB2DFA1" w:rsidP="0FB2DFA1" w:rsidRDefault="0FB2DFA1" w14:paraId="67CA2602" w14:textId="3914097B">
      <w:pPr>
        <w:rPr>
          <w:rFonts w:ascii="Calibri" w:hAnsi="Calibri" w:eastAsia="Calibri" w:cs="Calibri"/>
          <w:b w:val="1"/>
          <w:bCs w:val="1"/>
          <w:noProof w:val="0"/>
          <w:color w:val="0E101A"/>
          <w:sz w:val="22"/>
          <w:szCs w:val="22"/>
          <w:u w:val="single"/>
          <w:lang w:val="en-US"/>
        </w:rPr>
      </w:pPr>
    </w:p>
    <w:p w:rsidR="0FB2DFA1" w:rsidP="0FB2DFA1" w:rsidRDefault="0FB2DFA1" w14:paraId="193708E9" w14:textId="3D54169C">
      <w:pPr>
        <w:rPr>
          <w:rFonts w:ascii="Calibri" w:hAnsi="Calibri" w:eastAsia="Calibri" w:cs="Calibri"/>
          <w:b w:val="1"/>
          <w:bCs w:val="1"/>
          <w:noProof w:val="0"/>
          <w:color w:val="0E101A"/>
          <w:sz w:val="22"/>
          <w:szCs w:val="22"/>
          <w:u w:val="single"/>
          <w:lang w:val="en-US"/>
        </w:rPr>
      </w:pPr>
    </w:p>
    <w:p w:rsidR="0FB2DFA1" w:rsidP="0FB2DFA1" w:rsidRDefault="0FB2DFA1" w14:paraId="163562EE" w14:textId="4155C42E">
      <w:pPr>
        <w:rPr>
          <w:rFonts w:ascii="Calibri" w:hAnsi="Calibri" w:eastAsia="Calibri" w:cs="Calibri"/>
          <w:b w:val="1"/>
          <w:bCs w:val="1"/>
          <w:noProof w:val="0"/>
          <w:color w:val="0E101A"/>
          <w:sz w:val="22"/>
          <w:szCs w:val="22"/>
          <w:u w:val="single"/>
          <w:lang w:val="en-US"/>
        </w:rPr>
      </w:pPr>
    </w:p>
    <w:p w:rsidR="0FB2DFA1" w:rsidP="0FB2DFA1" w:rsidRDefault="0FB2DFA1" w14:paraId="63811DF8" w14:textId="6E2FF93F">
      <w:pPr>
        <w:pStyle w:val="Normal"/>
        <w:rPr>
          <w:rFonts w:ascii="Calibri" w:hAnsi="Calibri" w:eastAsia="Calibri" w:cs="Calibri"/>
          <w:b w:val="1"/>
          <w:bCs w:val="1"/>
          <w:noProof w:val="0"/>
          <w:color w:val="0E101A"/>
          <w:sz w:val="22"/>
          <w:szCs w:val="22"/>
          <w:u w:val="single"/>
          <w:lang w:val="en-US"/>
        </w:rPr>
      </w:pPr>
      <w:r w:rsidRPr="0FB2DFA1" w:rsidR="0FB2DFA1">
        <w:rPr>
          <w:rFonts w:ascii="Calibri" w:hAnsi="Calibri" w:eastAsia="Calibri" w:cs="Calibri"/>
          <w:b w:val="1"/>
          <w:bCs w:val="1"/>
          <w:noProof w:val="0"/>
          <w:color w:val="0E101A"/>
          <w:sz w:val="22"/>
          <w:szCs w:val="22"/>
          <w:u w:val="single"/>
          <w:lang w:val="en-US"/>
        </w:rPr>
        <w:t>Section 1</w:t>
      </w:r>
    </w:p>
    <w:p w:rsidR="0FB2DFA1" w:rsidP="0FB2DFA1" w:rsidRDefault="0FB2DFA1" w14:paraId="04B1829F" w14:textId="24A92458">
      <w:pPr>
        <w:pStyle w:val="Normal"/>
        <w:rPr>
          <w:rFonts w:ascii="Calibri" w:hAnsi="Calibri" w:eastAsia="Calibri" w:cs="Calibri"/>
          <w:b w:val="1"/>
          <w:bCs w:val="1"/>
          <w:noProof w:val="0"/>
          <w:color w:val="auto"/>
          <w:sz w:val="22"/>
          <w:szCs w:val="22"/>
          <w:lang w:val="en-US"/>
        </w:rPr>
      </w:pPr>
      <w:r w:rsidRPr="0FB2DFA1" w:rsidR="0FB2DFA1">
        <w:rPr>
          <w:rFonts w:ascii="Calibri" w:hAnsi="Calibri" w:eastAsia="Calibri" w:cs="Calibri"/>
          <w:b w:val="1"/>
          <w:bCs w:val="1"/>
          <w:noProof w:val="0"/>
          <w:color w:val="auto"/>
          <w:sz w:val="22"/>
          <w:szCs w:val="22"/>
          <w:lang w:val="en-US"/>
        </w:rPr>
        <w:t>Discuss two types of play and how these can be supported in practice.</w:t>
      </w:r>
    </w:p>
    <w:p xmlns:wp14="http://schemas.microsoft.com/office/word/2010/wordml" w14:paraId="5144DB43" wp14:textId="5DDFC4F9">
      <w:r w:rsidRPr="1C0326BD" w:rsidR="1C0326BD">
        <w:rPr>
          <w:rFonts w:ascii="Calibri" w:hAnsi="Calibri" w:eastAsia="Calibri" w:cs="Calibri"/>
          <w:noProof w:val="0"/>
          <w:color w:val="0E101A"/>
          <w:sz w:val="22"/>
          <w:szCs w:val="22"/>
          <w:lang w:val="en-US"/>
        </w:rPr>
        <w:t xml:space="preserve">Play is important for children's and youth's development since it benefits their cognitive, physical, social, and emotional well-being (Ginsberg, 2007). Play is so fundamental to children's development that the United Nations (1998) declared it to be of critical significance, as it contributes to their holistic development by allowing them to explore the world via experimenting in the various settings to which they have been exposed (Bruce, 1996). Play may be seen as a way for children to learn new cultures and change their perceptions of them (Oko, 1987). </w:t>
      </w:r>
    </w:p>
    <w:p xmlns:wp14="http://schemas.microsoft.com/office/word/2010/wordml" w14:paraId="58336D36" wp14:textId="4E82EA95">
      <w:r w:rsidRPr="0FB2DFA1" w:rsidR="1C0326BD">
        <w:rPr>
          <w:rFonts w:ascii="Calibri" w:hAnsi="Calibri" w:eastAsia="Calibri" w:cs="Calibri"/>
          <w:noProof w:val="0"/>
          <w:color w:val="0E101A"/>
          <w:sz w:val="22"/>
          <w:szCs w:val="22"/>
          <w:lang w:val="en-US"/>
        </w:rPr>
        <w:t xml:space="preserve">There are many diverse types of play, but this section would be looking at two (2) specific Play types. The first Play type that would be looked at is rough and tumble play. Rough and tumble, according to Hughes (2006), is "close contact play that is less about fighting and more about touching, tickling and measuring relative strength." He goes on to say that it permits children to engage in physical touch without causing harm to anyone and that it should burn a lot of energy. Rough and tumble play activities, according to Russell (2005), can include a variety of full-body actions such as pursuing, wrestling, climbing, rolling, spinning, and tumbling, as well as interaction with objects or people. Rough and tumble play sparks disagreement among practitioners as they try to harmonize their ideas about what types of play are acceptable, tolerable, or prohibited (Holland, 2003, Jarvis, 2010). Adults frequently have strong notions about what is appropriate play (taking safety issues into account), but they struggle with their commitment to nurture children's interests and play themes when these involve play fighting or war games (woods, 2003). Real conflict may arise in a variety of settings, particularly when children lack the abilities of collaboration, sharing, negotiating, and taking turns. Children may utilize rough and tumble play to cope with the actual and sometimes unpleasant pictures of war, conflict, and violence they witness in the media, as well as in their communities, such as refugee and asylum seeker families (Hyder, 2005). According to Jarvis (2010), rough and tumble play fosters good emotional involvement among participants by allowing them to regulate their physical touch and frequently change roles, for instance, from pursuing to being pursued, traditionally rough and tumble play has been associated with boys rather than girls. To be effective, rough and tumble play does not require much more than a broad space. Practitioners may help with this play in practice by simply laying down mats and cushions on the floor and supervising as needed. Rough and tumble play provides several developmental advantages for children including: </w:t>
      </w:r>
    </w:p>
    <w:p xmlns:wp14="http://schemas.microsoft.com/office/word/2010/wordml" w:rsidP="1C0326BD" w14:paraId="037B1D39" wp14:textId="798F95F0">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they are aware of their limitations </w:t>
      </w:r>
    </w:p>
    <w:p xmlns:wp14="http://schemas.microsoft.com/office/word/2010/wordml" w:rsidP="1C0326BD" w14:paraId="60857C38" wp14:textId="741EF577">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choose their social relationships with others, as well as their own personal and physical limits </w:t>
      </w:r>
    </w:p>
    <w:p xmlns:wp14="http://schemas.microsoft.com/office/word/2010/wordml" w:rsidP="1C0326BD" w14:paraId="66450F50" wp14:textId="0EF3CD2A">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work out other people's physical and personal limits </w:t>
      </w:r>
    </w:p>
    <w:p xmlns:wp14="http://schemas.microsoft.com/office/word/2010/wordml" w:rsidP="1C0326BD" w14:paraId="01A5EE5A" wp14:textId="3D1A7BF2">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It encourages collaboration and teaches problem-solving skills as well as how to respond properly. </w:t>
      </w:r>
    </w:p>
    <w:p xmlns:wp14="http://schemas.microsoft.com/office/word/2010/wordml" w14:paraId="5896903F" wp14:textId="20D7C6F3">
      <w:r w:rsidRPr="0FB2DFA1" w:rsidR="1C0326BD">
        <w:rPr>
          <w:rFonts w:ascii="Calibri" w:hAnsi="Calibri" w:eastAsia="Calibri" w:cs="Calibri"/>
          <w:noProof w:val="0"/>
          <w:color w:val="0E101A"/>
          <w:sz w:val="22"/>
          <w:szCs w:val="22"/>
          <w:lang w:val="en-US"/>
        </w:rPr>
        <w:t xml:space="preserve">The second type of play that would be looked at is Constructive play, this is manipulating objects and materials to build or create something, such as blocks and construction kits, as well as playdough, trash and collage materials, loose components, sand, and water (woods, 2003). Because children like constructing props to support their play and playing with what they have made, several types of constructive play can be integrated with socio-dramatic and dramatic play. Exploration and discovery, tactile stimulation, problem-solving, social connection, involvement and focus, awareness of activities and outcomes are all part of constructive play (Woods,2003). Children use a variety of content to express their thoughts, knowledge, and interests, including layouts, buildings, blueprints, drawings, sculptures, and collages. Constructive play may be expanded to include challenge and development in outdoor settings. Children can engage with larger, heavier things such as old Tyres, planks, and blocks of wood, boxes, and plastic pipes if they have access to </w:t>
      </w:r>
      <w:bookmarkStart w:name="_Int_wuzC43Po" w:id="731297487"/>
      <w:r w:rsidRPr="0FB2DFA1" w:rsidR="1C0326BD">
        <w:rPr>
          <w:rFonts w:ascii="Calibri" w:hAnsi="Calibri" w:eastAsia="Calibri" w:cs="Calibri"/>
          <w:noProof w:val="0"/>
          <w:color w:val="0E101A"/>
          <w:sz w:val="22"/>
          <w:szCs w:val="22"/>
          <w:lang w:val="en-US"/>
        </w:rPr>
        <w:t>loose</w:t>
      </w:r>
      <w:bookmarkEnd w:id="731297487"/>
      <w:r w:rsidRPr="0FB2DFA1" w:rsidR="1C0326BD">
        <w:rPr>
          <w:rFonts w:ascii="Calibri" w:hAnsi="Calibri" w:eastAsia="Calibri" w:cs="Calibri"/>
          <w:noProof w:val="0"/>
          <w:color w:val="0E101A"/>
          <w:sz w:val="22"/>
          <w:szCs w:val="22"/>
          <w:lang w:val="en-US"/>
        </w:rPr>
        <w:t xml:space="preserve"> portions (Broadhead and Burt, 2012; Brown, 2003). Lifting, hauling, and sorting items, as well as building dens, are examples of cooperative play with loose components (Moore,2010). By allowing children to regulate their surroundings, constructive play enables children to be flexible thinkers, and </w:t>
      </w:r>
      <w:r w:rsidRPr="0FB2DFA1" w:rsidR="1C0326BD">
        <w:rPr>
          <w:rFonts w:ascii="Calibri" w:hAnsi="Calibri" w:eastAsia="Calibri" w:cs="Calibri"/>
          <w:noProof w:val="0"/>
          <w:color w:val="0E101A"/>
          <w:sz w:val="22"/>
          <w:szCs w:val="22"/>
          <w:lang w:val="en-US"/>
        </w:rPr>
        <w:t>enhances</w:t>
      </w:r>
      <w:r w:rsidRPr="0FB2DFA1" w:rsidR="1C0326BD">
        <w:rPr>
          <w:rFonts w:ascii="Calibri" w:hAnsi="Calibri" w:eastAsia="Calibri" w:cs="Calibri"/>
          <w:noProof w:val="0"/>
          <w:color w:val="0E101A"/>
          <w:sz w:val="22"/>
          <w:szCs w:val="22"/>
          <w:lang w:val="en-US"/>
        </w:rPr>
        <w:t xml:space="preserve"> their motor skills (Bruner,1972) and </w:t>
      </w:r>
      <w:r w:rsidRPr="0FB2DFA1" w:rsidR="1C0326BD">
        <w:rPr>
          <w:rFonts w:ascii="Calibri" w:hAnsi="Calibri" w:eastAsia="Calibri" w:cs="Calibri"/>
          <w:noProof w:val="0"/>
          <w:color w:val="0E101A"/>
          <w:sz w:val="22"/>
          <w:szCs w:val="22"/>
          <w:lang w:val="en-US"/>
        </w:rPr>
        <w:t>creates</w:t>
      </w:r>
      <w:r w:rsidRPr="0FB2DFA1" w:rsidR="1C0326BD">
        <w:rPr>
          <w:rFonts w:ascii="Calibri" w:hAnsi="Calibri" w:eastAsia="Calibri" w:cs="Calibri"/>
          <w:noProof w:val="0"/>
          <w:color w:val="0E101A"/>
          <w:sz w:val="22"/>
          <w:szCs w:val="22"/>
          <w:lang w:val="en-US"/>
        </w:rPr>
        <w:t xml:space="preserve"> a sense of control and self-esteem (Chaille,2008). Practitioners must grasp the significance of constructive play to promote it in practice for young children. </w:t>
      </w:r>
      <w:r w:rsidRPr="0FB2DFA1" w:rsidR="1C0326BD">
        <w:rPr>
          <w:rFonts w:ascii="Calibri" w:hAnsi="Calibri" w:eastAsia="Calibri" w:cs="Calibri"/>
          <w:noProof w:val="0"/>
          <w:color w:val="0E101A"/>
          <w:sz w:val="22"/>
          <w:szCs w:val="22"/>
          <w:lang w:val="en-US"/>
        </w:rPr>
        <w:t xml:space="preserve">To do so, practitioners must first </w:t>
      </w:r>
      <w:r w:rsidRPr="0FB2DFA1" w:rsidR="1C0326BD">
        <w:rPr>
          <w:rFonts w:ascii="Calibri" w:hAnsi="Calibri" w:eastAsia="Calibri" w:cs="Calibri"/>
          <w:noProof w:val="0"/>
          <w:color w:val="0E101A"/>
          <w:sz w:val="22"/>
          <w:szCs w:val="22"/>
          <w:lang w:val="en-US"/>
        </w:rPr>
        <w:t>provide</w:t>
      </w:r>
      <w:r w:rsidRPr="0FB2DFA1" w:rsidR="1C0326BD">
        <w:rPr>
          <w:rFonts w:ascii="Calibri" w:hAnsi="Calibri" w:eastAsia="Calibri" w:cs="Calibri"/>
          <w:noProof w:val="0"/>
          <w:color w:val="0E101A"/>
          <w:sz w:val="22"/>
          <w:szCs w:val="22"/>
          <w:lang w:val="en-US"/>
        </w:rPr>
        <w:t xml:space="preserve"> a diverse range of exciting items, such as: </w:t>
      </w:r>
    </w:p>
    <w:p xmlns:wp14="http://schemas.microsoft.com/office/word/2010/wordml" w:rsidP="1C0326BD" w14:paraId="46022D5C" wp14:textId="3B9292BE">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Sand and sand toys </w:t>
      </w:r>
    </w:p>
    <w:p xmlns:wp14="http://schemas.microsoft.com/office/word/2010/wordml" w:rsidP="1C0326BD" w14:paraId="112DBB94" wp14:textId="6D291D5E">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a wide range of puzzles </w:t>
      </w:r>
    </w:p>
    <w:p xmlns:wp14="http://schemas.microsoft.com/office/word/2010/wordml" w:rsidP="1C0326BD" w14:paraId="67EB3EFD" wp14:textId="32D921ED">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1C0326BD" w:rsidR="1C0326BD">
        <w:rPr>
          <w:rFonts w:ascii="Calibri" w:hAnsi="Calibri" w:eastAsia="Calibri" w:cs="Calibri"/>
          <w:noProof w:val="0"/>
          <w:color w:val="0E101A"/>
          <w:sz w:val="22"/>
          <w:szCs w:val="22"/>
          <w:lang w:val="en-US"/>
        </w:rPr>
        <w:t xml:space="preserve">Clay, playdough  </w:t>
      </w:r>
    </w:p>
    <w:p xmlns:wp14="http://schemas.microsoft.com/office/word/2010/wordml" w:rsidP="0FB2DFA1" w14:paraId="37D54C0C" wp14:textId="120C9A08">
      <w:pPr>
        <w:pStyle w:val="ListParagraph"/>
        <w:numPr>
          <w:ilvl w:val="0"/>
          <w:numId w:val="3"/>
        </w:numPr>
        <w:rPr>
          <w:rFonts w:ascii="Calibri" w:hAnsi="Calibri" w:eastAsia="Calibri" w:cs="Calibri" w:asciiTheme="minorAscii" w:hAnsiTheme="minorAscii" w:eastAsiaTheme="minorAscii" w:cstheme="minorAscii"/>
          <w:noProof w:val="0"/>
          <w:color w:val="0E101A"/>
          <w:sz w:val="22"/>
          <w:szCs w:val="22"/>
          <w:lang w:val="en-US"/>
        </w:rPr>
      </w:pPr>
      <w:r w:rsidRPr="0FB2DFA1" w:rsidR="1C0326BD">
        <w:rPr>
          <w:rFonts w:ascii="Calibri" w:hAnsi="Calibri" w:eastAsia="Calibri" w:cs="Calibri"/>
          <w:noProof w:val="0"/>
          <w:color w:val="0E101A"/>
          <w:sz w:val="22"/>
          <w:szCs w:val="22"/>
          <w:lang w:val="en-US"/>
        </w:rPr>
        <w:t>A place to work with wood</w:t>
      </w:r>
    </w:p>
    <w:p w:rsidR="0FB2DFA1" w:rsidP="0FB2DFA1" w:rsidRDefault="0FB2DFA1" w14:paraId="11653700" w14:textId="4A16F7C5">
      <w:pPr>
        <w:pStyle w:val="Normal"/>
        <w:ind w:left="0"/>
        <w:rPr>
          <w:rFonts w:ascii="Calibri" w:hAnsi="Calibri" w:eastAsia="Calibri" w:cs="Calibri" w:asciiTheme="minorAscii" w:hAnsiTheme="minorAscii" w:eastAsiaTheme="minorAscii" w:cstheme="minorAscii"/>
          <w:noProof w:val="0"/>
          <w:color w:val="0E101A"/>
          <w:sz w:val="22"/>
          <w:szCs w:val="22"/>
          <w:lang w:val="en-US"/>
        </w:rPr>
      </w:pPr>
    </w:p>
    <w:p w:rsidR="0FB2DFA1" w:rsidP="0FB2DFA1" w:rsidRDefault="0FB2DFA1" w14:paraId="001677BF" w14:textId="28E0E8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Section 2</w:t>
      </w:r>
    </w:p>
    <w:p w:rsidR="0FB2DFA1" w:rsidP="0FB2DFA1" w:rsidRDefault="0FB2DFA1" w14:paraId="1A6915FA" w14:textId="3EDD9F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Why is it important for children to choose their own play? and importance of the role of adults in children’s play</w:t>
      </w:r>
    </w:p>
    <w:p w:rsidR="0FB2DFA1" w:rsidP="0FB2DFA1" w:rsidRDefault="0FB2DFA1" w14:paraId="408D5058" w14:textId="0BE6EDA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What is Self-directed play?</w:t>
      </w:r>
    </w:p>
    <w:p w:rsidR="0FB2DFA1" w:rsidP="0FB2DFA1" w:rsidRDefault="0FB2DFA1" w14:paraId="2092E069" w14:textId="035A18A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Allowing children to play without an enforced framework, on their own, and without adult intervention is known as self-directed play. It is characterized by play, which is defined as: freely chosen - by deciding and managing the content and aim of their play. Personal Direction- by following their own instincts, thoughts, and interests Intrinsically Motivated- by playing for their own reasons (PPSG 2005). The value of free play has been extensively investigated. Participation in Free Play is vital for all children. It is vital to their development starting in their early years and continuing through the Key Stages. Children have the freedom to choose what they want to do, how they want to do it, and when they want to quit and try something new. Adults do not set external goals for free play, and there is no adult-imposed curriculum. Although adults may give space and resources for free play and may participate, the kid takes the lead and adults respond to the child's cues’ (Juster, 2015). The notion of choice is vital when it comes to Free Play. This is not to say that there should not be any boundaries. Required limits must be handled while keeping in mind primarily the necessity of allowing children to choose their own play and ensuring that this is possible (Gray, 2013). </w:t>
      </w:r>
    </w:p>
    <w:p w:rsidR="0FB2DFA1" w:rsidP="0FB2DFA1" w:rsidRDefault="0FB2DFA1" w14:paraId="7E853E68" w14:textId="5A464F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"Play is children's work," declared Maria Montessori. It is crucial to remember that when it comes to children's play, practitioners may play two distinct roles: supporting and leading or controlling, and only one of them is helpful to the child. Practitioners who manage, guide, or take over a child's play are breaching the child's core principles of self-chosen and self-directed play. When children are not allowed to freely explore, the experience loses its significance, Instead, if practitioners support a child's experiences by being there and involved but without taking over, they may build themselves up, participate in learning and exploration, and practitioners can assist expand and deepen their experiences (</w:t>
      </w: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Rymanowicz, 2015)</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 "Learning and developing through play" section of the Early Childhood Curriculum Framework recognizes the following three levels of adult play assistance. </w:t>
      </w:r>
    </w:p>
    <w:p w:rsidR="0FB2DFA1" w:rsidP="0FB2DFA1" w:rsidRDefault="0FB2DFA1" w14:paraId="360AA2ED" w14:textId="1BA32C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1. Planning for play</w:t>
      </w:r>
    </w:p>
    <w:p w:rsidR="0FB2DFA1" w:rsidP="0FB2DFA1" w:rsidRDefault="0FB2DFA1" w14:paraId="4A549AC9" w14:textId="6B62CE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Observing the surroundings and the structure, practitioners may improve a child's regular play and help them be successful and independent by structuring a setting (either indoors or outdoors) depending on their skills, talents, and requirements. Extending and constructing Challenge a child's current knowledge or comprehension by providing chances or resources that build on what they have learned so far. Allowing children to make their own decisions not only empowers them, but also allows them to direct their own learning experiences based on their interests and talents.</w:t>
      </w:r>
    </w:p>
    <w:p w:rsidR="0FB2DFA1" w:rsidP="0FB2DFA1" w:rsidRDefault="0FB2DFA1" w14:paraId="2B93EC36" w14:textId="363495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2. Supporting play</w:t>
      </w:r>
    </w:p>
    <w:p w:rsidR="0FB2DFA1" w:rsidP="0FB2DFA1" w:rsidRDefault="0FB2DFA1" w14:paraId="7DE3C274" w14:textId="29EE55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Practitioners may broaden a child's present knowledge and help them establish new connections by actively participating in play when they are invited. This can be accomplished through demonstrating good interactions or behaviors. Keeping issues at bay. Adults who are actively participating in the play process are better positioned to intervene if a scenario occurs in which a child may require assistance, whether it be an interpersonal dispute, a problem, or a safety risk. It is also vital to keep in mind that children require opportunities to practice problem solving and conflict resolution on their own. Allow plenty of opportunity for children to practice these skills on their own, and only intervene if required, also When practitioners are routinely involved in children's play, they can function as a bridge to assist children to feel at ease and start participating in play.</w:t>
      </w:r>
    </w:p>
    <w:p w:rsidR="0FB2DFA1" w:rsidP="0FB2DFA1" w:rsidRDefault="0FB2DFA1" w14:paraId="26069BDE" w14:textId="769FBD3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3. Reviewing play</w:t>
      </w:r>
    </w:p>
    <w:p w:rsidR="0FB2DFA1" w:rsidP="0FB2DFA1" w:rsidRDefault="0FB2DFA1" w14:paraId="7975DCFC" w14:textId="298CEFF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It is critical to observe the space and have a space that is well suited for a child's play. The adult can think of ways to improve the area by considering how it affected the child's play. By observing and interacting with children during play, the practitioner can truly get to know them. The practitioner can assess a child's growth by reflecting critically on their interests, interactions, connections, and preferences because of those experiences. </w:t>
      </w:r>
    </w:p>
    <w:p w:rsidR="0FB2DFA1" w:rsidP="0FB2DFA1" w:rsidRDefault="0FB2DFA1" w14:paraId="34FEB00B" w14:textId="1E36AA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Drawing on Howard and McInnes' article on children's perceptions of play, it is shown that when children perceive an activity as "non-play" where adults are in charge, they become less engaged and feel forced to participate, whereas when they are given the option to play, they are motivated and willingly participate. (2012)</w:t>
      </w:r>
    </w:p>
    <w:p w:rsidR="0FB2DFA1" w:rsidP="0FB2DFA1" w:rsidRDefault="0FB2DFA1" w14:paraId="550B2B61" w14:textId="3480D1BD">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96C070E" w14:textId="5C52BE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SECTION 3</w:t>
      </w:r>
      <w:r w:rsidRPr="0FB2DFA1" w:rsidR="0FB2DFA1">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p>
    <w:p w:rsidR="0FB2DFA1" w:rsidP="0FB2DFA1" w:rsidRDefault="0FB2DFA1" w14:paraId="2BE7DC07" w14:textId="4C75833B">
      <w:pPr>
        <w:spacing w:line="216" w:lineRule="auto"/>
        <w:rPr>
          <w:rFonts w:ascii="Times New Roman" w:hAnsi="Times New Roman" w:eastAsia="Times New Roman" w:cs="Times New Roman"/>
          <w:b w:val="1"/>
          <w:bCs w:val="1"/>
          <w:noProof w:val="0"/>
          <w:color w:val="auto"/>
          <w:sz w:val="22"/>
          <w:szCs w:val="22"/>
          <w:lang w:val="en-US"/>
        </w:rPr>
      </w:pPr>
      <w:r w:rsidRPr="0FB2DFA1" w:rsidR="0FB2DFA1">
        <w:rPr>
          <w:rFonts w:ascii="Times New Roman" w:hAnsi="Times New Roman" w:eastAsia="Times New Roman" w:cs="Times New Roman"/>
          <w:b w:val="1"/>
          <w:bCs w:val="1"/>
          <w:noProof w:val="0"/>
          <w:color w:val="auto"/>
          <w:sz w:val="22"/>
          <w:szCs w:val="22"/>
          <w:lang w:val="en-US"/>
        </w:rPr>
        <w:t>In-depth discussion and understanding of an observation method for young children.</w:t>
      </w:r>
    </w:p>
    <w:p w:rsidR="0FB2DFA1" w:rsidP="0FB2DFA1" w:rsidRDefault="0FB2DFA1" w14:paraId="02543454" w14:textId="6DF4B14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The Leuven scale is a five-point scale used by childcare professionals, nursery practitioners, and teachers to assess a child's emotional well-being and participation. In the early years, the concept of emotional well-being and involvement is especially significant since it protects a child's emotional development while also fostering engagement for learning growth (Laevers, 2005).</w:t>
      </w:r>
    </w:p>
    <w:p w:rsidR="0FB2DFA1" w:rsidP="0FB2DFA1" w:rsidRDefault="0FB2DFA1" w14:paraId="4F5BACC7" w14:textId="3956177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The Leuven scale for emotional well-being</w:t>
      </w:r>
      <w:r w:rsidRPr="0FB2DFA1" w:rsidR="0FB2DFA1">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p>
    <w:p w:rsidR="0FB2DFA1" w:rsidP="0FB2DFA1" w:rsidRDefault="0FB2DFA1" w14:paraId="234BAB00" w14:textId="494561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Children's emotional well-being is very crucial. Children who are secure in their surroundings are more likely to learn and develop in a healthy manner. It is critical to create an atmosphere in which children feel joyful, protected, and supported. The Leuven scale for emotional well-being has five points, with one representing an exceptionally low level of emotional well-being and five being the highest level of emotional well-being a child may achieve. The scale has various qualities that can determine which portion of the scale a child is in, and it goes like this (Northumberland early years,2017): </w:t>
      </w:r>
    </w:p>
    <w:p w:rsidR="0FB2DFA1" w:rsidP="0FB2DFA1" w:rsidRDefault="0FB2DFA1" w14:paraId="11EB449A" w14:textId="1884115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1. Extremely low: The child screams or cries in response to his or her distress. Children in this category may appear fearful, distant, or withdrawn.</w:t>
      </w:r>
    </w:p>
    <w:p w:rsidR="0FB2DFA1" w:rsidP="0FB2DFA1" w:rsidRDefault="0FB2DFA1" w14:paraId="3F5D687E" w14:textId="2724BC7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 Low: The child's posture may be slouched, and he or she may seem anxious. </w:t>
      </w:r>
    </w:p>
    <w:p w:rsidR="0FB2DFA1" w:rsidP="0FB2DFA1" w:rsidRDefault="0FB2DFA1" w14:paraId="1D5E87BB" w14:textId="6E7EFD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3. Moderate: The child's temperament and facial expression are neutral. They do not appear to be in any discomfort, joy, comfort, or grief, as seen by their expression and posture.</w:t>
      </w:r>
    </w:p>
    <w:p w:rsidR="0FB2DFA1" w:rsidP="0FB2DFA1" w:rsidRDefault="0FB2DFA1" w14:paraId="410B4104" w14:textId="1A196D7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4. High: The child exhibits evidence of contentment, joy, and pleasure.</w:t>
      </w:r>
    </w:p>
    <w:p w:rsidR="0FB2DFA1" w:rsidP="0FB2DFA1" w:rsidRDefault="0FB2DFA1" w14:paraId="51A31D28" w14:textId="68F969F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5. Extremely high: The child is self-assured, happy, and active, with no evidence of strain or stress. These children may sing, hum, chat to themselves, and look at ease in their own company. Their actions are expressive and unscripted.</w:t>
      </w:r>
    </w:p>
    <w:p w:rsidR="0FB2DFA1" w:rsidP="0FB2DFA1" w:rsidRDefault="0FB2DFA1" w14:paraId="66E65499" w14:textId="368457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B2DFA1" w:rsidP="0FB2DFA1" w:rsidRDefault="0FB2DFA1" w14:paraId="3F92D69A" w14:textId="5E79595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The Leuven scale levels of involvement</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used to assess a child's level of participation in a task. Although it often goes hand in hand with their emotional well-being, the degrees of engagement on the Leuven scale are similarly numbered from 1 to 5, and they follow the same pattern as the emotional well-being scale (Northumberland early years,2017).</w:t>
      </w:r>
    </w:p>
    <w:p w:rsidR="0FB2DFA1" w:rsidP="0FB2DFA1" w:rsidRDefault="0FB2DFA1" w14:paraId="25FFAF59" w14:textId="591CBAE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1.Extremely low: The child may display signs of attention deficit and a lack of strength. </w:t>
      </w:r>
    </w:p>
    <w:p w:rsidR="0FB2DFA1" w:rsidP="0FB2DFA1" w:rsidRDefault="0FB2DFA1" w14:paraId="124F57D8" w14:textId="23273D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2. Low: Distraction is easy for the child. These children may pay attention to a task while being observed, but then go through periods of absent-mindedness, staring blankly around them.</w:t>
      </w:r>
    </w:p>
    <w:p w:rsidR="0FB2DFA1" w:rsidP="0FB2DFA1" w:rsidRDefault="0FB2DFA1" w14:paraId="19F43154" w14:textId="3E3C598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3. Moderate: The child may appear to be engaged in some activity, but only in a casual manner. </w:t>
      </w:r>
    </w:p>
    <w:p w:rsidR="0FB2DFA1" w:rsidP="0FB2DFA1" w:rsidRDefault="0FB2DFA1" w14:paraId="581D0721" w14:textId="7BB750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4. High: The child does not appear to be easily distracted and appears to be completely absorbed in what he or she is doing.</w:t>
      </w:r>
    </w:p>
    <w:p w:rsidR="0FB2DFA1" w:rsidP="0FB2DFA1" w:rsidRDefault="0FB2DFA1" w14:paraId="3B4D5FF5" w14:textId="247B86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5. Extremely high: The child engages in vigorous activity on a regular basis and is fully engaged. These children are creative, persistent, concentrated, and energetic the whole time they are being observed.</w:t>
      </w:r>
    </w:p>
    <w:p w:rsidR="0FB2DFA1" w:rsidP="0FB2DFA1" w:rsidRDefault="0FB2DFA1" w14:paraId="773B53EE" w14:textId="1A16F09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Practitioners should observe newborns and children for two minutes in groups or individually, then provide a score based on their contentment and involvement. If children are found to be functioning at a score of less than 4 or 5, learning will be hampered (Arnerich,2021). Evaluating how well practitioners tune in to children's levels of well-being and involvement, as well as how sensitively they respond to low levels, is still important. Even a small amount of enjoyment or interest may be turned into a learning opportunity that leads to bigger levels of happiness or interest. The first observation serves as a springboard for additional investigation, with a focus on children who exhibit lower levels of well-being and participation. This study assists practitioners in reflecting on the quality of their services, as well as offering some guidance on how to best help specific children (HMIE,2012). When high-quality provision and interactions enable children to display better levels of well-being and participation more regularly, measuring children's levels of wellbeing and involvement may also encourage and motivate practitioners. The fact that The Leuven Scale is observation-based and places the child at the center of their own learning is one of its key advantages. Although not perfect, the Leuven Scale is one of the most effective ways to quantify and assess children's learning and engagement since it gives a science-based teaching and learning tool that is also easy to use. The Leuven scale has a flaw in that it does not account for children with specific educational needs or impairments. In SEND children, especially nonverbal children, the behaviors mentioned in the scale are often not present or as prominent. This flaw may also be extended to cultural differences in children's behavior, and it suffers from many of the same flaws as John Bowlby's attachment theory– that is, children behave differently in various cultures.</w:t>
      </w:r>
    </w:p>
    <w:p w:rsidR="0FB2DFA1" w:rsidP="0FB2DFA1" w:rsidRDefault="0FB2DFA1" w14:paraId="4BF71CEA" w14:textId="20A4004A">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F09669B" w14:textId="13AEA6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US"/>
        </w:rPr>
        <w:t>Section 4</w:t>
      </w:r>
    </w:p>
    <w:p w:rsidR="0FB2DFA1" w:rsidP="0FB2DFA1" w:rsidRDefault="0FB2DFA1" w14:paraId="2D36CBD5" w14:textId="21C239AE">
      <w:pPr>
        <w:pStyle w:val="Normal"/>
        <w:spacing w:after="160" w:line="259" w:lineRule="auto"/>
        <w:rPr>
          <w:rFonts w:ascii="Calibri" w:hAnsi="Calibri" w:eastAsia="Calibri" w:cs="Calibri"/>
          <w:b w:val="1"/>
          <w:bCs w:val="1"/>
          <w:noProof w:val="0"/>
          <w:color w:val="auto"/>
          <w:sz w:val="22"/>
          <w:szCs w:val="22"/>
          <w:lang w:val="en-US"/>
        </w:rPr>
      </w:pPr>
      <w:r w:rsidRPr="0FB2DFA1" w:rsidR="0FB2DFA1">
        <w:rPr>
          <w:rFonts w:ascii="Calibri" w:hAnsi="Calibri" w:eastAsia="Calibri" w:cs="Calibri"/>
          <w:b w:val="1"/>
          <w:bCs w:val="1"/>
          <w:noProof w:val="0"/>
          <w:color w:val="auto"/>
          <w:sz w:val="22"/>
          <w:szCs w:val="22"/>
          <w:lang w:val="en-US"/>
        </w:rPr>
        <w:t>Demonstrate an understanding of the role of play when undertaking observations and assessments of children and consider how this affects the child’s engagement and the accuracy of the observation</w:t>
      </w:r>
    </w:p>
    <w:p w:rsidR="0FB2DFA1" w:rsidP="0FB2DFA1" w:rsidRDefault="0FB2DFA1" w14:paraId="57572872" w14:textId="02496F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Children's observations are crucial. Because each child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possesses</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 distinct set of traits and capabilities, observations in various situations are used to record these firsthand. The child is always the beginning point. Adults may learn a lot about children by watching what they do, what their interests are, and who and what resources they love playing with. Children's learning and development can be better understood through observation and evaluation.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It is</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good practice to use observation in this way. The learning of young children may be seen in their play and interaction. Observation also allows teachers to assess children's needs and better plan their next stages in learning. As part of everyday procedures, observations are made on a regular basis (Early years matter, 2012). The care of babies and young children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necessitates</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vigilant practitioners who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demonstrate</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compassion and respect, as well as an understanding of and response to their needs, resulting in deep reciprocal interactions (Petrie and Owen 2005). Children's play is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observed</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by practitioners for a variety of reasons.</w:t>
      </w:r>
    </w:p>
    <w:p w:rsidR="0FB2DFA1" w:rsidP="0FB2DFA1" w:rsidRDefault="0FB2DFA1" w14:paraId="62993A60" w14:textId="509BB9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To gain a better understanding of what each child knows and can do.</w:t>
      </w:r>
    </w:p>
    <w:p w:rsidR="0FB2DFA1" w:rsidP="0FB2DFA1" w:rsidRDefault="0FB2DFA1" w14:paraId="744FE591" w14:textId="5B5411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To have a better understanding of individual children's interests and learning styles so that practitioners can effectively assist their learning and development.</w:t>
      </w:r>
    </w:p>
    <w:p w:rsidR="0FB2DFA1" w:rsidP="0FB2DFA1" w:rsidRDefault="0FB2DFA1" w14:paraId="2CD1CE85" w14:textId="5D6686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To aid in the overall planning and delivering of services.</w:t>
      </w:r>
    </w:p>
    <w:p w:rsidR="0FB2DFA1" w:rsidP="0FB2DFA1" w:rsidRDefault="0FB2DFA1" w14:paraId="4853953E" w14:textId="4D534F2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When it comes to educating children, the greatest place to start is with what they already know and can do. This may be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established</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by paying close attention to children when they are playing. Careful observation and evaluation will show practitioners what information, skills, and aptitudes children now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possess</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and, as a result, what is </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required</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to promote their learning and development further (Hobart and Frankel, 2004). The best way to encourage children's learning and development is to ensure that both planned, and child-initiated learning opportunities are closely aligned to their needs; both to meet their existing needs and interests, as well as to</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provid</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 opportunities for them to</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participat</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 in activities and experiences that extend their learning. Through careful analysis of the children's needs and interests reflected in the provision, observation should influence this approach. Observing children's play and learning is a great approach to broaden professional horizons. Children never cease to amaze. We will lose out on so much of the complexity of children's play if we confine our observations to gathering data to measure them against developmental norms and predefined criteria. If we choose to</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observ</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 just those elements of learning that we approve of, we will miss the opportunity to see more of the picture, to learn more about learning; there is always more to learn and more to see, as Drummond (1993) puts it. Practitioners can learn a lot from children if they pay attention and are willing to see what children know and can do. Practitioners may see things that contradict their expectations about individual children and/or expected developmental progress and stages; children may</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observ</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 things that practitioners need to think about and reflect on to understand exactly what was going on; All of this adds to professional knowledge and skill set, allowing practitioners to have a deeper grasp of young children's learning and development (Papatheodorou and Luff, 2012). When children's play is</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observe</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 and assessed properly, it is done with compassion, acknowledging that the goal of monitoring children's learning is to perceive each child as a person with unique talents and needs. Every child will have a unique set of experiences when they enter a situation (Papatheodorou and Luff, 2012). These encounters will have had a direct influence on their learning and growth. Some children's experiences will have</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assiste</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 their learning and growth, and they will have age-appropriate information, skills, and aptitudes. Other children's experiences will</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determin</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 that they will need more time and opportunity to develop and learn in their surroundings before reaching developmental milestones (Palaiologou, 2012). The Early Years Foundation Stage (DFE, 2012) mandates that most assessments of children's abilities and needs be done through observation. Ongoing evaluation is an important aspect of the learning and development process, according to the document. It entails practitioners studying children to</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determin</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 their level of accomplishment, interests, and learning styles, and then tailoring learning experiences for each kid based on those observations. (Source: DFE, 2012, p.10). Practitioners are prone to</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observin</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 just what is</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immediatel</w:t>
      </w:r>
      <w:r w:rsidRPr="0FB2DFA1" w:rsidR="0FB2DFA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 observable, such as what children say and do. This is obviously a vital feature of observation, but other parts of who children are, such as their feelings, ideas, attitudes, and dispositions, are also significant (Smidt, 2005).</w:t>
      </w:r>
    </w:p>
    <w:p w:rsidR="0FB2DFA1" w:rsidP="0FB2DFA1" w:rsidRDefault="0FB2DFA1" w14:paraId="00EED383" w14:textId="39548DA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18BBC4DB" w14:textId="6E566839">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6874011" w14:textId="3AB56164">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EB8D66E" w14:textId="3E5AB4B9">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101E9AD" w14:textId="49162205">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521BC9C" w14:textId="0B7C7F6D">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2EA8862A" w14:textId="508789A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26C2387B" w14:textId="7024B1A0">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4E565774" w14:textId="0B2C032A">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06A4A43C" w14:textId="3BA5326F">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5277EEAB" w14:textId="5B77B37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175C283" w14:textId="620119C8">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60DEC418" w14:textId="5E6269A4">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14770BC2" w14:textId="16973452">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r w:rsidRPr="0FB2DFA1" w:rsidR="0FB2DFA1">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t>References</w:t>
      </w:r>
    </w:p>
    <w:p w:rsidR="0FB2DFA1" w:rsidP="0FB2DFA1" w:rsidRDefault="0FB2DFA1" w14:paraId="70ED2337" w14:textId="71F8F923">
      <w:pPr>
        <w:jc w:val="left"/>
      </w:pPr>
      <w:bookmarkStart w:name="_Int_f3Surt6S" w:id="1591107354"/>
      <w:r w:rsidRPr="0FB2DFA1" w:rsidR="0FB2DFA1">
        <w:rPr>
          <w:rFonts w:ascii="Calibri" w:hAnsi="Calibri" w:eastAsia="Calibri" w:cs="Calibri"/>
          <w:b w:val="0"/>
          <w:bCs w:val="0"/>
          <w:i w:val="0"/>
          <w:iCs w:val="0"/>
          <w:caps w:val="0"/>
          <w:smallCaps w:val="0"/>
          <w:noProof w:val="0"/>
          <w:color w:val="212529"/>
          <w:sz w:val="24"/>
          <w:szCs w:val="24"/>
          <w:lang w:val="en-US"/>
        </w:rPr>
        <w:t>Bruce, T. (1991) ‘</w:t>
      </w:r>
      <w:r w:rsidRPr="0FB2DFA1" w:rsidR="0FB2DFA1">
        <w:rPr>
          <w:rFonts w:ascii="Calibri" w:hAnsi="Calibri" w:eastAsia="Calibri" w:cs="Calibri"/>
          <w:b w:val="0"/>
          <w:bCs w:val="0"/>
          <w:i w:val="1"/>
          <w:iCs w:val="1"/>
          <w:caps w:val="0"/>
          <w:smallCaps w:val="0"/>
          <w:noProof w:val="0"/>
          <w:color w:val="212529"/>
          <w:sz w:val="24"/>
          <w:szCs w:val="24"/>
          <w:lang w:val="en-US"/>
        </w:rPr>
        <w:t>Time to Play in Early Childhood Education.</w:t>
      </w:r>
      <w:bookmarkEnd w:id="1591107354"/>
      <w:r w:rsidRPr="0FB2DFA1" w:rsidR="0FB2DFA1">
        <w:rPr>
          <w:rFonts w:ascii="Calibri" w:hAnsi="Calibri" w:eastAsia="Calibri" w:cs="Calibri"/>
          <w:b w:val="0"/>
          <w:bCs w:val="0"/>
          <w:i w:val="1"/>
          <w:iCs w:val="1"/>
          <w:caps w:val="0"/>
          <w:smallCaps w:val="0"/>
          <w:noProof w:val="0"/>
          <w:color w:val="212529"/>
          <w:sz w:val="24"/>
          <w:szCs w:val="24"/>
          <w:lang w:val="en-US"/>
        </w:rPr>
        <w:t xml:space="preserve"> ‘London</w:t>
      </w:r>
      <w:r w:rsidRPr="0FB2DFA1" w:rsidR="0FB2DFA1">
        <w:rPr>
          <w:rFonts w:ascii="Calibri" w:hAnsi="Calibri" w:eastAsia="Calibri" w:cs="Calibri"/>
          <w:b w:val="0"/>
          <w:bCs w:val="0"/>
          <w:i w:val="0"/>
          <w:iCs w:val="0"/>
          <w:caps w:val="0"/>
          <w:smallCaps w:val="0"/>
          <w:noProof w:val="0"/>
          <w:color w:val="212529"/>
          <w:sz w:val="24"/>
          <w:szCs w:val="24"/>
          <w:lang w:val="en-US"/>
        </w:rPr>
        <w:t>: Hodder &amp; Stoughton</w:t>
      </w:r>
    </w:p>
    <w:p w:rsidR="0FB2DFA1" w:rsidP="0FB2DFA1" w:rsidRDefault="0FB2DFA1" w14:paraId="2D9BAB72" w14:textId="6FCD7B6D">
      <w:pPr>
        <w:jc w:val="left"/>
      </w:pPr>
      <w:r w:rsidRPr="0FB2DFA1" w:rsidR="0FB2DFA1">
        <w:rPr>
          <w:rFonts w:ascii="Calibri" w:hAnsi="Calibri" w:eastAsia="Calibri" w:cs="Calibri"/>
          <w:b w:val="0"/>
          <w:bCs w:val="0"/>
          <w:i w:val="0"/>
          <w:iCs w:val="0"/>
          <w:caps w:val="0"/>
          <w:smallCaps w:val="0"/>
          <w:noProof w:val="0"/>
          <w:color w:val="212529"/>
          <w:sz w:val="24"/>
          <w:szCs w:val="24"/>
          <w:lang w:val="en-US"/>
        </w:rPr>
        <w:t>Bruce, T. (1996) ‘</w:t>
      </w:r>
      <w:r w:rsidRPr="0FB2DFA1" w:rsidR="0FB2DFA1">
        <w:rPr>
          <w:rFonts w:ascii="Calibri" w:hAnsi="Calibri" w:eastAsia="Calibri" w:cs="Calibri"/>
          <w:b w:val="0"/>
          <w:bCs w:val="0"/>
          <w:i w:val="1"/>
          <w:iCs w:val="1"/>
          <w:caps w:val="0"/>
          <w:smallCaps w:val="0"/>
          <w:noProof w:val="0"/>
          <w:color w:val="212529"/>
          <w:sz w:val="24"/>
          <w:szCs w:val="24"/>
          <w:lang w:val="en-US"/>
        </w:rPr>
        <w:t>Helping Young Children to Play</w:t>
      </w:r>
      <w:r w:rsidRPr="0FB2DFA1" w:rsidR="0FB2DFA1">
        <w:rPr>
          <w:rFonts w:ascii="Calibri" w:hAnsi="Calibri" w:eastAsia="Calibri" w:cs="Calibri"/>
          <w:b w:val="0"/>
          <w:bCs w:val="0"/>
          <w:i w:val="0"/>
          <w:iCs w:val="0"/>
          <w:caps w:val="0"/>
          <w:smallCaps w:val="0"/>
          <w:noProof w:val="0"/>
          <w:color w:val="212529"/>
          <w:sz w:val="24"/>
          <w:szCs w:val="24"/>
          <w:lang w:val="en-US"/>
        </w:rPr>
        <w:t>.’ London: Hodder &amp; Stoughton</w:t>
      </w:r>
    </w:p>
    <w:p w:rsidR="0FB2DFA1" w:rsidP="0FB2DFA1" w:rsidRDefault="0FB2DFA1" w14:paraId="2744AD43" w14:textId="3CF3E50E">
      <w:pPr>
        <w:jc w:val="left"/>
      </w:pPr>
      <w:r w:rsidRPr="0FB2DFA1" w:rsidR="0FB2DFA1">
        <w:rPr>
          <w:rFonts w:ascii="Calibri" w:hAnsi="Calibri" w:eastAsia="Calibri" w:cs="Calibri"/>
          <w:b w:val="0"/>
          <w:bCs w:val="0"/>
          <w:i w:val="0"/>
          <w:iCs w:val="0"/>
          <w:caps w:val="0"/>
          <w:smallCaps w:val="0"/>
          <w:noProof w:val="0"/>
          <w:color w:val="212529"/>
          <w:sz w:val="24"/>
          <w:szCs w:val="24"/>
          <w:lang w:val="en-US"/>
        </w:rPr>
        <w:t>Bruce, T. (2004) ‘</w:t>
      </w:r>
      <w:r w:rsidRPr="0FB2DFA1" w:rsidR="0FB2DFA1">
        <w:rPr>
          <w:rFonts w:ascii="Calibri" w:hAnsi="Calibri" w:eastAsia="Calibri" w:cs="Calibri"/>
          <w:b w:val="0"/>
          <w:bCs w:val="0"/>
          <w:i w:val="1"/>
          <w:iCs w:val="1"/>
          <w:caps w:val="0"/>
          <w:smallCaps w:val="0"/>
          <w:noProof w:val="0"/>
          <w:color w:val="212529"/>
          <w:sz w:val="24"/>
          <w:szCs w:val="24"/>
          <w:lang w:val="en-US"/>
        </w:rPr>
        <w:t>Developing Learning in Early Childhood</w:t>
      </w:r>
      <w:r w:rsidRPr="0FB2DFA1" w:rsidR="0FB2DFA1">
        <w:rPr>
          <w:rFonts w:ascii="Calibri" w:hAnsi="Calibri" w:eastAsia="Calibri" w:cs="Calibri"/>
          <w:b w:val="0"/>
          <w:bCs w:val="0"/>
          <w:i w:val="0"/>
          <w:iCs w:val="0"/>
          <w:caps w:val="0"/>
          <w:smallCaps w:val="0"/>
          <w:noProof w:val="0"/>
          <w:color w:val="212529"/>
          <w:sz w:val="24"/>
          <w:szCs w:val="24"/>
          <w:lang w:val="en-US"/>
        </w:rPr>
        <w:t>.’ London: Sage</w:t>
      </w:r>
    </w:p>
    <w:p w:rsidR="0FB2DFA1" w:rsidP="0FB2DFA1" w:rsidRDefault="0FB2DFA1" w14:paraId="3392AC69" w14:textId="29407B73">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Drummond (1994).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Learning to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see</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assessment through observation</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York, Me.: Stenhouse Publishers.</w:t>
      </w:r>
    </w:p>
    <w:p w:rsidR="0FB2DFA1" w:rsidP="0FB2DFA1" w:rsidRDefault="0FB2DFA1" w14:paraId="4C5A3BEC" w14:textId="27D9CBB5">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Dunn, J. (1993) ‘</w:t>
      </w:r>
      <w:r w:rsidRPr="0FB2DFA1" w:rsidR="0FB2DFA1">
        <w:rPr>
          <w:rFonts w:ascii="Calibri" w:hAnsi="Calibri" w:eastAsia="Calibri" w:cs="Calibri"/>
          <w:b w:val="0"/>
          <w:bCs w:val="0"/>
          <w:i w:val="1"/>
          <w:iCs w:val="1"/>
          <w:caps w:val="0"/>
          <w:smallCaps w:val="0"/>
          <w:noProof w:val="0"/>
          <w:color w:val="212529"/>
          <w:sz w:val="24"/>
          <w:szCs w:val="24"/>
          <w:lang w:val="en-US"/>
        </w:rPr>
        <w:t>Young Children’s Close Relationships: Beyond Attachment</w:t>
      </w:r>
      <w:r w:rsidRPr="0FB2DFA1" w:rsidR="0FB2DFA1">
        <w:rPr>
          <w:rFonts w:ascii="Calibri" w:hAnsi="Calibri" w:eastAsia="Calibri" w:cs="Calibri"/>
          <w:b w:val="0"/>
          <w:bCs w:val="0"/>
          <w:i w:val="0"/>
          <w:iCs w:val="0"/>
          <w:caps w:val="0"/>
          <w:smallCaps w:val="0"/>
          <w:noProof w:val="0"/>
          <w:color w:val="212529"/>
          <w:sz w:val="24"/>
          <w:szCs w:val="24"/>
          <w:lang w:val="en-US"/>
        </w:rPr>
        <w:t>.’ London: Sage</w:t>
      </w:r>
    </w:p>
    <w:p w:rsidR="0FB2DFA1" w:rsidP="0FB2DFA1" w:rsidRDefault="0FB2DFA1" w14:paraId="3472A3EB" w14:textId="064EC119">
      <w:pPr>
        <w:pStyle w:val="Normal"/>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212529"/>
          <w:sz w:val="24"/>
          <w:szCs w:val="24"/>
          <w:lang w:val="en-US"/>
        </w:rPr>
        <w:t>Early years matter (2012)</w:t>
      </w:r>
    </w:p>
    <w:p w:rsidR="0FB2DFA1" w:rsidP="0FB2DFA1" w:rsidRDefault="0FB2DFA1" w14:paraId="19DEBB7B" w14:textId="1957062A">
      <w:pPr>
        <w:pStyle w:val="Normal"/>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212529"/>
          <w:sz w:val="24"/>
          <w:szCs w:val="24"/>
          <w:lang w:val="en-US"/>
        </w:rPr>
        <w:t>Gallahue, D. L., Ozmun, J. C. (1998) ‘</w:t>
      </w:r>
      <w:r w:rsidRPr="0FB2DFA1" w:rsidR="0FB2DFA1">
        <w:rPr>
          <w:rFonts w:ascii="Calibri" w:hAnsi="Calibri" w:eastAsia="Calibri" w:cs="Calibri"/>
          <w:b w:val="0"/>
          <w:bCs w:val="0"/>
          <w:i w:val="1"/>
          <w:iCs w:val="1"/>
          <w:caps w:val="0"/>
          <w:smallCaps w:val="0"/>
          <w:noProof w:val="0"/>
          <w:color w:val="212529"/>
          <w:sz w:val="24"/>
          <w:szCs w:val="24"/>
          <w:lang w:val="en-US"/>
        </w:rPr>
        <w:t>Understanding Motor Development: Infants, Children, Adolescents, Adults</w:t>
      </w:r>
      <w:r w:rsidRPr="0FB2DFA1" w:rsidR="0FB2DFA1">
        <w:rPr>
          <w:rFonts w:ascii="Calibri" w:hAnsi="Calibri" w:eastAsia="Calibri" w:cs="Calibri"/>
          <w:b w:val="0"/>
          <w:bCs w:val="0"/>
          <w:i w:val="0"/>
          <w:iCs w:val="0"/>
          <w:caps w:val="0"/>
          <w:smallCaps w:val="0"/>
          <w:noProof w:val="0"/>
          <w:color w:val="212529"/>
          <w:sz w:val="24"/>
          <w:szCs w:val="24"/>
          <w:lang w:val="en-US"/>
        </w:rPr>
        <w:t>.’ Boston, MA: WCB/McGraw-Hill</w:t>
      </w:r>
    </w:p>
    <w:p w:rsidR="0FB2DFA1" w:rsidP="0FB2DFA1" w:rsidRDefault="0FB2DFA1" w14:paraId="334975BC" w14:textId="40D9D22D">
      <w:pPr>
        <w:pStyle w:val="Normal"/>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212529"/>
          <w:sz w:val="24"/>
          <w:szCs w:val="24"/>
          <w:lang w:val="en-US"/>
        </w:rPr>
        <w:t>Ginsburg, K. R. (2007)</w:t>
      </w:r>
      <w:r w:rsidRPr="0FB2DFA1" w:rsidR="0FB2DFA1">
        <w:rPr>
          <w:rFonts w:ascii="Calibri" w:hAnsi="Calibri" w:eastAsia="Calibri" w:cs="Calibri"/>
          <w:b w:val="0"/>
          <w:bCs w:val="0"/>
          <w:i w:val="1"/>
          <w:iCs w:val="1"/>
          <w:caps w:val="0"/>
          <w:smallCaps w:val="0"/>
          <w:noProof w:val="0"/>
          <w:color w:val="212529"/>
          <w:sz w:val="24"/>
          <w:szCs w:val="24"/>
          <w:lang w:val="en-US"/>
        </w:rPr>
        <w:t xml:space="preserve"> ‘The Importance of Play in Promoting Healthy Child Development and Maintaining Strong Parent Child Bonds.’</w:t>
      </w:r>
      <w:r w:rsidRPr="0FB2DFA1" w:rsidR="0FB2DFA1">
        <w:rPr>
          <w:rFonts w:ascii="Calibri" w:hAnsi="Calibri" w:eastAsia="Calibri" w:cs="Calibri"/>
          <w:b w:val="0"/>
          <w:bCs w:val="0"/>
          <w:i w:val="0"/>
          <w:iCs w:val="0"/>
          <w:caps w:val="0"/>
          <w:smallCaps w:val="0"/>
          <w:noProof w:val="0"/>
          <w:color w:val="212529"/>
          <w:sz w:val="24"/>
          <w:szCs w:val="24"/>
          <w:lang w:val="en-US"/>
        </w:rPr>
        <w:t xml:space="preserve"> </w:t>
      </w:r>
      <w:proofErr w:type="spellStart"/>
      <w:r w:rsidRPr="0FB2DFA1" w:rsidR="0FB2DFA1">
        <w:rPr>
          <w:rFonts w:ascii="Calibri" w:hAnsi="Calibri" w:eastAsia="Calibri" w:cs="Calibri"/>
          <w:b w:val="0"/>
          <w:bCs w:val="0"/>
          <w:i w:val="0"/>
          <w:iCs w:val="0"/>
          <w:caps w:val="0"/>
          <w:smallCaps w:val="0"/>
          <w:noProof w:val="0"/>
          <w:color w:val="212529"/>
          <w:sz w:val="24"/>
          <w:szCs w:val="24"/>
          <w:lang w:val="en-US"/>
        </w:rPr>
        <w:t>Paediatrics</w:t>
      </w:r>
      <w:proofErr w:type="spellEnd"/>
      <w:r w:rsidRPr="0FB2DFA1" w:rsidR="0FB2DFA1">
        <w:rPr>
          <w:rFonts w:ascii="Calibri" w:hAnsi="Calibri" w:eastAsia="Calibri" w:cs="Calibri"/>
          <w:b w:val="0"/>
          <w:bCs w:val="0"/>
          <w:i w:val="0"/>
          <w:iCs w:val="0"/>
          <w:caps w:val="0"/>
          <w:smallCaps w:val="0"/>
          <w:noProof w:val="0"/>
          <w:color w:val="212529"/>
          <w:sz w:val="24"/>
          <w:szCs w:val="24"/>
          <w:lang w:val="en-US"/>
        </w:rPr>
        <w:t xml:space="preserve"> 119 (1), pp. 182 – 191</w:t>
      </w:r>
    </w:p>
    <w:p w:rsidR="0FB2DFA1" w:rsidP="0FB2DFA1" w:rsidRDefault="0FB2DFA1" w14:paraId="3B800662" w14:textId="538E26EC">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Hobart, C. and Frankel, J. (2004).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A practical guide to child observation and assessment</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Cheltenham: S. Thornes.</w:t>
      </w:r>
    </w:p>
    <w:p w:rsidR="0FB2DFA1" w:rsidP="0FB2DFA1" w:rsidRDefault="0FB2DFA1" w14:paraId="2E024965" w14:textId="38B8B23A">
      <w:pPr>
        <w:jc w:val="left"/>
        <w:rPr>
          <w:rFonts w:ascii="Calibri" w:hAnsi="Calibri" w:eastAsia="Calibri" w:cs="Calibri"/>
          <w:b w:val="0"/>
          <w:bCs w:val="0"/>
          <w:i w:val="0"/>
          <w:iCs w:val="0"/>
          <w:caps w:val="0"/>
          <w:smallCaps w:val="0"/>
          <w:noProof w:val="0"/>
          <w:color w:val="212529"/>
          <w:sz w:val="24"/>
          <w:szCs w:val="24"/>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Hughes, B. (2006) ‘</w:t>
      </w:r>
      <w:r w:rsidRPr="0FB2DFA1" w:rsidR="0FB2DFA1">
        <w:rPr>
          <w:rFonts w:ascii="Calibri" w:hAnsi="Calibri" w:eastAsia="Calibri" w:cs="Calibri"/>
          <w:b w:val="0"/>
          <w:bCs w:val="0"/>
          <w:i w:val="1"/>
          <w:iCs w:val="1"/>
          <w:caps w:val="0"/>
          <w:smallCaps w:val="0"/>
          <w:noProof w:val="0"/>
          <w:color w:val="212529"/>
          <w:sz w:val="24"/>
          <w:szCs w:val="24"/>
          <w:lang w:val="en-US"/>
        </w:rPr>
        <w:t>Play types: Speculations and Possibilities</w:t>
      </w:r>
      <w:r w:rsidRPr="0FB2DFA1" w:rsidR="0FB2DFA1">
        <w:rPr>
          <w:rFonts w:ascii="Calibri" w:hAnsi="Calibri" w:eastAsia="Calibri" w:cs="Calibri"/>
          <w:b w:val="0"/>
          <w:bCs w:val="0"/>
          <w:i w:val="0"/>
          <w:iCs w:val="0"/>
          <w:caps w:val="0"/>
          <w:smallCaps w:val="0"/>
          <w:noProof w:val="0"/>
          <w:color w:val="212529"/>
          <w:sz w:val="24"/>
          <w:szCs w:val="24"/>
          <w:lang w:val="en-US"/>
        </w:rPr>
        <w:t>.’ London: London Centre for Playwork Education and Training</w:t>
      </w:r>
    </w:p>
    <w:p w:rsidR="0FB2DFA1" w:rsidP="0FB2DFA1" w:rsidRDefault="0FB2DFA1" w14:paraId="3B054530" w14:textId="73864E67">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Laevers, F and</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Experiential Education Centre (2005).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Observation of well-being and involvement in babies and toddlers.</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Leuven, Belgium: </w:t>
      </w:r>
      <w:proofErr w:type="spellStart"/>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Cego</w:t>
      </w:r>
      <w:proofErr w:type="spellEnd"/>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0FB2DFA1" w:rsidP="0FB2DFA1" w:rsidRDefault="0FB2DFA1" w14:paraId="75392CE6" w14:textId="5B5C77E4">
      <w:pPr>
        <w:jc w:val="left"/>
        <w:rPr>
          <w:rFonts w:ascii="Calibri" w:hAnsi="Calibri" w:eastAsia="Calibri" w:cs="Calibri"/>
          <w:b w:val="0"/>
          <w:bCs w:val="0"/>
          <w:i w:val="0"/>
          <w:iCs w:val="0"/>
          <w:caps w:val="0"/>
          <w:smallCaps w:val="0"/>
          <w:noProof w:val="0"/>
          <w:color w:val="212529"/>
          <w:sz w:val="24"/>
          <w:szCs w:val="24"/>
          <w:lang w:val="en-US"/>
        </w:rPr>
      </w:pPr>
      <w:bookmarkStart w:name="_Int_G1nSUAQ5" w:id="1568010006"/>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Lillemyr, O. F. (2009) ‘</w:t>
      </w:r>
      <w:r w:rsidRPr="0FB2DFA1" w:rsidR="0FB2DFA1">
        <w:rPr>
          <w:rFonts w:ascii="Calibri" w:hAnsi="Calibri" w:eastAsia="Calibri" w:cs="Calibri"/>
          <w:b w:val="0"/>
          <w:bCs w:val="0"/>
          <w:i w:val="1"/>
          <w:iCs w:val="1"/>
          <w:caps w:val="0"/>
          <w:smallCaps w:val="0"/>
          <w:noProof w:val="0"/>
          <w:color w:val="212529"/>
          <w:sz w:val="24"/>
          <w:szCs w:val="24"/>
          <w:lang w:val="en-US"/>
        </w:rPr>
        <w:t>Taking Play Seriously</w:t>
      </w:r>
      <w:r w:rsidRPr="0FB2DFA1" w:rsidR="0FB2DFA1">
        <w:rPr>
          <w:rFonts w:ascii="Calibri" w:hAnsi="Calibri" w:eastAsia="Calibri" w:cs="Calibri"/>
          <w:b w:val="0"/>
          <w:bCs w:val="0"/>
          <w:i w:val="0"/>
          <w:iCs w:val="0"/>
          <w:caps w:val="0"/>
          <w:smallCaps w:val="0"/>
          <w:noProof w:val="0"/>
          <w:color w:val="212529"/>
          <w:sz w:val="24"/>
          <w:szCs w:val="24"/>
          <w:lang w:val="en-US"/>
        </w:rPr>
        <w:t>.’ Charlotte: Information Age Publishing Inc</w:t>
      </w:r>
      <w:bookmarkEnd w:id="1568010006"/>
    </w:p>
    <w:p w:rsidR="0FB2DFA1" w:rsidP="0FB2DFA1" w:rsidRDefault="0FB2DFA1" w14:paraId="2CA7A7A8" w14:textId="721F5FEE">
      <w:pPr>
        <w:pStyle w:val="Normal"/>
        <w:jc w:val="left"/>
        <w:rPr>
          <w:rFonts w:ascii="Calibri" w:hAnsi="Calibri" w:eastAsia="Calibri" w:cs="Calibri"/>
          <w:b w:val="0"/>
          <w:bCs w:val="0"/>
          <w:i w:val="0"/>
          <w:iCs w:val="0"/>
          <w:caps w:val="0"/>
          <w:smallCaps w:val="0"/>
          <w:noProof w:val="0"/>
          <w:color w:val="212529"/>
          <w:sz w:val="24"/>
          <w:szCs w:val="24"/>
          <w:lang w:val="en-US"/>
        </w:rPr>
      </w:pPr>
      <w:bookmarkStart w:name="_Int_hAFmud0R" w:id="945010117"/>
      <w:r w:rsidRPr="0FB2DFA1" w:rsidR="0FB2DFA1">
        <w:rPr>
          <w:rFonts w:ascii="Calibri" w:hAnsi="Calibri" w:eastAsia="Calibri" w:cs="Calibri"/>
          <w:b w:val="0"/>
          <w:bCs w:val="0"/>
          <w:i w:val="0"/>
          <w:iCs w:val="0"/>
          <w:caps w:val="0"/>
          <w:smallCaps w:val="0"/>
          <w:noProof w:val="0"/>
          <w:color w:val="212529"/>
          <w:sz w:val="24"/>
          <w:szCs w:val="24"/>
          <w:lang w:val="en-US"/>
        </w:rPr>
        <w:t>Moore, A. (2000)</w:t>
      </w:r>
      <w:r w:rsidRPr="0FB2DFA1" w:rsidR="0FB2DFA1">
        <w:rPr>
          <w:rFonts w:ascii="Calibri" w:hAnsi="Calibri" w:eastAsia="Calibri" w:cs="Calibri"/>
          <w:b w:val="0"/>
          <w:bCs w:val="0"/>
          <w:i w:val="1"/>
          <w:iCs w:val="1"/>
          <w:caps w:val="0"/>
          <w:smallCaps w:val="0"/>
          <w:noProof w:val="0"/>
          <w:color w:val="212529"/>
          <w:sz w:val="24"/>
          <w:szCs w:val="24"/>
          <w:lang w:val="en-US"/>
        </w:rPr>
        <w:t xml:space="preserve"> ‘Teaching and Learning: Pedagogy, Curriculum and Culture</w:t>
      </w:r>
      <w:r w:rsidRPr="0FB2DFA1" w:rsidR="0FB2DFA1">
        <w:rPr>
          <w:rFonts w:ascii="Calibri" w:hAnsi="Calibri" w:eastAsia="Calibri" w:cs="Calibri"/>
          <w:b w:val="0"/>
          <w:bCs w:val="0"/>
          <w:i w:val="0"/>
          <w:iCs w:val="0"/>
          <w:caps w:val="0"/>
          <w:smallCaps w:val="0"/>
          <w:noProof w:val="0"/>
          <w:color w:val="212529"/>
          <w:sz w:val="24"/>
          <w:szCs w:val="24"/>
          <w:lang w:val="en-US"/>
        </w:rPr>
        <w:t>.’</w:t>
      </w:r>
      <w:bookmarkEnd w:id="945010117"/>
      <w:r w:rsidRPr="0FB2DFA1" w:rsidR="0FB2DFA1">
        <w:rPr>
          <w:rFonts w:ascii="Calibri" w:hAnsi="Calibri" w:eastAsia="Calibri" w:cs="Calibri"/>
          <w:b w:val="0"/>
          <w:bCs w:val="0"/>
          <w:i w:val="0"/>
          <w:iCs w:val="0"/>
          <w:caps w:val="0"/>
          <w:smallCaps w:val="0"/>
          <w:noProof w:val="0"/>
          <w:color w:val="212529"/>
          <w:sz w:val="24"/>
          <w:szCs w:val="24"/>
          <w:lang w:val="en-US"/>
        </w:rPr>
        <w:t xml:space="preserve"> London: Routledge</w:t>
      </w:r>
    </w:p>
    <w:p w:rsidR="0FB2DFA1" w:rsidP="0FB2DFA1" w:rsidRDefault="0FB2DFA1" w14:paraId="32D97A50" w14:textId="5639B716">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Owen, S., Petrie, S. and Firm, P. (2005). </w:t>
      </w:r>
      <w:bookmarkStart w:name="_Int_1Wxs3L2o" w:id="993716496"/>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Authentic relationships in group care for infants and toddlers - resources for infant </w:t>
      </w:r>
      <w:proofErr w:type="spellStart"/>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educarers</w:t>
      </w:r>
      <w:proofErr w:type="spellEnd"/>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(RIE) principles into practice</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Philadelphia: J. Kingsley Publishers.</w:t>
      </w:r>
      <w:bookmarkEnd w:id="993716496"/>
    </w:p>
    <w:p w:rsidR="0FB2DFA1" w:rsidP="0FB2DFA1" w:rsidRDefault="0FB2DFA1" w14:paraId="5C5A4344" w14:textId="7C071429">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Papatheodorou, T., Luff, P. and Gill, J. (2013).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Child observation for learning and research. 'London</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Routledge.</w:t>
      </w:r>
    </w:p>
    <w:p w:rsidR="0FB2DFA1" w:rsidP="0FB2DFA1" w:rsidRDefault="0FB2DFA1" w14:paraId="77C7145D" w14:textId="1ED777DC">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Rogoff, B. (2003) ‘</w:t>
      </w:r>
      <w:r w:rsidRPr="0FB2DFA1" w:rsidR="0FB2DFA1">
        <w:rPr>
          <w:rFonts w:ascii="Calibri" w:hAnsi="Calibri" w:eastAsia="Calibri" w:cs="Calibri"/>
          <w:b w:val="0"/>
          <w:bCs w:val="0"/>
          <w:i w:val="1"/>
          <w:iCs w:val="1"/>
          <w:caps w:val="0"/>
          <w:smallCaps w:val="0"/>
          <w:noProof w:val="0"/>
          <w:color w:val="212529"/>
          <w:sz w:val="24"/>
          <w:szCs w:val="24"/>
          <w:lang w:val="en-US"/>
        </w:rPr>
        <w:t>The Cultural Nature of Human Development’</w:t>
      </w:r>
      <w:r w:rsidRPr="0FB2DFA1" w:rsidR="0FB2DFA1">
        <w:rPr>
          <w:rFonts w:ascii="Calibri" w:hAnsi="Calibri" w:eastAsia="Calibri" w:cs="Calibri"/>
          <w:b w:val="0"/>
          <w:bCs w:val="0"/>
          <w:i w:val="0"/>
          <w:iCs w:val="0"/>
          <w:caps w:val="0"/>
          <w:smallCaps w:val="0"/>
          <w:noProof w:val="0"/>
          <w:color w:val="212529"/>
          <w:sz w:val="24"/>
          <w:szCs w:val="24"/>
          <w:lang w:val="en-US"/>
        </w:rPr>
        <w:t>. Oxford: Oxford University Press</w:t>
      </w:r>
    </w:p>
    <w:p w:rsidR="0FB2DFA1" w:rsidP="0FB2DFA1" w:rsidRDefault="0FB2DFA1" w14:paraId="6411228F" w14:textId="053E99AD">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Smidt, S. (2005). </w:t>
      </w:r>
      <w:bookmarkStart w:name="_Int_DjpP30Qm" w:id="1301869688"/>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Observing, </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assessing</w:t>
      </w:r>
      <w:r w:rsidRPr="0FB2DFA1" w:rsidR="0FB2DFA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and planning for children in the early years</w:t>
      </w:r>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w:t>
      </w:r>
      <w:bookmarkEnd w:id="1301869688"/>
      <w:r w:rsidRPr="0FB2DFA1" w:rsidR="0FB2DF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London: Routledge.</w:t>
      </w:r>
    </w:p>
    <w:p w:rsidR="0FB2DFA1" w:rsidP="0FB2DFA1" w:rsidRDefault="0FB2DFA1" w14:paraId="7AF5A321" w14:textId="50058A03">
      <w:pPr>
        <w:jc w:val="left"/>
        <w:rPr>
          <w:rFonts w:ascii="Calibri" w:hAnsi="Calibri" w:eastAsia="Calibri" w:cs="Calibri"/>
          <w:b w:val="0"/>
          <w:bCs w:val="0"/>
          <w:i w:val="0"/>
          <w:iCs w:val="0"/>
          <w:caps w:val="0"/>
          <w:smallCaps w:val="0"/>
          <w:noProof w:val="0"/>
          <w:color w:val="212529"/>
          <w:sz w:val="24"/>
          <w:szCs w:val="24"/>
          <w:lang w:val="en-US"/>
        </w:rPr>
      </w:pPr>
      <w:bookmarkStart w:name="_Int_RxR0OJ82" w:id="683886975"/>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FB2DFA1" w:rsidR="0FB2DFA1">
        <w:rPr>
          <w:rFonts w:ascii="Calibri" w:hAnsi="Calibri" w:eastAsia="Calibri" w:cs="Calibri"/>
          <w:b w:val="0"/>
          <w:bCs w:val="0"/>
          <w:i w:val="0"/>
          <w:iCs w:val="0"/>
          <w:caps w:val="0"/>
          <w:smallCaps w:val="0"/>
          <w:noProof w:val="0"/>
          <w:color w:val="212529"/>
          <w:sz w:val="24"/>
          <w:szCs w:val="24"/>
          <w:lang w:val="en-US"/>
        </w:rPr>
        <w:t>UNICEF (1989) The United Nations Convention on the Rights of the Child.</w:t>
      </w:r>
      <w:bookmarkEnd w:id="683886975"/>
      <w:r w:rsidRPr="0FB2DFA1" w:rsidR="0FB2DFA1">
        <w:rPr>
          <w:rFonts w:ascii="Calibri" w:hAnsi="Calibri" w:eastAsia="Calibri" w:cs="Calibri"/>
          <w:b w:val="0"/>
          <w:bCs w:val="0"/>
          <w:i w:val="0"/>
          <w:iCs w:val="0"/>
          <w:caps w:val="0"/>
          <w:smallCaps w:val="0"/>
          <w:noProof w:val="0"/>
          <w:color w:val="212529"/>
          <w:sz w:val="24"/>
          <w:szCs w:val="24"/>
          <w:lang w:val="en-US"/>
        </w:rPr>
        <w:t xml:space="preserve"> London: UNICEF</w:t>
      </w:r>
    </w:p>
    <w:p w:rsidR="0FB2DFA1" w:rsidP="0FB2DFA1" w:rsidRDefault="0FB2DFA1" w14:paraId="442C6EC2" w14:textId="1142BF07">
      <w:pPr>
        <w:pStyle w:val="Normal"/>
        <w:jc w:val="left"/>
        <w:rPr>
          <w:rFonts w:ascii="Calibri" w:hAnsi="Calibri" w:eastAsia="Calibri" w:cs="Calibri"/>
          <w:b w:val="0"/>
          <w:bCs w:val="0"/>
          <w:i w:val="0"/>
          <w:iCs w:val="0"/>
          <w:caps w:val="0"/>
          <w:smallCaps w:val="0"/>
          <w:noProof w:val="0"/>
          <w:color w:val="212529"/>
          <w:sz w:val="24"/>
          <w:szCs w:val="24"/>
          <w:lang w:val="en-US"/>
        </w:rPr>
      </w:pPr>
      <w:bookmarkStart w:name="_Int_7E3lVlZc" w:id="516057890"/>
      <w:r w:rsidRPr="0FB2DFA1" w:rsidR="0FB2DFA1">
        <w:rPr>
          <w:rFonts w:ascii="Calibri" w:hAnsi="Calibri" w:eastAsia="Calibri" w:cs="Calibri"/>
          <w:b w:val="0"/>
          <w:bCs w:val="0"/>
          <w:i w:val="0"/>
          <w:iCs w:val="0"/>
          <w:caps w:val="0"/>
          <w:smallCaps w:val="0"/>
          <w:noProof w:val="0"/>
          <w:color w:val="212529"/>
          <w:sz w:val="24"/>
          <w:szCs w:val="24"/>
          <w:lang w:val="en-US"/>
        </w:rPr>
        <w:t>Wood, E. (2004) ‘</w:t>
      </w:r>
      <w:r w:rsidRPr="0FB2DFA1" w:rsidR="0FB2DFA1">
        <w:rPr>
          <w:rFonts w:ascii="Calibri" w:hAnsi="Calibri" w:eastAsia="Calibri" w:cs="Calibri"/>
          <w:b w:val="0"/>
          <w:bCs w:val="0"/>
          <w:i w:val="1"/>
          <w:iCs w:val="1"/>
          <w:caps w:val="0"/>
          <w:smallCaps w:val="0"/>
          <w:noProof w:val="0"/>
          <w:color w:val="212529"/>
          <w:sz w:val="24"/>
          <w:szCs w:val="24"/>
          <w:lang w:val="en-US"/>
        </w:rPr>
        <w:t>Developing a Pedagogy of Play.</w:t>
      </w:r>
      <w:r w:rsidRPr="0FB2DFA1" w:rsidR="0FB2DFA1">
        <w:rPr>
          <w:rFonts w:ascii="Calibri" w:hAnsi="Calibri" w:eastAsia="Calibri" w:cs="Calibri"/>
          <w:b w:val="0"/>
          <w:bCs w:val="0"/>
          <w:i w:val="0"/>
          <w:iCs w:val="0"/>
          <w:caps w:val="0"/>
          <w:smallCaps w:val="0"/>
          <w:noProof w:val="0"/>
          <w:color w:val="212529"/>
          <w:sz w:val="24"/>
          <w:szCs w:val="24"/>
          <w:lang w:val="en-US"/>
        </w:rPr>
        <w:t>’ in Anning, A., Cullen, J., Fleer, M. (Eds) Early Childhood Education: Society and Culture.</w:t>
      </w:r>
      <w:bookmarkEnd w:id="516057890"/>
      <w:r w:rsidRPr="0FB2DFA1" w:rsidR="0FB2DFA1">
        <w:rPr>
          <w:rFonts w:ascii="Calibri" w:hAnsi="Calibri" w:eastAsia="Calibri" w:cs="Calibri"/>
          <w:b w:val="0"/>
          <w:bCs w:val="0"/>
          <w:i w:val="0"/>
          <w:iCs w:val="0"/>
          <w:caps w:val="0"/>
          <w:smallCaps w:val="0"/>
          <w:noProof w:val="0"/>
          <w:color w:val="212529"/>
          <w:sz w:val="24"/>
          <w:szCs w:val="24"/>
          <w:lang w:val="en-US"/>
        </w:rPr>
        <w:t xml:space="preserve"> London: Sage pp. 19 – 30</w:t>
      </w:r>
    </w:p>
    <w:p w:rsidR="0FB2DFA1" w:rsidP="0FB2DFA1" w:rsidRDefault="0FB2DFA1" w14:paraId="7EEA70D6" w14:textId="4C6BEE77">
      <w:pPr>
        <w:pStyle w:val="Normal"/>
        <w:jc w:val="left"/>
        <w:rPr>
          <w:rFonts w:ascii="Calibri" w:hAnsi="Calibri" w:eastAsia="Calibri" w:cs="Calibri"/>
          <w:b w:val="0"/>
          <w:bCs w:val="0"/>
          <w:i w:val="0"/>
          <w:iCs w:val="0"/>
          <w:caps w:val="0"/>
          <w:smallCaps w:val="0"/>
          <w:noProof w:val="0"/>
          <w:color w:val="212529"/>
          <w:sz w:val="24"/>
          <w:szCs w:val="24"/>
          <w:lang w:val="en-US"/>
        </w:rPr>
      </w:pPr>
      <w:bookmarkStart w:name="_Int_Od50mrqf" w:id="556671086"/>
      <w:r w:rsidRPr="0FB2DFA1" w:rsidR="0FB2DFA1">
        <w:rPr>
          <w:rFonts w:ascii="Calibri" w:hAnsi="Calibri" w:eastAsia="Calibri" w:cs="Calibri"/>
          <w:b w:val="0"/>
          <w:bCs w:val="0"/>
          <w:i w:val="0"/>
          <w:iCs w:val="0"/>
          <w:caps w:val="0"/>
          <w:smallCaps w:val="0"/>
          <w:noProof w:val="0"/>
          <w:color w:val="212529"/>
          <w:sz w:val="24"/>
          <w:szCs w:val="24"/>
          <w:lang w:val="en-US"/>
        </w:rPr>
        <w:t>Wood, E., Attfield, J. (2005) ‘</w:t>
      </w:r>
      <w:r w:rsidRPr="0FB2DFA1" w:rsidR="0FB2DFA1">
        <w:rPr>
          <w:rFonts w:ascii="Calibri" w:hAnsi="Calibri" w:eastAsia="Calibri" w:cs="Calibri"/>
          <w:b w:val="0"/>
          <w:bCs w:val="0"/>
          <w:i w:val="1"/>
          <w:iCs w:val="1"/>
          <w:caps w:val="0"/>
          <w:smallCaps w:val="0"/>
          <w:noProof w:val="0"/>
          <w:color w:val="212529"/>
          <w:sz w:val="24"/>
          <w:szCs w:val="24"/>
          <w:lang w:val="en-US"/>
        </w:rPr>
        <w:t>Play, Learning and the Early Childhood Curriculum</w:t>
      </w:r>
      <w:r w:rsidRPr="0FB2DFA1" w:rsidR="0FB2DFA1">
        <w:rPr>
          <w:rFonts w:ascii="Calibri" w:hAnsi="Calibri" w:eastAsia="Calibri" w:cs="Calibri"/>
          <w:b w:val="0"/>
          <w:bCs w:val="0"/>
          <w:i w:val="0"/>
          <w:iCs w:val="0"/>
          <w:caps w:val="0"/>
          <w:smallCaps w:val="0"/>
          <w:noProof w:val="0"/>
          <w:color w:val="212529"/>
          <w:sz w:val="24"/>
          <w:szCs w:val="24"/>
          <w:lang w:val="en-US"/>
        </w:rPr>
        <w:t>.’</w:t>
      </w:r>
      <w:bookmarkEnd w:id="556671086"/>
      <w:r w:rsidRPr="0FB2DFA1" w:rsidR="0FB2DFA1">
        <w:rPr>
          <w:rFonts w:ascii="Calibri" w:hAnsi="Calibri" w:eastAsia="Calibri" w:cs="Calibri"/>
          <w:b w:val="0"/>
          <w:bCs w:val="0"/>
          <w:i w:val="0"/>
          <w:iCs w:val="0"/>
          <w:caps w:val="0"/>
          <w:smallCaps w:val="0"/>
          <w:noProof w:val="0"/>
          <w:color w:val="212529"/>
          <w:sz w:val="24"/>
          <w:szCs w:val="24"/>
          <w:lang w:val="en-US"/>
        </w:rPr>
        <w:t xml:space="preserve"> London: Paul Chapman</w:t>
      </w:r>
    </w:p>
    <w:p w:rsidR="0FB2DFA1" w:rsidP="0FB2DFA1" w:rsidRDefault="0FB2DFA1" w14:paraId="2358903A" w14:textId="461EEFD5">
      <w:pPr>
        <w:jc w:val="left"/>
      </w:pPr>
      <w:r w:rsidRPr="0FB2DFA1" w:rsidR="0FB2DFA1">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FB2DFA1" w:rsidP="0FB2DFA1" w:rsidRDefault="0FB2DFA1" w14:paraId="1EEEEED6" w14:textId="5D053B0D">
      <w:pPr>
        <w:pStyle w:val="Normal"/>
        <w:jc w:val="left"/>
        <w:rPr>
          <w:rFonts w:ascii="Calibri" w:hAnsi="Calibri" w:eastAsia="Calibri" w:cs="Calibri"/>
          <w:b w:val="0"/>
          <w:bCs w:val="0"/>
          <w:i w:val="0"/>
          <w:iCs w:val="0"/>
          <w:caps w:val="0"/>
          <w:smallCaps w:val="0"/>
          <w:noProof w:val="0"/>
          <w:color w:val="212529"/>
          <w:sz w:val="24"/>
          <w:szCs w:val="24"/>
          <w:lang w:val="en-US"/>
        </w:rPr>
      </w:pPr>
    </w:p>
    <w:p w:rsidR="0FB2DFA1" w:rsidP="0FB2DFA1" w:rsidRDefault="0FB2DFA1" w14:paraId="219C9CC1" w14:textId="27182334">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US"/>
        </w:rPr>
      </w:pPr>
    </w:p>
    <w:p w:rsidR="0FB2DFA1" w:rsidP="0FB2DFA1" w:rsidRDefault="0FB2DFA1" w14:paraId="1E3478E1" w14:textId="531DD943">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B2DFA1" w:rsidP="0FB2DFA1" w:rsidRDefault="0FB2DFA1" w14:paraId="15269757" w14:textId="619AD442">
      <w:pPr>
        <w:pStyle w:val="Normal"/>
        <w:ind w:left="0"/>
        <w:rPr>
          <w:rFonts w:ascii="Calibri" w:hAnsi="Calibri" w:eastAsia="Calibri" w:cs="Calibri" w:asciiTheme="minorAscii" w:hAnsiTheme="minorAscii" w:eastAsiaTheme="minorAscii" w:cstheme="minorAscii"/>
          <w:noProof w:val="0"/>
          <w:color w:val="0E101A"/>
          <w:sz w:val="22"/>
          <w:szCs w:val="22"/>
          <w:lang w:val="en-US"/>
        </w:rPr>
      </w:pPr>
    </w:p>
    <w:p xmlns:wp14="http://schemas.microsoft.com/office/word/2010/wordml" w:rsidP="1C0326BD" w14:paraId="6DAC2AB6" wp14:textId="0517C00B">
      <w:pPr>
        <w:pStyle w:val="Normal"/>
        <w:spacing w:line="276" w:lineRule="auto"/>
        <w:ind w:left="0"/>
        <w:rPr>
          <w:rFonts w:ascii="Calibri" w:hAnsi="Calibri" w:eastAsia="Calibri" w:cs="Calibri"/>
          <w:noProof w:val="0"/>
          <w:sz w:val="22"/>
          <w:szCs w:val="22"/>
          <w:lang w:val="en-US"/>
        </w:rPr>
      </w:pPr>
    </w:p>
    <w:p xmlns:wp14="http://schemas.microsoft.com/office/word/2010/wordml" w:rsidP="1C0326BD" w14:paraId="2C078E63" wp14:textId="4154472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zZq4bkHcfFRoFG" int2:id="jtByeTTO">
      <int2:state int2:type="LegacyProofing" int2:value="Rejected"/>
    </int2:textHash>
    <int2:textHash int2:hashCode="UGx8KGum619ZNh" int2:id="dVm9cxzt">
      <int2:state int2:type="LegacyProofing" int2:value="Rejected"/>
    </int2:textHash>
    <int2:textHash int2:hashCode="kh0Ehz4u5r2c+z" int2:id="yqYjdigH">
      <int2:state int2:type="LegacyProofing" int2:value="Rejected"/>
    </int2:textHash>
    <int2:textHash int2:hashCode="GtCr9iGAXnreMm" int2:id="9NdhBPXl">
      <int2:state int2:type="LegacyProofing" int2:value="Rejected"/>
    </int2:textHash>
    <int2:textHash int2:hashCode="YVGQbGZ5KeWMH5" int2:id="qgOo8uPv">
      <int2:state int2:type="LegacyProofing" int2:value="Rejected"/>
    </int2:textHash>
    <int2:bookmark int2:bookmarkName="_Int_Od50mrqf" int2:invalidationBookmarkName="" int2:hashCode="NLO+6nYPbIATbs" int2:id="3XgFBbBh">
      <int2:extLst>
        <oel:ext uri="426473B9-03D8-482F-96C9-C2C85392BACA">
          <int2:similarityCritique int2:version="1" int2:context="Wood, E., Attfield, J. (2005) ‘Play, Learning and the Early Childhood Curriculum.’">
            <int2:source int2:sourceType="Online" int2:sourceTitle="Wood, E., &amp; Attfield, J. (2005). Play, Learning and the ..." int2:sourceUrl="https://www.scirp.org/reference/ReferencesPapers.aspx?ReferenceID=2382248" int2:sourceSnippet="Wood, E., &amp; Attfield, J. (2005). Play, Learning and the Early Childhood Curriculum. London Paul Chapman.">
              <int2:suggestions int2:citationType="Inline">
                <int2:suggestion int2:citationStyle="Mla" int2:isIdentical="0">
                  <int2:citationText>(“Wood, E., &amp; Attfield, J. (2005). Play, Learning and the ...”)</int2:citationText>
                </int2:suggestion>
                <int2:suggestion int2:citationStyle="Apa" int2:isIdentical="0">
                  <int2:citationText>(“Wood, E., &amp; Attfield, J. (2005). Play, Learning and the ...”)</int2:citationText>
                </int2:suggestion>
                <int2:suggestion int2:citationStyle="Chicago" int2:isIdentical="0">
                  <int2:citationText>(“Wood, E., &amp; Attfield, J. (2005). Play, Learning and the ...”)</int2:citationText>
                </int2:suggestion>
              </int2:suggestions>
              <int2:suggestions int2:citationType="Full">
                <int2:suggestion int2:citationStyle="Mla" int2:isIdentical="0">
                  <int2:citationText>&lt;i&gt;Wood, E., &amp; Attfield, J. (2005). Play, Learning and the ...&lt;/i&gt;, https://www.scirp.org/reference/ReferencesPapers.aspx?ReferenceID=2382248.</int2:citationText>
                </int2:suggestion>
                <int2:suggestion int2:citationStyle="Apa" int2:isIdentical="0">
                  <int2:citationText>&lt;i&gt;Wood, E., &amp; Attfield, J. (2005). Play, Learning and the ...&lt;/i&gt;. (n.d.). Retrieved from https://www.scirp.org/reference/ReferencesPapers.aspx?ReferenceID=2382248</int2:citationText>
                </int2:suggestion>
                <int2:suggestion int2:citationStyle="Chicago" int2:isIdentical="0">
                  <int2:citationText>“Wood, E., &amp; Attfield, J. (2005). Play, Learning and the ...” n.d., https://www.scirp.org/reference/ReferencesPapers.aspx?ReferenceID=2382248.</int2:citationText>
                </int2:suggestion>
              </int2:suggestions>
            </int2:source>
            <int2:source int2:sourceType="Online" int2:sourceTitle="Wood, E., &amp; Attfield, J. (2005). Play, Learning and the ..." int2:sourceUrl="https://www.scirp.org/(S(czeh2tfqyw2orz553k1w0r45))/reference/ReferencesPapers.aspx?ReferenceID=1566068" int2:sourceSnippet="Article citations More&gt;&gt;. Wood, E., &amp; Attfield, J. (2005). Play, Learning and the Early Childhood Curriculum. London: Paul Chapman Publishing. has been cited by the ...">
              <int2:suggestions int2:citationType="Inline">
                <int2:suggestion int2:citationStyle="Mla" int2:isIdentical="0">
                  <int2:citationText>(“Wood, E., &amp; Attfield, J. (2005). Play, Learning and the ...”)</int2:citationText>
                </int2:suggestion>
                <int2:suggestion int2:citationStyle="Apa" int2:isIdentical="0">
                  <int2:citationText>(“Wood, E., &amp; Attfield, J. (2005). Play, Learning and the ...”)</int2:citationText>
                </int2:suggestion>
                <int2:suggestion int2:citationStyle="Chicago" int2:isIdentical="0">
                  <int2:citationText>(“Wood, E., &amp; Attfield, J. (2005). Play, Learning and the ...”)</int2:citationText>
                </int2:suggestion>
              </int2:suggestions>
              <int2:suggestions int2:citationType="Full">
                <int2:suggestion int2:citationStyle="Mla" int2:isIdentical="0">
                  <int2:citationText>&lt;i&gt;Wood, E., &amp; Attfield, J. (2005). Play, Learning and the ...&lt;/i&gt;, https://www.scirp.org/(S(czeh2tfqyw2orz553k1w0r45))/reference/ReferencesPapers.aspx?ReferenceID=1566068.</int2:citationText>
                </int2:suggestion>
                <int2:suggestion int2:citationStyle="Apa" int2:isIdentical="0">
                  <int2:citationText>&lt;i&gt;Wood, E., &amp; Attfield, J. (2005). Play, Learning and the ...&lt;/i&gt;. (n.d.). Retrieved from https://www.scirp.org/(S(czeh2tfqyw2orz553k1w0r45))/reference/ReferencesPapers.aspx?ReferenceID=1566068</int2:citationText>
                </int2:suggestion>
                <int2:suggestion int2:citationStyle="Chicago" int2:isIdentical="0">
                  <int2:citationText>“Wood, E., &amp; Attfield, J. (2005). Play, Learning and the ...” n.d., https://www.scirp.org/(S(czeh2tfqyw2orz553k1w0r45))/reference/ReferencesPapers.aspx?ReferenceID=1566068.</int2:citationText>
                </int2:suggestion>
              </int2:suggestions>
            </int2:source>
            <int2:source int2:sourceType="Online" int2:sourceTitle="Play Learning And The Early Childhood Curriculum" int2:sourceUrl="http://www.terry-whitney.com/play_learning_and_the_early_childhood_curriculum.pdf" int2:sourceSnippet="Wood, E. &amp; Attfield, J. (2005). Play, learning and the early childhood curriculum London: SAGE Publications Ltd doi: 10.4135/9781446280393. Wood, Elizabeth and Jane ... SAGE Books - Play, Learning and the Early Childhood Curriculum There has been an abundance of research around play and its positive effects on early childhood learning and ...">
              <int2:suggestions int2:citationType="Inline">
                <int2:suggestion int2:citationStyle="Mla" int2:isIdentical="0">
                  <int2:citationText>(“Play Learning And The Early Childhood Curriculum”)</int2:citationText>
                </int2:suggestion>
                <int2:suggestion int2:citationStyle="Apa" int2:isIdentical="0">
                  <int2:citationText>(“Play Learning And The Early Childhood Curriculum”)</int2:citationText>
                </int2:suggestion>
                <int2:suggestion int2:citationStyle="Chicago" int2:isIdentical="0">
                  <int2:citationText>(“Play Learning And The Early Childhood Curriculum”)</int2:citationText>
                </int2:suggestion>
              </int2:suggestions>
              <int2:suggestions int2:citationType="Full">
                <int2:suggestion int2:citationStyle="Mla" int2:isIdentical="0">
                  <int2:citationText>&lt;i&gt;Play Learning And The Early Childhood Curriculum&lt;/i&gt;, http://www.terry-whitney.com/play_learning_and_the_early_childhood_curriculum.pdf.</int2:citationText>
                </int2:suggestion>
                <int2:suggestion int2:citationStyle="Apa" int2:isIdentical="0">
                  <int2:citationText>&lt;i&gt;Play Learning And The Early Childhood Curriculum&lt;/i&gt;. (n.d.). Retrieved from http://www.terry-whitney.com/play_learning_and_the_early_childhood_curriculum.pdf</int2:citationText>
                </int2:suggestion>
                <int2:suggestion int2:citationStyle="Chicago" int2:isIdentical="0">
                  <int2:citationText>“Play Learning And The Early Childhood Curriculum” n.d., http://www.terry-whitney.com/play_learning_and_the_early_childhood_curriculum.pdf.</int2:citationText>
                </int2:suggestion>
              </int2:suggestions>
            </int2:source>
          </int2:similarityCritique>
        </oel:ext>
      </int2:extLst>
    </int2:bookmark>
    <int2:bookmark int2:bookmarkName="_Int_7E3lVlZc" int2:invalidationBookmarkName="" int2:hashCode="OGtdZav+13+LHs" int2:id="MggPVFQV">
      <int2:extLst>
        <oel:ext uri="426473B9-03D8-482F-96C9-C2C85392BACA">
          <int2:similarityCritique int2:version="1" int2:context="Wood, E. (2004) ‘Developing a Pedagogy of Play.’ in Anning, A., Cullen, J., Fleer, M. (Eds) Early Childhood Education: Society and Culture.">
            <int2:source int2:sourceType="Online" int2:sourceTitle="Bibliography - SAGE Publications Inc" int2:sourceUrl="https://sk.sagepub.com/books/play-learning-and-the-early-childhood-curriculum/Bibliography/2" int2:sourceSnippet="Wood, E. (2004) Developing a Pedagogy of Play for the 21st century, in A. Anning, J. Cullen and M. Fleer (eds) Early Childhood Education: Society and Culture, London, Sage, 17–30. Wood , E. and Bennett , N. ( 2001 ) Early Childhood Teachers' Theories of Progression and Continuity , International Journal of Early Years Education , 9 ( 3 ), 229 ...">
              <int2:suggestions int2:citationType="Inline">
                <int2:suggestion int2:citationStyle="Mla" int2:isIdentical="0">
                  <int2:citationText>(“Bibliography - SAGE Publications Inc”)</int2:citationText>
                </int2:suggestion>
                <int2:suggestion int2:citationStyle="Apa" int2:isIdentical="0">
                  <int2:citationText>(“Bibliography - SAGE Publications Inc”)</int2:citationText>
                </int2:suggestion>
                <int2:suggestion int2:citationStyle="Chicago" int2:isIdentical="0">
                  <int2:citationText>(“Bibliography - SAGE Publications Inc”)</int2:citationText>
                </int2:suggestion>
              </int2:suggestions>
              <int2:suggestions int2:citationType="Full">
                <int2:suggestion int2:citationStyle="Mla" int2:isIdentical="0">
                  <int2:citationText>&lt;i&gt;Bibliography - SAGE Publications Inc&lt;/i&gt;, https://sk.sagepub.com/books/play-learning-and-the-early-childhood-curriculum/Bibliography/2.</int2:citationText>
                </int2:suggestion>
                <int2:suggestion int2:citationStyle="Apa" int2:isIdentical="0">
                  <int2:citationText>&lt;i&gt;Bibliography - SAGE Publications Inc&lt;/i&gt;. (n.d.). Retrieved from https://sk.sagepub.com/books/play-learning-and-the-early-childhood-curriculum/Bibliography/2</int2:citationText>
                </int2:suggestion>
                <int2:suggestion int2:citationStyle="Chicago" int2:isIdentical="0">
                  <int2:citationText>“Bibliography - SAGE Publications Inc” n.d., https://sk.sagepub.com/books/play-learning-and-the-early-childhood-curriculum/Bibliography/2.</int2:citationText>
                </int2:suggestion>
              </int2:suggestions>
            </int2:source>
          </int2:similarityCritique>
        </oel:ext>
      </int2:extLst>
    </int2:bookmark>
    <int2:bookmark int2:bookmarkName="_Int_RxR0OJ82" int2:invalidationBookmarkName="" int2:hashCode="gJjYLJGOBgwguu" int2:id="zZ8G74Fq">
      <int2:extLst>
        <oel:ext uri="426473B9-03D8-482F-96C9-C2C85392BACA">
          <int2:similarityCritique int2:version="1" int2:context="‌UNICEF (1989) The United Nations Convention on the Rights of the Child.">
            <int2:source int2:sourceType="Online" int2:sourceTitle="The Importance of Play in Early Years Development" int2:sourceUrl="https://www.ukessays.com/essays/education/the-importance-of-play-in-early-years-development.php" int2:sourceSnippet="UNICEF (1989) The United Nations Convention on the Rights of the Child. London: UNICEF Vygotsky, L.S. (1978) Mind in Society. Cambridge, MA: Harvard University Press Whitehead, M. (2010) Language and Literacy in the Early Years 0 – 7. (4th Ed) London: Sage Publications Ltd">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ource int2:sourceType="Online" int2:sourceTitle="Recognising and protecting the communication rights of ..." int2:sourceUrl="https://www.lspjournal.com/post/recognising-and-protecting-the-communication-rights-of-autistic-children" int2:sourceSnippet="UNICEF. 1989. The United Nations Convention on the Rights of the Child. Uljarević, Mirko, Napoleon Katsos, Kristelle Hudry and Jenny L. Gibson. 2016. 'Practitioner Review: Multilingualism and Neurodevelopmental Disorders – an Overview of Recent Research and Discussion of Clinical Implications', ...">
              <int2:suggestions int2:citationType="Inline">
                <int2:suggestion int2:citationStyle="Mla" int2:isIdentical="0">
                  <int2:citationText>(“Recognising and protecting the communication rights of ...”)</int2:citationText>
                </int2:suggestion>
                <int2:suggestion int2:citationStyle="Apa" int2:isIdentical="0">
                  <int2:citationText>(“Recognising and protecting the communication rights of ...”)</int2:citationText>
                </int2:suggestion>
                <int2:suggestion int2:citationStyle="Chicago" int2:isIdentical="0">
                  <int2:citationText>(“Recognising and protecting the communication rights of ...”)</int2:citationText>
                </int2:suggestion>
              </int2:suggestions>
              <int2:suggestions int2:citationType="Full">
                <int2:suggestion int2:citationStyle="Mla" int2:isIdentical="0">
                  <int2:citationText>&lt;i&gt;Recognising and protecting the communication rights of ...&lt;/i&gt;, https://www.lspjournal.com/post/recognising-and-protecting-the-communication-rights-of-autistic-children.</int2:citationText>
                </int2:suggestion>
                <int2:suggestion int2:citationStyle="Apa" int2:isIdentical="0">
                  <int2:citationText>&lt;i&gt;Recognising and protecting the communication rights of ...&lt;/i&gt;. (n.d.). Retrieved from https://www.lspjournal.com/post/recognising-and-protecting-the-communication-rights-of-autistic-children</int2:citationText>
                </int2:suggestion>
                <int2:suggestion int2:citationStyle="Chicago" int2:isIdentical="0">
                  <int2:citationText>“Recognising and protecting the communication rights of ...” n.d., https://www.lspjournal.com/post/recognising-and-protecting-the-communication-rights-of-autistic-children.</int2:citationText>
                </int2:suggestion>
              </int2:suggestions>
            </int2:source>
            <int2:source int2:sourceType="Online" int2:sourceTitle="YCIS YWIES YWIEK Child Protection Policy and Procedures ..." int2:sourceUrl="https://www.ywiek-cq.com/pdf/YCIS_YWIES_YWIEK_Child_Protection_Policy_and_Procedures_2021-23.pdf" int2:sourceSnippet="United Nations International Children’s Emergency Fund (UNICEF), (1989) The United Nations Convention on the Rights of the Child. London: Author This policy has been reviewed and commented on by FuJae Partners, a PRC law firm with Chinese and International legal experiences. Governor with the Responsibility for Child Protection:">
              <int2:suggestions int2:citationType="Inline">
                <int2:suggestion int2:citationStyle="Mla" int2:isIdentical="0">
                  <int2:citationText>(“YCIS YWIES YWIEK Child Protection Policy and Procedures ...”)</int2:citationText>
                </int2:suggestion>
                <int2:suggestion int2:citationStyle="Apa" int2:isIdentical="0">
                  <int2:citationText>(“YCIS YWIES YWIEK Child Protection Policy and Procedures ...”)</int2:citationText>
                </int2:suggestion>
                <int2:suggestion int2:citationStyle="Chicago" int2:isIdentical="0">
                  <int2:citationText>(“YCIS YWIES YWIEK Child Protection Policy and Procedures ...”)</int2:citationText>
                </int2:suggestion>
              </int2:suggestions>
              <int2:suggestions int2:citationType="Full">
                <int2:suggestion int2:citationStyle="Mla" int2:isIdentical="0">
                  <int2:citationText>&lt;i&gt;YCIS YWIES YWIEK Child Protection Policy and Procedures ...&lt;/i&gt;, https://www.ywiek-cq.com/pdf/YCIS_YWIES_YWIEK_Child_Protection_Policy_and_Procedures_2021-23.pdf.</int2:citationText>
                </int2:suggestion>
                <int2:suggestion int2:citationStyle="Apa" int2:isIdentical="0">
                  <int2:citationText>&lt;i&gt;YCIS YWIES YWIEK Child Protection Policy and Procedures ...&lt;/i&gt;. (n.d.). Retrieved from https://www.ywiek-cq.com/pdf/YCIS_YWIES_YWIEK_Child_Protection_Policy_and_Procedures_2021-23.pdf</int2:citationText>
                </int2:suggestion>
                <int2:suggestion int2:citationStyle="Chicago" int2:isIdentical="0">
                  <int2:citationText>“YCIS YWIES YWIEK Child Protection Policy and Procedures ...” n.d., https://www.ywiek-cq.com/pdf/YCIS_YWIES_YWIEK_Child_Protection_Policy_and_Procedures_2021-23.pdf.</int2:citationText>
                </int2:suggestion>
              </int2:suggestions>
            </int2:source>
          </int2:similarityCritique>
        </oel:ext>
      </int2:extLst>
    </int2:bookmark>
    <int2:bookmark int2:bookmarkName="_Int_DjpP30Qm" int2:invalidationBookmarkName="" int2:hashCode="dvrImMWFf1AZAm" int2:id="hyRrKbvv">
      <int2:extLst>
        <oel:ext uri="426473B9-03D8-482F-96C9-C2C85392BACA">
          <int2:similarityCritique int2:version="1" int2:context="‘Observing, assessing and planning for children in the early years.’">
            <int2:source int2:sourceType="Online" int2:sourceTitle="Observing, Assessing and Planning for Children in the ..." int2:sourceUrl="https://books.google.com/books/about/Observing_Assessing_and_Planning_for_Chi.html?id=4OaF3M4kQesC" int2:sourceSnippet="Observing, Assessing and Planning for Children in the Early Years. This introductory text shows how, by observing children knowledgeably, practitioners can plan for and assess the young children in their care much more effectively. Observation as a 'tool for learning' has long been considered to be one of the most beneficial ways of teaching ...">
              <int2:suggestions int2:citationType="Inline">
                <int2:suggestion int2:citationStyle="Mla" int2:isIdentical="0">
                  <int2:citationText>(“Observing, Assessing and Planning for Children in the ...”)</int2:citationText>
                </int2:suggestion>
                <int2:suggestion int2:citationStyle="Apa" int2:isIdentical="0">
                  <int2:citationText>(“Observing, Assessing and Planning for Children in the ...”)</int2:citationText>
                </int2:suggestion>
                <int2:suggestion int2:citationStyle="Chicago" int2:isIdentical="0">
                  <int2:citationText>(“Observing, Assessing and Planning for Children in the ...”)</int2:citationText>
                </int2:suggestion>
              </int2:suggestions>
              <int2:suggestions int2:citationType="Full">
                <int2:suggestion int2:citationStyle="Mla" int2:isIdentical="0">
                  <int2:citationText>&lt;i&gt;Observing, Assessing and Planning for Children in the ...&lt;/i&gt;, https://books.google.com/books/about/Observing_Assessing_and_Planning_for_Chi.html?id=4OaF3M4kQesC.</int2:citationText>
                </int2:suggestion>
                <int2:suggestion int2:citationStyle="Apa" int2:isIdentical="0">
                  <int2:citationText>&lt;i&gt;Observing, Assessing and Planning for Children in the ...&lt;/i&gt;. (n.d.). Retrieved from https://books.google.com/books/about/Observing_Assessing_and_Planning_for_Chi.html?id=4OaF3M4kQesC</int2:citationText>
                </int2:suggestion>
                <int2:suggestion int2:citationStyle="Chicago" int2:isIdentical="0">
                  <int2:citationText>“Observing, Assessing and Planning for Children in the ...” n.d., https://books.google.com/books/about/Observing_Assessing_and_Planning_for_Chi.html?id=4OaF3M4kQesC.</int2:citationText>
                </int2:suggestion>
              </int2:suggestions>
            </int2:source>
            <int2:source int2:sourceType="Online" int2:sourceTitle="Observing, Assessing and Planning for Children in the ..." int2:sourceUrl="https://www.taylorfrancis.com/books/mono/10.4324/9780203464168/observing-assessing-planning-children-early-years-sandra-smidt" int2:sourceSnippet="Observing, Assessing and Planning for Children in the Early Years . DOI link for Observing, Assessing and Planning for Children in the Early Years. Observing, Assessing and Planning for Children in the Early Years book. The role of observation and assessment in early childhood settings.">
              <int2:suggestions int2:citationType="Inline">
                <int2:suggestion int2:citationStyle="Mla" int2:isIdentical="0">
                  <int2:citationText>(“Observing, Assessing and Planning for Children in the ...”)</int2:citationText>
                </int2:suggestion>
                <int2:suggestion int2:citationStyle="Apa" int2:isIdentical="0">
                  <int2:citationText>(“Observing, Assessing and Planning for Children in the ...”)</int2:citationText>
                </int2:suggestion>
                <int2:suggestion int2:citationStyle="Chicago" int2:isIdentical="0">
                  <int2:citationText>(“Observing, Assessing and Planning for Children in the ...”)</int2:citationText>
                </int2:suggestion>
              </int2:suggestions>
              <int2:suggestions int2:citationType="Full">
                <int2:suggestion int2:citationStyle="Mla" int2:isIdentical="0">
                  <int2:citationText>&lt;i&gt;Observing, Assessing and Planning for Children in the ...&lt;/i&gt;, https://www.taylorfrancis.com/books/mono/10.4324/9780203464168/observing-assessing-planning-children-early-years-sandra-smidt.</int2:citationText>
                </int2:suggestion>
                <int2:suggestion int2:citationStyle="Apa" int2:isIdentical="0">
                  <int2:citationText>&lt;i&gt;Observing, Assessing and Planning for Children in the ...&lt;/i&gt;. (n.d.). Retrieved from https://www.taylorfrancis.com/books/mono/10.4324/9780203464168/observing-assessing-planning-children-early-years-sandra-smidt</int2:citationText>
                </int2:suggestion>
                <int2:suggestion int2:citationStyle="Chicago" int2:isIdentical="0">
                  <int2:citationText>“Observing, Assessing and Planning for Children in the ...” n.d., https://www.taylorfrancis.com/books/mono/10.4324/9780203464168/observing-assessing-planning-children-early-years-sandra-smidt.</int2:citationText>
                </int2:suggestion>
              </int2:suggestions>
            </int2:source>
            <int2:source int2:sourceType="Online" int2:sourceTitle="Observing, Assessing and Planning for Children in the ..." int2:sourceUrl="https://books.google.com/books/about/Observing_Assessing_and_Planning_for_Chi.html?id=hTFcRorc17YC" int2:sourceSnippet="Observing, Assessing and Planning for Children in the Early Years. Sandra Smidt. Taylor &amp; Francis, Feb 1, 2005 - Education - 128 pages. 0 Reviews. This introductory text shows how, by observing children knowledgeably, practitioners can plan for and assess the young children in their care much more effectively.">
              <int2:suggestions int2:citationType="Inline">
                <int2:suggestion int2:citationStyle="Mla" int2:isIdentical="0">
                  <int2:citationText>(“Observing, Assessing and Planning for Children in the ...”)</int2:citationText>
                </int2:suggestion>
                <int2:suggestion int2:citationStyle="Apa" int2:isIdentical="0">
                  <int2:citationText>(“Observing, Assessing and Planning for Children in the ...”)</int2:citationText>
                </int2:suggestion>
                <int2:suggestion int2:citationStyle="Chicago" int2:isIdentical="0">
                  <int2:citationText>(“Observing, Assessing and Planning for Children in the ...”)</int2:citationText>
                </int2:suggestion>
              </int2:suggestions>
              <int2:suggestions int2:citationType="Full">
                <int2:suggestion int2:citationStyle="Mla" int2:isIdentical="0">
                  <int2:citationText>&lt;i&gt;Observing, Assessing and Planning for Children in the ...&lt;/i&gt;, https://books.google.com/books/about/Observing_Assessing_and_Planning_for_Chi.html?id=hTFcRorc17YC.</int2:citationText>
                </int2:suggestion>
                <int2:suggestion int2:citationStyle="Apa" int2:isIdentical="0">
                  <int2:citationText>&lt;i&gt;Observing, Assessing and Planning for Children in the ...&lt;/i&gt;. (n.d.). Retrieved from https://books.google.com/books/about/Observing_Assessing_and_Planning_for_Chi.html?id=hTFcRorc17YC</int2:citationText>
                </int2:suggestion>
                <int2:suggestion int2:citationStyle="Chicago" int2:isIdentical="0">
                  <int2:citationText>“Observing, Assessing and Planning for Children in the ...” n.d., https://books.google.com/books/about/Observing_Assessing_and_Planning_for_Chi.html?id=hTFcRorc17YC.</int2:citationText>
                </int2:suggestion>
              </int2:suggestions>
            </int2:source>
          </int2:similarityCritique>
        </oel:ext>
      </int2:extLst>
    </int2:bookmark>
    <int2:bookmark int2:bookmarkName="_Int_1Wxs3L2o" int2:invalidationBookmarkName="" int2:hashCode="FyvLcYhmCHlKMt" int2:id="piI5kk9e">
      <int2:extLst>
        <oel:ext uri="426473B9-03D8-482F-96C9-C2C85392BACA">
          <int2:similarityCritique int2:version="1" int2:context="Authentic relationships in group care for infants and toddlers - resources for infant educarers (RIE) principles into practice. Philadelphia: J. Kingsley Publishers.">
            <int2:source int2:sourceType="Online" int2:sourceTitle="Authentic relationships in group care for infants and ..." int2:sourceUrl="http://link.umsl.edu/portal/Authentic-relationships-in-group-care-for-infants/oiwa1d12sEM/" int2:sourceSnippet="The item Authentic relationships in group care for infants and toddlers - resources for infant educarers (RIE) principles into practice, edited by Stephanie Petrie and Sue Owen represents a specific, individual, material embodiment of a distinct intellectual or artistic creation found in University of Missouri-St. Louis Libraries.">
              <int2:suggestions int2:citationType="Inline">
                <int2:suggestion int2:citationStyle="Mla" int2:isIdentical="0">
                  <int2:citationText>(“Authentic relationships in group care for infants and ...”)</int2:citationText>
                </int2:suggestion>
                <int2:suggestion int2:citationStyle="Apa" int2:isIdentical="0">
                  <int2:citationText>(“Authentic relationships in group care for infants and ...”)</int2:citationText>
                </int2:suggestion>
                <int2:suggestion int2:citationStyle="Chicago" int2:isIdentical="0">
                  <int2:citationText>(“Authentic relationships in group care for infants and ...”)</int2:citationText>
                </int2:suggestion>
              </int2:suggestions>
              <int2:suggestions int2:citationType="Full">
                <int2:suggestion int2:citationStyle="Mla" int2:isIdentical="0">
                  <int2:citationText>&lt;i&gt;Authentic relationships in group care for infants and ...&lt;/i&gt;, http://link.umsl.edu/portal/Authentic-relationships-in-group-care-for-infants/oiwa1d12sEM/.</int2:citationText>
                </int2:suggestion>
                <int2:suggestion int2:citationStyle="Apa" int2:isIdentical="0">
                  <int2:citationText>&lt;i&gt;Authentic relationships in group care for infants and ...&lt;/i&gt;. (n.d.). Retrieved from http://link.umsl.edu/portal/Authentic-relationships-in-group-care-for-infants/oiwa1d12sEM/</int2:citationText>
                </int2:suggestion>
                <int2:suggestion int2:citationStyle="Chicago" int2:isIdentical="0">
                  <int2:citationText>“Authentic relationships in group care for infants and ...” n.d., http://link.umsl.edu/portal/Authentic-relationships-in-group-care-for-infants/oiwa1d12sEM/.</int2:citationText>
                </int2:suggestion>
              </int2:suggestions>
            </int2:source>
          </int2:similarityCritique>
        </oel:ext>
      </int2:extLst>
    </int2:bookmark>
    <int2:bookmark int2:bookmarkName="_Int_hAFmud0R" int2:invalidationBookmarkName="" int2:hashCode="HLA2piDNXcdob/" int2:id="lgOq9Vz4">
      <int2:extLst>
        <oel:ext uri="426473B9-03D8-482F-96C9-C2C85392BACA">
          <int2:similarityCritique int2:version="1" int2:context="Moore, A. (2000) ‘Teaching and Learning: Pedagogy, Curriculum and Culture.’">
            <int2:source int2:sourceType="Online" int2:sourceTitle="The Importance of Play in Early Years Development" int2:sourceUrl="https://www.ukessays.com/essays/education/the-importance-of-play-in-early-years-development.php" int2:sourceSnippet="Moore, A. (2000) Teaching and Learning: Pedagogy, Curriculum and Culture. London: Routledge Moore, M., Russ, S. (2006) ‘Pretend Play as a Resource for Children: Implications for Pediatricians and Health Professionals.’ Journal of Developmental and Behavioural Pediatrics 27 (3), pp. 237 – 248">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ource int2:sourceType="Online" int2:sourceTitle="First thoughts on teaching and learning … – Contemporary ..." int2:sourceUrl="https://contemporaryissuesinteachingandlearning.wordpress.com/2015/09/18/8/" int2:sourceSnippet="Moore, A. (2000), Teaching and Learning: Pedagogy, Curriculum and Culture. New York: Routledge. Like Like. September 22, 2015 at 5:35 pm Reply. sd458. There is much to agree with in this blog, which emphasises the importance of play in the way children learn, especially in the EYFS years. However, it does raise the question for me learning to ...">
              <int2:suggestions int2:citationType="Inline">
                <int2:suggestion int2:citationStyle="Mla" int2:isIdentical="0">
                  <int2:citationText>(“First thoughts on teaching and learning … – Contemporary ...”)</int2:citationText>
                </int2:suggestion>
                <int2:suggestion int2:citationStyle="Apa" int2:isIdentical="0">
                  <int2:citationText>(“First thoughts on teaching and learning … – Contemporary ...”)</int2:citationText>
                </int2:suggestion>
                <int2:suggestion int2:citationStyle="Chicago" int2:isIdentical="0">
                  <int2:citationText>(“First thoughts on teaching and learning … – Contemporary ...”)</int2:citationText>
                </int2:suggestion>
              </int2:suggestions>
              <int2:suggestions int2:citationType="Full">
                <int2:suggestion int2:citationStyle="Mla" int2:isIdentical="0">
                  <int2:citationText>&lt;i&gt;First thoughts on teaching and learning … – Contemporary ...&lt;/i&gt;, https://contemporaryissuesinteachingandlearning.wordpress.com/2015/09/18/8/.</int2:citationText>
                </int2:suggestion>
                <int2:suggestion int2:citationStyle="Apa" int2:isIdentical="0">
                  <int2:citationText>&lt;i&gt;First thoughts on teaching and learning … – Contemporary ...&lt;/i&gt;. (n.d.). Retrieved from https://contemporaryissuesinteachingandlearning.wordpress.com/2015/09/18/8/</int2:citationText>
                </int2:suggestion>
                <int2:suggestion int2:citationStyle="Chicago" int2:isIdentical="0">
                  <int2:citationText>“First thoughts on teaching and learning … – Contemporary ...” n.d., https://contemporaryissuesinteachingandlearning.wordpress.com/2015/09/18/8/.</int2:citationText>
                </int2:suggestion>
              </int2:suggestions>
            </int2:source>
            <int2:source int2:sourceType="Online" int2:sourceTitle="What Is Very Important to Learning? | Free Essay Example" int2:sourceUrl="https://studycorgi.com/what-is-very-important-to-learning/" int2:sourceSnippet="Moore, A. (2000) Teaching and learning: Pedagogy, curriculum and culture. London: RoutledgeFalmer. Moore, S and N. Kuol, (2007) Retrospective insights on teaching: Exploring teaching excellence through the eyes of the alumni.">
              <int2:suggestions int2:citationType="Inline">
                <int2:suggestion int2:citationStyle="Mla" int2:isIdentical="0">
                  <int2:citationText>(“What Is Very Important to Learning? | Free Essay Example”)</int2:citationText>
                </int2:suggestion>
                <int2:suggestion int2:citationStyle="Apa" int2:isIdentical="0">
                  <int2:citationText>(“What Is Very Important to Learning? | Free Essay Example”)</int2:citationText>
                </int2:suggestion>
                <int2:suggestion int2:citationStyle="Chicago" int2:isIdentical="0">
                  <int2:citationText>(“What Is Very Important to Learning? | Free Essay Example”)</int2:citationText>
                </int2:suggestion>
              </int2:suggestions>
              <int2:suggestions int2:citationType="Full">
                <int2:suggestion int2:citationStyle="Mla" int2:isIdentical="0">
                  <int2:citationText>&lt;i&gt;What Is Very Important to Learning? | Free Essay Example&lt;/i&gt;, https://studycorgi.com/what-is-very-important-to-learning/.</int2:citationText>
                </int2:suggestion>
                <int2:suggestion int2:citationStyle="Apa" int2:isIdentical="0">
                  <int2:citationText>&lt;i&gt;What Is Very Important to Learning? | Free Essay Example&lt;/i&gt;. (n.d.). Retrieved from https://studycorgi.com/what-is-very-important-to-learning/</int2:citationText>
                </int2:suggestion>
                <int2:suggestion int2:citationStyle="Chicago" int2:isIdentical="0">
                  <int2:citationText>“What Is Very Important to Learning? | Free Essay Example” n.d., https://studycorgi.com/what-is-very-important-to-learning/.</int2:citationText>
                </int2:suggestion>
              </int2:suggestions>
            </int2:source>
          </int2:similarityCritique>
        </oel:ext>
      </int2:extLst>
    </int2:bookmark>
    <int2:bookmark int2:bookmarkName="_Int_G1nSUAQ5" int2:invalidationBookmarkName="" int2:hashCode="ayPUUAzKT3AGp5" int2:id="Br0iZYIN">
      <int2:extLst>
        <oel:ext uri="426473B9-03D8-482F-96C9-C2C85392BACA">
          <int2:similarityCritique int2:version="1" int2:context="‌Lillemyr, O. F. (2009) ‘Taking Play Seriously.’ Charlotte: Information Age Publishing Inc">
            <int2:source int2:sourceType="Online" int2:sourceTitle="The Importance of Play in Early Years Development" int2:sourceUrl="https://www.ukessays.com/essays/education/the-importance-of-play-in-early-years-development.php" int2:sourceSnippet="Lillemyr, O. F. (2009) Taking Play Seriously. Charlotte: Information Age Publishing Inc Manning-Morton, J., Thorp, M. (2003) Key Times for Play: The First Three Years. Maidenhead: Open University Press May, P. (2013) The Thinking Child: Laying the Foundations of Understanding and Competence. Abingdon: Routledge Meadows, S. (1993) The Child as ...">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imilarityCritique>
        </oel:ext>
      </int2:extLst>
    </int2:bookmark>
    <int2:bookmark int2:bookmarkName="_Int_f3Surt6S" int2:invalidationBookmarkName="" int2:hashCode="0PHCOmLQpRcvFi" int2:id="U6Dzq7P0">
      <int2:extLst>
        <oel:ext uri="426473B9-03D8-482F-96C9-C2C85392BACA">
          <int2:similarityCritique int2:version="1" int2:context="Bruce, T. (1991) ‘Time to Play in Early Childhood Education.">
            <int2:source int2:sourceType="Online" int2:sourceTitle="The Importance of Play in Early Years Development" int2:sourceUrl="https://www.ukessays.com/essays/education/the-importance-of-play-in-early-years-development.php" int2:sourceSnippet="Bruce, T. (1991) Time to Play in Early Childhood Education. London: Hodder &amp; Stoughton Bruce, T. (1996) Helping Young Children to Play. London: Hodder &amp; Stoughton Bruce, T. (2004) Developing Learning in Early Childhood. London: Sage Buchan, T. (2013) The Social Child. Laying the Foundations of Relationships and Language. Abingdon: Routledge">
              <int2:suggestions int2:citationType="Inline">
                <int2:suggestion int2:citationStyle="Mla" int2:isIdentical="0">
                  <int2:citationText>(“The Importance of Play in Early Years Development”)</int2:citationText>
                </int2:suggestion>
                <int2:suggestion int2:citationStyle="Apa" int2:isIdentical="0">
                  <int2:citationText>(“The Importance of Play in Early Years Development”)</int2:citationText>
                </int2:suggestion>
                <int2:suggestion int2:citationStyle="Chicago" int2:isIdentical="0">
                  <int2:citationText>(“The Importance of Play in Early Years Development”)</int2:citationText>
                </int2:suggestion>
              </int2:suggestions>
              <int2:suggestions int2:citationType="Full">
                <int2:suggestion int2:citationStyle="Mla" int2:isIdentical="0">
                  <int2:citationText>&lt;i&gt;The Importance of Play in Early Years Development&lt;/i&gt;, https://www.ukessays.com/essays/education/the-importance-of-play-in-early-years-development.php.</int2:citationText>
                </int2:suggestion>
                <int2:suggestion int2:citationStyle="Apa" int2:isIdentical="0">
                  <int2:citationText>&lt;i&gt;The Importance of Play in Early Years Development&lt;/i&gt;. (n.d.). Retrieved from https://www.ukessays.com/essays/education/the-importance-of-play-in-early-years-development.php</int2:citationText>
                </int2:suggestion>
                <int2:suggestion int2:citationStyle="Chicago" int2:isIdentical="0">
                  <int2:citationText>“The Importance of Play in Early Years Development” n.d., https://www.ukessays.com/essays/education/the-importance-of-play-in-early-years-development.php.</int2:citationText>
                </int2:suggestion>
              </int2:suggestions>
            </int2:source>
            <int2:source int2:sourceType="Online" int2:sourceTitle="References – Importance of Play in the Early Childhood ..." int2:sourceUrl="https://dc00456289pc.wordpress.com/references/" int2:sourceSnippet="Bruce, T. (1991) Time to Play in Early Childhood Education. London: Hodder &amp; Stroughton. London: Hodder &amp; Stroughton. Brussoni et al (2012) Risky Play and Children’s Safety: Balancing Priorities for Optimal Child Development.">
              <int2:suggestions int2:citationType="Inline">
                <int2:suggestion int2:citationStyle="Mla" int2:isIdentical="0">
                  <int2:citationText>(“References – Importance of Play in the Early Childhood ...”)</int2:citationText>
                </int2:suggestion>
                <int2:suggestion int2:citationStyle="Apa" int2:isIdentical="0">
                  <int2:citationText>(“References – Importance of Play in the Early Childhood ...”)</int2:citationText>
                </int2:suggestion>
                <int2:suggestion int2:citationStyle="Chicago" int2:isIdentical="0">
                  <int2:citationText>(“References – Importance of Play in the Early Childhood ...”)</int2:citationText>
                </int2:suggestion>
              </int2:suggestions>
              <int2:suggestions int2:citationType="Full">
                <int2:suggestion int2:citationStyle="Mla" int2:isIdentical="0">
                  <int2:citationText>&lt;i&gt;References – Importance of Play in the Early Childhood ...&lt;/i&gt;, https://dc00456289pc.wordpress.com/references/.</int2:citationText>
                </int2:suggestion>
                <int2:suggestion int2:citationStyle="Apa" int2:isIdentical="0">
                  <int2:citationText>&lt;i&gt;References – Importance of Play in the Early Childhood ...&lt;/i&gt;. (n.d.). Retrieved from https://dc00456289pc.wordpress.com/references/</int2:citationText>
                </int2:suggestion>
                <int2:suggestion int2:citationStyle="Chicago" int2:isIdentical="0">
                  <int2:citationText>“References – Importance of Play in the Early Childhood ...” n.d., https://dc00456289pc.wordpress.com/references/.</int2:citationText>
                </int2:suggestion>
              </int2:suggestions>
            </int2:source>
            <int2:source int2:sourceType="Online" int2:sourceTitle="Early Years Childcare Essay - UKEssays.com" int2:sourceUrl="https://www.ukessays.com/essays/childcare/early-years.php" int2:sourceSnippet="Bruce, T. (1991) Time to Play in Early Childhood Education. London: Hodder &amp; Stoughton London: Hodder &amp; Stoughton CACHE (2011) ‘CACHE Level 3 Diploma for the Early Years Workforce (Early Years Educator) (QCF).’">
              <int2:suggestions int2:citationType="Inline">
                <int2:suggestion int2:citationStyle="Mla" int2:isIdentical="0">
                  <int2:citationText>(“Early Years Childcare Essay - UKEssays.com”)</int2:citationText>
                </int2:suggestion>
                <int2:suggestion int2:citationStyle="Apa" int2:isIdentical="0">
                  <int2:citationText>(“Early Years Childcare Essay - UKEssays.com”)</int2:citationText>
                </int2:suggestion>
                <int2:suggestion int2:citationStyle="Chicago" int2:isIdentical="0">
                  <int2:citationText>(“Early Years Childcare Essay - UKEssays.com”)</int2:citationText>
                </int2:suggestion>
              </int2:suggestions>
              <int2:suggestions int2:citationType="Full">
                <int2:suggestion int2:citationStyle="Mla" int2:isIdentical="0">
                  <int2:citationText>&lt;i&gt;Early Years Childcare Essay - UKEssays.com&lt;/i&gt;, https://www.ukessays.com/essays/childcare/early-years.php.</int2:citationText>
                </int2:suggestion>
                <int2:suggestion int2:citationStyle="Apa" int2:isIdentical="0">
                  <int2:citationText>&lt;i&gt;Early Years Childcare Essay - UKEssays.com&lt;/i&gt;. (n.d.). Retrieved from https://www.ukessays.com/essays/childcare/early-years.php</int2:citationText>
                </int2:suggestion>
                <int2:suggestion int2:citationStyle="Chicago" int2:isIdentical="0">
                  <int2:citationText>“Early Years Childcare Essay - UKEssays.com” n.d., https://www.ukessays.com/essays/childcare/early-years.php.</int2:citationText>
                </int2:suggestion>
              </int2:suggestions>
            </int2:source>
          </int2:similarityCritique>
        </oel:ext>
      </int2:extLst>
    </int2:bookmark>
    <int2:bookmark int2:bookmarkName="_Int_FXTPJ8vi" int2:invalidationBookmarkName="" int2:hashCode="upibJvkh7Zxjve" int2:id="jzosuFhX">
      <int2:extLst>
        <oel:ext uri="426473B9-03D8-482F-96C9-C2C85392BACA">
          <int2:similarityCritique int2:version="1" int2:context="Children should be encouraged and supported to fully enjoy, explore, and appreciate constructive play.">
            <int2:source int2:sourceType="Online" int2:sourceTitle="The Importance of Constructive Play - Community Playthings" int2:sourceUrl="https://www.communityplaythings.com/resources/articles/2015/constructive-play" int2:sourceSnippet="Children should be encouraged and supported to fully enjoy, explore, and appreciate constructive play. Further, enough time every day needs to be provided for all kinds of play, and constructive play should be encouraged inside, in transition areas (i.e. porches or decks), and on the playground.">
              <int2:suggestions int2:citationType="Inline">
                <int2:suggestion int2:citationStyle="Mla" int2:isIdentical="1">
                  <int2:citationText>(“The Importance of Constructive Play - Community Playthings”)</int2:citationText>
                </int2:suggestion>
                <int2:suggestion int2:citationStyle="Apa" int2:isIdentical="1">
                  <int2:citationText>(“The Importance of Constructive Play - Community Playthings”)</int2:citationText>
                </int2:suggestion>
                <int2:suggestion int2:citationStyle="Chicago" int2:isIdentical="1">
                  <int2:citationText>(“The Importance of Constructive Play - Community Playthings”)</int2:citationText>
                </int2:suggestion>
              </int2:suggestions>
              <int2:suggestions int2:citationType="Full">
                <int2:suggestion int2:citationStyle="Mla" int2:isIdentical="1">
                  <int2:citationText>&lt;i&gt;The Importance of Constructive Play - Community Playthings&lt;/i&gt;, https://www.communityplaythings.com/resources/articles/2015/constructive-play.</int2:citationText>
                </int2:suggestion>
                <int2:suggestion int2:citationStyle="Apa" int2:isIdentical="1">
                  <int2:citationText>&lt;i&gt;The Importance of Constructive Play - Community Playthings&lt;/i&gt;. (n.d.). Retrieved from https://www.communityplaythings.com/resources/articles/2015/constructive-play</int2:citationText>
                </int2:suggestion>
                <int2:suggestion int2:citationStyle="Chicago" int2:isIdentical="1">
                  <int2:citationText>“The Importance of Constructive Play - Community Playthings” n.d., https://www.communityplaythings.com/resources/articles/2015/constructive-play.</int2:citationText>
                </int2:suggestion>
              </int2:suggestions>
            </int2:source>
            <int2:source int2:sourceType="Online" int2:sourceTitle="Why is constructive play so important? - Kindiedays Blog" int2:sourceUrl="https://kindiedays.loyalistic.com/blog/why-is-constructive-play-so-important" int2:sourceSnippet="Children should be encouraged and supported to fully enjoy, explore, and appreciate constructive play. - Francis Wardle. The most important thing in encouraging constructive play for young children is to understand the value of this kind of play, says Francis Wardle, a PhD in child development and early education.">
              <int2:suggestions int2:citationType="Inline">
                <int2:suggestion int2:citationStyle="Mla" int2:isIdentical="1">
                  <int2:citationText>(“Why is constructive play so important? - Kindiedays Blog”)</int2:citationText>
                </int2:suggestion>
                <int2:suggestion int2:citationStyle="Apa" int2:isIdentical="1">
                  <int2:citationText>(“Why is constructive play so important? - Kindiedays Blog”)</int2:citationText>
                </int2:suggestion>
                <int2:suggestion int2:citationStyle="Chicago" int2:isIdentical="1">
                  <int2:citationText>(“Why is constructive play so important? - Kindiedays Blog”)</int2:citationText>
                </int2:suggestion>
              </int2:suggestions>
              <int2:suggestions int2:citationType="Full">
                <int2:suggestion int2:citationStyle="Mla" int2:isIdentical="1">
                  <int2:citationText>&lt;i&gt;Why is constructive play so important? - Kindiedays Blog&lt;/i&gt;, https://kindiedays.loyalistic.com/blog/why-is-constructive-play-so-important.</int2:citationText>
                </int2:suggestion>
                <int2:suggestion int2:citationStyle="Apa" int2:isIdentical="1">
                  <int2:citationText>&lt;i&gt;Why is constructive play so important? - Kindiedays Blog&lt;/i&gt;. (n.d.). Retrieved from https://kindiedays.loyalistic.com/blog/why-is-constructive-play-so-important</int2:citationText>
                </int2:suggestion>
                <int2:suggestion int2:citationStyle="Chicago" int2:isIdentical="1">
                  <int2:citationText>“Why is constructive play so important? - Kindiedays Blog” n.d., https://kindiedays.loyalistic.com/blog/why-is-constructive-play-so-important.</int2:citationText>
                </int2:suggestion>
              </int2:suggestions>
            </int2:source>
            <int2:source int2:sourceType="Online" int2:sourceTitle="The Importance of Constructive Play | The Shyne School" int2:sourceUrl="https://shyneschool.com/the-importance-of-constructive-play" int2:sourceSnippet="Children should be encouraged and supported to fully enjoy, explore, and appreciate constructive play. Further, enough time every day needs to be provided for all kinds of play, and constructive play should be encouraged inside, in transition areas (i.e. porches or decks), and on the playground. This begins by providing a vast array of ...">
              <int2:suggestions int2:citationType="Inline">
                <int2:suggestion int2:citationStyle="Mla" int2:isIdentical="1">
                  <int2:citationText>(“The Importance of Constructive Play | The Shyne School”)</int2:citationText>
                </int2:suggestion>
                <int2:suggestion int2:citationStyle="Apa" int2:isIdentical="1">
                  <int2:citationText>(“The Importance of Constructive Play | The Shyne School”)</int2:citationText>
                </int2:suggestion>
                <int2:suggestion int2:citationStyle="Chicago" int2:isIdentical="1">
                  <int2:citationText>(“The Importance of Constructive Play | The Shyne School”)</int2:citationText>
                </int2:suggestion>
              </int2:suggestions>
              <int2:suggestions int2:citationType="Full">
                <int2:suggestion int2:citationStyle="Mla" int2:isIdentical="1">
                  <int2:citationText>&lt;i&gt;The Importance of Constructive Play | The Shyne School&lt;/i&gt;, https://shyneschool.com/the-importance-of-constructive-play.</int2:citationText>
                </int2:suggestion>
                <int2:suggestion int2:citationStyle="Apa" int2:isIdentical="1">
                  <int2:citationText>&lt;i&gt;The Importance of Constructive Play | The Shyne School&lt;/i&gt;. (n.d.). Retrieved from https://shyneschool.com/the-importance-of-constructive-play</int2:citationText>
                </int2:suggestion>
                <int2:suggestion int2:citationStyle="Chicago" int2:isIdentical="1">
                  <int2:citationText>“The Importance of Constructive Play | The Shyne School” n.d., https://shyneschool.com/the-importance-of-constructive-play.</int2:citationText>
                </int2:suggestion>
              </int2:suggestions>
            </int2:source>
          </int2:similarityCritique>
        </oel:ext>
      </int2:extLst>
    </int2:bookmark>
    <int2:bookmark int2:bookmarkName="_Int_wuzC43Po" int2:invalidationBookmarkName="" int2:hashCode="Z4BQabnQ9xYabQ" int2:id="fbvZONHR">
      <int2:state int2:type="LegacyProofing" int2:value="Rejected"/>
    </int2:bookmark>
    <int2:entireDocument int2:id="yovLEXCh">
      <int2:extLst>
        <oel:ext uri="E302BA01-7950-474C-9AD3-286E660C40A8">
          <int2:similaritySummary int2:version="1" int2:runId="1645399824441" int2:tilesCheckedInThisRun="70" int2:totalNumOfTiles="70" int2:similarityAnnotationCount="9" int2:numWords="3365" int2:numFlaggedWords="124"/>
        </oel:ext>
      </int2:extLst>
    </int2:entireDocument>
  </int2:observations>
  <int2:intelligenceSettings/>
  <int2:onDemandWorkflows>
    <int2:onDemandWorkflow int2:type="SimilarityCheck" int2:paragraphVersions="63811DF8-5F9B9265 04B1829F-24A92458 5144DB43-5DDFC4F9 58336D36-4E82EA95 037B1D39-798F95F0 60857C38-741EF577 66450F50-0EF3CD2A 01A5EE5A-3D1A7BF2 5896903F-20D7C6F3 46022D5C-3B9292BE 112DBB94-6D291D5E 67EB3EFD-32D921ED 37D54C0C-120C9A08 11653700-4A16F7C5 001677BF-28E0E8D8 1A6915FA-3EDD9FA9 408D5058-0BE6EDAB 2092E069-035A18AA 7E853E68-5A464FB6 360AA2ED-1BA32CBB 4A549AC9-6B62CE73 2B93EC36-363495C1 7DE3C274-29EE551D 26069BDE-769FBD38 7975DCFC-298CEFF4 34FEB00B-1E36AA08 550B2B61-3480D1BD 496C070E-5C52BE75 2BE7DC07-4C75833B 02543454-6DF4B14C 4F5BACC7-39561771 234BAB00-49456135 11EB449A-18841150 3F5D687E-2724BC79 1D5E87BB-6E7EFD6F 410B4104-1A196D79 51A31D28-68F969F8 66E65499-3684573E 3F92D69A-5E79595B 25FFAF59-591CBAEF 124F57D8-23273DA6 19F43154-3E3C598C 581D0721-7BB750A3 3B4D5FF5-247B866A 773B53EE-1A16F094 4BF71CEA-20A4004A 6F09669B-13AEA691 2D36CBD5-21C239AE 57572872-02496F6A 62993A60-509BB9DC 744FE591-5B5411A6 2CD1CE85-5D6686F0 4853953E-4D534F28 00EED383-39548DA8 18BBC4DB-6E566839 46874011-3AB56164 4EB8D66E-3E5AB4B9 4101E9AD-49162205 6521BC9C-0B7C7F6D 2EA8862A-508789A7 26C2387B-7024B1A0 4E565774-0B2C032A 06A4A43C-3BA5326F 5277EEAB-5B77B378 6175C283-620119C8 60DEC418-5E6269A4 14770BC2-16973452 70ED2337-6A8EA1BD 2D9BAB72-6FCD7B6D 2744AD43-3CF3E50E 3392AC69-7A5F6806 4C5A3BEC-27D9CBB5 3472A3EB-064EC119 19DEBB7B-1957062A 334975BC-40D9D22D 3B800662-538E26EC 2E024965-362AEA0C 3B054530-73864E67 75392CE6-5B5C77E4 2CA7A7A8-721F5FEE 32D97A50-5639B716 5C5A4344-741545B6 77C7145D-1ED777DC 6411228F-053E99AD 7AF5A321-50058A03 442C6EC2-1142BF07 7EEA70D6-4C6BEE77 2358903A-461EEFD5 1EEEEED6-5D053B0D 219C9CC1-27182334 1E3478E1-531DD943 15269757-619AD442 6DAC2AB6-0517C00B 2C078E63-41544724"/>
  </int2:onDemandWorkflow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CC1738"/>
    <w:rsid w:val="010E8DAB"/>
    <w:rsid w:val="018B77A2"/>
    <w:rsid w:val="02CC1738"/>
    <w:rsid w:val="0506E063"/>
    <w:rsid w:val="0506E063"/>
    <w:rsid w:val="051A3E39"/>
    <w:rsid w:val="0C05F06F"/>
    <w:rsid w:val="0D0F56FF"/>
    <w:rsid w:val="0DBC0387"/>
    <w:rsid w:val="0E97C17A"/>
    <w:rsid w:val="0EE49CE4"/>
    <w:rsid w:val="0FB2DFA1"/>
    <w:rsid w:val="11867AD1"/>
    <w:rsid w:val="127531F3"/>
    <w:rsid w:val="1292C316"/>
    <w:rsid w:val="12B14AD0"/>
    <w:rsid w:val="12B14AD0"/>
    <w:rsid w:val="13213B70"/>
    <w:rsid w:val="13B80E07"/>
    <w:rsid w:val="15ACD2B5"/>
    <w:rsid w:val="1748A316"/>
    <w:rsid w:val="1784BBF3"/>
    <w:rsid w:val="186B348B"/>
    <w:rsid w:val="1A0704EC"/>
    <w:rsid w:val="1A274F8B"/>
    <w:rsid w:val="1A601774"/>
    <w:rsid w:val="1C0326BD"/>
    <w:rsid w:val="1D91C2EE"/>
    <w:rsid w:val="1D97B836"/>
    <w:rsid w:val="1ED96F58"/>
    <w:rsid w:val="1F53B4FB"/>
    <w:rsid w:val="1F5BA281"/>
    <w:rsid w:val="234BD4E2"/>
    <w:rsid w:val="241501D0"/>
    <w:rsid w:val="2571EFB8"/>
    <w:rsid w:val="25CAE405"/>
    <w:rsid w:val="274CA292"/>
    <w:rsid w:val="290284C7"/>
    <w:rsid w:val="2A114AB4"/>
    <w:rsid w:val="2D32ADD9"/>
    <w:rsid w:val="2EE4BBD7"/>
    <w:rsid w:val="2F58D8CF"/>
    <w:rsid w:val="2F71C64B"/>
    <w:rsid w:val="31FDD4DF"/>
    <w:rsid w:val="321C5C99"/>
    <w:rsid w:val="32A9670D"/>
    <w:rsid w:val="35760E62"/>
    <w:rsid w:val="3EAD8BED"/>
    <w:rsid w:val="3EB7C545"/>
    <w:rsid w:val="3F72BDC7"/>
    <w:rsid w:val="4009905E"/>
    <w:rsid w:val="422C8C16"/>
    <w:rsid w:val="423A6DE9"/>
    <w:rsid w:val="4270EB8D"/>
    <w:rsid w:val="44DD0181"/>
    <w:rsid w:val="4677CB2B"/>
    <w:rsid w:val="46B89DD2"/>
    <w:rsid w:val="47C20462"/>
    <w:rsid w:val="48A9AF6D"/>
    <w:rsid w:val="490077B0"/>
    <w:rsid w:val="4A7FC428"/>
    <w:rsid w:val="51776A8B"/>
    <w:rsid w:val="550F8A06"/>
    <w:rsid w:val="5532F13B"/>
    <w:rsid w:val="56D6AF22"/>
    <w:rsid w:val="5A13ACB9"/>
    <w:rsid w:val="61FD57B7"/>
    <w:rsid w:val="61FD57B7"/>
    <w:rsid w:val="62AC42E9"/>
    <w:rsid w:val="63415013"/>
    <w:rsid w:val="651764CE"/>
    <w:rsid w:val="67642ECA"/>
    <w:rsid w:val="6978E180"/>
    <w:rsid w:val="69FC26F3"/>
    <w:rsid w:val="69FC26F3"/>
    <w:rsid w:val="6A286FBD"/>
    <w:rsid w:val="6ABD8E94"/>
    <w:rsid w:val="6C7A9C16"/>
    <w:rsid w:val="6E0E951C"/>
    <w:rsid w:val="6E33CD51"/>
    <w:rsid w:val="6E36AF06"/>
    <w:rsid w:val="712E83D8"/>
    <w:rsid w:val="7466249A"/>
    <w:rsid w:val="7641C0EB"/>
    <w:rsid w:val="7712B09E"/>
    <w:rsid w:val="7A0B3C16"/>
    <w:rsid w:val="7A2BA4F0"/>
    <w:rsid w:val="7B09EB84"/>
    <w:rsid w:val="7C72CA16"/>
    <w:rsid w:val="7C777045"/>
    <w:rsid w:val="7CBC5391"/>
    <w:rsid w:val="7DC8ECE2"/>
    <w:rsid w:val="7E1340A6"/>
    <w:rsid w:val="7E1340A6"/>
    <w:rsid w:val="7FE8A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1738"/>
  <w15:chartTrackingRefBased/>
  <w15:docId w15:val="{505FF2A7-29CA-4112-8C61-AB152061CB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07e37363340435b" /><Relationship Type="http://schemas.openxmlformats.org/officeDocument/2006/relationships/numbering" Target="numbering.xml" Id="Rdab4c8fed5a3454b" /><Relationship Type="http://schemas.openxmlformats.org/officeDocument/2006/relationships/hyperlink" Target="https://moodle.uwtsd.ac.uk/course/view.php?id=9759" TargetMode="External" Id="Re74de3b25ce947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2022-02-20T05:47:10.9549048Z</dcterms:created>
  <dcterms:modified xsi:type="dcterms:W3CDTF">2022-02-20T23:45:40.8494502Z</dcterms:modified>
  <dc:creator>Samiya Alexander (2114405)</dc:creator>
  <lastModifiedBy>Samiya Alexander (2114405)</lastModifiedBy>
</coreProperties>
</file>