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D575CC" w14:textId="77777777" w:rsidR="003628C3" w:rsidRDefault="003628C3" w:rsidP="003628C3">
      <w:pPr>
        <w:pStyle w:val="NormalWeb"/>
        <w:spacing w:before="0" w:beforeAutospacing="0" w:after="300" w:afterAutospacing="0"/>
        <w:rPr>
          <w:color w:val="000000"/>
        </w:rPr>
      </w:pPr>
      <w:r>
        <w:rPr>
          <w:rFonts w:ascii="Calibri" w:hAnsi="Calibri" w:cs="Calibri"/>
          <w:color w:val="17365D"/>
          <w:sz w:val="52"/>
          <w:szCs w:val="52"/>
        </w:rPr>
        <w:t>Harmony: Retail as a Driver of Human Flourishing and Sustainable Economic Systems</w:t>
      </w:r>
    </w:p>
    <w:p w14:paraId="3414ED8D" w14:textId="77777777" w:rsidR="003628C3" w:rsidRDefault="003628C3" w:rsidP="003628C3">
      <w:pPr>
        <w:pStyle w:val="NormalWeb"/>
        <w:spacing w:before="0" w:beforeAutospacing="0" w:after="200" w:afterAutospacing="0"/>
        <w:rPr>
          <w:color w:val="000000"/>
        </w:rPr>
      </w:pPr>
      <w:r>
        <w:rPr>
          <w:rFonts w:ascii="Cambria" w:hAnsi="Cambria"/>
          <w:b/>
          <w:bCs/>
          <w:color w:val="000000"/>
          <w:sz w:val="22"/>
          <w:szCs w:val="22"/>
        </w:rPr>
        <w:t>Doctorate in Professional Practice – Research Proposal Draft</w:t>
      </w:r>
      <w:r>
        <w:rPr>
          <w:rFonts w:ascii="Cambria" w:hAnsi="Cambria"/>
          <w:b/>
          <w:bCs/>
          <w:color w:val="000000"/>
          <w:sz w:val="22"/>
          <w:szCs w:val="22"/>
        </w:rPr>
        <w:br/>
      </w:r>
      <w:r>
        <w:rPr>
          <w:rFonts w:ascii="Cambria" w:hAnsi="Cambria"/>
          <w:b/>
          <w:bCs/>
          <w:color w:val="000000"/>
          <w:sz w:val="22"/>
          <w:szCs w:val="22"/>
        </w:rPr>
        <w:br/>
      </w:r>
    </w:p>
    <w:p w14:paraId="21E9F6EB" w14:textId="77777777" w:rsidR="003628C3" w:rsidRDefault="003628C3" w:rsidP="003628C3">
      <w:pPr>
        <w:pStyle w:val="Heading1"/>
        <w:spacing w:line="0" w:lineRule="auto"/>
        <w:rPr>
          <w:color w:val="000000"/>
        </w:rPr>
      </w:pPr>
      <w:r>
        <w:rPr>
          <w:rFonts w:ascii="Calibri" w:hAnsi="Calibri" w:cs="Calibri"/>
          <w:color w:val="365F91"/>
        </w:rPr>
        <w:t>Background and Context</w:t>
      </w:r>
    </w:p>
    <w:p w14:paraId="27B24DCB"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Storytelling and personal narrative are at the heart of human flourishing both collectively and individually. We live in a time when one could say that narratives are flattening and people are more isolated than ever. One culprit plaguing society is consumerism (Baudrillard, 1998; Holt, 2004). Could a new kind of consumerism position commerce as a viable antidote?</w:t>
      </w:r>
    </w:p>
    <w:p w14:paraId="7E5F35F7" w14:textId="4505569C"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Today’s global economy is increasingly </w:t>
      </w:r>
      <w:r>
        <w:rPr>
          <w:rFonts w:ascii="Cambria" w:hAnsi="Cambria"/>
          <w:color w:val="000000"/>
          <w:sz w:val="22"/>
          <w:szCs w:val="22"/>
        </w:rPr>
        <w:t>characterized</w:t>
      </w:r>
      <w:r>
        <w:rPr>
          <w:rFonts w:ascii="Cambria" w:hAnsi="Cambria"/>
          <w:color w:val="000000"/>
          <w:sz w:val="22"/>
          <w:szCs w:val="22"/>
        </w:rPr>
        <w:t xml:space="preserve"> by consumer saturation, environmental degradation, psychological fragmentation, and declining trust in institutions (Bellah et al., 1985; Fullerton, 2015). In addition, consumers are more educated and powerful than ever at an individual level (Pine and Gilmore, 1999). While retail remains one of the most influential cultural and economic systems shaping everyday human experience, it is often designed primarily around extraction, stimulation, and transactional efficiency rather than human flourishing (Baudrillard, 1998; Holt, 2004). This research proposes that retail environments, brand systems, and </w:t>
      </w:r>
      <w:r>
        <w:rPr>
          <w:rFonts w:ascii="Cambria" w:hAnsi="Cambria"/>
          <w:color w:val="000000"/>
          <w:sz w:val="22"/>
          <w:szCs w:val="22"/>
        </w:rPr>
        <w:t>organizational</w:t>
      </w:r>
      <w:r>
        <w:rPr>
          <w:rFonts w:ascii="Cambria" w:hAnsi="Cambria"/>
          <w:color w:val="000000"/>
          <w:sz w:val="22"/>
          <w:szCs w:val="22"/>
        </w:rPr>
        <w:t xml:space="preserve"> cultures may instead function as developmental and regenerative structures capable of supporting psychological wellbeing, transcendence, community cohesion, and sustainable economic </w:t>
      </w:r>
      <w:r>
        <w:rPr>
          <w:rFonts w:ascii="Cambria" w:hAnsi="Cambria"/>
          <w:color w:val="000000"/>
          <w:sz w:val="22"/>
          <w:szCs w:val="22"/>
        </w:rPr>
        <w:t>behavior</w:t>
      </w:r>
      <w:r>
        <w:rPr>
          <w:rFonts w:ascii="Cambria" w:hAnsi="Cambria"/>
          <w:color w:val="000000"/>
          <w:sz w:val="22"/>
          <w:szCs w:val="22"/>
        </w:rPr>
        <w:t xml:space="preserve"> (Fullerton, 2015; Raworth, 2017).</w:t>
      </w:r>
    </w:p>
    <w:p w14:paraId="25A6410A" w14:textId="7F1BC94F" w:rsidR="003628C3" w:rsidRDefault="003628C3" w:rsidP="003628C3">
      <w:pPr>
        <w:pStyle w:val="NormalWeb"/>
        <w:spacing w:before="240" w:beforeAutospacing="0" w:after="240" w:afterAutospacing="0"/>
        <w:rPr>
          <w:color w:val="000000"/>
        </w:rPr>
      </w:pPr>
      <w:r>
        <w:rPr>
          <w:rFonts w:ascii="Cambria" w:hAnsi="Cambria"/>
          <w:color w:val="000000"/>
          <w:sz w:val="22"/>
          <w:szCs w:val="22"/>
        </w:rPr>
        <w:br/>
        <w:t>The concept of human flourishing has become increasingly central within interdisciplinary research across psychology, education, economics, architecture, and sustainability studies. Flourishing extends beyond material wealth and productivity and instead encompasses meaning, belonging, wellbeing, purpose, beauty, and social participation. The work of Abraham Maslow remains foundational in this area, particularly his later writings on self-transcendence, where he argued that the highest human motivation is not self-</w:t>
      </w:r>
      <w:r>
        <w:rPr>
          <w:rFonts w:ascii="Cambria" w:hAnsi="Cambria"/>
          <w:color w:val="000000"/>
          <w:sz w:val="22"/>
          <w:szCs w:val="22"/>
        </w:rPr>
        <w:t>actualization</w:t>
      </w:r>
      <w:r>
        <w:rPr>
          <w:rFonts w:ascii="Cambria" w:hAnsi="Cambria"/>
          <w:color w:val="000000"/>
          <w:sz w:val="22"/>
          <w:szCs w:val="22"/>
        </w:rPr>
        <w:t xml:space="preserve"> alone, but participation in something greater than the self (Maslow, 1971). Scott Barry Kaufman expands this understanding in Transcend: The New Science of Self-Actualization, arguing that transcendence-oriented development supports creativity, psychological integration, social contribution, and meaning-making within modern life (Kaufman, 2020). Textbooks have long considered Maslow’s hierarchy to be pyramidal while his own writings suggest a more cyclical and dynamic approach to human needs at the human level. We seem as humans to experience transcendence in some aspects of life while at the same time seeking safety or belonging in another.</w:t>
      </w:r>
    </w:p>
    <w:p w14:paraId="7619DD4B"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Simultaneously, concern has grown regarding the psychological consequences of modern consumer culture (Bellah et al., 1985; Baudrillard, 1998). The same could be said for the modern methods, like social media and the internet, used to promote consumer culture and cultivate spending habits (Baudrillard, 1998). Scholars increasingly argue that commercial systems frequently amplify anxiety, status competition, social isolation, and identity instability (Bellah et al., 1985; Baudrillard, </w:t>
      </w:r>
      <w:r>
        <w:rPr>
          <w:rFonts w:ascii="Cambria" w:hAnsi="Cambria"/>
          <w:color w:val="000000"/>
          <w:sz w:val="22"/>
          <w:szCs w:val="22"/>
        </w:rPr>
        <w:lastRenderedPageBreak/>
        <w:t>1998). While sustainable business models have emerged in response to environmental concerns (Fullerton, 2015), there remains a significant gap in literature regarding the role retail itself might play in fostering human flourishing and cultural regeneration.</w:t>
      </w:r>
    </w:p>
    <w:p w14:paraId="594B7D15"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This research seeks to address that gap by integrating three theoretical frameworks: transcendence psychology, the Grammar of Harmony articulated by King Charles III and The King’s Foundation, and archetypal developmental theory derived from Carl Jung and Joseph Campbell (Jung, 1968; Campbell, 2008; King Charles III, 2010). In Harmony: A New Way of Looking at Our World, King Charles argues that societies flourish when human systems operate in alignment with natural order, beauty, proportion, interconnectedness, and ecological stewardship. This “grammar of harmony” offers a philosophical framework that may provide alternatives to fragmented commercial design and unsustainable consumption (King Charles III, 2010).</w:t>
      </w:r>
    </w:p>
    <w:p w14:paraId="400A6B9E" w14:textId="2E03ED2C"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The study also draws on Jungian archetypes and Campbell’s Hero’s Journey as narrative structures through which individuals seek meaning and transformation (Jung, 1968; Campbell, 2008). Contemporary brands frequently function as symbolic systems shaping identity and aspiration (Holt, 2004). However, few </w:t>
      </w:r>
      <w:r>
        <w:rPr>
          <w:rFonts w:ascii="Cambria" w:hAnsi="Cambria"/>
          <w:color w:val="000000"/>
          <w:sz w:val="22"/>
          <w:szCs w:val="22"/>
        </w:rPr>
        <w:t>organizations</w:t>
      </w:r>
      <w:r>
        <w:rPr>
          <w:rFonts w:ascii="Cambria" w:hAnsi="Cambria"/>
          <w:color w:val="000000"/>
          <w:sz w:val="22"/>
          <w:szCs w:val="22"/>
        </w:rPr>
        <w:t xml:space="preserve"> consciously design experiences intended to support ethical growth, transcendence, or social flourishing.</w:t>
      </w:r>
    </w:p>
    <w:p w14:paraId="6ACF4FD5" w14:textId="50ECF075"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Artificial intelligence is another opportunity for technology to advance human flourishing though in the past it could be argued that technology has further complicated our lives and </w:t>
      </w:r>
      <w:proofErr w:type="gramStart"/>
      <w:r>
        <w:rPr>
          <w:rFonts w:ascii="Cambria" w:hAnsi="Cambria"/>
          <w:color w:val="000000"/>
          <w:sz w:val="22"/>
          <w:szCs w:val="22"/>
        </w:rPr>
        <w:t>actually moved</w:t>
      </w:r>
      <w:proofErr w:type="gramEnd"/>
      <w:r>
        <w:rPr>
          <w:rFonts w:ascii="Cambria" w:hAnsi="Cambria"/>
          <w:color w:val="000000"/>
          <w:sz w:val="22"/>
          <w:szCs w:val="22"/>
        </w:rPr>
        <w:t xml:space="preserve"> us further from our deeply </w:t>
      </w:r>
      <w:r>
        <w:rPr>
          <w:rFonts w:ascii="Cambria" w:hAnsi="Cambria"/>
          <w:color w:val="000000"/>
          <w:sz w:val="22"/>
          <w:szCs w:val="22"/>
        </w:rPr>
        <w:t xml:space="preserve">human </w:t>
      </w:r>
      <w:r>
        <w:rPr>
          <w:rFonts w:ascii="Cambria" w:hAnsi="Cambria"/>
          <w:color w:val="000000"/>
          <w:sz w:val="22"/>
          <w:szCs w:val="22"/>
        </w:rPr>
        <w:t>roots into more robotic paradigms and behaviors. Will we allow AI to foster more humanity in the future? How could AI contribute to the harmony we speak of?</w:t>
      </w:r>
    </w:p>
    <w:p w14:paraId="2E368A80" w14:textId="3737C952"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Professionally, this research aligns with growing interest in regenerative commerce, ethical branding, wellbeing economies, and purpose-driven leadership (Fullerton, 2015). The proposed research contributes to emerging discourse surrounding the future role of retail and </w:t>
      </w:r>
      <w:r>
        <w:rPr>
          <w:rFonts w:ascii="Cambria" w:hAnsi="Cambria"/>
          <w:color w:val="000000"/>
          <w:sz w:val="22"/>
          <w:szCs w:val="22"/>
        </w:rPr>
        <w:t>organizational</w:t>
      </w:r>
      <w:r>
        <w:rPr>
          <w:rFonts w:ascii="Cambria" w:hAnsi="Cambria"/>
          <w:color w:val="000000"/>
          <w:sz w:val="22"/>
          <w:szCs w:val="22"/>
        </w:rPr>
        <w:t xml:space="preserve"> systems within society. It seeks to investigate whether a globally scalable commercial model built around harmony, beauty, stewardship, transcendence, and narrative meaning could function not only as an economically viable enterprise, but also as a mechanism for cultural and psychological flourishing.</w:t>
      </w:r>
    </w:p>
    <w:p w14:paraId="7D6C2E88" w14:textId="77777777" w:rsidR="003628C3" w:rsidRDefault="003628C3" w:rsidP="003628C3">
      <w:pPr>
        <w:pStyle w:val="Heading1"/>
        <w:spacing w:line="0" w:lineRule="auto"/>
        <w:rPr>
          <w:color w:val="000000"/>
        </w:rPr>
      </w:pPr>
      <w:r>
        <w:rPr>
          <w:rFonts w:ascii="Calibri" w:hAnsi="Calibri" w:cs="Calibri"/>
          <w:color w:val="365F91"/>
        </w:rPr>
        <w:t>Aims and Objectives</w:t>
      </w:r>
    </w:p>
    <w:p w14:paraId="3A421609" w14:textId="08511595" w:rsidR="003628C3" w:rsidRDefault="003628C3" w:rsidP="003628C3">
      <w:pPr>
        <w:pStyle w:val="NormalWeb"/>
        <w:spacing w:before="0" w:beforeAutospacing="0" w:after="200" w:afterAutospacing="0"/>
        <w:rPr>
          <w:color w:val="000000"/>
        </w:rPr>
      </w:pPr>
      <w:r>
        <w:rPr>
          <w:rFonts w:ascii="Cambria" w:hAnsi="Cambria"/>
          <w:color w:val="000000"/>
          <w:sz w:val="22"/>
          <w:szCs w:val="22"/>
        </w:rPr>
        <w:t>The central aim of this research is to investigate whether retail systems designed around principles of harmony, transcendence, and narrative meaning can contribute to human flourishing whilst simultaneously supporting sustainable economic development.</w:t>
      </w:r>
      <w:r>
        <w:rPr>
          <w:rFonts w:ascii="Cambria" w:hAnsi="Cambria"/>
          <w:color w:val="000000"/>
          <w:sz w:val="22"/>
          <w:szCs w:val="22"/>
        </w:rPr>
        <w:br/>
      </w:r>
      <w:r>
        <w:rPr>
          <w:rFonts w:ascii="Cambria" w:hAnsi="Cambria"/>
          <w:color w:val="000000"/>
          <w:sz w:val="22"/>
          <w:szCs w:val="22"/>
        </w:rPr>
        <w:br/>
        <w:t>The research seeks to examine how principles derived from transcendence psychology, the Grammar of Harmony, and archetypal narrative theory may inform the design of regenerative commercial ecosystems and global brands.</w:t>
      </w:r>
      <w:r>
        <w:rPr>
          <w:rFonts w:ascii="Cambria" w:hAnsi="Cambria"/>
          <w:color w:val="000000"/>
          <w:sz w:val="22"/>
          <w:szCs w:val="22"/>
        </w:rPr>
        <w:br/>
      </w:r>
      <w:r>
        <w:rPr>
          <w:rFonts w:ascii="Cambria" w:hAnsi="Cambria"/>
          <w:color w:val="000000"/>
          <w:sz w:val="22"/>
          <w:szCs w:val="22"/>
        </w:rPr>
        <w:br/>
        <w:t>The objectives of the study are:</w:t>
      </w:r>
      <w:r>
        <w:rPr>
          <w:rFonts w:ascii="Cambria" w:hAnsi="Cambria"/>
          <w:color w:val="000000"/>
          <w:sz w:val="22"/>
          <w:szCs w:val="22"/>
        </w:rPr>
        <w:br/>
      </w:r>
      <w:r>
        <w:rPr>
          <w:rFonts w:ascii="Cambria" w:hAnsi="Cambria"/>
          <w:color w:val="000000"/>
          <w:sz w:val="22"/>
          <w:szCs w:val="22"/>
        </w:rPr>
        <w:br/>
        <w:t xml:space="preserve">1. To critically </w:t>
      </w:r>
      <w:r>
        <w:rPr>
          <w:rFonts w:ascii="Cambria" w:hAnsi="Cambria"/>
          <w:color w:val="000000"/>
          <w:sz w:val="22"/>
          <w:szCs w:val="22"/>
        </w:rPr>
        <w:t>analyze</w:t>
      </w:r>
      <w:r>
        <w:rPr>
          <w:rFonts w:ascii="Cambria" w:hAnsi="Cambria"/>
          <w:color w:val="000000"/>
          <w:sz w:val="22"/>
          <w:szCs w:val="22"/>
        </w:rPr>
        <w:t xml:space="preserve"> existing literature relating to human flourishing, transcendence psychology, regenerative economics, retail culture, and harmony-centered design.</w:t>
      </w:r>
      <w:r>
        <w:rPr>
          <w:rFonts w:ascii="Cambria" w:hAnsi="Cambria"/>
          <w:color w:val="000000"/>
          <w:sz w:val="22"/>
          <w:szCs w:val="22"/>
        </w:rPr>
        <w:br/>
        <w:t xml:space="preserve">2. To examine the philosophical and practical implications of the Grammar of Harmony as articulated by King Charles III and The King’s Foundation determining what curriculum could be built from it. </w:t>
      </w:r>
      <w:r>
        <w:rPr>
          <w:rFonts w:ascii="Cambria" w:hAnsi="Cambria"/>
          <w:color w:val="000000"/>
          <w:sz w:val="22"/>
          <w:szCs w:val="22"/>
        </w:rPr>
        <w:br/>
        <w:t xml:space="preserve">3. To explore the relevance of Jungian archetypes and Campbell’s Hero’s Journey within consumer identity formation, </w:t>
      </w:r>
      <w:r>
        <w:rPr>
          <w:rFonts w:ascii="Cambria" w:hAnsi="Cambria"/>
          <w:color w:val="000000"/>
          <w:sz w:val="22"/>
          <w:szCs w:val="22"/>
        </w:rPr>
        <w:t>organizational</w:t>
      </w:r>
      <w:r>
        <w:rPr>
          <w:rFonts w:ascii="Cambria" w:hAnsi="Cambria"/>
          <w:color w:val="000000"/>
          <w:sz w:val="22"/>
          <w:szCs w:val="22"/>
        </w:rPr>
        <w:t xml:space="preserve"> culture, brand development and an individual sense of purpose.</w:t>
      </w:r>
      <w:r>
        <w:rPr>
          <w:rFonts w:ascii="Cambria" w:hAnsi="Cambria"/>
          <w:color w:val="000000"/>
          <w:sz w:val="22"/>
          <w:szCs w:val="22"/>
        </w:rPr>
        <w:br/>
      </w:r>
      <w:r>
        <w:rPr>
          <w:rFonts w:ascii="Cambria" w:hAnsi="Cambria"/>
          <w:color w:val="000000"/>
          <w:sz w:val="22"/>
          <w:szCs w:val="22"/>
        </w:rPr>
        <w:lastRenderedPageBreak/>
        <w:t xml:space="preserve">4. To investigate whether harmony-oriented retail environments may positively influence wellbeing, belonging, meaning, and sustainable </w:t>
      </w:r>
      <w:r>
        <w:rPr>
          <w:rFonts w:ascii="Cambria" w:hAnsi="Cambria"/>
          <w:color w:val="000000"/>
          <w:sz w:val="22"/>
          <w:szCs w:val="22"/>
        </w:rPr>
        <w:t>behavioral</w:t>
      </w:r>
      <w:r>
        <w:rPr>
          <w:rFonts w:ascii="Cambria" w:hAnsi="Cambria"/>
          <w:color w:val="000000"/>
          <w:sz w:val="22"/>
          <w:szCs w:val="22"/>
        </w:rPr>
        <w:t xml:space="preserve"> patterns. </w:t>
      </w:r>
      <w:r>
        <w:rPr>
          <w:rFonts w:ascii="Cambria" w:hAnsi="Cambria"/>
          <w:color w:val="000000"/>
          <w:sz w:val="22"/>
          <w:szCs w:val="22"/>
        </w:rPr>
        <w:br/>
        <w:t>5. To develop a conceptual framework for a global harmony-centered brand ecosystem integrating retail, education, certification, consulting, and community engagement.</w:t>
      </w:r>
      <w:r>
        <w:rPr>
          <w:rFonts w:ascii="Cambria" w:hAnsi="Cambria"/>
          <w:color w:val="000000"/>
          <w:sz w:val="22"/>
          <w:szCs w:val="22"/>
        </w:rPr>
        <w:br/>
        <w:t>6. To evaluate the ethical, cultural, and economic implications of positioning commercial systems as vehicles for transcendence and flourishing.</w:t>
      </w:r>
      <w:r>
        <w:rPr>
          <w:rFonts w:ascii="Cambria" w:hAnsi="Cambria"/>
          <w:color w:val="000000"/>
          <w:sz w:val="22"/>
          <w:szCs w:val="22"/>
        </w:rPr>
        <w:br/>
        <w:t>7. To contribute new interdisciplinary knowledge concerning regenerative commerce and the future role of retail within sustainable societies.</w:t>
      </w:r>
      <w:r>
        <w:rPr>
          <w:rFonts w:ascii="Cambria" w:hAnsi="Cambria"/>
          <w:color w:val="000000"/>
          <w:sz w:val="22"/>
          <w:szCs w:val="22"/>
        </w:rPr>
        <w:br/>
      </w:r>
      <w:r>
        <w:rPr>
          <w:rFonts w:ascii="Cambria" w:hAnsi="Cambria"/>
          <w:color w:val="000000"/>
          <w:sz w:val="22"/>
          <w:szCs w:val="22"/>
        </w:rPr>
        <w:br/>
        <w:t xml:space="preserve">The study aims to provide both theoretical contribution and practical application by producing a framework capable of informing business strategy, educational </w:t>
      </w:r>
      <w:r>
        <w:rPr>
          <w:rFonts w:ascii="Cambria" w:hAnsi="Cambria"/>
          <w:color w:val="000000"/>
          <w:sz w:val="22"/>
          <w:szCs w:val="22"/>
        </w:rPr>
        <w:t>programmed</w:t>
      </w:r>
      <w:r>
        <w:rPr>
          <w:rFonts w:ascii="Cambria" w:hAnsi="Cambria"/>
          <w:color w:val="000000"/>
          <w:sz w:val="22"/>
          <w:szCs w:val="22"/>
        </w:rPr>
        <w:t xml:space="preserve">, and future </w:t>
      </w:r>
      <w:r>
        <w:rPr>
          <w:rFonts w:ascii="Cambria" w:hAnsi="Cambria"/>
          <w:color w:val="000000"/>
          <w:sz w:val="22"/>
          <w:szCs w:val="22"/>
        </w:rPr>
        <w:t>organizational</w:t>
      </w:r>
      <w:r>
        <w:rPr>
          <w:rFonts w:ascii="Cambria" w:hAnsi="Cambria"/>
          <w:color w:val="000000"/>
          <w:sz w:val="22"/>
          <w:szCs w:val="22"/>
        </w:rPr>
        <w:t xml:space="preserve"> design. Another singular and sincere aim is to simply enrich lives and highlight real and lasting connections between individuals, one another, and the planet. </w:t>
      </w:r>
    </w:p>
    <w:p w14:paraId="14543010" w14:textId="77777777" w:rsidR="003628C3" w:rsidRDefault="003628C3" w:rsidP="003628C3">
      <w:pPr>
        <w:pStyle w:val="Heading1"/>
        <w:spacing w:line="0" w:lineRule="auto"/>
        <w:rPr>
          <w:color w:val="000000"/>
        </w:rPr>
      </w:pPr>
      <w:r>
        <w:rPr>
          <w:rFonts w:ascii="Calibri" w:hAnsi="Calibri" w:cs="Calibri"/>
          <w:color w:val="365F91"/>
        </w:rPr>
        <w:t>Indicative Review of Literature</w:t>
      </w:r>
    </w:p>
    <w:p w14:paraId="7CC492A7" w14:textId="08D3603C"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The literature relevant to this research spans multiple disciplines including psychology, philosophy, sustainability, architecture, economics, leadership, consumer </w:t>
      </w:r>
      <w:r>
        <w:rPr>
          <w:rFonts w:ascii="Cambria" w:hAnsi="Cambria"/>
          <w:color w:val="000000"/>
          <w:sz w:val="22"/>
          <w:szCs w:val="22"/>
        </w:rPr>
        <w:t>behavior</w:t>
      </w:r>
      <w:r>
        <w:rPr>
          <w:rFonts w:ascii="Cambria" w:hAnsi="Cambria"/>
          <w:color w:val="000000"/>
          <w:sz w:val="22"/>
          <w:szCs w:val="22"/>
        </w:rPr>
        <w:t>, mythology, and retail. For this reason, defining the core of this research proves difficult. The interdisciplinary nature of the study reflects the complexity of contemporary retail systems and their influence on human identity, wellbeing, and social structures. However, if harmony is truly achieved then we as humanity will be doing less dividing of disciplines and we will begin to see the abundant integrations as natural.</w:t>
      </w:r>
    </w:p>
    <w:p w14:paraId="1C3AFD64" w14:textId="025D3D01"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Human flourishing has traditionally been explored through philosophy and psychology. Aristotle’s concept of eudaimonia </w:t>
      </w:r>
      <w:r>
        <w:rPr>
          <w:rFonts w:ascii="Cambria" w:hAnsi="Cambria"/>
          <w:color w:val="000000"/>
          <w:sz w:val="22"/>
          <w:szCs w:val="22"/>
        </w:rPr>
        <w:t>emphasized</w:t>
      </w:r>
      <w:r>
        <w:rPr>
          <w:rFonts w:ascii="Cambria" w:hAnsi="Cambria"/>
          <w:color w:val="000000"/>
          <w:sz w:val="22"/>
          <w:szCs w:val="22"/>
        </w:rPr>
        <w:t xml:space="preserve"> living well through virtue, purpose, and participation in meaningful communal life. Maslow’s hierarchy of needs remains one of the most influential frameworks for understanding human motivation. However, Maslow’s later work moved beyond self-</w:t>
      </w:r>
      <w:r>
        <w:rPr>
          <w:rFonts w:ascii="Cambria" w:hAnsi="Cambria"/>
          <w:color w:val="000000"/>
          <w:sz w:val="22"/>
          <w:szCs w:val="22"/>
        </w:rPr>
        <w:t>actualization</w:t>
      </w:r>
      <w:r>
        <w:rPr>
          <w:rFonts w:ascii="Cambria" w:hAnsi="Cambria"/>
          <w:color w:val="000000"/>
          <w:sz w:val="22"/>
          <w:szCs w:val="22"/>
        </w:rPr>
        <w:t xml:space="preserve"> towards transcendence. Kaufman argues that transcendence involves integrating personal growth with service, creativity, connectedness, and contribution to broader systems. He contends that flourishing requires psychological coherence, belonging, self-esteem, exploration, love, and meaning (Kaufman, 2020).</w:t>
      </w:r>
    </w:p>
    <w:p w14:paraId="1E17AE63"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Research within wellbeing and leisure economics increasingly critiques narrow economic indicators such as GDP as insufficient measures of societal success. Raworth’s Doughnut Economics and Sen’s Capability Approach both argue for systems that support ecological sustainability and human capability simultaneously (Raworth, 2017; Sen, 1999).</w:t>
      </w:r>
    </w:p>
    <w:p w14:paraId="0D89C344" w14:textId="59713FB0"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Within retail and consumer </w:t>
      </w:r>
      <w:r>
        <w:rPr>
          <w:rFonts w:ascii="Cambria" w:hAnsi="Cambria"/>
          <w:color w:val="000000"/>
          <w:sz w:val="22"/>
          <w:szCs w:val="22"/>
        </w:rPr>
        <w:t>behavior</w:t>
      </w:r>
      <w:r>
        <w:rPr>
          <w:rFonts w:ascii="Cambria" w:hAnsi="Cambria"/>
          <w:color w:val="000000"/>
          <w:sz w:val="22"/>
          <w:szCs w:val="22"/>
        </w:rPr>
        <w:t xml:space="preserve"> literature, scholars increasingly identify the symbolic and psychological role of brands. Holt argues that iconic brands function as cultural myths, helping consumers navigate identity and meaning (Holt, 2004). Pine and Gilmore’s work on the Experience Economy similarly demonstrates that consumers increasingly seek memorable and emotionally meaningful experiences rather than products alone (Pine and Gilmore, 1999). The same scholars have also suggested a shift toward experience/transformation-based value creation, which aligns conceptually with your argument. Yet critical literature also highlights the dangers of commodified identity and hyper-consumerism. Baudrillard argued that modern consumption often involves symbolic status </w:t>
      </w:r>
      <w:r>
        <w:rPr>
          <w:rFonts w:ascii="Cambria" w:hAnsi="Cambria"/>
          <w:color w:val="000000"/>
          <w:sz w:val="22"/>
          <w:szCs w:val="22"/>
        </w:rPr>
        <w:t>signaling</w:t>
      </w:r>
      <w:r>
        <w:rPr>
          <w:rFonts w:ascii="Cambria" w:hAnsi="Cambria"/>
          <w:color w:val="000000"/>
          <w:sz w:val="22"/>
          <w:szCs w:val="22"/>
        </w:rPr>
        <w:t xml:space="preserve"> disconnected from authentic human need (Baudrillard, 1998). Contemporary research links excessive consumerism with anxiety, loneliness, and reduced wellbeing (Bellah et al., 1985).</w:t>
      </w:r>
    </w:p>
    <w:p w14:paraId="7914BD20" w14:textId="4A0840F0" w:rsidR="003628C3" w:rsidRDefault="003628C3" w:rsidP="003628C3">
      <w:pPr>
        <w:pStyle w:val="NormalWeb"/>
        <w:spacing w:before="240" w:beforeAutospacing="0" w:after="240" w:afterAutospacing="0"/>
        <w:rPr>
          <w:color w:val="000000"/>
        </w:rPr>
      </w:pPr>
      <w:r>
        <w:rPr>
          <w:rFonts w:ascii="Cambria" w:hAnsi="Cambria"/>
          <w:color w:val="000000"/>
          <w:sz w:val="22"/>
          <w:szCs w:val="22"/>
        </w:rPr>
        <w:lastRenderedPageBreak/>
        <w:t xml:space="preserve">The philosophy of harmony articulated by King Charles III offers an important alternative framework. In Harmony: A New Way of Looking at Our World, Charles critiques mechanistic and reductionist systems that separate humanity from nature and community (King Charles III, 2010). The King’s Foundation </w:t>
      </w:r>
      <w:r>
        <w:rPr>
          <w:rFonts w:ascii="Cambria" w:hAnsi="Cambria"/>
          <w:color w:val="000000"/>
          <w:sz w:val="22"/>
          <w:szCs w:val="22"/>
        </w:rPr>
        <w:t>operationalizes</w:t>
      </w:r>
      <w:r>
        <w:rPr>
          <w:rFonts w:ascii="Cambria" w:hAnsi="Cambria"/>
          <w:color w:val="000000"/>
          <w:sz w:val="22"/>
          <w:szCs w:val="22"/>
        </w:rPr>
        <w:t xml:space="preserve"> many of these principles through education, sustainable urbanism, craft, and regenerative design (The King’s Foundation, 2024).</w:t>
      </w:r>
    </w:p>
    <w:p w14:paraId="2BA86206" w14:textId="3F8EAB30"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Architecture and urban design research similarly </w:t>
      </w:r>
      <w:r>
        <w:rPr>
          <w:rFonts w:ascii="Cambria" w:hAnsi="Cambria"/>
          <w:color w:val="000000"/>
          <w:sz w:val="22"/>
          <w:szCs w:val="22"/>
        </w:rPr>
        <w:t>contribute</w:t>
      </w:r>
      <w:r>
        <w:rPr>
          <w:rFonts w:ascii="Cambria" w:hAnsi="Cambria"/>
          <w:color w:val="000000"/>
          <w:sz w:val="22"/>
          <w:szCs w:val="22"/>
        </w:rPr>
        <w:t xml:space="preserve"> to this discourse. </w:t>
      </w:r>
      <w:proofErr w:type="spellStart"/>
      <w:r>
        <w:rPr>
          <w:rFonts w:ascii="Cambria" w:hAnsi="Cambria"/>
          <w:color w:val="000000"/>
          <w:sz w:val="22"/>
          <w:szCs w:val="22"/>
        </w:rPr>
        <w:t>Salingaros</w:t>
      </w:r>
      <w:proofErr w:type="spellEnd"/>
      <w:r>
        <w:rPr>
          <w:rFonts w:ascii="Cambria" w:hAnsi="Cambria"/>
          <w:color w:val="000000"/>
          <w:sz w:val="22"/>
          <w:szCs w:val="22"/>
        </w:rPr>
        <w:t xml:space="preserve"> argues that harmonious environments support psychological integration and social vitality, whereas fragmented and inhuman urban systems contribute to alienation (</w:t>
      </w:r>
      <w:proofErr w:type="spellStart"/>
      <w:r>
        <w:rPr>
          <w:rFonts w:ascii="Cambria" w:hAnsi="Cambria"/>
          <w:color w:val="000000"/>
          <w:sz w:val="22"/>
          <w:szCs w:val="22"/>
        </w:rPr>
        <w:t>Salingaros</w:t>
      </w:r>
      <w:proofErr w:type="spellEnd"/>
      <w:r>
        <w:rPr>
          <w:rFonts w:ascii="Cambria" w:hAnsi="Cambria"/>
          <w:color w:val="000000"/>
          <w:sz w:val="22"/>
          <w:szCs w:val="22"/>
        </w:rPr>
        <w:t>, 2006). Alexander’s pattern language theory further proposes that human environments contain recurring structures that support flourishing and belonging (Alexander, 1977).</w:t>
      </w:r>
    </w:p>
    <w:p w14:paraId="75C53B25" w14:textId="35500B46"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Jungian psychology provides another important strand of literature. Jung argued that archetypes within the collective unconscious shape human </w:t>
      </w:r>
      <w:r>
        <w:rPr>
          <w:rFonts w:ascii="Cambria" w:hAnsi="Cambria"/>
          <w:color w:val="000000"/>
          <w:sz w:val="22"/>
          <w:szCs w:val="22"/>
        </w:rPr>
        <w:t>behavior</w:t>
      </w:r>
      <w:r>
        <w:rPr>
          <w:rFonts w:ascii="Cambria" w:hAnsi="Cambria"/>
          <w:color w:val="000000"/>
          <w:sz w:val="22"/>
          <w:szCs w:val="22"/>
        </w:rPr>
        <w:t>, narrative, aspiration, and identity (Jung, 1968). Archetypes such as the Hero, Caregiver, Creator, Sage, and Innocent remain central within both mythology and contemporary branding theory. The ethical implications of archetypal marketing remain underexplored.</w:t>
      </w:r>
    </w:p>
    <w:p w14:paraId="2A7AF8C6" w14:textId="0F516AD3"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Joseph Campbell’s Hero’s Journey extends Jungian theory into mythological narrative structure. Campbell argued that cultures throughout history share recurring transformational narratives involving departure, challenge, transformation, and return (Campbell, 2008). Contemporary leadership and </w:t>
      </w:r>
      <w:r>
        <w:rPr>
          <w:rFonts w:ascii="Cambria" w:hAnsi="Cambria"/>
          <w:color w:val="000000"/>
          <w:sz w:val="22"/>
          <w:szCs w:val="22"/>
        </w:rPr>
        <w:t>organizational</w:t>
      </w:r>
      <w:r>
        <w:rPr>
          <w:rFonts w:ascii="Cambria" w:hAnsi="Cambria"/>
          <w:color w:val="000000"/>
          <w:sz w:val="22"/>
          <w:szCs w:val="22"/>
        </w:rPr>
        <w:t xml:space="preserve"> scholars have drawn on Hero’s Journey frameworks to explore identity transformation and purpose-driven leadership.</w:t>
      </w:r>
    </w:p>
    <w:p w14:paraId="4AA680D9"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Emerging research regarding feminine heroism and relational leadership complicates traditional heroic frameworks. Scholars such as Murdock argue that flourishing requires balancing masculine narratives of mastery with feminine narratives of healing, relationship, embodiment, and communal restoration (Murdock, 1990).</w:t>
      </w:r>
    </w:p>
    <w:p w14:paraId="70A9D228" w14:textId="794293FC"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Within sustainability and </w:t>
      </w:r>
      <w:r>
        <w:rPr>
          <w:rFonts w:ascii="Cambria" w:hAnsi="Cambria"/>
          <w:color w:val="000000"/>
          <w:sz w:val="22"/>
          <w:szCs w:val="22"/>
        </w:rPr>
        <w:t>organizational</w:t>
      </w:r>
      <w:r>
        <w:rPr>
          <w:rFonts w:ascii="Cambria" w:hAnsi="Cambria"/>
          <w:color w:val="000000"/>
          <w:sz w:val="22"/>
          <w:szCs w:val="22"/>
        </w:rPr>
        <w:t xml:space="preserve"> literature, regenerative business models are increasingly discussed. Fullerton proposes regenerative capitalism as an alternative to extractive economics, </w:t>
      </w:r>
      <w:r>
        <w:rPr>
          <w:rFonts w:ascii="Cambria" w:hAnsi="Cambria"/>
          <w:color w:val="000000"/>
          <w:sz w:val="22"/>
          <w:szCs w:val="22"/>
        </w:rPr>
        <w:t>emphasizing</w:t>
      </w:r>
      <w:r>
        <w:rPr>
          <w:rFonts w:ascii="Cambria" w:hAnsi="Cambria"/>
          <w:color w:val="000000"/>
          <w:sz w:val="22"/>
          <w:szCs w:val="22"/>
        </w:rPr>
        <w:t xml:space="preserve"> resilience, reciprocity, and ecological alignment (Fullerton, 2015). B Corporation certification and wellbeing economy initiatives reflect growing institutional interest in ethical and purpose-driven commerce (Fullerton, 2015; Raworth, 2017).</w:t>
      </w:r>
    </w:p>
    <w:p w14:paraId="3DF033C1" w14:textId="56C12B6C"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The role of ritual, narrative, and symbolic participation within </w:t>
      </w:r>
      <w:r>
        <w:rPr>
          <w:rFonts w:ascii="Cambria" w:hAnsi="Cambria"/>
          <w:color w:val="000000"/>
          <w:sz w:val="22"/>
          <w:szCs w:val="22"/>
        </w:rPr>
        <w:t>organizations</w:t>
      </w:r>
      <w:r>
        <w:rPr>
          <w:rFonts w:ascii="Cambria" w:hAnsi="Cambria"/>
          <w:color w:val="000000"/>
          <w:sz w:val="22"/>
          <w:szCs w:val="22"/>
        </w:rPr>
        <w:t xml:space="preserve"> also emerges within literature on </w:t>
      </w:r>
      <w:r>
        <w:rPr>
          <w:rFonts w:ascii="Cambria" w:hAnsi="Cambria"/>
          <w:color w:val="000000"/>
          <w:sz w:val="22"/>
          <w:szCs w:val="22"/>
        </w:rPr>
        <w:t>organizational</w:t>
      </w:r>
      <w:r>
        <w:rPr>
          <w:rFonts w:ascii="Cambria" w:hAnsi="Cambria"/>
          <w:color w:val="000000"/>
          <w:sz w:val="22"/>
          <w:szCs w:val="22"/>
        </w:rPr>
        <w:t xml:space="preserve"> culture. Bellah argues that modern societies experience fragmentation partly due to the erosion of shared rituals and civic meaning (Bellah et al., 1985). Contemporary retail often attempts to recreate communal belonging through experiential environments and brand communities (Pine and Gilmore, 1999). Companies such as Patagonia, Aesop, Apple, and Lululemon are frequently discussed as examples of brands creating meaning-cent</w:t>
      </w:r>
      <w:r>
        <w:rPr>
          <w:rFonts w:ascii="Cambria" w:hAnsi="Cambria"/>
          <w:color w:val="000000"/>
          <w:sz w:val="22"/>
          <w:szCs w:val="22"/>
        </w:rPr>
        <w:t>e</w:t>
      </w:r>
      <w:r>
        <w:rPr>
          <w:rFonts w:ascii="Cambria" w:hAnsi="Cambria"/>
          <w:color w:val="000000"/>
          <w:sz w:val="22"/>
          <w:szCs w:val="22"/>
        </w:rPr>
        <w:t>red ecosystems (Holt, 2004).</w:t>
      </w:r>
    </w:p>
    <w:p w14:paraId="42FE4A41"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A significant gap therefore exists within literature integrating transcendence psychology, harmony-centered design, archetypal development, and regenerative retail systems. Existing scholarship rarely considers whether retail could intentionally function as a mechanism for cultural flourishing rather than merely commercial exchange. Furthermore, little research examines how beauty, narrative identity, community ritual, stewardship, and transcendence may operate collectively within sustainable economic systems.</w:t>
      </w:r>
    </w:p>
    <w:p w14:paraId="307382F8" w14:textId="162A523F" w:rsidR="003628C3" w:rsidRDefault="003628C3" w:rsidP="003628C3">
      <w:pPr>
        <w:pStyle w:val="NormalWeb"/>
        <w:spacing w:before="240" w:beforeAutospacing="0" w:after="240" w:afterAutospacing="0"/>
        <w:rPr>
          <w:color w:val="000000"/>
        </w:rPr>
      </w:pPr>
      <w:r>
        <w:rPr>
          <w:rFonts w:ascii="Cambria" w:hAnsi="Cambria"/>
          <w:color w:val="000000"/>
          <w:sz w:val="22"/>
          <w:szCs w:val="22"/>
        </w:rPr>
        <w:lastRenderedPageBreak/>
        <w:t xml:space="preserve">This research seeks to contribute to that emerging interdisciplinary space by </w:t>
      </w:r>
      <w:r>
        <w:rPr>
          <w:rFonts w:ascii="Cambria" w:hAnsi="Cambria"/>
          <w:color w:val="000000"/>
          <w:sz w:val="22"/>
          <w:szCs w:val="22"/>
        </w:rPr>
        <w:t>synthesizing</w:t>
      </w:r>
      <w:r>
        <w:rPr>
          <w:rFonts w:ascii="Cambria" w:hAnsi="Cambria"/>
          <w:color w:val="000000"/>
          <w:sz w:val="22"/>
          <w:szCs w:val="22"/>
        </w:rPr>
        <w:t xml:space="preserve"> these diverse literature streams into a coherent framework for regenerative commerce.</w:t>
      </w:r>
    </w:p>
    <w:p w14:paraId="5A743863" w14:textId="77777777" w:rsidR="003628C3" w:rsidRDefault="003628C3" w:rsidP="003628C3">
      <w:pPr>
        <w:pStyle w:val="Heading1"/>
        <w:spacing w:line="0" w:lineRule="auto"/>
        <w:rPr>
          <w:color w:val="000000"/>
        </w:rPr>
      </w:pPr>
      <w:r>
        <w:rPr>
          <w:rFonts w:ascii="Calibri" w:hAnsi="Calibri" w:cs="Calibri"/>
          <w:color w:val="365F91"/>
        </w:rPr>
        <w:t>Proposed Methodology</w:t>
      </w:r>
    </w:p>
    <w:p w14:paraId="37A41511"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This research will adopt a qualitative interdisciplinary methodology informed by phenomenology, interpretivism, and case study analysis. The methodological approach is designed to explore complex human experiences relating to meaning, transcendence, beauty, belonging, and consumer participation within harmony-oriented systems.</w:t>
      </w:r>
    </w:p>
    <w:p w14:paraId="2CC9049E" w14:textId="11D8406B"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A qualitative methodology has been selected because the research seeks to understand lived experience, symbolic meaning, and interpretive human responses rather than solely measurable </w:t>
      </w:r>
      <w:r>
        <w:rPr>
          <w:rFonts w:ascii="Cambria" w:hAnsi="Cambria"/>
          <w:color w:val="000000"/>
          <w:sz w:val="22"/>
          <w:szCs w:val="22"/>
        </w:rPr>
        <w:t>behavioral</w:t>
      </w:r>
      <w:r>
        <w:rPr>
          <w:rFonts w:ascii="Cambria" w:hAnsi="Cambria"/>
          <w:color w:val="000000"/>
          <w:sz w:val="22"/>
          <w:szCs w:val="22"/>
        </w:rPr>
        <w:t xml:space="preserve"> outcomes. Creswell argues that qualitative research is particularly appropriate where researchers seek to understand how individuals interpret social and cultural phenomena (Creswell, 2013). Given the conceptual nature of harmony, flourishing, and transcendence, quantitative measures alone would be insufficient.</w:t>
      </w:r>
    </w:p>
    <w:p w14:paraId="36C2FA44" w14:textId="13715CCF"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The study will </w:t>
      </w:r>
      <w:r>
        <w:rPr>
          <w:rFonts w:ascii="Cambria" w:hAnsi="Cambria"/>
          <w:color w:val="000000"/>
          <w:sz w:val="22"/>
          <w:szCs w:val="22"/>
        </w:rPr>
        <w:t>utilize</w:t>
      </w:r>
      <w:r>
        <w:rPr>
          <w:rFonts w:ascii="Cambria" w:hAnsi="Cambria"/>
          <w:color w:val="000000"/>
          <w:sz w:val="22"/>
          <w:szCs w:val="22"/>
        </w:rPr>
        <w:t xml:space="preserve"> three interconnected methods.</w:t>
      </w:r>
    </w:p>
    <w:p w14:paraId="7107C683" w14:textId="69B1B2BD"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First, a critical interdisciplinary literature review will </w:t>
      </w:r>
      <w:r>
        <w:rPr>
          <w:rFonts w:ascii="Cambria" w:hAnsi="Cambria"/>
          <w:color w:val="000000"/>
          <w:sz w:val="22"/>
          <w:szCs w:val="22"/>
        </w:rPr>
        <w:t>synthesize</w:t>
      </w:r>
      <w:r>
        <w:rPr>
          <w:rFonts w:ascii="Cambria" w:hAnsi="Cambria"/>
          <w:color w:val="000000"/>
          <w:sz w:val="22"/>
          <w:szCs w:val="22"/>
        </w:rPr>
        <w:t xml:space="preserve"> literature across psychology, sustainability, consumer </w:t>
      </w:r>
      <w:r>
        <w:rPr>
          <w:rFonts w:ascii="Cambria" w:hAnsi="Cambria"/>
          <w:color w:val="000000"/>
          <w:sz w:val="22"/>
          <w:szCs w:val="22"/>
        </w:rPr>
        <w:t>behavior</w:t>
      </w:r>
      <w:r>
        <w:rPr>
          <w:rFonts w:ascii="Cambria" w:hAnsi="Cambria"/>
          <w:color w:val="000000"/>
          <w:sz w:val="22"/>
          <w:szCs w:val="22"/>
        </w:rPr>
        <w:t xml:space="preserve">, architecture, </w:t>
      </w:r>
      <w:r>
        <w:rPr>
          <w:rFonts w:ascii="Cambria" w:hAnsi="Cambria"/>
          <w:color w:val="000000"/>
          <w:sz w:val="22"/>
          <w:szCs w:val="22"/>
        </w:rPr>
        <w:t>organizational</w:t>
      </w:r>
      <w:r>
        <w:rPr>
          <w:rFonts w:ascii="Cambria" w:hAnsi="Cambria"/>
          <w:color w:val="000000"/>
          <w:sz w:val="22"/>
          <w:szCs w:val="22"/>
        </w:rPr>
        <w:t xml:space="preserve"> studies, mythology, and regenerative economics. This stage will establish the conceptual framework underpinning the research.</w:t>
      </w:r>
    </w:p>
    <w:p w14:paraId="52577830" w14:textId="2231F75E"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Second, comparative case study analysis will be undertaken examining </w:t>
      </w:r>
      <w:r>
        <w:rPr>
          <w:rFonts w:ascii="Cambria" w:hAnsi="Cambria"/>
          <w:color w:val="000000"/>
          <w:sz w:val="22"/>
          <w:szCs w:val="22"/>
        </w:rPr>
        <w:t>organizations</w:t>
      </w:r>
      <w:r>
        <w:rPr>
          <w:rFonts w:ascii="Cambria" w:hAnsi="Cambria"/>
          <w:color w:val="000000"/>
          <w:sz w:val="22"/>
          <w:szCs w:val="22"/>
        </w:rPr>
        <w:t xml:space="preserve"> and brands that demonstrate aspects of harmony-oriented practice. Potential case studies may include Patagonia, Aesop, The King’s Foundation initiatives, Ballerina Farm, </w:t>
      </w:r>
      <w:proofErr w:type="spellStart"/>
      <w:r>
        <w:rPr>
          <w:rFonts w:ascii="Cambria" w:hAnsi="Cambria"/>
          <w:color w:val="000000"/>
          <w:sz w:val="22"/>
          <w:szCs w:val="22"/>
        </w:rPr>
        <w:t>Reschio</w:t>
      </w:r>
      <w:proofErr w:type="spellEnd"/>
      <w:r>
        <w:rPr>
          <w:rFonts w:ascii="Cambria" w:hAnsi="Cambria"/>
          <w:color w:val="000000"/>
          <w:sz w:val="22"/>
          <w:szCs w:val="22"/>
        </w:rPr>
        <w:t xml:space="preserve">, The Newt and selected regenerative hospitality or retail environments. Case study analysis will explore architecture, narrative identity, </w:t>
      </w:r>
      <w:proofErr w:type="spellStart"/>
      <w:r>
        <w:rPr>
          <w:rFonts w:ascii="Cambria" w:hAnsi="Cambria"/>
          <w:color w:val="000000"/>
          <w:sz w:val="22"/>
          <w:szCs w:val="22"/>
        </w:rPr>
        <w:t>organisational</w:t>
      </w:r>
      <w:proofErr w:type="spellEnd"/>
      <w:r>
        <w:rPr>
          <w:rFonts w:ascii="Cambria" w:hAnsi="Cambria"/>
          <w:color w:val="000000"/>
          <w:sz w:val="22"/>
          <w:szCs w:val="22"/>
        </w:rPr>
        <w:t xml:space="preserve"> culture, sustainability practice, community engagement, and customer experience.</w:t>
      </w:r>
    </w:p>
    <w:p w14:paraId="00AAB929"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Third, semi-structured interviews will be conducted with participants drawn from three groups:</w:t>
      </w:r>
    </w:p>
    <w:p w14:paraId="308E06B4" w14:textId="77C98C10" w:rsidR="003628C3" w:rsidRDefault="003628C3" w:rsidP="003628C3">
      <w:pPr>
        <w:pStyle w:val="NormalWeb"/>
        <w:numPr>
          <w:ilvl w:val="0"/>
          <w:numId w:val="10"/>
        </w:numPr>
        <w:spacing w:before="240" w:beforeAutospacing="0" w:after="0" w:afterAutospacing="0"/>
        <w:textAlignment w:val="baseline"/>
        <w:rPr>
          <w:rFonts w:ascii="Cambria" w:hAnsi="Cambria"/>
          <w:color w:val="000000"/>
          <w:sz w:val="22"/>
          <w:szCs w:val="22"/>
        </w:rPr>
      </w:pPr>
      <w:r>
        <w:rPr>
          <w:rFonts w:ascii="Cambria" w:hAnsi="Cambria"/>
          <w:color w:val="000000"/>
          <w:sz w:val="22"/>
          <w:szCs w:val="22"/>
        </w:rPr>
        <w:t xml:space="preserve">Retail and </w:t>
      </w:r>
      <w:r>
        <w:rPr>
          <w:rFonts w:ascii="Cambria" w:hAnsi="Cambria"/>
          <w:color w:val="000000"/>
          <w:sz w:val="22"/>
          <w:szCs w:val="22"/>
        </w:rPr>
        <w:t>organizational</w:t>
      </w:r>
      <w:r>
        <w:rPr>
          <w:rFonts w:ascii="Cambria" w:hAnsi="Cambria"/>
          <w:color w:val="000000"/>
          <w:sz w:val="22"/>
          <w:szCs w:val="22"/>
        </w:rPr>
        <w:t xml:space="preserve"> leaders involved in regenerative or purpose-driven enterprise.</w:t>
      </w:r>
    </w:p>
    <w:p w14:paraId="53A3F2B2" w14:textId="77777777" w:rsidR="003628C3" w:rsidRDefault="003628C3" w:rsidP="003628C3">
      <w:pPr>
        <w:pStyle w:val="NormalWeb"/>
        <w:numPr>
          <w:ilvl w:val="0"/>
          <w:numId w:val="10"/>
        </w:numPr>
        <w:spacing w:before="0" w:beforeAutospacing="0" w:after="0" w:afterAutospacing="0"/>
        <w:textAlignment w:val="baseline"/>
        <w:rPr>
          <w:rFonts w:ascii="Cambria" w:hAnsi="Cambria"/>
          <w:color w:val="000000"/>
          <w:sz w:val="22"/>
          <w:szCs w:val="22"/>
        </w:rPr>
      </w:pPr>
      <w:r>
        <w:rPr>
          <w:rFonts w:ascii="Cambria" w:hAnsi="Cambria"/>
          <w:color w:val="000000"/>
          <w:sz w:val="22"/>
          <w:szCs w:val="22"/>
        </w:rPr>
        <w:t>Consumers and participants involved in harmony-oriented retail or community experiences.</w:t>
      </w:r>
    </w:p>
    <w:p w14:paraId="53A26AB2" w14:textId="068123E9" w:rsidR="003628C3" w:rsidRDefault="003628C3" w:rsidP="003628C3">
      <w:pPr>
        <w:pStyle w:val="NormalWeb"/>
        <w:numPr>
          <w:ilvl w:val="0"/>
          <w:numId w:val="10"/>
        </w:numPr>
        <w:spacing w:before="0" w:beforeAutospacing="0" w:after="240" w:afterAutospacing="0"/>
        <w:textAlignment w:val="baseline"/>
        <w:rPr>
          <w:rFonts w:ascii="Cambria" w:hAnsi="Cambria"/>
          <w:color w:val="000000"/>
          <w:sz w:val="22"/>
          <w:szCs w:val="22"/>
        </w:rPr>
      </w:pPr>
      <w:r>
        <w:rPr>
          <w:rFonts w:ascii="Cambria" w:hAnsi="Cambria"/>
          <w:color w:val="000000"/>
          <w:sz w:val="22"/>
          <w:szCs w:val="22"/>
        </w:rPr>
        <w:t xml:space="preserve">Academics, architects, designers, and consultants </w:t>
      </w:r>
      <w:r>
        <w:rPr>
          <w:rFonts w:ascii="Cambria" w:hAnsi="Cambria"/>
          <w:color w:val="000000"/>
          <w:sz w:val="22"/>
          <w:szCs w:val="22"/>
        </w:rPr>
        <w:t>specializing</w:t>
      </w:r>
      <w:r>
        <w:rPr>
          <w:rFonts w:ascii="Cambria" w:hAnsi="Cambria"/>
          <w:color w:val="000000"/>
          <w:sz w:val="22"/>
          <w:szCs w:val="22"/>
        </w:rPr>
        <w:t xml:space="preserve"> in wellbeing, sustainability, or regenerative systems.</w:t>
      </w:r>
    </w:p>
    <w:p w14:paraId="18E41099" w14:textId="1F4E7725"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Purposeful sampling will be used to identify participants with relevant expertise or lived experience. Approximately 15–20 interviews are anticipated. Interviews will allow participants to discuss perceptions of beauty, belonging, transcendence, narrative identity, ethical consumption, and </w:t>
      </w:r>
      <w:r>
        <w:rPr>
          <w:rFonts w:ascii="Cambria" w:hAnsi="Cambria"/>
          <w:color w:val="000000"/>
          <w:sz w:val="22"/>
          <w:szCs w:val="22"/>
        </w:rPr>
        <w:t>organizational</w:t>
      </w:r>
      <w:r>
        <w:rPr>
          <w:rFonts w:ascii="Cambria" w:hAnsi="Cambria"/>
          <w:color w:val="000000"/>
          <w:sz w:val="22"/>
          <w:szCs w:val="22"/>
        </w:rPr>
        <w:t xml:space="preserve"> harmony.</w:t>
      </w:r>
    </w:p>
    <w:p w14:paraId="005D8092" w14:textId="1C9A3199"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Thematic analysis will be used to </w:t>
      </w:r>
      <w:r>
        <w:rPr>
          <w:rFonts w:ascii="Cambria" w:hAnsi="Cambria"/>
          <w:color w:val="000000"/>
          <w:sz w:val="22"/>
          <w:szCs w:val="22"/>
        </w:rPr>
        <w:t>analyze</w:t>
      </w:r>
      <w:r>
        <w:rPr>
          <w:rFonts w:ascii="Cambria" w:hAnsi="Cambria"/>
          <w:color w:val="000000"/>
          <w:sz w:val="22"/>
          <w:szCs w:val="22"/>
        </w:rPr>
        <w:t xml:space="preserve"> interview data. Braun and Clarke’s six-stage thematic analysis process will inform coding and interpretation (Braun and Clarke, 2006). This method has been selected due to its flexibility and suitability for identifying recurring conceptual themes across interdisciplinary data.</w:t>
      </w:r>
    </w:p>
    <w:p w14:paraId="1E1A235A" w14:textId="7241551E"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Alternative methodologies were considered. Quantitative methodologies were rejected because the exploratory nature of the research requires depth of interpretation rather than broad statistical </w:t>
      </w:r>
      <w:r>
        <w:rPr>
          <w:rFonts w:ascii="Cambria" w:hAnsi="Cambria"/>
          <w:color w:val="000000"/>
          <w:sz w:val="22"/>
          <w:szCs w:val="22"/>
        </w:rPr>
        <w:lastRenderedPageBreak/>
        <w:t>generalization</w:t>
      </w:r>
      <w:r>
        <w:rPr>
          <w:rFonts w:ascii="Cambria" w:hAnsi="Cambria"/>
          <w:color w:val="000000"/>
          <w:sz w:val="22"/>
          <w:szCs w:val="22"/>
        </w:rPr>
        <w:t>. Ethnographic approaches were also considered; however, the scale and scope of potential fieldwork would exceed the practical limitations of this doctoral stage.</w:t>
      </w:r>
    </w:p>
    <w:p w14:paraId="6BCB0404" w14:textId="62E2D32E"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The interpretivist paradigm underpinning the study </w:t>
      </w:r>
      <w:r>
        <w:rPr>
          <w:rFonts w:ascii="Cambria" w:hAnsi="Cambria"/>
          <w:color w:val="000000"/>
          <w:sz w:val="22"/>
          <w:szCs w:val="22"/>
        </w:rPr>
        <w:t>recognizes</w:t>
      </w:r>
      <w:r>
        <w:rPr>
          <w:rFonts w:ascii="Cambria" w:hAnsi="Cambria"/>
          <w:color w:val="000000"/>
          <w:sz w:val="22"/>
          <w:szCs w:val="22"/>
        </w:rPr>
        <w:t xml:space="preserve"> that human experiences of harmony, transcendence, and flourishing are socially and culturally constructed. Therefore, participant </w:t>
      </w:r>
      <w:proofErr w:type="gramStart"/>
      <w:r>
        <w:rPr>
          <w:rFonts w:ascii="Cambria" w:hAnsi="Cambria"/>
          <w:color w:val="000000"/>
          <w:sz w:val="22"/>
          <w:szCs w:val="22"/>
        </w:rPr>
        <w:t>meaning-making</w:t>
      </w:r>
      <w:proofErr w:type="gramEnd"/>
      <w:r>
        <w:rPr>
          <w:rFonts w:ascii="Cambria" w:hAnsi="Cambria"/>
          <w:color w:val="000000"/>
          <w:sz w:val="22"/>
          <w:szCs w:val="22"/>
        </w:rPr>
        <w:t xml:space="preserve"> forms a central aspect of the analysis.</w:t>
      </w:r>
    </w:p>
    <w:p w14:paraId="66661140" w14:textId="6818701B"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The research will also involve reflexive practice. As the researcher possesses professional interest in regenerative commerce and harmony-centered systems, reflective journaling will be used throughout the study to acknowledge positionality and </w:t>
      </w:r>
      <w:r>
        <w:rPr>
          <w:rFonts w:ascii="Cambria" w:hAnsi="Cambria"/>
          <w:color w:val="000000"/>
          <w:sz w:val="22"/>
          <w:szCs w:val="22"/>
        </w:rPr>
        <w:t>minimize</w:t>
      </w:r>
      <w:r>
        <w:rPr>
          <w:rFonts w:ascii="Cambria" w:hAnsi="Cambria"/>
          <w:color w:val="000000"/>
          <w:sz w:val="22"/>
          <w:szCs w:val="22"/>
        </w:rPr>
        <w:t xml:space="preserve"> interpretive bias (Creswell, 2013).</w:t>
      </w:r>
    </w:p>
    <w:p w14:paraId="74B0B191" w14:textId="4B544E60"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Overall, the methodology seeks to balance theoretical depth with practical application. The resulting framework aims not only to contribute academically, but also to inform future business strategy, educational certification systems, and harmony-oriented </w:t>
      </w:r>
      <w:r>
        <w:rPr>
          <w:rFonts w:ascii="Cambria" w:hAnsi="Cambria"/>
          <w:color w:val="000000"/>
          <w:sz w:val="22"/>
          <w:szCs w:val="22"/>
        </w:rPr>
        <w:t>organizational</w:t>
      </w:r>
      <w:r>
        <w:rPr>
          <w:rFonts w:ascii="Cambria" w:hAnsi="Cambria"/>
          <w:color w:val="000000"/>
          <w:sz w:val="22"/>
          <w:szCs w:val="22"/>
        </w:rPr>
        <w:t xml:space="preserve"> design.</w:t>
      </w:r>
    </w:p>
    <w:p w14:paraId="39990867" w14:textId="77777777" w:rsidR="003628C3" w:rsidRDefault="003628C3" w:rsidP="003628C3">
      <w:pPr>
        <w:pStyle w:val="Heading1"/>
        <w:spacing w:line="0" w:lineRule="auto"/>
        <w:rPr>
          <w:color w:val="000000"/>
        </w:rPr>
      </w:pPr>
      <w:r>
        <w:rPr>
          <w:rFonts w:ascii="Calibri" w:hAnsi="Calibri" w:cs="Calibri"/>
          <w:color w:val="365F91"/>
        </w:rPr>
        <w:t>Ethical Considerations</w:t>
      </w:r>
    </w:p>
    <w:p w14:paraId="3EE43381" w14:textId="171D813A"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The proposed research involves exploration of identity, meaning, values, wellbeing, and </w:t>
      </w:r>
      <w:r>
        <w:rPr>
          <w:rFonts w:ascii="Cambria" w:hAnsi="Cambria"/>
          <w:color w:val="000000"/>
          <w:sz w:val="22"/>
          <w:szCs w:val="22"/>
        </w:rPr>
        <w:t>organizational</w:t>
      </w:r>
      <w:r>
        <w:rPr>
          <w:rFonts w:ascii="Cambria" w:hAnsi="Cambria"/>
          <w:color w:val="000000"/>
          <w:sz w:val="22"/>
          <w:szCs w:val="22"/>
        </w:rPr>
        <w:t xml:space="preserve"> culture. Ethical considerations are therefore significant and will be addressed in accordance with university ethical guidance and professional research standards.</w:t>
      </w:r>
    </w:p>
    <w:p w14:paraId="5398BEC5" w14:textId="4FEC3E14"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The study will </w:t>
      </w:r>
      <w:r>
        <w:rPr>
          <w:rFonts w:ascii="Cambria" w:hAnsi="Cambria"/>
          <w:color w:val="000000"/>
          <w:sz w:val="22"/>
          <w:szCs w:val="22"/>
        </w:rPr>
        <w:t>prioritize</w:t>
      </w:r>
      <w:r>
        <w:rPr>
          <w:rFonts w:ascii="Cambria" w:hAnsi="Cambria"/>
          <w:color w:val="000000"/>
          <w:sz w:val="22"/>
          <w:szCs w:val="22"/>
        </w:rPr>
        <w:t xml:space="preserve"> informed consent, confidentiality, participant wellbeing, transparency, and responsible representation. All participants will receive detailed participant information sheets outlining the purpose of the research, interview procedures, data storage methods, and their right to withdraw from the study at any time without consequence (Creswell, 2013).</w:t>
      </w:r>
    </w:p>
    <w:p w14:paraId="25DB5C6A"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Given the philosophical and potentially personal nature of topics such as meaning, transcendence, identity, and flourishing, participants may discuss emotionally significant experiences or beliefs. The researcher will therefore adopt a sensitive interviewing approach and ensure participants are not pressured to discuss topics beyond their comfort levels (Braun and Clarke, 2006).</w:t>
      </w:r>
    </w:p>
    <w:p w14:paraId="6B7527F8" w14:textId="35B02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Confidentiality will be maintained through </w:t>
      </w:r>
      <w:r>
        <w:rPr>
          <w:rFonts w:ascii="Cambria" w:hAnsi="Cambria"/>
          <w:color w:val="000000"/>
          <w:sz w:val="22"/>
          <w:szCs w:val="22"/>
        </w:rPr>
        <w:t>anonymization</w:t>
      </w:r>
      <w:r>
        <w:rPr>
          <w:rFonts w:ascii="Cambria" w:hAnsi="Cambria"/>
          <w:color w:val="000000"/>
          <w:sz w:val="22"/>
          <w:szCs w:val="22"/>
        </w:rPr>
        <w:t xml:space="preserve"> of interview data unless participants explicitly consent to attribution. Audio recordings and transcripts will be securely stored using password-protected university systems. Data handling procedures will comply with GDPR requirements and institutional ethical policy (Creswell, 2013).</w:t>
      </w:r>
    </w:p>
    <w:p w14:paraId="088B50A7" w14:textId="4F12442D"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A further ethical consideration relates to researcher positionality. Because the study explores concepts the researcher considers professionally meaningful, reflexive practice will be essential. Reflexive journaling and transparent methodological reporting will be used to acknowledge assumptions and </w:t>
      </w:r>
      <w:r>
        <w:rPr>
          <w:rFonts w:ascii="Cambria" w:hAnsi="Cambria"/>
          <w:color w:val="000000"/>
          <w:sz w:val="22"/>
          <w:szCs w:val="22"/>
        </w:rPr>
        <w:t>minimize</w:t>
      </w:r>
      <w:r>
        <w:rPr>
          <w:rFonts w:ascii="Cambria" w:hAnsi="Cambria"/>
          <w:color w:val="000000"/>
          <w:sz w:val="22"/>
          <w:szCs w:val="22"/>
        </w:rPr>
        <w:t xml:space="preserve"> confirmation bias (Creswell, 2013).</w:t>
      </w:r>
    </w:p>
    <w:p w14:paraId="63A1DE5F"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The research also raises broader ethical questions concerning commercial systems and influence. The proposal critically examines whether brands and retail systems can ethically function as vehicles for transcendence and identity formation without becoming manipulative (Holt, 2004; Baudrillard, 1998). This issue will remain central throughout the research analysis.</w:t>
      </w:r>
    </w:p>
    <w:p w14:paraId="53DCDC32"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Care will also be taken regarding cultural interpretation and representation. Concepts relating to harmony, sacred geometry, mythology, and archetypes emerge from diverse cultural traditions (Jung, 1968; Campbell, 2008). The researcher will therefore avoid reductionist or appropriative interpretations and instead engage critically and respectfully with source materials.</w:t>
      </w:r>
    </w:p>
    <w:p w14:paraId="5AF84367" w14:textId="2750D5C6" w:rsidR="003628C3" w:rsidRDefault="003628C3" w:rsidP="003628C3">
      <w:pPr>
        <w:pStyle w:val="NormalWeb"/>
        <w:spacing w:before="240" w:beforeAutospacing="0" w:after="240" w:afterAutospacing="0"/>
        <w:rPr>
          <w:color w:val="000000"/>
        </w:rPr>
      </w:pPr>
      <w:r>
        <w:rPr>
          <w:rFonts w:ascii="Cambria" w:hAnsi="Cambria"/>
          <w:color w:val="000000"/>
          <w:sz w:val="22"/>
          <w:szCs w:val="22"/>
        </w:rPr>
        <w:lastRenderedPageBreak/>
        <w:t xml:space="preserve">Potential reputational sensitivity may also arise when discussing </w:t>
      </w:r>
      <w:r>
        <w:rPr>
          <w:rFonts w:ascii="Cambria" w:hAnsi="Cambria"/>
          <w:color w:val="000000"/>
          <w:sz w:val="22"/>
          <w:szCs w:val="22"/>
        </w:rPr>
        <w:t>organizations</w:t>
      </w:r>
      <w:r>
        <w:rPr>
          <w:rFonts w:ascii="Cambria" w:hAnsi="Cambria"/>
          <w:color w:val="000000"/>
          <w:sz w:val="22"/>
          <w:szCs w:val="22"/>
        </w:rPr>
        <w:t xml:space="preserve"> used as case studies (Holt, 2004). Findings will therefore focus on conceptual analysis rather than personal critique of individual </w:t>
      </w:r>
      <w:r>
        <w:rPr>
          <w:rFonts w:ascii="Cambria" w:hAnsi="Cambria"/>
          <w:color w:val="000000"/>
          <w:sz w:val="22"/>
          <w:szCs w:val="22"/>
        </w:rPr>
        <w:t>organizations</w:t>
      </w:r>
      <w:r>
        <w:rPr>
          <w:rFonts w:ascii="Cambria" w:hAnsi="Cambria"/>
          <w:color w:val="000000"/>
          <w:sz w:val="22"/>
          <w:szCs w:val="22"/>
        </w:rPr>
        <w:t>.</w:t>
      </w:r>
    </w:p>
    <w:p w14:paraId="013EAD13"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The study is considered low risk overall; however, ethical diligence remains essential due to the interdisciplinary and values-oriented nature of the subject matter. Ethical approval will be sought prior to participant recruitment, and all stages of the research process will adhere to institutional guidance regarding responsible and professional doctoral research.</w:t>
      </w:r>
    </w:p>
    <w:p w14:paraId="5C825F88"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Ultimately, the ethical orientation of the study aligns with its wider philosophical foundation.</w:t>
      </w:r>
    </w:p>
    <w:p w14:paraId="1097D600" w14:textId="0E3495E2" w:rsidR="003628C3" w:rsidRDefault="003628C3" w:rsidP="003628C3">
      <w:pPr>
        <w:pStyle w:val="Heading1"/>
        <w:spacing w:line="0" w:lineRule="auto"/>
        <w:rPr>
          <w:color w:val="000000"/>
        </w:rPr>
      </w:pPr>
      <w:r>
        <w:rPr>
          <w:rFonts w:ascii="Calibri" w:hAnsi="Calibri" w:cs="Calibri"/>
          <w:color w:val="365F91"/>
        </w:rPr>
        <w:t>Conclusion</w:t>
      </w:r>
    </w:p>
    <w:p w14:paraId="2BF98B07" w14:textId="77777777" w:rsidR="003628C3" w:rsidRDefault="003628C3" w:rsidP="003628C3">
      <w:pPr>
        <w:rPr>
          <w:color w:val="000000"/>
        </w:rPr>
      </w:pPr>
    </w:p>
    <w:p w14:paraId="1F575AE5" w14:textId="77777777" w:rsidR="003628C3" w:rsidRDefault="003628C3" w:rsidP="003628C3">
      <w:pPr>
        <w:pStyle w:val="NormalWeb"/>
        <w:spacing w:before="240" w:beforeAutospacing="0" w:after="240" w:afterAutospacing="0"/>
        <w:rPr>
          <w:rFonts w:ascii="Cambria" w:hAnsi="Cambria"/>
          <w:color w:val="000000"/>
          <w:sz w:val="22"/>
          <w:szCs w:val="22"/>
        </w:rPr>
      </w:pPr>
      <w:r>
        <w:rPr>
          <w:rFonts w:ascii="Cambria" w:hAnsi="Cambria"/>
          <w:color w:val="000000"/>
          <w:sz w:val="22"/>
          <w:szCs w:val="22"/>
        </w:rPr>
        <w:t>The intended outcome of this proposal is not to prove that commerce is the best or only way to help humans focus on flourishing and by doing so create a new level of harmony. Perhaps the most successful outcome will be that the search for those solutions will be narrowed and the right methods or discipline highlighted and pursued. </w:t>
      </w:r>
    </w:p>
    <w:p w14:paraId="0BC907D1" w14:textId="77777777" w:rsidR="003628C3" w:rsidRDefault="003628C3" w:rsidP="003628C3">
      <w:pPr>
        <w:pStyle w:val="NormalWeb"/>
        <w:spacing w:before="240" w:beforeAutospacing="0" w:after="240" w:afterAutospacing="0"/>
        <w:rPr>
          <w:rFonts w:ascii="Cambria" w:hAnsi="Cambria"/>
          <w:color w:val="000000"/>
          <w:sz w:val="22"/>
          <w:szCs w:val="22"/>
        </w:rPr>
      </w:pPr>
    </w:p>
    <w:p w14:paraId="672FCD35" w14:textId="77777777" w:rsidR="003628C3" w:rsidRDefault="003628C3" w:rsidP="003628C3">
      <w:pPr>
        <w:pStyle w:val="NormalWeb"/>
        <w:spacing w:before="240" w:beforeAutospacing="0" w:after="240" w:afterAutospacing="0"/>
        <w:rPr>
          <w:rFonts w:ascii="Cambria" w:hAnsi="Cambria"/>
          <w:color w:val="000000"/>
          <w:sz w:val="22"/>
          <w:szCs w:val="22"/>
        </w:rPr>
      </w:pPr>
    </w:p>
    <w:p w14:paraId="4E07EBB2" w14:textId="77777777" w:rsidR="003628C3" w:rsidRDefault="003628C3" w:rsidP="003628C3">
      <w:pPr>
        <w:pStyle w:val="NormalWeb"/>
        <w:spacing w:before="240" w:beforeAutospacing="0" w:after="240" w:afterAutospacing="0"/>
        <w:rPr>
          <w:rFonts w:ascii="Cambria" w:hAnsi="Cambria"/>
          <w:color w:val="000000"/>
          <w:sz w:val="22"/>
          <w:szCs w:val="22"/>
        </w:rPr>
      </w:pPr>
    </w:p>
    <w:p w14:paraId="47641F8E" w14:textId="77777777" w:rsidR="003628C3" w:rsidRDefault="003628C3" w:rsidP="003628C3">
      <w:pPr>
        <w:pStyle w:val="NormalWeb"/>
        <w:spacing w:before="240" w:beforeAutospacing="0" w:after="240" w:afterAutospacing="0"/>
        <w:rPr>
          <w:rFonts w:ascii="Cambria" w:hAnsi="Cambria"/>
          <w:color w:val="000000"/>
          <w:sz w:val="22"/>
          <w:szCs w:val="22"/>
        </w:rPr>
      </w:pPr>
    </w:p>
    <w:p w14:paraId="1EE3128D" w14:textId="77777777" w:rsidR="003628C3" w:rsidRDefault="003628C3" w:rsidP="003628C3">
      <w:pPr>
        <w:pStyle w:val="NormalWeb"/>
        <w:spacing w:before="240" w:beforeAutospacing="0" w:after="240" w:afterAutospacing="0"/>
        <w:rPr>
          <w:rFonts w:ascii="Cambria" w:hAnsi="Cambria"/>
          <w:color w:val="000000"/>
          <w:sz w:val="22"/>
          <w:szCs w:val="22"/>
        </w:rPr>
      </w:pPr>
    </w:p>
    <w:p w14:paraId="7DA08ED6" w14:textId="77777777" w:rsidR="003628C3" w:rsidRDefault="003628C3" w:rsidP="003628C3">
      <w:pPr>
        <w:pStyle w:val="NormalWeb"/>
        <w:spacing w:before="240" w:beforeAutospacing="0" w:after="240" w:afterAutospacing="0"/>
        <w:rPr>
          <w:rFonts w:ascii="Cambria" w:hAnsi="Cambria"/>
          <w:color w:val="000000"/>
          <w:sz w:val="22"/>
          <w:szCs w:val="22"/>
        </w:rPr>
      </w:pPr>
    </w:p>
    <w:p w14:paraId="4ACA8BC4" w14:textId="77777777" w:rsidR="003628C3" w:rsidRDefault="003628C3" w:rsidP="003628C3">
      <w:pPr>
        <w:pStyle w:val="NormalWeb"/>
        <w:spacing w:before="240" w:beforeAutospacing="0" w:after="240" w:afterAutospacing="0"/>
        <w:rPr>
          <w:rFonts w:ascii="Cambria" w:hAnsi="Cambria"/>
          <w:color w:val="000000"/>
          <w:sz w:val="22"/>
          <w:szCs w:val="22"/>
        </w:rPr>
      </w:pPr>
    </w:p>
    <w:p w14:paraId="32BE03F9" w14:textId="77777777" w:rsidR="003628C3" w:rsidRDefault="003628C3" w:rsidP="003628C3">
      <w:pPr>
        <w:pStyle w:val="NormalWeb"/>
        <w:spacing w:before="240" w:beforeAutospacing="0" w:after="240" w:afterAutospacing="0"/>
        <w:rPr>
          <w:rFonts w:ascii="Cambria" w:hAnsi="Cambria"/>
          <w:color w:val="000000"/>
          <w:sz w:val="22"/>
          <w:szCs w:val="22"/>
        </w:rPr>
      </w:pPr>
    </w:p>
    <w:p w14:paraId="4A1D3BFB" w14:textId="77777777" w:rsidR="003628C3" w:rsidRDefault="003628C3" w:rsidP="003628C3">
      <w:pPr>
        <w:pStyle w:val="NormalWeb"/>
        <w:spacing w:before="240" w:beforeAutospacing="0" w:after="240" w:afterAutospacing="0"/>
        <w:rPr>
          <w:rFonts w:ascii="Cambria" w:hAnsi="Cambria"/>
          <w:color w:val="000000"/>
          <w:sz w:val="22"/>
          <w:szCs w:val="22"/>
        </w:rPr>
      </w:pPr>
    </w:p>
    <w:p w14:paraId="44D162E1" w14:textId="77777777" w:rsidR="003628C3" w:rsidRDefault="003628C3" w:rsidP="003628C3">
      <w:pPr>
        <w:pStyle w:val="NormalWeb"/>
        <w:spacing w:before="240" w:beforeAutospacing="0" w:after="240" w:afterAutospacing="0"/>
        <w:rPr>
          <w:rFonts w:ascii="Cambria" w:hAnsi="Cambria"/>
          <w:color w:val="000000"/>
          <w:sz w:val="22"/>
          <w:szCs w:val="22"/>
        </w:rPr>
      </w:pPr>
    </w:p>
    <w:p w14:paraId="1D8D9E62" w14:textId="77777777" w:rsidR="003628C3" w:rsidRDefault="003628C3" w:rsidP="003628C3">
      <w:pPr>
        <w:pStyle w:val="NormalWeb"/>
        <w:spacing w:before="240" w:beforeAutospacing="0" w:after="240" w:afterAutospacing="0"/>
        <w:rPr>
          <w:rFonts w:ascii="Cambria" w:hAnsi="Cambria"/>
          <w:color w:val="000000"/>
          <w:sz w:val="22"/>
          <w:szCs w:val="22"/>
        </w:rPr>
      </w:pPr>
    </w:p>
    <w:p w14:paraId="2B8B5369" w14:textId="77777777" w:rsidR="003628C3" w:rsidRDefault="003628C3" w:rsidP="003628C3">
      <w:pPr>
        <w:pStyle w:val="NormalWeb"/>
        <w:spacing w:before="240" w:beforeAutospacing="0" w:after="240" w:afterAutospacing="0"/>
        <w:rPr>
          <w:rFonts w:ascii="Cambria" w:hAnsi="Cambria"/>
          <w:color w:val="000000"/>
          <w:sz w:val="22"/>
          <w:szCs w:val="22"/>
        </w:rPr>
      </w:pPr>
    </w:p>
    <w:p w14:paraId="28616F22" w14:textId="77777777" w:rsidR="003628C3" w:rsidRDefault="003628C3" w:rsidP="003628C3">
      <w:pPr>
        <w:pStyle w:val="NormalWeb"/>
        <w:spacing w:before="240" w:beforeAutospacing="0" w:after="240" w:afterAutospacing="0"/>
        <w:rPr>
          <w:rFonts w:ascii="Cambria" w:hAnsi="Cambria"/>
          <w:color w:val="000000"/>
          <w:sz w:val="22"/>
          <w:szCs w:val="22"/>
        </w:rPr>
      </w:pPr>
    </w:p>
    <w:p w14:paraId="09ED948B" w14:textId="77777777" w:rsidR="003628C3" w:rsidRDefault="003628C3" w:rsidP="003628C3">
      <w:pPr>
        <w:pStyle w:val="NormalWeb"/>
        <w:spacing w:before="240" w:beforeAutospacing="0" w:after="240" w:afterAutospacing="0"/>
        <w:rPr>
          <w:rFonts w:ascii="Cambria" w:hAnsi="Cambria"/>
          <w:color w:val="000000"/>
          <w:sz w:val="22"/>
          <w:szCs w:val="22"/>
        </w:rPr>
      </w:pPr>
    </w:p>
    <w:p w14:paraId="0F7C3285" w14:textId="77777777" w:rsidR="003628C3" w:rsidRDefault="003628C3" w:rsidP="003628C3">
      <w:pPr>
        <w:pStyle w:val="NormalWeb"/>
        <w:spacing w:before="240" w:beforeAutospacing="0" w:after="240" w:afterAutospacing="0"/>
        <w:rPr>
          <w:rFonts w:ascii="Cambria" w:hAnsi="Cambria"/>
          <w:color w:val="000000"/>
          <w:sz w:val="22"/>
          <w:szCs w:val="22"/>
        </w:rPr>
      </w:pPr>
    </w:p>
    <w:p w14:paraId="747E863E" w14:textId="77777777" w:rsidR="003628C3" w:rsidRDefault="003628C3" w:rsidP="003628C3">
      <w:pPr>
        <w:pStyle w:val="NormalWeb"/>
        <w:spacing w:before="240" w:beforeAutospacing="0" w:after="240" w:afterAutospacing="0"/>
        <w:rPr>
          <w:rFonts w:ascii="Cambria" w:hAnsi="Cambria"/>
          <w:color w:val="000000"/>
          <w:sz w:val="22"/>
          <w:szCs w:val="22"/>
        </w:rPr>
      </w:pPr>
    </w:p>
    <w:p w14:paraId="1C62FF3B" w14:textId="77777777" w:rsidR="003628C3" w:rsidRDefault="003628C3" w:rsidP="003628C3">
      <w:pPr>
        <w:pStyle w:val="NormalWeb"/>
        <w:spacing w:before="240" w:beforeAutospacing="0" w:after="240" w:afterAutospacing="0"/>
        <w:rPr>
          <w:color w:val="000000"/>
        </w:rPr>
      </w:pPr>
    </w:p>
    <w:p w14:paraId="7546C460" w14:textId="77777777" w:rsidR="003628C3" w:rsidRDefault="003628C3" w:rsidP="003628C3">
      <w:pPr>
        <w:pStyle w:val="Heading1"/>
        <w:spacing w:line="0" w:lineRule="auto"/>
        <w:rPr>
          <w:color w:val="000000"/>
        </w:rPr>
      </w:pPr>
      <w:r>
        <w:rPr>
          <w:rFonts w:ascii="Calibri" w:hAnsi="Calibri" w:cs="Calibri"/>
          <w:color w:val="365F91"/>
        </w:rPr>
        <w:t>References</w:t>
      </w:r>
    </w:p>
    <w:p w14:paraId="36E89821"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Alexander, C. (1977) </w:t>
      </w:r>
      <w:r>
        <w:rPr>
          <w:rFonts w:ascii="Cambria" w:hAnsi="Cambria"/>
          <w:i/>
          <w:iCs/>
          <w:color w:val="000000"/>
          <w:sz w:val="22"/>
          <w:szCs w:val="22"/>
        </w:rPr>
        <w:t>A Pattern Language</w:t>
      </w:r>
      <w:r>
        <w:rPr>
          <w:rFonts w:ascii="Cambria" w:hAnsi="Cambria"/>
          <w:color w:val="000000"/>
          <w:sz w:val="22"/>
          <w:szCs w:val="22"/>
        </w:rPr>
        <w:t>. New York: Oxford University Press.</w:t>
      </w:r>
    </w:p>
    <w:p w14:paraId="1420EA34"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Baudrillard, J. (1998) </w:t>
      </w:r>
      <w:r>
        <w:rPr>
          <w:rFonts w:ascii="Cambria" w:hAnsi="Cambria"/>
          <w:i/>
          <w:iCs/>
          <w:color w:val="000000"/>
          <w:sz w:val="22"/>
          <w:szCs w:val="22"/>
        </w:rPr>
        <w:t>The Consumer Society</w:t>
      </w:r>
      <w:r>
        <w:rPr>
          <w:rFonts w:ascii="Cambria" w:hAnsi="Cambria"/>
          <w:color w:val="000000"/>
          <w:sz w:val="22"/>
          <w:szCs w:val="22"/>
        </w:rPr>
        <w:t>. London: Sage.</w:t>
      </w:r>
    </w:p>
    <w:p w14:paraId="4DC599EB"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Bellah, R. et al. (1985) </w:t>
      </w:r>
      <w:r>
        <w:rPr>
          <w:rFonts w:ascii="Cambria" w:hAnsi="Cambria"/>
          <w:i/>
          <w:iCs/>
          <w:color w:val="000000"/>
          <w:sz w:val="22"/>
          <w:szCs w:val="22"/>
        </w:rPr>
        <w:t>Habits of the Heart</w:t>
      </w:r>
      <w:r>
        <w:rPr>
          <w:rFonts w:ascii="Cambria" w:hAnsi="Cambria"/>
          <w:color w:val="000000"/>
          <w:sz w:val="22"/>
          <w:szCs w:val="22"/>
        </w:rPr>
        <w:t>. Berkeley: University of California Press.</w:t>
      </w:r>
    </w:p>
    <w:p w14:paraId="30AE9BB9"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Braun, V. and Clarke, V. (2006) ‘Using thematic analysis in psychology’, </w:t>
      </w:r>
      <w:r>
        <w:rPr>
          <w:rFonts w:ascii="Cambria" w:hAnsi="Cambria"/>
          <w:i/>
          <w:iCs/>
          <w:color w:val="000000"/>
          <w:sz w:val="22"/>
          <w:szCs w:val="22"/>
        </w:rPr>
        <w:t>Qualitative Research in Psychology</w:t>
      </w:r>
      <w:r>
        <w:rPr>
          <w:rFonts w:ascii="Cambria" w:hAnsi="Cambria"/>
          <w:color w:val="000000"/>
          <w:sz w:val="22"/>
          <w:szCs w:val="22"/>
        </w:rPr>
        <w:t>, 3(2), pp. 77–101.</w:t>
      </w:r>
    </w:p>
    <w:p w14:paraId="3598C965"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Campbell, J. (2008) </w:t>
      </w:r>
      <w:r>
        <w:rPr>
          <w:rFonts w:ascii="Cambria" w:hAnsi="Cambria"/>
          <w:i/>
          <w:iCs/>
          <w:color w:val="000000"/>
          <w:sz w:val="22"/>
          <w:szCs w:val="22"/>
        </w:rPr>
        <w:t>The Hero with a Thousand Faces</w:t>
      </w:r>
      <w:r>
        <w:rPr>
          <w:rFonts w:ascii="Cambria" w:hAnsi="Cambria"/>
          <w:color w:val="000000"/>
          <w:sz w:val="22"/>
          <w:szCs w:val="22"/>
        </w:rPr>
        <w:t xml:space="preserve">. 3rd </w:t>
      </w:r>
      <w:proofErr w:type="spellStart"/>
      <w:r>
        <w:rPr>
          <w:rFonts w:ascii="Cambria" w:hAnsi="Cambria"/>
          <w:color w:val="000000"/>
          <w:sz w:val="22"/>
          <w:szCs w:val="22"/>
        </w:rPr>
        <w:t>edn</w:t>
      </w:r>
      <w:proofErr w:type="spellEnd"/>
      <w:r>
        <w:rPr>
          <w:rFonts w:ascii="Cambria" w:hAnsi="Cambria"/>
          <w:color w:val="000000"/>
          <w:sz w:val="22"/>
          <w:szCs w:val="22"/>
        </w:rPr>
        <w:t>. Novato: New World Library.</w:t>
      </w:r>
    </w:p>
    <w:p w14:paraId="41730294"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Creswell, J. (2013) </w:t>
      </w:r>
      <w:r>
        <w:rPr>
          <w:rFonts w:ascii="Cambria" w:hAnsi="Cambria"/>
          <w:i/>
          <w:iCs/>
          <w:color w:val="000000"/>
          <w:sz w:val="22"/>
          <w:szCs w:val="22"/>
        </w:rPr>
        <w:t>Qualitative Inquiry and Research Design</w:t>
      </w:r>
      <w:r>
        <w:rPr>
          <w:rFonts w:ascii="Cambria" w:hAnsi="Cambria"/>
          <w:color w:val="000000"/>
          <w:sz w:val="22"/>
          <w:szCs w:val="22"/>
        </w:rPr>
        <w:t xml:space="preserve">. 3rd </w:t>
      </w:r>
      <w:proofErr w:type="spellStart"/>
      <w:r>
        <w:rPr>
          <w:rFonts w:ascii="Cambria" w:hAnsi="Cambria"/>
          <w:color w:val="000000"/>
          <w:sz w:val="22"/>
          <w:szCs w:val="22"/>
        </w:rPr>
        <w:t>edn</w:t>
      </w:r>
      <w:proofErr w:type="spellEnd"/>
      <w:r>
        <w:rPr>
          <w:rFonts w:ascii="Cambria" w:hAnsi="Cambria"/>
          <w:color w:val="000000"/>
          <w:sz w:val="22"/>
          <w:szCs w:val="22"/>
        </w:rPr>
        <w:t>. London: Sage.</w:t>
      </w:r>
    </w:p>
    <w:p w14:paraId="7436CE44"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Fullerton, J. (2015) </w:t>
      </w:r>
      <w:r>
        <w:rPr>
          <w:rFonts w:ascii="Cambria" w:hAnsi="Cambria"/>
          <w:i/>
          <w:iCs/>
          <w:color w:val="000000"/>
          <w:sz w:val="22"/>
          <w:szCs w:val="22"/>
        </w:rPr>
        <w:t>Regenerative Capitalism</w:t>
      </w:r>
      <w:r>
        <w:rPr>
          <w:rFonts w:ascii="Cambria" w:hAnsi="Cambria"/>
          <w:color w:val="000000"/>
          <w:sz w:val="22"/>
          <w:szCs w:val="22"/>
        </w:rPr>
        <w:t>. Capital Institute.</w:t>
      </w:r>
    </w:p>
    <w:p w14:paraId="7593F31F"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Holt, D. (2004) </w:t>
      </w:r>
      <w:r>
        <w:rPr>
          <w:rFonts w:ascii="Cambria" w:hAnsi="Cambria"/>
          <w:i/>
          <w:iCs/>
          <w:color w:val="000000"/>
          <w:sz w:val="22"/>
          <w:szCs w:val="22"/>
        </w:rPr>
        <w:t>How Brands Become Icons</w:t>
      </w:r>
      <w:r>
        <w:rPr>
          <w:rFonts w:ascii="Cambria" w:hAnsi="Cambria"/>
          <w:color w:val="000000"/>
          <w:sz w:val="22"/>
          <w:szCs w:val="22"/>
        </w:rPr>
        <w:t>. Boston: Harvard Business School Press.</w:t>
      </w:r>
    </w:p>
    <w:p w14:paraId="47E2E62B"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Jung, C.G. (1968) </w:t>
      </w:r>
      <w:r>
        <w:rPr>
          <w:rFonts w:ascii="Cambria" w:hAnsi="Cambria"/>
          <w:i/>
          <w:iCs/>
          <w:color w:val="000000"/>
          <w:sz w:val="22"/>
          <w:szCs w:val="22"/>
        </w:rPr>
        <w:t>The Archetypes and the Collective Unconscious</w:t>
      </w:r>
      <w:r>
        <w:rPr>
          <w:rFonts w:ascii="Cambria" w:hAnsi="Cambria"/>
          <w:color w:val="000000"/>
          <w:sz w:val="22"/>
          <w:szCs w:val="22"/>
        </w:rPr>
        <w:t>. Princeton: Princeton University Press.</w:t>
      </w:r>
    </w:p>
    <w:p w14:paraId="66A4EDD7"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Kaufman, S.B. (2020) </w:t>
      </w:r>
      <w:r>
        <w:rPr>
          <w:rFonts w:ascii="Cambria" w:hAnsi="Cambria"/>
          <w:i/>
          <w:iCs/>
          <w:color w:val="000000"/>
          <w:sz w:val="22"/>
          <w:szCs w:val="22"/>
        </w:rPr>
        <w:t>Transcend: The New Science of Self-Actualization</w:t>
      </w:r>
      <w:r>
        <w:rPr>
          <w:rFonts w:ascii="Cambria" w:hAnsi="Cambria"/>
          <w:color w:val="000000"/>
          <w:sz w:val="22"/>
          <w:szCs w:val="22"/>
        </w:rPr>
        <w:t xml:space="preserve">. New York: </w:t>
      </w:r>
      <w:proofErr w:type="spellStart"/>
      <w:r>
        <w:rPr>
          <w:rFonts w:ascii="Cambria" w:hAnsi="Cambria"/>
          <w:color w:val="000000"/>
          <w:sz w:val="22"/>
          <w:szCs w:val="22"/>
        </w:rPr>
        <w:t>TarcherPerigee</w:t>
      </w:r>
      <w:proofErr w:type="spellEnd"/>
      <w:r>
        <w:rPr>
          <w:rFonts w:ascii="Cambria" w:hAnsi="Cambria"/>
          <w:color w:val="000000"/>
          <w:sz w:val="22"/>
          <w:szCs w:val="22"/>
        </w:rPr>
        <w:t>.</w:t>
      </w:r>
    </w:p>
    <w:p w14:paraId="6045325C"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King Charles III (2010) </w:t>
      </w:r>
      <w:r>
        <w:rPr>
          <w:rFonts w:ascii="Cambria" w:hAnsi="Cambria"/>
          <w:i/>
          <w:iCs/>
          <w:color w:val="000000"/>
          <w:sz w:val="22"/>
          <w:szCs w:val="22"/>
        </w:rPr>
        <w:t>Harmony: A New Way of Looking at Our World</w:t>
      </w:r>
      <w:r>
        <w:rPr>
          <w:rFonts w:ascii="Cambria" w:hAnsi="Cambria"/>
          <w:color w:val="000000"/>
          <w:sz w:val="22"/>
          <w:szCs w:val="22"/>
        </w:rPr>
        <w:t>. London: HarperCollins.</w:t>
      </w:r>
    </w:p>
    <w:p w14:paraId="59A9EAC8"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Maslow, A. (1971) </w:t>
      </w:r>
      <w:r>
        <w:rPr>
          <w:rFonts w:ascii="Cambria" w:hAnsi="Cambria"/>
          <w:i/>
          <w:iCs/>
          <w:color w:val="000000"/>
          <w:sz w:val="22"/>
          <w:szCs w:val="22"/>
        </w:rPr>
        <w:t>The Farther Reaches of Human Nature</w:t>
      </w:r>
      <w:r>
        <w:rPr>
          <w:rFonts w:ascii="Cambria" w:hAnsi="Cambria"/>
          <w:color w:val="000000"/>
          <w:sz w:val="22"/>
          <w:szCs w:val="22"/>
        </w:rPr>
        <w:t>. New York: Viking Press.</w:t>
      </w:r>
    </w:p>
    <w:p w14:paraId="66A0E20E"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Murdock, M. (1990) </w:t>
      </w:r>
      <w:r>
        <w:rPr>
          <w:rFonts w:ascii="Cambria" w:hAnsi="Cambria"/>
          <w:i/>
          <w:iCs/>
          <w:color w:val="000000"/>
          <w:sz w:val="22"/>
          <w:szCs w:val="22"/>
        </w:rPr>
        <w:t>The Heroine’s Journey</w:t>
      </w:r>
      <w:r>
        <w:rPr>
          <w:rFonts w:ascii="Cambria" w:hAnsi="Cambria"/>
          <w:color w:val="000000"/>
          <w:sz w:val="22"/>
          <w:szCs w:val="22"/>
        </w:rPr>
        <w:t>. Boston: Shambhala.</w:t>
      </w:r>
    </w:p>
    <w:p w14:paraId="450D2667"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Pine, B.J. and Gilmore, J.H. (1999) </w:t>
      </w:r>
      <w:r>
        <w:rPr>
          <w:rFonts w:ascii="Cambria" w:hAnsi="Cambria"/>
          <w:i/>
          <w:iCs/>
          <w:color w:val="000000"/>
          <w:sz w:val="22"/>
          <w:szCs w:val="22"/>
        </w:rPr>
        <w:t>The Experience Economy</w:t>
      </w:r>
      <w:r>
        <w:rPr>
          <w:rFonts w:ascii="Cambria" w:hAnsi="Cambria"/>
          <w:color w:val="000000"/>
          <w:sz w:val="22"/>
          <w:szCs w:val="22"/>
        </w:rPr>
        <w:t>. Boston: Harvard Business School Press.</w:t>
      </w:r>
    </w:p>
    <w:p w14:paraId="248705CD"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Raworth, K. (2017) </w:t>
      </w:r>
      <w:r>
        <w:rPr>
          <w:rFonts w:ascii="Cambria" w:hAnsi="Cambria"/>
          <w:i/>
          <w:iCs/>
          <w:color w:val="000000"/>
          <w:sz w:val="22"/>
          <w:szCs w:val="22"/>
        </w:rPr>
        <w:t>Doughnut Economics</w:t>
      </w:r>
      <w:r>
        <w:rPr>
          <w:rFonts w:ascii="Cambria" w:hAnsi="Cambria"/>
          <w:color w:val="000000"/>
          <w:sz w:val="22"/>
          <w:szCs w:val="22"/>
        </w:rPr>
        <w:t>. London: Random House.</w:t>
      </w:r>
    </w:p>
    <w:p w14:paraId="6AF64EC7" w14:textId="77777777" w:rsidR="003628C3" w:rsidRDefault="003628C3" w:rsidP="003628C3">
      <w:pPr>
        <w:pStyle w:val="NormalWeb"/>
        <w:spacing w:before="240" w:beforeAutospacing="0" w:after="240" w:afterAutospacing="0"/>
        <w:rPr>
          <w:color w:val="000000"/>
        </w:rPr>
      </w:pPr>
      <w:proofErr w:type="spellStart"/>
      <w:r>
        <w:rPr>
          <w:rFonts w:ascii="Cambria" w:hAnsi="Cambria"/>
          <w:color w:val="000000"/>
          <w:sz w:val="22"/>
          <w:szCs w:val="22"/>
        </w:rPr>
        <w:t>Salingaros</w:t>
      </w:r>
      <w:proofErr w:type="spellEnd"/>
      <w:r>
        <w:rPr>
          <w:rFonts w:ascii="Cambria" w:hAnsi="Cambria"/>
          <w:color w:val="000000"/>
          <w:sz w:val="22"/>
          <w:szCs w:val="22"/>
        </w:rPr>
        <w:t xml:space="preserve">, N. (2006) </w:t>
      </w:r>
      <w:r>
        <w:rPr>
          <w:rFonts w:ascii="Cambria" w:hAnsi="Cambria"/>
          <w:i/>
          <w:iCs/>
          <w:color w:val="000000"/>
          <w:sz w:val="22"/>
          <w:szCs w:val="22"/>
        </w:rPr>
        <w:t>A Theory of Architecture</w:t>
      </w:r>
      <w:r>
        <w:rPr>
          <w:rFonts w:ascii="Cambria" w:hAnsi="Cambria"/>
          <w:color w:val="000000"/>
          <w:sz w:val="22"/>
          <w:szCs w:val="22"/>
        </w:rPr>
        <w:t xml:space="preserve">. Solingen: </w:t>
      </w:r>
      <w:proofErr w:type="spellStart"/>
      <w:r>
        <w:rPr>
          <w:rFonts w:ascii="Cambria" w:hAnsi="Cambria"/>
          <w:color w:val="000000"/>
          <w:sz w:val="22"/>
          <w:szCs w:val="22"/>
        </w:rPr>
        <w:t>Umbau</w:t>
      </w:r>
      <w:proofErr w:type="spellEnd"/>
      <w:r>
        <w:rPr>
          <w:rFonts w:ascii="Cambria" w:hAnsi="Cambria"/>
          <w:color w:val="000000"/>
          <w:sz w:val="22"/>
          <w:szCs w:val="22"/>
        </w:rPr>
        <w:t>-Verlag.</w:t>
      </w:r>
    </w:p>
    <w:p w14:paraId="0639292C"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Sen, A. (1999) </w:t>
      </w:r>
      <w:r>
        <w:rPr>
          <w:rFonts w:ascii="Cambria" w:hAnsi="Cambria"/>
          <w:i/>
          <w:iCs/>
          <w:color w:val="000000"/>
          <w:sz w:val="22"/>
          <w:szCs w:val="22"/>
        </w:rPr>
        <w:t>Development as Freedom</w:t>
      </w:r>
      <w:r>
        <w:rPr>
          <w:rFonts w:ascii="Cambria" w:hAnsi="Cambria"/>
          <w:color w:val="000000"/>
          <w:sz w:val="22"/>
          <w:szCs w:val="22"/>
        </w:rPr>
        <w:t>. Oxford: Oxford University Press.</w:t>
      </w:r>
    </w:p>
    <w:p w14:paraId="59ED40A5" w14:textId="77777777" w:rsidR="003628C3" w:rsidRDefault="003628C3" w:rsidP="003628C3">
      <w:pPr>
        <w:pStyle w:val="NormalWeb"/>
        <w:spacing w:before="240" w:beforeAutospacing="0" w:after="240" w:afterAutospacing="0"/>
        <w:rPr>
          <w:color w:val="000000"/>
        </w:rPr>
      </w:pPr>
      <w:r>
        <w:rPr>
          <w:rFonts w:ascii="Cambria" w:hAnsi="Cambria"/>
          <w:color w:val="000000"/>
          <w:sz w:val="22"/>
          <w:szCs w:val="22"/>
        </w:rPr>
        <w:t xml:space="preserve">The King’s Foundation (2024) </w:t>
      </w:r>
      <w:r>
        <w:rPr>
          <w:rFonts w:ascii="Cambria" w:hAnsi="Cambria"/>
          <w:i/>
          <w:iCs/>
          <w:color w:val="000000"/>
          <w:sz w:val="22"/>
          <w:szCs w:val="22"/>
        </w:rPr>
        <w:t xml:space="preserve">Educational and Sustainability </w:t>
      </w:r>
      <w:proofErr w:type="spellStart"/>
      <w:r>
        <w:rPr>
          <w:rFonts w:ascii="Cambria" w:hAnsi="Cambria"/>
          <w:i/>
          <w:iCs/>
          <w:color w:val="000000"/>
          <w:sz w:val="22"/>
          <w:szCs w:val="22"/>
        </w:rPr>
        <w:t>Programmes</w:t>
      </w:r>
      <w:proofErr w:type="spellEnd"/>
      <w:r>
        <w:rPr>
          <w:rFonts w:ascii="Cambria" w:hAnsi="Cambria"/>
          <w:color w:val="000000"/>
          <w:sz w:val="22"/>
          <w:szCs w:val="22"/>
        </w:rPr>
        <w:t>. Available at:</w:t>
      </w:r>
      <w:hyperlink r:id="rId6" w:history="1">
        <w:r>
          <w:rPr>
            <w:rStyle w:val="Hyperlink"/>
            <w:rFonts w:ascii="Cambria" w:hAnsi="Cambria"/>
            <w:color w:val="000000"/>
            <w:sz w:val="22"/>
            <w:szCs w:val="22"/>
            <w:u w:val="none"/>
          </w:rPr>
          <w:t xml:space="preserve"> </w:t>
        </w:r>
        <w:r>
          <w:rPr>
            <w:rStyle w:val="Hyperlink"/>
            <w:rFonts w:ascii="Cambria" w:hAnsi="Cambria"/>
            <w:color w:val="1155CC"/>
            <w:sz w:val="22"/>
            <w:szCs w:val="22"/>
          </w:rPr>
          <w:t>https://kings-foundation.org</w:t>
        </w:r>
      </w:hyperlink>
      <w:r>
        <w:rPr>
          <w:rFonts w:ascii="Cambria" w:hAnsi="Cambria"/>
          <w:color w:val="000000"/>
          <w:sz w:val="22"/>
          <w:szCs w:val="22"/>
        </w:rPr>
        <w:t xml:space="preserve"> (Accessed: 18 May 2026).</w:t>
      </w:r>
    </w:p>
    <w:p w14:paraId="7DD5D49A" w14:textId="77777777" w:rsidR="003628C3" w:rsidRDefault="003628C3" w:rsidP="003628C3">
      <w:pPr>
        <w:spacing w:after="240"/>
      </w:pPr>
    </w:p>
    <w:p w14:paraId="0F4A0FE9" w14:textId="77777777" w:rsidR="003628C3" w:rsidRDefault="003628C3" w:rsidP="003628C3"/>
    <w:p w14:paraId="1373732C" w14:textId="671FDFB1" w:rsidR="00BD5187" w:rsidRPr="003628C3" w:rsidRDefault="00BD5187" w:rsidP="003628C3"/>
    <w:sectPr w:rsidR="00BD5187" w:rsidRPr="003628C3" w:rsidSect="003628C3">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0000000000000000000"/>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30D159F"/>
    <w:multiLevelType w:val="multilevel"/>
    <w:tmpl w:val="38E4F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1852231">
    <w:abstractNumId w:val="8"/>
  </w:num>
  <w:num w:numId="2" w16cid:durableId="1029915089">
    <w:abstractNumId w:val="6"/>
  </w:num>
  <w:num w:numId="3" w16cid:durableId="1895963257">
    <w:abstractNumId w:val="5"/>
  </w:num>
  <w:num w:numId="4" w16cid:durableId="1066881045">
    <w:abstractNumId w:val="4"/>
  </w:num>
  <w:num w:numId="5" w16cid:durableId="1396314894">
    <w:abstractNumId w:val="7"/>
  </w:num>
  <w:num w:numId="6" w16cid:durableId="960720585">
    <w:abstractNumId w:val="3"/>
  </w:num>
  <w:num w:numId="7" w16cid:durableId="704409324">
    <w:abstractNumId w:val="2"/>
  </w:num>
  <w:num w:numId="8" w16cid:durableId="879589472">
    <w:abstractNumId w:val="1"/>
  </w:num>
  <w:num w:numId="9" w16cid:durableId="681203580">
    <w:abstractNumId w:val="0"/>
  </w:num>
  <w:num w:numId="10" w16cid:durableId="170814195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6"/>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227AA"/>
    <w:rsid w:val="0029639D"/>
    <w:rsid w:val="00326F90"/>
    <w:rsid w:val="003628C3"/>
    <w:rsid w:val="00AA1D8D"/>
    <w:rsid w:val="00B47730"/>
    <w:rsid w:val="00BD5187"/>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7A8FAEA"/>
  <w14:defaultImageDpi w14:val="300"/>
  <w15:docId w15:val="{64ABDA77-C2D7-7E45-B737-DFF5EF807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3628C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3628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kings-foundation.org/"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8</Pages>
  <Words>3431</Words>
  <Characters>19558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22944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Bradley Roberts (2212588)</cp:lastModifiedBy>
  <cp:revision>2</cp:revision>
  <dcterms:created xsi:type="dcterms:W3CDTF">2013-12-23T23:15:00Z</dcterms:created>
  <dcterms:modified xsi:type="dcterms:W3CDTF">2026-05-18T22:55:00Z</dcterms:modified>
  <cp:category/>
</cp:coreProperties>
</file>