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40A17" w14:textId="77777777" w:rsidR="00515AD5" w:rsidRPr="002B2E9A" w:rsidRDefault="00515AD5">
      <w:pPr>
        <w:jc w:val="center"/>
        <w:rPr>
          <w:b/>
          <w:bCs/>
          <w:color w:val="000000" w:themeColor="text1"/>
          <w:sz w:val="32"/>
          <w:szCs w:val="32"/>
        </w:rPr>
      </w:pPr>
    </w:p>
    <w:p w14:paraId="0E93C3F0" w14:textId="77777777" w:rsidR="00515AD5" w:rsidRPr="002B2E9A" w:rsidRDefault="00515AD5">
      <w:pPr>
        <w:jc w:val="center"/>
        <w:rPr>
          <w:b/>
          <w:bCs/>
          <w:color w:val="000000" w:themeColor="text1"/>
          <w:sz w:val="32"/>
          <w:szCs w:val="32"/>
        </w:rPr>
      </w:pPr>
    </w:p>
    <w:p w14:paraId="55D08EC6" w14:textId="77777777" w:rsidR="00515AD5" w:rsidRPr="002B2E9A" w:rsidRDefault="00515AD5">
      <w:pPr>
        <w:jc w:val="center"/>
        <w:rPr>
          <w:b/>
          <w:bCs/>
          <w:color w:val="000000" w:themeColor="text1"/>
          <w:sz w:val="32"/>
          <w:szCs w:val="32"/>
        </w:rPr>
      </w:pPr>
    </w:p>
    <w:p w14:paraId="3D0231CC" w14:textId="77777777" w:rsidR="00515AD5" w:rsidRPr="002B2E9A" w:rsidRDefault="00515AD5">
      <w:pPr>
        <w:jc w:val="center"/>
        <w:rPr>
          <w:b/>
          <w:bCs/>
          <w:color w:val="000000" w:themeColor="text1"/>
          <w:sz w:val="32"/>
          <w:szCs w:val="32"/>
        </w:rPr>
      </w:pPr>
    </w:p>
    <w:p w14:paraId="183D4038" w14:textId="77777777" w:rsidR="00515AD5" w:rsidRPr="002B2E9A" w:rsidRDefault="00515AD5">
      <w:pPr>
        <w:jc w:val="center"/>
        <w:rPr>
          <w:b/>
          <w:bCs/>
          <w:color w:val="000000" w:themeColor="text1"/>
          <w:sz w:val="32"/>
          <w:szCs w:val="32"/>
        </w:rPr>
      </w:pPr>
    </w:p>
    <w:p w14:paraId="00D56769" w14:textId="77777777" w:rsidR="00515AD5" w:rsidRPr="002B2E9A" w:rsidRDefault="00515AD5">
      <w:pPr>
        <w:jc w:val="center"/>
        <w:rPr>
          <w:b/>
          <w:bCs/>
          <w:color w:val="000000" w:themeColor="text1"/>
          <w:sz w:val="32"/>
          <w:szCs w:val="32"/>
        </w:rPr>
      </w:pPr>
    </w:p>
    <w:p w14:paraId="15ECCA10" w14:textId="77777777" w:rsidR="00515AD5" w:rsidRPr="002B2E9A" w:rsidRDefault="00515AD5">
      <w:pPr>
        <w:jc w:val="center"/>
        <w:rPr>
          <w:b/>
          <w:bCs/>
          <w:color w:val="000000" w:themeColor="text1"/>
          <w:sz w:val="32"/>
          <w:szCs w:val="32"/>
        </w:rPr>
      </w:pPr>
    </w:p>
    <w:p w14:paraId="38109404" w14:textId="77777777" w:rsidR="00515AD5" w:rsidRPr="002B2E9A" w:rsidRDefault="00515AD5">
      <w:pPr>
        <w:jc w:val="center"/>
        <w:rPr>
          <w:b/>
          <w:bCs/>
          <w:color w:val="000000" w:themeColor="text1"/>
          <w:sz w:val="32"/>
          <w:szCs w:val="32"/>
        </w:rPr>
      </w:pPr>
    </w:p>
    <w:p w14:paraId="6F0B3860" w14:textId="77777777" w:rsidR="00515AD5" w:rsidRPr="002B2E9A" w:rsidRDefault="00442B81">
      <w:pPr>
        <w:jc w:val="center"/>
        <w:rPr>
          <w:b/>
          <w:bCs/>
          <w:color w:val="000000" w:themeColor="text1"/>
          <w:sz w:val="32"/>
          <w:szCs w:val="32"/>
        </w:rPr>
      </w:pPr>
      <w:r w:rsidRPr="002B2E9A">
        <w:rPr>
          <w:b/>
          <w:bCs/>
          <w:color w:val="000000" w:themeColor="text1"/>
          <w:sz w:val="32"/>
          <w:szCs w:val="32"/>
        </w:rPr>
        <w:t>MODULE CODE: LCLM6003</w:t>
      </w:r>
    </w:p>
    <w:p w14:paraId="1C7EB802" w14:textId="50A496E5" w:rsidR="00515AD5" w:rsidRDefault="00442B81">
      <w:pPr>
        <w:jc w:val="center"/>
        <w:rPr>
          <w:b/>
          <w:bCs/>
          <w:color w:val="000000" w:themeColor="text1"/>
          <w:sz w:val="32"/>
          <w:szCs w:val="32"/>
        </w:rPr>
      </w:pPr>
      <w:r w:rsidRPr="002B2E9A">
        <w:rPr>
          <w:b/>
          <w:bCs/>
          <w:color w:val="000000" w:themeColor="text1"/>
          <w:sz w:val="32"/>
          <w:szCs w:val="32"/>
        </w:rPr>
        <w:t xml:space="preserve">MODULE NAME: LEADING AND IMPLEMENTING CHANGE </w:t>
      </w:r>
      <w:r w:rsidR="00491953">
        <w:rPr>
          <w:b/>
          <w:bCs/>
          <w:color w:val="000000" w:themeColor="text1"/>
          <w:sz w:val="32"/>
          <w:szCs w:val="32"/>
        </w:rPr>
        <w:t xml:space="preserve">  </w:t>
      </w:r>
    </w:p>
    <w:p w14:paraId="39148EE2" w14:textId="4F918D42" w:rsidR="00491953" w:rsidRDefault="00491953">
      <w:pPr>
        <w:jc w:val="center"/>
        <w:rPr>
          <w:b/>
          <w:bCs/>
          <w:color w:val="000000" w:themeColor="text1"/>
          <w:sz w:val="32"/>
          <w:szCs w:val="32"/>
        </w:rPr>
      </w:pPr>
      <w:r>
        <w:rPr>
          <w:b/>
          <w:bCs/>
          <w:color w:val="000000" w:themeColor="text1"/>
          <w:sz w:val="32"/>
          <w:szCs w:val="32"/>
        </w:rPr>
        <w:t xml:space="preserve">ASSIGNMENT TITLE: A STRATEGIC CHANGE PLAN </w:t>
      </w:r>
    </w:p>
    <w:p w14:paraId="725F32CC" w14:textId="6667F7FC" w:rsidR="00491953" w:rsidRDefault="00491953">
      <w:pPr>
        <w:jc w:val="center"/>
        <w:rPr>
          <w:b/>
          <w:bCs/>
          <w:color w:val="000000" w:themeColor="text1"/>
          <w:sz w:val="32"/>
          <w:szCs w:val="32"/>
        </w:rPr>
      </w:pPr>
      <w:r>
        <w:rPr>
          <w:b/>
          <w:bCs/>
          <w:color w:val="000000" w:themeColor="text1"/>
          <w:sz w:val="32"/>
          <w:szCs w:val="32"/>
        </w:rPr>
        <w:t>STUDENT ID: 2315167</w:t>
      </w:r>
    </w:p>
    <w:p w14:paraId="756915DD" w14:textId="48C0524F" w:rsidR="00491953" w:rsidRPr="002B2E9A" w:rsidRDefault="00491953">
      <w:pPr>
        <w:jc w:val="center"/>
        <w:rPr>
          <w:b/>
          <w:bCs/>
          <w:color w:val="000000" w:themeColor="text1"/>
          <w:sz w:val="32"/>
          <w:szCs w:val="32"/>
        </w:rPr>
      </w:pPr>
      <w:r>
        <w:rPr>
          <w:b/>
          <w:bCs/>
          <w:color w:val="000000" w:themeColor="text1"/>
          <w:sz w:val="32"/>
          <w:szCs w:val="32"/>
        </w:rPr>
        <w:t>STUDENT NAME: ANCUTA BAHNEAN</w:t>
      </w:r>
    </w:p>
    <w:p w14:paraId="141DFDCE" w14:textId="763E6614" w:rsidR="00515AD5" w:rsidRPr="002B2E9A" w:rsidRDefault="00442B81">
      <w:pPr>
        <w:rPr>
          <w:b/>
          <w:bCs/>
          <w:color w:val="000000" w:themeColor="text1"/>
          <w:sz w:val="32"/>
          <w:szCs w:val="32"/>
        </w:rPr>
      </w:pPr>
      <w:r w:rsidRPr="002B2E9A">
        <w:rPr>
          <w:color w:val="000000" w:themeColor="text1"/>
        </w:rPr>
        <w:br w:type="page"/>
      </w:r>
      <w:r w:rsidR="00491953">
        <w:rPr>
          <w:color w:val="000000" w:themeColor="text1"/>
        </w:rPr>
        <w:lastRenderedPageBreak/>
        <w:t xml:space="preserve"> </w:t>
      </w:r>
    </w:p>
    <w:p w14:paraId="7BB4BE07" w14:textId="77777777" w:rsidR="00515AD5" w:rsidRPr="002B2E9A" w:rsidRDefault="00442B81">
      <w:pPr>
        <w:keepNext/>
        <w:keepLines/>
        <w:pBdr>
          <w:top w:val="nil"/>
          <w:left w:val="nil"/>
          <w:bottom w:val="nil"/>
          <w:right w:val="nil"/>
          <w:between w:val="nil"/>
        </w:pBdr>
        <w:jc w:val="center"/>
        <w:rPr>
          <w:b/>
          <w:bCs/>
          <w:color w:val="000000" w:themeColor="text1"/>
          <w:sz w:val="28"/>
          <w:szCs w:val="28"/>
        </w:rPr>
      </w:pPr>
      <w:bookmarkStart w:id="0" w:name="_heading=h.96o3vpp6w2m5" w:colFirst="0" w:colLast="0"/>
      <w:bookmarkEnd w:id="0"/>
      <w:r w:rsidRPr="002B2E9A">
        <w:rPr>
          <w:b/>
          <w:bCs/>
          <w:color w:val="000000" w:themeColor="text1"/>
          <w:sz w:val="28"/>
          <w:szCs w:val="28"/>
        </w:rPr>
        <w:t>Table of Contents</w:t>
      </w:r>
    </w:p>
    <w:sdt>
      <w:sdtPr>
        <w:rPr>
          <w:rFonts w:ascii="Times New Roman" w:eastAsia="Times New Roman" w:hAnsi="Times New Roman" w:cs="Times New Roman"/>
          <w:color w:val="auto"/>
          <w:sz w:val="24"/>
          <w:szCs w:val="24"/>
        </w:rPr>
        <w:id w:val="-1293828230"/>
        <w:docPartObj>
          <w:docPartGallery w:val="Table of Contents"/>
          <w:docPartUnique/>
        </w:docPartObj>
      </w:sdtPr>
      <w:sdtEndPr>
        <w:rPr>
          <w:b/>
          <w:bCs/>
          <w:noProof/>
        </w:rPr>
      </w:sdtEndPr>
      <w:sdtContent>
        <w:p w14:paraId="00B5B692" w14:textId="63589C4C" w:rsidR="003A1D36" w:rsidRDefault="003A1D36">
          <w:pPr>
            <w:pStyle w:val="TOCHeading"/>
          </w:pPr>
          <w:r>
            <w:t>Contents</w:t>
          </w:r>
        </w:p>
        <w:p w14:paraId="1A363DF6" w14:textId="34016DBE" w:rsidR="003A1D36" w:rsidRDefault="003A1D36">
          <w:pPr>
            <w:pStyle w:val="TOC1"/>
            <w:tabs>
              <w:tab w:val="right" w:leader="dot" w:pos="9019"/>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23027313" w:history="1">
            <w:r w:rsidRPr="00596FB8">
              <w:rPr>
                <w:rStyle w:val="Hyperlink"/>
                <w:noProof/>
              </w:rPr>
              <w:t>Introduction</w:t>
            </w:r>
            <w:r>
              <w:rPr>
                <w:noProof/>
                <w:webHidden/>
              </w:rPr>
              <w:tab/>
            </w:r>
            <w:r>
              <w:rPr>
                <w:noProof/>
                <w:webHidden/>
              </w:rPr>
              <w:fldChar w:fldCharType="begin"/>
            </w:r>
            <w:r>
              <w:rPr>
                <w:noProof/>
                <w:webHidden/>
              </w:rPr>
              <w:instrText xml:space="preserve"> PAGEREF _Toc223027313 \h </w:instrText>
            </w:r>
            <w:r>
              <w:rPr>
                <w:noProof/>
                <w:webHidden/>
              </w:rPr>
            </w:r>
            <w:r>
              <w:rPr>
                <w:noProof/>
                <w:webHidden/>
              </w:rPr>
              <w:fldChar w:fldCharType="separate"/>
            </w:r>
            <w:r>
              <w:rPr>
                <w:noProof/>
                <w:webHidden/>
              </w:rPr>
              <w:t>3</w:t>
            </w:r>
            <w:r>
              <w:rPr>
                <w:noProof/>
                <w:webHidden/>
              </w:rPr>
              <w:fldChar w:fldCharType="end"/>
            </w:r>
          </w:hyperlink>
        </w:p>
        <w:p w14:paraId="2DF3C203" w14:textId="519547B7" w:rsidR="003A1D36" w:rsidRDefault="003A1D36">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3027314" w:history="1">
            <w:r w:rsidRPr="00596FB8">
              <w:rPr>
                <w:rStyle w:val="Hyperlink"/>
                <w:noProof/>
              </w:rPr>
              <w:t>Background of the organisation</w:t>
            </w:r>
            <w:r>
              <w:rPr>
                <w:noProof/>
                <w:webHidden/>
              </w:rPr>
              <w:tab/>
            </w:r>
            <w:r>
              <w:rPr>
                <w:noProof/>
                <w:webHidden/>
              </w:rPr>
              <w:fldChar w:fldCharType="begin"/>
            </w:r>
            <w:r>
              <w:rPr>
                <w:noProof/>
                <w:webHidden/>
              </w:rPr>
              <w:instrText xml:space="preserve"> PAGEREF _Toc223027314 \h </w:instrText>
            </w:r>
            <w:r>
              <w:rPr>
                <w:noProof/>
                <w:webHidden/>
              </w:rPr>
            </w:r>
            <w:r>
              <w:rPr>
                <w:noProof/>
                <w:webHidden/>
              </w:rPr>
              <w:fldChar w:fldCharType="separate"/>
            </w:r>
            <w:r>
              <w:rPr>
                <w:noProof/>
                <w:webHidden/>
              </w:rPr>
              <w:t>3</w:t>
            </w:r>
            <w:r>
              <w:rPr>
                <w:noProof/>
                <w:webHidden/>
              </w:rPr>
              <w:fldChar w:fldCharType="end"/>
            </w:r>
          </w:hyperlink>
        </w:p>
        <w:p w14:paraId="7B66B70A" w14:textId="2F960A46" w:rsidR="003A1D36" w:rsidRDefault="003A1D36">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3027315" w:history="1">
            <w:r w:rsidRPr="00596FB8">
              <w:rPr>
                <w:rStyle w:val="Hyperlink"/>
                <w:noProof/>
              </w:rPr>
              <w:t>Recent history and impact of external and internal factors</w:t>
            </w:r>
            <w:r>
              <w:rPr>
                <w:noProof/>
                <w:webHidden/>
              </w:rPr>
              <w:tab/>
            </w:r>
            <w:r>
              <w:rPr>
                <w:noProof/>
                <w:webHidden/>
              </w:rPr>
              <w:fldChar w:fldCharType="begin"/>
            </w:r>
            <w:r>
              <w:rPr>
                <w:noProof/>
                <w:webHidden/>
              </w:rPr>
              <w:instrText xml:space="preserve"> PAGEREF _Toc223027315 \h </w:instrText>
            </w:r>
            <w:r>
              <w:rPr>
                <w:noProof/>
                <w:webHidden/>
              </w:rPr>
            </w:r>
            <w:r>
              <w:rPr>
                <w:noProof/>
                <w:webHidden/>
              </w:rPr>
              <w:fldChar w:fldCharType="separate"/>
            </w:r>
            <w:r>
              <w:rPr>
                <w:noProof/>
                <w:webHidden/>
              </w:rPr>
              <w:t>4</w:t>
            </w:r>
            <w:r>
              <w:rPr>
                <w:noProof/>
                <w:webHidden/>
              </w:rPr>
              <w:fldChar w:fldCharType="end"/>
            </w:r>
          </w:hyperlink>
        </w:p>
        <w:p w14:paraId="2E89058D" w14:textId="7EC03F5C"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16" w:history="1">
            <w:r w:rsidRPr="00596FB8">
              <w:rPr>
                <w:rStyle w:val="Hyperlink"/>
                <w:noProof/>
              </w:rPr>
              <w:t>Recent History of the organisation</w:t>
            </w:r>
            <w:r>
              <w:rPr>
                <w:noProof/>
                <w:webHidden/>
              </w:rPr>
              <w:tab/>
            </w:r>
            <w:r>
              <w:rPr>
                <w:noProof/>
                <w:webHidden/>
              </w:rPr>
              <w:fldChar w:fldCharType="begin"/>
            </w:r>
            <w:r>
              <w:rPr>
                <w:noProof/>
                <w:webHidden/>
              </w:rPr>
              <w:instrText xml:space="preserve"> PAGEREF _Toc223027316 \h </w:instrText>
            </w:r>
            <w:r>
              <w:rPr>
                <w:noProof/>
                <w:webHidden/>
              </w:rPr>
            </w:r>
            <w:r>
              <w:rPr>
                <w:noProof/>
                <w:webHidden/>
              </w:rPr>
              <w:fldChar w:fldCharType="separate"/>
            </w:r>
            <w:r>
              <w:rPr>
                <w:noProof/>
                <w:webHidden/>
              </w:rPr>
              <w:t>4</w:t>
            </w:r>
            <w:r>
              <w:rPr>
                <w:noProof/>
                <w:webHidden/>
              </w:rPr>
              <w:fldChar w:fldCharType="end"/>
            </w:r>
          </w:hyperlink>
        </w:p>
        <w:p w14:paraId="59A6C312" w14:textId="61B18D4D"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17" w:history="1">
            <w:r w:rsidRPr="00596FB8">
              <w:rPr>
                <w:rStyle w:val="Hyperlink"/>
                <w:noProof/>
              </w:rPr>
              <w:t>Internal Analysis</w:t>
            </w:r>
            <w:r>
              <w:rPr>
                <w:noProof/>
                <w:webHidden/>
              </w:rPr>
              <w:tab/>
            </w:r>
            <w:r>
              <w:rPr>
                <w:noProof/>
                <w:webHidden/>
              </w:rPr>
              <w:fldChar w:fldCharType="begin"/>
            </w:r>
            <w:r>
              <w:rPr>
                <w:noProof/>
                <w:webHidden/>
              </w:rPr>
              <w:instrText xml:space="preserve"> PAGEREF _Toc223027317 \h </w:instrText>
            </w:r>
            <w:r>
              <w:rPr>
                <w:noProof/>
                <w:webHidden/>
              </w:rPr>
            </w:r>
            <w:r>
              <w:rPr>
                <w:noProof/>
                <w:webHidden/>
              </w:rPr>
              <w:fldChar w:fldCharType="separate"/>
            </w:r>
            <w:r>
              <w:rPr>
                <w:noProof/>
                <w:webHidden/>
              </w:rPr>
              <w:t>4</w:t>
            </w:r>
            <w:r>
              <w:rPr>
                <w:noProof/>
                <w:webHidden/>
              </w:rPr>
              <w:fldChar w:fldCharType="end"/>
            </w:r>
          </w:hyperlink>
        </w:p>
        <w:p w14:paraId="6D966300" w14:textId="1225DC1A"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18" w:history="1">
            <w:r w:rsidRPr="00596FB8">
              <w:rPr>
                <w:rStyle w:val="Hyperlink"/>
                <w:noProof/>
              </w:rPr>
              <w:t>External Analysis</w:t>
            </w:r>
            <w:r>
              <w:rPr>
                <w:noProof/>
                <w:webHidden/>
              </w:rPr>
              <w:tab/>
            </w:r>
            <w:r>
              <w:rPr>
                <w:noProof/>
                <w:webHidden/>
              </w:rPr>
              <w:fldChar w:fldCharType="begin"/>
            </w:r>
            <w:r>
              <w:rPr>
                <w:noProof/>
                <w:webHidden/>
              </w:rPr>
              <w:instrText xml:space="preserve"> PAGEREF _Toc223027318 \h </w:instrText>
            </w:r>
            <w:r>
              <w:rPr>
                <w:noProof/>
                <w:webHidden/>
              </w:rPr>
            </w:r>
            <w:r>
              <w:rPr>
                <w:noProof/>
                <w:webHidden/>
              </w:rPr>
              <w:fldChar w:fldCharType="separate"/>
            </w:r>
            <w:r>
              <w:rPr>
                <w:noProof/>
                <w:webHidden/>
              </w:rPr>
              <w:t>6</w:t>
            </w:r>
            <w:r>
              <w:rPr>
                <w:noProof/>
                <w:webHidden/>
              </w:rPr>
              <w:fldChar w:fldCharType="end"/>
            </w:r>
          </w:hyperlink>
        </w:p>
        <w:p w14:paraId="3D60F28F" w14:textId="40CD024D" w:rsidR="003A1D36" w:rsidRDefault="003A1D36">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3027319" w:history="1">
            <w:r w:rsidRPr="00596FB8">
              <w:rPr>
                <w:rStyle w:val="Hyperlink"/>
                <w:noProof/>
              </w:rPr>
              <w:t>Implementation of change management models</w:t>
            </w:r>
            <w:r>
              <w:rPr>
                <w:noProof/>
                <w:webHidden/>
              </w:rPr>
              <w:tab/>
            </w:r>
            <w:r>
              <w:rPr>
                <w:noProof/>
                <w:webHidden/>
              </w:rPr>
              <w:fldChar w:fldCharType="begin"/>
            </w:r>
            <w:r>
              <w:rPr>
                <w:noProof/>
                <w:webHidden/>
              </w:rPr>
              <w:instrText xml:space="preserve"> PAGEREF _Toc223027319 \h </w:instrText>
            </w:r>
            <w:r>
              <w:rPr>
                <w:noProof/>
                <w:webHidden/>
              </w:rPr>
            </w:r>
            <w:r>
              <w:rPr>
                <w:noProof/>
                <w:webHidden/>
              </w:rPr>
              <w:fldChar w:fldCharType="separate"/>
            </w:r>
            <w:r>
              <w:rPr>
                <w:noProof/>
                <w:webHidden/>
              </w:rPr>
              <w:t>7</w:t>
            </w:r>
            <w:r>
              <w:rPr>
                <w:noProof/>
                <w:webHidden/>
              </w:rPr>
              <w:fldChar w:fldCharType="end"/>
            </w:r>
          </w:hyperlink>
        </w:p>
        <w:p w14:paraId="4B461FA8" w14:textId="4839681E"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20" w:history="1">
            <w:r w:rsidRPr="00596FB8">
              <w:rPr>
                <w:rStyle w:val="Hyperlink"/>
                <w:noProof/>
              </w:rPr>
              <w:t>Lewin’s Change Management Model</w:t>
            </w:r>
            <w:r>
              <w:rPr>
                <w:noProof/>
                <w:webHidden/>
              </w:rPr>
              <w:tab/>
            </w:r>
            <w:r>
              <w:rPr>
                <w:noProof/>
                <w:webHidden/>
              </w:rPr>
              <w:fldChar w:fldCharType="begin"/>
            </w:r>
            <w:r>
              <w:rPr>
                <w:noProof/>
                <w:webHidden/>
              </w:rPr>
              <w:instrText xml:space="preserve"> PAGEREF _Toc223027320 \h </w:instrText>
            </w:r>
            <w:r>
              <w:rPr>
                <w:noProof/>
                <w:webHidden/>
              </w:rPr>
            </w:r>
            <w:r>
              <w:rPr>
                <w:noProof/>
                <w:webHidden/>
              </w:rPr>
              <w:fldChar w:fldCharType="separate"/>
            </w:r>
            <w:r>
              <w:rPr>
                <w:noProof/>
                <w:webHidden/>
              </w:rPr>
              <w:t>7</w:t>
            </w:r>
            <w:r>
              <w:rPr>
                <w:noProof/>
                <w:webHidden/>
              </w:rPr>
              <w:fldChar w:fldCharType="end"/>
            </w:r>
          </w:hyperlink>
        </w:p>
        <w:p w14:paraId="5C39435A" w14:textId="33243B8A"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21" w:history="1">
            <w:r w:rsidRPr="00596FB8">
              <w:rPr>
                <w:rStyle w:val="Hyperlink"/>
                <w:noProof/>
              </w:rPr>
              <w:t>McKinsey 7S Framework</w:t>
            </w:r>
            <w:r>
              <w:rPr>
                <w:noProof/>
                <w:webHidden/>
              </w:rPr>
              <w:tab/>
            </w:r>
            <w:r>
              <w:rPr>
                <w:noProof/>
                <w:webHidden/>
              </w:rPr>
              <w:fldChar w:fldCharType="begin"/>
            </w:r>
            <w:r>
              <w:rPr>
                <w:noProof/>
                <w:webHidden/>
              </w:rPr>
              <w:instrText xml:space="preserve"> PAGEREF _Toc223027321 \h </w:instrText>
            </w:r>
            <w:r>
              <w:rPr>
                <w:noProof/>
                <w:webHidden/>
              </w:rPr>
            </w:r>
            <w:r>
              <w:rPr>
                <w:noProof/>
                <w:webHidden/>
              </w:rPr>
              <w:fldChar w:fldCharType="separate"/>
            </w:r>
            <w:r>
              <w:rPr>
                <w:noProof/>
                <w:webHidden/>
              </w:rPr>
              <w:t>8</w:t>
            </w:r>
            <w:r>
              <w:rPr>
                <w:noProof/>
                <w:webHidden/>
              </w:rPr>
              <w:fldChar w:fldCharType="end"/>
            </w:r>
          </w:hyperlink>
        </w:p>
        <w:p w14:paraId="1BD9ACF0" w14:textId="5A99D514" w:rsidR="003A1D36" w:rsidRDefault="003A1D36">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3027322" w:history="1">
            <w:r w:rsidRPr="00596FB8">
              <w:rPr>
                <w:rStyle w:val="Hyperlink"/>
                <w:noProof/>
              </w:rPr>
              <w:t>Role of leadership and organisational culture in the change</w:t>
            </w:r>
            <w:r>
              <w:rPr>
                <w:noProof/>
                <w:webHidden/>
              </w:rPr>
              <w:tab/>
            </w:r>
            <w:r>
              <w:rPr>
                <w:noProof/>
                <w:webHidden/>
              </w:rPr>
              <w:fldChar w:fldCharType="begin"/>
            </w:r>
            <w:r>
              <w:rPr>
                <w:noProof/>
                <w:webHidden/>
              </w:rPr>
              <w:instrText xml:space="preserve"> PAGEREF _Toc223027322 \h </w:instrText>
            </w:r>
            <w:r>
              <w:rPr>
                <w:noProof/>
                <w:webHidden/>
              </w:rPr>
            </w:r>
            <w:r>
              <w:rPr>
                <w:noProof/>
                <w:webHidden/>
              </w:rPr>
              <w:fldChar w:fldCharType="separate"/>
            </w:r>
            <w:r>
              <w:rPr>
                <w:noProof/>
                <w:webHidden/>
              </w:rPr>
              <w:t>9</w:t>
            </w:r>
            <w:r>
              <w:rPr>
                <w:noProof/>
                <w:webHidden/>
              </w:rPr>
              <w:fldChar w:fldCharType="end"/>
            </w:r>
          </w:hyperlink>
        </w:p>
        <w:p w14:paraId="08CC337B" w14:textId="6C50D59D"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23" w:history="1">
            <w:r w:rsidRPr="00596FB8">
              <w:rPr>
                <w:rStyle w:val="Hyperlink"/>
                <w:noProof/>
              </w:rPr>
              <w:t>Leadership style followed by the organisation</w:t>
            </w:r>
            <w:r>
              <w:rPr>
                <w:noProof/>
                <w:webHidden/>
              </w:rPr>
              <w:tab/>
            </w:r>
            <w:r>
              <w:rPr>
                <w:noProof/>
                <w:webHidden/>
              </w:rPr>
              <w:fldChar w:fldCharType="begin"/>
            </w:r>
            <w:r>
              <w:rPr>
                <w:noProof/>
                <w:webHidden/>
              </w:rPr>
              <w:instrText xml:space="preserve"> PAGEREF _Toc223027323 \h </w:instrText>
            </w:r>
            <w:r>
              <w:rPr>
                <w:noProof/>
                <w:webHidden/>
              </w:rPr>
            </w:r>
            <w:r>
              <w:rPr>
                <w:noProof/>
                <w:webHidden/>
              </w:rPr>
              <w:fldChar w:fldCharType="separate"/>
            </w:r>
            <w:r>
              <w:rPr>
                <w:noProof/>
                <w:webHidden/>
              </w:rPr>
              <w:t>9</w:t>
            </w:r>
            <w:r>
              <w:rPr>
                <w:noProof/>
                <w:webHidden/>
              </w:rPr>
              <w:fldChar w:fldCharType="end"/>
            </w:r>
          </w:hyperlink>
        </w:p>
        <w:p w14:paraId="1CDFA351" w14:textId="04431EC2"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24" w:history="1">
            <w:r w:rsidRPr="00596FB8">
              <w:rPr>
                <w:rStyle w:val="Hyperlink"/>
                <w:noProof/>
              </w:rPr>
              <w:t>Implementation of a definite leadership practice</w:t>
            </w:r>
            <w:r>
              <w:rPr>
                <w:noProof/>
                <w:webHidden/>
              </w:rPr>
              <w:tab/>
            </w:r>
            <w:r>
              <w:rPr>
                <w:noProof/>
                <w:webHidden/>
              </w:rPr>
              <w:fldChar w:fldCharType="begin"/>
            </w:r>
            <w:r>
              <w:rPr>
                <w:noProof/>
                <w:webHidden/>
              </w:rPr>
              <w:instrText xml:space="preserve"> PAGEREF _Toc223027324 \h </w:instrText>
            </w:r>
            <w:r>
              <w:rPr>
                <w:noProof/>
                <w:webHidden/>
              </w:rPr>
            </w:r>
            <w:r>
              <w:rPr>
                <w:noProof/>
                <w:webHidden/>
              </w:rPr>
              <w:fldChar w:fldCharType="separate"/>
            </w:r>
            <w:r>
              <w:rPr>
                <w:noProof/>
                <w:webHidden/>
              </w:rPr>
              <w:t>9</w:t>
            </w:r>
            <w:r>
              <w:rPr>
                <w:noProof/>
                <w:webHidden/>
              </w:rPr>
              <w:fldChar w:fldCharType="end"/>
            </w:r>
          </w:hyperlink>
        </w:p>
        <w:p w14:paraId="4A8925A7" w14:textId="7715230C"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25" w:history="1">
            <w:r w:rsidRPr="00596FB8">
              <w:rPr>
                <w:rStyle w:val="Hyperlink"/>
                <w:noProof/>
              </w:rPr>
              <w:t>Role of organisational culture</w:t>
            </w:r>
            <w:r>
              <w:rPr>
                <w:noProof/>
                <w:webHidden/>
              </w:rPr>
              <w:tab/>
            </w:r>
            <w:r>
              <w:rPr>
                <w:noProof/>
                <w:webHidden/>
              </w:rPr>
              <w:fldChar w:fldCharType="begin"/>
            </w:r>
            <w:r>
              <w:rPr>
                <w:noProof/>
                <w:webHidden/>
              </w:rPr>
              <w:instrText xml:space="preserve"> PAGEREF _Toc223027325 \h </w:instrText>
            </w:r>
            <w:r>
              <w:rPr>
                <w:noProof/>
                <w:webHidden/>
              </w:rPr>
            </w:r>
            <w:r>
              <w:rPr>
                <w:noProof/>
                <w:webHidden/>
              </w:rPr>
              <w:fldChar w:fldCharType="separate"/>
            </w:r>
            <w:r>
              <w:rPr>
                <w:noProof/>
                <w:webHidden/>
              </w:rPr>
              <w:t>10</w:t>
            </w:r>
            <w:r>
              <w:rPr>
                <w:noProof/>
                <w:webHidden/>
              </w:rPr>
              <w:fldChar w:fldCharType="end"/>
            </w:r>
          </w:hyperlink>
        </w:p>
        <w:p w14:paraId="0A765F99" w14:textId="585F86E3"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26" w:history="1">
            <w:r w:rsidRPr="00596FB8">
              <w:rPr>
                <w:rStyle w:val="Hyperlink"/>
                <w:noProof/>
              </w:rPr>
              <w:t>Application from a business perspective</w:t>
            </w:r>
            <w:r>
              <w:rPr>
                <w:noProof/>
                <w:webHidden/>
              </w:rPr>
              <w:tab/>
            </w:r>
            <w:r>
              <w:rPr>
                <w:noProof/>
                <w:webHidden/>
              </w:rPr>
              <w:fldChar w:fldCharType="begin"/>
            </w:r>
            <w:r>
              <w:rPr>
                <w:noProof/>
                <w:webHidden/>
              </w:rPr>
              <w:instrText xml:space="preserve"> PAGEREF _Toc223027326 \h </w:instrText>
            </w:r>
            <w:r>
              <w:rPr>
                <w:noProof/>
                <w:webHidden/>
              </w:rPr>
            </w:r>
            <w:r>
              <w:rPr>
                <w:noProof/>
                <w:webHidden/>
              </w:rPr>
              <w:fldChar w:fldCharType="separate"/>
            </w:r>
            <w:r>
              <w:rPr>
                <w:noProof/>
                <w:webHidden/>
              </w:rPr>
              <w:t>11</w:t>
            </w:r>
            <w:r>
              <w:rPr>
                <w:noProof/>
                <w:webHidden/>
              </w:rPr>
              <w:fldChar w:fldCharType="end"/>
            </w:r>
          </w:hyperlink>
        </w:p>
        <w:p w14:paraId="7A3E2195" w14:textId="54ECF35B" w:rsidR="003A1D36" w:rsidRDefault="003A1D36">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3027327" w:history="1">
            <w:r w:rsidRPr="00596FB8">
              <w:rPr>
                <w:rStyle w:val="Hyperlink"/>
                <w:noProof/>
              </w:rPr>
              <w:t>Development of a suitable change management plan</w:t>
            </w:r>
            <w:r>
              <w:rPr>
                <w:noProof/>
                <w:webHidden/>
              </w:rPr>
              <w:tab/>
            </w:r>
            <w:r>
              <w:rPr>
                <w:noProof/>
                <w:webHidden/>
              </w:rPr>
              <w:fldChar w:fldCharType="begin"/>
            </w:r>
            <w:r>
              <w:rPr>
                <w:noProof/>
                <w:webHidden/>
              </w:rPr>
              <w:instrText xml:space="preserve"> PAGEREF _Toc223027327 \h </w:instrText>
            </w:r>
            <w:r>
              <w:rPr>
                <w:noProof/>
                <w:webHidden/>
              </w:rPr>
            </w:r>
            <w:r>
              <w:rPr>
                <w:noProof/>
                <w:webHidden/>
              </w:rPr>
              <w:fldChar w:fldCharType="separate"/>
            </w:r>
            <w:r>
              <w:rPr>
                <w:noProof/>
                <w:webHidden/>
              </w:rPr>
              <w:t>11</w:t>
            </w:r>
            <w:r>
              <w:rPr>
                <w:noProof/>
                <w:webHidden/>
              </w:rPr>
              <w:fldChar w:fldCharType="end"/>
            </w:r>
          </w:hyperlink>
        </w:p>
        <w:p w14:paraId="3C9B4964" w14:textId="4F03C511"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28" w:history="1">
            <w:r w:rsidRPr="00596FB8">
              <w:rPr>
                <w:rStyle w:val="Hyperlink"/>
                <w:noProof/>
              </w:rPr>
              <w:t>Suggestion of a clear organisational change</w:t>
            </w:r>
            <w:r>
              <w:rPr>
                <w:noProof/>
                <w:webHidden/>
              </w:rPr>
              <w:tab/>
            </w:r>
            <w:r>
              <w:rPr>
                <w:noProof/>
                <w:webHidden/>
              </w:rPr>
              <w:fldChar w:fldCharType="begin"/>
            </w:r>
            <w:r>
              <w:rPr>
                <w:noProof/>
                <w:webHidden/>
              </w:rPr>
              <w:instrText xml:space="preserve"> PAGEREF _Toc223027328 \h </w:instrText>
            </w:r>
            <w:r>
              <w:rPr>
                <w:noProof/>
                <w:webHidden/>
              </w:rPr>
            </w:r>
            <w:r>
              <w:rPr>
                <w:noProof/>
                <w:webHidden/>
              </w:rPr>
              <w:fldChar w:fldCharType="separate"/>
            </w:r>
            <w:r>
              <w:rPr>
                <w:noProof/>
                <w:webHidden/>
              </w:rPr>
              <w:t>11</w:t>
            </w:r>
            <w:r>
              <w:rPr>
                <w:noProof/>
                <w:webHidden/>
              </w:rPr>
              <w:fldChar w:fldCharType="end"/>
            </w:r>
          </w:hyperlink>
        </w:p>
        <w:p w14:paraId="2C5B4956" w14:textId="08A889AD"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29" w:history="1">
            <w:r w:rsidRPr="00596FB8">
              <w:rPr>
                <w:rStyle w:val="Hyperlink"/>
                <w:noProof/>
              </w:rPr>
              <w:t>Financial Plan</w:t>
            </w:r>
            <w:r>
              <w:rPr>
                <w:noProof/>
                <w:webHidden/>
              </w:rPr>
              <w:tab/>
            </w:r>
            <w:r>
              <w:rPr>
                <w:noProof/>
                <w:webHidden/>
              </w:rPr>
              <w:fldChar w:fldCharType="begin"/>
            </w:r>
            <w:r>
              <w:rPr>
                <w:noProof/>
                <w:webHidden/>
              </w:rPr>
              <w:instrText xml:space="preserve"> PAGEREF _Toc223027329 \h </w:instrText>
            </w:r>
            <w:r>
              <w:rPr>
                <w:noProof/>
                <w:webHidden/>
              </w:rPr>
            </w:r>
            <w:r>
              <w:rPr>
                <w:noProof/>
                <w:webHidden/>
              </w:rPr>
              <w:fldChar w:fldCharType="separate"/>
            </w:r>
            <w:r>
              <w:rPr>
                <w:noProof/>
                <w:webHidden/>
              </w:rPr>
              <w:t>13</w:t>
            </w:r>
            <w:r>
              <w:rPr>
                <w:noProof/>
                <w:webHidden/>
              </w:rPr>
              <w:fldChar w:fldCharType="end"/>
            </w:r>
          </w:hyperlink>
        </w:p>
        <w:p w14:paraId="45193113" w14:textId="26651B4A"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30" w:history="1">
            <w:r w:rsidRPr="00596FB8">
              <w:rPr>
                <w:rStyle w:val="Hyperlink"/>
                <w:noProof/>
              </w:rPr>
              <w:t>Communication Plan</w:t>
            </w:r>
            <w:r>
              <w:rPr>
                <w:noProof/>
                <w:webHidden/>
              </w:rPr>
              <w:tab/>
            </w:r>
            <w:r>
              <w:rPr>
                <w:noProof/>
                <w:webHidden/>
              </w:rPr>
              <w:fldChar w:fldCharType="begin"/>
            </w:r>
            <w:r>
              <w:rPr>
                <w:noProof/>
                <w:webHidden/>
              </w:rPr>
              <w:instrText xml:space="preserve"> PAGEREF _Toc223027330 \h </w:instrText>
            </w:r>
            <w:r>
              <w:rPr>
                <w:noProof/>
                <w:webHidden/>
              </w:rPr>
            </w:r>
            <w:r>
              <w:rPr>
                <w:noProof/>
                <w:webHidden/>
              </w:rPr>
              <w:fldChar w:fldCharType="separate"/>
            </w:r>
            <w:r>
              <w:rPr>
                <w:noProof/>
                <w:webHidden/>
              </w:rPr>
              <w:t>13</w:t>
            </w:r>
            <w:r>
              <w:rPr>
                <w:noProof/>
                <w:webHidden/>
              </w:rPr>
              <w:fldChar w:fldCharType="end"/>
            </w:r>
          </w:hyperlink>
        </w:p>
        <w:p w14:paraId="727C6EA8" w14:textId="6C90131F" w:rsidR="003A1D36" w:rsidRDefault="003A1D36">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3027331" w:history="1">
            <w:r w:rsidRPr="00596FB8">
              <w:rPr>
                <w:rStyle w:val="Hyperlink"/>
                <w:noProof/>
              </w:rPr>
              <w:t>Evaluation Plan</w:t>
            </w:r>
            <w:r>
              <w:rPr>
                <w:noProof/>
                <w:webHidden/>
              </w:rPr>
              <w:tab/>
            </w:r>
            <w:r>
              <w:rPr>
                <w:noProof/>
                <w:webHidden/>
              </w:rPr>
              <w:fldChar w:fldCharType="begin"/>
            </w:r>
            <w:r>
              <w:rPr>
                <w:noProof/>
                <w:webHidden/>
              </w:rPr>
              <w:instrText xml:space="preserve"> PAGEREF _Toc223027331 \h </w:instrText>
            </w:r>
            <w:r>
              <w:rPr>
                <w:noProof/>
                <w:webHidden/>
              </w:rPr>
            </w:r>
            <w:r>
              <w:rPr>
                <w:noProof/>
                <w:webHidden/>
              </w:rPr>
              <w:fldChar w:fldCharType="separate"/>
            </w:r>
            <w:r>
              <w:rPr>
                <w:noProof/>
                <w:webHidden/>
              </w:rPr>
              <w:t>14</w:t>
            </w:r>
            <w:r>
              <w:rPr>
                <w:noProof/>
                <w:webHidden/>
              </w:rPr>
              <w:fldChar w:fldCharType="end"/>
            </w:r>
          </w:hyperlink>
        </w:p>
        <w:p w14:paraId="2AAE0B2F" w14:textId="56BE47E4" w:rsidR="003A1D36" w:rsidRDefault="003A1D36">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3027332" w:history="1">
            <w:r w:rsidRPr="00596FB8">
              <w:rPr>
                <w:rStyle w:val="Hyperlink"/>
                <w:noProof/>
              </w:rPr>
              <w:t>Conclusion</w:t>
            </w:r>
            <w:r>
              <w:rPr>
                <w:noProof/>
                <w:webHidden/>
              </w:rPr>
              <w:tab/>
            </w:r>
            <w:r>
              <w:rPr>
                <w:noProof/>
                <w:webHidden/>
              </w:rPr>
              <w:fldChar w:fldCharType="begin"/>
            </w:r>
            <w:r>
              <w:rPr>
                <w:noProof/>
                <w:webHidden/>
              </w:rPr>
              <w:instrText xml:space="preserve"> PAGEREF _Toc223027332 \h </w:instrText>
            </w:r>
            <w:r>
              <w:rPr>
                <w:noProof/>
                <w:webHidden/>
              </w:rPr>
            </w:r>
            <w:r>
              <w:rPr>
                <w:noProof/>
                <w:webHidden/>
              </w:rPr>
              <w:fldChar w:fldCharType="separate"/>
            </w:r>
            <w:r>
              <w:rPr>
                <w:noProof/>
                <w:webHidden/>
              </w:rPr>
              <w:t>14</w:t>
            </w:r>
            <w:r>
              <w:rPr>
                <w:noProof/>
                <w:webHidden/>
              </w:rPr>
              <w:fldChar w:fldCharType="end"/>
            </w:r>
          </w:hyperlink>
        </w:p>
        <w:p w14:paraId="71EFD021" w14:textId="061953FC" w:rsidR="003A1D36" w:rsidRDefault="003A1D36">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3027333" w:history="1">
            <w:r w:rsidRPr="00596FB8">
              <w:rPr>
                <w:rStyle w:val="Hyperlink"/>
                <w:noProof/>
              </w:rPr>
              <w:t>Reference List</w:t>
            </w:r>
            <w:r>
              <w:rPr>
                <w:noProof/>
                <w:webHidden/>
              </w:rPr>
              <w:tab/>
            </w:r>
            <w:r>
              <w:rPr>
                <w:noProof/>
                <w:webHidden/>
              </w:rPr>
              <w:fldChar w:fldCharType="begin"/>
            </w:r>
            <w:r>
              <w:rPr>
                <w:noProof/>
                <w:webHidden/>
              </w:rPr>
              <w:instrText xml:space="preserve"> PAGEREF _Toc223027333 \h </w:instrText>
            </w:r>
            <w:r>
              <w:rPr>
                <w:noProof/>
                <w:webHidden/>
              </w:rPr>
            </w:r>
            <w:r>
              <w:rPr>
                <w:noProof/>
                <w:webHidden/>
              </w:rPr>
              <w:fldChar w:fldCharType="separate"/>
            </w:r>
            <w:r>
              <w:rPr>
                <w:noProof/>
                <w:webHidden/>
              </w:rPr>
              <w:t>15</w:t>
            </w:r>
            <w:r>
              <w:rPr>
                <w:noProof/>
                <w:webHidden/>
              </w:rPr>
              <w:fldChar w:fldCharType="end"/>
            </w:r>
          </w:hyperlink>
        </w:p>
        <w:p w14:paraId="5629AACC" w14:textId="14B79EED" w:rsidR="003A1D36" w:rsidRDefault="003A1D36">
          <w:r>
            <w:rPr>
              <w:b/>
              <w:bCs/>
              <w:noProof/>
            </w:rPr>
            <w:fldChar w:fldCharType="end"/>
          </w:r>
        </w:p>
      </w:sdtContent>
    </w:sdt>
    <w:p w14:paraId="7AEE95E7" w14:textId="77777777" w:rsidR="00515AD5" w:rsidRPr="002B2E9A" w:rsidRDefault="00442B81">
      <w:pPr>
        <w:rPr>
          <w:b/>
          <w:bCs/>
          <w:color w:val="000000" w:themeColor="text1"/>
          <w:sz w:val="28"/>
          <w:szCs w:val="28"/>
        </w:rPr>
      </w:pPr>
      <w:r w:rsidRPr="002B2E9A">
        <w:rPr>
          <w:color w:val="000000" w:themeColor="text1"/>
        </w:rPr>
        <w:br w:type="page"/>
      </w:r>
    </w:p>
    <w:p w14:paraId="2DF9A891" w14:textId="77777777" w:rsidR="00515AD5" w:rsidRPr="002B2E9A" w:rsidRDefault="00442B81">
      <w:pPr>
        <w:pStyle w:val="Heading1"/>
        <w:rPr>
          <w:color w:val="000000" w:themeColor="text1"/>
        </w:rPr>
      </w:pPr>
      <w:bookmarkStart w:id="1" w:name="_Toc223027313"/>
      <w:r w:rsidRPr="002B2E9A">
        <w:rPr>
          <w:color w:val="000000" w:themeColor="text1"/>
        </w:rPr>
        <w:lastRenderedPageBreak/>
        <w:t>Introduction</w:t>
      </w:r>
      <w:bookmarkEnd w:id="1"/>
    </w:p>
    <w:p w14:paraId="5DC4A102" w14:textId="58ADB400" w:rsidR="00515AD5" w:rsidRPr="002B2E9A" w:rsidRDefault="00442B81">
      <w:pPr>
        <w:rPr>
          <w:color w:val="000000" w:themeColor="text1"/>
        </w:rPr>
      </w:pPr>
      <w:r w:rsidRPr="002B2E9A">
        <w:rPr>
          <w:color w:val="000000" w:themeColor="text1"/>
        </w:rPr>
        <w:t xml:space="preserve">The challenges within the business environment are influenced by the market changes. Figuring out these issues is essential, as it helps determine the strategies companies use to adapt to the changing business context in the UK. This report aims to discuss the key drivers of change, including shifting customer shopping patterns, digital transformation, Artificial Intelligence (AI) implementation, and environmental and legal regulations. The influence of all these factors on the business process of Shell Plc will be highlighted to identify the transformation incorporated within the firm. The application of an effective leadership process influences the scope of regulating the changes within the organisation. Additionally, the organisational culture will be evaluated, as it plays a major role in supporting or resisting changes. This report will examine the business environment of Shell Plc to determine the changes that have been implemented. A </w:t>
      </w:r>
      <w:r w:rsidR="002B2E9A" w:rsidRPr="002B2E9A">
        <w:rPr>
          <w:color w:val="000000" w:themeColor="text1"/>
        </w:rPr>
        <w:t>detailed</w:t>
      </w:r>
      <w:r w:rsidRPr="002B2E9A">
        <w:rPr>
          <w:color w:val="000000" w:themeColor="text1"/>
        </w:rPr>
        <w:t xml:space="preserve"> management plan for the enterprise will be proposed to improve performance while adjusting to market shifts.</w:t>
      </w:r>
    </w:p>
    <w:p w14:paraId="5B61BDDD" w14:textId="77777777" w:rsidR="00515AD5" w:rsidRPr="002B2E9A" w:rsidRDefault="00442B81">
      <w:pPr>
        <w:pStyle w:val="Heading1"/>
        <w:rPr>
          <w:color w:val="000000" w:themeColor="text1"/>
        </w:rPr>
      </w:pPr>
      <w:bookmarkStart w:id="2" w:name="_Toc223027314"/>
      <w:r w:rsidRPr="002B2E9A">
        <w:rPr>
          <w:color w:val="000000" w:themeColor="text1"/>
        </w:rPr>
        <w:t>Background of the organisation</w:t>
      </w:r>
      <w:bookmarkEnd w:id="2"/>
    </w:p>
    <w:tbl>
      <w:tblPr>
        <w:tblStyle w:val="ae"/>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6825"/>
      </w:tblGrid>
      <w:tr w:rsidR="003C1A03" w:rsidRPr="002B2E9A" w14:paraId="6CA29A67" w14:textId="77777777">
        <w:tc>
          <w:tcPr>
            <w:tcW w:w="2175" w:type="dxa"/>
            <w:shd w:val="clear" w:color="auto" w:fill="F6B26B"/>
            <w:tcMar>
              <w:top w:w="100" w:type="dxa"/>
              <w:left w:w="100" w:type="dxa"/>
              <w:bottom w:w="100" w:type="dxa"/>
              <w:right w:w="100" w:type="dxa"/>
            </w:tcMar>
          </w:tcPr>
          <w:p w14:paraId="4FBDB5F4" w14:textId="77777777" w:rsidR="00515AD5" w:rsidRPr="002B2E9A" w:rsidRDefault="00442B81">
            <w:pPr>
              <w:widowControl w:val="0"/>
              <w:pBdr>
                <w:top w:val="nil"/>
                <w:left w:val="nil"/>
                <w:bottom w:val="nil"/>
                <w:right w:val="nil"/>
                <w:between w:val="nil"/>
              </w:pBdr>
              <w:jc w:val="left"/>
              <w:rPr>
                <w:b/>
                <w:bCs/>
                <w:color w:val="000000" w:themeColor="text1"/>
              </w:rPr>
            </w:pPr>
            <w:r w:rsidRPr="002B2E9A">
              <w:rPr>
                <w:b/>
                <w:bCs/>
                <w:color w:val="000000" w:themeColor="text1"/>
              </w:rPr>
              <w:t>Company Name</w:t>
            </w:r>
          </w:p>
        </w:tc>
        <w:tc>
          <w:tcPr>
            <w:tcW w:w="6825" w:type="dxa"/>
            <w:shd w:val="clear" w:color="auto" w:fill="CFE2F3"/>
            <w:tcMar>
              <w:top w:w="100" w:type="dxa"/>
              <w:left w:w="100" w:type="dxa"/>
              <w:bottom w:w="100" w:type="dxa"/>
              <w:right w:w="100" w:type="dxa"/>
            </w:tcMar>
          </w:tcPr>
          <w:p w14:paraId="3BFA3658" w14:textId="77777777" w:rsidR="00515AD5" w:rsidRPr="002B2E9A" w:rsidRDefault="00442B81">
            <w:pPr>
              <w:widowControl w:val="0"/>
              <w:pBdr>
                <w:top w:val="nil"/>
                <w:left w:val="nil"/>
                <w:bottom w:val="nil"/>
                <w:right w:val="nil"/>
                <w:between w:val="nil"/>
              </w:pBdr>
              <w:jc w:val="left"/>
              <w:rPr>
                <w:color w:val="000000" w:themeColor="text1"/>
              </w:rPr>
            </w:pPr>
            <w:r w:rsidRPr="002B2E9A">
              <w:rPr>
                <w:color w:val="000000" w:themeColor="text1"/>
              </w:rPr>
              <w:t>Shell Plc</w:t>
            </w:r>
          </w:p>
        </w:tc>
      </w:tr>
      <w:tr w:rsidR="003C1A03" w:rsidRPr="002B2E9A" w14:paraId="0A86576B" w14:textId="77777777">
        <w:tc>
          <w:tcPr>
            <w:tcW w:w="2175" w:type="dxa"/>
            <w:shd w:val="clear" w:color="auto" w:fill="F6B26B"/>
            <w:tcMar>
              <w:top w:w="100" w:type="dxa"/>
              <w:left w:w="100" w:type="dxa"/>
              <w:bottom w:w="100" w:type="dxa"/>
              <w:right w:w="100" w:type="dxa"/>
            </w:tcMar>
          </w:tcPr>
          <w:p w14:paraId="350A47B2" w14:textId="77777777" w:rsidR="00515AD5" w:rsidRPr="002B2E9A" w:rsidRDefault="00442B81">
            <w:pPr>
              <w:widowControl w:val="0"/>
              <w:pBdr>
                <w:top w:val="nil"/>
                <w:left w:val="nil"/>
                <w:bottom w:val="nil"/>
                <w:right w:val="nil"/>
                <w:between w:val="nil"/>
              </w:pBdr>
              <w:jc w:val="left"/>
              <w:rPr>
                <w:b/>
                <w:bCs/>
                <w:color w:val="000000" w:themeColor="text1"/>
              </w:rPr>
            </w:pPr>
            <w:r w:rsidRPr="002B2E9A">
              <w:rPr>
                <w:b/>
                <w:bCs/>
                <w:color w:val="000000" w:themeColor="text1"/>
              </w:rPr>
              <w:t>Established Year</w:t>
            </w:r>
          </w:p>
        </w:tc>
        <w:tc>
          <w:tcPr>
            <w:tcW w:w="6825" w:type="dxa"/>
            <w:shd w:val="clear" w:color="auto" w:fill="CFE2F3"/>
            <w:tcMar>
              <w:top w:w="100" w:type="dxa"/>
              <w:left w:w="100" w:type="dxa"/>
              <w:bottom w:w="100" w:type="dxa"/>
              <w:right w:w="100" w:type="dxa"/>
            </w:tcMar>
          </w:tcPr>
          <w:p w14:paraId="666D4F41" w14:textId="77777777" w:rsidR="00515AD5" w:rsidRPr="002B2E9A" w:rsidRDefault="00442B81">
            <w:pPr>
              <w:widowControl w:val="0"/>
              <w:pBdr>
                <w:top w:val="nil"/>
                <w:left w:val="nil"/>
                <w:bottom w:val="nil"/>
                <w:right w:val="nil"/>
                <w:between w:val="nil"/>
              </w:pBdr>
              <w:jc w:val="left"/>
              <w:rPr>
                <w:color w:val="000000" w:themeColor="text1"/>
              </w:rPr>
            </w:pPr>
            <w:r w:rsidRPr="002B2E9A">
              <w:rPr>
                <w:color w:val="000000" w:themeColor="text1"/>
              </w:rPr>
              <w:t>1897 (Shell, 2026a)</w:t>
            </w:r>
          </w:p>
        </w:tc>
      </w:tr>
      <w:tr w:rsidR="003C1A03" w:rsidRPr="002B2E9A" w14:paraId="7D2582F1" w14:textId="77777777">
        <w:tc>
          <w:tcPr>
            <w:tcW w:w="2175" w:type="dxa"/>
            <w:shd w:val="clear" w:color="auto" w:fill="F6B26B"/>
            <w:tcMar>
              <w:top w:w="100" w:type="dxa"/>
              <w:left w:w="100" w:type="dxa"/>
              <w:bottom w:w="100" w:type="dxa"/>
              <w:right w:w="100" w:type="dxa"/>
            </w:tcMar>
          </w:tcPr>
          <w:p w14:paraId="5ED45F70" w14:textId="77777777" w:rsidR="00515AD5" w:rsidRPr="002B2E9A" w:rsidRDefault="00442B81">
            <w:pPr>
              <w:widowControl w:val="0"/>
              <w:pBdr>
                <w:top w:val="nil"/>
                <w:left w:val="nil"/>
                <w:bottom w:val="nil"/>
                <w:right w:val="nil"/>
                <w:between w:val="nil"/>
              </w:pBdr>
              <w:jc w:val="left"/>
              <w:rPr>
                <w:b/>
                <w:bCs/>
                <w:color w:val="000000" w:themeColor="text1"/>
              </w:rPr>
            </w:pPr>
            <w:r w:rsidRPr="002B2E9A">
              <w:rPr>
                <w:b/>
                <w:bCs/>
                <w:color w:val="000000" w:themeColor="text1"/>
              </w:rPr>
              <w:t>UK Employees</w:t>
            </w:r>
          </w:p>
        </w:tc>
        <w:tc>
          <w:tcPr>
            <w:tcW w:w="6825" w:type="dxa"/>
            <w:shd w:val="clear" w:color="auto" w:fill="CFE2F3"/>
            <w:tcMar>
              <w:top w:w="100" w:type="dxa"/>
              <w:left w:w="100" w:type="dxa"/>
              <w:bottom w:w="100" w:type="dxa"/>
              <w:right w:w="100" w:type="dxa"/>
            </w:tcMar>
          </w:tcPr>
          <w:p w14:paraId="145E350A" w14:textId="77777777" w:rsidR="00515AD5" w:rsidRPr="002B2E9A" w:rsidRDefault="00442B81">
            <w:pPr>
              <w:widowControl w:val="0"/>
              <w:pBdr>
                <w:top w:val="nil"/>
                <w:left w:val="nil"/>
                <w:bottom w:val="nil"/>
                <w:right w:val="nil"/>
                <w:between w:val="nil"/>
              </w:pBdr>
              <w:jc w:val="left"/>
              <w:rPr>
                <w:color w:val="000000" w:themeColor="text1"/>
              </w:rPr>
            </w:pPr>
            <w:r w:rsidRPr="002B2E9A">
              <w:rPr>
                <w:color w:val="000000" w:themeColor="text1"/>
              </w:rPr>
              <w:t>Around 6000 (Shell, 2026a)</w:t>
            </w:r>
          </w:p>
        </w:tc>
      </w:tr>
      <w:tr w:rsidR="003C1A03" w:rsidRPr="002B2E9A" w14:paraId="1AB8684C" w14:textId="77777777">
        <w:tc>
          <w:tcPr>
            <w:tcW w:w="2175" w:type="dxa"/>
            <w:shd w:val="clear" w:color="auto" w:fill="F6B26B"/>
            <w:tcMar>
              <w:top w:w="100" w:type="dxa"/>
              <w:left w:w="100" w:type="dxa"/>
              <w:bottom w:w="100" w:type="dxa"/>
              <w:right w:w="100" w:type="dxa"/>
            </w:tcMar>
          </w:tcPr>
          <w:p w14:paraId="231D4E3D" w14:textId="77777777" w:rsidR="00515AD5" w:rsidRPr="002B2E9A" w:rsidRDefault="00442B81">
            <w:pPr>
              <w:widowControl w:val="0"/>
              <w:pBdr>
                <w:top w:val="nil"/>
                <w:left w:val="nil"/>
                <w:bottom w:val="nil"/>
                <w:right w:val="nil"/>
                <w:between w:val="nil"/>
              </w:pBdr>
              <w:jc w:val="left"/>
              <w:rPr>
                <w:b/>
                <w:bCs/>
                <w:color w:val="000000" w:themeColor="text1"/>
              </w:rPr>
            </w:pPr>
            <w:r w:rsidRPr="002B2E9A">
              <w:rPr>
                <w:b/>
                <w:bCs/>
                <w:color w:val="000000" w:themeColor="text1"/>
              </w:rPr>
              <w:t>Revenue</w:t>
            </w:r>
          </w:p>
        </w:tc>
        <w:tc>
          <w:tcPr>
            <w:tcW w:w="6825" w:type="dxa"/>
            <w:shd w:val="clear" w:color="auto" w:fill="CFE2F3"/>
            <w:tcMar>
              <w:top w:w="100" w:type="dxa"/>
              <w:left w:w="100" w:type="dxa"/>
              <w:bottom w:w="100" w:type="dxa"/>
              <w:right w:w="100" w:type="dxa"/>
            </w:tcMar>
          </w:tcPr>
          <w:p w14:paraId="364F4936" w14:textId="77777777" w:rsidR="00515AD5" w:rsidRPr="002B2E9A" w:rsidRDefault="00442B81">
            <w:pPr>
              <w:widowControl w:val="0"/>
              <w:pBdr>
                <w:top w:val="nil"/>
                <w:left w:val="nil"/>
                <w:bottom w:val="nil"/>
                <w:right w:val="nil"/>
                <w:between w:val="nil"/>
              </w:pBdr>
              <w:jc w:val="left"/>
              <w:rPr>
                <w:color w:val="000000" w:themeColor="text1"/>
              </w:rPr>
            </w:pPr>
            <w:r w:rsidRPr="002B2E9A">
              <w:rPr>
                <w:color w:val="000000" w:themeColor="text1"/>
              </w:rPr>
              <w:t>£12.28 billion in the year ending in 2024 (Shell, 2026b)</w:t>
            </w:r>
          </w:p>
        </w:tc>
      </w:tr>
    </w:tbl>
    <w:p w14:paraId="2F85F09F" w14:textId="77777777" w:rsidR="00515AD5" w:rsidRPr="002B2E9A" w:rsidRDefault="00442B81">
      <w:pPr>
        <w:jc w:val="center"/>
        <w:rPr>
          <w:b/>
          <w:bCs/>
          <w:color w:val="000000" w:themeColor="text1"/>
        </w:rPr>
      </w:pPr>
      <w:r w:rsidRPr="002B2E9A">
        <w:rPr>
          <w:b/>
          <w:bCs/>
          <w:color w:val="000000" w:themeColor="text1"/>
        </w:rPr>
        <w:t>Table 1: Company Details of Shell Plc</w:t>
      </w:r>
    </w:p>
    <w:p w14:paraId="406CC267" w14:textId="77777777" w:rsidR="00515AD5" w:rsidRPr="002B2E9A" w:rsidRDefault="00442B81">
      <w:pPr>
        <w:jc w:val="center"/>
        <w:rPr>
          <w:b/>
          <w:bCs/>
          <w:color w:val="000000" w:themeColor="text1"/>
        </w:rPr>
      </w:pPr>
      <w:r w:rsidRPr="002B2E9A">
        <w:rPr>
          <w:b/>
          <w:bCs/>
          <w:noProof/>
          <w:color w:val="000000" w:themeColor="text1"/>
        </w:rPr>
        <w:drawing>
          <wp:inline distT="114300" distB="114300" distL="114300" distR="114300" wp14:anchorId="266D4C5B" wp14:editId="4A16FE39">
            <wp:extent cx="2414588" cy="1865088"/>
            <wp:effectExtent l="25400" t="25400" r="25400" b="25400"/>
            <wp:docPr id="75793398" name="image2.png"/>
            <wp:cNvGraphicFramePr/>
            <a:graphic xmlns:a="http://schemas.openxmlformats.org/drawingml/2006/main">
              <a:graphicData uri="http://schemas.openxmlformats.org/drawingml/2006/picture">
                <pic:pic xmlns:pic="http://schemas.openxmlformats.org/drawingml/2006/picture">
                  <pic:nvPicPr>
                    <pic:cNvPr id="75793398" name="image2.png"/>
                    <pic:cNvPicPr/>
                  </pic:nvPicPr>
                  <pic:blipFill>
                    <a:blip r:embed="rId6"/>
                    <a:stretch>
                      <a:fillRect/>
                    </a:stretch>
                  </pic:blipFill>
                  <pic:spPr>
                    <a:xfrm>
                      <a:off x="0" y="0"/>
                      <a:ext cx="2414588" cy="1865088"/>
                    </a:xfrm>
                    <a:prstGeom prst="rect">
                      <a:avLst/>
                    </a:prstGeom>
                    <a:ln w="25400">
                      <a:solidFill>
                        <a:srgbClr val="000000"/>
                      </a:solidFill>
                      <a:prstDash val="solid"/>
                    </a:ln>
                  </pic:spPr>
                </pic:pic>
              </a:graphicData>
            </a:graphic>
          </wp:inline>
        </w:drawing>
      </w:r>
    </w:p>
    <w:p w14:paraId="276ABD90" w14:textId="77777777" w:rsidR="00515AD5" w:rsidRPr="002B2E9A" w:rsidRDefault="00442B81">
      <w:pPr>
        <w:jc w:val="center"/>
        <w:rPr>
          <w:b/>
          <w:bCs/>
          <w:color w:val="000000" w:themeColor="text1"/>
        </w:rPr>
      </w:pPr>
      <w:r w:rsidRPr="002B2E9A">
        <w:rPr>
          <w:b/>
          <w:bCs/>
          <w:color w:val="000000" w:themeColor="text1"/>
        </w:rPr>
        <w:t>Figure 1: Shell Plc Logo</w:t>
      </w:r>
    </w:p>
    <w:p w14:paraId="44F7167A" w14:textId="77777777" w:rsidR="00515AD5" w:rsidRPr="002B2E9A" w:rsidRDefault="00442B81">
      <w:pPr>
        <w:jc w:val="center"/>
        <w:rPr>
          <w:color w:val="000000" w:themeColor="text1"/>
        </w:rPr>
      </w:pPr>
      <w:r w:rsidRPr="002B2E9A">
        <w:rPr>
          <w:color w:val="000000" w:themeColor="text1"/>
        </w:rPr>
        <w:t>(Source: Shell, 2026a)</w:t>
      </w:r>
    </w:p>
    <w:p w14:paraId="56262601" w14:textId="77777777" w:rsidR="00515AD5" w:rsidRPr="002B2E9A" w:rsidRDefault="00442B81">
      <w:pPr>
        <w:rPr>
          <w:color w:val="000000" w:themeColor="text1"/>
        </w:rPr>
      </w:pPr>
      <w:r w:rsidRPr="002B2E9A">
        <w:rPr>
          <w:color w:val="000000" w:themeColor="text1"/>
        </w:rPr>
        <w:t xml:space="preserve">Shell Plc is a British multinational company that operates oil and gas reserves worldwide. The company has been present in the United Kingdom since 1897, and more than 6000 </w:t>
      </w:r>
      <w:r w:rsidRPr="002B2E9A">
        <w:rPr>
          <w:color w:val="000000" w:themeColor="text1"/>
        </w:rPr>
        <w:lastRenderedPageBreak/>
        <w:t xml:space="preserve">professionals work for it (Shell, 2026a). The long-standing dependence of the corporation is on fossil fuels. </w:t>
      </w:r>
      <w:sdt>
        <w:sdtPr>
          <w:rPr>
            <w:color w:val="000000" w:themeColor="text1"/>
          </w:rPr>
          <w:tag w:val="goog_rdk_0"/>
          <w:id w:val="822624444"/>
        </w:sdtPr>
        <w:sdtEndPr/>
        <w:sdtContent/>
      </w:sdt>
      <w:r w:rsidRPr="002B2E9A">
        <w:rPr>
          <w:color w:val="000000" w:themeColor="text1"/>
        </w:rPr>
        <w:t xml:space="preserve">This led the organisation to encounter the difficulty of adapting to </w:t>
      </w:r>
      <w:proofErr w:type="spellStart"/>
      <w:r w:rsidRPr="002B2E9A">
        <w:rPr>
          <w:color w:val="000000" w:themeColor="text1"/>
        </w:rPr>
        <w:t>regorous</w:t>
      </w:r>
      <w:proofErr w:type="spellEnd"/>
      <w:r w:rsidRPr="002B2E9A">
        <w:rPr>
          <w:color w:val="000000" w:themeColor="text1"/>
        </w:rPr>
        <w:t xml:space="preserve"> environmental and technological changes. This shift toward low-carbon energy and digital innovation presents significant challenges for maintaining competitiveness and ensuring long-term sustainability. Specific involvement of the firm has been observed across the production and exploration of the low and zero-carbon energy projects. </w:t>
      </w:r>
    </w:p>
    <w:p w14:paraId="048D558A" w14:textId="77777777" w:rsidR="00515AD5" w:rsidRPr="002B2E9A" w:rsidRDefault="00442B81">
      <w:pPr>
        <w:pStyle w:val="Heading1"/>
        <w:rPr>
          <w:color w:val="000000" w:themeColor="text1"/>
        </w:rPr>
      </w:pPr>
      <w:bookmarkStart w:id="3" w:name="_Toc223027315"/>
      <w:r w:rsidRPr="002B2E9A">
        <w:rPr>
          <w:color w:val="000000" w:themeColor="text1"/>
        </w:rPr>
        <w:t>Recent history and impact of external and internal factors</w:t>
      </w:r>
      <w:bookmarkEnd w:id="3"/>
    </w:p>
    <w:p w14:paraId="3D175438" w14:textId="77777777" w:rsidR="00515AD5" w:rsidRPr="002B2E9A" w:rsidRDefault="00442B81">
      <w:pPr>
        <w:pStyle w:val="Heading2"/>
        <w:rPr>
          <w:color w:val="000000" w:themeColor="text1"/>
        </w:rPr>
      </w:pPr>
      <w:bookmarkStart w:id="4" w:name="_Toc223027316"/>
      <w:r w:rsidRPr="002B2E9A">
        <w:rPr>
          <w:color w:val="000000" w:themeColor="text1"/>
        </w:rPr>
        <w:t>Recent History of the organisation</w:t>
      </w:r>
      <w:bookmarkEnd w:id="4"/>
    </w:p>
    <w:p w14:paraId="4306ADF4" w14:textId="77777777" w:rsidR="00515AD5" w:rsidRPr="002B2E9A" w:rsidRDefault="00442B81">
      <w:pPr>
        <w:rPr>
          <w:color w:val="000000" w:themeColor="text1"/>
        </w:rPr>
      </w:pPr>
      <w:r w:rsidRPr="002B2E9A">
        <w:rPr>
          <w:color w:val="000000" w:themeColor="text1"/>
        </w:rPr>
        <w:t xml:space="preserve">The main objective of Shell is to reinforce progress </w:t>
      </w:r>
      <w:sdt>
        <w:sdtPr>
          <w:rPr>
            <w:color w:val="000000" w:themeColor="text1"/>
          </w:rPr>
          <w:tag w:val="goog_rdk_1"/>
          <w:id w:val="1301452397"/>
        </w:sdtPr>
        <w:sdtEndPr/>
        <w:sdtContent/>
      </w:sdt>
      <w:r w:rsidRPr="002B2E9A">
        <w:rPr>
          <w:color w:val="000000" w:themeColor="text1"/>
        </w:rPr>
        <w:t>by providing green energy resources to its customers. Uplifting the living standards of individuals is also a prime concern of this organisation, as it seeks to meet the goals that drive demand for energy sources (Shell, 2026a).</w:t>
      </w:r>
      <w:sdt>
        <w:sdtPr>
          <w:rPr>
            <w:color w:val="000000" w:themeColor="text1"/>
          </w:rPr>
          <w:tag w:val="goog_rdk_2"/>
          <w:id w:val="1071953168"/>
        </w:sdtPr>
        <w:sdtEndPr/>
        <w:sdtContent/>
      </w:sdt>
      <w:r w:rsidRPr="002B2E9A">
        <w:rPr>
          <w:color w:val="000000" w:themeColor="text1"/>
        </w:rPr>
        <w:t xml:space="preserve"> During 2015, the company bought BG Group, which is a UK oil and gas production company, to expand its market presence (Shell, 2026c)</w:t>
      </w:r>
      <w:sdt>
        <w:sdtPr>
          <w:rPr>
            <w:color w:val="000000" w:themeColor="text1"/>
          </w:rPr>
          <w:tag w:val="goog_rdk_3"/>
          <w:id w:val="1563402194"/>
        </w:sdtPr>
        <w:sdtEndPr/>
        <w:sdtContent/>
      </w:sdt>
      <w:r w:rsidRPr="002B2E9A">
        <w:rPr>
          <w:color w:val="000000" w:themeColor="text1"/>
        </w:rPr>
        <w:t xml:space="preserve">. Additionally, in 2016, the organisation also focused on the process of exploring the scope across the energy sector, encompassing the solar and wind resources (Shell, 2026c). These strategies have enabled the company to expand its presence as a leading determinant of power generation. The long-term focus of the enterprise is on the extraction of fossil fuels to meet the energy requirements. The enhanced demand for the adoption of sustainable business practices and the presence of online customer behaviour affect the competitive edge of the firm. The dependence of the firm on the usage of heavy machinery has reduced its capability to integrate AI tools across these operational areas. This has influenced its use to a limited extent, enabling the development of innovative training equipment to provide employees with firsthand experience (Gov.UK, 2026a). </w:t>
      </w:r>
      <w:proofErr w:type="gramStart"/>
      <w:r w:rsidRPr="002B2E9A">
        <w:rPr>
          <w:color w:val="000000" w:themeColor="text1"/>
        </w:rPr>
        <w:t>A large number of</w:t>
      </w:r>
      <w:proofErr w:type="gramEnd"/>
      <w:r w:rsidRPr="002B2E9A">
        <w:rPr>
          <w:color w:val="000000" w:themeColor="text1"/>
        </w:rPr>
        <w:t xml:space="preserve"> the material acquisition activities still depend on manual labourers and heavy machinery. These affect the regular operations, and the sales figures of the firm are also reduced to a considerable extent. </w:t>
      </w:r>
    </w:p>
    <w:p w14:paraId="58B97A62" w14:textId="77777777" w:rsidR="00515AD5" w:rsidRPr="002B2E9A" w:rsidRDefault="00442B81">
      <w:pPr>
        <w:pStyle w:val="Heading2"/>
        <w:rPr>
          <w:color w:val="000000" w:themeColor="text1"/>
        </w:rPr>
      </w:pPr>
      <w:bookmarkStart w:id="5" w:name="_Toc223027317"/>
      <w:r w:rsidRPr="002B2E9A">
        <w:rPr>
          <w:color w:val="000000" w:themeColor="text1"/>
        </w:rPr>
        <w:t>Internal Analysis</w:t>
      </w:r>
      <w:bookmarkEnd w:id="5"/>
    </w:p>
    <w:p w14:paraId="5E98F78A" w14:textId="77777777" w:rsidR="00515AD5" w:rsidRPr="002B2E9A" w:rsidRDefault="00442B81">
      <w:pPr>
        <w:rPr>
          <w:b/>
          <w:bCs/>
          <w:color w:val="000000" w:themeColor="text1"/>
        </w:rPr>
      </w:pPr>
      <w:r w:rsidRPr="002B2E9A">
        <w:rPr>
          <w:b/>
          <w:bCs/>
          <w:color w:val="000000" w:themeColor="text1"/>
        </w:rPr>
        <w:t>SWOT Analysis</w:t>
      </w:r>
    </w:p>
    <w:tbl>
      <w:tblPr>
        <w:tblStyle w:val="af"/>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C1A03" w:rsidRPr="002B2E9A" w14:paraId="17A2FA68" w14:textId="77777777">
        <w:tc>
          <w:tcPr>
            <w:tcW w:w="2258" w:type="dxa"/>
            <w:shd w:val="clear" w:color="auto" w:fill="F4CCCC"/>
            <w:tcMar>
              <w:top w:w="100" w:type="dxa"/>
              <w:left w:w="100" w:type="dxa"/>
              <w:bottom w:w="100" w:type="dxa"/>
              <w:right w:w="100" w:type="dxa"/>
            </w:tcMar>
          </w:tcPr>
          <w:p w14:paraId="2D5D3F3A" w14:textId="77777777" w:rsidR="00515AD5" w:rsidRPr="002B2E9A" w:rsidRDefault="00442B81">
            <w:pPr>
              <w:widowControl w:val="0"/>
              <w:pBdr>
                <w:top w:val="nil"/>
                <w:left w:val="nil"/>
                <w:bottom w:val="nil"/>
                <w:right w:val="nil"/>
                <w:between w:val="nil"/>
              </w:pBdr>
              <w:jc w:val="center"/>
              <w:rPr>
                <w:color w:val="000000" w:themeColor="text1"/>
              </w:rPr>
            </w:pPr>
            <w:r w:rsidRPr="002B2E9A">
              <w:rPr>
                <w:b/>
                <w:bCs/>
                <w:color w:val="000000" w:themeColor="text1"/>
              </w:rPr>
              <w:t>Strengths</w:t>
            </w:r>
          </w:p>
        </w:tc>
        <w:tc>
          <w:tcPr>
            <w:tcW w:w="2257" w:type="dxa"/>
            <w:shd w:val="clear" w:color="auto" w:fill="F4CCCC"/>
            <w:tcMar>
              <w:top w:w="100" w:type="dxa"/>
              <w:left w:w="100" w:type="dxa"/>
              <w:bottom w:w="100" w:type="dxa"/>
              <w:right w:w="100" w:type="dxa"/>
            </w:tcMar>
          </w:tcPr>
          <w:p w14:paraId="6D4F6298"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Weakness</w:t>
            </w:r>
          </w:p>
        </w:tc>
        <w:tc>
          <w:tcPr>
            <w:tcW w:w="2257" w:type="dxa"/>
            <w:shd w:val="clear" w:color="auto" w:fill="F4CCCC"/>
            <w:tcMar>
              <w:top w:w="100" w:type="dxa"/>
              <w:left w:w="100" w:type="dxa"/>
              <w:bottom w:w="100" w:type="dxa"/>
              <w:right w:w="100" w:type="dxa"/>
            </w:tcMar>
          </w:tcPr>
          <w:p w14:paraId="198648D9"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Opportunities</w:t>
            </w:r>
          </w:p>
        </w:tc>
        <w:tc>
          <w:tcPr>
            <w:tcW w:w="2257" w:type="dxa"/>
            <w:shd w:val="clear" w:color="auto" w:fill="F4CCCC"/>
            <w:tcMar>
              <w:top w:w="100" w:type="dxa"/>
              <w:left w:w="100" w:type="dxa"/>
              <w:bottom w:w="100" w:type="dxa"/>
              <w:right w:w="100" w:type="dxa"/>
            </w:tcMar>
          </w:tcPr>
          <w:p w14:paraId="4FA56866"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Threats</w:t>
            </w:r>
          </w:p>
        </w:tc>
      </w:tr>
      <w:tr w:rsidR="003C1A03" w:rsidRPr="002B2E9A" w14:paraId="3B05B0A4" w14:textId="77777777">
        <w:tc>
          <w:tcPr>
            <w:tcW w:w="2258" w:type="dxa"/>
            <w:shd w:val="clear" w:color="auto" w:fill="FFE599"/>
            <w:tcMar>
              <w:top w:w="100" w:type="dxa"/>
              <w:left w:w="100" w:type="dxa"/>
              <w:bottom w:w="100" w:type="dxa"/>
              <w:right w:w="100" w:type="dxa"/>
            </w:tcMar>
          </w:tcPr>
          <w:p w14:paraId="626D2A17"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The major strength of the company is the presence of a considerable number </w:t>
            </w:r>
            <w:r w:rsidRPr="002B2E9A">
              <w:rPr>
                <w:color w:val="000000" w:themeColor="text1"/>
              </w:rPr>
              <w:lastRenderedPageBreak/>
              <w:t xml:space="preserve">of product portfolios along with the higher investment in the research and development processes (Shell, 2026d). </w:t>
            </w:r>
          </w:p>
        </w:tc>
        <w:tc>
          <w:tcPr>
            <w:tcW w:w="2257" w:type="dxa"/>
            <w:shd w:val="clear" w:color="auto" w:fill="FFE599"/>
            <w:tcMar>
              <w:top w:w="100" w:type="dxa"/>
              <w:left w:w="100" w:type="dxa"/>
              <w:bottom w:w="100" w:type="dxa"/>
              <w:right w:w="100" w:type="dxa"/>
            </w:tcMar>
          </w:tcPr>
          <w:p w14:paraId="10F4AB0C"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lastRenderedPageBreak/>
              <w:t xml:space="preserve">Higher dependence on conventional fossil fuels and their fluctuating prices </w:t>
            </w:r>
            <w:r w:rsidRPr="002B2E9A">
              <w:rPr>
                <w:color w:val="000000" w:themeColor="text1"/>
              </w:rPr>
              <w:lastRenderedPageBreak/>
              <w:t xml:space="preserve">acts as the major weakness of the firm, which affects the profit margin accordingly (Wang, Fan and Zhou, 2022). </w:t>
            </w:r>
          </w:p>
        </w:tc>
        <w:tc>
          <w:tcPr>
            <w:tcW w:w="2257" w:type="dxa"/>
            <w:shd w:val="clear" w:color="auto" w:fill="FFE599"/>
            <w:tcMar>
              <w:top w:w="100" w:type="dxa"/>
              <w:left w:w="100" w:type="dxa"/>
              <w:bottom w:w="100" w:type="dxa"/>
              <w:right w:w="100" w:type="dxa"/>
            </w:tcMar>
          </w:tcPr>
          <w:p w14:paraId="1552940C"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lastRenderedPageBreak/>
              <w:t xml:space="preserve">Expansion of the hydrogen and biofuels provides a significant </w:t>
            </w:r>
            <w:r w:rsidRPr="002B2E9A">
              <w:rPr>
                <w:color w:val="000000" w:themeColor="text1"/>
              </w:rPr>
              <w:lastRenderedPageBreak/>
              <w:t xml:space="preserve">opportunity for Shell Plc to invest across these sectors to generate adequate business revenue (Shell, 2026e). </w:t>
            </w:r>
          </w:p>
        </w:tc>
        <w:tc>
          <w:tcPr>
            <w:tcW w:w="2257" w:type="dxa"/>
            <w:shd w:val="clear" w:color="auto" w:fill="FFE599"/>
            <w:tcMar>
              <w:top w:w="100" w:type="dxa"/>
              <w:left w:w="100" w:type="dxa"/>
              <w:bottom w:w="100" w:type="dxa"/>
              <w:right w:w="100" w:type="dxa"/>
            </w:tcMar>
          </w:tcPr>
          <w:p w14:paraId="1C065C0A"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lastRenderedPageBreak/>
              <w:t xml:space="preserve">Stiff competition from companies such as TotalEnergies and the tightening </w:t>
            </w:r>
            <w:r w:rsidRPr="002B2E9A">
              <w:rPr>
                <w:color w:val="000000" w:themeColor="text1"/>
              </w:rPr>
              <w:lastRenderedPageBreak/>
              <w:t>environmental norms often lead to a reduction in fossil fuel extraction efficiency (</w:t>
            </w:r>
            <w:proofErr w:type="spellStart"/>
            <w:r w:rsidRPr="002B2E9A">
              <w:rPr>
                <w:color w:val="000000" w:themeColor="text1"/>
              </w:rPr>
              <w:t>Totalenergies</w:t>
            </w:r>
            <w:proofErr w:type="spellEnd"/>
            <w:r w:rsidRPr="002B2E9A">
              <w:rPr>
                <w:color w:val="000000" w:themeColor="text1"/>
              </w:rPr>
              <w:t xml:space="preserve">, 2026). </w:t>
            </w:r>
          </w:p>
        </w:tc>
      </w:tr>
    </w:tbl>
    <w:p w14:paraId="64566894" w14:textId="77777777" w:rsidR="00515AD5" w:rsidRPr="002B2E9A" w:rsidRDefault="00442B81">
      <w:pPr>
        <w:jc w:val="center"/>
        <w:rPr>
          <w:b/>
          <w:bCs/>
          <w:color w:val="000000" w:themeColor="text1"/>
        </w:rPr>
      </w:pPr>
      <w:r w:rsidRPr="002B2E9A">
        <w:rPr>
          <w:b/>
          <w:bCs/>
          <w:color w:val="000000" w:themeColor="text1"/>
        </w:rPr>
        <w:lastRenderedPageBreak/>
        <w:t>Table 2: SWOT Analysis of Shell Plc UK</w:t>
      </w:r>
    </w:p>
    <w:p w14:paraId="61F6F046" w14:textId="77777777" w:rsidR="00515AD5" w:rsidRPr="002B2E9A" w:rsidRDefault="00442B81">
      <w:pPr>
        <w:rPr>
          <w:b/>
          <w:bCs/>
          <w:color w:val="000000" w:themeColor="text1"/>
        </w:rPr>
      </w:pPr>
      <w:r w:rsidRPr="002B2E9A">
        <w:rPr>
          <w:b/>
          <w:bCs/>
          <w:color w:val="000000" w:themeColor="text1"/>
        </w:rPr>
        <w:t>Strengths</w:t>
      </w:r>
    </w:p>
    <w:p w14:paraId="596C8698" w14:textId="01DB4CB4" w:rsidR="00515AD5" w:rsidRPr="002B2E9A" w:rsidRDefault="00442B81">
      <w:pPr>
        <w:rPr>
          <w:color w:val="000000" w:themeColor="text1"/>
        </w:rPr>
      </w:pPr>
      <w:r w:rsidRPr="002B2E9A">
        <w:rPr>
          <w:color w:val="000000" w:themeColor="text1"/>
        </w:rPr>
        <w:t xml:space="preserve">The major product line-up of Shell Plc includes fuels, gases, lubricants, fluids, chemicals, electric charging infrastructure and others. The corporation also invests across the research and development (R&amp;D) sector to achieve the goal of a net-zero-emission energy business by 2050 (Shell, </w:t>
      </w:r>
      <w:r w:rsidR="002B2E9A" w:rsidRPr="002B2E9A">
        <w:rPr>
          <w:color w:val="000000" w:themeColor="text1"/>
        </w:rPr>
        <w:t>2026</w:t>
      </w:r>
      <w:r w:rsidRPr="002B2E9A">
        <w:rPr>
          <w:color w:val="000000" w:themeColor="text1"/>
        </w:rPr>
        <w:t xml:space="preserve">). These initiatives act as the major strength of the company to meet the business goals and serve the needs of the consumers. </w:t>
      </w:r>
    </w:p>
    <w:p w14:paraId="337454E7" w14:textId="77777777" w:rsidR="00515AD5" w:rsidRPr="002B2E9A" w:rsidRDefault="00442B81">
      <w:pPr>
        <w:rPr>
          <w:b/>
          <w:bCs/>
          <w:color w:val="000000" w:themeColor="text1"/>
        </w:rPr>
      </w:pPr>
      <w:r w:rsidRPr="002B2E9A">
        <w:rPr>
          <w:b/>
          <w:bCs/>
          <w:color w:val="000000" w:themeColor="text1"/>
        </w:rPr>
        <w:t>Weakness</w:t>
      </w:r>
    </w:p>
    <w:p w14:paraId="10E9FA09" w14:textId="77777777" w:rsidR="00515AD5" w:rsidRPr="002B2E9A" w:rsidRDefault="00442B81">
      <w:pPr>
        <w:rPr>
          <w:color w:val="000000" w:themeColor="text1"/>
        </w:rPr>
      </w:pPr>
      <w:r w:rsidRPr="002B2E9A">
        <w:rPr>
          <w:color w:val="000000" w:themeColor="text1"/>
        </w:rPr>
        <w:t xml:space="preserve">The firm invests throughout the renewable energy sectors, such as wind and solar. However, most of the output is still dependent on conventional fossil fuels </w:t>
      </w:r>
      <w:r w:rsidRPr="002B2E9A">
        <w:rPr>
          <w:color w:val="000000" w:themeColor="text1"/>
          <w:highlight w:val="white"/>
        </w:rPr>
        <w:t>(Umar, Farid and Naeem, 2022)</w:t>
      </w:r>
      <w:r w:rsidRPr="002B2E9A">
        <w:rPr>
          <w:color w:val="000000" w:themeColor="text1"/>
        </w:rPr>
        <w:t xml:space="preserve">. Such conduction serves as the major weakness of the firm in managing prices due to the higher taxes and economic inflation. The excessive dependence on these conventional sources also poses a major threat due to the upsurge in sustainability concerns across regions. These factors trigger the change in the operational process of Shell Plc to focus on the future demands of energy resources. </w:t>
      </w:r>
    </w:p>
    <w:p w14:paraId="7B29F61F" w14:textId="77777777" w:rsidR="00515AD5" w:rsidRPr="002B2E9A" w:rsidRDefault="00442B81">
      <w:pPr>
        <w:rPr>
          <w:b/>
          <w:bCs/>
          <w:color w:val="000000" w:themeColor="text1"/>
        </w:rPr>
      </w:pPr>
      <w:r w:rsidRPr="002B2E9A">
        <w:rPr>
          <w:b/>
          <w:bCs/>
          <w:color w:val="000000" w:themeColor="text1"/>
        </w:rPr>
        <w:t>Opportunities</w:t>
      </w:r>
    </w:p>
    <w:p w14:paraId="13D3EEB6" w14:textId="77777777" w:rsidR="00515AD5" w:rsidRPr="002B2E9A" w:rsidRDefault="00442B81">
      <w:pPr>
        <w:rPr>
          <w:color w:val="000000" w:themeColor="text1"/>
        </w:rPr>
      </w:pPr>
      <w:r w:rsidRPr="002B2E9A">
        <w:rPr>
          <w:color w:val="000000" w:themeColor="text1"/>
        </w:rPr>
        <w:t xml:space="preserve">The organisation invests across the biofuels and the hydrogen sources, enabling it to harness the opportunity to maintain long-term sustainable operations (Shell, 2026e). Exploring the scope across these sectors allows Shell Plc to invest in long-term sustainable growth practices. </w:t>
      </w:r>
    </w:p>
    <w:p w14:paraId="447981E0" w14:textId="77777777" w:rsidR="00515AD5" w:rsidRPr="002B2E9A" w:rsidRDefault="00442B81">
      <w:pPr>
        <w:rPr>
          <w:b/>
          <w:bCs/>
          <w:color w:val="000000" w:themeColor="text1"/>
        </w:rPr>
      </w:pPr>
      <w:r w:rsidRPr="002B2E9A">
        <w:rPr>
          <w:b/>
          <w:bCs/>
          <w:color w:val="000000" w:themeColor="text1"/>
        </w:rPr>
        <w:t>Threats</w:t>
      </w:r>
    </w:p>
    <w:p w14:paraId="04784C57" w14:textId="77777777" w:rsidR="00515AD5" w:rsidRPr="002B2E9A" w:rsidRDefault="00442B81">
      <w:pPr>
        <w:rPr>
          <w:color w:val="000000" w:themeColor="text1"/>
        </w:rPr>
      </w:pPr>
      <w:r w:rsidRPr="002B2E9A">
        <w:rPr>
          <w:color w:val="000000" w:themeColor="text1"/>
        </w:rPr>
        <w:t>The presence of the global competitors, such as TotalEnergies, provides stiff opposition to the firm that often reduces its profit margin (</w:t>
      </w:r>
      <w:proofErr w:type="spellStart"/>
      <w:r w:rsidRPr="002B2E9A">
        <w:rPr>
          <w:color w:val="000000" w:themeColor="text1"/>
        </w:rPr>
        <w:t>Totalenergies</w:t>
      </w:r>
      <w:proofErr w:type="spellEnd"/>
      <w:r w:rsidRPr="002B2E9A">
        <w:rPr>
          <w:color w:val="000000" w:themeColor="text1"/>
        </w:rPr>
        <w:t xml:space="preserve">, 2026). The expansion strategies of the firm might also be affected due to the presence of strong competitors, which influences the market share. The high dependency on fossil fuels reduces the capability of the corporation to expand its operations due to the increasing sanctions by governments. The reformation is </w:t>
      </w:r>
      <w:r w:rsidRPr="002B2E9A">
        <w:rPr>
          <w:color w:val="000000" w:themeColor="text1"/>
        </w:rPr>
        <w:lastRenderedPageBreak/>
        <w:t xml:space="preserve">required to be implemented to ensure that the company can achieve long-term competitive growth, along with reducing the rivalry threat from similar firms. </w:t>
      </w:r>
    </w:p>
    <w:p w14:paraId="1615508B" w14:textId="77777777" w:rsidR="00515AD5" w:rsidRPr="002B2E9A" w:rsidRDefault="00442B81">
      <w:pPr>
        <w:pStyle w:val="Heading2"/>
        <w:rPr>
          <w:color w:val="000000" w:themeColor="text1"/>
        </w:rPr>
      </w:pPr>
      <w:bookmarkStart w:id="6" w:name="_Toc223027318"/>
      <w:r w:rsidRPr="002B2E9A">
        <w:rPr>
          <w:color w:val="000000" w:themeColor="text1"/>
        </w:rPr>
        <w:t>External Analysis</w:t>
      </w:r>
      <w:bookmarkEnd w:id="6"/>
    </w:p>
    <w:p w14:paraId="4ABF9B0B" w14:textId="77777777" w:rsidR="00515AD5" w:rsidRPr="002B2E9A" w:rsidRDefault="00442B81">
      <w:pPr>
        <w:rPr>
          <w:color w:val="000000" w:themeColor="text1"/>
        </w:rPr>
      </w:pPr>
      <w:r w:rsidRPr="002B2E9A">
        <w:rPr>
          <w:b/>
          <w:bCs/>
          <w:color w:val="000000" w:themeColor="text1"/>
        </w:rPr>
        <w:t>PESTLE Analysis</w:t>
      </w:r>
    </w:p>
    <w:tbl>
      <w:tblPr>
        <w:tblStyle w:val="af0"/>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6690"/>
      </w:tblGrid>
      <w:tr w:rsidR="003C1A03" w:rsidRPr="002B2E9A" w14:paraId="701993C6" w14:textId="77777777">
        <w:tc>
          <w:tcPr>
            <w:tcW w:w="2310" w:type="dxa"/>
            <w:shd w:val="clear" w:color="auto" w:fill="D0E0E3"/>
            <w:tcMar>
              <w:top w:w="100" w:type="dxa"/>
              <w:left w:w="100" w:type="dxa"/>
              <w:bottom w:w="100" w:type="dxa"/>
              <w:right w:w="100" w:type="dxa"/>
            </w:tcMar>
          </w:tcPr>
          <w:p w14:paraId="33ABD7D4"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Factors</w:t>
            </w:r>
          </w:p>
        </w:tc>
        <w:tc>
          <w:tcPr>
            <w:tcW w:w="6690" w:type="dxa"/>
            <w:shd w:val="clear" w:color="auto" w:fill="D0E0E3"/>
            <w:tcMar>
              <w:top w:w="100" w:type="dxa"/>
              <w:left w:w="100" w:type="dxa"/>
              <w:bottom w:w="100" w:type="dxa"/>
              <w:right w:w="100" w:type="dxa"/>
            </w:tcMar>
          </w:tcPr>
          <w:p w14:paraId="6283A9E5"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Impact</w:t>
            </w:r>
          </w:p>
        </w:tc>
      </w:tr>
      <w:tr w:rsidR="003C1A03" w:rsidRPr="002B2E9A" w14:paraId="3AB2F5E5" w14:textId="77777777">
        <w:tc>
          <w:tcPr>
            <w:tcW w:w="2310" w:type="dxa"/>
            <w:shd w:val="clear" w:color="auto" w:fill="D9EAD3"/>
            <w:tcMar>
              <w:top w:w="100" w:type="dxa"/>
              <w:left w:w="100" w:type="dxa"/>
              <w:bottom w:w="100" w:type="dxa"/>
              <w:right w:w="100" w:type="dxa"/>
            </w:tcMar>
          </w:tcPr>
          <w:p w14:paraId="20470E1D" w14:textId="77777777" w:rsidR="00515AD5" w:rsidRPr="002B2E9A" w:rsidRDefault="00442B81">
            <w:pPr>
              <w:widowControl w:val="0"/>
              <w:pBdr>
                <w:top w:val="nil"/>
                <w:left w:val="nil"/>
                <w:bottom w:val="nil"/>
                <w:right w:val="nil"/>
                <w:between w:val="nil"/>
              </w:pBdr>
              <w:jc w:val="left"/>
              <w:rPr>
                <w:b/>
                <w:bCs/>
                <w:color w:val="000000" w:themeColor="text1"/>
              </w:rPr>
            </w:pPr>
            <w:r w:rsidRPr="002B2E9A">
              <w:rPr>
                <w:b/>
                <w:bCs/>
                <w:color w:val="000000" w:themeColor="text1"/>
              </w:rPr>
              <w:t>Political</w:t>
            </w:r>
          </w:p>
        </w:tc>
        <w:tc>
          <w:tcPr>
            <w:tcW w:w="6690" w:type="dxa"/>
            <w:shd w:val="clear" w:color="auto" w:fill="D9EAD3"/>
            <w:tcMar>
              <w:top w:w="100" w:type="dxa"/>
              <w:left w:w="100" w:type="dxa"/>
              <w:bottom w:w="100" w:type="dxa"/>
              <w:right w:w="100" w:type="dxa"/>
            </w:tcMar>
          </w:tcPr>
          <w:p w14:paraId="60F539B0"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The UK, having an average political stability index of 0.55, allows Shell Plc to conduct its business operations and meet the strategies of growth (</w:t>
            </w:r>
            <w:proofErr w:type="spellStart"/>
            <w:r w:rsidRPr="002B2E9A">
              <w:rPr>
                <w:color w:val="000000" w:themeColor="text1"/>
              </w:rPr>
              <w:t>Theglobaleconomy</w:t>
            </w:r>
            <w:proofErr w:type="spellEnd"/>
            <w:r w:rsidRPr="002B2E9A">
              <w:rPr>
                <w:color w:val="000000" w:themeColor="text1"/>
              </w:rPr>
              <w:t xml:space="preserve">, 2026). </w:t>
            </w:r>
          </w:p>
        </w:tc>
      </w:tr>
      <w:tr w:rsidR="003C1A03" w:rsidRPr="002B2E9A" w14:paraId="218E20C0" w14:textId="77777777">
        <w:tc>
          <w:tcPr>
            <w:tcW w:w="2310" w:type="dxa"/>
            <w:shd w:val="clear" w:color="auto" w:fill="D9EAD3"/>
            <w:tcMar>
              <w:top w:w="100" w:type="dxa"/>
              <w:left w:w="100" w:type="dxa"/>
              <w:bottom w:w="100" w:type="dxa"/>
              <w:right w:w="100" w:type="dxa"/>
            </w:tcMar>
          </w:tcPr>
          <w:p w14:paraId="7E902DAD" w14:textId="77777777" w:rsidR="00515AD5" w:rsidRPr="002B2E9A" w:rsidRDefault="00442B81">
            <w:pPr>
              <w:widowControl w:val="0"/>
              <w:pBdr>
                <w:top w:val="nil"/>
                <w:left w:val="nil"/>
                <w:bottom w:val="nil"/>
                <w:right w:val="nil"/>
                <w:between w:val="nil"/>
              </w:pBdr>
              <w:jc w:val="left"/>
              <w:rPr>
                <w:b/>
                <w:bCs/>
                <w:color w:val="000000" w:themeColor="text1"/>
              </w:rPr>
            </w:pPr>
            <w:r w:rsidRPr="002B2E9A">
              <w:rPr>
                <w:b/>
                <w:bCs/>
                <w:color w:val="000000" w:themeColor="text1"/>
              </w:rPr>
              <w:t>Economic</w:t>
            </w:r>
          </w:p>
        </w:tc>
        <w:tc>
          <w:tcPr>
            <w:tcW w:w="6690" w:type="dxa"/>
            <w:shd w:val="clear" w:color="auto" w:fill="D9EAD3"/>
            <w:tcMar>
              <w:top w:w="100" w:type="dxa"/>
              <w:left w:w="100" w:type="dxa"/>
              <w:bottom w:w="100" w:type="dxa"/>
              <w:right w:w="100" w:type="dxa"/>
            </w:tcMar>
          </w:tcPr>
          <w:p w14:paraId="7C353DBB"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Estimated at £2.56 trillion, the UK economy is the sixth largest in the world, and it allows Shell Plc to receive opportunities for expanding business growth (Statista, 2026). </w:t>
            </w:r>
          </w:p>
        </w:tc>
      </w:tr>
      <w:tr w:rsidR="003C1A03" w:rsidRPr="002B2E9A" w14:paraId="05AAC23F" w14:textId="77777777">
        <w:tc>
          <w:tcPr>
            <w:tcW w:w="2310" w:type="dxa"/>
            <w:shd w:val="clear" w:color="auto" w:fill="D9EAD3"/>
            <w:tcMar>
              <w:top w:w="100" w:type="dxa"/>
              <w:left w:w="100" w:type="dxa"/>
              <w:bottom w:w="100" w:type="dxa"/>
              <w:right w:w="100" w:type="dxa"/>
            </w:tcMar>
          </w:tcPr>
          <w:p w14:paraId="648B3C4A" w14:textId="77777777" w:rsidR="00515AD5" w:rsidRPr="002B2E9A" w:rsidRDefault="00442B81">
            <w:pPr>
              <w:widowControl w:val="0"/>
              <w:pBdr>
                <w:top w:val="nil"/>
                <w:left w:val="nil"/>
                <w:bottom w:val="nil"/>
                <w:right w:val="nil"/>
                <w:between w:val="nil"/>
              </w:pBdr>
              <w:jc w:val="left"/>
              <w:rPr>
                <w:b/>
                <w:bCs/>
                <w:color w:val="000000" w:themeColor="text1"/>
              </w:rPr>
            </w:pPr>
            <w:r w:rsidRPr="002B2E9A">
              <w:rPr>
                <w:b/>
                <w:bCs/>
                <w:color w:val="000000" w:themeColor="text1"/>
              </w:rPr>
              <w:t>Social</w:t>
            </w:r>
          </w:p>
        </w:tc>
        <w:tc>
          <w:tcPr>
            <w:tcW w:w="6690" w:type="dxa"/>
            <w:shd w:val="clear" w:color="auto" w:fill="D9EAD3"/>
            <w:tcMar>
              <w:top w:w="100" w:type="dxa"/>
              <w:left w:w="100" w:type="dxa"/>
              <w:bottom w:w="100" w:type="dxa"/>
              <w:right w:w="100" w:type="dxa"/>
            </w:tcMar>
          </w:tcPr>
          <w:p w14:paraId="4C94DB38"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The rise in online shopping and the presence of fake products reduce the profit margin, as customers cannot distinguish the authenticity (Whitby, 2022). </w:t>
            </w:r>
          </w:p>
        </w:tc>
      </w:tr>
      <w:tr w:rsidR="003C1A03" w:rsidRPr="002B2E9A" w14:paraId="530737EA" w14:textId="77777777">
        <w:tc>
          <w:tcPr>
            <w:tcW w:w="2310" w:type="dxa"/>
            <w:shd w:val="clear" w:color="auto" w:fill="D9EAD3"/>
            <w:tcMar>
              <w:top w:w="100" w:type="dxa"/>
              <w:left w:w="100" w:type="dxa"/>
              <w:bottom w:w="100" w:type="dxa"/>
              <w:right w:w="100" w:type="dxa"/>
            </w:tcMar>
          </w:tcPr>
          <w:p w14:paraId="02EAA8A2" w14:textId="77777777" w:rsidR="00515AD5" w:rsidRPr="002B2E9A" w:rsidRDefault="00442B81">
            <w:pPr>
              <w:widowControl w:val="0"/>
              <w:pBdr>
                <w:top w:val="nil"/>
                <w:left w:val="nil"/>
                <w:bottom w:val="nil"/>
                <w:right w:val="nil"/>
                <w:between w:val="nil"/>
              </w:pBdr>
              <w:jc w:val="left"/>
              <w:rPr>
                <w:b/>
                <w:bCs/>
                <w:color w:val="000000" w:themeColor="text1"/>
              </w:rPr>
            </w:pPr>
            <w:r w:rsidRPr="002B2E9A">
              <w:rPr>
                <w:b/>
                <w:bCs/>
                <w:color w:val="000000" w:themeColor="text1"/>
              </w:rPr>
              <w:t>Technological</w:t>
            </w:r>
          </w:p>
        </w:tc>
        <w:tc>
          <w:tcPr>
            <w:tcW w:w="6690" w:type="dxa"/>
            <w:shd w:val="clear" w:color="auto" w:fill="D9EAD3"/>
            <w:tcMar>
              <w:top w:w="100" w:type="dxa"/>
              <w:left w:w="100" w:type="dxa"/>
              <w:bottom w:w="100" w:type="dxa"/>
              <w:right w:w="100" w:type="dxa"/>
            </w:tcMar>
          </w:tcPr>
          <w:p w14:paraId="7F53F5BC"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Around 16% of UK businesses have adopted AI technologies, which creates challenges for Shell Plc due to the lower adoption rates within the extraction process of the fossil fuels (Gov.UK, 2026a). </w:t>
            </w:r>
          </w:p>
        </w:tc>
      </w:tr>
      <w:tr w:rsidR="003C1A03" w:rsidRPr="002B2E9A" w14:paraId="0884119D" w14:textId="77777777">
        <w:tc>
          <w:tcPr>
            <w:tcW w:w="2310" w:type="dxa"/>
            <w:shd w:val="clear" w:color="auto" w:fill="D9EAD3"/>
            <w:tcMar>
              <w:top w:w="100" w:type="dxa"/>
              <w:left w:w="100" w:type="dxa"/>
              <w:bottom w:w="100" w:type="dxa"/>
              <w:right w:w="100" w:type="dxa"/>
            </w:tcMar>
          </w:tcPr>
          <w:p w14:paraId="56F8FE46" w14:textId="77777777" w:rsidR="00515AD5" w:rsidRPr="002B2E9A" w:rsidRDefault="00442B81">
            <w:pPr>
              <w:widowControl w:val="0"/>
              <w:pBdr>
                <w:top w:val="nil"/>
                <w:left w:val="nil"/>
                <w:bottom w:val="nil"/>
                <w:right w:val="nil"/>
                <w:between w:val="nil"/>
              </w:pBdr>
              <w:jc w:val="left"/>
              <w:rPr>
                <w:b/>
                <w:bCs/>
                <w:color w:val="000000" w:themeColor="text1"/>
              </w:rPr>
            </w:pPr>
            <w:r w:rsidRPr="002B2E9A">
              <w:rPr>
                <w:b/>
                <w:bCs/>
                <w:color w:val="000000" w:themeColor="text1"/>
              </w:rPr>
              <w:t>Legal</w:t>
            </w:r>
          </w:p>
        </w:tc>
        <w:tc>
          <w:tcPr>
            <w:tcW w:w="6690" w:type="dxa"/>
            <w:shd w:val="clear" w:color="auto" w:fill="D9EAD3"/>
            <w:tcMar>
              <w:top w:w="100" w:type="dxa"/>
              <w:left w:w="100" w:type="dxa"/>
              <w:bottom w:w="100" w:type="dxa"/>
              <w:right w:w="100" w:type="dxa"/>
            </w:tcMar>
          </w:tcPr>
          <w:p w14:paraId="293F9D58"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Ensuring the obligations to the oil and natural reserves need to be maintained by all the companies, and Shell Plc is required to follow these principles (Gov.UK, 2026b). </w:t>
            </w:r>
          </w:p>
        </w:tc>
      </w:tr>
      <w:tr w:rsidR="003C1A03" w:rsidRPr="002B2E9A" w14:paraId="2F4B4E66" w14:textId="77777777">
        <w:tc>
          <w:tcPr>
            <w:tcW w:w="2310" w:type="dxa"/>
            <w:shd w:val="clear" w:color="auto" w:fill="D9EAD3"/>
            <w:tcMar>
              <w:top w:w="100" w:type="dxa"/>
              <w:left w:w="100" w:type="dxa"/>
              <w:bottom w:w="100" w:type="dxa"/>
              <w:right w:w="100" w:type="dxa"/>
            </w:tcMar>
          </w:tcPr>
          <w:p w14:paraId="4DA462F1" w14:textId="77777777" w:rsidR="00515AD5" w:rsidRPr="002B2E9A" w:rsidRDefault="00442B81">
            <w:pPr>
              <w:widowControl w:val="0"/>
              <w:pBdr>
                <w:top w:val="nil"/>
                <w:left w:val="nil"/>
                <w:bottom w:val="nil"/>
                <w:right w:val="nil"/>
                <w:between w:val="nil"/>
              </w:pBdr>
              <w:jc w:val="left"/>
              <w:rPr>
                <w:b/>
                <w:bCs/>
                <w:color w:val="000000" w:themeColor="text1"/>
              </w:rPr>
            </w:pPr>
            <w:r w:rsidRPr="002B2E9A">
              <w:rPr>
                <w:b/>
                <w:bCs/>
                <w:color w:val="000000" w:themeColor="text1"/>
              </w:rPr>
              <w:t>Environmental</w:t>
            </w:r>
          </w:p>
        </w:tc>
        <w:tc>
          <w:tcPr>
            <w:tcW w:w="6690" w:type="dxa"/>
            <w:shd w:val="clear" w:color="auto" w:fill="D9EAD3"/>
            <w:tcMar>
              <w:top w:w="100" w:type="dxa"/>
              <w:left w:w="100" w:type="dxa"/>
              <w:bottom w:w="100" w:type="dxa"/>
              <w:right w:w="100" w:type="dxa"/>
            </w:tcMar>
          </w:tcPr>
          <w:p w14:paraId="36748627"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Fulfilling the regulations of the environmental agencies must be considered by Shell Plc to protect the resources and prevent negative influence on the atmosphere (Gov.UK, 2026c). </w:t>
            </w:r>
          </w:p>
        </w:tc>
      </w:tr>
    </w:tbl>
    <w:p w14:paraId="770B7CC9" w14:textId="77777777" w:rsidR="00515AD5" w:rsidRPr="002B2E9A" w:rsidRDefault="00442B81">
      <w:pPr>
        <w:jc w:val="center"/>
        <w:rPr>
          <w:b/>
          <w:bCs/>
          <w:color w:val="000000" w:themeColor="text1"/>
        </w:rPr>
      </w:pPr>
      <w:r w:rsidRPr="002B2E9A">
        <w:rPr>
          <w:b/>
          <w:bCs/>
          <w:color w:val="000000" w:themeColor="text1"/>
        </w:rPr>
        <w:t>Table 3: PESTLE Analysis of Shell Plc UK</w:t>
      </w:r>
    </w:p>
    <w:p w14:paraId="0EBF3424" w14:textId="77777777" w:rsidR="00515AD5" w:rsidRPr="002B2E9A" w:rsidRDefault="00442B81">
      <w:pPr>
        <w:rPr>
          <w:b/>
          <w:bCs/>
          <w:color w:val="000000" w:themeColor="text1"/>
        </w:rPr>
      </w:pPr>
      <w:r w:rsidRPr="002B2E9A">
        <w:rPr>
          <w:b/>
          <w:bCs/>
          <w:color w:val="000000" w:themeColor="text1"/>
        </w:rPr>
        <w:t>Analysis</w:t>
      </w:r>
    </w:p>
    <w:p w14:paraId="58400C23" w14:textId="77777777" w:rsidR="00515AD5" w:rsidRPr="002B2E9A" w:rsidRDefault="00442B81">
      <w:pPr>
        <w:rPr>
          <w:color w:val="000000" w:themeColor="text1"/>
        </w:rPr>
      </w:pPr>
      <w:r w:rsidRPr="002B2E9A">
        <w:rPr>
          <w:color w:val="000000" w:themeColor="text1"/>
        </w:rPr>
        <w:t>The presence of a stable political environment allows Shell Plc to manage its operations and improve business efficiency (</w:t>
      </w:r>
      <w:proofErr w:type="spellStart"/>
      <w:r w:rsidRPr="002B2E9A">
        <w:rPr>
          <w:color w:val="000000" w:themeColor="text1"/>
        </w:rPr>
        <w:t>Theglobaleconomy</w:t>
      </w:r>
      <w:proofErr w:type="spellEnd"/>
      <w:r w:rsidRPr="002B2E9A">
        <w:rPr>
          <w:color w:val="000000" w:themeColor="text1"/>
        </w:rPr>
        <w:t xml:space="preserve">, 2026). Being the sixth-largest economy in the world, the external environment of the UK provides a remarkable opportunity for the company to expand its business (Statista, 2026). This also provides the organisation with the support to explore the varied areas for providing the consumers with a diverse range of products </w:t>
      </w:r>
      <w:r w:rsidRPr="002B2E9A">
        <w:rPr>
          <w:color w:val="000000" w:themeColor="text1"/>
        </w:rPr>
        <w:lastRenderedPageBreak/>
        <w:t>and services. This improves the organisational performance of Shell Plc and the attainment of revenue to keep the processes sustained. The company is required to follow all the legal principles of the United Kingdom to extract the natural resources as well as the reserves from the designated locations (Gov.UK, 2026b). Shell Plc adheres to all the legal obligations to prevent any type of hurdles and sanctions during the operating workflow.</w:t>
      </w:r>
    </w:p>
    <w:p w14:paraId="2C1E8A5C" w14:textId="685EED92" w:rsidR="00515AD5" w:rsidRPr="002B2E9A" w:rsidRDefault="00442B81">
      <w:pPr>
        <w:rPr>
          <w:color w:val="000000" w:themeColor="text1"/>
        </w:rPr>
      </w:pPr>
      <w:r w:rsidRPr="002B2E9A">
        <w:rPr>
          <w:color w:val="000000" w:themeColor="text1"/>
        </w:rPr>
        <w:t xml:space="preserve">On the other hand, there has been an increase in the trends related to online shopping among UK residents. This has also led to the presence of several types of online fraud exhibited by the commercialisation of fake products that are usually not identified </w:t>
      </w:r>
      <w:r w:rsidRPr="002B2E9A">
        <w:rPr>
          <w:color w:val="000000" w:themeColor="text1"/>
          <w:highlight w:val="white"/>
        </w:rPr>
        <w:t>(</w:t>
      </w:r>
      <w:proofErr w:type="spellStart"/>
      <w:r w:rsidRPr="002B2E9A">
        <w:rPr>
          <w:color w:val="000000" w:themeColor="text1"/>
          <w:highlight w:val="white"/>
        </w:rPr>
        <w:t>Opia</w:t>
      </w:r>
      <w:proofErr w:type="spellEnd"/>
      <w:r w:rsidRPr="002B2E9A">
        <w:rPr>
          <w:color w:val="000000" w:themeColor="text1"/>
          <w:highlight w:val="white"/>
        </w:rPr>
        <w:t xml:space="preserve"> </w:t>
      </w:r>
      <w:r w:rsidRPr="002B2E9A">
        <w:rPr>
          <w:i/>
          <w:iCs/>
          <w:color w:val="000000" w:themeColor="text1"/>
          <w:highlight w:val="white"/>
        </w:rPr>
        <w:t xml:space="preserve">et al., </w:t>
      </w:r>
      <w:r w:rsidRPr="002B2E9A">
        <w:rPr>
          <w:color w:val="000000" w:themeColor="text1"/>
          <w:highlight w:val="white"/>
        </w:rPr>
        <w:t>2023)</w:t>
      </w:r>
      <w:r w:rsidRPr="002B2E9A">
        <w:rPr>
          <w:color w:val="000000" w:themeColor="text1"/>
        </w:rPr>
        <w:t xml:space="preserve">. These items are often available to </w:t>
      </w:r>
      <w:r w:rsidR="002B2E9A" w:rsidRPr="002B2E9A">
        <w:rPr>
          <w:color w:val="000000" w:themeColor="text1"/>
        </w:rPr>
        <w:t>customers,</w:t>
      </w:r>
      <w:r w:rsidRPr="002B2E9A">
        <w:rPr>
          <w:color w:val="000000" w:themeColor="text1"/>
        </w:rPr>
        <w:t xml:space="preserve"> and they reduce the sales figures of the original products offered by Shell Plc. Most of the operations of the company are influenced by manual labourers and heavy machinery to tap the energy endowments. This reduces the capability of the organisation to use artificial intelligence across all its functional areas. The recurring investment across the manual labourers is continued by this process and it further reduces the profit margin. There has been an enhancement in the sanctions by the governments for the process of extracting the oil and gas reserves to promote the sustainable usage of the natural assets (Gov.UK, 2026c). This creates a major challenge to Shell Plc as its profit margin has declined to a considerable extent. The rise in operating costs further discourages the management from investing heavily in these executions to upgrade the existing machinery.</w:t>
      </w:r>
    </w:p>
    <w:p w14:paraId="2AAEB7A0" w14:textId="77777777" w:rsidR="00515AD5" w:rsidRPr="002B2E9A" w:rsidRDefault="00442B81">
      <w:pPr>
        <w:pStyle w:val="Heading1"/>
        <w:rPr>
          <w:color w:val="000000" w:themeColor="text1"/>
        </w:rPr>
      </w:pPr>
      <w:bookmarkStart w:id="7" w:name="_Toc223027319"/>
      <w:r w:rsidRPr="002B2E9A">
        <w:rPr>
          <w:color w:val="000000" w:themeColor="text1"/>
        </w:rPr>
        <w:t>Implementation of change management models</w:t>
      </w:r>
      <w:bookmarkEnd w:id="7"/>
    </w:p>
    <w:p w14:paraId="0BC7448D" w14:textId="77777777" w:rsidR="00515AD5" w:rsidRPr="002B2E9A" w:rsidRDefault="00442B81">
      <w:pPr>
        <w:pStyle w:val="Heading2"/>
        <w:rPr>
          <w:color w:val="000000" w:themeColor="text1"/>
        </w:rPr>
      </w:pPr>
      <w:bookmarkStart w:id="8" w:name="_Toc223027320"/>
      <w:r w:rsidRPr="002B2E9A">
        <w:rPr>
          <w:color w:val="000000" w:themeColor="text1"/>
        </w:rPr>
        <w:t>Lewin’s Change Management Model</w:t>
      </w:r>
      <w:bookmarkEnd w:id="8"/>
    </w:p>
    <w:p w14:paraId="769D9D60" w14:textId="77777777" w:rsidR="00515AD5" w:rsidRPr="002B2E9A" w:rsidRDefault="00442B81">
      <w:pPr>
        <w:rPr>
          <w:color w:val="000000" w:themeColor="text1"/>
        </w:rPr>
      </w:pPr>
      <w:r w:rsidRPr="002B2E9A">
        <w:rPr>
          <w:color w:val="000000" w:themeColor="text1"/>
        </w:rPr>
        <w:t>The process of incorporating the change by this model is influenced by three distinct steps, which are known as 'Unfreeze', 'Change' and 'Refreeze'. Through the 'Unfreeze' process, Shell Plc has been able to identify the areas related to the lack of adequate adoption of technology. These affect the performance of the firm, and the automation services are not incorporated adequately. The 'Change' stage has enabled the company to form partnerships with NVIDIA using the technology-driven engineering process for developing better energy modelling tools (Shell, 2026f). A collaborative behaviour has also been applied that allows for the process of holding regular meetings to allow the staff to learn about the change process. Additionally, Augmented Reality (AR) and Virtual Reality (VR) have also been introduced to train the workforce (Shell, 2026g). These procedures have been incorporated within the business framework of Shell Plc to adapt to the changing trends in the acceptance of digital tools.</w:t>
      </w:r>
    </w:p>
    <w:p w14:paraId="17AB6902" w14:textId="77777777" w:rsidR="00515AD5" w:rsidRPr="002B2E9A" w:rsidRDefault="00442B81">
      <w:pPr>
        <w:jc w:val="center"/>
        <w:rPr>
          <w:color w:val="000000" w:themeColor="text1"/>
        </w:rPr>
      </w:pPr>
      <w:r w:rsidRPr="002B2E9A">
        <w:rPr>
          <w:noProof/>
          <w:color w:val="000000" w:themeColor="text1"/>
        </w:rPr>
        <w:lastRenderedPageBreak/>
        <w:drawing>
          <wp:inline distT="0" distB="0" distL="0" distR="0" wp14:anchorId="6F23AF44" wp14:editId="4707A662">
            <wp:extent cx="5562600" cy="2590800"/>
            <wp:effectExtent l="28575" t="28575" r="28575" b="28575"/>
            <wp:docPr id="75793399" name="image1.png"/>
            <wp:cNvGraphicFramePr/>
            <a:graphic xmlns:a="http://schemas.openxmlformats.org/drawingml/2006/main">
              <a:graphicData uri="http://schemas.openxmlformats.org/drawingml/2006/picture">
                <pic:pic xmlns:pic="http://schemas.openxmlformats.org/drawingml/2006/picture">
                  <pic:nvPicPr>
                    <pic:cNvPr id="75793399" name="image1.png"/>
                    <pic:cNvPicPr/>
                  </pic:nvPicPr>
                  <pic:blipFill>
                    <a:blip r:embed="rId7"/>
                    <a:stretch>
                      <a:fillRect/>
                    </a:stretch>
                  </pic:blipFill>
                  <pic:spPr>
                    <a:xfrm>
                      <a:off x="0" y="0"/>
                      <a:ext cx="5562600" cy="2590800"/>
                    </a:xfrm>
                    <a:prstGeom prst="rect">
                      <a:avLst/>
                    </a:prstGeom>
                    <a:ln w="28575">
                      <a:solidFill>
                        <a:srgbClr val="000000"/>
                      </a:solidFill>
                      <a:prstDash val="solid"/>
                    </a:ln>
                  </pic:spPr>
                </pic:pic>
              </a:graphicData>
            </a:graphic>
          </wp:inline>
        </w:drawing>
      </w:r>
    </w:p>
    <w:p w14:paraId="25E83264" w14:textId="77777777" w:rsidR="00515AD5" w:rsidRPr="002B2E9A" w:rsidRDefault="00442B81">
      <w:pPr>
        <w:jc w:val="center"/>
        <w:rPr>
          <w:color w:val="000000" w:themeColor="text1"/>
        </w:rPr>
      </w:pPr>
      <w:r w:rsidRPr="002B2E9A">
        <w:rPr>
          <w:b/>
          <w:bCs/>
          <w:color w:val="000000" w:themeColor="text1"/>
        </w:rPr>
        <w:t>Figure 2: Lewin’s Change Management Model</w:t>
      </w:r>
    </w:p>
    <w:p w14:paraId="57E1F6CD" w14:textId="79D4E5CD" w:rsidR="00515AD5" w:rsidRPr="002B2E9A" w:rsidRDefault="00442B81">
      <w:pPr>
        <w:rPr>
          <w:color w:val="000000" w:themeColor="text1"/>
        </w:rPr>
      </w:pPr>
      <w:r w:rsidRPr="002B2E9A">
        <w:rPr>
          <w:color w:val="000000" w:themeColor="text1"/>
        </w:rPr>
        <w:t xml:space="preserve">These strategies have been adopted as a part of the daily operations that allow the employees to become </w:t>
      </w:r>
      <w:r w:rsidR="002B2E9A" w:rsidRPr="002B2E9A">
        <w:rPr>
          <w:color w:val="000000" w:themeColor="text1"/>
        </w:rPr>
        <w:t>inhabitant</w:t>
      </w:r>
      <w:r w:rsidRPr="002B2E9A">
        <w:rPr>
          <w:color w:val="000000" w:themeColor="text1"/>
        </w:rPr>
        <w:t xml:space="preserve"> to the new working patterns with the implementation of the ‘Refreeze’ stage. This ensures that the long-term attainment of the goal is achieved while changing the performance patterns of the staff (Shell, 2026h). The change management framework has been effectively conducted by Lewin’s Change Management Model, along with the process of modification to the trends related to the digital environment and AI adoption. </w:t>
      </w:r>
    </w:p>
    <w:p w14:paraId="12C5F376" w14:textId="77777777" w:rsidR="00515AD5" w:rsidRPr="002B2E9A" w:rsidRDefault="00442B81">
      <w:pPr>
        <w:pStyle w:val="Heading2"/>
        <w:rPr>
          <w:color w:val="000000" w:themeColor="text1"/>
        </w:rPr>
      </w:pPr>
      <w:bookmarkStart w:id="9" w:name="_Toc223027321"/>
      <w:r w:rsidRPr="002B2E9A">
        <w:rPr>
          <w:color w:val="000000" w:themeColor="text1"/>
        </w:rPr>
        <w:t>McKinsey 7S Framework</w:t>
      </w:r>
      <w:bookmarkEnd w:id="9"/>
    </w:p>
    <w:p w14:paraId="4F19B94D" w14:textId="77777777" w:rsidR="00515AD5" w:rsidRPr="002B2E9A" w:rsidRDefault="00442B81">
      <w:pPr>
        <w:rPr>
          <w:color w:val="000000" w:themeColor="text1"/>
        </w:rPr>
      </w:pPr>
      <w:r w:rsidRPr="002B2E9A">
        <w:rPr>
          <w:color w:val="000000" w:themeColor="text1"/>
        </w:rPr>
        <w:t xml:space="preserve">McKinsey 7S framework highlights a set of 7 stages for implementing the changes within the businesses. 'Strategy', 'Structure', 'Systems', 'Shared Values', 'Skills', 'Style' and 'Staff' are the key elements of this change management process </w:t>
      </w:r>
      <w:r w:rsidRPr="002B2E9A">
        <w:rPr>
          <w:color w:val="000000" w:themeColor="text1"/>
          <w:highlight w:val="white"/>
        </w:rPr>
        <w:t>(</w:t>
      </w:r>
      <w:proofErr w:type="spellStart"/>
      <w:r w:rsidRPr="002B2E9A">
        <w:rPr>
          <w:color w:val="000000" w:themeColor="text1"/>
          <w:highlight w:val="white"/>
        </w:rPr>
        <w:t>Monticone</w:t>
      </w:r>
      <w:proofErr w:type="spellEnd"/>
      <w:r w:rsidRPr="002B2E9A">
        <w:rPr>
          <w:color w:val="000000" w:themeColor="text1"/>
          <w:highlight w:val="white"/>
        </w:rPr>
        <w:t>, 2023)</w:t>
      </w:r>
      <w:r w:rsidRPr="002B2E9A">
        <w:rPr>
          <w:color w:val="000000" w:themeColor="text1"/>
        </w:rPr>
        <w:t xml:space="preserve">. Shell Plc follows the 'Strategy' of delivering more value to the customers while reducing emissions across all administering areas. The 'Structure' of the organisation is composed of various departments which support working on the designated roles to create specialisation. Automated heavy machinery for the excavation process, along with the usage of AR and VR, is also promoted as a part of the 'Systems', used by the firm (Shell, 2026g). Honesty, integrity, and equal respect for all employees are the core 'Shared Values' followed within the organisational environment. This ensures that the firm provides equal opportunities for the workers so that they can demonstrate their optimum working performance. </w:t>
      </w:r>
    </w:p>
    <w:p w14:paraId="28E6AB19" w14:textId="77777777" w:rsidR="00515AD5" w:rsidRPr="002B2E9A" w:rsidRDefault="00442B81">
      <w:pPr>
        <w:rPr>
          <w:color w:val="000000" w:themeColor="text1"/>
        </w:rPr>
      </w:pPr>
      <w:r w:rsidRPr="002B2E9A">
        <w:rPr>
          <w:color w:val="000000" w:themeColor="text1"/>
        </w:rPr>
        <w:t xml:space="preserve">The ‘Skills’ of the employees play a significant role in the process of conducting the execution across the departments. These staff are further provided with the necessary training so that they can adjust to the working policies and adapt to the digital tools </w:t>
      </w:r>
      <w:r w:rsidRPr="002B2E9A">
        <w:rPr>
          <w:color w:val="000000" w:themeColor="text1"/>
          <w:highlight w:val="white"/>
        </w:rPr>
        <w:t>(Pulido and Taherdoost, 2023)</w:t>
      </w:r>
      <w:r w:rsidRPr="002B2E9A">
        <w:rPr>
          <w:color w:val="000000" w:themeColor="text1"/>
        </w:rPr>
        <w:t xml:space="preserve">. This also increases the scope of modification to the digital developments that are present across </w:t>
      </w:r>
      <w:r w:rsidRPr="002B2E9A">
        <w:rPr>
          <w:color w:val="000000" w:themeColor="text1"/>
        </w:rPr>
        <w:lastRenderedPageBreak/>
        <w:t xml:space="preserve">the market environment. Collaboration, growth and development are the key principles of the leadership ‘Style’ which is followed by the organisation. This ensures that the staff can collaborate to achieve the common goals </w:t>
      </w:r>
      <w:r w:rsidRPr="002B2E9A">
        <w:rPr>
          <w:color w:val="000000" w:themeColor="text1"/>
          <w:highlight w:val="white"/>
        </w:rPr>
        <w:t>(</w:t>
      </w:r>
      <w:proofErr w:type="spellStart"/>
      <w:r w:rsidRPr="002B2E9A">
        <w:rPr>
          <w:color w:val="000000" w:themeColor="text1"/>
          <w:highlight w:val="white"/>
        </w:rPr>
        <w:t>Warudkar</w:t>
      </w:r>
      <w:proofErr w:type="spellEnd"/>
      <w:r w:rsidRPr="002B2E9A">
        <w:rPr>
          <w:color w:val="000000" w:themeColor="text1"/>
          <w:highlight w:val="white"/>
        </w:rPr>
        <w:t>, 2026)</w:t>
      </w:r>
      <w:r w:rsidRPr="002B2E9A">
        <w:rPr>
          <w:color w:val="000000" w:themeColor="text1"/>
        </w:rPr>
        <w:t xml:space="preserve">. The application of this collaborative strategy further allows the personnel to adjust to all the changing market demands to optimise their performance accordingly. The workforce of the company is segregated across multiple departments that allow them to perform their duties in an efficient manner, depending upon their experiences and skills </w:t>
      </w:r>
      <w:r w:rsidRPr="002B2E9A">
        <w:rPr>
          <w:color w:val="000000" w:themeColor="text1"/>
          <w:highlight w:val="white"/>
        </w:rPr>
        <w:t>(Thomas, 2025)</w:t>
      </w:r>
      <w:r w:rsidRPr="002B2E9A">
        <w:rPr>
          <w:color w:val="000000" w:themeColor="text1"/>
        </w:rPr>
        <w:t xml:space="preserve">. Based on the requirements, this ‘Staff’ is channelised as per the market demands to adjust to the ongoing digital adaptations. Thus, the company has been able to bring forward the necessary changes to keep the processes prolonged to attain the goals and objectives. </w:t>
      </w:r>
    </w:p>
    <w:p w14:paraId="343E95AE" w14:textId="77777777" w:rsidR="00515AD5" w:rsidRPr="002B2E9A" w:rsidRDefault="00442B81">
      <w:pPr>
        <w:pStyle w:val="Heading1"/>
        <w:rPr>
          <w:color w:val="000000" w:themeColor="text1"/>
        </w:rPr>
      </w:pPr>
      <w:bookmarkStart w:id="10" w:name="_Toc223027322"/>
      <w:r w:rsidRPr="002B2E9A">
        <w:rPr>
          <w:color w:val="000000" w:themeColor="text1"/>
        </w:rPr>
        <w:t>Role of leadership and organisational culture in the change</w:t>
      </w:r>
      <w:bookmarkEnd w:id="10"/>
    </w:p>
    <w:p w14:paraId="60010582" w14:textId="77777777" w:rsidR="00515AD5" w:rsidRPr="002B2E9A" w:rsidRDefault="00442B81">
      <w:pPr>
        <w:pStyle w:val="Heading2"/>
        <w:rPr>
          <w:color w:val="000000" w:themeColor="text1"/>
        </w:rPr>
      </w:pPr>
      <w:bookmarkStart w:id="11" w:name="_Toc223027323"/>
      <w:r w:rsidRPr="002B2E9A">
        <w:rPr>
          <w:color w:val="000000" w:themeColor="text1"/>
        </w:rPr>
        <w:t>Leadership style followed by the organisation</w:t>
      </w:r>
      <w:bookmarkEnd w:id="11"/>
      <w:r w:rsidRPr="002B2E9A">
        <w:rPr>
          <w:color w:val="000000" w:themeColor="text1"/>
        </w:rPr>
        <w:t xml:space="preserve"> </w:t>
      </w:r>
    </w:p>
    <w:p w14:paraId="223D2924" w14:textId="77777777" w:rsidR="00515AD5" w:rsidRPr="002B2E9A" w:rsidRDefault="00442B81">
      <w:pPr>
        <w:rPr>
          <w:color w:val="000000" w:themeColor="text1"/>
        </w:rPr>
      </w:pPr>
      <w:r w:rsidRPr="002B2E9A">
        <w:rPr>
          <w:color w:val="000000" w:themeColor="text1"/>
        </w:rPr>
        <w:t xml:space="preserve">Shell Plc follows a transformative leadership practice which influences the range of operations conducted within the organisation. The Chief Executive Officer (CEO) of the firm is Wael Sawan, and the non-executive chairperson is Sir Andrew Mackenzie (Shell, 2026i). These individuals are the key members of the Board of Directors, who ensure that the organisation can comply with all the policies as per the global shifts and market requirements. The company tries to leverage its existing policies as per the latest trends in the business areas to meet the growth principles and ensure that the long-term competitive edge is maintained. </w:t>
      </w:r>
    </w:p>
    <w:bookmarkStart w:id="12" w:name="_Toc223027324"/>
    <w:p w14:paraId="1F60068C" w14:textId="77777777" w:rsidR="00515AD5" w:rsidRPr="002B2E9A" w:rsidRDefault="001C7E3F">
      <w:pPr>
        <w:pStyle w:val="Heading2"/>
        <w:rPr>
          <w:color w:val="000000" w:themeColor="text1"/>
        </w:rPr>
      </w:pPr>
      <w:sdt>
        <w:sdtPr>
          <w:rPr>
            <w:color w:val="000000" w:themeColor="text1"/>
          </w:rPr>
          <w:tag w:val="goog_rdk_4"/>
          <w:id w:val="1641239213"/>
        </w:sdtPr>
        <w:sdtEndPr/>
        <w:sdtContent/>
      </w:sdt>
      <w:r w:rsidR="00442B81" w:rsidRPr="002B2E9A">
        <w:rPr>
          <w:color w:val="000000" w:themeColor="text1"/>
        </w:rPr>
        <w:t>Implementation of a definite leadership practice</w:t>
      </w:r>
      <w:bookmarkEnd w:id="12"/>
    </w:p>
    <w:p w14:paraId="7A581A3E" w14:textId="7A928920" w:rsidR="00515AD5" w:rsidRPr="002B2E9A" w:rsidRDefault="00442B81">
      <w:pPr>
        <w:rPr>
          <w:color w:val="000000" w:themeColor="text1"/>
        </w:rPr>
      </w:pPr>
      <w:r w:rsidRPr="002B2E9A">
        <w:rPr>
          <w:color w:val="000000" w:themeColor="text1"/>
        </w:rPr>
        <w:t xml:space="preserve">The ‘Transformational Leadership’ practice is one of the crucial frameworks that determines the application of the unique behavioural style by the leaders to motivate the staff. This allows for influencing the staff so that they can demonstrate their optimum working efficiency, along with taking part in innovation and organisational transformation </w:t>
      </w:r>
      <w:r w:rsidRPr="002B2E9A">
        <w:rPr>
          <w:color w:val="000000" w:themeColor="text1"/>
          <w:highlight w:val="white"/>
        </w:rPr>
        <w:t>(Eaton, Bridgman and Cummings, 2024)</w:t>
      </w:r>
      <w:r w:rsidRPr="002B2E9A">
        <w:rPr>
          <w:color w:val="000000" w:themeColor="text1"/>
        </w:rPr>
        <w:t xml:space="preserve">. The leaders of Shell Plc determine the trends which are present across the business environment to analyse the overall performance. This facilitates the process of assessing the gaps present within the operational framework, due to which the performance could be hampered. </w:t>
      </w:r>
      <w:sdt>
        <w:sdtPr>
          <w:rPr>
            <w:color w:val="000000" w:themeColor="text1"/>
          </w:rPr>
          <w:tag w:val="goog_rdk_5"/>
          <w:id w:val="357884933"/>
        </w:sdtPr>
        <w:sdtEndPr/>
        <w:sdtContent/>
      </w:sdt>
      <w:r w:rsidRPr="002B2E9A">
        <w:rPr>
          <w:color w:val="000000" w:themeColor="text1"/>
        </w:rPr>
        <w:t xml:space="preserve">The application of these processes has further supported the firm in shifting towards Liquefied Natural Gas (LNG) to grow sales by 4-5% per annum by 2030 (Shell, 2026j). Additionally, the growth in the top-line production across the combined streams has been promoted to produce 1.4 million barrels per day by 2030 with lower carbon intensity (Shell, 2026j). This has been incorporated to support the operations of the enterprise to accept the shifting demands of sustainability and meet the policies of the governmental regulations. </w:t>
      </w:r>
      <w:r w:rsidRPr="002B2E9A">
        <w:rPr>
          <w:color w:val="000000" w:themeColor="text1"/>
        </w:rPr>
        <w:lastRenderedPageBreak/>
        <w:t xml:space="preserve">Furthermore, by means of these transformative processes, the company can increase its efficiency to meet the global trends and bring forward the necessary changes across its working policies. Training is provided by the organisation using realistic scenarios so that the employees </w:t>
      </w:r>
      <w:proofErr w:type="gramStart"/>
      <w:r w:rsidRPr="002B2E9A">
        <w:rPr>
          <w:color w:val="000000" w:themeColor="text1"/>
        </w:rPr>
        <w:t>are able to</w:t>
      </w:r>
      <w:proofErr w:type="gramEnd"/>
      <w:r w:rsidRPr="002B2E9A">
        <w:rPr>
          <w:color w:val="000000" w:themeColor="text1"/>
        </w:rPr>
        <w:t xml:space="preserve"> have hands-on experience across the real working situations. This has supported them in adjusting to the international working requirements (Shell, 2026g). Hence, the recalibration to the digital tools and the shifting trends related to sustainability are ensured from a business perspective to attain success </w:t>
      </w:r>
      <w:r w:rsidRPr="002B2E9A">
        <w:rPr>
          <w:color w:val="000000" w:themeColor="text1"/>
          <w:highlight w:val="white"/>
        </w:rPr>
        <w:t xml:space="preserve">(Huang </w:t>
      </w:r>
      <w:r w:rsidRPr="002B2E9A">
        <w:rPr>
          <w:i/>
          <w:iCs/>
          <w:color w:val="000000" w:themeColor="text1"/>
          <w:highlight w:val="white"/>
        </w:rPr>
        <w:t xml:space="preserve">et al., </w:t>
      </w:r>
      <w:r w:rsidRPr="002B2E9A">
        <w:rPr>
          <w:color w:val="000000" w:themeColor="text1"/>
          <w:highlight w:val="white"/>
        </w:rPr>
        <w:t>2023)</w:t>
      </w:r>
      <w:r w:rsidRPr="002B2E9A">
        <w:rPr>
          <w:color w:val="000000" w:themeColor="text1"/>
        </w:rPr>
        <w:t xml:space="preserve">. These are the ways through which these changes are implemented to ensure the adaptive capability to maintain a long-term strategic differentiator. However, the application of the transformational leadership style often creates pressure on the </w:t>
      </w:r>
      <w:r w:rsidR="002B2E9A" w:rsidRPr="002B2E9A">
        <w:rPr>
          <w:color w:val="000000" w:themeColor="text1"/>
        </w:rPr>
        <w:t>employees,</w:t>
      </w:r>
      <w:r w:rsidRPr="002B2E9A">
        <w:rPr>
          <w:color w:val="000000" w:themeColor="text1"/>
        </w:rPr>
        <w:t xml:space="preserve"> and they </w:t>
      </w:r>
      <w:proofErr w:type="gramStart"/>
      <w:r w:rsidRPr="002B2E9A">
        <w:rPr>
          <w:color w:val="000000" w:themeColor="text1"/>
        </w:rPr>
        <w:t>are not able to</w:t>
      </w:r>
      <w:proofErr w:type="gramEnd"/>
      <w:r w:rsidRPr="002B2E9A">
        <w:rPr>
          <w:color w:val="000000" w:themeColor="text1"/>
        </w:rPr>
        <w:t xml:space="preserve"> adjust to the constantly changing working scenarios. This further reduces the capability of the staff to adjust to the transformed working conditions established within the organisation </w:t>
      </w:r>
      <w:r w:rsidRPr="002B2E9A">
        <w:rPr>
          <w:color w:val="000000" w:themeColor="text1"/>
          <w:highlight w:val="white"/>
        </w:rPr>
        <w:t>(Hoque, 2025)</w:t>
      </w:r>
      <w:r w:rsidRPr="002B2E9A">
        <w:rPr>
          <w:color w:val="000000" w:themeColor="text1"/>
        </w:rPr>
        <w:t xml:space="preserve">. These ongoing adaptations to the business environment create a situation of burnout among the employees. These are the major shortcomings which are faced by organisations during the incorporation of this </w:t>
      </w:r>
      <w:r w:rsidR="002B2E9A" w:rsidRPr="002B2E9A">
        <w:rPr>
          <w:color w:val="000000" w:themeColor="text1"/>
        </w:rPr>
        <w:t>framework,</w:t>
      </w:r>
      <w:r w:rsidRPr="002B2E9A">
        <w:rPr>
          <w:color w:val="000000" w:themeColor="text1"/>
        </w:rPr>
        <w:t xml:space="preserve"> and it leads </w:t>
      </w:r>
      <w:proofErr w:type="spellStart"/>
      <w:r w:rsidRPr="002B2E9A">
        <w:rPr>
          <w:color w:val="000000" w:themeColor="text1"/>
        </w:rPr>
        <w:t>ot</w:t>
      </w:r>
      <w:proofErr w:type="spellEnd"/>
      <w:r w:rsidRPr="002B2E9A">
        <w:rPr>
          <w:color w:val="000000" w:themeColor="text1"/>
        </w:rPr>
        <w:t xml:space="preserve"> the development of issues in terms of staff retention process. </w:t>
      </w:r>
    </w:p>
    <w:p w14:paraId="40DB65E8" w14:textId="77777777" w:rsidR="00515AD5" w:rsidRPr="002B2E9A" w:rsidRDefault="00442B81">
      <w:pPr>
        <w:pStyle w:val="Heading2"/>
        <w:rPr>
          <w:color w:val="000000" w:themeColor="text1"/>
        </w:rPr>
      </w:pPr>
      <w:bookmarkStart w:id="13" w:name="_Toc223027325"/>
      <w:r w:rsidRPr="002B2E9A">
        <w:rPr>
          <w:color w:val="000000" w:themeColor="text1"/>
        </w:rPr>
        <w:t>Role of organisational culture</w:t>
      </w:r>
      <w:bookmarkEnd w:id="13"/>
    </w:p>
    <w:p w14:paraId="3BE1563D" w14:textId="77777777" w:rsidR="00515AD5" w:rsidRPr="002B2E9A" w:rsidRDefault="00442B81">
      <w:pPr>
        <w:rPr>
          <w:b/>
          <w:bCs/>
          <w:color w:val="000000" w:themeColor="text1"/>
        </w:rPr>
      </w:pPr>
      <w:r w:rsidRPr="002B2E9A">
        <w:rPr>
          <w:b/>
          <w:bCs/>
          <w:color w:val="000000" w:themeColor="text1"/>
        </w:rPr>
        <w:t>Supporting and resisting the change</w:t>
      </w:r>
    </w:p>
    <w:p w14:paraId="4EB63DA6" w14:textId="383CE3A9" w:rsidR="00515AD5" w:rsidRPr="002B2E9A" w:rsidRDefault="00442B81">
      <w:pPr>
        <w:rPr>
          <w:color w:val="000000" w:themeColor="text1"/>
        </w:rPr>
      </w:pPr>
      <w:r w:rsidRPr="002B2E9A">
        <w:rPr>
          <w:color w:val="000000" w:themeColor="text1"/>
        </w:rPr>
        <w:t xml:space="preserve">The culture which is followed within an organisational scenario determines the presence of unwritten rules and regulations that influence the working patterns of the workforce. This also influences the level of </w:t>
      </w:r>
      <w:r w:rsidR="002B2E9A" w:rsidRPr="002B2E9A">
        <w:rPr>
          <w:color w:val="000000" w:themeColor="text1"/>
        </w:rPr>
        <w:t>motivation which</w:t>
      </w:r>
      <w:r w:rsidRPr="002B2E9A">
        <w:rPr>
          <w:color w:val="000000" w:themeColor="text1"/>
        </w:rPr>
        <w:t xml:space="preserve"> is gained by all the workers to ensure that they reflect higher work potential </w:t>
      </w:r>
      <w:r w:rsidRPr="002B2E9A">
        <w:rPr>
          <w:color w:val="000000" w:themeColor="text1"/>
          <w:highlight w:val="white"/>
        </w:rPr>
        <w:t>(Williams, 2022)</w:t>
      </w:r>
      <w:r w:rsidRPr="002B2E9A">
        <w:rPr>
          <w:color w:val="000000" w:themeColor="text1"/>
        </w:rPr>
        <w:t xml:space="preserve">. The application of a cooperative and supportive culture allows the personnel to adapt to the changing patterns with the aid of proper guidance from the managers and leaders. This ensures the process of incorporating the necessary changes within the business framework to meet the goals. Additionally, a growth and career advancement mentality is fostered through an effective culture </w:t>
      </w:r>
      <w:r w:rsidRPr="002B2E9A">
        <w:rPr>
          <w:color w:val="000000" w:themeColor="text1"/>
          <w:highlight w:val="white"/>
        </w:rPr>
        <w:t>(</w:t>
      </w:r>
      <w:proofErr w:type="spellStart"/>
      <w:r w:rsidRPr="002B2E9A">
        <w:rPr>
          <w:color w:val="000000" w:themeColor="text1"/>
          <w:highlight w:val="white"/>
        </w:rPr>
        <w:t>Nzuva</w:t>
      </w:r>
      <w:proofErr w:type="spellEnd"/>
      <w:r w:rsidRPr="002B2E9A">
        <w:rPr>
          <w:color w:val="000000" w:themeColor="text1"/>
          <w:highlight w:val="white"/>
        </w:rPr>
        <w:t xml:space="preserve"> and Mwende Kimanzi, 2022)</w:t>
      </w:r>
      <w:r w:rsidRPr="002B2E9A">
        <w:rPr>
          <w:color w:val="000000" w:themeColor="text1"/>
        </w:rPr>
        <w:t>. These practices support implementing the necessary adjustments in the business framework to integrate the changes which are essential for growth and development.</w:t>
      </w:r>
    </w:p>
    <w:p w14:paraId="4067DAD4" w14:textId="77777777" w:rsidR="00515AD5" w:rsidRPr="002B2E9A" w:rsidRDefault="00442B81">
      <w:pPr>
        <w:rPr>
          <w:color w:val="000000" w:themeColor="text1"/>
        </w:rPr>
      </w:pPr>
      <w:r w:rsidRPr="002B2E9A">
        <w:rPr>
          <w:color w:val="000000" w:themeColor="text1"/>
        </w:rPr>
        <w:t xml:space="preserve">On the other hand, the lack of a supportive culture within the organisational framework reduces the capability to accept the alteration. These affect the efficiency of the firm in meeting the requirements for establishing the updated working process. Therefore, the growth is also affected by this measure, which reduces the scope of attaining the business objectives </w:t>
      </w:r>
      <w:r w:rsidRPr="002B2E9A">
        <w:rPr>
          <w:color w:val="000000" w:themeColor="text1"/>
          <w:highlight w:val="white"/>
        </w:rPr>
        <w:t>(Brandes and Lai, 2022)</w:t>
      </w:r>
      <w:r w:rsidRPr="002B2E9A">
        <w:rPr>
          <w:color w:val="000000" w:themeColor="text1"/>
        </w:rPr>
        <w:t xml:space="preserve">. Due to all these reasons, the culture of a workplace represents the level of motivation and the types of changes that need to be carried forward. Hence, the application of </w:t>
      </w:r>
      <w:r w:rsidRPr="002B2E9A">
        <w:rPr>
          <w:color w:val="000000" w:themeColor="text1"/>
        </w:rPr>
        <w:lastRenderedPageBreak/>
        <w:t xml:space="preserve">a supportive culture is essential in this regard to ensure that the changes are incorporated in the companies for attaining long-term growth and sustainability. </w:t>
      </w:r>
    </w:p>
    <w:p w14:paraId="6B42C277" w14:textId="77777777" w:rsidR="00515AD5" w:rsidRPr="002B2E9A" w:rsidRDefault="00442B81">
      <w:pPr>
        <w:pStyle w:val="Heading2"/>
        <w:rPr>
          <w:color w:val="000000" w:themeColor="text1"/>
        </w:rPr>
      </w:pPr>
      <w:bookmarkStart w:id="14" w:name="_Toc223027326"/>
      <w:r w:rsidRPr="002B2E9A">
        <w:rPr>
          <w:color w:val="000000" w:themeColor="text1"/>
        </w:rPr>
        <w:t>Application from a business perspective</w:t>
      </w:r>
      <w:bookmarkEnd w:id="14"/>
    </w:p>
    <w:p w14:paraId="7B2B4C0F" w14:textId="77777777" w:rsidR="00515AD5" w:rsidRPr="002B2E9A" w:rsidRDefault="00442B81">
      <w:pPr>
        <w:rPr>
          <w:color w:val="000000" w:themeColor="text1"/>
        </w:rPr>
      </w:pPr>
      <w:r w:rsidRPr="002B2E9A">
        <w:rPr>
          <w:color w:val="000000" w:themeColor="text1"/>
        </w:rPr>
        <w:t xml:space="preserve">Maintaining the core principles of honesty, respect for all, and integrity are the key concepts of the culture followed by Shell Plc. Complying with these principles has enabled the corporation to implement a collaborative approach to ensure that adequate motivation is delivered to the staff. Thus, they have been able to respond positively towards all the changes that have been assimilated within the business framework. The application of AR and VR technologies for training has been used proactively in this regard to ensure the upgradation of the staff knowledge (Shell, 2026g). Moreover, the establishment of the protocols for harnessing the renewable energy resources has also been supported by the employees. These have been influenced by providing adequate motivation by the leaders to assist workers with the scope to identify the future courses of development. The core principles of honesty, respect and integrity further strengthen the process of developing a supportive and cooperative environment (Shell, 2026h). This further widened the acceptance for a change implementation process for adjusting to the digital growth, governmental and environmental regulations. </w:t>
      </w:r>
    </w:p>
    <w:p w14:paraId="4711CCF7" w14:textId="77777777" w:rsidR="00515AD5" w:rsidRPr="002B2E9A" w:rsidRDefault="00442B81">
      <w:pPr>
        <w:pStyle w:val="Heading1"/>
        <w:rPr>
          <w:color w:val="000000" w:themeColor="text1"/>
        </w:rPr>
      </w:pPr>
      <w:bookmarkStart w:id="15" w:name="_Toc223027327"/>
      <w:r w:rsidRPr="002B2E9A">
        <w:rPr>
          <w:color w:val="000000" w:themeColor="text1"/>
        </w:rPr>
        <w:t>Development of a suitable change management plan</w:t>
      </w:r>
      <w:bookmarkEnd w:id="15"/>
    </w:p>
    <w:p w14:paraId="10F100C4" w14:textId="77777777" w:rsidR="00515AD5" w:rsidRPr="002B2E9A" w:rsidRDefault="00442B81">
      <w:pPr>
        <w:pStyle w:val="Heading2"/>
        <w:rPr>
          <w:color w:val="000000" w:themeColor="text1"/>
        </w:rPr>
      </w:pPr>
      <w:bookmarkStart w:id="16" w:name="_Toc223027328"/>
      <w:r w:rsidRPr="002B2E9A">
        <w:rPr>
          <w:color w:val="000000" w:themeColor="text1"/>
        </w:rPr>
        <w:t>Suggestion of a clear organisational change</w:t>
      </w:r>
      <w:bookmarkEnd w:id="16"/>
    </w:p>
    <w:p w14:paraId="08B71B4D" w14:textId="77777777" w:rsidR="00515AD5" w:rsidRPr="002B2E9A" w:rsidRDefault="00442B81">
      <w:pPr>
        <w:rPr>
          <w:color w:val="000000" w:themeColor="text1"/>
        </w:rPr>
      </w:pPr>
      <w:r w:rsidRPr="002B2E9A">
        <w:rPr>
          <w:color w:val="000000" w:themeColor="text1"/>
        </w:rPr>
        <w:t xml:space="preserve">Shell Plc needs to strategically manage the process of implementing the AI-based work monitoring platforms to ensure that the productivity rate is improved. Additionally, a personal service chain network must be developed for selling the products with the help of third parties such as Amazon and eBay. This will allow for tracking down the availability of the duplicate products to avoid imitation and ameliorate business performance. These processes must be amalgamated by the company to ensure that the efficiency across the operations can be maintained in the future. </w:t>
      </w:r>
    </w:p>
    <w:p w14:paraId="739F0002" w14:textId="77777777" w:rsidR="00515AD5" w:rsidRPr="002B2E9A" w:rsidRDefault="00442B81">
      <w:pPr>
        <w:rPr>
          <w:b/>
          <w:bCs/>
          <w:color w:val="000000" w:themeColor="text1"/>
        </w:rPr>
      </w:pPr>
      <w:r w:rsidRPr="002B2E9A">
        <w:rPr>
          <w:b/>
          <w:bCs/>
          <w:color w:val="000000" w:themeColor="text1"/>
        </w:rPr>
        <w:t>SMART Objectives</w:t>
      </w:r>
    </w:p>
    <w:p w14:paraId="35D03EEB" w14:textId="77777777" w:rsidR="00515AD5" w:rsidRPr="002B2E9A" w:rsidRDefault="00442B81">
      <w:pPr>
        <w:numPr>
          <w:ilvl w:val="0"/>
          <w:numId w:val="1"/>
        </w:numPr>
        <w:rPr>
          <w:color w:val="000000" w:themeColor="text1"/>
        </w:rPr>
      </w:pPr>
      <w:r w:rsidRPr="002B2E9A">
        <w:rPr>
          <w:color w:val="000000" w:themeColor="text1"/>
        </w:rPr>
        <w:t xml:space="preserve">The organisation must focus on the adoption of AI-based supervision systems to track the work process for developing employee productivity by 10% within the next 5 months. </w:t>
      </w:r>
    </w:p>
    <w:p w14:paraId="110A9052" w14:textId="77777777" w:rsidR="00515AD5" w:rsidRPr="002B2E9A" w:rsidRDefault="00442B81">
      <w:pPr>
        <w:numPr>
          <w:ilvl w:val="0"/>
          <w:numId w:val="1"/>
        </w:numPr>
        <w:rPr>
          <w:color w:val="000000" w:themeColor="text1"/>
        </w:rPr>
      </w:pPr>
      <w:r w:rsidRPr="002B2E9A">
        <w:rPr>
          <w:color w:val="000000" w:themeColor="text1"/>
        </w:rPr>
        <w:t>The establishment of brand partnerships with the official supply chain network must be conducted to improve sales figures by 15% within the next 10 months by reducing the presence of product duplication.</w:t>
      </w:r>
    </w:p>
    <w:p w14:paraId="5D4F502F" w14:textId="77777777" w:rsidR="00515AD5" w:rsidRPr="002B2E9A" w:rsidRDefault="00442B81">
      <w:pPr>
        <w:numPr>
          <w:ilvl w:val="0"/>
          <w:numId w:val="1"/>
        </w:numPr>
        <w:rPr>
          <w:color w:val="000000" w:themeColor="text1"/>
        </w:rPr>
      </w:pPr>
      <w:r w:rsidRPr="002B2E9A">
        <w:rPr>
          <w:color w:val="000000" w:themeColor="text1"/>
        </w:rPr>
        <w:lastRenderedPageBreak/>
        <w:t xml:space="preserve">Shell Plc must focus on enhancing the training process to allow the workers to utilise digital tools to increase productivity by 10% within the next 6 months. </w:t>
      </w:r>
    </w:p>
    <w:tbl>
      <w:tblPr>
        <w:tblStyle w:val="af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C1A03" w:rsidRPr="002B2E9A" w14:paraId="4C537E41" w14:textId="77777777">
        <w:tc>
          <w:tcPr>
            <w:tcW w:w="2258" w:type="dxa"/>
            <w:shd w:val="clear" w:color="auto" w:fill="FFE599"/>
            <w:tcMar>
              <w:top w:w="100" w:type="dxa"/>
              <w:left w:w="100" w:type="dxa"/>
              <w:bottom w:w="100" w:type="dxa"/>
              <w:right w:w="100" w:type="dxa"/>
            </w:tcMar>
          </w:tcPr>
          <w:p w14:paraId="46C41655"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Goals</w:t>
            </w:r>
          </w:p>
        </w:tc>
        <w:tc>
          <w:tcPr>
            <w:tcW w:w="2257" w:type="dxa"/>
            <w:shd w:val="clear" w:color="auto" w:fill="FFE599"/>
            <w:tcMar>
              <w:top w:w="100" w:type="dxa"/>
              <w:left w:w="100" w:type="dxa"/>
              <w:bottom w:w="100" w:type="dxa"/>
              <w:right w:w="100" w:type="dxa"/>
            </w:tcMar>
          </w:tcPr>
          <w:p w14:paraId="6B998CFF"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Ways to Achieve</w:t>
            </w:r>
          </w:p>
        </w:tc>
        <w:tc>
          <w:tcPr>
            <w:tcW w:w="2257" w:type="dxa"/>
            <w:shd w:val="clear" w:color="auto" w:fill="FFE599"/>
            <w:tcMar>
              <w:top w:w="100" w:type="dxa"/>
              <w:left w:w="100" w:type="dxa"/>
              <w:bottom w:w="100" w:type="dxa"/>
              <w:right w:w="100" w:type="dxa"/>
            </w:tcMar>
          </w:tcPr>
          <w:p w14:paraId="7CC315D5"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Resources Required</w:t>
            </w:r>
          </w:p>
        </w:tc>
        <w:tc>
          <w:tcPr>
            <w:tcW w:w="2257" w:type="dxa"/>
            <w:shd w:val="clear" w:color="auto" w:fill="FFE599"/>
            <w:tcMar>
              <w:top w:w="100" w:type="dxa"/>
              <w:left w:w="100" w:type="dxa"/>
              <w:bottom w:w="100" w:type="dxa"/>
              <w:right w:w="100" w:type="dxa"/>
            </w:tcMar>
          </w:tcPr>
          <w:p w14:paraId="63298EAD"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Time Limit</w:t>
            </w:r>
          </w:p>
        </w:tc>
      </w:tr>
      <w:tr w:rsidR="003C1A03" w:rsidRPr="002B2E9A" w14:paraId="212F1A08" w14:textId="77777777">
        <w:tc>
          <w:tcPr>
            <w:tcW w:w="2258" w:type="dxa"/>
            <w:shd w:val="clear" w:color="auto" w:fill="B6D7A8"/>
            <w:tcMar>
              <w:top w:w="100" w:type="dxa"/>
              <w:left w:w="100" w:type="dxa"/>
              <w:bottom w:w="100" w:type="dxa"/>
              <w:right w:w="100" w:type="dxa"/>
            </w:tcMar>
          </w:tcPr>
          <w:p w14:paraId="3A1F63AC"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AI-based supervision systems</w:t>
            </w:r>
          </w:p>
        </w:tc>
        <w:tc>
          <w:tcPr>
            <w:tcW w:w="2257" w:type="dxa"/>
            <w:shd w:val="clear" w:color="auto" w:fill="B6D7A8"/>
            <w:tcMar>
              <w:top w:w="100" w:type="dxa"/>
              <w:left w:w="100" w:type="dxa"/>
              <w:bottom w:w="100" w:type="dxa"/>
              <w:right w:w="100" w:type="dxa"/>
            </w:tcMar>
          </w:tcPr>
          <w:p w14:paraId="613F9214"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The AI-based supervision systems, such as insights, logs and databases, must be applied by the company to track the progress of the employees (Jangam and Karri, 2022).</w:t>
            </w:r>
          </w:p>
        </w:tc>
        <w:tc>
          <w:tcPr>
            <w:tcW w:w="2257" w:type="dxa"/>
            <w:shd w:val="clear" w:color="auto" w:fill="B6D7A8"/>
            <w:tcMar>
              <w:top w:w="100" w:type="dxa"/>
              <w:left w:w="100" w:type="dxa"/>
              <w:bottom w:w="100" w:type="dxa"/>
              <w:right w:w="100" w:type="dxa"/>
            </w:tcMar>
          </w:tcPr>
          <w:p w14:paraId="5ED3E5E0"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Artificial intelligence platforms, as well as Google Analytics and database management systems, must be used in this regard (</w:t>
            </w:r>
            <w:proofErr w:type="spellStart"/>
            <w:r w:rsidRPr="002B2E9A">
              <w:rPr>
                <w:color w:val="000000" w:themeColor="text1"/>
              </w:rPr>
              <w:t>Developers.Google</w:t>
            </w:r>
            <w:proofErr w:type="spellEnd"/>
            <w:r w:rsidRPr="002B2E9A">
              <w:rPr>
                <w:color w:val="000000" w:themeColor="text1"/>
              </w:rPr>
              <w:t>, 2026).</w:t>
            </w:r>
          </w:p>
        </w:tc>
        <w:tc>
          <w:tcPr>
            <w:tcW w:w="2257" w:type="dxa"/>
            <w:shd w:val="clear" w:color="auto" w:fill="B6D7A8"/>
            <w:tcMar>
              <w:top w:w="100" w:type="dxa"/>
              <w:left w:w="100" w:type="dxa"/>
              <w:bottom w:w="100" w:type="dxa"/>
              <w:right w:w="100" w:type="dxa"/>
            </w:tcMar>
          </w:tcPr>
          <w:p w14:paraId="0226AFB3"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5 months. </w:t>
            </w:r>
          </w:p>
        </w:tc>
      </w:tr>
      <w:tr w:rsidR="003C1A03" w:rsidRPr="002B2E9A" w14:paraId="32AF501A" w14:textId="77777777">
        <w:tc>
          <w:tcPr>
            <w:tcW w:w="2258" w:type="dxa"/>
            <w:shd w:val="clear" w:color="auto" w:fill="B6D7A8"/>
            <w:tcMar>
              <w:top w:w="100" w:type="dxa"/>
              <w:left w:w="100" w:type="dxa"/>
              <w:bottom w:w="100" w:type="dxa"/>
              <w:right w:w="100" w:type="dxa"/>
            </w:tcMar>
          </w:tcPr>
          <w:p w14:paraId="27065AA2"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Brand partnerships with the official supply chain.</w:t>
            </w:r>
          </w:p>
        </w:tc>
        <w:tc>
          <w:tcPr>
            <w:tcW w:w="2257" w:type="dxa"/>
            <w:shd w:val="clear" w:color="auto" w:fill="B6D7A8"/>
            <w:tcMar>
              <w:top w:w="100" w:type="dxa"/>
              <w:left w:w="100" w:type="dxa"/>
              <w:bottom w:w="100" w:type="dxa"/>
              <w:right w:w="100" w:type="dxa"/>
            </w:tcMar>
          </w:tcPr>
          <w:p w14:paraId="39CFCC66"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Partnerships must be formed with the third-party suppliers of Shell products to track down the duplicate items. </w:t>
            </w:r>
          </w:p>
        </w:tc>
        <w:tc>
          <w:tcPr>
            <w:tcW w:w="2257" w:type="dxa"/>
            <w:shd w:val="clear" w:color="auto" w:fill="B6D7A8"/>
            <w:tcMar>
              <w:top w:w="100" w:type="dxa"/>
              <w:left w:w="100" w:type="dxa"/>
              <w:bottom w:w="100" w:type="dxa"/>
              <w:right w:w="100" w:type="dxa"/>
            </w:tcMar>
          </w:tcPr>
          <w:p w14:paraId="73E12CD5"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These collaborations must be formed with platforms such as Amazon and eBay to provide genuine services to the customers (Holloway, 2024). </w:t>
            </w:r>
          </w:p>
        </w:tc>
        <w:tc>
          <w:tcPr>
            <w:tcW w:w="2257" w:type="dxa"/>
            <w:shd w:val="clear" w:color="auto" w:fill="B6D7A8"/>
            <w:tcMar>
              <w:top w:w="100" w:type="dxa"/>
              <w:left w:w="100" w:type="dxa"/>
              <w:bottom w:w="100" w:type="dxa"/>
              <w:right w:w="100" w:type="dxa"/>
            </w:tcMar>
          </w:tcPr>
          <w:p w14:paraId="2081E808"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10 months.</w:t>
            </w:r>
          </w:p>
        </w:tc>
      </w:tr>
      <w:tr w:rsidR="003C1A03" w:rsidRPr="002B2E9A" w14:paraId="1BF779A2" w14:textId="77777777">
        <w:tc>
          <w:tcPr>
            <w:tcW w:w="2258" w:type="dxa"/>
            <w:shd w:val="clear" w:color="auto" w:fill="B6D7A8"/>
            <w:tcMar>
              <w:top w:w="100" w:type="dxa"/>
              <w:left w:w="100" w:type="dxa"/>
              <w:bottom w:w="100" w:type="dxa"/>
              <w:right w:w="100" w:type="dxa"/>
            </w:tcMar>
          </w:tcPr>
          <w:p w14:paraId="0AA0BD15"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Enhancement of the training process.</w:t>
            </w:r>
          </w:p>
        </w:tc>
        <w:tc>
          <w:tcPr>
            <w:tcW w:w="2257" w:type="dxa"/>
            <w:shd w:val="clear" w:color="auto" w:fill="B6D7A8"/>
            <w:tcMar>
              <w:top w:w="100" w:type="dxa"/>
              <w:left w:w="100" w:type="dxa"/>
              <w:bottom w:w="100" w:type="dxa"/>
              <w:right w:w="100" w:type="dxa"/>
            </w:tcMar>
          </w:tcPr>
          <w:p w14:paraId="5382749E"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Adaptation to digital tools must be improved among the staff members to develop their overall working capability. </w:t>
            </w:r>
          </w:p>
        </w:tc>
        <w:tc>
          <w:tcPr>
            <w:tcW w:w="2257" w:type="dxa"/>
            <w:shd w:val="clear" w:color="auto" w:fill="B6D7A8"/>
            <w:tcMar>
              <w:top w:w="100" w:type="dxa"/>
              <w:left w:w="100" w:type="dxa"/>
              <w:bottom w:w="100" w:type="dxa"/>
              <w:right w:w="100" w:type="dxa"/>
            </w:tcMar>
          </w:tcPr>
          <w:p w14:paraId="4EC0AEC2"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 xml:space="preserve">Workshops and skill enhancement programmes are required to upgrade the learning capabilities of the staff concerning the usage of digital tools and technologies (Mamaqi, 2023). </w:t>
            </w:r>
          </w:p>
        </w:tc>
        <w:tc>
          <w:tcPr>
            <w:tcW w:w="2257" w:type="dxa"/>
            <w:shd w:val="clear" w:color="auto" w:fill="B6D7A8"/>
            <w:tcMar>
              <w:top w:w="100" w:type="dxa"/>
              <w:left w:w="100" w:type="dxa"/>
              <w:bottom w:w="100" w:type="dxa"/>
              <w:right w:w="100" w:type="dxa"/>
            </w:tcMar>
          </w:tcPr>
          <w:p w14:paraId="50FD2EC1" w14:textId="77777777" w:rsidR="00515AD5" w:rsidRPr="002B2E9A" w:rsidRDefault="00442B81">
            <w:pPr>
              <w:widowControl w:val="0"/>
              <w:pBdr>
                <w:top w:val="nil"/>
                <w:left w:val="nil"/>
                <w:bottom w:val="nil"/>
                <w:right w:val="nil"/>
                <w:between w:val="nil"/>
              </w:pBdr>
              <w:rPr>
                <w:color w:val="000000" w:themeColor="text1"/>
              </w:rPr>
            </w:pPr>
            <w:r w:rsidRPr="002B2E9A">
              <w:rPr>
                <w:color w:val="000000" w:themeColor="text1"/>
              </w:rPr>
              <w:t>6 months.</w:t>
            </w:r>
          </w:p>
        </w:tc>
      </w:tr>
    </w:tbl>
    <w:p w14:paraId="0001F553" w14:textId="77777777" w:rsidR="00515AD5" w:rsidRPr="002B2E9A" w:rsidRDefault="00442B81">
      <w:pPr>
        <w:jc w:val="center"/>
        <w:rPr>
          <w:b/>
          <w:bCs/>
          <w:color w:val="000000" w:themeColor="text1"/>
        </w:rPr>
      </w:pPr>
      <w:r w:rsidRPr="002B2E9A">
        <w:rPr>
          <w:b/>
          <w:bCs/>
          <w:color w:val="000000" w:themeColor="text1"/>
        </w:rPr>
        <w:lastRenderedPageBreak/>
        <w:t>Table 4: Strategies to improve the performance of Shell Plc</w:t>
      </w:r>
    </w:p>
    <w:p w14:paraId="662D30D7" w14:textId="77777777" w:rsidR="00515AD5" w:rsidRPr="002B2E9A" w:rsidRDefault="00442B81">
      <w:pPr>
        <w:pStyle w:val="Heading2"/>
        <w:rPr>
          <w:color w:val="000000" w:themeColor="text1"/>
        </w:rPr>
      </w:pPr>
      <w:bookmarkStart w:id="17" w:name="_Toc223027329"/>
      <w:r w:rsidRPr="002B2E9A">
        <w:rPr>
          <w:color w:val="000000" w:themeColor="text1"/>
        </w:rPr>
        <w:t>Financial Plan</w:t>
      </w:r>
      <w:bookmarkEnd w:id="17"/>
    </w:p>
    <w:tbl>
      <w:tblPr>
        <w:tblStyle w:val="af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3C1A03" w:rsidRPr="002B2E9A" w14:paraId="720A93F1" w14:textId="77777777">
        <w:tc>
          <w:tcPr>
            <w:tcW w:w="4514" w:type="dxa"/>
            <w:shd w:val="clear" w:color="auto" w:fill="CFE2F3"/>
            <w:tcMar>
              <w:top w:w="100" w:type="dxa"/>
              <w:left w:w="100" w:type="dxa"/>
              <w:bottom w:w="100" w:type="dxa"/>
              <w:right w:w="100" w:type="dxa"/>
            </w:tcMar>
          </w:tcPr>
          <w:p w14:paraId="6EB79114"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Particulars</w:t>
            </w:r>
          </w:p>
        </w:tc>
        <w:tc>
          <w:tcPr>
            <w:tcW w:w="4515" w:type="dxa"/>
            <w:shd w:val="clear" w:color="auto" w:fill="CFE2F3"/>
            <w:tcMar>
              <w:top w:w="100" w:type="dxa"/>
              <w:left w:w="100" w:type="dxa"/>
              <w:bottom w:w="100" w:type="dxa"/>
              <w:right w:w="100" w:type="dxa"/>
            </w:tcMar>
          </w:tcPr>
          <w:p w14:paraId="1345A654"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Estimated Cost in £</w:t>
            </w:r>
          </w:p>
        </w:tc>
      </w:tr>
      <w:tr w:rsidR="003C1A03" w:rsidRPr="002B2E9A" w14:paraId="5361B89C" w14:textId="77777777">
        <w:tc>
          <w:tcPr>
            <w:tcW w:w="4514" w:type="dxa"/>
            <w:shd w:val="clear" w:color="auto" w:fill="CFE2F3"/>
            <w:tcMar>
              <w:top w:w="100" w:type="dxa"/>
              <w:left w:w="100" w:type="dxa"/>
              <w:bottom w:w="100" w:type="dxa"/>
              <w:right w:w="100" w:type="dxa"/>
            </w:tcMar>
          </w:tcPr>
          <w:p w14:paraId="1ADA83EE" w14:textId="77777777" w:rsidR="00515AD5" w:rsidRPr="002B2E9A" w:rsidRDefault="00442B81">
            <w:pPr>
              <w:widowControl w:val="0"/>
              <w:pBdr>
                <w:top w:val="nil"/>
                <w:left w:val="nil"/>
                <w:bottom w:val="nil"/>
                <w:right w:val="nil"/>
                <w:between w:val="nil"/>
              </w:pBdr>
              <w:jc w:val="center"/>
              <w:rPr>
                <w:color w:val="000000" w:themeColor="text1"/>
              </w:rPr>
            </w:pPr>
            <w:r w:rsidRPr="002B2E9A">
              <w:rPr>
                <w:color w:val="000000" w:themeColor="text1"/>
              </w:rPr>
              <w:t>Analytical Platforms</w:t>
            </w:r>
          </w:p>
        </w:tc>
        <w:tc>
          <w:tcPr>
            <w:tcW w:w="4515" w:type="dxa"/>
            <w:shd w:val="clear" w:color="auto" w:fill="CFE2F3"/>
            <w:tcMar>
              <w:top w:w="100" w:type="dxa"/>
              <w:left w:w="100" w:type="dxa"/>
              <w:bottom w:w="100" w:type="dxa"/>
              <w:right w:w="100" w:type="dxa"/>
            </w:tcMar>
          </w:tcPr>
          <w:p w14:paraId="4C041335" w14:textId="77777777" w:rsidR="00515AD5" w:rsidRPr="002B2E9A" w:rsidRDefault="00442B81">
            <w:pPr>
              <w:widowControl w:val="0"/>
              <w:pBdr>
                <w:top w:val="nil"/>
                <w:left w:val="nil"/>
                <w:bottom w:val="nil"/>
                <w:right w:val="nil"/>
                <w:between w:val="nil"/>
              </w:pBdr>
              <w:jc w:val="center"/>
              <w:rPr>
                <w:color w:val="000000" w:themeColor="text1"/>
              </w:rPr>
            </w:pPr>
            <w:r w:rsidRPr="002B2E9A">
              <w:rPr>
                <w:color w:val="000000" w:themeColor="text1"/>
              </w:rPr>
              <w:t>180,000</w:t>
            </w:r>
          </w:p>
        </w:tc>
      </w:tr>
      <w:tr w:rsidR="003C1A03" w:rsidRPr="002B2E9A" w14:paraId="52EFB7B5" w14:textId="77777777">
        <w:tc>
          <w:tcPr>
            <w:tcW w:w="4514" w:type="dxa"/>
            <w:shd w:val="clear" w:color="auto" w:fill="CFE2F3"/>
            <w:tcMar>
              <w:top w:w="100" w:type="dxa"/>
              <w:left w:w="100" w:type="dxa"/>
              <w:bottom w:w="100" w:type="dxa"/>
              <w:right w:w="100" w:type="dxa"/>
            </w:tcMar>
          </w:tcPr>
          <w:p w14:paraId="66F42923" w14:textId="77777777" w:rsidR="00515AD5" w:rsidRPr="002B2E9A" w:rsidRDefault="00442B81">
            <w:pPr>
              <w:widowControl w:val="0"/>
              <w:pBdr>
                <w:top w:val="nil"/>
                <w:left w:val="nil"/>
                <w:bottom w:val="nil"/>
                <w:right w:val="nil"/>
                <w:between w:val="nil"/>
              </w:pBdr>
              <w:jc w:val="center"/>
              <w:rPr>
                <w:color w:val="000000" w:themeColor="text1"/>
              </w:rPr>
            </w:pPr>
            <w:r w:rsidRPr="002B2E9A">
              <w:rPr>
                <w:color w:val="000000" w:themeColor="text1"/>
              </w:rPr>
              <w:t>Supply chain enhancement</w:t>
            </w:r>
          </w:p>
        </w:tc>
        <w:tc>
          <w:tcPr>
            <w:tcW w:w="4515" w:type="dxa"/>
            <w:shd w:val="clear" w:color="auto" w:fill="CFE2F3"/>
            <w:tcMar>
              <w:top w:w="100" w:type="dxa"/>
              <w:left w:w="100" w:type="dxa"/>
              <w:bottom w:w="100" w:type="dxa"/>
              <w:right w:w="100" w:type="dxa"/>
            </w:tcMar>
          </w:tcPr>
          <w:p w14:paraId="3FDB1635" w14:textId="77777777" w:rsidR="00515AD5" w:rsidRPr="002B2E9A" w:rsidRDefault="00442B81">
            <w:pPr>
              <w:widowControl w:val="0"/>
              <w:pBdr>
                <w:top w:val="nil"/>
                <w:left w:val="nil"/>
                <w:bottom w:val="nil"/>
                <w:right w:val="nil"/>
                <w:between w:val="nil"/>
              </w:pBdr>
              <w:jc w:val="center"/>
              <w:rPr>
                <w:color w:val="000000" w:themeColor="text1"/>
              </w:rPr>
            </w:pPr>
            <w:r w:rsidRPr="002B2E9A">
              <w:rPr>
                <w:color w:val="000000" w:themeColor="text1"/>
              </w:rPr>
              <w:t>230,000</w:t>
            </w:r>
          </w:p>
        </w:tc>
      </w:tr>
      <w:tr w:rsidR="003C1A03" w:rsidRPr="002B2E9A" w14:paraId="2B963A07" w14:textId="77777777">
        <w:tc>
          <w:tcPr>
            <w:tcW w:w="4514" w:type="dxa"/>
            <w:shd w:val="clear" w:color="auto" w:fill="CFE2F3"/>
            <w:tcMar>
              <w:top w:w="100" w:type="dxa"/>
              <w:left w:w="100" w:type="dxa"/>
              <w:bottom w:w="100" w:type="dxa"/>
              <w:right w:w="100" w:type="dxa"/>
            </w:tcMar>
          </w:tcPr>
          <w:p w14:paraId="51678D65" w14:textId="77777777" w:rsidR="00515AD5" w:rsidRPr="002B2E9A" w:rsidRDefault="00442B81">
            <w:pPr>
              <w:widowControl w:val="0"/>
              <w:pBdr>
                <w:top w:val="nil"/>
                <w:left w:val="nil"/>
                <w:bottom w:val="nil"/>
                <w:right w:val="nil"/>
                <w:between w:val="nil"/>
              </w:pBdr>
              <w:jc w:val="center"/>
              <w:rPr>
                <w:color w:val="000000" w:themeColor="text1"/>
              </w:rPr>
            </w:pPr>
            <w:r w:rsidRPr="002B2E9A">
              <w:rPr>
                <w:color w:val="000000" w:themeColor="text1"/>
              </w:rPr>
              <w:t>Application of the training process</w:t>
            </w:r>
          </w:p>
        </w:tc>
        <w:tc>
          <w:tcPr>
            <w:tcW w:w="4515" w:type="dxa"/>
            <w:shd w:val="clear" w:color="auto" w:fill="CFE2F3"/>
            <w:tcMar>
              <w:top w:w="100" w:type="dxa"/>
              <w:left w:w="100" w:type="dxa"/>
              <w:bottom w:w="100" w:type="dxa"/>
              <w:right w:w="100" w:type="dxa"/>
            </w:tcMar>
          </w:tcPr>
          <w:p w14:paraId="0CA83216" w14:textId="77777777" w:rsidR="00515AD5" w:rsidRPr="002B2E9A" w:rsidRDefault="00442B81">
            <w:pPr>
              <w:widowControl w:val="0"/>
              <w:pBdr>
                <w:top w:val="nil"/>
                <w:left w:val="nil"/>
                <w:bottom w:val="nil"/>
                <w:right w:val="nil"/>
                <w:between w:val="nil"/>
              </w:pBdr>
              <w:jc w:val="center"/>
              <w:rPr>
                <w:color w:val="000000" w:themeColor="text1"/>
              </w:rPr>
            </w:pPr>
            <w:r w:rsidRPr="002B2E9A">
              <w:rPr>
                <w:color w:val="000000" w:themeColor="text1"/>
              </w:rPr>
              <w:t>90,000</w:t>
            </w:r>
          </w:p>
        </w:tc>
      </w:tr>
      <w:tr w:rsidR="003C1A03" w:rsidRPr="002B2E9A" w14:paraId="274B07C2" w14:textId="77777777">
        <w:tc>
          <w:tcPr>
            <w:tcW w:w="4514" w:type="dxa"/>
            <w:shd w:val="clear" w:color="auto" w:fill="CFE2F3"/>
            <w:tcMar>
              <w:top w:w="100" w:type="dxa"/>
              <w:left w:w="100" w:type="dxa"/>
              <w:bottom w:w="100" w:type="dxa"/>
              <w:right w:w="100" w:type="dxa"/>
            </w:tcMar>
          </w:tcPr>
          <w:p w14:paraId="3D3CF5AF"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Total</w:t>
            </w:r>
          </w:p>
        </w:tc>
        <w:tc>
          <w:tcPr>
            <w:tcW w:w="4515" w:type="dxa"/>
            <w:shd w:val="clear" w:color="auto" w:fill="CFE2F3"/>
            <w:tcMar>
              <w:top w:w="100" w:type="dxa"/>
              <w:left w:w="100" w:type="dxa"/>
              <w:bottom w:w="100" w:type="dxa"/>
              <w:right w:w="100" w:type="dxa"/>
            </w:tcMar>
          </w:tcPr>
          <w:p w14:paraId="66AA1DED" w14:textId="77777777" w:rsidR="00515AD5" w:rsidRPr="002B2E9A" w:rsidRDefault="00442B81">
            <w:pPr>
              <w:widowControl w:val="0"/>
              <w:pBdr>
                <w:top w:val="nil"/>
                <w:left w:val="nil"/>
                <w:bottom w:val="nil"/>
                <w:right w:val="nil"/>
                <w:between w:val="nil"/>
              </w:pBdr>
              <w:jc w:val="center"/>
              <w:rPr>
                <w:b/>
                <w:bCs/>
                <w:color w:val="000000" w:themeColor="text1"/>
              </w:rPr>
            </w:pPr>
            <w:r w:rsidRPr="002B2E9A">
              <w:rPr>
                <w:b/>
                <w:bCs/>
                <w:color w:val="000000" w:themeColor="text1"/>
              </w:rPr>
              <w:t>500,000</w:t>
            </w:r>
          </w:p>
        </w:tc>
      </w:tr>
    </w:tbl>
    <w:p w14:paraId="04755E38" w14:textId="77777777" w:rsidR="00515AD5" w:rsidRPr="002B2E9A" w:rsidRDefault="00442B81">
      <w:pPr>
        <w:jc w:val="center"/>
        <w:rPr>
          <w:b/>
          <w:bCs/>
          <w:color w:val="000000" w:themeColor="text1"/>
        </w:rPr>
      </w:pPr>
      <w:r w:rsidRPr="002B2E9A">
        <w:rPr>
          <w:b/>
          <w:bCs/>
          <w:color w:val="000000" w:themeColor="text1"/>
        </w:rPr>
        <w:t>Table 5: Approximate cost of implementing the necessary change strategies.</w:t>
      </w:r>
    </w:p>
    <w:p w14:paraId="25AC3B6C" w14:textId="18AE9E80" w:rsidR="00515AD5" w:rsidRPr="002B2E9A" w:rsidRDefault="00442B81">
      <w:pPr>
        <w:rPr>
          <w:color w:val="000000" w:themeColor="text1"/>
        </w:rPr>
      </w:pPr>
      <w:r w:rsidRPr="002B2E9A">
        <w:rPr>
          <w:color w:val="000000" w:themeColor="text1"/>
        </w:rPr>
        <w:t xml:space="preserve">The total cost of implementing the necessary change strategies will be around £500,000 for Shell Plc. Implementation of the analytical platforms, such as Google Analytics, will cost around £180,000 and the supply chain partnerships will require approximately £230,000. The affirmation of the training process is also essential in this regard, which will allow for enhancing the adaptive capabilities of the workforce to adjust to the digital tools. This will </w:t>
      </w:r>
      <w:r w:rsidR="002B2E9A" w:rsidRPr="002B2E9A">
        <w:rPr>
          <w:color w:val="000000" w:themeColor="text1"/>
        </w:rPr>
        <w:t>cost</w:t>
      </w:r>
      <w:r w:rsidRPr="002B2E9A">
        <w:rPr>
          <w:color w:val="000000" w:themeColor="text1"/>
        </w:rPr>
        <w:t xml:space="preserve"> around £90,000, which will also aid in enhancing their sustainability capabilities with an appropriate understanding of the work process. </w:t>
      </w:r>
    </w:p>
    <w:p w14:paraId="5B707719" w14:textId="77777777" w:rsidR="00515AD5" w:rsidRPr="002B2E9A" w:rsidRDefault="00442B81">
      <w:pPr>
        <w:pStyle w:val="Heading2"/>
        <w:rPr>
          <w:color w:val="000000" w:themeColor="text1"/>
        </w:rPr>
      </w:pPr>
      <w:bookmarkStart w:id="18" w:name="_Toc223027330"/>
      <w:r w:rsidRPr="002B2E9A">
        <w:rPr>
          <w:color w:val="000000" w:themeColor="text1"/>
        </w:rPr>
        <w:t>Communication Plan</w:t>
      </w:r>
      <w:bookmarkEnd w:id="18"/>
    </w:p>
    <w:p w14:paraId="0495E442" w14:textId="7B988521" w:rsidR="00515AD5" w:rsidRPr="002B2E9A" w:rsidRDefault="00442B81">
      <w:pPr>
        <w:rPr>
          <w:color w:val="000000" w:themeColor="text1"/>
        </w:rPr>
      </w:pPr>
      <w:r w:rsidRPr="002B2E9A">
        <w:rPr>
          <w:color w:val="000000" w:themeColor="text1"/>
        </w:rPr>
        <w:t xml:space="preserve">Defining the clear change process is necessary to enable the employees to understand the required changes in the working patterns. This must be communicated by the leaders to all the professionals, so that they can display their optimum working efficiency to accomplish these stated objectives. Communicating with the stakeholders associated with the business policies is also essential, as it will further allow collaborating with them (Sumaiya </w:t>
      </w:r>
      <w:r w:rsidRPr="002B2E9A">
        <w:rPr>
          <w:i/>
          <w:iCs/>
          <w:color w:val="000000" w:themeColor="text1"/>
        </w:rPr>
        <w:t xml:space="preserve">et al., </w:t>
      </w:r>
      <w:r w:rsidRPr="002B2E9A">
        <w:rPr>
          <w:color w:val="000000" w:themeColor="text1"/>
        </w:rPr>
        <w:t xml:space="preserve">2022). The official communication channels, such as emails and meetings, must be </w:t>
      </w:r>
      <w:r w:rsidR="002B2E9A" w:rsidRPr="002B2E9A">
        <w:rPr>
          <w:color w:val="000000" w:themeColor="text1"/>
        </w:rPr>
        <w:t>utilized</w:t>
      </w:r>
      <w:r w:rsidRPr="002B2E9A">
        <w:rPr>
          <w:color w:val="000000" w:themeColor="text1"/>
        </w:rPr>
        <w:t xml:space="preserve"> by Shell Plc. This would make it possible to obtain the necessary resource support, along with the investments, through a sufficient understanding of all the business policies. This process will enable Shell Plc to handle the changes in the digital tools among the customers, along with tracking down the fake products (Smith and Zook, 2024). The application of these strategies will further allow the company to meet its goals to enhance the working capabilities of the employees. This will ensure that they are able to adjust to the modern working environment with the experience of advanced training processes. Therefore, through these communication channels, the enterprise will be able to meet all its business possibilities and adapt to sustainable </w:t>
      </w:r>
      <w:r w:rsidRPr="002B2E9A">
        <w:rPr>
          <w:color w:val="000000" w:themeColor="text1"/>
        </w:rPr>
        <w:lastRenderedPageBreak/>
        <w:t xml:space="preserve">working methods (Sumaiya </w:t>
      </w:r>
      <w:r w:rsidRPr="002B2E9A">
        <w:rPr>
          <w:i/>
          <w:iCs/>
          <w:color w:val="000000" w:themeColor="text1"/>
        </w:rPr>
        <w:t xml:space="preserve">et al., </w:t>
      </w:r>
      <w:r w:rsidRPr="002B2E9A">
        <w:rPr>
          <w:color w:val="000000" w:themeColor="text1"/>
        </w:rPr>
        <w:t xml:space="preserve">2022). This will further bolster the incorporation of the plans for reducing the presence of online fraud to enhance the satisfaction level of the consumers. </w:t>
      </w:r>
    </w:p>
    <w:p w14:paraId="05627A38" w14:textId="77777777" w:rsidR="00515AD5" w:rsidRPr="002B2E9A" w:rsidRDefault="00442B81">
      <w:pPr>
        <w:pStyle w:val="Heading2"/>
        <w:rPr>
          <w:color w:val="000000" w:themeColor="text1"/>
        </w:rPr>
      </w:pPr>
      <w:bookmarkStart w:id="19" w:name="_Toc223027331"/>
      <w:r w:rsidRPr="002B2E9A">
        <w:rPr>
          <w:color w:val="000000" w:themeColor="text1"/>
        </w:rPr>
        <w:t>Evaluation Plan</w:t>
      </w:r>
      <w:bookmarkEnd w:id="19"/>
    </w:p>
    <w:p w14:paraId="2DF75956" w14:textId="77777777" w:rsidR="00515AD5" w:rsidRPr="002B2E9A" w:rsidRDefault="00442B81">
      <w:pPr>
        <w:rPr>
          <w:color w:val="000000" w:themeColor="text1"/>
        </w:rPr>
      </w:pPr>
      <w:r w:rsidRPr="002B2E9A">
        <w:rPr>
          <w:color w:val="000000" w:themeColor="text1"/>
        </w:rPr>
        <w:t xml:space="preserve">Shell Plc must assess the changes in the sales figures of all its products across the e-commerce platforms. A rise in sales will enable the firm to analyse the effectiveness of the applied strategies to reduce the presence of replicable products (Camilleri, 2024). Additionally, the engagement level of the stakeholders and the views of the customers related to the offered services must be tracked by the organisation. Analytical tools, such as Google Analytics, should be used to track all this data and analyse the customer engagement with the brand. The presence of higher engagement levels will allow the organisation to upgrade its possibilities to increase its market popularity (Van De Ven </w:t>
      </w:r>
      <w:r w:rsidRPr="002B2E9A">
        <w:rPr>
          <w:i/>
          <w:iCs/>
          <w:color w:val="000000" w:themeColor="text1"/>
        </w:rPr>
        <w:t xml:space="preserve">et al., </w:t>
      </w:r>
      <w:r w:rsidRPr="002B2E9A">
        <w:rPr>
          <w:color w:val="000000" w:themeColor="text1"/>
        </w:rPr>
        <w:t xml:space="preserve">2023). This will be related </w:t>
      </w:r>
      <w:sdt>
        <w:sdtPr>
          <w:rPr>
            <w:color w:val="000000" w:themeColor="text1"/>
          </w:rPr>
          <w:tag w:val="goog_rdk_6"/>
          <w:id w:val="959420575"/>
        </w:sdtPr>
        <w:sdtEndPr/>
        <w:sdtContent/>
      </w:sdt>
      <w:r w:rsidRPr="002B2E9A">
        <w:rPr>
          <w:color w:val="000000" w:themeColor="text1"/>
        </w:rPr>
        <w:t xml:space="preserve">to the maintenance of a competitive advantage, along with the process of surpassing the other firms. </w:t>
      </w:r>
    </w:p>
    <w:p w14:paraId="5F61ACCF" w14:textId="77777777" w:rsidR="00515AD5" w:rsidRPr="002B2E9A" w:rsidRDefault="00442B81">
      <w:pPr>
        <w:pStyle w:val="Heading1"/>
        <w:rPr>
          <w:color w:val="000000" w:themeColor="text1"/>
        </w:rPr>
      </w:pPr>
      <w:bookmarkStart w:id="20" w:name="_Toc223027332"/>
      <w:r w:rsidRPr="002B2E9A">
        <w:rPr>
          <w:color w:val="000000" w:themeColor="text1"/>
        </w:rPr>
        <w:t>Conclusion</w:t>
      </w:r>
      <w:bookmarkEnd w:id="20"/>
    </w:p>
    <w:p w14:paraId="412F7018" w14:textId="77777777" w:rsidR="00515AD5" w:rsidRPr="002B2E9A" w:rsidRDefault="00442B81">
      <w:pPr>
        <w:rPr>
          <w:color w:val="000000" w:themeColor="text1"/>
        </w:rPr>
      </w:pPr>
      <w:r w:rsidRPr="002B2E9A">
        <w:rPr>
          <w:color w:val="000000" w:themeColor="text1"/>
        </w:rPr>
        <w:t xml:space="preserve">The above report has concluded that the market changes lead to challenges within the business environment. There have been global shifts related to the adoption of digital technologies, changes in customer shopping patterns and the maintenance of sustainability. Shell Plc has applied specific strategies to adapt to these changes to ensure that efficiency is maintained across its performance. The role of an effective leadership process, along with the culture, ascertains the adaptive capability of an organisation to the changes. The business environment is one of the dynamic frameworks that support the application of changes within the organisational context. This report has examined the plans required to be applied by Shell Plc to adjust to the market changes. These are aimed towards the development of performance to ensure long-term sustainability, along with meeting the customer requirements. </w:t>
      </w:r>
    </w:p>
    <w:p w14:paraId="53EC1BF7" w14:textId="77777777" w:rsidR="00515AD5" w:rsidRPr="002B2E9A" w:rsidRDefault="00442B81">
      <w:pPr>
        <w:rPr>
          <w:b/>
          <w:bCs/>
          <w:color w:val="000000" w:themeColor="text1"/>
          <w:sz w:val="28"/>
          <w:szCs w:val="28"/>
        </w:rPr>
      </w:pPr>
      <w:r w:rsidRPr="002B2E9A">
        <w:rPr>
          <w:color w:val="000000" w:themeColor="text1"/>
        </w:rPr>
        <w:br w:type="page"/>
      </w:r>
    </w:p>
    <w:p w14:paraId="23F9A501" w14:textId="77777777" w:rsidR="00515AD5" w:rsidRPr="002B2E9A" w:rsidRDefault="00442B81">
      <w:pPr>
        <w:pStyle w:val="Heading1"/>
        <w:rPr>
          <w:color w:val="000000" w:themeColor="text1"/>
        </w:rPr>
      </w:pPr>
      <w:bookmarkStart w:id="21" w:name="_Toc223027333"/>
      <w:r w:rsidRPr="002B2E9A">
        <w:rPr>
          <w:color w:val="000000" w:themeColor="text1"/>
        </w:rPr>
        <w:lastRenderedPageBreak/>
        <w:t>Reference List</w:t>
      </w:r>
      <w:bookmarkEnd w:id="21"/>
    </w:p>
    <w:p w14:paraId="3B3BDBC6" w14:textId="77777777" w:rsidR="0001676B" w:rsidRPr="002B2E9A" w:rsidRDefault="00442B81">
      <w:pPr>
        <w:rPr>
          <w:color w:val="000000" w:themeColor="text1"/>
          <w:highlight w:val="white"/>
        </w:rPr>
      </w:pPr>
      <w:r w:rsidRPr="002B2E9A">
        <w:rPr>
          <w:color w:val="000000" w:themeColor="text1"/>
          <w:highlight w:val="white"/>
        </w:rPr>
        <w:t xml:space="preserve">Brandes, B. and Lai, Y.L. (2022) ‘Addressing resistance to change through a micro interpersonal lens: an investigation into the coaching process’. </w:t>
      </w:r>
      <w:r w:rsidRPr="002B2E9A">
        <w:rPr>
          <w:i/>
          <w:iCs/>
          <w:color w:val="000000" w:themeColor="text1"/>
          <w:highlight w:val="white"/>
        </w:rPr>
        <w:t>Journal of Organizational Change Management</w:t>
      </w:r>
      <w:r w:rsidRPr="002B2E9A">
        <w:rPr>
          <w:color w:val="000000" w:themeColor="text1"/>
          <w:highlight w:val="white"/>
        </w:rPr>
        <w:t xml:space="preserve">, </w:t>
      </w:r>
      <w:r w:rsidRPr="002B2E9A">
        <w:rPr>
          <w:i/>
          <w:iCs/>
          <w:color w:val="000000" w:themeColor="text1"/>
          <w:highlight w:val="white"/>
        </w:rPr>
        <w:t>35</w:t>
      </w:r>
      <w:r w:rsidRPr="002B2E9A">
        <w:rPr>
          <w:color w:val="000000" w:themeColor="text1"/>
          <w:highlight w:val="white"/>
        </w:rPr>
        <w:t>(3), pp.666-681. Available at: https://doi.org/10.1108/JOCM-07-2021-0214</w:t>
      </w:r>
    </w:p>
    <w:p w14:paraId="026B0E8E" w14:textId="77777777" w:rsidR="0001676B" w:rsidRPr="002B2E9A" w:rsidRDefault="00442B81">
      <w:pPr>
        <w:rPr>
          <w:color w:val="000000" w:themeColor="text1"/>
          <w:highlight w:val="white"/>
        </w:rPr>
      </w:pPr>
      <w:r w:rsidRPr="002B2E9A">
        <w:rPr>
          <w:color w:val="000000" w:themeColor="text1"/>
          <w:highlight w:val="white"/>
        </w:rPr>
        <w:t xml:space="preserve">Camilleri, E. (2024) </w:t>
      </w:r>
      <w:r w:rsidRPr="002B2E9A">
        <w:rPr>
          <w:i/>
          <w:iCs/>
          <w:color w:val="000000" w:themeColor="text1"/>
          <w:highlight w:val="white"/>
        </w:rPr>
        <w:t>Key performance indicators: The complete guide to KPIs for business success</w:t>
      </w:r>
      <w:r w:rsidRPr="002B2E9A">
        <w:rPr>
          <w:color w:val="000000" w:themeColor="text1"/>
          <w:highlight w:val="white"/>
        </w:rPr>
        <w:t>. Routledge.</w:t>
      </w:r>
    </w:p>
    <w:p w14:paraId="601A05F8" w14:textId="77777777" w:rsidR="0001676B" w:rsidRPr="002B2E9A" w:rsidRDefault="00442B81">
      <w:pPr>
        <w:rPr>
          <w:color w:val="000000" w:themeColor="text1"/>
        </w:rPr>
      </w:pPr>
      <w:proofErr w:type="spellStart"/>
      <w:r w:rsidRPr="002B2E9A">
        <w:rPr>
          <w:color w:val="000000" w:themeColor="text1"/>
        </w:rPr>
        <w:t>Developers.Google</w:t>
      </w:r>
      <w:proofErr w:type="spellEnd"/>
      <w:r w:rsidRPr="002B2E9A">
        <w:rPr>
          <w:color w:val="000000" w:themeColor="text1"/>
        </w:rPr>
        <w:t xml:space="preserve"> (2026) </w:t>
      </w:r>
      <w:r w:rsidRPr="002B2E9A">
        <w:rPr>
          <w:i/>
          <w:iCs/>
          <w:color w:val="000000" w:themeColor="text1"/>
        </w:rPr>
        <w:t>Start learning about Google Analytics</w:t>
      </w:r>
      <w:r w:rsidRPr="002B2E9A">
        <w:rPr>
          <w:color w:val="000000" w:themeColor="text1"/>
        </w:rPr>
        <w:t>. Available at: https://developers.google.com/analytics (Accessed: 18 February 2026).</w:t>
      </w:r>
    </w:p>
    <w:p w14:paraId="6163F7A0" w14:textId="77777777" w:rsidR="0001676B" w:rsidRPr="002B2E9A" w:rsidRDefault="00442B81">
      <w:pPr>
        <w:rPr>
          <w:color w:val="000000" w:themeColor="text1"/>
          <w:highlight w:val="white"/>
        </w:rPr>
      </w:pPr>
      <w:r w:rsidRPr="002B2E9A">
        <w:rPr>
          <w:color w:val="000000" w:themeColor="text1"/>
          <w:highlight w:val="white"/>
        </w:rPr>
        <w:t xml:space="preserve">Eaton, L., Bridgman, T. and Cummings, S. (2024) 'Advancing the democratisation of work: A new intellectual history of transformational leadership theory'. </w:t>
      </w:r>
      <w:r w:rsidRPr="002B2E9A">
        <w:rPr>
          <w:i/>
          <w:iCs/>
          <w:color w:val="000000" w:themeColor="text1"/>
          <w:highlight w:val="white"/>
        </w:rPr>
        <w:t>Leadership</w:t>
      </w:r>
      <w:r w:rsidRPr="002B2E9A">
        <w:rPr>
          <w:color w:val="000000" w:themeColor="text1"/>
          <w:highlight w:val="white"/>
        </w:rPr>
        <w:t xml:space="preserve">, </w:t>
      </w:r>
      <w:r w:rsidRPr="002B2E9A">
        <w:rPr>
          <w:i/>
          <w:iCs/>
          <w:color w:val="000000" w:themeColor="text1"/>
          <w:highlight w:val="white"/>
        </w:rPr>
        <w:t>20</w:t>
      </w:r>
      <w:r w:rsidRPr="002B2E9A">
        <w:rPr>
          <w:color w:val="000000" w:themeColor="text1"/>
          <w:highlight w:val="white"/>
        </w:rPr>
        <w:t>(3), pp.125-143. Available at: https://doi.org/10.1177/17427150241232705</w:t>
      </w:r>
    </w:p>
    <w:p w14:paraId="531FA19F" w14:textId="77777777" w:rsidR="0001676B" w:rsidRPr="002B2E9A" w:rsidRDefault="00442B81">
      <w:pPr>
        <w:rPr>
          <w:color w:val="000000" w:themeColor="text1"/>
        </w:rPr>
      </w:pPr>
      <w:r w:rsidRPr="002B2E9A">
        <w:rPr>
          <w:color w:val="000000" w:themeColor="text1"/>
        </w:rPr>
        <w:t xml:space="preserve">Gov.UK (2026a) </w:t>
      </w:r>
      <w:r w:rsidRPr="002B2E9A">
        <w:rPr>
          <w:i/>
          <w:iCs/>
          <w:color w:val="000000" w:themeColor="text1"/>
        </w:rPr>
        <w:t>AI Adoption Research</w:t>
      </w:r>
      <w:r w:rsidRPr="002B2E9A">
        <w:rPr>
          <w:color w:val="000000" w:themeColor="text1"/>
        </w:rPr>
        <w:t>. Available at: https://www.gov.uk/government/publications/ai-adoption-research/ai-adoption-research (Accessed: 16 February 2026).</w:t>
      </w:r>
    </w:p>
    <w:p w14:paraId="7F882B32" w14:textId="77777777" w:rsidR="0001676B" w:rsidRPr="002B2E9A" w:rsidRDefault="00442B81">
      <w:pPr>
        <w:rPr>
          <w:color w:val="000000" w:themeColor="text1"/>
        </w:rPr>
      </w:pPr>
      <w:r w:rsidRPr="002B2E9A">
        <w:rPr>
          <w:color w:val="000000" w:themeColor="text1"/>
        </w:rPr>
        <w:t>Gov.UK (2026b) Ru</w:t>
      </w:r>
      <w:r w:rsidRPr="002B2E9A">
        <w:rPr>
          <w:i/>
          <w:iCs/>
          <w:color w:val="000000" w:themeColor="text1"/>
        </w:rPr>
        <w:t>nning an oil or gas business.</w:t>
      </w:r>
      <w:r w:rsidRPr="002B2E9A">
        <w:rPr>
          <w:color w:val="000000" w:themeColor="text1"/>
        </w:rPr>
        <w:t xml:space="preserve"> Available at: https://www.gov.uk/government/publications/running-an-oil-or-gas-business/running-an-oil-or-gas-business (Accessed: 16 February 2026).</w:t>
      </w:r>
    </w:p>
    <w:p w14:paraId="25EE2696" w14:textId="77777777" w:rsidR="0001676B" w:rsidRPr="002B2E9A" w:rsidRDefault="00442B81">
      <w:pPr>
        <w:rPr>
          <w:color w:val="000000" w:themeColor="text1"/>
        </w:rPr>
      </w:pPr>
      <w:r w:rsidRPr="002B2E9A">
        <w:rPr>
          <w:color w:val="000000" w:themeColor="text1"/>
        </w:rPr>
        <w:t xml:space="preserve">Gov.UK (2026c) </w:t>
      </w:r>
      <w:r w:rsidRPr="002B2E9A">
        <w:rPr>
          <w:i/>
          <w:iCs/>
          <w:color w:val="000000" w:themeColor="text1"/>
        </w:rPr>
        <w:t>Onshore oil and gas regulation - information page</w:t>
      </w:r>
      <w:r w:rsidRPr="002B2E9A">
        <w:rPr>
          <w:color w:val="000000" w:themeColor="text1"/>
        </w:rPr>
        <w:t>. Available at: https://consult.environment-agency.gov.uk/onshore-oil-and-gas/onshore-oil-and-gas-regulation-information-page/ (Accessed: 18 February 2026).</w:t>
      </w:r>
    </w:p>
    <w:p w14:paraId="3C4B0110" w14:textId="77777777" w:rsidR="0001676B" w:rsidRPr="002B2E9A" w:rsidRDefault="00442B81">
      <w:pPr>
        <w:rPr>
          <w:color w:val="000000" w:themeColor="text1"/>
          <w:highlight w:val="white"/>
        </w:rPr>
      </w:pPr>
      <w:r w:rsidRPr="002B2E9A">
        <w:rPr>
          <w:color w:val="000000" w:themeColor="text1"/>
          <w:highlight w:val="white"/>
        </w:rPr>
        <w:t xml:space="preserve">Holloway, S. (2024) ‘The Role of Supply Chain Partnerships in Enhancing Brand Value’: </w:t>
      </w:r>
      <w:r w:rsidRPr="002B2E9A">
        <w:rPr>
          <w:i/>
          <w:iCs/>
          <w:color w:val="000000" w:themeColor="text1"/>
          <w:highlight w:val="white"/>
        </w:rPr>
        <w:t xml:space="preserve">A Qualitative Study of Collaborative Marketing Efforts. </w:t>
      </w:r>
      <w:r w:rsidRPr="002B2E9A">
        <w:rPr>
          <w:color w:val="000000" w:themeColor="text1"/>
          <w:highlight w:val="white"/>
        </w:rPr>
        <w:t>Available at: 10.20944/preprints</w:t>
      </w:r>
      <w:proofErr w:type="gramStart"/>
      <w:r w:rsidRPr="002B2E9A">
        <w:rPr>
          <w:color w:val="000000" w:themeColor="text1"/>
          <w:highlight w:val="white"/>
        </w:rPr>
        <w:t>202406.1761.v</w:t>
      </w:r>
      <w:proofErr w:type="gramEnd"/>
      <w:r w:rsidRPr="002B2E9A">
        <w:rPr>
          <w:color w:val="000000" w:themeColor="text1"/>
          <w:highlight w:val="white"/>
        </w:rPr>
        <w:t xml:space="preserve">1 </w:t>
      </w:r>
    </w:p>
    <w:p w14:paraId="2474A1F9" w14:textId="77777777" w:rsidR="0001676B" w:rsidRPr="002B2E9A" w:rsidRDefault="00442B81">
      <w:pPr>
        <w:rPr>
          <w:color w:val="000000" w:themeColor="text1"/>
          <w:highlight w:val="white"/>
        </w:rPr>
      </w:pPr>
      <w:r w:rsidRPr="002B2E9A">
        <w:rPr>
          <w:color w:val="000000" w:themeColor="text1"/>
          <w:highlight w:val="white"/>
        </w:rPr>
        <w:t xml:space="preserve">Hoque, K.E. (2025) ‘Understanding Leadership Styles, Their Uses and Drawbacks’. In </w:t>
      </w:r>
      <w:r w:rsidRPr="002B2E9A">
        <w:rPr>
          <w:i/>
          <w:iCs/>
          <w:color w:val="000000" w:themeColor="text1"/>
          <w:highlight w:val="white"/>
        </w:rPr>
        <w:t>The Changing Roles of Educational Managers: Essential Skills in an Era of Rapid Change</w:t>
      </w:r>
      <w:r w:rsidRPr="002B2E9A">
        <w:rPr>
          <w:color w:val="000000" w:themeColor="text1"/>
          <w:highlight w:val="white"/>
        </w:rPr>
        <w:t xml:space="preserve"> (pp. 165-202). Singapore: Springer Nature Singapore. Available at: https://doi.org/10.1007/978-981-96-1086-0_9</w:t>
      </w:r>
    </w:p>
    <w:p w14:paraId="29769B29" w14:textId="77777777" w:rsidR="0001676B" w:rsidRPr="002B2E9A" w:rsidRDefault="00442B81">
      <w:pPr>
        <w:rPr>
          <w:color w:val="000000" w:themeColor="text1"/>
          <w:highlight w:val="white"/>
        </w:rPr>
      </w:pPr>
      <w:r w:rsidRPr="002B2E9A">
        <w:rPr>
          <w:color w:val="000000" w:themeColor="text1"/>
          <w:highlight w:val="white"/>
        </w:rPr>
        <w:t xml:space="preserve">Huang, L., Guo, Z., Deng, B. and Wang, B. (2023) ‘Unlocking the relationship between environmentally specific transformational leadership and employees’ green behaviour: A cultural self-representation perspective’. </w:t>
      </w:r>
      <w:r w:rsidRPr="002B2E9A">
        <w:rPr>
          <w:i/>
          <w:iCs/>
          <w:color w:val="000000" w:themeColor="text1"/>
          <w:highlight w:val="white"/>
        </w:rPr>
        <w:t>Journal of Cleaner Production</w:t>
      </w:r>
      <w:r w:rsidRPr="002B2E9A">
        <w:rPr>
          <w:color w:val="000000" w:themeColor="text1"/>
          <w:highlight w:val="white"/>
        </w:rPr>
        <w:t xml:space="preserve">, </w:t>
      </w:r>
      <w:r w:rsidRPr="002B2E9A">
        <w:rPr>
          <w:i/>
          <w:iCs/>
          <w:color w:val="000000" w:themeColor="text1"/>
          <w:highlight w:val="white"/>
        </w:rPr>
        <w:t>382</w:t>
      </w:r>
      <w:r w:rsidRPr="002B2E9A">
        <w:rPr>
          <w:color w:val="000000" w:themeColor="text1"/>
          <w:highlight w:val="white"/>
        </w:rPr>
        <w:t>, p.134857. DOI: https://doi.org/10.1016/j.jclepro.2022.134857</w:t>
      </w:r>
    </w:p>
    <w:p w14:paraId="4348A978" w14:textId="77777777" w:rsidR="0001676B" w:rsidRPr="002B2E9A" w:rsidRDefault="00442B81">
      <w:pPr>
        <w:rPr>
          <w:color w:val="000000" w:themeColor="text1"/>
          <w:highlight w:val="white"/>
        </w:rPr>
      </w:pPr>
      <w:r w:rsidRPr="002B2E9A">
        <w:rPr>
          <w:color w:val="000000" w:themeColor="text1"/>
          <w:highlight w:val="white"/>
        </w:rPr>
        <w:lastRenderedPageBreak/>
        <w:t xml:space="preserve">Van De Ven, M., Lara Machado, P., Athanasopoulou, A., </w:t>
      </w:r>
      <w:proofErr w:type="spellStart"/>
      <w:r w:rsidRPr="002B2E9A">
        <w:rPr>
          <w:color w:val="000000" w:themeColor="text1"/>
          <w:highlight w:val="white"/>
        </w:rPr>
        <w:t>Aysolmaz</w:t>
      </w:r>
      <w:proofErr w:type="spellEnd"/>
      <w:r w:rsidRPr="002B2E9A">
        <w:rPr>
          <w:color w:val="000000" w:themeColor="text1"/>
          <w:highlight w:val="white"/>
        </w:rPr>
        <w:t xml:space="preserve">, B. and </w:t>
      </w:r>
      <w:proofErr w:type="spellStart"/>
      <w:r w:rsidRPr="002B2E9A">
        <w:rPr>
          <w:color w:val="000000" w:themeColor="text1"/>
          <w:highlight w:val="white"/>
        </w:rPr>
        <w:t>Turetken</w:t>
      </w:r>
      <w:proofErr w:type="spellEnd"/>
      <w:r w:rsidRPr="002B2E9A">
        <w:rPr>
          <w:color w:val="000000" w:themeColor="text1"/>
          <w:highlight w:val="white"/>
        </w:rPr>
        <w:t xml:space="preserve">, O. (2023) ‘Key performance indicators for business models: a systematic review and </w:t>
      </w:r>
      <w:proofErr w:type="spellStart"/>
      <w:r w:rsidRPr="002B2E9A">
        <w:rPr>
          <w:color w:val="000000" w:themeColor="text1"/>
          <w:highlight w:val="white"/>
        </w:rPr>
        <w:t>catalog</w:t>
      </w:r>
      <w:proofErr w:type="spellEnd"/>
      <w:r w:rsidRPr="002B2E9A">
        <w:rPr>
          <w:color w:val="000000" w:themeColor="text1"/>
          <w:highlight w:val="white"/>
        </w:rPr>
        <w:t xml:space="preserve">’. </w:t>
      </w:r>
      <w:r w:rsidRPr="002B2E9A">
        <w:rPr>
          <w:i/>
          <w:iCs/>
          <w:color w:val="000000" w:themeColor="text1"/>
          <w:highlight w:val="white"/>
        </w:rPr>
        <w:t>Information Systems and e-Business Management</w:t>
      </w:r>
      <w:r w:rsidRPr="002B2E9A">
        <w:rPr>
          <w:color w:val="000000" w:themeColor="text1"/>
          <w:highlight w:val="white"/>
        </w:rPr>
        <w:t xml:space="preserve">, </w:t>
      </w:r>
      <w:r w:rsidRPr="002B2E9A">
        <w:rPr>
          <w:i/>
          <w:iCs/>
          <w:color w:val="000000" w:themeColor="text1"/>
          <w:highlight w:val="white"/>
        </w:rPr>
        <w:t>21</w:t>
      </w:r>
      <w:r w:rsidRPr="002B2E9A">
        <w:rPr>
          <w:color w:val="000000" w:themeColor="text1"/>
          <w:highlight w:val="white"/>
        </w:rPr>
        <w:t>(3), pp.753-794. Available at: https://doi.org/10.1007/s10257-023-00650-2</w:t>
      </w:r>
    </w:p>
    <w:p w14:paraId="559A2A52" w14:textId="77777777" w:rsidR="0001676B" w:rsidRPr="002B2E9A" w:rsidRDefault="00442B81">
      <w:pPr>
        <w:rPr>
          <w:color w:val="000000" w:themeColor="text1"/>
          <w:highlight w:val="white"/>
        </w:rPr>
      </w:pPr>
      <w:r w:rsidRPr="002B2E9A">
        <w:rPr>
          <w:color w:val="000000" w:themeColor="text1"/>
          <w:highlight w:val="white"/>
        </w:rPr>
        <w:t xml:space="preserve">Wang, W., Fan, L.W. and Zhou, P. (2022) ‘Evolution of global fossil fuel trade dependencies. </w:t>
      </w:r>
      <w:r w:rsidRPr="002B2E9A">
        <w:rPr>
          <w:i/>
          <w:iCs/>
          <w:color w:val="000000" w:themeColor="text1"/>
          <w:highlight w:val="white"/>
        </w:rPr>
        <w:t>Energy</w:t>
      </w:r>
      <w:r w:rsidRPr="002B2E9A">
        <w:rPr>
          <w:color w:val="000000" w:themeColor="text1"/>
          <w:highlight w:val="white"/>
        </w:rPr>
        <w:t xml:space="preserve">, </w:t>
      </w:r>
      <w:r w:rsidRPr="002B2E9A">
        <w:rPr>
          <w:i/>
          <w:iCs/>
          <w:color w:val="000000" w:themeColor="text1"/>
          <w:highlight w:val="white"/>
        </w:rPr>
        <w:t>238</w:t>
      </w:r>
      <w:r w:rsidRPr="002B2E9A">
        <w:rPr>
          <w:color w:val="000000" w:themeColor="text1"/>
          <w:highlight w:val="white"/>
        </w:rPr>
        <w:t>, p.121924. Available at: https://doi.org/10.1016/j.energy.2021.121924</w:t>
      </w:r>
    </w:p>
    <w:p w14:paraId="165681CE" w14:textId="77777777" w:rsidR="0001676B" w:rsidRPr="002B2E9A" w:rsidRDefault="00442B81">
      <w:pPr>
        <w:rPr>
          <w:color w:val="000000" w:themeColor="text1"/>
          <w:highlight w:val="white"/>
        </w:rPr>
      </w:pPr>
      <w:proofErr w:type="spellStart"/>
      <w:r w:rsidRPr="002B2E9A">
        <w:rPr>
          <w:color w:val="000000" w:themeColor="text1"/>
          <w:highlight w:val="white"/>
        </w:rPr>
        <w:t>Warudkar</w:t>
      </w:r>
      <w:proofErr w:type="spellEnd"/>
      <w:r w:rsidRPr="002B2E9A">
        <w:rPr>
          <w:color w:val="000000" w:themeColor="text1"/>
          <w:highlight w:val="white"/>
        </w:rPr>
        <w:t xml:space="preserve">, H. (2026) 'Understanding Technological Change Through Organisational Routines'. In </w:t>
      </w:r>
      <w:r w:rsidRPr="002B2E9A">
        <w:rPr>
          <w:i/>
          <w:iCs/>
          <w:color w:val="000000" w:themeColor="text1"/>
          <w:highlight w:val="white"/>
        </w:rPr>
        <w:t>The Palgrave of Leadership and Organizational Change</w:t>
      </w:r>
      <w:r w:rsidRPr="002B2E9A">
        <w:rPr>
          <w:color w:val="000000" w:themeColor="text1"/>
          <w:highlight w:val="white"/>
        </w:rPr>
        <w:t xml:space="preserve"> (pp. 1-17). Cham: Springer Nature Switzerland. Available at: https://doi.org/10.1007/978-3-031-51650-4_151-1</w:t>
      </w:r>
    </w:p>
    <w:p w14:paraId="0FBE7289" w14:textId="77777777" w:rsidR="0001676B" w:rsidRPr="002B2E9A" w:rsidRDefault="00442B81">
      <w:pPr>
        <w:rPr>
          <w:color w:val="000000" w:themeColor="text1"/>
          <w:highlight w:val="white"/>
        </w:rPr>
      </w:pPr>
      <w:bookmarkStart w:id="22" w:name="_heading=h.6mhksnpif80c" w:colFirst="0" w:colLast="0"/>
      <w:bookmarkEnd w:id="22"/>
      <w:r w:rsidRPr="002B2E9A">
        <w:rPr>
          <w:color w:val="000000" w:themeColor="text1"/>
          <w:highlight w:val="white"/>
        </w:rPr>
        <w:t xml:space="preserve">Whitby, R.D. (2022) </w:t>
      </w:r>
      <w:r w:rsidRPr="002B2E9A">
        <w:rPr>
          <w:i/>
          <w:iCs/>
          <w:color w:val="000000" w:themeColor="text1"/>
          <w:highlight w:val="white"/>
        </w:rPr>
        <w:t>Lubricant Marketing, Selling, and Key Account Management</w:t>
      </w:r>
      <w:r w:rsidRPr="002B2E9A">
        <w:rPr>
          <w:color w:val="000000" w:themeColor="text1"/>
          <w:highlight w:val="white"/>
        </w:rPr>
        <w:t>. CRC Press.</w:t>
      </w:r>
    </w:p>
    <w:p w14:paraId="183CBC2D" w14:textId="77777777" w:rsidR="0001676B" w:rsidRPr="002B2E9A" w:rsidRDefault="00442B81">
      <w:pPr>
        <w:rPr>
          <w:color w:val="000000" w:themeColor="text1"/>
          <w:highlight w:val="white"/>
        </w:rPr>
      </w:pPr>
      <w:r w:rsidRPr="002B2E9A">
        <w:rPr>
          <w:color w:val="000000" w:themeColor="text1"/>
          <w:highlight w:val="white"/>
        </w:rPr>
        <w:t xml:space="preserve">Williams, P. (2022) ‘Organisational culture: definitions, distinctions and functions. In </w:t>
      </w:r>
      <w:r w:rsidRPr="002B2E9A">
        <w:rPr>
          <w:i/>
          <w:iCs/>
          <w:color w:val="000000" w:themeColor="text1"/>
          <w:highlight w:val="white"/>
        </w:rPr>
        <w:t>Handbook of research methods for organisational culture</w:t>
      </w:r>
      <w:r w:rsidRPr="002B2E9A">
        <w:rPr>
          <w:color w:val="000000" w:themeColor="text1"/>
          <w:highlight w:val="white"/>
        </w:rPr>
        <w:t xml:space="preserve"> (pp. 5-22). Edward Elgar Publishing. Available at: https://doi.org/10.4337/9781788976268.00008</w:t>
      </w:r>
    </w:p>
    <w:p w14:paraId="6D0BCBFB" w14:textId="77777777" w:rsidR="00515AD5" w:rsidRPr="002B2E9A" w:rsidRDefault="00515AD5">
      <w:pPr>
        <w:rPr>
          <w:color w:val="000000" w:themeColor="text1"/>
          <w:highlight w:val="white"/>
        </w:rPr>
      </w:pPr>
    </w:p>
    <w:sectPr w:rsidR="00515AD5" w:rsidRPr="002B2E9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60F1640-276E-4635-8A78-23E0C94DDAC7}"/>
  </w:font>
  <w:font w:name="Tahoma">
    <w:panose1 w:val="020B0604030504040204"/>
    <w:charset w:val="00"/>
    <w:family w:val="swiss"/>
    <w:pitch w:val="variable"/>
    <w:sig w:usb0="E1002EFF" w:usb1="C000605B" w:usb2="00000029" w:usb3="00000000" w:csb0="000101FF" w:csb1="00000000"/>
    <w:embedRegular r:id="rId2" w:fontKey="{A6226EF1-B34F-4D63-825F-4592E70EF39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59F5E89-E0F8-45F8-855B-7981CBEDC51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F6EF5"/>
    <w:multiLevelType w:val="multilevel"/>
    <w:tmpl w:val="080AD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5378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AD5"/>
    <w:rsid w:val="0001676B"/>
    <w:rsid w:val="00036D00"/>
    <w:rsid w:val="002B2E9A"/>
    <w:rsid w:val="003435AB"/>
    <w:rsid w:val="003A1D36"/>
    <w:rsid w:val="003C1A03"/>
    <w:rsid w:val="00420860"/>
    <w:rsid w:val="00442B81"/>
    <w:rsid w:val="00491953"/>
    <w:rsid w:val="00515AD5"/>
    <w:rsid w:val="005914CA"/>
    <w:rsid w:val="00697177"/>
    <w:rsid w:val="006B7949"/>
    <w:rsid w:val="0086504A"/>
    <w:rsid w:val="009A27A6"/>
    <w:rsid w:val="009A4A59"/>
    <w:rsid w:val="009C4899"/>
    <w:rsid w:val="00B07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80C1A"/>
  <w15:docId w15:val="{3B43F63D-23AB-4791-9FBE-4ADA2F72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00">
    <w:name w:val="TableNormal_0"/>
    <w:tblPr>
      <w:tblCellMar>
        <w:top w:w="100" w:type="dxa"/>
        <w:left w:w="100" w:type="dxa"/>
        <w:bottom w:w="100" w:type="dxa"/>
        <w:right w:w="100" w:type="dxa"/>
      </w:tblCellMar>
    </w:tblPr>
  </w:style>
  <w:style w:type="table" w:customStyle="1" w:styleId="TableNormal1">
    <w:name w:val="TableNormal_1"/>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a">
    <w:name w:val="a"/>
    <w:basedOn w:val="TableNormal000"/>
    <w:tblPr>
      <w:tblStyleRowBandSize w:val="1"/>
      <w:tblStyleColBandSize w:val="1"/>
    </w:tblPr>
  </w:style>
  <w:style w:type="table" w:customStyle="1" w:styleId="a0">
    <w:name w:val="a0"/>
    <w:basedOn w:val="TableNormal000"/>
    <w:tblPr>
      <w:tblStyleRowBandSize w:val="1"/>
      <w:tblStyleColBandSize w:val="1"/>
    </w:tblPr>
  </w:style>
  <w:style w:type="table" w:customStyle="1" w:styleId="a1">
    <w:name w:val="a1"/>
    <w:basedOn w:val="TableNormal000"/>
    <w:tblPr>
      <w:tblStyleRowBandSize w:val="1"/>
      <w:tblStyleColBandSize w:val="1"/>
    </w:tblPr>
  </w:style>
  <w:style w:type="table" w:customStyle="1" w:styleId="a2">
    <w:name w:val="a2"/>
    <w:basedOn w:val="TableNormal000"/>
    <w:tblPr>
      <w:tblStyleRowBandSize w:val="1"/>
      <w:tblStyleColBandSize w:val="1"/>
    </w:tblPr>
  </w:style>
  <w:style w:type="table" w:customStyle="1" w:styleId="a3">
    <w:name w:val="a3"/>
    <w:basedOn w:val="TableNormal000"/>
    <w:tblPr>
      <w:tblStyleRowBandSize w:val="1"/>
      <w:tblStyleColBandSize w:val="1"/>
    </w:tblPr>
  </w:style>
  <w:style w:type="paragraph" w:styleId="TOCHeading">
    <w:name w:val="TOC Heading"/>
    <w:basedOn w:val="Heading1"/>
    <w:next w:val="Normal"/>
    <w:uiPriority w:val="39"/>
    <w:unhideWhenUsed/>
    <w:qFormat/>
    <w:rsid w:val="00505DA6"/>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505DA6"/>
    <w:pPr>
      <w:spacing w:after="100"/>
    </w:pPr>
  </w:style>
  <w:style w:type="paragraph" w:styleId="TOC2">
    <w:name w:val="toc 2"/>
    <w:basedOn w:val="Normal"/>
    <w:next w:val="Normal"/>
    <w:autoRedefine/>
    <w:uiPriority w:val="39"/>
    <w:unhideWhenUsed/>
    <w:rsid w:val="00505DA6"/>
    <w:pPr>
      <w:spacing w:after="100"/>
      <w:ind w:left="240"/>
    </w:pPr>
  </w:style>
  <w:style w:type="character" w:styleId="Hyperlink">
    <w:name w:val="Hyperlink"/>
    <w:basedOn w:val="DefaultParagraphFont"/>
    <w:uiPriority w:val="99"/>
    <w:unhideWhenUsed/>
    <w:rsid w:val="00505DA6"/>
    <w:rPr>
      <w:color w:val="0000FF" w:themeColor="hyperlink"/>
      <w:u w:val="single"/>
    </w:rPr>
  </w:style>
  <w:style w:type="paragraph" w:styleId="Header">
    <w:name w:val="header"/>
    <w:basedOn w:val="Normal"/>
    <w:link w:val="HeaderChar"/>
    <w:uiPriority w:val="99"/>
    <w:unhideWhenUsed/>
    <w:rsid w:val="000376AF"/>
    <w:pPr>
      <w:tabs>
        <w:tab w:val="center" w:pos="4513"/>
        <w:tab w:val="right" w:pos="9026"/>
      </w:tabs>
      <w:spacing w:line="240" w:lineRule="auto"/>
    </w:pPr>
  </w:style>
  <w:style w:type="character" w:customStyle="1" w:styleId="HeaderChar">
    <w:name w:val="Header Char"/>
    <w:basedOn w:val="DefaultParagraphFont"/>
    <w:link w:val="Header"/>
    <w:uiPriority w:val="99"/>
    <w:rsid w:val="000376AF"/>
  </w:style>
  <w:style w:type="paragraph" w:styleId="Footer">
    <w:name w:val="footer"/>
    <w:basedOn w:val="Normal"/>
    <w:link w:val="FooterChar"/>
    <w:uiPriority w:val="99"/>
    <w:unhideWhenUsed/>
    <w:rsid w:val="000376AF"/>
    <w:pPr>
      <w:tabs>
        <w:tab w:val="center" w:pos="4513"/>
        <w:tab w:val="right" w:pos="9026"/>
      </w:tabs>
      <w:spacing w:line="240" w:lineRule="auto"/>
    </w:pPr>
  </w:style>
  <w:style w:type="character" w:customStyle="1" w:styleId="FooterChar">
    <w:name w:val="Footer Char"/>
    <w:basedOn w:val="DefaultParagraphFont"/>
    <w:link w:val="Footer"/>
    <w:uiPriority w:val="99"/>
    <w:rsid w:val="000376AF"/>
  </w:style>
  <w:style w:type="character" w:customStyle="1" w:styleId="UnresolvedMention1">
    <w:name w:val="Unresolved Mention1"/>
    <w:basedOn w:val="DefaultParagraphFont"/>
    <w:uiPriority w:val="99"/>
    <w:semiHidden/>
    <w:unhideWhenUsed/>
    <w:rsid w:val="00FB3AE9"/>
    <w:rPr>
      <w:color w:val="605E5C"/>
      <w:shd w:val="clear" w:color="auto" w:fill="E1DFDD"/>
    </w:rPr>
  </w:style>
  <w:style w:type="character" w:styleId="CommentReference">
    <w:name w:val="annotation reference"/>
    <w:basedOn w:val="DefaultParagraphFont"/>
    <w:uiPriority w:val="99"/>
    <w:semiHidden/>
    <w:unhideWhenUsed/>
    <w:rsid w:val="00DC2581"/>
    <w:rPr>
      <w:sz w:val="16"/>
      <w:szCs w:val="16"/>
    </w:rPr>
  </w:style>
  <w:style w:type="paragraph" w:styleId="CommentText">
    <w:name w:val="annotation text"/>
    <w:basedOn w:val="Normal"/>
    <w:link w:val="CommentTextChar"/>
    <w:uiPriority w:val="99"/>
    <w:unhideWhenUsed/>
    <w:rsid w:val="00DC2581"/>
    <w:pPr>
      <w:spacing w:line="240" w:lineRule="auto"/>
    </w:pPr>
    <w:rPr>
      <w:sz w:val="20"/>
      <w:szCs w:val="20"/>
    </w:rPr>
  </w:style>
  <w:style w:type="character" w:customStyle="1" w:styleId="CommentTextChar">
    <w:name w:val="Comment Text Char"/>
    <w:basedOn w:val="DefaultParagraphFont"/>
    <w:link w:val="CommentText"/>
    <w:uiPriority w:val="99"/>
    <w:rsid w:val="00DC2581"/>
    <w:rPr>
      <w:sz w:val="20"/>
      <w:szCs w:val="20"/>
    </w:rPr>
  </w:style>
  <w:style w:type="paragraph" w:styleId="CommentSubject">
    <w:name w:val="annotation subject"/>
    <w:basedOn w:val="CommentText"/>
    <w:next w:val="CommentText"/>
    <w:link w:val="CommentSubjectChar"/>
    <w:uiPriority w:val="99"/>
    <w:semiHidden/>
    <w:unhideWhenUsed/>
    <w:rsid w:val="00DC2581"/>
    <w:rPr>
      <w:b/>
      <w:bCs/>
    </w:rPr>
  </w:style>
  <w:style w:type="character" w:customStyle="1" w:styleId="CommentSubjectChar">
    <w:name w:val="Comment Subject Char"/>
    <w:basedOn w:val="CommentTextChar"/>
    <w:link w:val="CommentSubject"/>
    <w:uiPriority w:val="99"/>
    <w:semiHidden/>
    <w:rsid w:val="00DC2581"/>
    <w:rPr>
      <w:b/>
      <w:bCs/>
      <w:sz w:val="20"/>
      <w:szCs w:val="20"/>
    </w:rPr>
  </w:style>
  <w:style w:type="table" w:customStyle="1" w:styleId="a4">
    <w:name w:val="a4"/>
    <w:basedOn w:val="TableNormal"/>
    <w:tblPr>
      <w:tblStyleRowBandSize w:val="1"/>
      <w:tblStyleColBandSize w:val="1"/>
    </w:tblPr>
  </w:style>
  <w:style w:type="table" w:customStyle="1" w:styleId="a5">
    <w:name w:val="a5"/>
    <w:basedOn w:val="TableNormal"/>
    <w:tblPr>
      <w:tblStyleRowBandSize w:val="1"/>
      <w:tblStyleColBandSize w:val="1"/>
    </w:tblPr>
  </w:style>
  <w:style w:type="table" w:customStyle="1" w:styleId="a6">
    <w:name w:val="a6"/>
    <w:basedOn w:val="TableNormal"/>
    <w:tblPr>
      <w:tblStyleRowBandSize w:val="1"/>
      <w:tblStyleColBandSize w:val="1"/>
    </w:tblPr>
  </w:style>
  <w:style w:type="table" w:customStyle="1" w:styleId="a7">
    <w:name w:val="a7"/>
    <w:basedOn w:val="TableNormal"/>
    <w:tblPr>
      <w:tblStyleRowBandSize w:val="1"/>
      <w:tblStyleColBandSize w:val="1"/>
    </w:tblPr>
  </w:style>
  <w:style w:type="table" w:customStyle="1" w:styleId="a8">
    <w:name w:val="a8"/>
    <w:basedOn w:val="TableNormal"/>
    <w:tblPr>
      <w:tblStyleRowBandSize w:val="1"/>
      <w:tblStyleColBandSize w:val="1"/>
    </w:tblPr>
  </w:style>
  <w:style w:type="paragraph" w:styleId="BalloonText">
    <w:name w:val="Balloon Text"/>
    <w:basedOn w:val="Normal"/>
    <w:link w:val="BalloonTextChar"/>
    <w:uiPriority w:val="99"/>
    <w:semiHidden/>
    <w:unhideWhenUsed/>
    <w:rsid w:val="00EE23F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3F5"/>
    <w:rPr>
      <w:rFonts w:ascii="Tahoma" w:hAnsi="Tahoma" w:cs="Tahoma"/>
      <w:sz w:val="16"/>
      <w:szCs w:val="16"/>
    </w:rPr>
  </w:style>
  <w:style w:type="table" w:customStyle="1" w:styleId="a9">
    <w:name w:val="a9"/>
    <w:basedOn w:val="TableNormal"/>
    <w:tblPr>
      <w:tblStyleRowBandSize w:val="1"/>
      <w:tblStyleColBandSize w:val="1"/>
    </w:tblPr>
  </w:style>
  <w:style w:type="table" w:customStyle="1" w:styleId="aa">
    <w:name w:val="aa"/>
    <w:basedOn w:val="TableNormal"/>
    <w:tblPr>
      <w:tblStyleRowBandSize w:val="1"/>
      <w:tblStyleColBandSize w:val="1"/>
    </w:tblPr>
  </w:style>
  <w:style w:type="table" w:customStyle="1" w:styleId="ab">
    <w:name w:val="ab"/>
    <w:basedOn w:val="TableNormal"/>
    <w:tblPr>
      <w:tblStyleRowBandSize w:val="1"/>
      <w:tblStyleColBandSize w:val="1"/>
    </w:tblPr>
  </w:style>
  <w:style w:type="table" w:customStyle="1" w:styleId="ac">
    <w:name w:val="ac"/>
    <w:basedOn w:val="TableNormal"/>
    <w:tblPr>
      <w:tblStyleRowBandSize w:val="1"/>
      <w:tblStyleColBandSize w:val="1"/>
    </w:tblPr>
  </w:style>
  <w:style w:type="table" w:customStyle="1" w:styleId="ad">
    <w:name w:val="ad"/>
    <w:basedOn w:val="TableNormal"/>
    <w:tblPr>
      <w:tblStyleRowBandSize w:val="1"/>
      <w:tblStyleColBandSize w:val="1"/>
    </w:tbl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e">
    <w:name w:val="ae"/>
    <w:basedOn w:val="TableNormal"/>
    <w:tblPr>
      <w:tblStyleRowBandSize w:val="1"/>
      <w:tblStyleColBandSize w:val="1"/>
    </w:tblPr>
  </w:style>
  <w:style w:type="table" w:customStyle="1" w:styleId="af">
    <w:name w:val="af"/>
    <w:basedOn w:val="TableNormal"/>
    <w:tblPr>
      <w:tblStyleRowBandSize w:val="1"/>
      <w:tblStyleColBandSize w:val="1"/>
    </w:tblPr>
  </w:style>
  <w:style w:type="table" w:customStyle="1" w:styleId="af0">
    <w:name w:val="af0"/>
    <w:basedOn w:val="TableNormal"/>
    <w:tblPr>
      <w:tblStyleRowBandSize w:val="1"/>
      <w:tblStyleColBandSize w:val="1"/>
    </w:tblPr>
  </w:style>
  <w:style w:type="table" w:customStyle="1" w:styleId="af1">
    <w:name w:val="af1"/>
    <w:basedOn w:val="TableNormal"/>
    <w:tblPr>
      <w:tblStyleRowBandSize w:val="1"/>
      <w:tblStyleColBandSize w:val="1"/>
    </w:tblPr>
  </w:style>
  <w:style w:type="table" w:customStyle="1" w:styleId="af2">
    <w:name w:val="af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vnprwZLZrCCACrg+2LwPQMCHA==">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4771</Words>
  <Characters>27198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Gainus, Valentin</dc:creator>
  <cp:lastModifiedBy>Ancuta Bahnean</cp:lastModifiedBy>
  <cp:revision>2</cp:revision>
  <dcterms:created xsi:type="dcterms:W3CDTF">2026-02-28T15:04:00Z</dcterms:created>
  <dcterms:modified xsi:type="dcterms:W3CDTF">2026-02-28T15:04:00Z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ddd65546-ddcf-49a1-8d50-767f6ac429bb</vt:lpwstr>
  </property>
</Properties>
</file>