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0466F" w14:textId="33917A3D" w:rsidR="40B595CD" w:rsidRDefault="00CB2D45" w:rsidP="18558F8A">
      <w:pPr>
        <w:ind w:left="720"/>
        <w:jc w:val="center"/>
        <w:rPr>
          <w:rFonts w:ascii="Engravers MT" w:eastAsia="Engravers MT" w:hAnsi="Engravers MT" w:cs="Engravers MT"/>
          <w:b/>
          <w:bCs/>
          <w:color w:val="1A495D" w:themeColor="accent1" w:themeShade="80"/>
          <w:sz w:val="40"/>
          <w:szCs w:val="40"/>
        </w:rPr>
      </w:pPr>
      <w:r>
        <w:rPr>
          <w:rFonts w:ascii="Engravers MT" w:eastAsia="Engravers MT" w:hAnsi="Engravers MT" w:cs="Engravers MT"/>
          <w:b/>
          <w:bCs/>
          <w:color w:val="1A495D" w:themeColor="accent1" w:themeShade="80"/>
          <w:sz w:val="40"/>
          <w:szCs w:val="40"/>
        </w:rPr>
        <w:t>Assignment 1</w:t>
      </w:r>
    </w:p>
    <w:p w14:paraId="6BD6E3D7" w14:textId="069A4052" w:rsidR="18558F8A" w:rsidRDefault="545493A8" w:rsidP="66FE4CDA">
      <w:pPr>
        <w:rPr>
          <w:rFonts w:ascii="Engravers MT" w:eastAsia="Engravers MT" w:hAnsi="Engravers MT" w:cs="Engravers MT"/>
          <w:b/>
          <w:bCs/>
          <w:color w:val="1A495D" w:themeColor="accent1" w:themeShade="80"/>
          <w:sz w:val="32"/>
          <w:szCs w:val="32"/>
        </w:rPr>
      </w:pPr>
      <w:r>
        <w:rPr>
          <w:noProof/>
        </w:rPr>
        <mc:AlternateContent>
          <mc:Choice Requires="wps">
            <w:drawing>
              <wp:inline distT="0" distB="0" distL="0" distR="0" wp14:anchorId="0F412397" wp14:editId="49691011">
                <wp:extent cx="6962775" cy="9525"/>
                <wp:effectExtent l="0" t="0" r="28575" b="28575"/>
                <wp:docPr id="1267186644" name="drawing"/>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962775" cy="952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http://schemas.openxmlformats.org/drawingml/2006/main" xmlns:pic="http://schemas.openxmlformats.org/drawingml/2006/picture" xmlns:a14="http://schemas.microsoft.com/office/drawing/2010/main">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39D05885">
                <v:path fillok="f" arrowok="t" o:connecttype="none"/>
                <o:lock v:ext="edit" shapetype="t"/>
              </v:shapetype>
              <v:shape xmlns:o="urn:schemas-microsoft-com:office:office" xmlns:v="urn:schemas-microsoft-com:vml" id="Straight Arrow Connector 1" style="width:548.25pt;height:.75pt;visibility:visible;mso-wrap-style:square;mso-left-percent:-10001;mso-top-percent:-10001;mso-position-horizontal:absolute;mso-position-horizontal-relative:char;mso-position-vertical:absolute;mso-position-vertical-relative:line;mso-left-percent:-10001;mso-top-percent:-10001" o:spid="_x0000_s1026" strokecolor="#3494ba [320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somuQEAAK8DAAAOAAAAZHJzL2Uyb0RvYy54bWysU02P0zAQvSPxHyzft2krtctGTffQ1XJB&#10;sAL2B7jOOLHkL41Nk/57xk6bIhZxQFwmtsdv5s3zy+5xtIadAKP2ruGrxZIzcNK32nUNf/3+fPeB&#10;s5iEa4XxDhp+hsgf9+/f7YZQw9r33rSAjIq4WA+h4X1Koa6qKHuwIi58AEdJ5dGKRFvsqhbFQNWt&#10;qdbL5bYaPLYBvYQY6fRpSvJ9qa8UyPRFqQiJmYYTt1QilnjMsdrvRN2hCL2WFxriH1hYoR01nUs9&#10;iSTYD9RvSlkt0Uev0kJ6W3mltIQyA02zWv42zbdeBCizkDgxzDLF/1dWfj4d3AuSDEOIdQwvmKcY&#10;Fdr8JX5sLGKdZ7FgTEzS4fZhu76/33AmKfewWW+yltUNGzCmj+Aty4uGx4RCd306eOfoVTyuil7i&#10;9CmmCXgF5MbG5bMbpbJKZwNT8isoplsiMRUpboGDQXYS9M5CSnBpdeFjHN3OMKWNmYHL0v2vwMv9&#10;DIXipDdg7I656WQn8jsZ7GoqEmIGlebepRlvtfP4JwJpvLJW0/2rCNPoWYWjb8/lvYo65Ioi+sXB&#10;2Xa/7gv89p/tfwIAAP//AwBQSwMEFAAGAAgAAAAhAHIvZVDZAAAABAEAAA8AAABkcnMvZG93bnJl&#10;di54bWxMj8FuwjAQRO+V+AdrkXorDkVEkMZBVSWOOUD7AZt4mwTsdRqbEPr1Nb20l9WsZjXzNt9N&#10;1oiRBt85VrBcJCCIa6c7bhR8vO+fNiB8QNZoHJOCG3nYFbOHHDPtrnyg8RgaEUPYZ6igDaHPpPR1&#10;Sxb9wvXE0ft0g8UQ16GResBrDLdGPidJKi12HBta7Omtpfp8vFgF4VRtvkZD36uyQ7wtq215SEul&#10;HufT6wuIQFP4O4Y7fkSHIjJV7sLaC6MgPhJ+591LtukaRBXVGmSRy//wxQ8AAAD//wMAUEsBAi0A&#10;FAAGAAgAAAAhALaDOJL+AAAA4QEAABMAAAAAAAAAAAAAAAAAAAAAAFtDb250ZW50X1R5cGVzXS54&#10;bWxQSwECLQAUAAYACAAAACEAOP0h/9YAAACUAQAACwAAAAAAAAAAAAAAAAAvAQAAX3JlbHMvLnJl&#10;bHNQSwECLQAUAAYACAAAACEATk7KJrkBAACvAwAADgAAAAAAAAAAAAAAAAAuAgAAZHJzL2Uyb0Rv&#10;Yy54bWxQSwECLQAUAAYACAAAACEAci9lUNkAAAAEAQAADwAAAAAAAAAAAAAAAAATBAAAZHJzL2Rv&#10;d25yZXYueG1sUEsFBgAAAAAEAAQA8wAAABkFAAAAAA==&#10;">
                <v:stroke joinstyle="miter"/>
                <w10:anchorlock xmlns:w10="urn:schemas-microsoft-com:office:word"/>
              </v:shape>
            </w:pict>
          </mc:Fallback>
        </mc:AlternateContent>
      </w:r>
    </w:p>
    <w:p w14:paraId="387A9564" w14:textId="2B095781" w:rsidR="18558F8A" w:rsidRDefault="18558F8A" w:rsidP="18558F8A">
      <w:pPr>
        <w:ind w:left="720"/>
        <w:jc w:val="center"/>
      </w:pPr>
      <w:r>
        <w:rPr>
          <w:noProof/>
        </w:rPr>
        <w:drawing>
          <wp:anchor distT="0" distB="0" distL="114300" distR="114300" simplePos="0" relativeHeight="251658240" behindDoc="1" locked="0" layoutInCell="1" allowOverlap="1" wp14:anchorId="3C0EDF06" wp14:editId="1BF8A367">
            <wp:simplePos x="0" y="0"/>
            <wp:positionH relativeFrom="column">
              <wp:align>left</wp:align>
            </wp:positionH>
            <wp:positionV relativeFrom="paragraph">
              <wp:posOffset>0</wp:posOffset>
            </wp:positionV>
            <wp:extent cx="5724525" cy="3819525"/>
            <wp:effectExtent l="0" t="0" r="0" b="0"/>
            <wp:wrapNone/>
            <wp:docPr id="13811104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110401" name="Picture 1381110401"/>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14:sizeRelH relativeFrom="page">
              <wp14:pctWidth>0</wp14:pctWidth>
            </wp14:sizeRelH>
            <wp14:sizeRelV relativeFrom="page">
              <wp14:pctHeight>0</wp14:pctHeight>
            </wp14:sizeRelV>
          </wp:anchor>
        </w:drawing>
      </w:r>
    </w:p>
    <w:p w14:paraId="177CF5F1" w14:textId="16E2C809" w:rsidR="18558F8A" w:rsidRDefault="18558F8A" w:rsidP="18558F8A">
      <w:pPr>
        <w:ind w:left="720"/>
        <w:jc w:val="center"/>
        <w:rPr>
          <w:rFonts w:ascii="Engravers MT" w:eastAsia="Engravers MT" w:hAnsi="Engravers MT" w:cs="Engravers MT"/>
          <w:b/>
          <w:bCs/>
          <w:color w:val="1A495D" w:themeColor="accent1" w:themeShade="80"/>
          <w:sz w:val="36"/>
          <w:szCs w:val="36"/>
        </w:rPr>
      </w:pPr>
    </w:p>
    <w:p w14:paraId="42EF540A" w14:textId="07C11E4A" w:rsidR="18558F8A" w:rsidRDefault="18558F8A" w:rsidP="18558F8A">
      <w:pPr>
        <w:ind w:left="720"/>
        <w:jc w:val="center"/>
        <w:rPr>
          <w:rFonts w:ascii="Engravers MT" w:eastAsia="Engravers MT" w:hAnsi="Engravers MT" w:cs="Engravers MT"/>
          <w:b/>
          <w:bCs/>
          <w:color w:val="1A495D" w:themeColor="accent1" w:themeShade="80"/>
          <w:sz w:val="36"/>
          <w:szCs w:val="36"/>
        </w:rPr>
      </w:pPr>
    </w:p>
    <w:p w14:paraId="5C4912C4" w14:textId="43E8EDCF" w:rsidR="18558F8A" w:rsidRDefault="18558F8A" w:rsidP="18558F8A">
      <w:pPr>
        <w:ind w:left="720"/>
        <w:jc w:val="center"/>
        <w:rPr>
          <w:rFonts w:ascii="Engravers MT" w:eastAsia="Engravers MT" w:hAnsi="Engravers MT" w:cs="Engravers MT"/>
          <w:b/>
          <w:bCs/>
          <w:color w:val="1A495D" w:themeColor="accent1" w:themeShade="80"/>
          <w:sz w:val="36"/>
          <w:szCs w:val="36"/>
        </w:rPr>
      </w:pPr>
    </w:p>
    <w:p w14:paraId="3D3ED94A" w14:textId="330FBF54" w:rsidR="18558F8A" w:rsidRDefault="5735B0BF" w:rsidP="66FE4CDA">
      <w:pPr>
        <w:ind w:left="720"/>
        <w:jc w:val="center"/>
        <w:rPr>
          <w:rFonts w:ascii="Engravers MT" w:eastAsia="Engravers MT" w:hAnsi="Engravers MT" w:cs="Engravers MT"/>
          <w:b/>
          <w:bCs/>
          <w:color w:val="FFFFFF" w:themeColor="background1"/>
          <w:sz w:val="36"/>
          <w:szCs w:val="36"/>
        </w:rPr>
      </w:pPr>
      <w:r w:rsidRPr="66FE4CDA">
        <w:rPr>
          <w:rFonts w:ascii="Engravers MT" w:eastAsia="Engravers MT" w:hAnsi="Engravers MT" w:cs="Engravers MT"/>
          <w:b/>
          <w:bCs/>
          <w:color w:val="FFFFFF" w:themeColor="background1"/>
          <w:sz w:val="36"/>
          <w:szCs w:val="36"/>
        </w:rPr>
        <w:t>Morgan Dora 237894</w:t>
      </w:r>
    </w:p>
    <w:p w14:paraId="56733A68" w14:textId="5E8D9650" w:rsidR="18558F8A" w:rsidRDefault="18558F8A" w:rsidP="66FE4CDA">
      <w:pPr>
        <w:ind w:left="720"/>
        <w:jc w:val="center"/>
        <w:rPr>
          <w:rFonts w:ascii="Engravers MT" w:eastAsia="Engravers MT" w:hAnsi="Engravers MT" w:cs="Engravers MT"/>
          <w:b/>
          <w:bCs/>
          <w:color w:val="FFFFFF" w:themeColor="background1"/>
          <w:sz w:val="36"/>
          <w:szCs w:val="36"/>
        </w:rPr>
      </w:pPr>
    </w:p>
    <w:p w14:paraId="15B375F8" w14:textId="4CF14A9D" w:rsidR="18558F8A" w:rsidRDefault="18558F8A" w:rsidP="18558F8A">
      <w:pPr>
        <w:ind w:left="720"/>
        <w:jc w:val="center"/>
        <w:rPr>
          <w:rFonts w:ascii="Engravers MT" w:eastAsia="Engravers MT" w:hAnsi="Engravers MT" w:cs="Engravers MT"/>
          <w:b/>
          <w:bCs/>
          <w:color w:val="1A495D" w:themeColor="accent1" w:themeShade="80"/>
          <w:sz w:val="36"/>
          <w:szCs w:val="36"/>
        </w:rPr>
      </w:pPr>
    </w:p>
    <w:p w14:paraId="72ED6703" w14:textId="5BDF4BC6" w:rsidR="18558F8A" w:rsidRDefault="18558F8A" w:rsidP="18558F8A">
      <w:pPr>
        <w:ind w:left="720"/>
        <w:jc w:val="center"/>
        <w:rPr>
          <w:rFonts w:ascii="Engravers MT" w:eastAsia="Engravers MT" w:hAnsi="Engravers MT" w:cs="Engravers MT"/>
          <w:b/>
          <w:bCs/>
          <w:color w:val="1A495D" w:themeColor="accent1" w:themeShade="80"/>
          <w:sz w:val="36"/>
          <w:szCs w:val="36"/>
        </w:rPr>
      </w:pPr>
    </w:p>
    <w:p w14:paraId="31C64B34" w14:textId="3BAA04AC" w:rsidR="58262513" w:rsidRDefault="58262513" w:rsidP="66FE4CDA">
      <w:pPr>
        <w:jc w:val="center"/>
        <w:rPr>
          <w:rFonts w:ascii="Engravers MT" w:eastAsia="Engravers MT" w:hAnsi="Engravers MT" w:cs="Engravers MT"/>
          <w:b/>
          <w:bCs/>
          <w:color w:val="FFFFFF" w:themeColor="background1"/>
          <w:sz w:val="36"/>
          <w:szCs w:val="36"/>
        </w:rPr>
      </w:pPr>
      <w:r w:rsidRPr="66FE4CDA">
        <w:rPr>
          <w:rFonts w:ascii="Engravers MT" w:eastAsia="Engravers MT" w:hAnsi="Engravers MT" w:cs="Engravers MT"/>
          <w:b/>
          <w:bCs/>
          <w:color w:val="FFFFFF" w:themeColor="background1"/>
          <w:sz w:val="36"/>
          <w:szCs w:val="36"/>
        </w:rPr>
        <w:t xml:space="preserve">BSc Applied Computing </w:t>
      </w:r>
    </w:p>
    <w:p w14:paraId="065B60E2" w14:textId="77777777" w:rsidR="00CB2D45" w:rsidRDefault="00CB2D45" w:rsidP="66FE4CDA">
      <w:pPr>
        <w:jc w:val="center"/>
        <w:rPr>
          <w:rFonts w:ascii="Engravers MT" w:eastAsia="Engravers MT" w:hAnsi="Engravers MT" w:cs="Engravers MT"/>
          <w:b/>
          <w:bCs/>
          <w:color w:val="FFFFFF" w:themeColor="background1"/>
          <w:sz w:val="36"/>
          <w:szCs w:val="36"/>
        </w:rPr>
      </w:pPr>
    </w:p>
    <w:p w14:paraId="210F58A8" w14:textId="460DBDFF" w:rsidR="18558F8A" w:rsidRDefault="18558F8A" w:rsidP="18558F8A">
      <w:pPr>
        <w:ind w:left="720"/>
        <w:jc w:val="center"/>
        <w:rPr>
          <w:rFonts w:ascii="Engravers MT" w:eastAsia="Engravers MT" w:hAnsi="Engravers MT" w:cs="Engravers MT"/>
          <w:b/>
          <w:bCs/>
          <w:sz w:val="36"/>
          <w:szCs w:val="36"/>
        </w:rPr>
      </w:pPr>
    </w:p>
    <w:p w14:paraId="14DC29F1" w14:textId="6A1C13F6" w:rsidR="31586931" w:rsidRDefault="58262513" w:rsidP="00CB2D45">
      <w:pPr>
        <w:jc w:val="center"/>
        <w:rPr>
          <w:rFonts w:ascii="Engravers MT" w:eastAsia="Engravers MT" w:hAnsi="Engravers MT" w:cs="Engravers MT"/>
          <w:b/>
          <w:bCs/>
          <w:color w:val="1A495D" w:themeColor="accent1" w:themeShade="80"/>
          <w:sz w:val="32"/>
          <w:szCs w:val="32"/>
        </w:rPr>
      </w:pPr>
      <w:r w:rsidRPr="66FE4CDA">
        <w:rPr>
          <w:rFonts w:ascii="Engravers MT" w:eastAsia="Engravers MT" w:hAnsi="Engravers MT" w:cs="Engravers MT"/>
          <w:b/>
          <w:bCs/>
          <w:color w:val="1A495D" w:themeColor="accent1" w:themeShade="80"/>
          <w:sz w:val="32"/>
          <w:szCs w:val="32"/>
        </w:rPr>
        <w:t>Data Warehousing &amp; Data Minin</w:t>
      </w:r>
      <w:r w:rsidR="00DDBCA8" w:rsidRPr="66FE4CDA">
        <w:rPr>
          <w:rFonts w:ascii="Engravers MT" w:eastAsia="Engravers MT" w:hAnsi="Engravers MT" w:cs="Engravers MT"/>
          <w:b/>
          <w:bCs/>
          <w:color w:val="1A495D" w:themeColor="accent1" w:themeShade="80"/>
          <w:sz w:val="32"/>
          <w:szCs w:val="32"/>
        </w:rPr>
        <w:t>g</w:t>
      </w:r>
    </w:p>
    <w:p w14:paraId="5780B730" w14:textId="3361C644" w:rsidR="31586931" w:rsidRDefault="1706F6C4" w:rsidP="00CB2D45">
      <w:pPr>
        <w:jc w:val="center"/>
        <w:rPr>
          <w:rFonts w:ascii="Engravers MT" w:eastAsia="Engravers MT" w:hAnsi="Engravers MT" w:cs="Engravers MT"/>
          <w:b/>
          <w:bCs/>
          <w:color w:val="1A495D" w:themeColor="accent1" w:themeShade="80"/>
          <w:sz w:val="32"/>
          <w:szCs w:val="32"/>
        </w:rPr>
      </w:pPr>
      <w:r w:rsidRPr="66FE4CDA">
        <w:rPr>
          <w:rFonts w:ascii="Engravers MT" w:eastAsia="Engravers MT" w:hAnsi="Engravers MT" w:cs="Engravers MT"/>
          <w:b/>
          <w:bCs/>
          <w:color w:val="1A495D" w:themeColor="accent1" w:themeShade="80"/>
          <w:sz w:val="32"/>
          <w:szCs w:val="32"/>
        </w:rPr>
        <w:t>ACCA6026</w:t>
      </w:r>
    </w:p>
    <w:p w14:paraId="0AF353EB" w14:textId="20842D32" w:rsidR="66FE4CDA" w:rsidRDefault="66FE4CDA" w:rsidP="00CB2D45">
      <w:pPr>
        <w:jc w:val="center"/>
        <w:rPr>
          <w:rFonts w:ascii="Engravers MT" w:eastAsia="Engravers MT" w:hAnsi="Engravers MT" w:cs="Engravers MT"/>
          <w:b/>
          <w:bCs/>
          <w:color w:val="1A495D" w:themeColor="accent1" w:themeShade="80"/>
          <w:sz w:val="32"/>
          <w:szCs w:val="32"/>
        </w:rPr>
      </w:pPr>
    </w:p>
    <w:p w14:paraId="143CD6C3" w14:textId="77777777" w:rsidR="00CB2D45" w:rsidRDefault="00CB2D45" w:rsidP="00CB2D45">
      <w:pPr>
        <w:jc w:val="center"/>
        <w:rPr>
          <w:rFonts w:ascii="Engravers MT" w:eastAsia="Engravers MT" w:hAnsi="Engravers MT" w:cs="Engravers MT"/>
          <w:b/>
          <w:bCs/>
          <w:color w:val="1A495D" w:themeColor="accent1" w:themeShade="80"/>
          <w:sz w:val="32"/>
          <w:szCs w:val="32"/>
        </w:rPr>
      </w:pPr>
    </w:p>
    <w:p w14:paraId="4A21EC03" w14:textId="1BDB219B" w:rsidR="31586931" w:rsidRDefault="58262513" w:rsidP="00CB2D45">
      <w:pPr>
        <w:ind w:left="720"/>
        <w:jc w:val="center"/>
        <w:rPr>
          <w:rFonts w:ascii="Engravers MT" w:eastAsia="Engravers MT" w:hAnsi="Engravers MT" w:cs="Engravers MT"/>
          <w:b/>
          <w:bCs/>
          <w:color w:val="1A495D" w:themeColor="accent1" w:themeShade="80"/>
          <w:sz w:val="32"/>
          <w:szCs w:val="32"/>
        </w:rPr>
      </w:pPr>
      <w:r w:rsidRPr="66FE4CDA">
        <w:rPr>
          <w:rFonts w:ascii="Engravers MT" w:eastAsia="Engravers MT" w:hAnsi="Engravers MT" w:cs="Engravers MT"/>
          <w:b/>
          <w:bCs/>
          <w:color w:val="1A495D" w:themeColor="accent1" w:themeShade="80"/>
          <w:sz w:val="32"/>
          <w:szCs w:val="32"/>
        </w:rPr>
        <w:t>Lecturer: Rajeev Nath</w:t>
      </w:r>
    </w:p>
    <w:p w14:paraId="19DDC9B0" w14:textId="77777777" w:rsidR="00CB2D45" w:rsidRDefault="00CB2D45" w:rsidP="66FE4CDA">
      <w:pPr>
        <w:ind w:left="720"/>
        <w:jc w:val="center"/>
        <w:rPr>
          <w:rFonts w:ascii="Engravers MT" w:eastAsia="Engravers MT" w:hAnsi="Engravers MT" w:cs="Engravers MT"/>
          <w:b/>
          <w:bCs/>
          <w:color w:val="1A495D" w:themeColor="accent1" w:themeShade="80"/>
          <w:sz w:val="32"/>
          <w:szCs w:val="32"/>
        </w:rPr>
      </w:pPr>
    </w:p>
    <w:p w14:paraId="4B4BEDCA" w14:textId="77777777" w:rsidR="00CB2D45" w:rsidRDefault="00CB2D45" w:rsidP="66FE4CDA">
      <w:pPr>
        <w:ind w:left="720"/>
        <w:jc w:val="center"/>
        <w:rPr>
          <w:rFonts w:ascii="Engravers MT" w:eastAsia="Engravers MT" w:hAnsi="Engravers MT" w:cs="Engravers MT"/>
          <w:b/>
          <w:bCs/>
          <w:color w:val="1A495D" w:themeColor="accent1" w:themeShade="80"/>
          <w:sz w:val="32"/>
          <w:szCs w:val="32"/>
        </w:rPr>
      </w:pPr>
    </w:p>
    <w:p w14:paraId="1908FCB2" w14:textId="4377219C" w:rsidR="18558F8A" w:rsidRDefault="18558F8A" w:rsidP="66FE4CDA">
      <w:pPr>
        <w:ind w:left="720"/>
        <w:jc w:val="center"/>
        <w:rPr>
          <w:rFonts w:ascii="Engravers MT" w:eastAsia="Engravers MT" w:hAnsi="Engravers MT" w:cs="Engravers MT"/>
          <w:b/>
          <w:bCs/>
          <w:color w:val="1A495D" w:themeColor="accent1" w:themeShade="80"/>
          <w:sz w:val="32"/>
          <w:szCs w:val="32"/>
        </w:rPr>
      </w:pPr>
    </w:p>
    <w:p w14:paraId="7A84A6CA" w14:textId="4CF0BC4C" w:rsidR="0C4B293E" w:rsidRDefault="0C4B293E" w:rsidP="66FE4CDA">
      <w:pPr>
        <w:jc w:val="center"/>
        <w:rPr>
          <w:rFonts w:ascii="Engravers MT" w:eastAsia="Engravers MT" w:hAnsi="Engravers MT" w:cs="Engravers MT"/>
          <w:b/>
          <w:bCs/>
          <w:color w:val="1A495D" w:themeColor="accent1" w:themeShade="80"/>
          <w:sz w:val="20"/>
          <w:szCs w:val="20"/>
        </w:rPr>
      </w:pPr>
      <w:r w:rsidRPr="66FE4CDA">
        <w:rPr>
          <w:rFonts w:ascii="Engravers MT" w:eastAsia="Engravers MT" w:hAnsi="Engravers MT" w:cs="Engravers MT"/>
          <w:b/>
          <w:bCs/>
          <w:color w:val="1A495D" w:themeColor="accent1" w:themeShade="80"/>
          <w:sz w:val="20"/>
          <w:szCs w:val="20"/>
        </w:rPr>
        <w:t xml:space="preserve">University of Wales, Trinity Saint </w:t>
      </w:r>
      <w:proofErr w:type="gramStart"/>
      <w:r w:rsidRPr="66FE4CDA">
        <w:rPr>
          <w:rFonts w:ascii="Engravers MT" w:eastAsia="Engravers MT" w:hAnsi="Engravers MT" w:cs="Engravers MT"/>
          <w:b/>
          <w:bCs/>
          <w:color w:val="1A495D" w:themeColor="accent1" w:themeShade="80"/>
          <w:sz w:val="20"/>
          <w:szCs w:val="20"/>
        </w:rPr>
        <w:t>David  ,</w:t>
      </w:r>
      <w:proofErr w:type="gramEnd"/>
      <w:r w:rsidRPr="66FE4CDA">
        <w:rPr>
          <w:rFonts w:ascii="Engravers MT" w:eastAsia="Engravers MT" w:hAnsi="Engravers MT" w:cs="Engravers MT"/>
          <w:b/>
          <w:bCs/>
          <w:color w:val="1A495D" w:themeColor="accent1" w:themeShade="80"/>
          <w:sz w:val="20"/>
          <w:szCs w:val="20"/>
        </w:rPr>
        <w:t xml:space="preserve"> London Campus 15/07/2026</w:t>
      </w:r>
    </w:p>
    <w:p w14:paraId="0154F9C7" w14:textId="7EA0DDFE" w:rsidR="00CB2D45" w:rsidRPr="00CB2D45" w:rsidRDefault="66FE4CDA" w:rsidP="00CB2D45">
      <w:r>
        <w:rPr>
          <w:noProof/>
        </w:rPr>
        <mc:AlternateContent>
          <mc:Choice Requires="wps">
            <w:drawing>
              <wp:inline distT="0" distB="0" distL="0" distR="0" wp14:anchorId="4ED1FBA0" wp14:editId="6B505A24">
                <wp:extent cx="5903315" cy="10617"/>
                <wp:effectExtent l="0" t="0" r="0" b="0"/>
                <wp:docPr id="183814388" name="drawing"/>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903315" cy="10617"/>
                        </a:xfrm>
                        <a:prstGeom prst="straightConnector1">
                          <a:avLst/>
                        </a:prstGeom>
                        <a:ln>
                          <a:solidFill>
                            <a:schemeClr val="bg2">
                              <a:lumMod val="25000"/>
                            </a:schemeClr>
                          </a:solidFill>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http://schemas.openxmlformats.org/drawingml/2006/main" xmlns:pic="http://schemas.openxmlformats.org/drawingml/2006/picture" xmlns:a14="http://schemas.microsoft.com/office/drawing/2010/main">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C14791F">
                <v:path fillok="f" arrowok="t" o:connecttype="none"/>
                <o:lock v:ext="edit" shapetype="t"/>
              </v:shapetype>
              <v:shape xmlns:o="urn:schemas-microsoft-com:office:office" xmlns:v="urn:schemas-microsoft-com:vml" id="Straight Arrow Connector 1" style="width:417pt;height:.75pt;flip:y;visibility:visible;mso-wrap-style:square;mso-left-percent:-10001;mso-top-percent:-10001;mso-position-horizontal:absolute;mso-position-horizontal-relative:char;mso-position-vertical:absolute;mso-position-vertical-relative:line;mso-left-percent:-10001;mso-top-percent:-10001" o:spid="_x0000_s1026" strokecolor="#243747 [814]"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K2n5QEAABYEAAAOAAAAZHJzL2Uyb0RvYy54bWysU01vGyEUvFfqf0Dc612vtFVteZ2Do/TS&#10;j6htescs7CIBDwHxrv99H2BvoqbqIcoF8TXzZobH7mY2mpyEDwpsR9ermhJhOfTKDh19+HX34RMl&#10;ITLbMw1WdPQsAr3Zv3+3m9xWNDCC7oUnSGLDdnIdHWN026oKfBSGhRU4YfFQgjcs4tIPVe/ZhOxG&#10;V01df6wm8L3zwEUIuHtbDuk+80spePwuZRCR6I6itphHn8djGqv9jm0Hz9yo+EUGe4UKw5TFogvV&#10;LYuMPHr1gsoo7iGAjCsOpgIpFRfZA7pZ13+5+TkyJ7IXDCe4JabwdrT82+lg7z3GMLmwDe7eJxez&#10;9IZIrdxvfNPsC5WSOcd2XmITcyQcN9tm025qTJfj2aZt2pRqVVgSm/MhfhZgSJp0NETP1DDGA1iL&#10;7wO+VGCnLyEW4BWQwNqmMYBW/Z3SOi9Sc4iD9uTE8FmPQ5Ml6kfzFfqy17Q1CipsuZfS9SzqGRNK&#10;TOzVk/M8i2ctSuUfQhLVo8OicCEqNRjnwsb1pYq2eDvBJKpcgHVW9l/g5X6CitywL8B+OCazpWvx&#10;W2HS195FCwsoFwcbF7xRFvy/BMT5qlqW+9cQivWUwhH6c26LnA42Xw7v8lFSdz9fZ/jTd97/AQAA&#10;//8DAFBLAwQUAAYACAAAACEApFLRPdsAAAADAQAADwAAAGRycy9kb3ducmV2LnhtbEyPQUvDQBCF&#10;74L/YRnBm91YbWnTbIoIingptkXwts1Ok2B2Nu5umthf39FLexl4vMeb72XLwTbigD7UjhTcjxIQ&#10;SIUzNZUKtpuXuxmIEDUZ3ThCBb8YYJlfX2U6Na6nDzysYym4hEKqFVQxtqmUoajQ6jByLRJ7e+et&#10;jix9KY3XPZfbRo6TZCqtrok/VLrF5wqL73VnFfRHv7Fx/Pk2Cd3rfvs1/1m9H6dK3d4MTwsQEYd4&#10;DsMfPqNDzkw715EJolHAQ+L/ZW/28Mhyx6EJyDyTl+z5CQAA//8DAFBLAQItABQABgAIAAAAIQC2&#10;gziS/gAAAOEBAAATAAAAAAAAAAAAAAAAAAAAAABbQ29udGVudF9UeXBlc10ueG1sUEsBAi0AFAAG&#10;AAgAAAAhADj9If/WAAAAlAEAAAsAAAAAAAAAAAAAAAAALwEAAF9yZWxzLy5yZWxzUEsBAi0AFAAG&#10;AAgAAAAhACI0raflAQAAFgQAAA4AAAAAAAAAAAAAAAAALgIAAGRycy9lMm9Eb2MueG1sUEsBAi0A&#10;FAAGAAgAAAAhAKRS0T3bAAAAAwEAAA8AAAAAAAAAAAAAAAAAPwQAAGRycy9kb3ducmV2LnhtbFBL&#10;BQYAAAAABAAEAPMAAABHBQAAAAA=&#10;">
                <v:stroke joinstyle="miter"/>
                <w10:anchorlock xmlns:w10="urn:schemas-microsoft-com:office:word"/>
              </v:shape>
            </w:pict>
          </mc:Fallback>
        </mc:AlternateContent>
      </w:r>
    </w:p>
    <w:p w14:paraId="1E5A93F4" w14:textId="46C6E9F6" w:rsidR="31586931" w:rsidRDefault="7FF98986" w:rsidP="00D23867">
      <w:pPr>
        <w:pStyle w:val="Heading1"/>
        <w:spacing w:line="360" w:lineRule="auto"/>
        <w:jc w:val="center"/>
        <w:rPr>
          <w:rFonts w:ascii="Arial" w:eastAsia="Arial" w:hAnsi="Arial" w:cs="Arial"/>
          <w:b/>
          <w:bCs/>
          <w:color w:val="auto"/>
          <w:sz w:val="22"/>
          <w:szCs w:val="22"/>
          <w:lang w:val="en-US"/>
        </w:rPr>
      </w:pPr>
      <w:bookmarkStart w:id="0" w:name="_Toc236712613"/>
      <w:r w:rsidRPr="00515AB9">
        <w:rPr>
          <w:rFonts w:ascii="Arial" w:eastAsia="Arial" w:hAnsi="Arial" w:cs="Arial"/>
          <w:b/>
          <w:bCs/>
          <w:color w:val="auto"/>
          <w:sz w:val="22"/>
          <w:szCs w:val="22"/>
          <w:lang w:val="en-US"/>
        </w:rPr>
        <w:lastRenderedPageBreak/>
        <w:t>Abstract</w:t>
      </w:r>
      <w:bookmarkEnd w:id="0"/>
    </w:p>
    <w:p w14:paraId="1E4FA826" w14:textId="77777777" w:rsidR="00D23867" w:rsidRPr="00D23867" w:rsidRDefault="00D23867" w:rsidP="00D23867">
      <w:pPr>
        <w:rPr>
          <w:lang w:val="en-US"/>
        </w:rPr>
      </w:pPr>
    </w:p>
    <w:p w14:paraId="21AF3404" w14:textId="14DA2EEA" w:rsidR="31586931" w:rsidRPr="00515AB9" w:rsidRDefault="7FF98986" w:rsidP="00515AB9">
      <w:pPr>
        <w:spacing w:line="360" w:lineRule="auto"/>
        <w:jc w:val="both"/>
        <w:rPr>
          <w:rFonts w:ascii="Arial" w:eastAsia="Arial" w:hAnsi="Arial" w:cs="Arial"/>
          <w:sz w:val="22"/>
          <w:szCs w:val="22"/>
          <w:lang w:val="en-US"/>
        </w:rPr>
      </w:pPr>
      <w:r w:rsidRPr="00515AB9">
        <w:rPr>
          <w:rFonts w:ascii="Arial" w:eastAsia="Arial" w:hAnsi="Arial" w:cs="Arial"/>
          <w:sz w:val="22"/>
          <w:szCs w:val="22"/>
        </w:rPr>
        <w:t>This report recommends the use of a governed data warehouse to support NHS decision-making. The proposed approach uses shared data definitions and separate data marts for different roles. It begins with key areas such as patient flow, waiting lists, and workforce planning, using read-only data feeds from existing systems. The warehouse should be expanded gradually once the data is accurate, safe to use, and provides clear benefits.This would give the NHS a reliable view of performance without replacing the systems already used to deliver care</w:t>
      </w:r>
    </w:p>
    <w:p w14:paraId="3735F884" w14:textId="31B0CD88" w:rsidR="31586931" w:rsidRPr="00515AB9" w:rsidRDefault="31586931" w:rsidP="00515AB9">
      <w:pPr>
        <w:spacing w:line="360" w:lineRule="auto"/>
        <w:rPr>
          <w:rFonts w:ascii="Arial" w:hAnsi="Arial" w:cs="Arial"/>
          <w:sz w:val="22"/>
          <w:szCs w:val="22"/>
        </w:rPr>
      </w:pPr>
    </w:p>
    <w:p w14:paraId="4104D89C" w14:textId="71CEDF7D" w:rsidR="31586931" w:rsidRPr="00515AB9" w:rsidRDefault="31586931" w:rsidP="00515AB9">
      <w:pPr>
        <w:spacing w:line="360" w:lineRule="auto"/>
        <w:rPr>
          <w:rFonts w:ascii="Arial" w:hAnsi="Arial" w:cs="Arial"/>
          <w:sz w:val="22"/>
          <w:szCs w:val="22"/>
        </w:rPr>
      </w:pPr>
    </w:p>
    <w:p w14:paraId="70F75CE8" w14:textId="15CE3A1C" w:rsidR="31586931" w:rsidRPr="00515AB9" w:rsidRDefault="31586931" w:rsidP="00515AB9">
      <w:pPr>
        <w:spacing w:line="360" w:lineRule="auto"/>
        <w:rPr>
          <w:rFonts w:ascii="Arial" w:hAnsi="Arial" w:cs="Arial"/>
          <w:sz w:val="22"/>
          <w:szCs w:val="22"/>
        </w:rPr>
      </w:pPr>
    </w:p>
    <w:p w14:paraId="46CCEED5" w14:textId="4AE1E4B7" w:rsidR="31586931" w:rsidRPr="00515AB9" w:rsidRDefault="31586931" w:rsidP="00515AB9">
      <w:pPr>
        <w:spacing w:line="360" w:lineRule="auto"/>
        <w:rPr>
          <w:rFonts w:ascii="Arial" w:hAnsi="Arial" w:cs="Arial"/>
          <w:sz w:val="22"/>
          <w:szCs w:val="22"/>
        </w:rPr>
      </w:pPr>
    </w:p>
    <w:p w14:paraId="71DEB05B" w14:textId="46F3C93A" w:rsidR="31586931" w:rsidRPr="00515AB9" w:rsidRDefault="31586931" w:rsidP="00515AB9">
      <w:pPr>
        <w:spacing w:line="360" w:lineRule="auto"/>
        <w:rPr>
          <w:rFonts w:ascii="Arial" w:hAnsi="Arial" w:cs="Arial"/>
          <w:sz w:val="22"/>
          <w:szCs w:val="22"/>
        </w:rPr>
      </w:pPr>
    </w:p>
    <w:p w14:paraId="2FF70726" w14:textId="39EBA7DD" w:rsidR="31586931" w:rsidRPr="00515AB9" w:rsidRDefault="31586931" w:rsidP="00515AB9">
      <w:pPr>
        <w:spacing w:line="360" w:lineRule="auto"/>
        <w:rPr>
          <w:rFonts w:ascii="Arial" w:hAnsi="Arial" w:cs="Arial"/>
          <w:sz w:val="22"/>
          <w:szCs w:val="22"/>
        </w:rPr>
      </w:pPr>
    </w:p>
    <w:p w14:paraId="60FF7672" w14:textId="1DBB02CE" w:rsidR="31586931" w:rsidRPr="00515AB9" w:rsidRDefault="31586931" w:rsidP="00515AB9">
      <w:pPr>
        <w:spacing w:line="360" w:lineRule="auto"/>
        <w:rPr>
          <w:rFonts w:ascii="Arial" w:hAnsi="Arial" w:cs="Arial"/>
          <w:sz w:val="22"/>
          <w:szCs w:val="22"/>
        </w:rPr>
      </w:pPr>
    </w:p>
    <w:p w14:paraId="17667D70" w14:textId="4C16878A" w:rsidR="31586931" w:rsidRPr="00515AB9" w:rsidRDefault="31586931" w:rsidP="00515AB9">
      <w:pPr>
        <w:spacing w:line="360" w:lineRule="auto"/>
        <w:rPr>
          <w:rFonts w:ascii="Arial" w:hAnsi="Arial" w:cs="Arial"/>
          <w:sz w:val="22"/>
          <w:szCs w:val="22"/>
        </w:rPr>
      </w:pPr>
    </w:p>
    <w:p w14:paraId="55CFCCA0" w14:textId="128009C9" w:rsidR="31586931" w:rsidRPr="00515AB9" w:rsidRDefault="31586931" w:rsidP="00515AB9">
      <w:pPr>
        <w:spacing w:line="360" w:lineRule="auto"/>
        <w:rPr>
          <w:rFonts w:ascii="Arial" w:hAnsi="Arial" w:cs="Arial"/>
          <w:sz w:val="22"/>
          <w:szCs w:val="22"/>
        </w:rPr>
      </w:pPr>
    </w:p>
    <w:p w14:paraId="7F7F3A59" w14:textId="4BC5AFD7" w:rsidR="31586931" w:rsidRPr="00515AB9" w:rsidRDefault="31586931" w:rsidP="00515AB9">
      <w:pPr>
        <w:spacing w:line="360" w:lineRule="auto"/>
        <w:rPr>
          <w:rFonts w:ascii="Arial" w:hAnsi="Arial" w:cs="Arial"/>
          <w:sz w:val="22"/>
          <w:szCs w:val="22"/>
        </w:rPr>
      </w:pPr>
    </w:p>
    <w:p w14:paraId="3C820D42" w14:textId="274B1D2B" w:rsidR="31586931" w:rsidRPr="00515AB9" w:rsidRDefault="31586931" w:rsidP="00515AB9">
      <w:pPr>
        <w:spacing w:line="360" w:lineRule="auto"/>
        <w:rPr>
          <w:rFonts w:ascii="Arial" w:hAnsi="Arial" w:cs="Arial"/>
          <w:sz w:val="22"/>
          <w:szCs w:val="22"/>
        </w:rPr>
      </w:pPr>
    </w:p>
    <w:p w14:paraId="45694F6D" w14:textId="2B56979E" w:rsidR="31586931" w:rsidRPr="00515AB9" w:rsidRDefault="31586931" w:rsidP="00515AB9">
      <w:pPr>
        <w:spacing w:line="360" w:lineRule="auto"/>
        <w:rPr>
          <w:rFonts w:ascii="Arial" w:hAnsi="Arial" w:cs="Arial"/>
          <w:sz w:val="22"/>
          <w:szCs w:val="22"/>
        </w:rPr>
      </w:pPr>
    </w:p>
    <w:p w14:paraId="3F238B6F" w14:textId="3FC2FC02" w:rsidR="31586931" w:rsidRPr="00515AB9" w:rsidRDefault="31586931" w:rsidP="00515AB9">
      <w:pPr>
        <w:spacing w:line="360" w:lineRule="auto"/>
        <w:rPr>
          <w:rFonts w:ascii="Arial" w:hAnsi="Arial" w:cs="Arial"/>
          <w:sz w:val="22"/>
          <w:szCs w:val="22"/>
        </w:rPr>
      </w:pPr>
    </w:p>
    <w:p w14:paraId="7AED4587" w14:textId="4888AFC7" w:rsidR="31586931" w:rsidRPr="00515AB9" w:rsidRDefault="31586931" w:rsidP="00515AB9">
      <w:pPr>
        <w:spacing w:line="360" w:lineRule="auto"/>
        <w:rPr>
          <w:rFonts w:ascii="Arial" w:hAnsi="Arial" w:cs="Arial"/>
          <w:sz w:val="22"/>
          <w:szCs w:val="22"/>
        </w:rPr>
      </w:pPr>
    </w:p>
    <w:p w14:paraId="54FA111D" w14:textId="1B4E7CDC" w:rsidR="31586931" w:rsidRPr="00515AB9" w:rsidRDefault="31586931" w:rsidP="00515AB9">
      <w:pPr>
        <w:spacing w:line="360" w:lineRule="auto"/>
        <w:rPr>
          <w:rFonts w:ascii="Arial" w:hAnsi="Arial" w:cs="Arial"/>
          <w:sz w:val="22"/>
          <w:szCs w:val="22"/>
        </w:rPr>
      </w:pPr>
    </w:p>
    <w:p w14:paraId="0E0D60BD" w14:textId="62C54BAF" w:rsidR="31586931" w:rsidRPr="00515AB9" w:rsidRDefault="31586931" w:rsidP="00515AB9">
      <w:pPr>
        <w:spacing w:line="360" w:lineRule="auto"/>
        <w:rPr>
          <w:rFonts w:ascii="Arial" w:hAnsi="Arial" w:cs="Arial"/>
          <w:sz w:val="22"/>
          <w:szCs w:val="22"/>
        </w:rPr>
      </w:pPr>
    </w:p>
    <w:p w14:paraId="24820A84" w14:textId="63B8349B" w:rsidR="00953F96" w:rsidRPr="00515AB9" w:rsidRDefault="00953F96" w:rsidP="00515AB9">
      <w:pPr>
        <w:spacing w:line="360" w:lineRule="auto"/>
        <w:rPr>
          <w:rFonts w:ascii="Arial" w:hAnsi="Arial" w:cs="Arial"/>
          <w:sz w:val="22"/>
          <w:szCs w:val="22"/>
        </w:rPr>
      </w:pPr>
      <w:r w:rsidRPr="00515AB9">
        <w:rPr>
          <w:rFonts w:ascii="Arial" w:hAnsi="Arial" w:cs="Arial"/>
          <w:sz w:val="22"/>
          <w:szCs w:val="22"/>
        </w:rPr>
        <w:br w:type="page"/>
      </w:r>
    </w:p>
    <w:sdt>
      <w:sdtPr>
        <w:rPr>
          <w:rFonts w:ascii="Arial" w:eastAsiaTheme="minorEastAsia" w:hAnsi="Arial" w:cs="Arial"/>
          <w:color w:val="auto"/>
          <w:kern w:val="2"/>
          <w:sz w:val="22"/>
          <w:szCs w:val="22"/>
          <w:lang w:eastAsia="en-US"/>
          <w14:ligatures w14:val="standardContextual"/>
        </w:rPr>
        <w:id w:val="1675844358"/>
        <w:docPartObj>
          <w:docPartGallery w:val="Table of Contents"/>
          <w:docPartUnique/>
        </w:docPartObj>
      </w:sdtPr>
      <w:sdtEndPr>
        <w:rPr>
          <w:b/>
          <w:bCs/>
        </w:rPr>
      </w:sdtEndPr>
      <w:sdtContent>
        <w:p w14:paraId="08378A31" w14:textId="6BC2F9B2" w:rsidR="00953F96" w:rsidRPr="00515AB9" w:rsidRDefault="00953F96" w:rsidP="00515AB9">
          <w:pPr>
            <w:pStyle w:val="TOCHeading"/>
            <w:spacing w:line="360" w:lineRule="auto"/>
            <w:rPr>
              <w:rFonts w:ascii="Arial" w:hAnsi="Arial" w:cs="Arial"/>
              <w:b/>
              <w:bCs/>
              <w:color w:val="auto"/>
              <w:sz w:val="22"/>
              <w:szCs w:val="22"/>
            </w:rPr>
          </w:pPr>
          <w:r w:rsidRPr="00515AB9">
            <w:rPr>
              <w:rFonts w:ascii="Arial" w:hAnsi="Arial" w:cs="Arial"/>
              <w:b/>
              <w:bCs/>
              <w:color w:val="auto"/>
              <w:sz w:val="22"/>
              <w:szCs w:val="22"/>
            </w:rPr>
            <w:t>Table of Contents</w:t>
          </w:r>
        </w:p>
        <w:p w14:paraId="10510959" w14:textId="243F8166" w:rsidR="0086578D" w:rsidRDefault="00953F96">
          <w:pPr>
            <w:pStyle w:val="TOC1"/>
            <w:tabs>
              <w:tab w:val="right" w:leader="dot" w:pos="9016"/>
            </w:tabs>
            <w:rPr>
              <w:rFonts w:eastAsiaTheme="minorEastAsia"/>
              <w:noProof/>
              <w:lang w:eastAsia="en-GB"/>
            </w:rPr>
          </w:pPr>
          <w:r w:rsidRPr="00515AB9">
            <w:rPr>
              <w:rFonts w:ascii="Arial" w:hAnsi="Arial" w:cs="Arial"/>
              <w:sz w:val="22"/>
              <w:szCs w:val="22"/>
            </w:rPr>
            <w:fldChar w:fldCharType="begin"/>
          </w:r>
          <w:r w:rsidRPr="00515AB9">
            <w:rPr>
              <w:rFonts w:ascii="Arial" w:hAnsi="Arial" w:cs="Arial"/>
              <w:sz w:val="22"/>
              <w:szCs w:val="22"/>
            </w:rPr>
            <w:instrText xml:space="preserve"> TOC \o "1-3" \h \z \u </w:instrText>
          </w:r>
          <w:r w:rsidRPr="00515AB9">
            <w:rPr>
              <w:rFonts w:ascii="Arial" w:hAnsi="Arial" w:cs="Arial"/>
              <w:sz w:val="22"/>
              <w:szCs w:val="22"/>
            </w:rPr>
            <w:fldChar w:fldCharType="separate"/>
          </w:r>
          <w:hyperlink w:anchor="_Toc236712613" w:history="1">
            <w:r w:rsidR="0086578D" w:rsidRPr="00B97AC8">
              <w:rPr>
                <w:rStyle w:val="Hyperlink"/>
                <w:rFonts w:ascii="Arial" w:eastAsia="Arial" w:hAnsi="Arial" w:cs="Arial"/>
                <w:b/>
                <w:bCs/>
                <w:noProof/>
                <w:lang w:val="en-US"/>
              </w:rPr>
              <w:t>Abstract</w:t>
            </w:r>
            <w:r w:rsidR="0086578D">
              <w:rPr>
                <w:noProof/>
                <w:webHidden/>
              </w:rPr>
              <w:tab/>
            </w:r>
            <w:r w:rsidR="0086578D">
              <w:rPr>
                <w:noProof/>
                <w:webHidden/>
              </w:rPr>
              <w:fldChar w:fldCharType="begin"/>
            </w:r>
            <w:r w:rsidR="0086578D">
              <w:rPr>
                <w:noProof/>
                <w:webHidden/>
              </w:rPr>
              <w:instrText xml:space="preserve"> PAGEREF _Toc236712613 \h </w:instrText>
            </w:r>
            <w:r w:rsidR="0086578D">
              <w:rPr>
                <w:noProof/>
                <w:webHidden/>
              </w:rPr>
            </w:r>
            <w:r w:rsidR="0086578D">
              <w:rPr>
                <w:noProof/>
                <w:webHidden/>
              </w:rPr>
              <w:fldChar w:fldCharType="separate"/>
            </w:r>
            <w:r w:rsidR="0086578D">
              <w:rPr>
                <w:noProof/>
                <w:webHidden/>
              </w:rPr>
              <w:t>1</w:t>
            </w:r>
            <w:r w:rsidR="0086578D">
              <w:rPr>
                <w:noProof/>
                <w:webHidden/>
              </w:rPr>
              <w:fldChar w:fldCharType="end"/>
            </w:r>
          </w:hyperlink>
        </w:p>
        <w:p w14:paraId="0FE057F4" w14:textId="38562852" w:rsidR="0086578D" w:rsidRDefault="0086578D">
          <w:pPr>
            <w:pStyle w:val="TOC1"/>
            <w:tabs>
              <w:tab w:val="right" w:leader="dot" w:pos="9016"/>
            </w:tabs>
            <w:rPr>
              <w:rFonts w:eastAsiaTheme="minorEastAsia"/>
              <w:noProof/>
              <w:lang w:eastAsia="en-GB"/>
            </w:rPr>
          </w:pPr>
          <w:hyperlink w:anchor="_Toc236712614" w:history="1">
            <w:r w:rsidRPr="00B97AC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_Toc236712614 \h </w:instrText>
            </w:r>
            <w:r>
              <w:rPr>
                <w:noProof/>
                <w:webHidden/>
              </w:rPr>
            </w:r>
            <w:r>
              <w:rPr>
                <w:noProof/>
                <w:webHidden/>
              </w:rPr>
              <w:fldChar w:fldCharType="separate"/>
            </w:r>
            <w:r>
              <w:rPr>
                <w:noProof/>
                <w:webHidden/>
              </w:rPr>
              <w:t>3</w:t>
            </w:r>
            <w:r>
              <w:rPr>
                <w:noProof/>
                <w:webHidden/>
              </w:rPr>
              <w:fldChar w:fldCharType="end"/>
            </w:r>
          </w:hyperlink>
        </w:p>
        <w:p w14:paraId="2C9ADD18" w14:textId="5DD12F38" w:rsidR="0086578D" w:rsidRDefault="0086578D">
          <w:pPr>
            <w:pStyle w:val="TOC1"/>
            <w:tabs>
              <w:tab w:val="right" w:leader="dot" w:pos="9016"/>
            </w:tabs>
            <w:rPr>
              <w:rFonts w:eastAsiaTheme="minorEastAsia"/>
              <w:noProof/>
              <w:lang w:eastAsia="en-GB"/>
            </w:rPr>
          </w:pPr>
          <w:hyperlink w:anchor="_Toc236712615" w:history="1">
            <w:r w:rsidRPr="00B97AC8">
              <w:rPr>
                <w:rStyle w:val="Hyperlink"/>
                <w:rFonts w:ascii="Arial" w:hAnsi="Arial" w:cs="Arial"/>
                <w:b/>
                <w:bCs/>
                <w:noProof/>
                <w:lang w:val="en-US"/>
              </w:rPr>
              <w:t>Task 1: Strategic Rationale and Architecture</w:t>
            </w:r>
            <w:r>
              <w:rPr>
                <w:noProof/>
                <w:webHidden/>
              </w:rPr>
              <w:tab/>
            </w:r>
            <w:r>
              <w:rPr>
                <w:noProof/>
                <w:webHidden/>
              </w:rPr>
              <w:fldChar w:fldCharType="begin"/>
            </w:r>
            <w:r>
              <w:rPr>
                <w:noProof/>
                <w:webHidden/>
              </w:rPr>
              <w:instrText xml:space="preserve"> PAGEREF _Toc236712615 \h </w:instrText>
            </w:r>
            <w:r>
              <w:rPr>
                <w:noProof/>
                <w:webHidden/>
              </w:rPr>
            </w:r>
            <w:r>
              <w:rPr>
                <w:noProof/>
                <w:webHidden/>
              </w:rPr>
              <w:fldChar w:fldCharType="separate"/>
            </w:r>
            <w:r>
              <w:rPr>
                <w:noProof/>
                <w:webHidden/>
              </w:rPr>
              <w:t>3</w:t>
            </w:r>
            <w:r>
              <w:rPr>
                <w:noProof/>
                <w:webHidden/>
              </w:rPr>
              <w:fldChar w:fldCharType="end"/>
            </w:r>
          </w:hyperlink>
        </w:p>
        <w:p w14:paraId="4C20B710" w14:textId="451B10C9" w:rsidR="0086578D" w:rsidRDefault="0086578D">
          <w:pPr>
            <w:pStyle w:val="TOC2"/>
            <w:tabs>
              <w:tab w:val="left" w:pos="720"/>
              <w:tab w:val="right" w:leader="dot" w:pos="9016"/>
            </w:tabs>
            <w:rPr>
              <w:rFonts w:eastAsiaTheme="minorEastAsia"/>
              <w:noProof/>
              <w:lang w:eastAsia="en-GB"/>
            </w:rPr>
          </w:pPr>
          <w:hyperlink w:anchor="_Toc236712616" w:history="1">
            <w:r w:rsidRPr="00B97AC8">
              <w:rPr>
                <w:rStyle w:val="Hyperlink"/>
                <w:rFonts w:ascii="Arial" w:hAnsi="Arial" w:cs="Arial"/>
                <w:b/>
                <w:bCs/>
                <w:noProof/>
                <w:lang w:val="en-US"/>
              </w:rPr>
              <w:t>1.</w:t>
            </w:r>
            <w:r>
              <w:rPr>
                <w:rFonts w:eastAsiaTheme="minorEastAsia"/>
                <w:noProof/>
                <w:lang w:eastAsia="en-GB"/>
              </w:rPr>
              <w:tab/>
            </w:r>
            <w:r w:rsidRPr="00B97AC8">
              <w:rPr>
                <w:rStyle w:val="Hyperlink"/>
                <w:rFonts w:ascii="Arial" w:hAnsi="Arial" w:cs="Arial"/>
                <w:b/>
                <w:bCs/>
                <w:noProof/>
                <w:lang w:val="en-US"/>
              </w:rPr>
              <w:t>NHS England’s national healthcare operations architecture</w:t>
            </w:r>
            <w:r>
              <w:rPr>
                <w:noProof/>
                <w:webHidden/>
              </w:rPr>
              <w:tab/>
            </w:r>
            <w:r>
              <w:rPr>
                <w:noProof/>
                <w:webHidden/>
              </w:rPr>
              <w:fldChar w:fldCharType="begin"/>
            </w:r>
            <w:r>
              <w:rPr>
                <w:noProof/>
                <w:webHidden/>
              </w:rPr>
              <w:instrText xml:space="preserve"> PAGEREF _Toc236712616 \h </w:instrText>
            </w:r>
            <w:r>
              <w:rPr>
                <w:noProof/>
                <w:webHidden/>
              </w:rPr>
            </w:r>
            <w:r>
              <w:rPr>
                <w:noProof/>
                <w:webHidden/>
              </w:rPr>
              <w:fldChar w:fldCharType="separate"/>
            </w:r>
            <w:r>
              <w:rPr>
                <w:noProof/>
                <w:webHidden/>
              </w:rPr>
              <w:t>4</w:t>
            </w:r>
            <w:r>
              <w:rPr>
                <w:noProof/>
                <w:webHidden/>
              </w:rPr>
              <w:fldChar w:fldCharType="end"/>
            </w:r>
          </w:hyperlink>
        </w:p>
        <w:p w14:paraId="1E1BB662" w14:textId="092200A8" w:rsidR="0086578D" w:rsidRDefault="0086578D">
          <w:pPr>
            <w:pStyle w:val="TOC2"/>
            <w:tabs>
              <w:tab w:val="left" w:pos="960"/>
              <w:tab w:val="right" w:leader="dot" w:pos="9016"/>
            </w:tabs>
            <w:rPr>
              <w:rFonts w:eastAsiaTheme="minorEastAsia"/>
              <w:noProof/>
              <w:lang w:eastAsia="en-GB"/>
            </w:rPr>
          </w:pPr>
          <w:hyperlink w:anchor="_Toc236712617" w:history="1">
            <w:r w:rsidRPr="00B97AC8">
              <w:rPr>
                <w:rStyle w:val="Hyperlink"/>
                <w:rFonts w:ascii="Arial" w:hAnsi="Arial" w:cs="Arial"/>
                <w:b/>
                <w:bCs/>
                <w:noProof/>
                <w:lang w:val="en-US"/>
              </w:rPr>
              <w:t>1.1</w:t>
            </w:r>
            <w:r>
              <w:rPr>
                <w:rFonts w:eastAsiaTheme="minorEastAsia"/>
                <w:noProof/>
                <w:lang w:eastAsia="en-GB"/>
              </w:rPr>
              <w:tab/>
            </w:r>
            <w:r w:rsidRPr="00B97AC8">
              <w:rPr>
                <w:rStyle w:val="Hyperlink"/>
                <w:rFonts w:ascii="Arial" w:hAnsi="Arial" w:cs="Arial"/>
                <w:b/>
                <w:bCs/>
                <w:noProof/>
                <w:lang w:val="en-US"/>
              </w:rPr>
              <w:t>OLTP systems compared with a data warehouse</w:t>
            </w:r>
            <w:r>
              <w:rPr>
                <w:noProof/>
                <w:webHidden/>
              </w:rPr>
              <w:tab/>
            </w:r>
            <w:r>
              <w:rPr>
                <w:noProof/>
                <w:webHidden/>
              </w:rPr>
              <w:fldChar w:fldCharType="begin"/>
            </w:r>
            <w:r>
              <w:rPr>
                <w:noProof/>
                <w:webHidden/>
              </w:rPr>
              <w:instrText xml:space="preserve"> PAGEREF _Toc236712617 \h </w:instrText>
            </w:r>
            <w:r>
              <w:rPr>
                <w:noProof/>
                <w:webHidden/>
              </w:rPr>
            </w:r>
            <w:r>
              <w:rPr>
                <w:noProof/>
                <w:webHidden/>
              </w:rPr>
              <w:fldChar w:fldCharType="separate"/>
            </w:r>
            <w:r>
              <w:rPr>
                <w:noProof/>
                <w:webHidden/>
              </w:rPr>
              <w:t>5</w:t>
            </w:r>
            <w:r>
              <w:rPr>
                <w:noProof/>
                <w:webHidden/>
              </w:rPr>
              <w:fldChar w:fldCharType="end"/>
            </w:r>
          </w:hyperlink>
        </w:p>
        <w:p w14:paraId="283091B7" w14:textId="5C591275" w:rsidR="0086578D" w:rsidRDefault="0086578D">
          <w:pPr>
            <w:pStyle w:val="TOC2"/>
            <w:tabs>
              <w:tab w:val="right" w:leader="dot" w:pos="9016"/>
            </w:tabs>
            <w:rPr>
              <w:rFonts w:eastAsiaTheme="minorEastAsia"/>
              <w:noProof/>
              <w:lang w:eastAsia="en-GB"/>
            </w:rPr>
          </w:pPr>
          <w:hyperlink w:anchor="_Toc236712618" w:history="1">
            <w:r w:rsidRPr="00B97AC8">
              <w:rPr>
                <w:rStyle w:val="Hyperlink"/>
                <w:rFonts w:ascii="Arial" w:hAnsi="Arial" w:cs="Arial"/>
                <w:b/>
                <w:bCs/>
                <w:noProof/>
              </w:rPr>
              <w:t>1.3: Data Marts for Management Decision-Making</w:t>
            </w:r>
            <w:r>
              <w:rPr>
                <w:noProof/>
                <w:webHidden/>
              </w:rPr>
              <w:tab/>
            </w:r>
            <w:r>
              <w:rPr>
                <w:noProof/>
                <w:webHidden/>
              </w:rPr>
              <w:fldChar w:fldCharType="begin"/>
            </w:r>
            <w:r>
              <w:rPr>
                <w:noProof/>
                <w:webHidden/>
              </w:rPr>
              <w:instrText xml:space="preserve"> PAGEREF _Toc236712618 \h </w:instrText>
            </w:r>
            <w:r>
              <w:rPr>
                <w:noProof/>
                <w:webHidden/>
              </w:rPr>
            </w:r>
            <w:r>
              <w:rPr>
                <w:noProof/>
                <w:webHidden/>
              </w:rPr>
              <w:fldChar w:fldCharType="separate"/>
            </w:r>
            <w:r>
              <w:rPr>
                <w:noProof/>
                <w:webHidden/>
              </w:rPr>
              <w:t>9</w:t>
            </w:r>
            <w:r>
              <w:rPr>
                <w:noProof/>
                <w:webHidden/>
              </w:rPr>
              <w:fldChar w:fldCharType="end"/>
            </w:r>
          </w:hyperlink>
        </w:p>
        <w:p w14:paraId="6A52D13A" w14:textId="2D69954B" w:rsidR="0086578D" w:rsidRDefault="0086578D">
          <w:pPr>
            <w:pStyle w:val="TOC2"/>
            <w:tabs>
              <w:tab w:val="left" w:pos="960"/>
              <w:tab w:val="right" w:leader="dot" w:pos="9016"/>
            </w:tabs>
            <w:rPr>
              <w:rFonts w:eastAsiaTheme="minorEastAsia"/>
              <w:noProof/>
              <w:lang w:eastAsia="en-GB"/>
            </w:rPr>
          </w:pPr>
          <w:hyperlink w:anchor="_Toc236712619" w:history="1">
            <w:r w:rsidRPr="00B97AC8">
              <w:rPr>
                <w:rStyle w:val="Hyperlink"/>
                <w:rFonts w:ascii="Arial" w:hAnsi="Arial" w:cs="Arial"/>
                <w:b/>
                <w:bCs/>
                <w:noProof/>
                <w:lang w:val="en-US"/>
              </w:rPr>
              <w:t>1.4</w:t>
            </w:r>
            <w:r>
              <w:rPr>
                <w:rFonts w:eastAsiaTheme="minorEastAsia"/>
                <w:noProof/>
                <w:lang w:eastAsia="en-GB"/>
              </w:rPr>
              <w:tab/>
            </w:r>
            <w:r w:rsidRPr="00B97AC8">
              <w:rPr>
                <w:rStyle w:val="Hyperlink"/>
                <w:rFonts w:ascii="Arial" w:hAnsi="Arial" w:cs="Arial"/>
                <w:b/>
                <w:bCs/>
                <w:noProof/>
              </w:rPr>
              <w:t>OLTP Normalisation vs. Data Warehouse Dimensional Modelling</w:t>
            </w:r>
            <w:r>
              <w:rPr>
                <w:noProof/>
                <w:webHidden/>
              </w:rPr>
              <w:tab/>
            </w:r>
            <w:r>
              <w:rPr>
                <w:noProof/>
                <w:webHidden/>
              </w:rPr>
              <w:fldChar w:fldCharType="begin"/>
            </w:r>
            <w:r>
              <w:rPr>
                <w:noProof/>
                <w:webHidden/>
              </w:rPr>
              <w:instrText xml:space="preserve"> PAGEREF _Toc236712619 \h </w:instrText>
            </w:r>
            <w:r>
              <w:rPr>
                <w:noProof/>
                <w:webHidden/>
              </w:rPr>
            </w:r>
            <w:r>
              <w:rPr>
                <w:noProof/>
                <w:webHidden/>
              </w:rPr>
              <w:fldChar w:fldCharType="separate"/>
            </w:r>
            <w:r>
              <w:rPr>
                <w:noProof/>
                <w:webHidden/>
              </w:rPr>
              <w:t>12</w:t>
            </w:r>
            <w:r>
              <w:rPr>
                <w:noProof/>
                <w:webHidden/>
              </w:rPr>
              <w:fldChar w:fldCharType="end"/>
            </w:r>
          </w:hyperlink>
        </w:p>
        <w:p w14:paraId="06317D4F" w14:textId="49195895" w:rsidR="0086578D" w:rsidRDefault="0086578D">
          <w:pPr>
            <w:pStyle w:val="TOC1"/>
            <w:tabs>
              <w:tab w:val="right" w:leader="dot" w:pos="9016"/>
            </w:tabs>
            <w:rPr>
              <w:rFonts w:eastAsiaTheme="minorEastAsia"/>
              <w:noProof/>
              <w:lang w:eastAsia="en-GB"/>
            </w:rPr>
          </w:pPr>
          <w:hyperlink w:anchor="_Toc236712620" w:history="1">
            <w:r w:rsidRPr="00B97AC8">
              <w:rPr>
                <w:rStyle w:val="Hyperlink"/>
                <w:rFonts w:ascii="Arial" w:hAnsi="Arial" w:cs="Arial"/>
                <w:b/>
                <w:bCs/>
                <w:noProof/>
              </w:rPr>
              <w:t>Task 2. Star schema and implementation plan</w:t>
            </w:r>
            <w:r>
              <w:rPr>
                <w:noProof/>
                <w:webHidden/>
              </w:rPr>
              <w:tab/>
            </w:r>
            <w:r>
              <w:rPr>
                <w:noProof/>
                <w:webHidden/>
              </w:rPr>
              <w:fldChar w:fldCharType="begin"/>
            </w:r>
            <w:r>
              <w:rPr>
                <w:noProof/>
                <w:webHidden/>
              </w:rPr>
              <w:instrText xml:space="preserve"> PAGEREF _Toc236712620 \h </w:instrText>
            </w:r>
            <w:r>
              <w:rPr>
                <w:noProof/>
                <w:webHidden/>
              </w:rPr>
            </w:r>
            <w:r>
              <w:rPr>
                <w:noProof/>
                <w:webHidden/>
              </w:rPr>
              <w:fldChar w:fldCharType="separate"/>
            </w:r>
            <w:r>
              <w:rPr>
                <w:noProof/>
                <w:webHidden/>
              </w:rPr>
              <w:t>14</w:t>
            </w:r>
            <w:r>
              <w:rPr>
                <w:noProof/>
                <w:webHidden/>
              </w:rPr>
              <w:fldChar w:fldCharType="end"/>
            </w:r>
          </w:hyperlink>
        </w:p>
        <w:p w14:paraId="33A0EE02" w14:textId="7279ED48" w:rsidR="0086578D" w:rsidRDefault="0086578D">
          <w:pPr>
            <w:pStyle w:val="TOC2"/>
            <w:tabs>
              <w:tab w:val="right" w:leader="dot" w:pos="9016"/>
            </w:tabs>
            <w:rPr>
              <w:rFonts w:eastAsiaTheme="minorEastAsia"/>
              <w:noProof/>
              <w:lang w:eastAsia="en-GB"/>
            </w:rPr>
          </w:pPr>
          <w:hyperlink w:anchor="_Toc236712621" w:history="1">
            <w:r w:rsidRPr="00B97AC8">
              <w:rPr>
                <w:rStyle w:val="Hyperlink"/>
                <w:rFonts w:ascii="Arial" w:hAnsi="Arial" w:cs="Arial"/>
                <w:b/>
                <w:bCs/>
                <w:noProof/>
              </w:rPr>
              <w:t>2.1 Source system identification</w:t>
            </w:r>
            <w:r>
              <w:rPr>
                <w:noProof/>
                <w:webHidden/>
              </w:rPr>
              <w:tab/>
            </w:r>
            <w:r>
              <w:rPr>
                <w:noProof/>
                <w:webHidden/>
              </w:rPr>
              <w:fldChar w:fldCharType="begin"/>
            </w:r>
            <w:r>
              <w:rPr>
                <w:noProof/>
                <w:webHidden/>
              </w:rPr>
              <w:instrText xml:space="preserve"> PAGEREF _Toc236712621 \h </w:instrText>
            </w:r>
            <w:r>
              <w:rPr>
                <w:noProof/>
                <w:webHidden/>
              </w:rPr>
            </w:r>
            <w:r>
              <w:rPr>
                <w:noProof/>
                <w:webHidden/>
              </w:rPr>
              <w:fldChar w:fldCharType="separate"/>
            </w:r>
            <w:r>
              <w:rPr>
                <w:noProof/>
                <w:webHidden/>
              </w:rPr>
              <w:t>14</w:t>
            </w:r>
            <w:r>
              <w:rPr>
                <w:noProof/>
                <w:webHidden/>
              </w:rPr>
              <w:fldChar w:fldCharType="end"/>
            </w:r>
          </w:hyperlink>
        </w:p>
        <w:p w14:paraId="3FD77FF1" w14:textId="301C3873" w:rsidR="0086578D" w:rsidRDefault="0086578D">
          <w:pPr>
            <w:pStyle w:val="TOC2"/>
            <w:tabs>
              <w:tab w:val="right" w:leader="dot" w:pos="9016"/>
            </w:tabs>
            <w:rPr>
              <w:rFonts w:eastAsiaTheme="minorEastAsia"/>
              <w:noProof/>
              <w:lang w:eastAsia="en-GB"/>
            </w:rPr>
          </w:pPr>
          <w:hyperlink w:anchor="_Toc236712622" w:history="1">
            <w:r w:rsidRPr="00B97AC8">
              <w:rPr>
                <w:rStyle w:val="Hyperlink"/>
                <w:rFonts w:ascii="Arial" w:hAnsi="Arial" w:cs="Arial"/>
                <w:b/>
                <w:bCs/>
                <w:noProof/>
              </w:rPr>
              <w:t>2.2 Star schema design</w:t>
            </w:r>
            <w:r>
              <w:rPr>
                <w:noProof/>
                <w:webHidden/>
              </w:rPr>
              <w:tab/>
            </w:r>
            <w:r>
              <w:rPr>
                <w:noProof/>
                <w:webHidden/>
              </w:rPr>
              <w:fldChar w:fldCharType="begin"/>
            </w:r>
            <w:r>
              <w:rPr>
                <w:noProof/>
                <w:webHidden/>
              </w:rPr>
              <w:instrText xml:space="preserve"> PAGEREF _Toc236712622 \h </w:instrText>
            </w:r>
            <w:r>
              <w:rPr>
                <w:noProof/>
                <w:webHidden/>
              </w:rPr>
            </w:r>
            <w:r>
              <w:rPr>
                <w:noProof/>
                <w:webHidden/>
              </w:rPr>
              <w:fldChar w:fldCharType="separate"/>
            </w:r>
            <w:r>
              <w:rPr>
                <w:noProof/>
                <w:webHidden/>
              </w:rPr>
              <w:t>15</w:t>
            </w:r>
            <w:r>
              <w:rPr>
                <w:noProof/>
                <w:webHidden/>
              </w:rPr>
              <w:fldChar w:fldCharType="end"/>
            </w:r>
          </w:hyperlink>
        </w:p>
        <w:p w14:paraId="495429C0" w14:textId="4F7F3A45" w:rsidR="0086578D" w:rsidRDefault="0086578D">
          <w:pPr>
            <w:pStyle w:val="TOC2"/>
            <w:tabs>
              <w:tab w:val="right" w:leader="dot" w:pos="9016"/>
            </w:tabs>
            <w:rPr>
              <w:rFonts w:eastAsiaTheme="minorEastAsia"/>
              <w:noProof/>
              <w:lang w:eastAsia="en-GB"/>
            </w:rPr>
          </w:pPr>
          <w:hyperlink w:anchor="_Toc236712623" w:history="1">
            <w:r w:rsidRPr="00B97AC8">
              <w:rPr>
                <w:rStyle w:val="Hyperlink"/>
                <w:rFonts w:ascii="Arial" w:hAnsi="Arial" w:cs="Arial"/>
                <w:b/>
                <w:bCs/>
                <w:noProof/>
              </w:rPr>
              <w:t>2.3 Data marts and schema</w:t>
            </w:r>
            <w:r>
              <w:rPr>
                <w:noProof/>
                <w:webHidden/>
              </w:rPr>
              <w:tab/>
            </w:r>
            <w:r>
              <w:rPr>
                <w:noProof/>
                <w:webHidden/>
              </w:rPr>
              <w:fldChar w:fldCharType="begin"/>
            </w:r>
            <w:r>
              <w:rPr>
                <w:noProof/>
                <w:webHidden/>
              </w:rPr>
              <w:instrText xml:space="preserve"> PAGEREF _Toc236712623 \h </w:instrText>
            </w:r>
            <w:r>
              <w:rPr>
                <w:noProof/>
                <w:webHidden/>
              </w:rPr>
            </w:r>
            <w:r>
              <w:rPr>
                <w:noProof/>
                <w:webHidden/>
              </w:rPr>
              <w:fldChar w:fldCharType="separate"/>
            </w:r>
            <w:r>
              <w:rPr>
                <w:noProof/>
                <w:webHidden/>
              </w:rPr>
              <w:t>18</w:t>
            </w:r>
            <w:r>
              <w:rPr>
                <w:noProof/>
                <w:webHidden/>
              </w:rPr>
              <w:fldChar w:fldCharType="end"/>
            </w:r>
          </w:hyperlink>
        </w:p>
        <w:p w14:paraId="3CD2857D" w14:textId="01617C3E" w:rsidR="0086578D" w:rsidRDefault="0086578D">
          <w:pPr>
            <w:pStyle w:val="TOC2"/>
            <w:tabs>
              <w:tab w:val="right" w:leader="dot" w:pos="9016"/>
            </w:tabs>
            <w:rPr>
              <w:rFonts w:eastAsiaTheme="minorEastAsia"/>
              <w:noProof/>
              <w:lang w:eastAsia="en-GB"/>
            </w:rPr>
          </w:pPr>
          <w:hyperlink w:anchor="_Toc236712624" w:history="1">
            <w:r w:rsidRPr="00B97AC8">
              <w:rPr>
                <w:rStyle w:val="Hyperlink"/>
                <w:rFonts w:ascii="Arial" w:hAnsi="Arial" w:cs="Arial"/>
                <w:b/>
                <w:bCs/>
                <w:noProof/>
              </w:rPr>
              <w:t>2.4 ETL plan</w:t>
            </w:r>
            <w:r>
              <w:rPr>
                <w:noProof/>
                <w:webHidden/>
              </w:rPr>
              <w:tab/>
            </w:r>
            <w:r>
              <w:rPr>
                <w:noProof/>
                <w:webHidden/>
              </w:rPr>
              <w:fldChar w:fldCharType="begin"/>
            </w:r>
            <w:r>
              <w:rPr>
                <w:noProof/>
                <w:webHidden/>
              </w:rPr>
              <w:instrText xml:space="preserve"> PAGEREF _Toc236712624 \h </w:instrText>
            </w:r>
            <w:r>
              <w:rPr>
                <w:noProof/>
                <w:webHidden/>
              </w:rPr>
            </w:r>
            <w:r>
              <w:rPr>
                <w:noProof/>
                <w:webHidden/>
              </w:rPr>
              <w:fldChar w:fldCharType="separate"/>
            </w:r>
            <w:r>
              <w:rPr>
                <w:noProof/>
                <w:webHidden/>
              </w:rPr>
              <w:t>20</w:t>
            </w:r>
            <w:r>
              <w:rPr>
                <w:noProof/>
                <w:webHidden/>
              </w:rPr>
              <w:fldChar w:fldCharType="end"/>
            </w:r>
          </w:hyperlink>
        </w:p>
        <w:p w14:paraId="7357E4F9" w14:textId="48F106DF" w:rsidR="0086578D" w:rsidRDefault="0086578D">
          <w:pPr>
            <w:pStyle w:val="TOC2"/>
            <w:tabs>
              <w:tab w:val="right" w:leader="dot" w:pos="9016"/>
            </w:tabs>
            <w:rPr>
              <w:rFonts w:eastAsiaTheme="minorEastAsia"/>
              <w:noProof/>
              <w:lang w:eastAsia="en-GB"/>
            </w:rPr>
          </w:pPr>
          <w:hyperlink w:anchor="_Toc236712625" w:history="1">
            <w:r w:rsidRPr="00B97AC8">
              <w:rPr>
                <w:rStyle w:val="Hyperlink"/>
                <w:rFonts w:ascii="Arial" w:hAnsi="Arial" w:cs="Arial"/>
                <w:b/>
                <w:bCs/>
                <w:noProof/>
              </w:rPr>
              <w:t>2.5 Data quality and governance</w:t>
            </w:r>
            <w:r>
              <w:rPr>
                <w:noProof/>
                <w:webHidden/>
              </w:rPr>
              <w:tab/>
            </w:r>
            <w:r>
              <w:rPr>
                <w:noProof/>
                <w:webHidden/>
              </w:rPr>
              <w:fldChar w:fldCharType="begin"/>
            </w:r>
            <w:r>
              <w:rPr>
                <w:noProof/>
                <w:webHidden/>
              </w:rPr>
              <w:instrText xml:space="preserve"> PAGEREF _Toc236712625 \h </w:instrText>
            </w:r>
            <w:r>
              <w:rPr>
                <w:noProof/>
                <w:webHidden/>
              </w:rPr>
            </w:r>
            <w:r>
              <w:rPr>
                <w:noProof/>
                <w:webHidden/>
              </w:rPr>
              <w:fldChar w:fldCharType="separate"/>
            </w:r>
            <w:r>
              <w:rPr>
                <w:noProof/>
                <w:webHidden/>
              </w:rPr>
              <w:t>21</w:t>
            </w:r>
            <w:r>
              <w:rPr>
                <w:noProof/>
                <w:webHidden/>
              </w:rPr>
              <w:fldChar w:fldCharType="end"/>
            </w:r>
          </w:hyperlink>
        </w:p>
        <w:p w14:paraId="0DF81920" w14:textId="07C1ADCA" w:rsidR="0086578D" w:rsidRDefault="0086578D">
          <w:pPr>
            <w:pStyle w:val="TOC1"/>
            <w:tabs>
              <w:tab w:val="right" w:leader="dot" w:pos="9016"/>
            </w:tabs>
            <w:rPr>
              <w:rFonts w:eastAsiaTheme="minorEastAsia"/>
              <w:noProof/>
              <w:lang w:eastAsia="en-GB"/>
            </w:rPr>
          </w:pPr>
          <w:hyperlink w:anchor="_Toc236712626" w:history="1">
            <w:r w:rsidRPr="00B97AC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_Toc236712626 \h </w:instrText>
            </w:r>
            <w:r>
              <w:rPr>
                <w:noProof/>
                <w:webHidden/>
              </w:rPr>
            </w:r>
            <w:r>
              <w:rPr>
                <w:noProof/>
                <w:webHidden/>
              </w:rPr>
              <w:fldChar w:fldCharType="separate"/>
            </w:r>
            <w:r>
              <w:rPr>
                <w:noProof/>
                <w:webHidden/>
              </w:rPr>
              <w:t>22</w:t>
            </w:r>
            <w:r>
              <w:rPr>
                <w:noProof/>
                <w:webHidden/>
              </w:rPr>
              <w:fldChar w:fldCharType="end"/>
            </w:r>
          </w:hyperlink>
        </w:p>
        <w:p w14:paraId="55BD21E3" w14:textId="01E88D10" w:rsidR="00953F96" w:rsidRPr="00515AB9" w:rsidRDefault="00953F96" w:rsidP="00515AB9">
          <w:pPr>
            <w:spacing w:line="360" w:lineRule="auto"/>
            <w:rPr>
              <w:rFonts w:ascii="Arial" w:hAnsi="Arial" w:cs="Arial"/>
              <w:sz w:val="22"/>
              <w:szCs w:val="22"/>
            </w:rPr>
          </w:pPr>
          <w:r w:rsidRPr="00515AB9">
            <w:rPr>
              <w:rFonts w:ascii="Arial" w:hAnsi="Arial" w:cs="Arial"/>
              <w:b/>
              <w:bCs/>
              <w:sz w:val="22"/>
              <w:szCs w:val="22"/>
            </w:rPr>
            <w:fldChar w:fldCharType="end"/>
          </w:r>
        </w:p>
      </w:sdtContent>
    </w:sdt>
    <w:p w14:paraId="3CD68DA9" w14:textId="27827AFE" w:rsidR="00953F96" w:rsidRPr="00515AB9" w:rsidRDefault="00953F96" w:rsidP="00515AB9">
      <w:pPr>
        <w:spacing w:line="360" w:lineRule="auto"/>
        <w:rPr>
          <w:rFonts w:ascii="Arial" w:hAnsi="Arial" w:cs="Arial"/>
          <w:sz w:val="22"/>
          <w:szCs w:val="22"/>
        </w:rPr>
      </w:pPr>
    </w:p>
    <w:p w14:paraId="077B1E47" w14:textId="77777777" w:rsidR="00953F96" w:rsidRPr="00515AB9" w:rsidRDefault="00953F96" w:rsidP="00515AB9">
      <w:pPr>
        <w:spacing w:line="360" w:lineRule="auto"/>
        <w:rPr>
          <w:rFonts w:ascii="Arial" w:hAnsi="Arial" w:cs="Arial"/>
          <w:sz w:val="22"/>
          <w:szCs w:val="22"/>
        </w:rPr>
      </w:pPr>
    </w:p>
    <w:p w14:paraId="121B1CEB" w14:textId="77777777" w:rsidR="00953F96" w:rsidRPr="00515AB9" w:rsidRDefault="00953F96" w:rsidP="00515AB9">
      <w:pPr>
        <w:spacing w:line="360" w:lineRule="auto"/>
        <w:rPr>
          <w:rFonts w:ascii="Arial" w:hAnsi="Arial" w:cs="Arial"/>
          <w:sz w:val="22"/>
          <w:szCs w:val="22"/>
        </w:rPr>
      </w:pPr>
    </w:p>
    <w:p w14:paraId="41005CCA" w14:textId="77777777" w:rsidR="00023D9C" w:rsidRPr="00515AB9" w:rsidRDefault="00023D9C" w:rsidP="00515AB9">
      <w:pPr>
        <w:spacing w:line="360" w:lineRule="auto"/>
        <w:rPr>
          <w:rFonts w:ascii="Arial" w:hAnsi="Arial" w:cs="Arial"/>
          <w:sz w:val="22"/>
          <w:szCs w:val="22"/>
        </w:rPr>
      </w:pPr>
    </w:p>
    <w:p w14:paraId="4E4C40E2" w14:textId="77777777" w:rsidR="00023D9C" w:rsidRDefault="00023D9C" w:rsidP="00515AB9">
      <w:pPr>
        <w:spacing w:line="360" w:lineRule="auto"/>
        <w:rPr>
          <w:rFonts w:ascii="Arial" w:hAnsi="Arial" w:cs="Arial"/>
          <w:sz w:val="22"/>
          <w:szCs w:val="22"/>
        </w:rPr>
      </w:pPr>
    </w:p>
    <w:p w14:paraId="1335AF4D" w14:textId="77777777" w:rsidR="00232771" w:rsidRDefault="00232771" w:rsidP="00515AB9">
      <w:pPr>
        <w:spacing w:line="360" w:lineRule="auto"/>
        <w:rPr>
          <w:rFonts w:ascii="Arial" w:hAnsi="Arial" w:cs="Arial"/>
          <w:sz w:val="22"/>
          <w:szCs w:val="22"/>
        </w:rPr>
      </w:pPr>
    </w:p>
    <w:p w14:paraId="76CB3722" w14:textId="77777777" w:rsidR="00232771" w:rsidRDefault="00232771" w:rsidP="00515AB9">
      <w:pPr>
        <w:spacing w:line="360" w:lineRule="auto"/>
        <w:rPr>
          <w:rFonts w:ascii="Arial" w:hAnsi="Arial" w:cs="Arial"/>
          <w:sz w:val="22"/>
          <w:szCs w:val="22"/>
        </w:rPr>
      </w:pPr>
    </w:p>
    <w:p w14:paraId="745D1820" w14:textId="77777777" w:rsidR="00232771" w:rsidRDefault="00232771" w:rsidP="00515AB9">
      <w:pPr>
        <w:spacing w:line="360" w:lineRule="auto"/>
        <w:rPr>
          <w:rFonts w:ascii="Arial" w:hAnsi="Arial" w:cs="Arial"/>
          <w:sz w:val="22"/>
          <w:szCs w:val="22"/>
        </w:rPr>
      </w:pPr>
    </w:p>
    <w:p w14:paraId="143931E7" w14:textId="77777777" w:rsidR="00232771" w:rsidRDefault="00232771" w:rsidP="00515AB9">
      <w:pPr>
        <w:spacing w:line="360" w:lineRule="auto"/>
        <w:rPr>
          <w:rFonts w:ascii="Arial" w:hAnsi="Arial" w:cs="Arial"/>
          <w:sz w:val="22"/>
          <w:szCs w:val="22"/>
        </w:rPr>
      </w:pPr>
    </w:p>
    <w:p w14:paraId="2DE4D225" w14:textId="77777777" w:rsidR="00232771" w:rsidRDefault="00232771" w:rsidP="00515AB9">
      <w:pPr>
        <w:spacing w:line="360" w:lineRule="auto"/>
        <w:rPr>
          <w:rFonts w:ascii="Arial" w:hAnsi="Arial" w:cs="Arial"/>
          <w:sz w:val="22"/>
          <w:szCs w:val="22"/>
        </w:rPr>
      </w:pPr>
    </w:p>
    <w:p w14:paraId="4F100A81" w14:textId="77777777" w:rsidR="00232771" w:rsidRPr="00515AB9" w:rsidRDefault="00232771" w:rsidP="00515AB9">
      <w:pPr>
        <w:spacing w:line="360" w:lineRule="auto"/>
        <w:rPr>
          <w:rFonts w:ascii="Arial" w:hAnsi="Arial" w:cs="Arial"/>
          <w:sz w:val="22"/>
          <w:szCs w:val="22"/>
        </w:rPr>
      </w:pPr>
    </w:p>
    <w:p w14:paraId="14EFB2F4" w14:textId="2655CA88" w:rsidR="00B47B31" w:rsidRPr="00515AB9" w:rsidRDefault="009225E7" w:rsidP="00515AB9">
      <w:pPr>
        <w:tabs>
          <w:tab w:val="left" w:pos="3588"/>
        </w:tabs>
        <w:spacing w:line="360" w:lineRule="auto"/>
        <w:rPr>
          <w:rFonts w:ascii="Arial" w:hAnsi="Arial" w:cs="Arial"/>
          <w:sz w:val="22"/>
          <w:szCs w:val="22"/>
        </w:rPr>
      </w:pPr>
      <w:r w:rsidRPr="00515AB9">
        <w:rPr>
          <w:rFonts w:ascii="Arial" w:hAnsi="Arial" w:cs="Arial"/>
          <w:sz w:val="22"/>
          <w:szCs w:val="22"/>
        </w:rPr>
        <w:tab/>
      </w:r>
    </w:p>
    <w:p w14:paraId="4D8445B3" w14:textId="7C6F1965" w:rsidR="0034175A" w:rsidRPr="00515AB9" w:rsidRDefault="00953F96" w:rsidP="00515AB9">
      <w:pPr>
        <w:pStyle w:val="Heading1"/>
        <w:spacing w:line="360" w:lineRule="auto"/>
        <w:jc w:val="center"/>
        <w:rPr>
          <w:rFonts w:ascii="Arial" w:hAnsi="Arial" w:cs="Arial"/>
          <w:b/>
          <w:bCs/>
          <w:color w:val="auto"/>
          <w:sz w:val="22"/>
          <w:szCs w:val="22"/>
        </w:rPr>
      </w:pPr>
      <w:bookmarkStart w:id="1" w:name="_Toc236712614"/>
      <w:r w:rsidRPr="00515AB9">
        <w:rPr>
          <w:rFonts w:ascii="Arial" w:hAnsi="Arial" w:cs="Arial"/>
          <w:b/>
          <w:bCs/>
          <w:color w:val="auto"/>
          <w:sz w:val="22"/>
          <w:szCs w:val="22"/>
        </w:rPr>
        <w:lastRenderedPageBreak/>
        <w:t>Introduction</w:t>
      </w:r>
      <w:bookmarkEnd w:id="1"/>
    </w:p>
    <w:p w14:paraId="7FA1EF44" w14:textId="77777777" w:rsidR="00736966" w:rsidRPr="00515AB9" w:rsidRDefault="00736966" w:rsidP="00515AB9">
      <w:pPr>
        <w:pStyle w:val="ListParagraph"/>
        <w:spacing w:line="360" w:lineRule="auto"/>
        <w:rPr>
          <w:rFonts w:ascii="Arial" w:hAnsi="Arial" w:cs="Arial"/>
          <w:sz w:val="22"/>
          <w:szCs w:val="22"/>
        </w:rPr>
      </w:pPr>
    </w:p>
    <w:p w14:paraId="2C99B2EF" w14:textId="12AFF6B8" w:rsidR="003576E7" w:rsidRPr="00515AB9" w:rsidRDefault="00084206" w:rsidP="00515AB9">
      <w:pPr>
        <w:pStyle w:val="ListParagraph"/>
        <w:spacing w:line="360" w:lineRule="auto"/>
        <w:rPr>
          <w:rFonts w:ascii="Arial" w:hAnsi="Arial" w:cs="Arial"/>
          <w:sz w:val="22"/>
          <w:szCs w:val="22"/>
        </w:rPr>
      </w:pPr>
      <w:r w:rsidRPr="00515AB9">
        <w:rPr>
          <w:rFonts w:ascii="Arial" w:hAnsi="Arial" w:cs="Arial"/>
          <w:sz w:val="22"/>
          <w:szCs w:val="22"/>
        </w:rPr>
        <w:t>NHS England uses many clinical, operational, workforce and financial systems to deliver healthcare across different regions and services.</w:t>
      </w:r>
      <w:r w:rsidR="003576E7" w:rsidRPr="00515AB9">
        <w:rPr>
          <w:rFonts w:ascii="Arial" w:hAnsi="Arial" w:cs="Arial"/>
          <w:sz w:val="22"/>
          <w:szCs w:val="22"/>
        </w:rPr>
        <w:t xml:space="preserve"> </w:t>
      </w:r>
      <w:r w:rsidRPr="00515AB9">
        <w:rPr>
          <w:rFonts w:ascii="Arial" w:hAnsi="Arial" w:cs="Arial"/>
          <w:sz w:val="22"/>
          <w:szCs w:val="22"/>
        </w:rPr>
        <w:t xml:space="preserve">These systems support daily work </w:t>
      </w:r>
      <w:r w:rsidR="008F7EDD" w:rsidRPr="00515AB9">
        <w:rPr>
          <w:rFonts w:ascii="Arial" w:hAnsi="Arial" w:cs="Arial"/>
          <w:sz w:val="22"/>
          <w:szCs w:val="22"/>
        </w:rPr>
        <w:t>well,</w:t>
      </w:r>
      <w:r w:rsidR="008F7EDD">
        <w:rPr>
          <w:rFonts w:ascii="Arial" w:hAnsi="Arial" w:cs="Arial"/>
          <w:sz w:val="22"/>
          <w:szCs w:val="22"/>
        </w:rPr>
        <w:t xml:space="preserve"> and because </w:t>
      </w:r>
      <w:r w:rsidRPr="00515AB9">
        <w:rPr>
          <w:rFonts w:ascii="Arial" w:hAnsi="Arial" w:cs="Arial"/>
          <w:sz w:val="22"/>
          <w:szCs w:val="22"/>
        </w:rPr>
        <w:t>the data is stored in separate systems, it can be difficult for NHS England to get one clear and consistent view of national healthcare performance.</w:t>
      </w:r>
      <w:r w:rsidR="006D604B" w:rsidRPr="00515AB9">
        <w:rPr>
          <w:rFonts w:ascii="Arial" w:hAnsi="Arial" w:cs="Arial"/>
          <w:sz w:val="22"/>
          <w:szCs w:val="22"/>
        </w:rPr>
        <w:t xml:space="preserve"> </w:t>
      </w:r>
      <w:r w:rsidR="007A7EFB" w:rsidRPr="00515AB9">
        <w:rPr>
          <w:rFonts w:ascii="Arial" w:hAnsi="Arial" w:cs="Arial"/>
          <w:sz w:val="22"/>
          <w:szCs w:val="22"/>
        </w:rPr>
        <w:t xml:space="preserve">                                                                                                          </w:t>
      </w:r>
      <w:r w:rsidR="00DC68D3" w:rsidRPr="00515AB9">
        <w:rPr>
          <w:rFonts w:ascii="Arial" w:hAnsi="Arial" w:cs="Arial"/>
          <w:sz w:val="22"/>
          <w:szCs w:val="22"/>
        </w:rPr>
        <w:t xml:space="preserve"> </w:t>
      </w:r>
    </w:p>
    <w:p w14:paraId="2D70DC60" w14:textId="5DBE55F6" w:rsidR="003576E7" w:rsidRPr="001D55D1" w:rsidRDefault="00084206" w:rsidP="001D55D1">
      <w:pPr>
        <w:pStyle w:val="ListParagraph"/>
        <w:spacing w:line="360" w:lineRule="auto"/>
        <w:rPr>
          <w:rFonts w:ascii="Arial" w:hAnsi="Arial" w:cs="Arial"/>
          <w:sz w:val="22"/>
          <w:szCs w:val="22"/>
        </w:rPr>
      </w:pPr>
      <w:r w:rsidRPr="00515AB9">
        <w:rPr>
          <w:rFonts w:ascii="Arial" w:hAnsi="Arial" w:cs="Arial"/>
          <w:sz w:val="22"/>
          <w:szCs w:val="22"/>
        </w:rPr>
        <w:t>This report explains the value of investing in a data warehouse for NHS England. It discusses the difference between OLTP systems and data warehouses, data warehouse architecture, ETL processes, dimensional modelling and data marts for managers.</w:t>
      </w:r>
      <w:r w:rsidR="003576E7" w:rsidRPr="00515AB9">
        <w:rPr>
          <w:rFonts w:ascii="Arial" w:hAnsi="Arial" w:cs="Arial"/>
          <w:sz w:val="22"/>
          <w:szCs w:val="22"/>
        </w:rPr>
        <w:t xml:space="preserve"> </w:t>
      </w:r>
      <w:r w:rsidRPr="00515AB9">
        <w:rPr>
          <w:rFonts w:ascii="Arial" w:hAnsi="Arial" w:cs="Arial"/>
          <w:sz w:val="22"/>
          <w:szCs w:val="22"/>
        </w:rPr>
        <w:t xml:space="preserve">It also proposes an NHS-focused star schema, identifies key data sources and outlines an implementation plan. The plan focuses on data quality, privacy, clinical safety and regulatory </w:t>
      </w:r>
      <w:r w:rsidR="003576E7" w:rsidRPr="00515AB9">
        <w:rPr>
          <w:rFonts w:ascii="Arial" w:hAnsi="Arial" w:cs="Arial"/>
          <w:sz w:val="22"/>
          <w:szCs w:val="22"/>
        </w:rPr>
        <w:t>compliance. The</w:t>
      </w:r>
      <w:r w:rsidRPr="00515AB9">
        <w:rPr>
          <w:rFonts w:ascii="Arial" w:hAnsi="Arial" w:cs="Arial"/>
          <w:sz w:val="22"/>
          <w:szCs w:val="22"/>
        </w:rPr>
        <w:t xml:space="preserve"> report is based on NHS England’s healthcare context.</w:t>
      </w:r>
      <w:r w:rsidR="001D55D1">
        <w:rPr>
          <w:rFonts w:ascii="Arial" w:hAnsi="Arial" w:cs="Arial"/>
          <w:sz w:val="22"/>
          <w:szCs w:val="22"/>
        </w:rPr>
        <w:t xml:space="preserve"> </w:t>
      </w:r>
      <w:r w:rsidRPr="001D55D1">
        <w:rPr>
          <w:rFonts w:ascii="Arial" w:hAnsi="Arial" w:cs="Arial"/>
          <w:sz w:val="22"/>
          <w:szCs w:val="22"/>
        </w:rPr>
        <w:t>Data may come from several NHS regions</w:t>
      </w:r>
      <w:r w:rsidR="002D6BCA" w:rsidRPr="001D55D1">
        <w:rPr>
          <w:rFonts w:ascii="Arial" w:hAnsi="Arial" w:cs="Arial"/>
          <w:sz w:val="22"/>
          <w:szCs w:val="22"/>
        </w:rPr>
        <w:t xml:space="preserve">. </w:t>
      </w:r>
    </w:p>
    <w:p w14:paraId="4033FD70" w14:textId="3F57FC25" w:rsidR="007A7EFB" w:rsidRPr="00515AB9" w:rsidRDefault="007A7EFB" w:rsidP="00515AB9">
      <w:pPr>
        <w:pStyle w:val="ListParagraph"/>
        <w:spacing w:line="360" w:lineRule="auto"/>
        <w:rPr>
          <w:rFonts w:ascii="Arial" w:hAnsi="Arial" w:cs="Arial"/>
          <w:sz w:val="22"/>
          <w:szCs w:val="22"/>
        </w:rPr>
      </w:pPr>
      <w:r w:rsidRPr="00515AB9">
        <w:rPr>
          <w:rFonts w:ascii="Arial" w:hAnsi="Arial" w:cs="Arial"/>
          <w:sz w:val="22"/>
          <w:szCs w:val="22"/>
        </w:rPr>
        <w:t>The data warehouse should include key healthcare data, such as patient details, clinical activity, bed use, waiting lists, staff information, financial records, and quality measures. Including these regions and data types makes the proposed data warehouse relevant to NHS England’s real needs. It would help improve patient flow, workforce planning, financial control, quality monitoring, and decision-making, without disrupting frontline healthcare services.</w:t>
      </w:r>
    </w:p>
    <w:p w14:paraId="26AD05B6" w14:textId="77777777" w:rsidR="00DC68D3" w:rsidRPr="00515AB9" w:rsidRDefault="00DC68D3" w:rsidP="00515AB9">
      <w:pPr>
        <w:spacing w:line="360" w:lineRule="auto"/>
        <w:rPr>
          <w:rFonts w:ascii="Arial" w:hAnsi="Arial" w:cs="Arial"/>
          <w:b/>
          <w:bCs/>
          <w:sz w:val="22"/>
          <w:szCs w:val="22"/>
        </w:rPr>
      </w:pPr>
    </w:p>
    <w:p w14:paraId="5E0BD7BD" w14:textId="5A3D0D26" w:rsidR="0070485E" w:rsidRPr="00515AB9" w:rsidRDefault="0070485E" w:rsidP="00515AB9">
      <w:pPr>
        <w:pStyle w:val="Heading1"/>
        <w:spacing w:line="360" w:lineRule="auto"/>
        <w:jc w:val="center"/>
        <w:rPr>
          <w:rFonts w:ascii="Arial" w:hAnsi="Arial" w:cs="Arial"/>
          <w:b/>
          <w:bCs/>
          <w:color w:val="auto"/>
          <w:sz w:val="22"/>
          <w:szCs w:val="22"/>
          <w:lang w:val="en-US"/>
        </w:rPr>
      </w:pPr>
      <w:bookmarkStart w:id="2" w:name="_Toc236712615"/>
      <w:r w:rsidRPr="00515AB9">
        <w:rPr>
          <w:rFonts w:ascii="Arial" w:hAnsi="Arial" w:cs="Arial"/>
          <w:b/>
          <w:bCs/>
          <w:color w:val="auto"/>
          <w:sz w:val="22"/>
          <w:szCs w:val="22"/>
          <w:lang w:val="en-US"/>
        </w:rPr>
        <w:t>Task 1</w:t>
      </w:r>
      <w:r w:rsidR="00504C1F" w:rsidRPr="00515AB9">
        <w:rPr>
          <w:rFonts w:ascii="Arial" w:hAnsi="Arial" w:cs="Arial"/>
          <w:b/>
          <w:bCs/>
          <w:color w:val="auto"/>
          <w:sz w:val="22"/>
          <w:szCs w:val="22"/>
          <w:lang w:val="en-US"/>
        </w:rPr>
        <w:t>:</w:t>
      </w:r>
      <w:r w:rsidRPr="00515AB9">
        <w:rPr>
          <w:rFonts w:ascii="Arial" w:hAnsi="Arial" w:cs="Arial"/>
          <w:b/>
          <w:bCs/>
          <w:color w:val="auto"/>
          <w:sz w:val="22"/>
          <w:szCs w:val="22"/>
          <w:lang w:val="en-US"/>
        </w:rPr>
        <w:t xml:space="preserve"> Strategic </w:t>
      </w:r>
      <w:r w:rsidR="00E62CDF" w:rsidRPr="00515AB9">
        <w:rPr>
          <w:rFonts w:ascii="Arial" w:hAnsi="Arial" w:cs="Arial"/>
          <w:b/>
          <w:bCs/>
          <w:color w:val="auto"/>
          <w:sz w:val="22"/>
          <w:szCs w:val="22"/>
          <w:lang w:val="en-US"/>
        </w:rPr>
        <w:t>Rationale</w:t>
      </w:r>
      <w:r w:rsidRPr="00515AB9">
        <w:rPr>
          <w:rFonts w:ascii="Arial" w:hAnsi="Arial" w:cs="Arial"/>
          <w:b/>
          <w:bCs/>
          <w:color w:val="auto"/>
          <w:sz w:val="22"/>
          <w:szCs w:val="22"/>
          <w:lang w:val="en-US"/>
        </w:rPr>
        <w:t xml:space="preserve"> and </w:t>
      </w:r>
      <w:r w:rsidR="00504C1F" w:rsidRPr="00515AB9">
        <w:rPr>
          <w:rFonts w:ascii="Arial" w:hAnsi="Arial" w:cs="Arial"/>
          <w:b/>
          <w:bCs/>
          <w:color w:val="auto"/>
          <w:sz w:val="22"/>
          <w:szCs w:val="22"/>
          <w:lang w:val="en-US"/>
        </w:rPr>
        <w:t>Architecture</w:t>
      </w:r>
      <w:bookmarkEnd w:id="2"/>
    </w:p>
    <w:p w14:paraId="064E3AB3" w14:textId="77777777" w:rsidR="0076595B" w:rsidRPr="00515AB9" w:rsidRDefault="0076595B" w:rsidP="00515AB9">
      <w:pPr>
        <w:spacing w:line="360" w:lineRule="auto"/>
        <w:rPr>
          <w:rFonts w:ascii="Arial" w:hAnsi="Arial" w:cs="Arial"/>
          <w:sz w:val="22"/>
          <w:szCs w:val="22"/>
          <w:lang w:val="en-US"/>
        </w:rPr>
      </w:pPr>
    </w:p>
    <w:p w14:paraId="3E336925" w14:textId="77777777" w:rsidR="0076595B" w:rsidRPr="002D6BCA" w:rsidRDefault="0076595B" w:rsidP="002D6BCA">
      <w:pPr>
        <w:pStyle w:val="ListParagraph"/>
        <w:rPr>
          <w:rFonts w:ascii="Arial" w:hAnsi="Arial" w:cs="Arial"/>
          <w:sz w:val="22"/>
          <w:szCs w:val="22"/>
        </w:rPr>
      </w:pPr>
      <w:r w:rsidRPr="002D6BCA">
        <w:rPr>
          <w:rFonts w:ascii="Arial" w:hAnsi="Arial" w:cs="Arial"/>
          <w:sz w:val="22"/>
          <w:szCs w:val="22"/>
        </w:rPr>
        <w:t>Enhancing National Healthcare Performance with Data Analytics</w:t>
      </w:r>
    </w:p>
    <w:p w14:paraId="5555766C" w14:textId="77777777" w:rsidR="0076595B" w:rsidRPr="002D6BCA" w:rsidRDefault="0076595B" w:rsidP="002D6BCA">
      <w:pPr>
        <w:pStyle w:val="ListParagraph"/>
        <w:rPr>
          <w:rFonts w:ascii="Arial" w:hAnsi="Arial" w:cs="Arial"/>
          <w:sz w:val="22"/>
          <w:szCs w:val="22"/>
        </w:rPr>
      </w:pPr>
      <w:r w:rsidRPr="002D6BCA">
        <w:rPr>
          <w:rFonts w:ascii="Arial" w:hAnsi="Arial" w:cs="Arial"/>
          <w:sz w:val="22"/>
          <w:szCs w:val="22"/>
        </w:rPr>
        <w:t>A data warehousing strategy for NHS England</w:t>
      </w:r>
    </w:p>
    <w:p w14:paraId="4AAD0019" w14:textId="77777777" w:rsidR="0076595B" w:rsidRPr="002D6BCA" w:rsidRDefault="0076595B" w:rsidP="002D6BCA">
      <w:pPr>
        <w:pStyle w:val="ListParagraph"/>
        <w:rPr>
          <w:rFonts w:ascii="Arial" w:hAnsi="Arial" w:cs="Arial"/>
          <w:sz w:val="22"/>
          <w:szCs w:val="22"/>
        </w:rPr>
      </w:pPr>
      <w:r w:rsidRPr="002D6BCA">
        <w:rPr>
          <w:rFonts w:ascii="Arial" w:hAnsi="Arial" w:cs="Arial"/>
          <w:sz w:val="22"/>
          <w:szCs w:val="22"/>
        </w:rPr>
        <w:t>Prepared for: Chief Executive and Board, NHS England</w:t>
      </w:r>
    </w:p>
    <w:p w14:paraId="69E9AA61" w14:textId="7B71AAB6" w:rsidR="0076595B" w:rsidRPr="002D6BCA" w:rsidRDefault="0076595B" w:rsidP="002D6BCA">
      <w:pPr>
        <w:pStyle w:val="ListParagraph"/>
        <w:rPr>
          <w:rFonts w:ascii="Arial" w:hAnsi="Arial" w:cs="Arial"/>
          <w:sz w:val="22"/>
          <w:szCs w:val="22"/>
        </w:rPr>
      </w:pPr>
      <w:r w:rsidRPr="002D6BCA">
        <w:rPr>
          <w:rFonts w:ascii="Arial" w:hAnsi="Arial" w:cs="Arial"/>
          <w:sz w:val="22"/>
          <w:szCs w:val="22"/>
        </w:rPr>
        <w:t>Prepared by: Morgan Dora, External Data Warehousing Consultant</w:t>
      </w:r>
    </w:p>
    <w:p w14:paraId="01CDC2A8" w14:textId="77777777" w:rsidR="009A6ABF" w:rsidRDefault="009A6ABF" w:rsidP="00515AB9">
      <w:pPr>
        <w:spacing w:line="360" w:lineRule="auto"/>
        <w:rPr>
          <w:rFonts w:ascii="Arial" w:hAnsi="Arial" w:cs="Arial"/>
          <w:sz w:val="22"/>
          <w:szCs w:val="22"/>
          <w:lang w:val="en-US"/>
        </w:rPr>
      </w:pPr>
    </w:p>
    <w:p w14:paraId="67CD976F" w14:textId="77777777" w:rsidR="001D55D1" w:rsidRDefault="001D55D1" w:rsidP="00515AB9">
      <w:pPr>
        <w:spacing w:line="360" w:lineRule="auto"/>
        <w:rPr>
          <w:rFonts w:ascii="Arial" w:hAnsi="Arial" w:cs="Arial"/>
          <w:sz w:val="22"/>
          <w:szCs w:val="22"/>
          <w:lang w:val="en-US"/>
        </w:rPr>
      </w:pPr>
    </w:p>
    <w:p w14:paraId="4799121C" w14:textId="77777777" w:rsidR="001D55D1" w:rsidRDefault="001D55D1" w:rsidP="00515AB9">
      <w:pPr>
        <w:spacing w:line="360" w:lineRule="auto"/>
        <w:rPr>
          <w:rFonts w:ascii="Arial" w:hAnsi="Arial" w:cs="Arial"/>
          <w:sz w:val="22"/>
          <w:szCs w:val="22"/>
          <w:lang w:val="en-US"/>
        </w:rPr>
      </w:pPr>
    </w:p>
    <w:p w14:paraId="762871D7" w14:textId="77777777" w:rsidR="002D6BCA" w:rsidRDefault="002D6BCA" w:rsidP="00515AB9">
      <w:pPr>
        <w:spacing w:line="360" w:lineRule="auto"/>
        <w:rPr>
          <w:rFonts w:ascii="Arial" w:hAnsi="Arial" w:cs="Arial"/>
          <w:sz w:val="22"/>
          <w:szCs w:val="22"/>
          <w:lang w:val="en-US"/>
        </w:rPr>
      </w:pPr>
    </w:p>
    <w:p w14:paraId="437A6000" w14:textId="77777777" w:rsidR="002D6BCA" w:rsidRPr="00515AB9" w:rsidRDefault="002D6BCA" w:rsidP="00515AB9">
      <w:pPr>
        <w:spacing w:line="360" w:lineRule="auto"/>
        <w:rPr>
          <w:rFonts w:ascii="Arial" w:hAnsi="Arial" w:cs="Arial"/>
          <w:sz w:val="22"/>
          <w:szCs w:val="22"/>
          <w:lang w:val="en-US"/>
        </w:rPr>
      </w:pPr>
    </w:p>
    <w:p w14:paraId="28C19534" w14:textId="7FD86F94" w:rsidR="009A6ABF" w:rsidRPr="00515AB9" w:rsidRDefault="000F69FA" w:rsidP="00515AB9">
      <w:pPr>
        <w:pStyle w:val="Heading2"/>
        <w:numPr>
          <w:ilvl w:val="0"/>
          <w:numId w:val="10"/>
        </w:numPr>
        <w:spacing w:line="360" w:lineRule="auto"/>
        <w:jc w:val="center"/>
        <w:rPr>
          <w:rFonts w:ascii="Arial" w:hAnsi="Arial" w:cs="Arial"/>
          <w:b/>
          <w:bCs/>
          <w:color w:val="auto"/>
          <w:sz w:val="22"/>
          <w:szCs w:val="22"/>
          <w:lang w:val="en-US"/>
        </w:rPr>
      </w:pPr>
      <w:bookmarkStart w:id="3" w:name="_Toc236712616"/>
      <w:r w:rsidRPr="00515AB9">
        <w:rPr>
          <w:rFonts w:ascii="Arial" w:hAnsi="Arial" w:cs="Arial"/>
          <w:b/>
          <w:bCs/>
          <w:color w:val="auto"/>
          <w:sz w:val="22"/>
          <w:szCs w:val="22"/>
          <w:lang w:val="en-US"/>
        </w:rPr>
        <w:lastRenderedPageBreak/>
        <w:t>NHS England’s national healthcare operations architecture</w:t>
      </w:r>
      <w:bookmarkEnd w:id="3"/>
    </w:p>
    <w:p w14:paraId="10E71355" w14:textId="77777777" w:rsidR="0034118A" w:rsidRPr="00515AB9" w:rsidRDefault="0034118A" w:rsidP="00515AB9">
      <w:pPr>
        <w:spacing w:line="360" w:lineRule="auto"/>
        <w:rPr>
          <w:rFonts w:ascii="Arial" w:hAnsi="Arial" w:cs="Arial"/>
          <w:sz w:val="22"/>
          <w:szCs w:val="22"/>
          <w:lang w:val="en-US"/>
        </w:rPr>
      </w:pPr>
    </w:p>
    <w:p w14:paraId="722390BF" w14:textId="5B987EB7" w:rsidR="00F41946" w:rsidRPr="00515AB9" w:rsidRDefault="0034118A"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NHS England's Electronic Patient Record (EPR)</w:t>
      </w:r>
      <w:r w:rsidR="00721198" w:rsidRPr="00515AB9">
        <w:rPr>
          <w:rFonts w:ascii="Arial" w:hAnsi="Arial" w:cs="Arial"/>
          <w:sz w:val="22"/>
          <w:szCs w:val="22"/>
          <w:lang w:val="en-US"/>
        </w:rPr>
        <w:t xml:space="preserve"> and Patient AS</w:t>
      </w:r>
    </w:p>
    <w:p w14:paraId="6743861C" w14:textId="58FF9CFC" w:rsidR="00884ACD" w:rsidRPr="00515AB9" w:rsidRDefault="00DC68D3" w:rsidP="00515AB9">
      <w:pPr>
        <w:pStyle w:val="ListParagraph"/>
        <w:spacing w:line="360" w:lineRule="auto"/>
        <w:rPr>
          <w:rFonts w:ascii="Arial" w:hAnsi="Arial" w:cs="Arial"/>
          <w:color w:val="000000"/>
          <w:sz w:val="22"/>
          <w:szCs w:val="22"/>
        </w:rPr>
      </w:pPr>
      <w:r w:rsidRPr="00515AB9">
        <w:rPr>
          <w:rFonts w:ascii="Arial" w:hAnsi="Arial" w:cs="Arial"/>
          <w:sz w:val="22"/>
          <w:szCs w:val="22"/>
          <w:lang w:val="en-US"/>
        </w:rPr>
        <w:t>“An</w:t>
      </w:r>
      <w:r w:rsidR="003A66B5" w:rsidRPr="00515AB9">
        <w:rPr>
          <w:rFonts w:ascii="Arial" w:hAnsi="Arial" w:cs="Arial"/>
          <w:sz w:val="22"/>
          <w:szCs w:val="22"/>
        </w:rPr>
        <w:t xml:space="preserve"> EPR is a digital version of a patient’s hospital record, including information such as diagnoses, treatments, medications, and test results. It allows authorised healthcare providers to access and update patient information quickly and securely. “ </w:t>
      </w:r>
      <w:sdt>
        <w:sdtPr>
          <w:rPr>
            <w:rFonts w:ascii="Arial" w:hAnsi="Arial" w:cs="Arial"/>
            <w:color w:val="000000"/>
            <w:sz w:val="22"/>
            <w:szCs w:val="22"/>
            <w:highlight w:val="white"/>
          </w:rPr>
          <w:alias w:val="Citation"/>
          <w:tag w:val="{&quot;referencesIds&quot;:[&quot;doc:6a4a92345faf3b18508d83af&quot;],&quot;referencesOptions&quot;:{&quot;doc:6a4a92345faf3b18508d83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0532396,&quot;citationText&quot;:&quot;&lt;span style=\&quot;font-family:Aptos;font-size:16px;color:#EE0000\&quot;&gt;[1]&lt;/span&gt;&quot;}"/>
          <w:id w:val="-510532396"/>
          <w:placeholder>
            <w:docPart w:val="B03282B6681C40E78F5C6C12229A1CB0"/>
          </w:placeholder>
        </w:sdtPr>
        <w:sdtEndPr>
          <w:rPr>
            <w:color w:val="000000" w:themeColor="text1"/>
          </w:rPr>
        </w:sdtEndPr>
        <w:sdtContent>
          <w:r w:rsidR="00DE7B3F" w:rsidRPr="00515AB9">
            <w:rPr>
              <w:rFonts w:ascii="Arial" w:eastAsia="Times New Roman" w:hAnsi="Arial" w:cs="Arial"/>
              <w:color w:val="000000"/>
              <w:sz w:val="22"/>
              <w:szCs w:val="22"/>
            </w:rPr>
            <w:t>[1]</w:t>
          </w:r>
        </w:sdtContent>
      </w:sdt>
    </w:p>
    <w:p w14:paraId="411E9FDC" w14:textId="05939C1A" w:rsidR="004459FA" w:rsidRPr="00515AB9" w:rsidRDefault="00884ACD" w:rsidP="00515AB9">
      <w:pPr>
        <w:pStyle w:val="ListParagraph"/>
        <w:spacing w:line="360" w:lineRule="auto"/>
        <w:rPr>
          <w:rFonts w:ascii="Arial" w:hAnsi="Arial" w:cs="Arial"/>
          <w:color w:val="000000"/>
          <w:sz w:val="22"/>
          <w:szCs w:val="22"/>
        </w:rPr>
      </w:pPr>
      <w:r w:rsidRPr="00515AB9">
        <w:rPr>
          <w:rFonts w:ascii="Arial" w:hAnsi="Arial" w:cs="Arial"/>
          <w:color w:val="000000"/>
          <w:sz w:val="22"/>
          <w:szCs w:val="22"/>
        </w:rPr>
        <w:t>“EPRs also provide the foundation for connecting patient records across multiple healthcare organisations. Many trusts work together to deploy joint EPRs, such as </w:t>
      </w:r>
      <w:r w:rsidRPr="00515AB9">
        <w:rPr>
          <w:rFonts w:ascii="Arial" w:hAnsi="Arial" w:cs="Arial"/>
          <w:sz w:val="22"/>
          <w:szCs w:val="22"/>
        </w:rPr>
        <w:t>One Devon</w:t>
      </w:r>
      <w:r w:rsidRPr="00515AB9">
        <w:rPr>
          <w:rFonts w:ascii="Arial" w:hAnsi="Arial" w:cs="Arial"/>
          <w:color w:val="000000"/>
          <w:sz w:val="22"/>
          <w:szCs w:val="22"/>
        </w:rPr>
        <w:t>, so they can share patient records across the region.”</w:t>
      </w:r>
      <w:sdt>
        <w:sdtPr>
          <w:rPr>
            <w:rFonts w:ascii="Arial" w:hAnsi="Arial" w:cs="Arial"/>
            <w:color w:val="000000"/>
            <w:sz w:val="22"/>
            <w:szCs w:val="22"/>
            <w:highlight w:val="white"/>
          </w:rPr>
          <w:alias w:val="Citation"/>
          <w:tag w:val="{&quot;referencesIds&quot;:[&quot;doc:6a4a92345faf3b18508d83af&quot;],&quot;referencesOptions&quot;:{&quot;doc:6a4a92345faf3b18508d83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827059,&quot;citationText&quot;:&quot;&lt;span style=\&quot;font-family:Aptos;font-size:16px;color:#EE0000\&quot;&gt;[1]&lt;/span&gt;&quot;}"/>
          <w:id w:val="-1401827059"/>
          <w:placeholder>
            <w:docPart w:val="BC2E83DEF06B42D38677ECF73104D60A"/>
          </w:placeholder>
        </w:sdtPr>
        <w:sdtContent>
          <w:r w:rsidR="00DE7B3F" w:rsidRPr="00515AB9">
            <w:rPr>
              <w:rFonts w:ascii="Arial" w:eastAsia="Times New Roman" w:hAnsi="Arial" w:cs="Arial"/>
              <w:color w:val="000000"/>
              <w:sz w:val="22"/>
              <w:szCs w:val="22"/>
            </w:rPr>
            <w:t>[1]</w:t>
          </w:r>
        </w:sdtContent>
      </w:sdt>
    </w:p>
    <w:p w14:paraId="18959D11" w14:textId="6B9411FC" w:rsidR="00A24C5A" w:rsidRPr="00515AB9" w:rsidRDefault="001F3641"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NHS England's Electronic Patient Record (EPR), Patient Administration System (PAS),</w:t>
      </w:r>
      <w:r w:rsidR="00CA2458" w:rsidRPr="00515AB9">
        <w:rPr>
          <w:rFonts w:ascii="Arial" w:hAnsi="Arial" w:cs="Arial"/>
          <w:sz w:val="22"/>
          <w:szCs w:val="22"/>
          <w:lang w:val="en-US"/>
        </w:rPr>
        <w:t xml:space="preserve"> </w:t>
      </w:r>
      <w:r w:rsidR="00AD7C7A" w:rsidRPr="00515AB9">
        <w:rPr>
          <w:rFonts w:ascii="Arial" w:hAnsi="Arial" w:cs="Arial"/>
          <w:sz w:val="22"/>
          <w:szCs w:val="22"/>
          <w:lang w:val="en-US"/>
        </w:rPr>
        <w:t xml:space="preserve">laboratory data, staff duty roster, and NHS </w:t>
      </w:r>
      <w:r w:rsidRPr="00515AB9">
        <w:rPr>
          <w:rFonts w:ascii="Arial" w:hAnsi="Arial" w:cs="Arial"/>
          <w:sz w:val="22"/>
          <w:szCs w:val="22"/>
          <w:lang w:val="en-US"/>
        </w:rPr>
        <w:t xml:space="preserve">finance applications are Online Transaction Processing (OLTP) systems. </w:t>
      </w:r>
      <w:r w:rsidR="00AB04B3" w:rsidRPr="00515AB9">
        <w:rPr>
          <w:rFonts w:ascii="Arial" w:hAnsi="Arial" w:cs="Arial"/>
          <w:sz w:val="22"/>
          <w:szCs w:val="22"/>
          <w:lang w:val="en-US"/>
        </w:rPr>
        <w:t xml:space="preserve">Used </w:t>
      </w:r>
      <w:r w:rsidR="00FB4132" w:rsidRPr="00515AB9">
        <w:rPr>
          <w:rFonts w:ascii="Arial" w:hAnsi="Arial" w:cs="Arial"/>
          <w:sz w:val="22"/>
          <w:szCs w:val="22"/>
          <w:lang w:val="en-US"/>
        </w:rPr>
        <w:t>for complete</w:t>
      </w:r>
      <w:r w:rsidRPr="00515AB9">
        <w:rPr>
          <w:rFonts w:ascii="Arial" w:hAnsi="Arial" w:cs="Arial"/>
          <w:sz w:val="22"/>
          <w:szCs w:val="22"/>
          <w:lang w:val="en-US"/>
        </w:rPr>
        <w:t xml:space="preserve"> </w:t>
      </w:r>
      <w:r w:rsidR="00AD7C7A" w:rsidRPr="00515AB9">
        <w:rPr>
          <w:rFonts w:ascii="Arial" w:hAnsi="Arial" w:cs="Arial"/>
          <w:sz w:val="22"/>
          <w:szCs w:val="22"/>
          <w:lang w:val="en-US"/>
        </w:rPr>
        <w:t>day-to-day</w:t>
      </w:r>
      <w:r w:rsidR="005572EB" w:rsidRPr="00515AB9">
        <w:rPr>
          <w:rFonts w:ascii="Arial" w:hAnsi="Arial" w:cs="Arial"/>
          <w:sz w:val="22"/>
          <w:szCs w:val="22"/>
          <w:lang w:val="en-US"/>
        </w:rPr>
        <w:t xml:space="preserve"> operations and </w:t>
      </w:r>
      <w:r w:rsidR="003835BE" w:rsidRPr="00515AB9">
        <w:rPr>
          <w:rFonts w:ascii="Arial" w:hAnsi="Arial" w:cs="Arial"/>
          <w:sz w:val="22"/>
          <w:szCs w:val="22"/>
          <w:lang w:val="en-US"/>
        </w:rPr>
        <w:t>transactions:</w:t>
      </w:r>
      <w:r w:rsidRPr="00515AB9">
        <w:rPr>
          <w:rFonts w:ascii="Arial" w:hAnsi="Arial" w:cs="Arial"/>
          <w:sz w:val="22"/>
          <w:szCs w:val="22"/>
          <w:lang w:val="en-US"/>
        </w:rPr>
        <w:t xml:space="preserve"> </w:t>
      </w:r>
    </w:p>
    <w:p w14:paraId="3390773C" w14:textId="643B3316" w:rsidR="008A430A"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R</w:t>
      </w:r>
      <w:r w:rsidR="001F3641" w:rsidRPr="00515AB9">
        <w:rPr>
          <w:rFonts w:ascii="Arial" w:hAnsi="Arial" w:cs="Arial"/>
          <w:sz w:val="22"/>
          <w:szCs w:val="22"/>
          <w:lang w:val="en-US"/>
        </w:rPr>
        <w:t xml:space="preserve">egister </w:t>
      </w:r>
      <w:r w:rsidRPr="00515AB9">
        <w:rPr>
          <w:rFonts w:ascii="Arial" w:hAnsi="Arial" w:cs="Arial"/>
          <w:sz w:val="22"/>
          <w:szCs w:val="22"/>
          <w:lang w:val="en-US"/>
        </w:rPr>
        <w:t xml:space="preserve">new </w:t>
      </w:r>
      <w:r w:rsidR="00B769C4" w:rsidRPr="00515AB9">
        <w:rPr>
          <w:rFonts w:ascii="Arial" w:hAnsi="Arial" w:cs="Arial"/>
          <w:sz w:val="22"/>
          <w:szCs w:val="22"/>
          <w:lang w:val="en-US"/>
        </w:rPr>
        <w:t>patients.</w:t>
      </w:r>
      <w:r w:rsidR="001F3641" w:rsidRPr="00515AB9">
        <w:rPr>
          <w:rFonts w:ascii="Arial" w:hAnsi="Arial" w:cs="Arial"/>
          <w:sz w:val="22"/>
          <w:szCs w:val="22"/>
          <w:lang w:val="en-US"/>
        </w:rPr>
        <w:t xml:space="preserve"> </w:t>
      </w:r>
    </w:p>
    <w:p w14:paraId="1D6D49CB" w14:textId="1C7AB212" w:rsidR="009B1263"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R</w:t>
      </w:r>
      <w:r w:rsidR="001F3641" w:rsidRPr="00515AB9">
        <w:rPr>
          <w:rFonts w:ascii="Arial" w:hAnsi="Arial" w:cs="Arial"/>
          <w:sz w:val="22"/>
          <w:szCs w:val="22"/>
          <w:lang w:val="en-US"/>
        </w:rPr>
        <w:t>eferral</w:t>
      </w:r>
      <w:r w:rsidR="001E3542" w:rsidRPr="00515AB9">
        <w:rPr>
          <w:rFonts w:ascii="Arial" w:hAnsi="Arial" w:cs="Arial"/>
          <w:sz w:val="22"/>
          <w:szCs w:val="22"/>
          <w:lang w:val="en-US"/>
        </w:rPr>
        <w:t>s</w:t>
      </w:r>
    </w:p>
    <w:p w14:paraId="7CB1AB94" w14:textId="01123B9A" w:rsidR="00C34249"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R</w:t>
      </w:r>
      <w:r w:rsidR="001F3641" w:rsidRPr="00515AB9">
        <w:rPr>
          <w:rFonts w:ascii="Arial" w:hAnsi="Arial" w:cs="Arial"/>
          <w:sz w:val="22"/>
          <w:szCs w:val="22"/>
          <w:lang w:val="en-US"/>
        </w:rPr>
        <w:t xml:space="preserve">ecord </w:t>
      </w:r>
      <w:r w:rsidR="00C34249" w:rsidRPr="00515AB9">
        <w:rPr>
          <w:rFonts w:ascii="Arial" w:hAnsi="Arial" w:cs="Arial"/>
          <w:sz w:val="22"/>
          <w:szCs w:val="22"/>
          <w:lang w:val="en-US"/>
        </w:rPr>
        <w:t xml:space="preserve">patient </w:t>
      </w:r>
      <w:r w:rsidR="00F10901" w:rsidRPr="00515AB9">
        <w:rPr>
          <w:rFonts w:ascii="Arial" w:hAnsi="Arial" w:cs="Arial"/>
          <w:sz w:val="22"/>
          <w:szCs w:val="22"/>
          <w:lang w:val="en-US"/>
        </w:rPr>
        <w:t>diagnosis.</w:t>
      </w:r>
      <w:r w:rsidR="001F3641" w:rsidRPr="00515AB9">
        <w:rPr>
          <w:rFonts w:ascii="Arial" w:hAnsi="Arial" w:cs="Arial"/>
          <w:sz w:val="22"/>
          <w:szCs w:val="22"/>
          <w:lang w:val="en-US"/>
        </w:rPr>
        <w:t xml:space="preserve"> </w:t>
      </w:r>
    </w:p>
    <w:p w14:paraId="61956F04" w14:textId="0F85634B" w:rsidR="00C34249"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B</w:t>
      </w:r>
      <w:r w:rsidR="00C34249" w:rsidRPr="00515AB9">
        <w:rPr>
          <w:rFonts w:ascii="Arial" w:hAnsi="Arial" w:cs="Arial"/>
          <w:sz w:val="22"/>
          <w:szCs w:val="22"/>
          <w:lang w:val="en-US"/>
        </w:rPr>
        <w:t>ook appointments</w:t>
      </w:r>
    </w:p>
    <w:p w14:paraId="7B499852" w14:textId="77777777" w:rsidR="003835BE"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color w:val="000000"/>
          <w:sz w:val="22"/>
          <w:szCs w:val="22"/>
        </w:rPr>
        <w:t>Workforce data</w:t>
      </w:r>
    </w:p>
    <w:p w14:paraId="151FA2F3" w14:textId="3C0B20AE" w:rsidR="00AD7C7A" w:rsidRPr="00515AB9" w:rsidRDefault="003835BE"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Registering</w:t>
      </w:r>
      <w:r w:rsidR="001253C2" w:rsidRPr="00515AB9">
        <w:rPr>
          <w:rFonts w:ascii="Arial" w:hAnsi="Arial" w:cs="Arial"/>
          <w:sz w:val="22"/>
          <w:szCs w:val="22"/>
          <w:lang w:val="en-US"/>
        </w:rPr>
        <w:t xml:space="preserve"> and managing staff shift </w:t>
      </w:r>
      <w:r w:rsidR="00F10901" w:rsidRPr="00515AB9">
        <w:rPr>
          <w:rFonts w:ascii="Arial" w:hAnsi="Arial" w:cs="Arial"/>
          <w:sz w:val="22"/>
          <w:szCs w:val="22"/>
          <w:lang w:val="en-US"/>
        </w:rPr>
        <w:t>allocation.</w:t>
      </w:r>
    </w:p>
    <w:p w14:paraId="5C57FE96" w14:textId="68B4DEB6" w:rsidR="001253C2"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H</w:t>
      </w:r>
      <w:r w:rsidR="00AD7C7A" w:rsidRPr="00515AB9">
        <w:rPr>
          <w:rFonts w:ascii="Arial" w:hAnsi="Arial" w:cs="Arial"/>
          <w:sz w:val="22"/>
          <w:szCs w:val="22"/>
          <w:lang w:val="en-US"/>
        </w:rPr>
        <w:t>uman resources subsystem management</w:t>
      </w:r>
      <w:r w:rsidR="001F3641" w:rsidRPr="00515AB9">
        <w:rPr>
          <w:rFonts w:ascii="Arial" w:hAnsi="Arial" w:cs="Arial"/>
          <w:sz w:val="22"/>
          <w:szCs w:val="22"/>
          <w:lang w:val="en-US"/>
        </w:rPr>
        <w:t xml:space="preserve"> </w:t>
      </w:r>
    </w:p>
    <w:p w14:paraId="2857180B" w14:textId="54F5108B" w:rsidR="001E3542" w:rsidRPr="00515AB9" w:rsidRDefault="008A430A" w:rsidP="00515AB9">
      <w:pPr>
        <w:pStyle w:val="ListParagraph"/>
        <w:numPr>
          <w:ilvl w:val="0"/>
          <w:numId w:val="22"/>
        </w:numPr>
        <w:spacing w:line="360" w:lineRule="auto"/>
        <w:rPr>
          <w:rFonts w:ascii="Arial" w:hAnsi="Arial" w:cs="Arial"/>
          <w:color w:val="000000"/>
          <w:sz w:val="22"/>
          <w:szCs w:val="22"/>
        </w:rPr>
      </w:pPr>
      <w:r w:rsidRPr="00515AB9">
        <w:rPr>
          <w:rFonts w:ascii="Arial" w:hAnsi="Arial" w:cs="Arial"/>
          <w:sz w:val="22"/>
          <w:szCs w:val="22"/>
          <w:lang w:val="en-US"/>
        </w:rPr>
        <w:t>F</w:t>
      </w:r>
      <w:r w:rsidR="001E3542" w:rsidRPr="00515AB9">
        <w:rPr>
          <w:rFonts w:ascii="Arial" w:hAnsi="Arial" w:cs="Arial"/>
          <w:sz w:val="22"/>
          <w:szCs w:val="22"/>
          <w:lang w:val="en-US"/>
        </w:rPr>
        <w:t>inance department operations</w:t>
      </w:r>
      <w:r w:rsidRPr="00515AB9">
        <w:rPr>
          <w:rFonts w:ascii="Arial" w:hAnsi="Arial" w:cs="Arial"/>
          <w:sz w:val="22"/>
          <w:szCs w:val="22"/>
          <w:lang w:val="en-US"/>
        </w:rPr>
        <w:t>, invoices</w:t>
      </w:r>
      <w:r w:rsidR="003835BE" w:rsidRPr="00515AB9">
        <w:rPr>
          <w:rFonts w:ascii="Arial" w:hAnsi="Arial" w:cs="Arial"/>
          <w:sz w:val="22"/>
          <w:szCs w:val="22"/>
          <w:lang w:val="en-US"/>
        </w:rPr>
        <w:t>.</w:t>
      </w:r>
    </w:p>
    <w:p w14:paraId="2CB888E6" w14:textId="4DC76709" w:rsidR="00D21CA5" w:rsidRPr="00515AB9" w:rsidRDefault="00AB30CB" w:rsidP="00515AB9">
      <w:pPr>
        <w:pStyle w:val="ListParagraph"/>
        <w:spacing w:line="360" w:lineRule="auto"/>
        <w:rPr>
          <w:rFonts w:ascii="Arial" w:hAnsi="Arial" w:cs="Arial"/>
          <w:color w:val="000000"/>
          <w:sz w:val="22"/>
          <w:szCs w:val="22"/>
        </w:rPr>
      </w:pPr>
      <w:r w:rsidRPr="00515AB9">
        <w:rPr>
          <w:rFonts w:ascii="Arial" w:hAnsi="Arial" w:cs="Arial"/>
          <w:sz w:val="22"/>
          <w:szCs w:val="22"/>
          <w:lang w:val="en-US"/>
        </w:rPr>
        <w:t>The EPR i</w:t>
      </w:r>
      <w:r w:rsidR="00A91825" w:rsidRPr="00515AB9">
        <w:rPr>
          <w:rFonts w:ascii="Arial" w:hAnsi="Arial" w:cs="Arial"/>
          <w:sz w:val="22"/>
          <w:szCs w:val="22"/>
          <w:lang w:val="en-US"/>
        </w:rPr>
        <w:t>s</w:t>
      </w:r>
      <w:r w:rsidR="00C755DD" w:rsidRPr="00515AB9">
        <w:rPr>
          <w:rFonts w:ascii="Arial" w:hAnsi="Arial" w:cs="Arial"/>
          <w:sz w:val="22"/>
          <w:szCs w:val="22"/>
          <w:lang w:val="en-US"/>
        </w:rPr>
        <w:t xml:space="preserve"> </w:t>
      </w:r>
      <w:r w:rsidR="00FB4132" w:rsidRPr="00515AB9">
        <w:rPr>
          <w:rFonts w:ascii="Arial" w:hAnsi="Arial" w:cs="Arial"/>
          <w:sz w:val="22"/>
          <w:szCs w:val="22"/>
          <w:lang w:val="en-US"/>
        </w:rPr>
        <w:t xml:space="preserve">a </w:t>
      </w:r>
      <w:r w:rsidR="00C755DD" w:rsidRPr="00515AB9">
        <w:rPr>
          <w:rFonts w:ascii="Arial" w:hAnsi="Arial" w:cs="Arial"/>
          <w:sz w:val="22"/>
          <w:szCs w:val="22"/>
          <w:lang w:val="en-US"/>
        </w:rPr>
        <w:t xml:space="preserve">normalised structure </w:t>
      </w:r>
      <w:r w:rsidR="00FB4132" w:rsidRPr="00515AB9">
        <w:rPr>
          <w:rFonts w:ascii="Arial" w:hAnsi="Arial" w:cs="Arial"/>
          <w:sz w:val="22"/>
          <w:szCs w:val="22"/>
          <w:lang w:val="en-US"/>
        </w:rPr>
        <w:t xml:space="preserve">that </w:t>
      </w:r>
      <w:r w:rsidR="00C755DD" w:rsidRPr="00515AB9">
        <w:rPr>
          <w:rFonts w:ascii="Arial" w:hAnsi="Arial" w:cs="Arial"/>
          <w:sz w:val="22"/>
          <w:szCs w:val="22"/>
          <w:lang w:val="en-US"/>
        </w:rPr>
        <w:t xml:space="preserve">stores </w:t>
      </w:r>
      <w:r w:rsidR="00374283" w:rsidRPr="00515AB9">
        <w:rPr>
          <w:rFonts w:ascii="Arial" w:hAnsi="Arial" w:cs="Arial"/>
          <w:sz w:val="22"/>
          <w:szCs w:val="22"/>
          <w:lang w:val="en-US"/>
        </w:rPr>
        <w:t>facts</w:t>
      </w:r>
      <w:r w:rsidR="00C755DD" w:rsidRPr="00515AB9">
        <w:rPr>
          <w:rFonts w:ascii="Arial" w:hAnsi="Arial" w:cs="Arial"/>
          <w:sz w:val="22"/>
          <w:szCs w:val="22"/>
          <w:lang w:val="en-US"/>
        </w:rPr>
        <w:t xml:space="preserve">, </w:t>
      </w:r>
      <w:proofErr w:type="gramStart"/>
      <w:r w:rsidR="00374283" w:rsidRPr="00515AB9">
        <w:rPr>
          <w:rFonts w:ascii="Arial" w:hAnsi="Arial" w:cs="Arial"/>
          <w:sz w:val="22"/>
          <w:szCs w:val="22"/>
          <w:lang w:val="en-US"/>
        </w:rPr>
        <w:t>contains</w:t>
      </w:r>
      <w:proofErr w:type="gramEnd"/>
      <w:r w:rsidR="00C755DD" w:rsidRPr="00515AB9">
        <w:rPr>
          <w:rFonts w:ascii="Arial" w:hAnsi="Arial" w:cs="Arial"/>
          <w:sz w:val="22"/>
          <w:szCs w:val="22"/>
          <w:lang w:val="en-US"/>
        </w:rPr>
        <w:t xml:space="preserve"> detailed validation and supports </w:t>
      </w:r>
      <w:r w:rsidR="00FB4132" w:rsidRPr="00515AB9">
        <w:rPr>
          <w:rFonts w:ascii="Arial" w:hAnsi="Arial" w:cs="Arial"/>
          <w:sz w:val="22"/>
          <w:szCs w:val="22"/>
          <w:lang w:val="en-US"/>
        </w:rPr>
        <w:t>input</w:t>
      </w:r>
      <w:r w:rsidR="00C755DD" w:rsidRPr="00515AB9">
        <w:rPr>
          <w:rFonts w:ascii="Arial" w:hAnsi="Arial" w:cs="Arial"/>
          <w:sz w:val="22"/>
          <w:szCs w:val="22"/>
          <w:lang w:val="en-US"/>
        </w:rPr>
        <w:t xml:space="preserve"> and updates. The design is therefore </w:t>
      </w:r>
      <w:r w:rsidR="00FB4132" w:rsidRPr="00515AB9">
        <w:rPr>
          <w:rFonts w:ascii="Arial" w:hAnsi="Arial" w:cs="Arial"/>
          <w:sz w:val="22"/>
          <w:szCs w:val="22"/>
          <w:lang w:val="en-US"/>
        </w:rPr>
        <w:t>optimised</w:t>
      </w:r>
      <w:r w:rsidR="00C755DD" w:rsidRPr="00515AB9">
        <w:rPr>
          <w:rFonts w:ascii="Arial" w:hAnsi="Arial" w:cs="Arial"/>
          <w:sz w:val="22"/>
          <w:szCs w:val="22"/>
          <w:lang w:val="en-US"/>
        </w:rPr>
        <w:t xml:space="preserve"> for the current operational state</w:t>
      </w:r>
      <w:r w:rsidR="00374283" w:rsidRPr="00515AB9">
        <w:rPr>
          <w:rFonts w:ascii="Arial" w:hAnsi="Arial" w:cs="Arial"/>
          <w:sz w:val="22"/>
          <w:szCs w:val="22"/>
          <w:lang w:val="en-US"/>
        </w:rPr>
        <w:t>.</w:t>
      </w:r>
    </w:p>
    <w:p w14:paraId="1C618C2A" w14:textId="5ED4684A" w:rsidR="00A91F9B" w:rsidRDefault="00DC68D3" w:rsidP="00515AB9">
      <w:pPr>
        <w:pStyle w:val="ListParagraph"/>
        <w:spacing w:line="360" w:lineRule="auto"/>
        <w:rPr>
          <w:rFonts w:ascii="Arial" w:hAnsi="Arial" w:cs="Arial"/>
          <w:color w:val="000000"/>
          <w:sz w:val="22"/>
          <w:szCs w:val="22"/>
        </w:rPr>
      </w:pPr>
      <w:r w:rsidRPr="00515AB9">
        <w:rPr>
          <w:rFonts w:ascii="Arial" w:hAnsi="Arial" w:cs="Arial"/>
          <w:sz w:val="22"/>
          <w:szCs w:val="22"/>
        </w:rPr>
        <w:t>“A</w:t>
      </w:r>
      <w:r w:rsidR="00345A27" w:rsidRPr="00515AB9">
        <w:rPr>
          <w:rFonts w:ascii="Arial" w:hAnsi="Arial" w:cs="Arial"/>
          <w:sz w:val="22"/>
          <w:szCs w:val="22"/>
        </w:rPr>
        <w:t xml:space="preserve"> shared care record is a safe and secure way of bringing electronic records from different health and care organisations together digitally in one place.”</w:t>
      </w:r>
      <w:sdt>
        <w:sdtPr>
          <w:rPr>
            <w:rFonts w:ascii="Arial" w:hAnsi="Arial" w:cs="Arial"/>
            <w:color w:val="000000"/>
            <w:sz w:val="22"/>
            <w:szCs w:val="22"/>
            <w:highlight w:val="white"/>
          </w:rPr>
          <w:alias w:val="Citation"/>
          <w:tag w:val="{&quot;referencesIds&quot;:[&quot;doc:6a4a92345faf3b18508d83af&quot;],&quot;referencesOptions&quot;:{&quot;doc:6a4a92345faf3b18508d83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9319,&quot;citationText&quot;:&quot;&lt;span style=\&quot;font-family:Aptos;font-size:16px;color:#EE0000\&quot;&gt;[1]&lt;/span&gt;&quot;}"/>
          <w:id w:val="17589319"/>
          <w:placeholder>
            <w:docPart w:val="A974E4B680E74E53A937F08C498B16BE"/>
          </w:placeholder>
        </w:sdtPr>
        <w:sdtContent>
          <w:r w:rsidR="00DE7B3F" w:rsidRPr="00515AB9">
            <w:rPr>
              <w:rFonts w:ascii="Arial" w:eastAsia="Times New Roman" w:hAnsi="Arial" w:cs="Arial"/>
              <w:color w:val="000000"/>
              <w:sz w:val="22"/>
              <w:szCs w:val="22"/>
            </w:rPr>
            <w:t>[1]</w:t>
          </w:r>
        </w:sdtContent>
      </w:sdt>
    </w:p>
    <w:p w14:paraId="49CFAC9D" w14:textId="77777777" w:rsidR="002D6BCA" w:rsidRDefault="002D6BCA" w:rsidP="00515AB9">
      <w:pPr>
        <w:pStyle w:val="ListParagraph"/>
        <w:spacing w:line="360" w:lineRule="auto"/>
        <w:rPr>
          <w:rFonts w:ascii="Arial" w:hAnsi="Arial" w:cs="Arial"/>
          <w:color w:val="000000"/>
          <w:sz w:val="22"/>
          <w:szCs w:val="22"/>
        </w:rPr>
      </w:pPr>
    </w:p>
    <w:p w14:paraId="52FB9A9E" w14:textId="77777777" w:rsidR="002D6BCA" w:rsidRDefault="002D6BCA" w:rsidP="00515AB9">
      <w:pPr>
        <w:pStyle w:val="ListParagraph"/>
        <w:spacing w:line="360" w:lineRule="auto"/>
        <w:rPr>
          <w:rFonts w:ascii="Arial" w:hAnsi="Arial" w:cs="Arial"/>
          <w:color w:val="000000"/>
          <w:sz w:val="22"/>
          <w:szCs w:val="22"/>
        </w:rPr>
      </w:pPr>
    </w:p>
    <w:p w14:paraId="26719BC3" w14:textId="77777777" w:rsidR="002D6BCA" w:rsidRDefault="002D6BCA" w:rsidP="00515AB9">
      <w:pPr>
        <w:pStyle w:val="ListParagraph"/>
        <w:spacing w:line="360" w:lineRule="auto"/>
        <w:rPr>
          <w:rFonts w:ascii="Arial" w:hAnsi="Arial" w:cs="Arial"/>
          <w:color w:val="000000"/>
          <w:sz w:val="22"/>
          <w:szCs w:val="22"/>
        </w:rPr>
      </w:pPr>
    </w:p>
    <w:p w14:paraId="512E5B9C" w14:textId="77777777" w:rsidR="002D6BCA" w:rsidRDefault="002D6BCA" w:rsidP="00515AB9">
      <w:pPr>
        <w:pStyle w:val="ListParagraph"/>
        <w:spacing w:line="360" w:lineRule="auto"/>
        <w:rPr>
          <w:rFonts w:ascii="Arial" w:hAnsi="Arial" w:cs="Arial"/>
          <w:color w:val="000000"/>
          <w:sz w:val="22"/>
          <w:szCs w:val="22"/>
        </w:rPr>
      </w:pPr>
    </w:p>
    <w:p w14:paraId="5A6A82A8" w14:textId="77777777" w:rsidR="002D6BCA" w:rsidRDefault="002D6BCA" w:rsidP="00515AB9">
      <w:pPr>
        <w:pStyle w:val="ListParagraph"/>
        <w:spacing w:line="360" w:lineRule="auto"/>
        <w:rPr>
          <w:rFonts w:ascii="Arial" w:hAnsi="Arial" w:cs="Arial"/>
          <w:color w:val="000000"/>
          <w:sz w:val="22"/>
          <w:szCs w:val="22"/>
        </w:rPr>
      </w:pPr>
    </w:p>
    <w:p w14:paraId="6F1B1733" w14:textId="77777777" w:rsidR="002D6BCA" w:rsidRDefault="002D6BCA" w:rsidP="00515AB9">
      <w:pPr>
        <w:pStyle w:val="ListParagraph"/>
        <w:spacing w:line="360" w:lineRule="auto"/>
        <w:rPr>
          <w:rFonts w:ascii="Arial" w:hAnsi="Arial" w:cs="Arial"/>
          <w:color w:val="000000"/>
          <w:sz w:val="22"/>
          <w:szCs w:val="22"/>
        </w:rPr>
      </w:pPr>
    </w:p>
    <w:p w14:paraId="1F00A635" w14:textId="77777777" w:rsidR="002D6BCA" w:rsidRPr="00515AB9" w:rsidRDefault="002D6BCA" w:rsidP="00515AB9">
      <w:pPr>
        <w:pStyle w:val="ListParagraph"/>
        <w:spacing w:line="360" w:lineRule="auto"/>
        <w:rPr>
          <w:rFonts w:ascii="Arial" w:hAnsi="Arial" w:cs="Arial"/>
          <w:color w:val="000000"/>
          <w:sz w:val="22"/>
          <w:szCs w:val="22"/>
        </w:rPr>
      </w:pPr>
    </w:p>
    <w:p w14:paraId="24395D57" w14:textId="1750FB35" w:rsidR="00217F2A" w:rsidRPr="00515AB9" w:rsidRDefault="0070485E" w:rsidP="00515AB9">
      <w:pPr>
        <w:pStyle w:val="Heading2"/>
        <w:numPr>
          <w:ilvl w:val="1"/>
          <w:numId w:val="24"/>
        </w:numPr>
        <w:spacing w:line="360" w:lineRule="auto"/>
        <w:rPr>
          <w:rFonts w:ascii="Arial" w:hAnsi="Arial" w:cs="Arial"/>
          <w:b/>
          <w:bCs/>
          <w:color w:val="auto"/>
          <w:sz w:val="22"/>
          <w:szCs w:val="22"/>
          <w:lang w:val="en-US"/>
        </w:rPr>
      </w:pPr>
      <w:bookmarkStart w:id="4" w:name="_Toc236712617"/>
      <w:r w:rsidRPr="00515AB9">
        <w:rPr>
          <w:rFonts w:ascii="Arial" w:hAnsi="Arial" w:cs="Arial"/>
          <w:b/>
          <w:bCs/>
          <w:color w:val="auto"/>
          <w:sz w:val="22"/>
          <w:szCs w:val="22"/>
          <w:lang w:val="en-US"/>
        </w:rPr>
        <w:lastRenderedPageBreak/>
        <w:t>OLTP systems compared with a data warehouse</w:t>
      </w:r>
      <w:bookmarkEnd w:id="4"/>
    </w:p>
    <w:p w14:paraId="426A590C" w14:textId="77777777" w:rsidR="00FA6E38" w:rsidRPr="00515AB9" w:rsidRDefault="00FA6E38" w:rsidP="00515AB9">
      <w:pPr>
        <w:spacing w:line="360" w:lineRule="auto"/>
        <w:rPr>
          <w:rFonts w:ascii="Arial" w:hAnsi="Arial" w:cs="Arial"/>
          <w:sz w:val="22"/>
          <w:szCs w:val="22"/>
          <w:lang w:val="en-US"/>
        </w:rPr>
      </w:pPr>
    </w:p>
    <w:p w14:paraId="3AF2C149" w14:textId="5DD28695" w:rsidR="00217F2A" w:rsidRPr="00515AB9" w:rsidRDefault="00AF2E76"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 xml:space="preserve">OLTP </w:t>
      </w:r>
      <w:r w:rsidR="00217F2A" w:rsidRPr="00515AB9">
        <w:rPr>
          <w:rFonts w:ascii="Arial" w:hAnsi="Arial" w:cs="Arial"/>
          <w:sz w:val="22"/>
          <w:szCs w:val="22"/>
          <w:lang w:val="en-US"/>
        </w:rPr>
        <w:t>Online Transaction</w:t>
      </w:r>
      <w:r w:rsidRPr="00515AB9">
        <w:rPr>
          <w:rFonts w:ascii="Arial" w:hAnsi="Arial" w:cs="Arial"/>
          <w:sz w:val="22"/>
          <w:szCs w:val="22"/>
          <w:lang w:val="en-US"/>
        </w:rPr>
        <w:t xml:space="preserve"> Processing</w:t>
      </w:r>
    </w:p>
    <w:p w14:paraId="09C8E265" w14:textId="2CC67450" w:rsidR="005E16E5" w:rsidRPr="00515AB9" w:rsidRDefault="005E16E5" w:rsidP="00515AB9">
      <w:pPr>
        <w:pStyle w:val="ListParagraph"/>
        <w:spacing w:line="360" w:lineRule="auto"/>
        <w:rPr>
          <w:rFonts w:ascii="Arial" w:hAnsi="Arial" w:cs="Arial"/>
          <w:sz w:val="22"/>
          <w:szCs w:val="22"/>
        </w:rPr>
      </w:pPr>
      <w:r w:rsidRPr="00515AB9">
        <w:rPr>
          <w:rFonts w:ascii="Arial" w:hAnsi="Arial" w:cs="Arial"/>
          <w:color w:val="000000"/>
          <w:sz w:val="22"/>
          <w:szCs w:val="22"/>
        </w:rPr>
        <w:t xml:space="preserve">“Online transaction processing (OLTP) is the real-time data processing behind ATM withdrawals, credit card </w:t>
      </w:r>
      <w:r w:rsidRPr="00515AB9">
        <w:rPr>
          <w:rFonts w:ascii="Arial" w:hAnsi="Arial" w:cs="Arial"/>
          <w:sz w:val="22"/>
          <w:szCs w:val="22"/>
        </w:rPr>
        <w:t>payments, ticketing and reservation systems, online shopping, and electronic commerce in general. Online transaction processing systems are purpose-built to handle large numbers of transactions by large numbers of concurrent users.</w:t>
      </w:r>
      <w:r w:rsidR="006006B5" w:rsidRPr="00515AB9">
        <w:rPr>
          <w:rFonts w:ascii="Arial" w:hAnsi="Arial" w:cs="Arial"/>
          <w:sz w:val="22"/>
          <w:szCs w:val="22"/>
        </w:rPr>
        <w:t xml:space="preserve"> </w:t>
      </w:r>
      <w:r w:rsidRPr="00515AB9">
        <w:rPr>
          <w:rFonts w:ascii="Arial" w:hAnsi="Arial" w:cs="Arial"/>
          <w:sz w:val="22"/>
          <w:szCs w:val="22"/>
        </w:rPr>
        <w:t xml:space="preserve">OLTP databases provide the back end or storage layer for electronic commerce, and in fact for most modern computer applications. While OLTP databases have traditionally been SQL relational databases, it’s also possible to use some NoSQL databases for the same purposes. Most of our discussion below will be in terms of SQL relational databases. “ </w:t>
      </w:r>
      <w:sdt>
        <w:sdtPr>
          <w:rPr>
            <w:rFonts w:ascii="Arial" w:hAnsi="Arial" w:cs="Arial"/>
            <w:sz w:val="22"/>
            <w:szCs w:val="22"/>
            <w:highlight w:val="white"/>
          </w:rPr>
          <w:alias w:val="Citation"/>
          <w:tag w:val="{&quot;referencesIds&quot;:[&quot;doc:6a4ac06ae934bc744cbfaf93&quot;],&quot;referencesOptions&quot;:{&quot;doc:6a4ac06ae934bc744cbfa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148263,&quot;citationText&quot;:&quot;&lt;span style=\&quot;font-family:Aptos;font-size:16px;color:#EE0000\&quot;&gt;[2]&lt;/span&gt;&quot;}"/>
          <w:id w:val="1064148263"/>
          <w:placeholder>
            <w:docPart w:val="34E0B64DF0234CDDA3DC8FB3C328A38D"/>
          </w:placeholder>
        </w:sdtPr>
        <w:sdtContent>
          <w:r w:rsidR="00DE7B3F" w:rsidRPr="00515AB9">
            <w:rPr>
              <w:rFonts w:ascii="Arial" w:eastAsia="Times New Roman" w:hAnsi="Arial" w:cs="Arial"/>
              <w:color w:val="000000"/>
              <w:sz w:val="22"/>
              <w:szCs w:val="22"/>
            </w:rPr>
            <w:t>[2]</w:t>
          </w:r>
        </w:sdtContent>
      </w:sdt>
    </w:p>
    <w:p w14:paraId="12CA3A7A" w14:textId="77777777" w:rsidR="00B327D0" w:rsidRPr="00515AB9" w:rsidRDefault="00B327D0" w:rsidP="00515AB9">
      <w:pPr>
        <w:pStyle w:val="ListParagraph"/>
        <w:spacing w:line="360" w:lineRule="auto"/>
        <w:rPr>
          <w:rFonts w:ascii="Arial" w:hAnsi="Arial" w:cs="Arial"/>
          <w:sz w:val="22"/>
          <w:szCs w:val="22"/>
          <w:lang w:val="en-US"/>
        </w:rPr>
      </w:pPr>
    </w:p>
    <w:p w14:paraId="536F9E41" w14:textId="6F28C9F0" w:rsidR="00732F70" w:rsidRPr="00515AB9" w:rsidRDefault="00B327D0"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Data warehouse</w:t>
      </w:r>
    </w:p>
    <w:p w14:paraId="6E6A4787" w14:textId="7A3FA1D3" w:rsidR="00AA19CC" w:rsidRPr="00515AB9" w:rsidRDefault="00AA19CC" w:rsidP="00515AB9">
      <w:pPr>
        <w:pStyle w:val="ListParagraph"/>
        <w:spacing w:line="360" w:lineRule="auto"/>
        <w:rPr>
          <w:rFonts w:ascii="Arial" w:hAnsi="Arial" w:cs="Arial"/>
          <w:sz w:val="22"/>
          <w:szCs w:val="22"/>
        </w:rPr>
      </w:pPr>
      <w:r w:rsidRPr="00515AB9">
        <w:rPr>
          <w:rFonts w:ascii="Arial" w:hAnsi="Arial" w:cs="Arial"/>
          <w:sz w:val="22"/>
          <w:szCs w:val="22"/>
          <w:lang w:val="en-US"/>
        </w:rPr>
        <w:t>“</w:t>
      </w:r>
      <w:r w:rsidRPr="00515AB9">
        <w:rPr>
          <w:rFonts w:ascii="Arial" w:hAnsi="Arial" w:cs="Arial"/>
          <w:sz w:val="22"/>
          <w:szCs w:val="22"/>
        </w:rPr>
        <w:t>A data warehouse is a type of data management system that is designed to enable and support business intelligence (BI) activities, especially analytics. Data warehouses are solely intended to perform queries and analysis and often contain large amounts of historical data. The data within a data warehouse is usually derived from a wide range of sources such as application log files and transaction applications.</w:t>
      </w:r>
      <w:r w:rsidR="00E62CDF" w:rsidRPr="00515AB9">
        <w:rPr>
          <w:rFonts w:ascii="Arial" w:hAnsi="Arial" w:cs="Arial"/>
          <w:sz w:val="22"/>
          <w:szCs w:val="22"/>
        </w:rPr>
        <w:t xml:space="preserve"> </w:t>
      </w:r>
      <w:r w:rsidRPr="00515AB9">
        <w:rPr>
          <w:rFonts w:ascii="Arial" w:hAnsi="Arial" w:cs="Arial"/>
          <w:sz w:val="22"/>
          <w:szCs w:val="22"/>
        </w:rPr>
        <w:t xml:space="preserve">A data warehouse centralizes and consolidates large amounts of data from multiple sources. Its analytical capabilities allow organizations to derive valuable business insights from their data to improve decision-making. Over time, it builds a historical record that can be invaluable to data scientists and business analysts. Because of these capabilities, a data warehouse can be considered an organization’s “single source of truth.” </w:t>
      </w:r>
      <w:sdt>
        <w:sdtPr>
          <w:rPr>
            <w:rFonts w:ascii="Arial" w:hAnsi="Arial" w:cs="Arial"/>
            <w:color w:val="000000"/>
            <w:sz w:val="22"/>
            <w:szCs w:val="22"/>
            <w:highlight w:val="white"/>
          </w:rPr>
          <w:alias w:val="Citation"/>
          <w:tag w:val="{&quot;referencesIds&quot;:[&quot;doc:6a4a9fd69101ca5e73c2e55f&quot;],&quot;referencesOptions&quot;:{&quot;doc:6a4a9fd69101ca5e73c2e5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25411,&quot;citationText&quot;:&quot;&lt;span style=\&quot;font-family:Aptos;font-size:16px;color:#EE0000\&quot;&gt;[3]&lt;/span&gt;&quot;}"/>
          <w:id w:val="-63025411"/>
          <w:placeholder>
            <w:docPart w:val="1740592503EB4604BAA33FCFA9F244E1"/>
          </w:placeholder>
        </w:sdtPr>
        <w:sdtContent>
          <w:r w:rsidR="00DE7B3F" w:rsidRPr="00515AB9">
            <w:rPr>
              <w:rFonts w:ascii="Arial" w:eastAsia="Times New Roman" w:hAnsi="Arial" w:cs="Arial"/>
              <w:color w:val="000000"/>
              <w:sz w:val="22"/>
              <w:szCs w:val="22"/>
            </w:rPr>
            <w:t>[3]</w:t>
          </w:r>
        </w:sdtContent>
      </w:sdt>
    </w:p>
    <w:p w14:paraId="5F2C9DBE" w14:textId="7FABAFED" w:rsidR="0098724B" w:rsidRPr="00515AB9" w:rsidRDefault="0098724B" w:rsidP="00515AB9">
      <w:pPr>
        <w:pStyle w:val="ListParagraph"/>
        <w:spacing w:line="360" w:lineRule="auto"/>
        <w:rPr>
          <w:rFonts w:ascii="Arial" w:hAnsi="Arial" w:cs="Arial"/>
          <w:sz w:val="22"/>
          <w:szCs w:val="22"/>
        </w:rPr>
      </w:pPr>
      <w:r w:rsidRPr="00515AB9">
        <w:rPr>
          <w:rFonts w:ascii="Arial" w:hAnsi="Arial" w:cs="Arial"/>
          <w:sz w:val="22"/>
          <w:szCs w:val="22"/>
        </w:rPr>
        <w:t>A data warehouse has a different job. It takes selected data from existing systems and brings it together in one place for reporting and analysis. It keeps historical data, uses shared definitions and allows large queries to run without slowing down frontline systems.</w:t>
      </w:r>
    </w:p>
    <w:p w14:paraId="4DAC7843" w14:textId="77777777" w:rsidR="0098724B" w:rsidRPr="00515AB9" w:rsidRDefault="0098724B" w:rsidP="00515AB9">
      <w:pPr>
        <w:pStyle w:val="ListParagraph"/>
        <w:spacing w:line="360" w:lineRule="auto"/>
        <w:rPr>
          <w:rFonts w:ascii="Arial" w:hAnsi="Arial" w:cs="Arial"/>
          <w:sz w:val="22"/>
          <w:szCs w:val="22"/>
        </w:rPr>
      </w:pPr>
      <w:r w:rsidRPr="00515AB9">
        <w:rPr>
          <w:rFonts w:ascii="Arial" w:hAnsi="Arial" w:cs="Arial"/>
          <w:sz w:val="22"/>
          <w:szCs w:val="22"/>
        </w:rPr>
        <w:t>This helps leaders compare things like bed occupancy, RTT waiting times, agency costs, outcomes and budgets across ICSs, Trusts, services and months. It supports safer and better decision-making across the NHS.</w:t>
      </w:r>
    </w:p>
    <w:p w14:paraId="6C8E6DF1" w14:textId="77777777" w:rsidR="0098724B" w:rsidRPr="00515AB9" w:rsidRDefault="0098724B" w:rsidP="00515AB9">
      <w:pPr>
        <w:pStyle w:val="ListParagraph"/>
        <w:spacing w:line="360" w:lineRule="auto"/>
        <w:rPr>
          <w:rFonts w:ascii="Arial" w:hAnsi="Arial" w:cs="Arial"/>
          <w:sz w:val="22"/>
          <w:szCs w:val="22"/>
        </w:rPr>
      </w:pPr>
      <w:r w:rsidRPr="00515AB9">
        <w:rPr>
          <w:rFonts w:ascii="Arial" w:hAnsi="Arial" w:cs="Arial"/>
          <w:sz w:val="22"/>
          <w:szCs w:val="22"/>
        </w:rPr>
        <w:t>The warehouse supports OLTP systems rather than replacing them. It can reduce spreadsheet checking, make reports more consistent and improve future planning.</w:t>
      </w:r>
    </w:p>
    <w:p w14:paraId="2F1C9AF5" w14:textId="306FE61F" w:rsidR="0098724B" w:rsidRPr="00515AB9" w:rsidRDefault="0098724B" w:rsidP="00515AB9">
      <w:pPr>
        <w:pStyle w:val="ListParagraph"/>
        <w:spacing w:line="360" w:lineRule="auto"/>
        <w:rPr>
          <w:rFonts w:ascii="Arial" w:hAnsi="Arial" w:cs="Arial"/>
          <w:sz w:val="22"/>
          <w:szCs w:val="22"/>
        </w:rPr>
      </w:pPr>
      <w:r w:rsidRPr="00515AB9">
        <w:rPr>
          <w:rFonts w:ascii="Arial" w:hAnsi="Arial" w:cs="Arial"/>
          <w:sz w:val="22"/>
          <w:szCs w:val="22"/>
        </w:rPr>
        <w:t>However, it only becomes a trusted source when measures have clear owners, data is updated regularly</w:t>
      </w:r>
      <w:r w:rsidRPr="00515AB9">
        <w:rPr>
          <w:rFonts w:ascii="Arial" w:hAnsi="Arial" w:cs="Arial"/>
          <w:sz w:val="22"/>
          <w:szCs w:val="22"/>
        </w:rPr>
        <w:t>,</w:t>
      </w:r>
      <w:r w:rsidRPr="00515AB9">
        <w:rPr>
          <w:rFonts w:ascii="Arial" w:hAnsi="Arial" w:cs="Arial"/>
          <w:sz w:val="22"/>
          <w:szCs w:val="22"/>
        </w:rPr>
        <w:t xml:space="preserve"> and quality problems are clearly shown. </w:t>
      </w:r>
      <w:r w:rsidR="00EC1878" w:rsidRPr="00515AB9">
        <w:rPr>
          <w:rFonts w:ascii="Arial" w:hAnsi="Arial" w:cs="Arial"/>
          <w:sz w:val="22"/>
          <w:szCs w:val="22"/>
        </w:rPr>
        <w:t xml:space="preserve">                                   </w:t>
      </w:r>
    </w:p>
    <w:p w14:paraId="14F3F127" w14:textId="396FFD2A" w:rsidR="0047416B" w:rsidRPr="00515AB9" w:rsidRDefault="00721198" w:rsidP="00515AB9">
      <w:pPr>
        <w:pStyle w:val="ListParagraph"/>
        <w:spacing w:line="360" w:lineRule="auto"/>
        <w:rPr>
          <w:rFonts w:ascii="Arial" w:hAnsi="Arial" w:cs="Arial"/>
          <w:color w:val="000000"/>
          <w:sz w:val="22"/>
          <w:szCs w:val="22"/>
          <w:lang w:val="en-US"/>
        </w:rPr>
      </w:pPr>
      <w:r w:rsidRPr="00515AB9">
        <w:rPr>
          <w:rFonts w:ascii="Arial" w:hAnsi="Arial" w:cs="Arial"/>
          <w:b/>
          <w:bCs/>
          <w:sz w:val="22"/>
          <w:szCs w:val="22"/>
          <w:lang w:val="en-US"/>
        </w:rPr>
        <w:lastRenderedPageBreak/>
        <w:t>Figure 1: Table</w:t>
      </w:r>
      <w:r w:rsidR="00A91825" w:rsidRPr="00515AB9">
        <w:rPr>
          <w:rFonts w:ascii="Arial" w:hAnsi="Arial" w:cs="Arial"/>
          <w:b/>
          <w:bCs/>
          <w:sz w:val="22"/>
          <w:szCs w:val="22"/>
          <w:lang w:val="en-US"/>
        </w:rPr>
        <w:t xml:space="preserve"> of </w:t>
      </w:r>
      <w:r w:rsidR="00F10901" w:rsidRPr="00515AB9">
        <w:rPr>
          <w:rFonts w:ascii="Arial" w:hAnsi="Arial" w:cs="Arial"/>
          <w:b/>
          <w:bCs/>
          <w:sz w:val="22"/>
          <w:szCs w:val="22"/>
          <w:lang w:val="en-US"/>
        </w:rPr>
        <w:t>differentiation between</w:t>
      </w:r>
      <w:r w:rsidR="004C7C0C" w:rsidRPr="00515AB9">
        <w:rPr>
          <w:rFonts w:ascii="Arial" w:hAnsi="Arial" w:cs="Arial"/>
          <w:b/>
          <w:bCs/>
          <w:sz w:val="22"/>
          <w:szCs w:val="22"/>
          <w:lang w:val="en-US"/>
        </w:rPr>
        <w:t xml:space="preserve"> OLTP and Enterprise Data Warehouse</w:t>
      </w:r>
      <w:r w:rsidR="00D42A13" w:rsidRPr="00515AB9">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4a9fd69101ca5e73c2e55f&quot;],&quot;referencesOptions&quot;:{&quot;doc:6a4a9fd69101ca5e73c2e5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919743,&quot;citationText&quot;:&quot;&lt;span style=\&quot;font-family:Aptos;font-size:16px;color:#EE0000\&quot;&gt;[3]&lt;/span&gt;&quot;}"/>
          <w:id w:val="1208919743"/>
          <w:placeholder>
            <w:docPart w:val="CA562C4D66BC413BA28BF4EB772A59C2"/>
          </w:placeholder>
        </w:sdtPr>
        <w:sdtContent>
          <w:r w:rsidR="00DE7B3F" w:rsidRPr="00515AB9">
            <w:rPr>
              <w:rFonts w:ascii="Arial" w:eastAsia="Times New Roman" w:hAnsi="Arial" w:cs="Arial"/>
              <w:color w:val="000000"/>
              <w:sz w:val="22"/>
              <w:szCs w:val="22"/>
            </w:rPr>
            <w:t>[3]</w:t>
          </w:r>
        </w:sdtContent>
      </w:sdt>
    </w:p>
    <w:p w14:paraId="63A6AD5B" w14:textId="77777777" w:rsidR="00B10714" w:rsidRPr="00515AB9" w:rsidRDefault="00B10714" w:rsidP="00515AB9">
      <w:pPr>
        <w:pStyle w:val="ListParagraph"/>
        <w:spacing w:line="360" w:lineRule="auto"/>
        <w:rPr>
          <w:rFonts w:ascii="Arial" w:hAnsi="Arial" w:cs="Arial"/>
          <w:sz w:val="22"/>
          <w:szCs w:val="22"/>
          <w:lang w:val="en-US"/>
        </w:rPr>
      </w:pPr>
    </w:p>
    <w:tbl>
      <w:tblPr>
        <w:tblStyle w:val="TableGrid"/>
        <w:tblpPr w:leftFromText="180" w:rightFromText="180" w:vertAnchor="text" w:horzAnchor="margin" w:tblpX="699" w:tblpY="-908"/>
        <w:tblW w:w="8373" w:type="dxa"/>
        <w:shd w:val="clear" w:color="auto" w:fill="1C6194" w:themeFill="accent6" w:themeFillShade="BF"/>
        <w:tblLayout w:type="fixed"/>
        <w:tblLook w:val="04A0" w:firstRow="1" w:lastRow="0" w:firstColumn="1" w:lastColumn="0" w:noHBand="0" w:noVBand="1"/>
      </w:tblPr>
      <w:tblGrid>
        <w:gridCol w:w="2405"/>
        <w:gridCol w:w="2835"/>
        <w:gridCol w:w="3133"/>
      </w:tblGrid>
      <w:tr w:rsidR="00891A56" w:rsidRPr="00515AB9" w14:paraId="54899ADF" w14:textId="77777777" w:rsidTr="00D20D66">
        <w:trPr>
          <w:trHeight w:val="741"/>
          <w:tblHeader/>
        </w:trPr>
        <w:tc>
          <w:tcPr>
            <w:tcW w:w="2405" w:type="dxa"/>
            <w:shd w:val="clear" w:color="auto" w:fill="1C6194" w:themeFill="accent6" w:themeFillShade="BF"/>
            <w:tcMar>
              <w:top w:w="100" w:type="dxa"/>
              <w:left w:w="120" w:type="dxa"/>
              <w:bottom w:w="100" w:type="dxa"/>
              <w:right w:w="120" w:type="dxa"/>
            </w:tcMar>
            <w:vAlign w:val="center"/>
          </w:tcPr>
          <w:p w14:paraId="02EE3FBF"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Characteristic</w:t>
            </w:r>
          </w:p>
        </w:tc>
        <w:tc>
          <w:tcPr>
            <w:tcW w:w="2835" w:type="dxa"/>
            <w:shd w:val="clear" w:color="auto" w:fill="1C6194" w:themeFill="accent6" w:themeFillShade="BF"/>
            <w:tcMar>
              <w:top w:w="100" w:type="dxa"/>
              <w:left w:w="120" w:type="dxa"/>
              <w:bottom w:w="100" w:type="dxa"/>
              <w:right w:w="120" w:type="dxa"/>
            </w:tcMar>
            <w:vAlign w:val="center"/>
          </w:tcPr>
          <w:p w14:paraId="09103797" w14:textId="5278E3E8"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OLTP (EPR, PAS</w:t>
            </w:r>
            <w:r w:rsidR="00F10901" w:rsidRPr="00515AB9">
              <w:rPr>
                <w:rFonts w:ascii="Arial" w:hAnsi="Arial" w:cs="Arial"/>
                <w:color w:val="FFFFFF" w:themeColor="background1"/>
                <w:sz w:val="22"/>
                <w:szCs w:val="22"/>
                <w:lang w:val="en-US"/>
              </w:rPr>
              <w:t>,)</w:t>
            </w:r>
          </w:p>
        </w:tc>
        <w:tc>
          <w:tcPr>
            <w:tcW w:w="3133" w:type="dxa"/>
            <w:shd w:val="clear" w:color="auto" w:fill="1C6194" w:themeFill="accent6" w:themeFillShade="BF"/>
            <w:tcMar>
              <w:top w:w="100" w:type="dxa"/>
              <w:left w:w="120" w:type="dxa"/>
              <w:bottom w:w="100" w:type="dxa"/>
              <w:right w:w="120" w:type="dxa"/>
            </w:tcMar>
            <w:vAlign w:val="center"/>
          </w:tcPr>
          <w:p w14:paraId="4E314DFC" w14:textId="00EC84C3"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 xml:space="preserve">Enterprise </w:t>
            </w:r>
            <w:r w:rsidR="00087E7B" w:rsidRPr="00515AB9">
              <w:rPr>
                <w:rFonts w:ascii="Arial" w:hAnsi="Arial" w:cs="Arial"/>
                <w:color w:val="FFFFFF" w:themeColor="background1"/>
                <w:sz w:val="22"/>
                <w:szCs w:val="22"/>
                <w:lang w:val="en-US"/>
              </w:rPr>
              <w:t>D</w:t>
            </w:r>
            <w:r w:rsidRPr="00515AB9">
              <w:rPr>
                <w:rFonts w:ascii="Arial" w:hAnsi="Arial" w:cs="Arial"/>
                <w:color w:val="FFFFFF" w:themeColor="background1"/>
                <w:sz w:val="22"/>
                <w:szCs w:val="22"/>
                <w:lang w:val="en-US"/>
              </w:rPr>
              <w:t xml:space="preserve">ata </w:t>
            </w:r>
            <w:r w:rsidR="00087E7B" w:rsidRPr="00515AB9">
              <w:rPr>
                <w:rFonts w:ascii="Arial" w:hAnsi="Arial" w:cs="Arial"/>
                <w:color w:val="FFFFFF" w:themeColor="background1"/>
                <w:sz w:val="22"/>
                <w:szCs w:val="22"/>
                <w:lang w:val="en-US"/>
              </w:rPr>
              <w:t>Warehouse</w:t>
            </w:r>
          </w:p>
        </w:tc>
      </w:tr>
      <w:tr w:rsidR="00891A56" w:rsidRPr="00515AB9" w14:paraId="01ABABAB" w14:textId="77777777" w:rsidTr="00D20D66">
        <w:trPr>
          <w:trHeight w:val="1063"/>
        </w:trPr>
        <w:tc>
          <w:tcPr>
            <w:tcW w:w="2405" w:type="dxa"/>
            <w:shd w:val="clear" w:color="auto" w:fill="1C6194" w:themeFill="accent6" w:themeFillShade="BF"/>
            <w:tcMar>
              <w:top w:w="100" w:type="dxa"/>
              <w:left w:w="120" w:type="dxa"/>
              <w:bottom w:w="100" w:type="dxa"/>
              <w:right w:w="120" w:type="dxa"/>
            </w:tcMar>
            <w:vAlign w:val="center"/>
          </w:tcPr>
          <w:p w14:paraId="3E0741DE"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Primary purpose</w:t>
            </w:r>
          </w:p>
        </w:tc>
        <w:tc>
          <w:tcPr>
            <w:tcW w:w="2835" w:type="dxa"/>
            <w:shd w:val="clear" w:color="auto" w:fill="1C6194" w:themeFill="accent6" w:themeFillShade="BF"/>
            <w:tcMar>
              <w:top w:w="100" w:type="dxa"/>
              <w:left w:w="120" w:type="dxa"/>
              <w:bottom w:w="100" w:type="dxa"/>
              <w:right w:w="120" w:type="dxa"/>
            </w:tcMar>
            <w:vAlign w:val="center"/>
          </w:tcPr>
          <w:p w14:paraId="3776A7DB"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Deliver and record individual care or business events</w:t>
            </w:r>
          </w:p>
        </w:tc>
        <w:tc>
          <w:tcPr>
            <w:tcW w:w="3133" w:type="dxa"/>
            <w:shd w:val="clear" w:color="auto" w:fill="1C6194" w:themeFill="accent6" w:themeFillShade="BF"/>
            <w:tcMar>
              <w:top w:w="100" w:type="dxa"/>
              <w:left w:w="120" w:type="dxa"/>
              <w:bottom w:w="100" w:type="dxa"/>
              <w:right w:w="120" w:type="dxa"/>
            </w:tcMar>
            <w:vAlign w:val="center"/>
          </w:tcPr>
          <w:p w14:paraId="5E125DF7"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Explain performance, trends and relationships</w:t>
            </w:r>
          </w:p>
        </w:tc>
      </w:tr>
      <w:tr w:rsidR="00891A56" w:rsidRPr="00515AB9" w14:paraId="1EE7B749" w14:textId="77777777" w:rsidTr="00D20D66">
        <w:trPr>
          <w:trHeight w:val="728"/>
        </w:trPr>
        <w:tc>
          <w:tcPr>
            <w:tcW w:w="2405" w:type="dxa"/>
            <w:shd w:val="clear" w:color="auto" w:fill="1C6194" w:themeFill="accent6" w:themeFillShade="BF"/>
            <w:tcMar>
              <w:top w:w="100" w:type="dxa"/>
              <w:left w:w="120" w:type="dxa"/>
              <w:bottom w:w="100" w:type="dxa"/>
              <w:right w:w="120" w:type="dxa"/>
            </w:tcMar>
            <w:vAlign w:val="center"/>
          </w:tcPr>
          <w:p w14:paraId="31E577EB"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Data</w:t>
            </w:r>
          </w:p>
        </w:tc>
        <w:tc>
          <w:tcPr>
            <w:tcW w:w="2835" w:type="dxa"/>
            <w:shd w:val="clear" w:color="auto" w:fill="1C6194" w:themeFill="accent6" w:themeFillShade="BF"/>
            <w:tcMar>
              <w:top w:w="100" w:type="dxa"/>
              <w:left w:w="120" w:type="dxa"/>
              <w:bottom w:w="100" w:type="dxa"/>
              <w:right w:w="120" w:type="dxa"/>
            </w:tcMar>
            <w:vAlign w:val="center"/>
          </w:tcPr>
          <w:p w14:paraId="4B364013"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Current, detailed, application-specific</w:t>
            </w:r>
          </w:p>
        </w:tc>
        <w:tc>
          <w:tcPr>
            <w:tcW w:w="3133" w:type="dxa"/>
            <w:shd w:val="clear" w:color="auto" w:fill="1C6194" w:themeFill="accent6" w:themeFillShade="BF"/>
            <w:tcMar>
              <w:top w:w="100" w:type="dxa"/>
              <w:left w:w="120" w:type="dxa"/>
              <w:bottom w:w="100" w:type="dxa"/>
              <w:right w:w="120" w:type="dxa"/>
            </w:tcMar>
            <w:vAlign w:val="center"/>
          </w:tcPr>
          <w:p w14:paraId="7B44F13D"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Integrated, historical, quality-scored and traceable</w:t>
            </w:r>
          </w:p>
        </w:tc>
      </w:tr>
      <w:tr w:rsidR="00891A56" w:rsidRPr="00515AB9" w14:paraId="38339D2E" w14:textId="77777777" w:rsidTr="00D20D66">
        <w:trPr>
          <w:trHeight w:val="656"/>
        </w:trPr>
        <w:tc>
          <w:tcPr>
            <w:tcW w:w="2405" w:type="dxa"/>
            <w:shd w:val="clear" w:color="auto" w:fill="1C6194" w:themeFill="accent6" w:themeFillShade="BF"/>
            <w:tcMar>
              <w:top w:w="100" w:type="dxa"/>
              <w:left w:w="120" w:type="dxa"/>
              <w:bottom w:w="100" w:type="dxa"/>
              <w:right w:w="120" w:type="dxa"/>
            </w:tcMar>
            <w:vAlign w:val="center"/>
          </w:tcPr>
          <w:p w14:paraId="3A6F2464"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Workload</w:t>
            </w:r>
          </w:p>
        </w:tc>
        <w:tc>
          <w:tcPr>
            <w:tcW w:w="2835" w:type="dxa"/>
            <w:shd w:val="clear" w:color="auto" w:fill="1C6194" w:themeFill="accent6" w:themeFillShade="BF"/>
            <w:tcMar>
              <w:top w:w="100" w:type="dxa"/>
              <w:left w:w="120" w:type="dxa"/>
              <w:bottom w:w="100" w:type="dxa"/>
              <w:right w:w="120" w:type="dxa"/>
            </w:tcMar>
            <w:vAlign w:val="center"/>
          </w:tcPr>
          <w:p w14:paraId="54D3E4FF" w14:textId="3145055F"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 xml:space="preserve">Frequent short </w:t>
            </w:r>
            <w:r w:rsidR="00F10901" w:rsidRPr="00515AB9">
              <w:rPr>
                <w:rFonts w:ascii="Arial" w:hAnsi="Arial" w:cs="Arial"/>
                <w:color w:val="FFFFFF" w:themeColor="background1"/>
                <w:sz w:val="22"/>
                <w:szCs w:val="22"/>
                <w:lang w:val="en-US"/>
              </w:rPr>
              <w:t>inserts, look</w:t>
            </w:r>
            <w:r w:rsidRPr="00515AB9">
              <w:rPr>
                <w:rFonts w:ascii="Arial" w:hAnsi="Arial" w:cs="Arial"/>
                <w:color w:val="FFFFFF" w:themeColor="background1"/>
                <w:sz w:val="22"/>
                <w:szCs w:val="22"/>
                <w:lang w:val="en-US"/>
              </w:rPr>
              <w:t>-ups</w:t>
            </w:r>
          </w:p>
        </w:tc>
        <w:tc>
          <w:tcPr>
            <w:tcW w:w="3133" w:type="dxa"/>
            <w:shd w:val="clear" w:color="auto" w:fill="1C6194" w:themeFill="accent6" w:themeFillShade="BF"/>
            <w:tcMar>
              <w:top w:w="100" w:type="dxa"/>
              <w:left w:w="120" w:type="dxa"/>
              <w:bottom w:w="100" w:type="dxa"/>
              <w:right w:w="120" w:type="dxa"/>
            </w:tcMar>
            <w:vAlign w:val="center"/>
          </w:tcPr>
          <w:p w14:paraId="6004EE37"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Read-heavy aggregation across large populations</w:t>
            </w:r>
          </w:p>
        </w:tc>
      </w:tr>
      <w:tr w:rsidR="00891A56" w:rsidRPr="00515AB9" w14:paraId="62870BC9" w14:textId="77777777" w:rsidTr="00D20D66">
        <w:trPr>
          <w:trHeight w:val="551"/>
        </w:trPr>
        <w:tc>
          <w:tcPr>
            <w:tcW w:w="2405" w:type="dxa"/>
            <w:shd w:val="clear" w:color="auto" w:fill="1C6194" w:themeFill="accent6" w:themeFillShade="BF"/>
            <w:tcMar>
              <w:top w:w="100" w:type="dxa"/>
              <w:left w:w="120" w:type="dxa"/>
              <w:bottom w:w="100" w:type="dxa"/>
              <w:right w:w="120" w:type="dxa"/>
            </w:tcMar>
            <w:vAlign w:val="center"/>
          </w:tcPr>
          <w:p w14:paraId="2F21C873"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Board value</w:t>
            </w:r>
          </w:p>
        </w:tc>
        <w:tc>
          <w:tcPr>
            <w:tcW w:w="2835" w:type="dxa"/>
            <w:shd w:val="clear" w:color="auto" w:fill="1C6194" w:themeFill="accent6" w:themeFillShade="BF"/>
            <w:tcMar>
              <w:top w:w="100" w:type="dxa"/>
              <w:left w:w="120" w:type="dxa"/>
              <w:bottom w:w="100" w:type="dxa"/>
              <w:right w:w="120" w:type="dxa"/>
            </w:tcMar>
            <w:vAlign w:val="center"/>
          </w:tcPr>
          <w:p w14:paraId="3E13BC58"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Reliable local execution</w:t>
            </w:r>
          </w:p>
        </w:tc>
        <w:tc>
          <w:tcPr>
            <w:tcW w:w="3133" w:type="dxa"/>
            <w:shd w:val="clear" w:color="auto" w:fill="1C6194" w:themeFill="accent6" w:themeFillShade="BF"/>
            <w:tcMar>
              <w:top w:w="100" w:type="dxa"/>
              <w:left w:w="120" w:type="dxa"/>
              <w:bottom w:w="100" w:type="dxa"/>
              <w:right w:w="120" w:type="dxa"/>
            </w:tcMar>
            <w:vAlign w:val="center"/>
          </w:tcPr>
          <w:p w14:paraId="162D4A46" w14:textId="77777777" w:rsidR="00891A56" w:rsidRPr="00515AB9" w:rsidRDefault="00891A56" w:rsidP="00515AB9">
            <w:pPr>
              <w:pStyle w:val="ListParagraph"/>
              <w:spacing w:line="360" w:lineRule="auto"/>
              <w:rPr>
                <w:rFonts w:ascii="Arial" w:hAnsi="Arial" w:cs="Arial"/>
                <w:color w:val="FFFFFF" w:themeColor="background1"/>
                <w:sz w:val="22"/>
                <w:szCs w:val="22"/>
                <w:lang w:val="en-US"/>
              </w:rPr>
            </w:pPr>
            <w:r w:rsidRPr="00515AB9">
              <w:rPr>
                <w:rFonts w:ascii="Arial" w:hAnsi="Arial" w:cs="Arial"/>
                <w:color w:val="FFFFFF" w:themeColor="background1"/>
                <w:sz w:val="22"/>
                <w:szCs w:val="22"/>
                <w:lang w:val="en-US"/>
              </w:rPr>
              <w:t>One governed view for planning, assurance and intervention</w:t>
            </w:r>
          </w:p>
        </w:tc>
      </w:tr>
    </w:tbl>
    <w:p w14:paraId="0BB2AE73" w14:textId="77777777" w:rsidR="00B10714" w:rsidRPr="00515AB9" w:rsidRDefault="00A06523"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 xml:space="preserve">“Once the data warehouse is built, it must be </w:t>
      </w:r>
      <w:proofErr w:type="gramStart"/>
      <w:r w:rsidRPr="00515AB9">
        <w:rPr>
          <w:rFonts w:ascii="Arial" w:hAnsi="Arial" w:cs="Arial"/>
          <w:sz w:val="22"/>
          <w:szCs w:val="22"/>
          <w:lang w:val="en-US"/>
        </w:rPr>
        <w:t>maintained</w:t>
      </w:r>
      <w:proofErr w:type="gramEnd"/>
      <w:r w:rsidRPr="00515AB9">
        <w:rPr>
          <w:rFonts w:ascii="Arial" w:hAnsi="Arial" w:cs="Arial"/>
          <w:sz w:val="22"/>
          <w:szCs w:val="22"/>
          <w:lang w:val="en-US"/>
        </w:rPr>
        <w:t xml:space="preserve">. A major </w:t>
      </w:r>
      <w:proofErr w:type="gramStart"/>
      <w:r w:rsidRPr="00515AB9">
        <w:rPr>
          <w:rFonts w:ascii="Arial" w:hAnsi="Arial" w:cs="Arial"/>
          <w:sz w:val="22"/>
          <w:szCs w:val="22"/>
          <w:lang w:val="en-US"/>
        </w:rPr>
        <w:t>component</w:t>
      </w:r>
      <w:proofErr w:type="gramEnd"/>
      <w:r w:rsidRPr="00515AB9">
        <w:rPr>
          <w:rFonts w:ascii="Arial" w:hAnsi="Arial" w:cs="Arial"/>
          <w:sz w:val="22"/>
          <w:szCs w:val="22"/>
          <w:lang w:val="en-US"/>
        </w:rPr>
        <w:t xml:space="preserve"> of</w:t>
      </w:r>
      <w:r w:rsidR="00482C7A" w:rsidRPr="00515AB9">
        <w:rPr>
          <w:rFonts w:ascii="Arial" w:hAnsi="Arial" w:cs="Arial"/>
          <w:sz w:val="22"/>
          <w:szCs w:val="22"/>
          <w:lang w:val="en-US"/>
        </w:rPr>
        <w:t xml:space="preserve"> </w:t>
      </w:r>
      <w:proofErr w:type="gramStart"/>
      <w:r w:rsidRPr="00515AB9">
        <w:rPr>
          <w:rFonts w:ascii="Arial" w:hAnsi="Arial" w:cs="Arial"/>
          <w:sz w:val="22"/>
          <w:szCs w:val="22"/>
          <w:lang w:val="en-US"/>
        </w:rPr>
        <w:t>maintaining</w:t>
      </w:r>
      <w:proofErr w:type="gramEnd"/>
      <w:r w:rsidRPr="00515AB9">
        <w:rPr>
          <w:rFonts w:ascii="Arial" w:hAnsi="Arial" w:cs="Arial"/>
          <w:sz w:val="22"/>
          <w:szCs w:val="22"/>
          <w:lang w:val="en-US"/>
        </w:rPr>
        <w:t xml:space="preserve"> the data warehouse is managing performance, which begins by</w:t>
      </w:r>
      <w:r w:rsidR="00482C7A" w:rsidRPr="00515AB9">
        <w:rPr>
          <w:rFonts w:ascii="Arial" w:hAnsi="Arial" w:cs="Arial"/>
          <w:sz w:val="22"/>
          <w:szCs w:val="22"/>
          <w:lang w:val="en-US"/>
        </w:rPr>
        <w:t xml:space="preserve"> </w:t>
      </w:r>
      <w:proofErr w:type="gramStart"/>
      <w:r w:rsidRPr="00515AB9">
        <w:rPr>
          <w:rFonts w:ascii="Arial" w:hAnsi="Arial" w:cs="Arial"/>
          <w:sz w:val="22"/>
          <w:szCs w:val="22"/>
          <w:lang w:val="en-US"/>
        </w:rPr>
        <w:t>monitoring</w:t>
      </w:r>
      <w:proofErr w:type="gramEnd"/>
      <w:r w:rsidRPr="00515AB9">
        <w:rPr>
          <w:rFonts w:ascii="Arial" w:hAnsi="Arial" w:cs="Arial"/>
          <w:sz w:val="22"/>
          <w:szCs w:val="22"/>
          <w:lang w:val="en-US"/>
        </w:rPr>
        <w:t xml:space="preserve"> the data warehouse environment.</w:t>
      </w:r>
      <w:r w:rsidR="0098724B" w:rsidRPr="00515AB9">
        <w:rPr>
          <w:rFonts w:ascii="Arial" w:hAnsi="Arial" w:cs="Arial"/>
          <w:sz w:val="22"/>
          <w:szCs w:val="22"/>
          <w:lang w:val="en-US"/>
        </w:rPr>
        <w:t xml:space="preserve"> </w:t>
      </w:r>
      <w:r w:rsidRPr="00515AB9">
        <w:rPr>
          <w:rFonts w:ascii="Arial" w:hAnsi="Arial" w:cs="Arial"/>
          <w:sz w:val="22"/>
          <w:szCs w:val="22"/>
          <w:lang w:val="en-US"/>
        </w:rPr>
        <w:t xml:space="preserve">Two operating components are </w:t>
      </w:r>
      <w:proofErr w:type="gramStart"/>
      <w:r w:rsidRPr="00515AB9">
        <w:rPr>
          <w:rFonts w:ascii="Arial" w:hAnsi="Arial" w:cs="Arial"/>
          <w:sz w:val="22"/>
          <w:szCs w:val="22"/>
          <w:lang w:val="en-US"/>
        </w:rPr>
        <w:t>monitored</w:t>
      </w:r>
      <w:proofErr w:type="gramEnd"/>
      <w:r w:rsidRPr="00515AB9">
        <w:rPr>
          <w:rFonts w:ascii="Arial" w:hAnsi="Arial" w:cs="Arial"/>
          <w:sz w:val="22"/>
          <w:szCs w:val="22"/>
          <w:lang w:val="en-US"/>
        </w:rPr>
        <w:t xml:space="preserve"> on a regular basis: the data </w:t>
      </w:r>
      <w:proofErr w:type="gramStart"/>
      <w:r w:rsidRPr="00515AB9">
        <w:rPr>
          <w:rFonts w:ascii="Arial" w:hAnsi="Arial" w:cs="Arial"/>
          <w:sz w:val="22"/>
          <w:szCs w:val="22"/>
          <w:lang w:val="en-US"/>
        </w:rPr>
        <w:t>residing</w:t>
      </w:r>
      <w:proofErr w:type="gramEnd"/>
      <w:r w:rsidR="00482C7A" w:rsidRPr="00515AB9">
        <w:rPr>
          <w:rFonts w:ascii="Arial" w:hAnsi="Arial" w:cs="Arial"/>
          <w:sz w:val="22"/>
          <w:szCs w:val="22"/>
          <w:lang w:val="en-US"/>
        </w:rPr>
        <w:t xml:space="preserve"> </w:t>
      </w:r>
      <w:r w:rsidRPr="00515AB9">
        <w:rPr>
          <w:rFonts w:ascii="Arial" w:hAnsi="Arial" w:cs="Arial"/>
          <w:sz w:val="22"/>
          <w:szCs w:val="22"/>
          <w:lang w:val="en-US"/>
        </w:rPr>
        <w:t>in the data warehouse and the usage of the data. Monitoring the data in the data</w:t>
      </w:r>
      <w:r w:rsidR="00482C7A" w:rsidRPr="00515AB9">
        <w:rPr>
          <w:rFonts w:ascii="Arial" w:hAnsi="Arial" w:cs="Arial"/>
          <w:sz w:val="22"/>
          <w:szCs w:val="22"/>
          <w:lang w:val="en-US"/>
        </w:rPr>
        <w:t xml:space="preserve"> </w:t>
      </w:r>
      <w:r w:rsidRPr="00515AB9">
        <w:rPr>
          <w:rFonts w:ascii="Arial" w:hAnsi="Arial" w:cs="Arial"/>
          <w:sz w:val="22"/>
          <w:szCs w:val="22"/>
          <w:lang w:val="en-US"/>
        </w:rPr>
        <w:t>warehouse environment is essential to effectively manage the data warehouse</w:t>
      </w:r>
      <w:proofErr w:type="gramStart"/>
      <w:r w:rsidRPr="00515AB9">
        <w:rPr>
          <w:rFonts w:ascii="Arial" w:hAnsi="Arial" w:cs="Arial"/>
          <w:sz w:val="22"/>
          <w:szCs w:val="22"/>
          <w:lang w:val="en-US"/>
        </w:rPr>
        <w:t>.</w:t>
      </w:r>
      <w:r w:rsidR="00482C7A" w:rsidRPr="00515AB9">
        <w:rPr>
          <w:rFonts w:ascii="Arial" w:hAnsi="Arial" w:cs="Arial"/>
          <w:sz w:val="22"/>
          <w:szCs w:val="22"/>
          <w:lang w:val="en-US"/>
        </w:rPr>
        <w:t xml:space="preserve"> </w:t>
      </w:r>
      <w:r w:rsidR="00B10714" w:rsidRPr="00515AB9">
        <w:rPr>
          <w:rFonts w:ascii="Arial" w:hAnsi="Arial" w:cs="Arial"/>
          <w:sz w:val="22"/>
          <w:szCs w:val="22"/>
          <w:lang w:val="en-US"/>
        </w:rPr>
        <w:t xml:space="preserve"> </w:t>
      </w:r>
      <w:proofErr w:type="gramEnd"/>
      <w:r w:rsidR="00B10714" w:rsidRPr="00515AB9">
        <w:rPr>
          <w:rFonts w:ascii="Arial" w:hAnsi="Arial" w:cs="Arial"/>
          <w:sz w:val="22"/>
          <w:szCs w:val="22"/>
          <w:lang w:val="en-US"/>
        </w:rPr>
        <w:t xml:space="preserve">                                                              </w:t>
      </w:r>
      <w:proofErr w:type="gramStart"/>
      <w:r w:rsidRPr="00515AB9">
        <w:rPr>
          <w:rFonts w:ascii="Arial" w:hAnsi="Arial" w:cs="Arial"/>
          <w:sz w:val="22"/>
          <w:szCs w:val="22"/>
          <w:lang w:val="en-US"/>
        </w:rPr>
        <w:t>Some of</w:t>
      </w:r>
      <w:proofErr w:type="gramEnd"/>
      <w:r w:rsidRPr="00515AB9">
        <w:rPr>
          <w:rFonts w:ascii="Arial" w:hAnsi="Arial" w:cs="Arial"/>
          <w:sz w:val="22"/>
          <w:szCs w:val="22"/>
          <w:lang w:val="en-US"/>
        </w:rPr>
        <w:t xml:space="preserve"> the important results that are achieved by </w:t>
      </w:r>
      <w:proofErr w:type="gramStart"/>
      <w:r w:rsidRPr="00515AB9">
        <w:rPr>
          <w:rFonts w:ascii="Arial" w:hAnsi="Arial" w:cs="Arial"/>
          <w:sz w:val="22"/>
          <w:szCs w:val="22"/>
          <w:lang w:val="en-US"/>
        </w:rPr>
        <w:t>monitoring</w:t>
      </w:r>
      <w:proofErr w:type="gramEnd"/>
      <w:r w:rsidRPr="00515AB9">
        <w:rPr>
          <w:rFonts w:ascii="Arial" w:hAnsi="Arial" w:cs="Arial"/>
          <w:sz w:val="22"/>
          <w:szCs w:val="22"/>
          <w:lang w:val="en-US"/>
        </w:rPr>
        <w:t xml:space="preserve"> this data include</w:t>
      </w:r>
      <w:r w:rsidR="00482C7A" w:rsidRPr="00515AB9">
        <w:rPr>
          <w:rFonts w:ascii="Arial" w:hAnsi="Arial" w:cs="Arial"/>
          <w:sz w:val="22"/>
          <w:szCs w:val="22"/>
          <w:lang w:val="en-US"/>
        </w:rPr>
        <w:t xml:space="preserve"> </w:t>
      </w:r>
      <w:r w:rsidRPr="00515AB9">
        <w:rPr>
          <w:rFonts w:ascii="Arial" w:hAnsi="Arial" w:cs="Arial"/>
          <w:sz w:val="22"/>
          <w:szCs w:val="22"/>
          <w:lang w:val="en-US"/>
        </w:rPr>
        <w:t>the following:</w:t>
      </w:r>
      <w:r w:rsidR="00A85C74" w:rsidRPr="00515AB9">
        <w:rPr>
          <w:rFonts w:ascii="Arial" w:hAnsi="Arial" w:cs="Arial"/>
          <w:sz w:val="22"/>
          <w:szCs w:val="22"/>
          <w:lang w:val="en-US"/>
        </w:rPr>
        <w:t xml:space="preserve"> </w:t>
      </w:r>
    </w:p>
    <w:p w14:paraId="6EA59201" w14:textId="553ED1C7" w:rsidR="00EC1878" w:rsidRPr="00515AB9" w:rsidRDefault="00A06523"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Identifying what growth is occurring, where the growth is occurring, and at</w:t>
      </w:r>
      <w:r w:rsidR="00A85C74" w:rsidRPr="00515AB9">
        <w:rPr>
          <w:rFonts w:ascii="Arial" w:hAnsi="Arial" w:cs="Arial"/>
          <w:sz w:val="22"/>
          <w:szCs w:val="22"/>
          <w:lang w:val="en-US"/>
        </w:rPr>
        <w:t xml:space="preserve"> what</w:t>
      </w:r>
      <w:r w:rsidRPr="00515AB9">
        <w:rPr>
          <w:rFonts w:ascii="Arial" w:hAnsi="Arial" w:cs="Arial"/>
          <w:sz w:val="22"/>
          <w:szCs w:val="22"/>
          <w:lang w:val="en-US"/>
        </w:rPr>
        <w:t xml:space="preserve"> rate the growth is occurring</w:t>
      </w:r>
      <w:r w:rsidR="00A85C74" w:rsidRPr="00515AB9">
        <w:rPr>
          <w:rFonts w:ascii="Arial" w:hAnsi="Arial" w:cs="Arial"/>
          <w:sz w:val="22"/>
          <w:szCs w:val="22"/>
          <w:lang w:val="en-US"/>
        </w:rPr>
        <w:t>; identifying</w:t>
      </w:r>
      <w:r w:rsidRPr="00515AB9">
        <w:rPr>
          <w:rFonts w:ascii="Arial" w:hAnsi="Arial" w:cs="Arial"/>
          <w:sz w:val="22"/>
          <w:szCs w:val="22"/>
          <w:lang w:val="en-US"/>
        </w:rPr>
        <w:t xml:space="preserve"> what data is being used</w:t>
      </w:r>
      <w:r w:rsidR="009A018B" w:rsidRPr="00515AB9">
        <w:rPr>
          <w:rFonts w:ascii="Arial" w:hAnsi="Arial" w:cs="Arial"/>
          <w:sz w:val="22"/>
          <w:szCs w:val="22"/>
          <w:lang w:val="en-US"/>
        </w:rPr>
        <w:t xml:space="preserve">, </w:t>
      </w:r>
      <w:r w:rsidR="00BD45F3" w:rsidRPr="00515AB9">
        <w:rPr>
          <w:rFonts w:ascii="Arial" w:hAnsi="Arial" w:cs="Arial"/>
          <w:sz w:val="22"/>
          <w:szCs w:val="22"/>
          <w:lang w:val="en-US"/>
        </w:rPr>
        <w:t>c</w:t>
      </w:r>
      <w:r w:rsidRPr="00515AB9">
        <w:rPr>
          <w:rFonts w:ascii="Arial" w:hAnsi="Arial" w:cs="Arial"/>
          <w:sz w:val="22"/>
          <w:szCs w:val="22"/>
          <w:lang w:val="en-US"/>
        </w:rPr>
        <w:t xml:space="preserve">alculating what response time the end user is </w:t>
      </w:r>
      <w:r w:rsidR="00B10714" w:rsidRPr="00515AB9">
        <w:rPr>
          <w:rFonts w:ascii="Arial" w:hAnsi="Arial" w:cs="Arial"/>
          <w:sz w:val="22"/>
          <w:szCs w:val="22"/>
          <w:lang w:val="en-US"/>
        </w:rPr>
        <w:t>getting, determining</w:t>
      </w:r>
      <w:r w:rsidRPr="00515AB9">
        <w:rPr>
          <w:rFonts w:ascii="Arial" w:hAnsi="Arial" w:cs="Arial"/>
          <w:sz w:val="22"/>
          <w:szCs w:val="22"/>
          <w:lang w:val="en-US"/>
        </w:rPr>
        <w:t xml:space="preserve"> who is actually using the data warehouse</w:t>
      </w:r>
      <w:r w:rsidR="00BD45F3" w:rsidRPr="00515AB9">
        <w:rPr>
          <w:rFonts w:ascii="Arial" w:hAnsi="Arial" w:cs="Arial"/>
          <w:sz w:val="22"/>
          <w:szCs w:val="22"/>
          <w:lang w:val="en-US"/>
        </w:rPr>
        <w:t>,</w:t>
      </w:r>
      <w:r w:rsidR="00860FBE" w:rsidRPr="00515AB9">
        <w:rPr>
          <w:rFonts w:ascii="Arial" w:hAnsi="Arial" w:cs="Arial"/>
          <w:sz w:val="22"/>
          <w:szCs w:val="22"/>
          <w:lang w:val="en-US"/>
        </w:rPr>
        <w:t xml:space="preserve"> s</w:t>
      </w:r>
      <w:r w:rsidRPr="00515AB9">
        <w:rPr>
          <w:rFonts w:ascii="Arial" w:hAnsi="Arial" w:cs="Arial"/>
          <w:sz w:val="22"/>
          <w:szCs w:val="22"/>
          <w:lang w:val="en-US"/>
        </w:rPr>
        <w:t>pecifying how much of the data warehouse end users are using</w:t>
      </w:r>
      <w:r w:rsidR="00860FBE" w:rsidRPr="00515AB9">
        <w:rPr>
          <w:rFonts w:ascii="Arial" w:hAnsi="Arial" w:cs="Arial"/>
          <w:sz w:val="22"/>
          <w:szCs w:val="22"/>
          <w:lang w:val="en-US"/>
        </w:rPr>
        <w:t>, p</w:t>
      </w:r>
      <w:r w:rsidRPr="00515AB9">
        <w:rPr>
          <w:rFonts w:ascii="Arial" w:hAnsi="Arial" w:cs="Arial"/>
          <w:sz w:val="22"/>
          <w:szCs w:val="22"/>
          <w:lang w:val="en-US"/>
        </w:rPr>
        <w:t>inpointing when the data warehouse is being used</w:t>
      </w:r>
      <w:r w:rsidR="00860FBE" w:rsidRPr="00515AB9">
        <w:rPr>
          <w:rFonts w:ascii="Arial" w:hAnsi="Arial" w:cs="Arial"/>
          <w:sz w:val="22"/>
          <w:szCs w:val="22"/>
          <w:lang w:val="en-US"/>
        </w:rPr>
        <w:t xml:space="preserve">, </w:t>
      </w:r>
      <w:r w:rsidR="00B10714" w:rsidRPr="00515AB9">
        <w:rPr>
          <w:rFonts w:ascii="Arial" w:hAnsi="Arial" w:cs="Arial"/>
          <w:sz w:val="22"/>
          <w:szCs w:val="22"/>
          <w:lang w:val="en-US"/>
        </w:rPr>
        <w:t xml:space="preserve">                                        </w:t>
      </w:r>
      <w:r w:rsidR="00BD45F3" w:rsidRPr="00515AB9">
        <w:rPr>
          <w:rFonts w:ascii="Arial" w:hAnsi="Arial" w:cs="Arial"/>
          <w:sz w:val="22"/>
          <w:szCs w:val="22"/>
          <w:lang w:val="en-US"/>
        </w:rPr>
        <w:t>r</w:t>
      </w:r>
      <w:r w:rsidR="00482C7A" w:rsidRPr="00515AB9">
        <w:rPr>
          <w:rFonts w:ascii="Arial" w:hAnsi="Arial" w:cs="Arial"/>
          <w:sz w:val="22"/>
          <w:szCs w:val="22"/>
          <w:lang w:val="en-US"/>
        </w:rPr>
        <w:t>ecognising</w:t>
      </w:r>
      <w:r w:rsidRPr="00515AB9">
        <w:rPr>
          <w:rFonts w:ascii="Arial" w:hAnsi="Arial" w:cs="Arial"/>
          <w:sz w:val="22"/>
          <w:szCs w:val="22"/>
          <w:lang w:val="en-US"/>
        </w:rPr>
        <w:t xml:space="preserve"> how much of the data warehouse is being used</w:t>
      </w:r>
      <w:r w:rsidR="00860FBE" w:rsidRPr="00515AB9">
        <w:rPr>
          <w:rFonts w:ascii="Arial" w:hAnsi="Arial" w:cs="Arial"/>
          <w:sz w:val="22"/>
          <w:szCs w:val="22"/>
          <w:lang w:val="en-US"/>
        </w:rPr>
        <w:t>, e</w:t>
      </w:r>
      <w:r w:rsidRPr="00515AB9">
        <w:rPr>
          <w:rFonts w:ascii="Arial" w:hAnsi="Arial" w:cs="Arial"/>
          <w:sz w:val="22"/>
          <w:szCs w:val="22"/>
          <w:lang w:val="en-US"/>
        </w:rPr>
        <w:t>xamining the level of usage of the data warehouse</w:t>
      </w:r>
      <w:r w:rsidR="009A018B" w:rsidRPr="00515AB9">
        <w:rPr>
          <w:rFonts w:ascii="Arial" w:hAnsi="Arial" w:cs="Arial"/>
          <w:sz w:val="22"/>
          <w:szCs w:val="22"/>
          <w:lang w:val="en-US"/>
        </w:rPr>
        <w:t>.</w:t>
      </w:r>
      <w:r w:rsidR="00860FBE" w:rsidRPr="00515AB9">
        <w:rPr>
          <w:rFonts w:ascii="Arial" w:hAnsi="Arial" w:cs="Arial"/>
          <w:sz w:val="22"/>
          <w:szCs w:val="22"/>
          <w:lang w:val="en-US"/>
        </w:rPr>
        <w:t xml:space="preserve">” </w:t>
      </w:r>
      <w:r w:rsidRPr="00515AB9">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4aa0ee214c753ba42997e7&quot;],&quot;referencesOptions&quot;:{&quot;doc:6a4aa0ee214c753ba42997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067744,&quot;citationText&quot;:&quot;&lt;span style=\&quot;font-family:Aptos;font-size:16px;color:#EE0000\&quot;&gt;[4]&lt;/span&gt;&quot;}"/>
          <w:id w:val="-1156067744"/>
          <w:placeholder>
            <w:docPart w:val="ECD2FFED8EB44B2BBD8692B352AD912C"/>
          </w:placeholder>
        </w:sdtPr>
        <w:sdtContent>
          <w:r w:rsidR="00DE7B3F" w:rsidRPr="00515AB9">
            <w:rPr>
              <w:rFonts w:ascii="Arial" w:eastAsia="Times New Roman" w:hAnsi="Arial" w:cs="Arial"/>
              <w:color w:val="000000"/>
              <w:sz w:val="22"/>
              <w:szCs w:val="22"/>
            </w:rPr>
            <w:t>[4]</w:t>
          </w:r>
        </w:sdtContent>
      </w:sdt>
    </w:p>
    <w:p w14:paraId="16BF3A20" w14:textId="7F52A38E" w:rsidR="0070485E" w:rsidRPr="00515AB9" w:rsidRDefault="00BE7357" w:rsidP="00515AB9">
      <w:pPr>
        <w:pStyle w:val="ListParagraph"/>
        <w:spacing w:line="360" w:lineRule="auto"/>
        <w:rPr>
          <w:rFonts w:ascii="Arial" w:hAnsi="Arial" w:cs="Arial"/>
          <w:b/>
          <w:bCs/>
          <w:sz w:val="22"/>
          <w:szCs w:val="22"/>
          <w:lang w:val="en-US"/>
        </w:rPr>
      </w:pPr>
      <w:r w:rsidRPr="00515AB9">
        <w:rPr>
          <w:rFonts w:ascii="Arial" w:hAnsi="Arial" w:cs="Arial"/>
          <w:b/>
          <w:bCs/>
          <w:sz w:val="22"/>
          <w:szCs w:val="22"/>
          <w:lang w:val="en-US"/>
        </w:rPr>
        <w:lastRenderedPageBreak/>
        <w:t xml:space="preserve">1.2 </w:t>
      </w:r>
      <w:r w:rsidR="0070485E" w:rsidRPr="00515AB9">
        <w:rPr>
          <w:rFonts w:ascii="Arial" w:hAnsi="Arial" w:cs="Arial"/>
          <w:b/>
          <w:bCs/>
          <w:sz w:val="22"/>
          <w:szCs w:val="22"/>
          <w:lang w:val="en-US"/>
        </w:rPr>
        <w:t>Data warehouse architecture and ETL</w:t>
      </w:r>
    </w:p>
    <w:p w14:paraId="68DD8889" w14:textId="77777777" w:rsidR="0070485E" w:rsidRPr="00515AB9" w:rsidRDefault="0070485E" w:rsidP="00515AB9">
      <w:pPr>
        <w:pStyle w:val="ListParagraph"/>
        <w:spacing w:line="360" w:lineRule="auto"/>
        <w:rPr>
          <w:rFonts w:ascii="Arial" w:hAnsi="Arial" w:cs="Arial"/>
          <w:sz w:val="22"/>
          <w:szCs w:val="22"/>
          <w:lang w:val="en-US"/>
        </w:rPr>
      </w:pPr>
    </w:p>
    <w:p w14:paraId="3DBB486C" w14:textId="45A97AB2" w:rsidR="00C35CB8" w:rsidRPr="00515AB9" w:rsidRDefault="00C35CB8" w:rsidP="00515AB9">
      <w:pPr>
        <w:pStyle w:val="ListParagraph"/>
        <w:spacing w:line="360" w:lineRule="auto"/>
        <w:rPr>
          <w:rFonts w:ascii="Arial" w:hAnsi="Arial" w:cs="Arial"/>
          <w:b/>
          <w:bCs/>
          <w:sz w:val="22"/>
          <w:szCs w:val="22"/>
          <w:lang w:val="en-US"/>
        </w:rPr>
      </w:pPr>
      <w:r w:rsidRPr="00515AB9">
        <w:rPr>
          <w:rFonts w:ascii="Arial" w:hAnsi="Arial" w:cs="Arial"/>
          <w:b/>
          <w:bCs/>
          <w:sz w:val="22"/>
          <w:szCs w:val="22"/>
          <w:lang w:val="en-US"/>
        </w:rPr>
        <w:t>Data warehouse architecture</w:t>
      </w:r>
    </w:p>
    <w:p w14:paraId="63E9BD8A" w14:textId="44F47D12" w:rsidR="00864395" w:rsidRPr="00515AB9" w:rsidRDefault="00235F22" w:rsidP="00515AB9">
      <w:pPr>
        <w:pStyle w:val="ListParagraph"/>
        <w:spacing w:line="360" w:lineRule="auto"/>
        <w:rPr>
          <w:rFonts w:ascii="Arial" w:hAnsi="Arial" w:cs="Arial"/>
          <w:sz w:val="22"/>
          <w:szCs w:val="22"/>
        </w:rPr>
      </w:pPr>
      <w:r w:rsidRPr="00515AB9">
        <w:rPr>
          <w:rFonts w:ascii="Arial" w:hAnsi="Arial" w:cs="Arial"/>
          <w:sz w:val="22"/>
          <w:szCs w:val="22"/>
        </w:rPr>
        <w:drawing>
          <wp:inline distT="0" distB="0" distL="0" distR="0" wp14:anchorId="21AA5CBE" wp14:editId="7B2097AC">
            <wp:extent cx="5446776" cy="3771900"/>
            <wp:effectExtent l="0" t="0" r="1905" b="0"/>
            <wp:docPr id="74707502" name="Picture 3" descr="The diagram illustrates the architecture of the NHS England Enterprise Data Warehouse, detailing various data sources, governance, security measures, and data processing techniques such as ETL, data quality rules, and auditing for data retention and recovery.&#10;The diagram was made by Morgan Dora student 2327894, using canva websit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07502" name="Picture 3" descr="The diagram illustrates the architecture of the NHS England Enterprise Data Warehouse, detailing various data sources, governance, security measures, and data processing techniques such as ETL, data quality rules, and auditing for data retention and recovery.&#10;The diagram was made by Morgan Dora student 2327894, using canva website.">
                      <a:extLst>
                        <a:ext uri="{C183D7F6-B498-43B3-948B-1728B52AA6E4}">
                          <adec:decorative xmlns:adec="http://schemas.microsoft.com/office/drawing/2017/decorative" val="0"/>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4539" cy="3777276"/>
                    </a:xfrm>
                    <a:prstGeom prst="rect">
                      <a:avLst/>
                    </a:prstGeom>
                    <a:noFill/>
                    <a:ln>
                      <a:noFill/>
                    </a:ln>
                  </pic:spPr>
                </pic:pic>
              </a:graphicData>
            </a:graphic>
          </wp:inline>
        </w:drawing>
      </w:r>
      <w:r w:rsidR="0099697D" w:rsidRPr="00515AB9">
        <w:rPr>
          <w:rFonts w:ascii="Arial" w:hAnsi="Arial" w:cs="Arial"/>
          <w:b/>
          <w:bCs/>
          <w:noProof/>
          <w:sz w:val="22"/>
          <w:szCs w:val="22"/>
          <w:lang w:val="en-US"/>
        </w:rPr>
        <w:t xml:space="preserve">Figure 2. Proposed NHS England enterprise data warehouse architecture </w:t>
      </w:r>
    </w:p>
    <w:p w14:paraId="7FFECAB8" w14:textId="77777777" w:rsidR="00DB6DEC" w:rsidRPr="00515AB9" w:rsidRDefault="00DB6DEC" w:rsidP="00515AB9">
      <w:pPr>
        <w:pStyle w:val="ListParagraph"/>
        <w:spacing w:line="360" w:lineRule="auto"/>
        <w:rPr>
          <w:rFonts w:ascii="Arial" w:hAnsi="Arial" w:cs="Arial"/>
          <w:noProof/>
          <w:sz w:val="22"/>
          <w:szCs w:val="22"/>
          <w:lang w:val="en-US"/>
        </w:rPr>
      </w:pPr>
    </w:p>
    <w:p w14:paraId="47CC6B47" w14:textId="77777777" w:rsidR="00EC1878" w:rsidRPr="00515AB9" w:rsidRDefault="006B73D3" w:rsidP="00515AB9">
      <w:pPr>
        <w:pStyle w:val="ListParagraph"/>
        <w:spacing w:line="360" w:lineRule="auto"/>
        <w:rPr>
          <w:rFonts w:ascii="Arial" w:hAnsi="Arial" w:cs="Arial"/>
          <w:sz w:val="22"/>
          <w:szCs w:val="22"/>
        </w:rPr>
      </w:pPr>
      <w:r w:rsidRPr="00515AB9">
        <w:rPr>
          <w:rFonts w:ascii="Arial" w:hAnsi="Arial" w:cs="Arial"/>
          <w:sz w:val="22"/>
          <w:szCs w:val="22"/>
        </w:rPr>
        <w:t xml:space="preserve">Figure 2 proposes a layered architecture. </w:t>
      </w:r>
    </w:p>
    <w:p w14:paraId="74AE63F0" w14:textId="77777777" w:rsidR="00104C08" w:rsidRPr="00515AB9" w:rsidRDefault="00104C08" w:rsidP="00515AB9">
      <w:pPr>
        <w:pStyle w:val="ListParagraph"/>
        <w:spacing w:line="360" w:lineRule="auto"/>
        <w:rPr>
          <w:rFonts w:ascii="Arial" w:hAnsi="Arial" w:cs="Arial"/>
          <w:sz w:val="22"/>
          <w:szCs w:val="22"/>
        </w:rPr>
      </w:pPr>
    </w:p>
    <w:p w14:paraId="0C605266" w14:textId="4A660B4D" w:rsidR="008A456F" w:rsidRPr="00515AB9" w:rsidRDefault="006B73D3" w:rsidP="00515AB9">
      <w:pPr>
        <w:pStyle w:val="ListParagraph"/>
        <w:spacing w:line="360" w:lineRule="auto"/>
        <w:rPr>
          <w:rFonts w:ascii="Arial" w:hAnsi="Arial" w:cs="Arial"/>
          <w:sz w:val="22"/>
          <w:szCs w:val="22"/>
        </w:rPr>
      </w:pPr>
      <w:r w:rsidRPr="00515AB9">
        <w:rPr>
          <w:rFonts w:ascii="Arial" w:hAnsi="Arial" w:cs="Arial"/>
          <w:sz w:val="22"/>
          <w:szCs w:val="22"/>
        </w:rPr>
        <w:t>Sources include</w:t>
      </w:r>
      <w:r w:rsidR="00B064BB" w:rsidRPr="00515AB9">
        <w:rPr>
          <w:rFonts w:ascii="Arial" w:hAnsi="Arial" w:cs="Arial"/>
          <w:sz w:val="22"/>
          <w:szCs w:val="22"/>
        </w:rPr>
        <w:t>:</w:t>
      </w:r>
    </w:p>
    <w:p w14:paraId="3E5BFC8E" w14:textId="4739E6E6" w:rsidR="008A456F" w:rsidRPr="00515AB9" w:rsidRDefault="006B73D3"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 xml:space="preserve">EPR/PAS </w:t>
      </w:r>
      <w:r w:rsidR="008A456F" w:rsidRPr="00515AB9">
        <w:rPr>
          <w:rFonts w:ascii="Arial" w:hAnsi="Arial" w:cs="Arial"/>
          <w:sz w:val="22"/>
          <w:szCs w:val="22"/>
        </w:rPr>
        <w:t>systems</w:t>
      </w:r>
    </w:p>
    <w:p w14:paraId="6C23AF74" w14:textId="1D90B551" w:rsidR="008A456F" w:rsidRPr="00515AB9" w:rsidRDefault="001A1AD4"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D</w:t>
      </w:r>
      <w:r w:rsidR="006B73D3" w:rsidRPr="00515AB9">
        <w:rPr>
          <w:rFonts w:ascii="Arial" w:hAnsi="Arial" w:cs="Arial"/>
          <w:sz w:val="22"/>
          <w:szCs w:val="22"/>
        </w:rPr>
        <w:t>iagnostics and theatre systems</w:t>
      </w:r>
    </w:p>
    <w:p w14:paraId="4909812A" w14:textId="1A55065D" w:rsidR="008A456F" w:rsidRPr="00515AB9" w:rsidRDefault="00C64D59"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B</w:t>
      </w:r>
      <w:r w:rsidR="006B73D3" w:rsidRPr="00515AB9">
        <w:rPr>
          <w:rFonts w:ascii="Arial" w:hAnsi="Arial" w:cs="Arial"/>
          <w:sz w:val="22"/>
          <w:szCs w:val="22"/>
        </w:rPr>
        <w:t>e</w:t>
      </w:r>
      <w:r w:rsidR="00DD7D4F" w:rsidRPr="00515AB9">
        <w:rPr>
          <w:rFonts w:ascii="Arial" w:hAnsi="Arial" w:cs="Arial"/>
          <w:sz w:val="22"/>
          <w:szCs w:val="22"/>
        </w:rPr>
        <w:t>d</w:t>
      </w:r>
      <w:r w:rsidR="006B73D3" w:rsidRPr="00515AB9">
        <w:rPr>
          <w:rFonts w:ascii="Arial" w:hAnsi="Arial" w:cs="Arial"/>
          <w:sz w:val="22"/>
          <w:szCs w:val="22"/>
        </w:rPr>
        <w:t>-management feeds</w:t>
      </w:r>
    </w:p>
    <w:p w14:paraId="6386F2A4" w14:textId="1B778190" w:rsidR="008A456F" w:rsidRPr="00515AB9" w:rsidRDefault="006B73D3"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Electronic Staff Record and local rostering</w:t>
      </w:r>
    </w:p>
    <w:p w14:paraId="5C9DB1B8" w14:textId="53459319" w:rsidR="008A456F" w:rsidRPr="00515AB9" w:rsidRDefault="00DD7D4F"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G</w:t>
      </w:r>
      <w:r w:rsidR="006B73D3" w:rsidRPr="00515AB9">
        <w:rPr>
          <w:rFonts w:ascii="Arial" w:hAnsi="Arial" w:cs="Arial"/>
          <w:sz w:val="22"/>
          <w:szCs w:val="22"/>
        </w:rPr>
        <w:t>eneral-ledger, procurement and costing systems</w:t>
      </w:r>
    </w:p>
    <w:p w14:paraId="6E85D1B5" w14:textId="550B3A18" w:rsidR="008A456F" w:rsidRPr="00515AB9" w:rsidRDefault="00DD7D4F"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I</w:t>
      </w:r>
      <w:r w:rsidR="006B73D3" w:rsidRPr="00515AB9">
        <w:rPr>
          <w:rFonts w:ascii="Arial" w:hAnsi="Arial" w:cs="Arial"/>
          <w:sz w:val="22"/>
          <w:szCs w:val="22"/>
        </w:rPr>
        <w:t>ncident reporting</w:t>
      </w:r>
    </w:p>
    <w:p w14:paraId="6CCE7AFE" w14:textId="35798155" w:rsidR="008A456F" w:rsidRPr="00515AB9" w:rsidRDefault="00DD7D4F"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P</w:t>
      </w:r>
      <w:r w:rsidR="006B73D3" w:rsidRPr="00515AB9">
        <w:rPr>
          <w:rFonts w:ascii="Arial" w:hAnsi="Arial" w:cs="Arial"/>
          <w:sz w:val="22"/>
          <w:szCs w:val="22"/>
        </w:rPr>
        <w:t xml:space="preserve">atient experience </w:t>
      </w:r>
    </w:p>
    <w:p w14:paraId="03D701B2" w14:textId="2BC354E7" w:rsidR="005D1C59" w:rsidRPr="00515AB9" w:rsidRDefault="00DD7D4F"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A</w:t>
      </w:r>
      <w:r w:rsidR="006B73D3" w:rsidRPr="00515AB9">
        <w:rPr>
          <w:rFonts w:ascii="Arial" w:hAnsi="Arial" w:cs="Arial"/>
          <w:sz w:val="22"/>
          <w:szCs w:val="22"/>
        </w:rPr>
        <w:t xml:space="preserve">pproved external reference data. </w:t>
      </w:r>
    </w:p>
    <w:p w14:paraId="0B651882" w14:textId="5EA59449" w:rsidR="005563A9" w:rsidRPr="00515AB9" w:rsidRDefault="006B73D3" w:rsidP="00515AB9">
      <w:pPr>
        <w:pStyle w:val="ListParagraph"/>
        <w:numPr>
          <w:ilvl w:val="0"/>
          <w:numId w:val="23"/>
        </w:numPr>
        <w:spacing w:line="360" w:lineRule="auto"/>
        <w:rPr>
          <w:rFonts w:ascii="Arial" w:hAnsi="Arial" w:cs="Arial"/>
          <w:sz w:val="22"/>
          <w:szCs w:val="22"/>
        </w:rPr>
      </w:pPr>
      <w:r w:rsidRPr="00515AB9">
        <w:rPr>
          <w:rFonts w:ascii="Arial" w:hAnsi="Arial" w:cs="Arial"/>
          <w:sz w:val="22"/>
          <w:szCs w:val="22"/>
        </w:rPr>
        <w:t>Interoperability interfaces should favour standards such as HL7 FHIR for exchange</w:t>
      </w:r>
      <w:r w:rsidR="00F52666" w:rsidRPr="00515AB9">
        <w:rPr>
          <w:rFonts w:ascii="Arial" w:hAnsi="Arial" w:cs="Arial"/>
          <w:sz w:val="22"/>
          <w:szCs w:val="22"/>
        </w:rPr>
        <w:t>.</w:t>
      </w:r>
    </w:p>
    <w:p w14:paraId="22DCFD89" w14:textId="77777777" w:rsidR="00EC1878" w:rsidRPr="00515AB9" w:rsidRDefault="00EC1878" w:rsidP="00515AB9">
      <w:pPr>
        <w:pStyle w:val="ListParagraph"/>
        <w:spacing w:line="360" w:lineRule="auto"/>
        <w:rPr>
          <w:rFonts w:ascii="Arial" w:hAnsi="Arial" w:cs="Arial"/>
          <w:sz w:val="22"/>
          <w:szCs w:val="22"/>
        </w:rPr>
      </w:pPr>
    </w:p>
    <w:p w14:paraId="0924232C" w14:textId="77777777" w:rsidR="00EC1878" w:rsidRPr="00515AB9" w:rsidRDefault="00EC1878" w:rsidP="00515AB9">
      <w:pPr>
        <w:pStyle w:val="ListParagraph"/>
        <w:spacing w:line="360" w:lineRule="auto"/>
        <w:rPr>
          <w:rFonts w:ascii="Arial" w:hAnsi="Arial" w:cs="Arial"/>
          <w:sz w:val="22"/>
          <w:szCs w:val="22"/>
        </w:rPr>
      </w:pPr>
    </w:p>
    <w:p w14:paraId="471968A9" w14:textId="206910B1" w:rsidR="005563A9" w:rsidRPr="00515AB9" w:rsidRDefault="00B064BB" w:rsidP="00515AB9">
      <w:pPr>
        <w:pStyle w:val="ListParagraph"/>
        <w:spacing w:line="360" w:lineRule="auto"/>
        <w:rPr>
          <w:rFonts w:ascii="Arial" w:hAnsi="Arial" w:cs="Arial"/>
          <w:color w:val="000000"/>
          <w:sz w:val="22"/>
          <w:szCs w:val="22"/>
        </w:rPr>
      </w:pPr>
      <w:r w:rsidRPr="00515AB9">
        <w:rPr>
          <w:rFonts w:ascii="Arial" w:hAnsi="Arial" w:cs="Arial"/>
          <w:sz w:val="22"/>
          <w:szCs w:val="22"/>
        </w:rPr>
        <w:lastRenderedPageBreak/>
        <w:t>“HL</w:t>
      </w:r>
      <w:r w:rsidR="005563A9" w:rsidRPr="00515AB9">
        <w:rPr>
          <w:rFonts w:ascii="Arial" w:hAnsi="Arial" w:cs="Arial"/>
          <w:sz w:val="22"/>
          <w:szCs w:val="22"/>
        </w:rPr>
        <w:t xml:space="preserve">7 is the global authority on health care interoperability and a critical leader and driver in the standards arena with more than 1,600 members from over 50 countries. “ </w:t>
      </w:r>
      <w:sdt>
        <w:sdtPr>
          <w:rPr>
            <w:rFonts w:ascii="Arial" w:hAnsi="Arial" w:cs="Arial"/>
            <w:color w:val="000000"/>
            <w:sz w:val="22"/>
            <w:szCs w:val="22"/>
            <w:highlight w:val="white"/>
          </w:rPr>
          <w:alias w:val="Citation"/>
          <w:tag w:val="{&quot;referencesIds&quot;:[&quot;doc:6a4ab884f267343f1a10f694&quot;],&quot;referencesOptions&quot;:{&quot;doc:6a4ab884f267343f1a10f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8627145,&quot;citationText&quot;:&quot;&lt;span style=\&quot;font-family:Aptos;font-size:16px;color:#EE0000\&quot;&gt;[5]&lt;/span&gt;&quot;}"/>
          <w:id w:val="1508627145"/>
          <w:placeholder>
            <w:docPart w:val="1697432272A24D2CAC922EA3A0E021D1"/>
          </w:placeholder>
        </w:sdtPr>
        <w:sdtEndPr>
          <w:rPr>
            <w:color w:val="000000" w:themeColor="text1"/>
          </w:rPr>
        </w:sdtEndPr>
        <w:sdtContent>
          <w:r w:rsidR="00DE7B3F" w:rsidRPr="00515AB9">
            <w:rPr>
              <w:rFonts w:ascii="Arial" w:eastAsia="Times New Roman" w:hAnsi="Arial" w:cs="Arial"/>
              <w:color w:val="000000"/>
              <w:sz w:val="22"/>
              <w:szCs w:val="22"/>
            </w:rPr>
            <w:t>[5]</w:t>
          </w:r>
        </w:sdtContent>
      </w:sdt>
    </w:p>
    <w:p w14:paraId="4588D458" w14:textId="4D6A3C53" w:rsidR="005563A9" w:rsidRPr="00515AB9" w:rsidRDefault="00CD6B6F" w:rsidP="00515AB9">
      <w:pPr>
        <w:pStyle w:val="ListParagraph"/>
        <w:spacing w:line="360" w:lineRule="auto"/>
        <w:rPr>
          <w:rFonts w:ascii="Arial" w:hAnsi="Arial" w:cs="Arial"/>
          <w:color w:val="000000"/>
          <w:sz w:val="22"/>
          <w:szCs w:val="22"/>
        </w:rPr>
      </w:pPr>
      <w:r w:rsidRPr="00515AB9">
        <w:rPr>
          <w:rFonts w:ascii="Arial" w:hAnsi="Arial" w:cs="Arial"/>
          <w:color w:val="000000"/>
          <w:sz w:val="22"/>
          <w:szCs w:val="22"/>
        </w:rPr>
        <w:t xml:space="preserve">“… the contractor is encouraged to use health IT that meets non-proprietary standards and implementation specifications developed by consensus-based standards development organizations, including standards identified in the ONC Interoperability Standards Advisory.” </w:t>
      </w:r>
      <w:sdt>
        <w:sdtPr>
          <w:rPr>
            <w:rFonts w:ascii="Arial" w:hAnsi="Arial" w:cs="Arial"/>
            <w:color w:val="000000"/>
            <w:sz w:val="22"/>
            <w:szCs w:val="22"/>
            <w:highlight w:val="white"/>
          </w:rPr>
          <w:alias w:val="Citation"/>
          <w:tag w:val="{&quot;referencesIds&quot;:[&quot;doc:6a4ab884f267343f1a10f694&quot;],&quot;referencesOptions&quot;:{&quot;doc:6a4ab884f267343f1a10f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2429967,&quot;citationText&quot;:&quot;&lt;span style=\&quot;font-family:Aptos;font-size:16px;color:#EE0000\&quot;&gt;[5]&lt;/span&gt;&quot;}"/>
          <w:id w:val="-502429967"/>
          <w:placeholder>
            <w:docPart w:val="528E6018E4D74D55ADBC364CC6B8D336"/>
          </w:placeholder>
        </w:sdtPr>
        <w:sdtContent>
          <w:r w:rsidR="00DE7B3F" w:rsidRPr="00515AB9">
            <w:rPr>
              <w:rFonts w:ascii="Arial" w:eastAsia="Times New Roman" w:hAnsi="Arial" w:cs="Arial"/>
              <w:color w:val="000000"/>
              <w:sz w:val="22"/>
              <w:szCs w:val="22"/>
            </w:rPr>
            <w:t>[5]</w:t>
          </w:r>
        </w:sdtContent>
      </w:sdt>
    </w:p>
    <w:p w14:paraId="1FF33674" w14:textId="7872A47E" w:rsidR="008E0AA2" w:rsidRPr="00515AB9" w:rsidRDefault="00B064BB" w:rsidP="00515AB9">
      <w:pPr>
        <w:pStyle w:val="ListParagraph"/>
        <w:spacing w:line="360" w:lineRule="auto"/>
        <w:rPr>
          <w:rFonts w:ascii="Arial" w:hAnsi="Arial" w:cs="Arial"/>
          <w:sz w:val="22"/>
          <w:szCs w:val="22"/>
        </w:rPr>
      </w:pPr>
      <w:r w:rsidRPr="00515AB9">
        <w:rPr>
          <w:rFonts w:ascii="Arial" w:hAnsi="Arial" w:cs="Arial"/>
          <w:color w:val="000000"/>
          <w:sz w:val="22"/>
          <w:szCs w:val="22"/>
        </w:rPr>
        <w:t>“While</w:t>
      </w:r>
      <w:r w:rsidR="008E0AA2" w:rsidRPr="00515AB9">
        <w:rPr>
          <w:rFonts w:ascii="Arial" w:hAnsi="Arial" w:cs="Arial"/>
          <w:color w:val="000000"/>
          <w:sz w:val="22"/>
          <w:szCs w:val="22"/>
        </w:rPr>
        <w:t xml:space="preserve"> HHS cannot require use of standards if none exist, HL7 recommends that HHS should adopt voluntary consensus standards necessary to support desired functions in the final rule.” </w:t>
      </w:r>
      <w:sdt>
        <w:sdtPr>
          <w:rPr>
            <w:rFonts w:ascii="Arial" w:hAnsi="Arial" w:cs="Arial"/>
            <w:color w:val="000000"/>
            <w:sz w:val="22"/>
            <w:szCs w:val="22"/>
            <w:highlight w:val="white"/>
          </w:rPr>
          <w:alias w:val="Citation"/>
          <w:tag w:val="{&quot;referencesIds&quot;:[&quot;doc:6a4ab884f267343f1a10f694&quot;],&quot;referencesOptions&quot;:{&quot;doc:6a4ab884f267343f1a10f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264440,&quot;citationText&quot;:&quot;&lt;span style=\&quot;font-family:Aptos;font-size:16px;color:#EE0000\&quot;&gt;[5]&lt;/span&gt;&quot;}"/>
          <w:id w:val="-132264440"/>
          <w:placeholder>
            <w:docPart w:val="DA7955264EC045E8A9411FA4B94ABC8C"/>
          </w:placeholder>
        </w:sdtPr>
        <w:sdtContent>
          <w:r w:rsidR="00DE7B3F" w:rsidRPr="00515AB9">
            <w:rPr>
              <w:rFonts w:ascii="Arial" w:eastAsia="Times New Roman" w:hAnsi="Arial" w:cs="Arial"/>
              <w:color w:val="000000"/>
              <w:sz w:val="22"/>
              <w:szCs w:val="22"/>
            </w:rPr>
            <w:t>[5]</w:t>
          </w:r>
        </w:sdtContent>
      </w:sdt>
    </w:p>
    <w:p w14:paraId="2F8ECB22" w14:textId="2ED66488" w:rsidR="00B942F1" w:rsidRPr="00515AB9" w:rsidRDefault="006B73D3" w:rsidP="00515AB9">
      <w:pPr>
        <w:pStyle w:val="ListParagraph"/>
        <w:spacing w:line="360" w:lineRule="auto"/>
        <w:rPr>
          <w:rFonts w:ascii="Arial" w:hAnsi="Arial" w:cs="Arial"/>
          <w:sz w:val="22"/>
          <w:szCs w:val="22"/>
        </w:rPr>
      </w:pPr>
      <w:r w:rsidRPr="00515AB9">
        <w:rPr>
          <w:rFonts w:ascii="Arial" w:hAnsi="Arial" w:cs="Arial"/>
          <w:sz w:val="22"/>
          <w:szCs w:val="22"/>
        </w:rPr>
        <w:t xml:space="preserve">A master-data service maps local organisation, ward, </w:t>
      </w:r>
      <w:r w:rsidR="00BC7054" w:rsidRPr="00515AB9">
        <w:rPr>
          <w:rFonts w:ascii="Arial" w:hAnsi="Arial" w:cs="Arial"/>
          <w:sz w:val="22"/>
          <w:szCs w:val="22"/>
        </w:rPr>
        <w:t>speciality</w:t>
      </w:r>
      <w:r w:rsidRPr="00515AB9">
        <w:rPr>
          <w:rFonts w:ascii="Arial" w:hAnsi="Arial" w:cs="Arial"/>
          <w:sz w:val="22"/>
          <w:szCs w:val="22"/>
        </w:rPr>
        <w:t xml:space="preserve"> and clinician identifiers to common keys.</w:t>
      </w:r>
    </w:p>
    <w:p w14:paraId="6733B4BC" w14:textId="77777777" w:rsidR="00015147" w:rsidRPr="00515AB9" w:rsidRDefault="00015147" w:rsidP="00515AB9">
      <w:pPr>
        <w:pStyle w:val="ListParagraph"/>
        <w:spacing w:line="360" w:lineRule="auto"/>
        <w:rPr>
          <w:rFonts w:ascii="Arial" w:hAnsi="Arial" w:cs="Arial"/>
          <w:sz w:val="22"/>
          <w:szCs w:val="22"/>
        </w:rPr>
      </w:pPr>
    </w:p>
    <w:p w14:paraId="344BB434" w14:textId="68B3B7CC" w:rsidR="00C35CB8" w:rsidRPr="00515AB9" w:rsidRDefault="00B942F1" w:rsidP="00515AB9">
      <w:pPr>
        <w:pStyle w:val="ListParagraph"/>
        <w:spacing w:line="360" w:lineRule="auto"/>
        <w:rPr>
          <w:rFonts w:ascii="Arial" w:hAnsi="Arial" w:cs="Arial"/>
          <w:b/>
          <w:bCs/>
          <w:sz w:val="22"/>
          <w:szCs w:val="22"/>
        </w:rPr>
      </w:pPr>
      <w:r w:rsidRPr="00515AB9">
        <w:rPr>
          <w:rFonts w:ascii="Arial" w:hAnsi="Arial" w:cs="Arial"/>
          <w:b/>
          <w:bCs/>
          <w:sz w:val="22"/>
          <w:szCs w:val="22"/>
        </w:rPr>
        <w:t>Extract, transform and load (ETL)</w:t>
      </w:r>
    </w:p>
    <w:p w14:paraId="15C83DF2" w14:textId="77777777"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t>Extract, transform and load (ETL) is a controlled way of moving data from source systems into a data warehouse.</w:t>
      </w:r>
    </w:p>
    <w:p w14:paraId="757D1E53" w14:textId="6D50B461" w:rsidR="00CD17E0" w:rsidRPr="00515AB9" w:rsidRDefault="00F10901" w:rsidP="00515AB9">
      <w:pPr>
        <w:pStyle w:val="ListParagraph"/>
        <w:spacing w:line="360" w:lineRule="auto"/>
        <w:rPr>
          <w:rFonts w:ascii="Arial" w:hAnsi="Arial" w:cs="Arial"/>
          <w:sz w:val="22"/>
          <w:szCs w:val="22"/>
        </w:rPr>
      </w:pPr>
      <w:r w:rsidRPr="00515AB9">
        <w:rPr>
          <w:rFonts w:ascii="Arial" w:hAnsi="Arial" w:cs="Arial"/>
          <w:sz w:val="22"/>
          <w:szCs w:val="22"/>
        </w:rPr>
        <w:t>“During</w:t>
      </w:r>
      <w:r w:rsidR="00A32EA8" w:rsidRPr="00515AB9">
        <w:rPr>
          <w:rFonts w:ascii="Arial" w:hAnsi="Arial" w:cs="Arial"/>
          <w:sz w:val="22"/>
          <w:szCs w:val="22"/>
        </w:rPr>
        <w:t xml:space="preserve"> an ETL process, data is first extracted from source systems. In the following transformation phase, data is cleaned up, processed, and transformed into the target schema. Subsequently, during the loading phase, the previously extracted and transformed data are written to the target system, e.g., RIS. This process is the same as transferring enterprise data to the data warehouse. ETL processes generally play an important role in data integration and are used wherever data from different source systems must be transferred to other data storage systems and adapted to new requirements.</w:t>
      </w:r>
      <w:r w:rsidR="00307781" w:rsidRPr="00515AB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4189a799961e1e621aef&quot;],&quot;referencesOptions&quot;:{&quot;doc:6a714189a799961e1e621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181661"/>
          <w:placeholder>
            <w:docPart w:val="D5DAFBC097A8403AAA839338B2F8D58C"/>
          </w:placeholder>
        </w:sdtPr>
        <w:sdtContent>
          <w:r w:rsidR="00DE7B3F" w:rsidRPr="00515AB9">
            <w:rPr>
              <w:rFonts w:ascii="Arial" w:eastAsia="Times New Roman" w:hAnsi="Arial" w:cs="Arial"/>
              <w:color w:val="000000"/>
              <w:sz w:val="22"/>
              <w:szCs w:val="22"/>
            </w:rPr>
            <w:t>[6]</w:t>
          </w:r>
        </w:sdtContent>
      </w:sdt>
    </w:p>
    <w:p w14:paraId="3DFD3106" w14:textId="68FDFF20"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t xml:space="preserve">First, data is extracted from feeds, APIs, transaction logs or read-only database copies. This is usually done using only the data that has changed, rather than copying everything again. </w:t>
      </w:r>
      <w:r w:rsidR="00A70EC0" w:rsidRPr="00515AB9">
        <w:rPr>
          <w:rFonts w:ascii="Arial" w:hAnsi="Arial" w:cs="Arial"/>
          <w:sz w:val="22"/>
          <w:szCs w:val="22"/>
        </w:rPr>
        <w:t xml:space="preserve">                                                                                                  </w:t>
      </w:r>
      <w:r w:rsidRPr="00515AB9">
        <w:rPr>
          <w:rFonts w:ascii="Arial" w:hAnsi="Arial" w:cs="Arial"/>
          <w:sz w:val="22"/>
          <w:szCs w:val="22"/>
        </w:rPr>
        <w:t>The extracted data is placed in a secure landing area.</w:t>
      </w:r>
    </w:p>
    <w:p w14:paraId="354E914A" w14:textId="77777777"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t>Next, the data is transformed. This means checking patient identifiers and dates, removing duplicates, standardising codes and units, matching patient records safely, hiding direct personal identifiers where needed, and applying agreed business rules. The process should also record where the data came from, where it went, and whether there were any quality issues.</w:t>
      </w:r>
    </w:p>
    <w:p w14:paraId="2228A31E" w14:textId="77777777"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t>Then, the data is loaded into the warehouse. This includes adding standard dimensions and detailed fact records, handling late corrections, and keeping historical versions. Clean summary data can then be used in data marts and dashboards.</w:t>
      </w:r>
    </w:p>
    <w:p w14:paraId="0C068A92" w14:textId="77777777"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lastRenderedPageBreak/>
        <w:t>Reconciliation is important. It should show that the number of records from the source system matches the accepted records, rejected records and final warehouse totals.</w:t>
      </w:r>
    </w:p>
    <w:p w14:paraId="552266D0" w14:textId="0C8FD231"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t xml:space="preserve">Different data can be refreshed at different times. Bed and patient-flow data may </w:t>
      </w:r>
      <w:r w:rsidR="001E7A97" w:rsidRPr="00515AB9">
        <w:rPr>
          <w:rFonts w:ascii="Arial" w:hAnsi="Arial" w:cs="Arial"/>
          <w:sz w:val="22"/>
          <w:szCs w:val="22"/>
        </w:rPr>
        <w:t>require near-real-time</w:t>
      </w:r>
      <w:r w:rsidRPr="00515AB9">
        <w:rPr>
          <w:rFonts w:ascii="Arial" w:hAnsi="Arial" w:cs="Arial"/>
          <w:sz w:val="22"/>
          <w:szCs w:val="22"/>
        </w:rPr>
        <w:t xml:space="preserve"> updates. Workforce data may only need daily updates. Finance data may need a controlled monthly close.</w:t>
      </w:r>
    </w:p>
    <w:p w14:paraId="23CF144D" w14:textId="77777777" w:rsidR="009F56AF" w:rsidRPr="00515AB9" w:rsidRDefault="009F56AF" w:rsidP="00515AB9">
      <w:pPr>
        <w:pStyle w:val="ListParagraph"/>
        <w:spacing w:line="360" w:lineRule="auto"/>
        <w:rPr>
          <w:rFonts w:ascii="Arial" w:hAnsi="Arial" w:cs="Arial"/>
          <w:sz w:val="22"/>
          <w:szCs w:val="22"/>
        </w:rPr>
      </w:pPr>
      <w:r w:rsidRPr="00515AB9">
        <w:rPr>
          <w:rFonts w:ascii="Arial" w:hAnsi="Arial" w:cs="Arial"/>
          <w:sz w:val="22"/>
          <w:szCs w:val="22"/>
        </w:rPr>
        <w:t>To protect system availability, the project should use a phased pilot, load testing, rollback plans, monitoring and clear service-level objectives. National NHS platforms can also be reused where they meet the right purpose and assurance requirements. The Federated Data Platform shows the NHS direction of connecting existing data for operational planning, rather than replacing the original source systems.</w:t>
      </w:r>
    </w:p>
    <w:p w14:paraId="3F21F1C5" w14:textId="77777777" w:rsidR="004A6FF6" w:rsidRPr="00515AB9" w:rsidRDefault="004A6FF6" w:rsidP="00515AB9">
      <w:pPr>
        <w:spacing w:line="360" w:lineRule="auto"/>
        <w:rPr>
          <w:rFonts w:ascii="Arial" w:hAnsi="Arial" w:cs="Arial"/>
          <w:sz w:val="22"/>
          <w:szCs w:val="22"/>
        </w:rPr>
      </w:pPr>
    </w:p>
    <w:p w14:paraId="09834F51" w14:textId="1444E1D8" w:rsidR="002C0640" w:rsidRPr="00515AB9" w:rsidRDefault="002C0640" w:rsidP="00515AB9">
      <w:pPr>
        <w:pStyle w:val="Heading2"/>
        <w:spacing w:line="360" w:lineRule="auto"/>
        <w:jc w:val="center"/>
        <w:rPr>
          <w:rFonts w:ascii="Arial" w:hAnsi="Arial" w:cs="Arial"/>
          <w:b/>
          <w:bCs/>
          <w:color w:val="auto"/>
          <w:sz w:val="22"/>
          <w:szCs w:val="22"/>
        </w:rPr>
      </w:pPr>
      <w:bookmarkStart w:id="5" w:name="_Toc236712618"/>
      <w:r w:rsidRPr="00515AB9">
        <w:rPr>
          <w:rFonts w:ascii="Arial" w:hAnsi="Arial" w:cs="Arial"/>
          <w:b/>
          <w:bCs/>
          <w:color w:val="auto"/>
          <w:sz w:val="22"/>
          <w:szCs w:val="22"/>
        </w:rPr>
        <w:t>1.3: Data Marts for Management Decision-Making</w:t>
      </w:r>
      <w:bookmarkEnd w:id="5"/>
    </w:p>
    <w:p w14:paraId="270CDBAF" w14:textId="77777777" w:rsidR="00EB6836" w:rsidRPr="00515AB9" w:rsidRDefault="00EB6836" w:rsidP="00515AB9">
      <w:pPr>
        <w:spacing w:line="360" w:lineRule="auto"/>
        <w:rPr>
          <w:rFonts w:ascii="Arial" w:hAnsi="Arial" w:cs="Arial"/>
          <w:sz w:val="22"/>
          <w:szCs w:val="22"/>
        </w:rPr>
      </w:pPr>
    </w:p>
    <w:p w14:paraId="0FC0C549" w14:textId="7E19FC8C" w:rsidR="00EB6836" w:rsidRPr="00515AB9" w:rsidRDefault="00EB6836" w:rsidP="00515AB9">
      <w:pPr>
        <w:spacing w:line="360" w:lineRule="auto"/>
        <w:jc w:val="center"/>
        <w:rPr>
          <w:rFonts w:ascii="Arial" w:hAnsi="Arial" w:cs="Arial"/>
          <w:b/>
          <w:bCs/>
          <w:sz w:val="22"/>
          <w:szCs w:val="22"/>
          <w:lang w:val="en-US"/>
        </w:rPr>
      </w:pPr>
      <w:r w:rsidRPr="00515AB9">
        <w:rPr>
          <w:rFonts w:ascii="Arial" w:hAnsi="Arial" w:cs="Arial"/>
          <w:b/>
          <w:bCs/>
          <w:sz w:val="22"/>
          <w:szCs w:val="22"/>
          <w:lang w:val="en-US"/>
        </w:rPr>
        <w:t>Role-specific data marts for management decisions</w:t>
      </w:r>
    </w:p>
    <w:p w14:paraId="5FB5F096" w14:textId="203E1267" w:rsidR="006A54FD" w:rsidRPr="00515AB9" w:rsidRDefault="00C53C40" w:rsidP="00515AB9">
      <w:pPr>
        <w:pStyle w:val="ListParagraph"/>
        <w:spacing w:line="360" w:lineRule="auto"/>
        <w:rPr>
          <w:rFonts w:ascii="Arial" w:hAnsi="Arial" w:cs="Arial"/>
          <w:sz w:val="22"/>
          <w:szCs w:val="22"/>
        </w:rPr>
      </w:pPr>
      <w:r w:rsidRPr="00515AB9">
        <w:rPr>
          <w:rFonts w:ascii="Arial" w:hAnsi="Arial" w:cs="Arial"/>
          <w:sz w:val="22"/>
          <w:szCs w:val="22"/>
          <w:lang w:val="en-US"/>
        </w:rPr>
        <w:t xml:space="preserve">Large data warehouses are </w:t>
      </w:r>
      <w:proofErr w:type="gramStart"/>
      <w:r w:rsidRPr="00515AB9">
        <w:rPr>
          <w:rFonts w:ascii="Arial" w:hAnsi="Arial" w:cs="Arial"/>
          <w:sz w:val="22"/>
          <w:szCs w:val="22"/>
          <w:lang w:val="en-US"/>
        </w:rPr>
        <w:t>very com</w:t>
      </w:r>
      <w:r w:rsidR="0049296F" w:rsidRPr="00515AB9">
        <w:rPr>
          <w:rFonts w:ascii="Arial" w:hAnsi="Arial" w:cs="Arial"/>
          <w:sz w:val="22"/>
          <w:szCs w:val="22"/>
          <w:lang w:val="en-US"/>
        </w:rPr>
        <w:t>plex</w:t>
      </w:r>
      <w:proofErr w:type="gramEnd"/>
      <w:r w:rsidR="0049296F" w:rsidRPr="00515AB9">
        <w:rPr>
          <w:rFonts w:ascii="Arial" w:hAnsi="Arial" w:cs="Arial"/>
          <w:sz w:val="22"/>
          <w:szCs w:val="22"/>
          <w:lang w:val="en-US"/>
        </w:rPr>
        <w:t xml:space="preserve"> data </w:t>
      </w:r>
      <w:r w:rsidR="00A52BEC" w:rsidRPr="00515AB9">
        <w:rPr>
          <w:rFonts w:ascii="Arial" w:hAnsi="Arial" w:cs="Arial"/>
          <w:sz w:val="22"/>
          <w:szCs w:val="22"/>
          <w:lang w:val="en-US"/>
        </w:rPr>
        <w:t>storage;</w:t>
      </w:r>
      <w:r w:rsidR="0049296F" w:rsidRPr="00515AB9">
        <w:rPr>
          <w:rFonts w:ascii="Arial" w:hAnsi="Arial" w:cs="Arial"/>
          <w:sz w:val="22"/>
          <w:szCs w:val="22"/>
          <w:lang w:val="en-US"/>
        </w:rPr>
        <w:t xml:space="preserve"> therefore</w:t>
      </w:r>
      <w:r w:rsidR="00A52BEC" w:rsidRPr="00515AB9">
        <w:rPr>
          <w:rFonts w:ascii="Arial" w:hAnsi="Arial" w:cs="Arial"/>
          <w:sz w:val="22"/>
          <w:szCs w:val="22"/>
          <w:lang w:val="en-US"/>
        </w:rPr>
        <w:t>,</w:t>
      </w:r>
      <w:r w:rsidR="0049296F" w:rsidRPr="00515AB9">
        <w:rPr>
          <w:rFonts w:ascii="Arial" w:hAnsi="Arial" w:cs="Arial"/>
          <w:sz w:val="22"/>
          <w:szCs w:val="22"/>
          <w:lang w:val="en-US"/>
        </w:rPr>
        <w:t xml:space="preserve"> it is easier to manage large dataset</w:t>
      </w:r>
      <w:r w:rsidR="00F93FF0" w:rsidRPr="00515AB9">
        <w:rPr>
          <w:rFonts w:ascii="Arial" w:hAnsi="Arial" w:cs="Arial"/>
          <w:sz w:val="22"/>
          <w:szCs w:val="22"/>
          <w:lang w:val="en-US"/>
        </w:rPr>
        <w:t>s when creating data marts</w:t>
      </w:r>
      <w:r w:rsidR="00582DDC" w:rsidRPr="00515AB9">
        <w:rPr>
          <w:rFonts w:ascii="Arial" w:hAnsi="Arial" w:cs="Arial"/>
          <w:sz w:val="22"/>
          <w:szCs w:val="22"/>
        </w:rPr>
        <w:t>. It makes it easier and faster for users to find the data they need for reports, dashboards, and decision-making.</w:t>
      </w:r>
      <w:r w:rsidR="00AA6C1E" w:rsidRPr="00515AB9">
        <w:rPr>
          <w:rFonts w:ascii="Arial" w:hAnsi="Arial" w:cs="Arial"/>
          <w:sz w:val="22"/>
          <w:szCs w:val="22"/>
        </w:rPr>
        <w:t xml:space="preserve"> </w:t>
      </w:r>
      <w:r w:rsidR="00A16BB4" w:rsidRPr="00515AB9">
        <w:rPr>
          <w:rFonts w:ascii="Arial" w:hAnsi="Arial" w:cs="Arial"/>
          <w:sz w:val="22"/>
          <w:szCs w:val="22"/>
        </w:rPr>
        <w:t xml:space="preserve">                                                </w:t>
      </w:r>
      <w:r w:rsidR="006A54FD" w:rsidRPr="00515AB9">
        <w:rPr>
          <w:rFonts w:ascii="Arial" w:hAnsi="Arial" w:cs="Arial"/>
          <w:sz w:val="22"/>
          <w:szCs w:val="22"/>
        </w:rPr>
        <w:t>A data mart is a smaller, controlled view of the main data warehouse. It is designed for a specific subject or group of users, such as finance, clinical quality, or operations.</w:t>
      </w:r>
      <w:r w:rsidR="00AA6C1E" w:rsidRPr="00515AB9">
        <w:rPr>
          <w:rFonts w:ascii="Arial" w:hAnsi="Arial" w:cs="Arial"/>
          <w:sz w:val="22"/>
          <w:szCs w:val="22"/>
        </w:rPr>
        <w:t xml:space="preserve">                                                        </w:t>
      </w:r>
      <w:r w:rsidR="00735DEB" w:rsidRPr="00515AB9">
        <w:rPr>
          <w:rFonts w:ascii="Arial" w:hAnsi="Arial" w:cs="Arial"/>
          <w:sz w:val="22"/>
          <w:szCs w:val="22"/>
        </w:rPr>
        <w:t xml:space="preserve">                                                          </w:t>
      </w:r>
      <w:r w:rsidR="006A54FD" w:rsidRPr="00515AB9">
        <w:rPr>
          <w:rFonts w:ascii="Arial" w:hAnsi="Arial" w:cs="Arial"/>
          <w:sz w:val="22"/>
          <w:szCs w:val="22"/>
        </w:rPr>
        <w:t>Each data mart should use the same shared definitions for patients, dates, organisations, services, and staff. This helps everyone use consistent information, while still giving each department the level of detail and access it needs.</w:t>
      </w:r>
    </w:p>
    <w:p w14:paraId="3C4D78BC" w14:textId="4CB8DE81" w:rsidR="00A16BB4" w:rsidRPr="00515AB9" w:rsidRDefault="00A16BB4" w:rsidP="00515AB9">
      <w:pPr>
        <w:pStyle w:val="ListParagraph"/>
        <w:spacing w:line="360" w:lineRule="auto"/>
        <w:rPr>
          <w:rFonts w:ascii="Arial" w:hAnsi="Arial" w:cs="Arial"/>
          <w:sz w:val="22"/>
          <w:szCs w:val="22"/>
        </w:rPr>
      </w:pPr>
      <w:r w:rsidRPr="00515AB9">
        <w:rPr>
          <w:rFonts w:ascii="Arial" w:hAnsi="Arial" w:cs="Arial"/>
          <w:sz w:val="22"/>
          <w:szCs w:val="22"/>
        </w:rPr>
        <w:t>“A</w:t>
      </w:r>
      <w:r w:rsidRPr="00515AB9">
        <w:rPr>
          <w:rFonts w:ascii="Arial" w:hAnsi="Arial" w:cs="Arial"/>
          <w:sz w:val="22"/>
          <w:szCs w:val="22"/>
        </w:rPr>
        <w:t xml:space="preserve"> data mart reflects the regulations and process specifications of each business unit within an </w:t>
      </w:r>
      <w:r w:rsidR="001D5445" w:rsidRPr="00515AB9">
        <w:rPr>
          <w:rFonts w:ascii="Arial" w:hAnsi="Arial" w:cs="Arial"/>
          <w:sz w:val="22"/>
          <w:szCs w:val="22"/>
        </w:rPr>
        <w:t>organisation</w:t>
      </w:r>
      <w:r w:rsidRPr="00515AB9">
        <w:rPr>
          <w:rFonts w:ascii="Arial" w:hAnsi="Arial" w:cs="Arial"/>
          <w:sz w:val="22"/>
          <w:szCs w:val="22"/>
        </w:rPr>
        <w:t>. Each data mart is devoted to a particular business function or region.</w:t>
      </w:r>
      <w:r w:rsidRPr="00515AB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4024171"/>
          <w:placeholder>
            <w:docPart w:val="69331187DFAF4006B2302DAD64749A82"/>
          </w:placeholder>
        </w:sdtPr>
        <w:sdtContent>
          <w:r w:rsidR="00DE7B3F" w:rsidRPr="00515AB9">
            <w:rPr>
              <w:rFonts w:ascii="Arial" w:eastAsia="Times New Roman" w:hAnsi="Arial" w:cs="Arial"/>
              <w:color w:val="000000"/>
              <w:sz w:val="22"/>
              <w:szCs w:val="22"/>
            </w:rPr>
            <w:t>[7]</w:t>
          </w:r>
        </w:sdtContent>
      </w:sdt>
    </w:p>
    <w:p w14:paraId="74DA2135" w14:textId="0C81354F" w:rsidR="00E84004" w:rsidRPr="00515AB9" w:rsidRDefault="00E84004" w:rsidP="00515AB9">
      <w:pPr>
        <w:pStyle w:val="ListParagraph"/>
        <w:spacing w:line="360" w:lineRule="auto"/>
        <w:rPr>
          <w:rFonts w:ascii="Arial" w:hAnsi="Arial" w:cs="Arial"/>
          <w:sz w:val="22"/>
          <w:szCs w:val="22"/>
        </w:rPr>
      </w:pPr>
      <w:r w:rsidRPr="00515AB9">
        <w:rPr>
          <w:rFonts w:ascii="Arial" w:hAnsi="Arial" w:cs="Arial"/>
          <w:sz w:val="22"/>
          <w:szCs w:val="22"/>
        </w:rPr>
        <w:t xml:space="preserve">Kimball’s bus architecture </w:t>
      </w:r>
      <w:sdt>
        <w:sdtPr>
          <w:rPr>
            <w:rFonts w:ascii="Arial" w:hAnsi="Arial" w:cs="Arial"/>
            <w:color w:val="000000"/>
            <w:sz w:val="22"/>
            <w:szCs w:val="22"/>
            <w:highlight w:val="white"/>
          </w:rPr>
          <w:alias w:val="Citation"/>
          <w:tag w:val="{&quot;referencesIds&quot;:[&quot;doc:6a4ad2cd2530730741dbbf17&quot;],&quot;referencesOptions&quot;:{&quot;doc:6a4ad2cd2530730741dbb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5855364"/>
          <w:placeholder>
            <w:docPart w:val="4DB98E10396F4E24A0B7184BB84F6BB2"/>
          </w:placeholder>
        </w:sdtPr>
        <w:sdtContent>
          <w:r w:rsidR="00DE7B3F" w:rsidRPr="00515AB9">
            <w:rPr>
              <w:rFonts w:ascii="Arial" w:eastAsia="Times New Roman" w:hAnsi="Arial" w:cs="Arial"/>
              <w:color w:val="000000"/>
              <w:sz w:val="22"/>
              <w:szCs w:val="22"/>
            </w:rPr>
            <w:t>[8]</w:t>
          </w:r>
        </w:sdtContent>
      </w:sdt>
      <w:r w:rsidR="009D213B" w:rsidRPr="00515AB9">
        <w:rPr>
          <w:rFonts w:ascii="Arial" w:hAnsi="Arial" w:cs="Arial"/>
          <w:sz w:val="22"/>
          <w:szCs w:val="22"/>
        </w:rPr>
        <w:t xml:space="preserve"> </w:t>
      </w:r>
      <w:r w:rsidRPr="00515AB9">
        <w:rPr>
          <w:rFonts w:ascii="Arial" w:hAnsi="Arial" w:cs="Arial"/>
          <w:sz w:val="22"/>
          <w:szCs w:val="22"/>
        </w:rPr>
        <w:t xml:space="preserve">builds separate data marts for different NHS departments, while using shared dimensions such as patient, date, organisation, service and staff. </w:t>
      </w:r>
      <w:r w:rsidR="00735DEB" w:rsidRPr="00515AB9">
        <w:rPr>
          <w:rFonts w:ascii="Arial" w:hAnsi="Arial" w:cs="Arial"/>
          <w:sz w:val="22"/>
          <w:szCs w:val="22"/>
        </w:rPr>
        <w:t xml:space="preserve">                                                                                                                                </w:t>
      </w:r>
      <w:r w:rsidRPr="00515AB9">
        <w:rPr>
          <w:rFonts w:ascii="Arial" w:hAnsi="Arial" w:cs="Arial"/>
          <w:sz w:val="22"/>
          <w:szCs w:val="22"/>
        </w:rPr>
        <w:t xml:space="preserve">This keeps the data consistent and allows different areas, such as finance, operations and clinical quality, to be analysed together. </w:t>
      </w:r>
      <w:r w:rsidR="00735DEB" w:rsidRPr="00515AB9">
        <w:rPr>
          <w:rFonts w:ascii="Arial" w:hAnsi="Arial" w:cs="Arial"/>
          <w:sz w:val="22"/>
          <w:szCs w:val="22"/>
        </w:rPr>
        <w:t xml:space="preserve">                                                       </w:t>
      </w:r>
      <w:r w:rsidRPr="00515AB9">
        <w:rPr>
          <w:rFonts w:ascii="Arial" w:hAnsi="Arial" w:cs="Arial"/>
          <w:sz w:val="22"/>
          <w:szCs w:val="22"/>
        </w:rPr>
        <w:t>This architecture is useful because it allows different areas of NHS data to be linked through shared dimensions, without putting all data into one very large table.</w:t>
      </w:r>
    </w:p>
    <w:p w14:paraId="2A78DA1A" w14:textId="3E79A806" w:rsidR="00B85567" w:rsidRPr="00515AB9" w:rsidRDefault="003861CF" w:rsidP="00515AB9">
      <w:pPr>
        <w:pStyle w:val="ListParagraph"/>
        <w:spacing w:line="360" w:lineRule="auto"/>
        <w:rPr>
          <w:rFonts w:ascii="Arial" w:hAnsi="Arial" w:cs="Arial"/>
          <w:color w:val="000000"/>
          <w:sz w:val="22"/>
          <w:szCs w:val="22"/>
        </w:rPr>
      </w:pPr>
      <w:r w:rsidRPr="00515AB9">
        <w:rPr>
          <w:rFonts w:ascii="Arial" w:hAnsi="Arial" w:cs="Arial"/>
          <w:sz w:val="22"/>
          <w:szCs w:val="22"/>
        </w:rPr>
        <w:t>“Dimensio</w:t>
      </w:r>
      <w:r w:rsidR="00C506C8" w:rsidRPr="00515AB9">
        <w:rPr>
          <w:rFonts w:ascii="Arial" w:hAnsi="Arial" w:cs="Arial"/>
          <w:sz w:val="22"/>
          <w:szCs w:val="22"/>
        </w:rPr>
        <w:t>n tables conform when attributes in separate dimension</w:t>
      </w:r>
      <w:r w:rsidR="00015FAD" w:rsidRPr="00515AB9">
        <w:rPr>
          <w:rFonts w:ascii="Arial" w:hAnsi="Arial" w:cs="Arial"/>
          <w:sz w:val="22"/>
          <w:szCs w:val="22"/>
        </w:rPr>
        <w:t xml:space="preserve"> tables have the same column names </w:t>
      </w:r>
      <w:r w:rsidR="00693EA7" w:rsidRPr="00515AB9">
        <w:rPr>
          <w:rFonts w:ascii="Arial" w:hAnsi="Arial" w:cs="Arial"/>
          <w:sz w:val="22"/>
          <w:szCs w:val="22"/>
        </w:rPr>
        <w:t xml:space="preserve">and domain contents. Information from </w:t>
      </w:r>
      <w:r w:rsidR="001D5445" w:rsidRPr="00515AB9">
        <w:rPr>
          <w:rFonts w:ascii="Arial" w:hAnsi="Arial" w:cs="Arial"/>
          <w:sz w:val="22"/>
          <w:szCs w:val="22"/>
        </w:rPr>
        <w:t>separate</w:t>
      </w:r>
      <w:r w:rsidR="005E2517" w:rsidRPr="00515AB9">
        <w:rPr>
          <w:rFonts w:ascii="Arial" w:hAnsi="Arial" w:cs="Arial"/>
          <w:sz w:val="22"/>
          <w:szCs w:val="22"/>
        </w:rPr>
        <w:t xml:space="preserve"> fact tables can </w:t>
      </w:r>
      <w:r w:rsidR="005E2517" w:rsidRPr="00515AB9">
        <w:rPr>
          <w:rFonts w:ascii="Arial" w:hAnsi="Arial" w:cs="Arial"/>
          <w:sz w:val="22"/>
          <w:szCs w:val="22"/>
        </w:rPr>
        <w:lastRenderedPageBreak/>
        <w:t>be combined in a single</w:t>
      </w:r>
      <w:r w:rsidR="00B37DD1" w:rsidRPr="00515AB9">
        <w:rPr>
          <w:rFonts w:ascii="Arial" w:hAnsi="Arial" w:cs="Arial"/>
          <w:sz w:val="22"/>
          <w:szCs w:val="22"/>
        </w:rPr>
        <w:t xml:space="preserve"> report by using conformed dimension attributes that are associated</w:t>
      </w:r>
      <w:r w:rsidR="007E51A0" w:rsidRPr="00515AB9">
        <w:rPr>
          <w:rFonts w:ascii="Arial" w:hAnsi="Arial" w:cs="Arial"/>
          <w:sz w:val="22"/>
          <w:szCs w:val="22"/>
        </w:rPr>
        <w:t xml:space="preserve"> with each fact table.</w:t>
      </w:r>
      <w:r w:rsidR="00343FC2" w:rsidRPr="00515AB9">
        <w:rPr>
          <w:rFonts w:ascii="Arial" w:hAnsi="Arial" w:cs="Arial"/>
          <w:sz w:val="22"/>
          <w:szCs w:val="22"/>
        </w:rPr>
        <w:t xml:space="preserve"> When a conformed attribute is used as the </w:t>
      </w:r>
      <w:r w:rsidR="00AA548D" w:rsidRPr="00515AB9">
        <w:rPr>
          <w:rFonts w:ascii="Arial" w:hAnsi="Arial" w:cs="Arial"/>
          <w:sz w:val="22"/>
          <w:szCs w:val="22"/>
        </w:rPr>
        <w:t>row</w:t>
      </w:r>
      <w:r w:rsidR="00343FC2" w:rsidRPr="00515AB9">
        <w:rPr>
          <w:rFonts w:ascii="Arial" w:hAnsi="Arial" w:cs="Arial"/>
          <w:sz w:val="22"/>
          <w:szCs w:val="22"/>
        </w:rPr>
        <w:t xml:space="preserve"> header</w:t>
      </w:r>
      <w:r w:rsidR="00AA548D" w:rsidRPr="00515AB9">
        <w:rPr>
          <w:rFonts w:ascii="Arial" w:hAnsi="Arial" w:cs="Arial"/>
          <w:sz w:val="22"/>
          <w:szCs w:val="22"/>
        </w:rPr>
        <w:t xml:space="preserve"> </w:t>
      </w:r>
      <w:r w:rsidR="00F10901" w:rsidRPr="00515AB9">
        <w:rPr>
          <w:rFonts w:ascii="Arial" w:hAnsi="Arial" w:cs="Arial"/>
          <w:sz w:val="22"/>
          <w:szCs w:val="22"/>
        </w:rPr>
        <w:t>(that</w:t>
      </w:r>
      <w:r w:rsidR="00AA548D" w:rsidRPr="00515AB9">
        <w:rPr>
          <w:rFonts w:ascii="Arial" w:hAnsi="Arial" w:cs="Arial"/>
          <w:sz w:val="22"/>
          <w:szCs w:val="22"/>
        </w:rPr>
        <w:t xml:space="preserve"> is, the grouping column</w:t>
      </w:r>
      <w:r w:rsidR="004053D0" w:rsidRPr="00515AB9">
        <w:rPr>
          <w:rFonts w:ascii="Arial" w:hAnsi="Arial" w:cs="Arial"/>
          <w:sz w:val="22"/>
          <w:szCs w:val="22"/>
        </w:rPr>
        <w:t xml:space="preserve"> in the SQL query), the results from the separate fact</w:t>
      </w:r>
      <w:r w:rsidR="00446A02" w:rsidRPr="00515AB9">
        <w:rPr>
          <w:rFonts w:ascii="Arial" w:hAnsi="Arial" w:cs="Arial"/>
          <w:sz w:val="22"/>
          <w:szCs w:val="22"/>
        </w:rPr>
        <w:t xml:space="preserve"> tables can be aligned on the same rows in a drill-ac</w:t>
      </w:r>
      <w:r w:rsidR="00986B9E" w:rsidRPr="00515AB9">
        <w:rPr>
          <w:rFonts w:ascii="Arial" w:hAnsi="Arial" w:cs="Arial"/>
          <w:sz w:val="22"/>
          <w:szCs w:val="22"/>
        </w:rPr>
        <w:t xml:space="preserve">ross report. This is the essence of integration </w:t>
      </w:r>
      <w:r w:rsidR="008E7C4D" w:rsidRPr="00515AB9">
        <w:rPr>
          <w:rFonts w:ascii="Arial" w:hAnsi="Arial" w:cs="Arial"/>
          <w:sz w:val="22"/>
          <w:szCs w:val="22"/>
        </w:rPr>
        <w:t>in an enterprise DW/BI system</w:t>
      </w:r>
      <w:r w:rsidR="007D11F5" w:rsidRPr="00515AB9">
        <w:rPr>
          <w:rFonts w:ascii="Arial" w:hAnsi="Arial" w:cs="Arial"/>
          <w:sz w:val="22"/>
          <w:szCs w:val="22"/>
        </w:rPr>
        <w:t>…</w:t>
      </w:r>
    </w:p>
    <w:p w14:paraId="5249ED46" w14:textId="164B97A3" w:rsidR="003861CF" w:rsidRPr="00515AB9" w:rsidRDefault="007D11F5" w:rsidP="00515AB9">
      <w:pPr>
        <w:pStyle w:val="ListParagraph"/>
        <w:spacing w:line="360" w:lineRule="auto"/>
        <w:rPr>
          <w:rFonts w:ascii="Arial" w:hAnsi="Arial" w:cs="Arial"/>
          <w:color w:val="000000"/>
          <w:sz w:val="22"/>
          <w:szCs w:val="22"/>
        </w:rPr>
      </w:pPr>
      <w:r w:rsidRPr="00515AB9">
        <w:rPr>
          <w:rFonts w:ascii="Arial" w:hAnsi="Arial" w:cs="Arial"/>
          <w:color w:val="000000"/>
          <w:sz w:val="22"/>
          <w:szCs w:val="22"/>
        </w:rPr>
        <w:t>…</w:t>
      </w:r>
      <w:r w:rsidR="000E67B6" w:rsidRPr="00515AB9">
        <w:rPr>
          <w:rFonts w:ascii="Arial" w:hAnsi="Arial" w:cs="Arial"/>
          <w:sz w:val="22"/>
          <w:szCs w:val="22"/>
        </w:rPr>
        <w:t xml:space="preserve">The enterprise data warehouse bus architecture provides an incremental approach to building the enterprise DW/BI system. This architecture decomposes the DW/ Bl planning process into manageable pieces by focusing on business processes, while delivering integration via standardized conformed dimensions that are reused across processes.” </w:t>
      </w:r>
      <w:sdt>
        <w:sdtPr>
          <w:rPr>
            <w:rFonts w:ascii="Arial" w:hAnsi="Arial" w:cs="Arial"/>
            <w:color w:val="000000"/>
            <w:sz w:val="22"/>
            <w:szCs w:val="22"/>
            <w:highlight w:val="white"/>
          </w:rPr>
          <w:alias w:val="Citation"/>
          <w:tag w:val="{&quot;referencesIds&quot;:[&quot;doc:6a4ad2cd2530730741dbbf17&quot;],&quot;referencesOptions&quot;:{&quot;doc:6a4ad2cd2530730741dbb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066869,&quot;citationText&quot;:&quot;&lt;span style=\&quot;font-family:Aptos;font-size:16px;color:#EE0000\&quot;&gt;[6]&lt;/span&gt;&quot;}"/>
          <w:id w:val="598066869"/>
          <w:placeholder>
            <w:docPart w:val="8CBBE1CBBFFA4AC28444D4B10842F811"/>
          </w:placeholder>
        </w:sdtPr>
        <w:sdtContent>
          <w:r w:rsidR="00DE7B3F" w:rsidRPr="00515AB9">
            <w:rPr>
              <w:rFonts w:ascii="Arial" w:eastAsia="Times New Roman" w:hAnsi="Arial" w:cs="Arial"/>
              <w:color w:val="000000"/>
              <w:sz w:val="22"/>
              <w:szCs w:val="22"/>
            </w:rPr>
            <w:t>[8]</w:t>
          </w:r>
        </w:sdtContent>
      </w:sdt>
    </w:p>
    <w:p w14:paraId="782AB46C" w14:textId="77777777" w:rsidR="007D11F5" w:rsidRPr="00515AB9" w:rsidRDefault="007D11F5" w:rsidP="00515AB9">
      <w:pPr>
        <w:pStyle w:val="ListParagraph"/>
        <w:spacing w:line="360" w:lineRule="auto"/>
        <w:rPr>
          <w:rFonts w:ascii="Arial" w:hAnsi="Arial" w:cs="Arial"/>
          <w:color w:val="000000"/>
          <w:sz w:val="22"/>
          <w:szCs w:val="22"/>
        </w:rPr>
      </w:pPr>
    </w:p>
    <w:p w14:paraId="49917C68" w14:textId="2B437334" w:rsidR="008F1F34" w:rsidRPr="00515AB9" w:rsidRDefault="00B34419" w:rsidP="00515AB9">
      <w:pPr>
        <w:pStyle w:val="ListParagraph"/>
        <w:spacing w:line="360" w:lineRule="auto"/>
        <w:rPr>
          <w:rFonts w:ascii="Arial" w:hAnsi="Arial" w:cs="Arial"/>
          <w:color w:val="000000"/>
          <w:sz w:val="22"/>
          <w:szCs w:val="22"/>
        </w:rPr>
      </w:pPr>
      <w:r w:rsidRPr="00515AB9">
        <w:rPr>
          <w:rFonts w:ascii="Arial" w:hAnsi="Arial" w:cs="Arial"/>
          <w:color w:val="000000"/>
          <w:sz w:val="22"/>
          <w:szCs w:val="22"/>
        </w:rPr>
        <w:t xml:space="preserve">“The enterprise data warehouse bus matrix is the essential tool for designing and communicating the enterprise data warehouse bus architecture. The rows of the matrix are business processes and the columns are dimensions. The shaded cells of the matrix indicate whether a dimension is associated with a given business process.” </w:t>
      </w:r>
      <w:sdt>
        <w:sdtPr>
          <w:rPr>
            <w:rFonts w:ascii="Arial" w:hAnsi="Arial" w:cs="Arial"/>
            <w:color w:val="000000"/>
            <w:sz w:val="22"/>
            <w:szCs w:val="22"/>
            <w:highlight w:val="white"/>
          </w:rPr>
          <w:alias w:val="Citation"/>
          <w:tag w:val="{&quot;referencesIds&quot;:[&quot;doc:6a4ad2cd2530730741dbbf17&quot;],&quot;referencesOptions&quot;:{&quot;doc:6a4ad2cd2530730741dbb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004485,&quot;citationText&quot;:&quot;&lt;span style=\&quot;font-family:Aptos;font-size:16px;color:#EE0000\&quot;&gt;[6]&lt;/span&gt;&quot;}"/>
          <w:id w:val="1181004485"/>
          <w:placeholder>
            <w:docPart w:val="F080328967424D1598674B38E8A72846"/>
          </w:placeholder>
        </w:sdtPr>
        <w:sdtContent>
          <w:r w:rsidR="00DE7B3F" w:rsidRPr="00515AB9">
            <w:rPr>
              <w:rFonts w:ascii="Arial" w:eastAsia="Times New Roman" w:hAnsi="Arial" w:cs="Arial"/>
              <w:color w:val="000000"/>
              <w:sz w:val="22"/>
              <w:szCs w:val="22"/>
            </w:rPr>
            <w:t>[8]</w:t>
          </w:r>
        </w:sdtContent>
      </w:sdt>
    </w:p>
    <w:p w14:paraId="72B048F3" w14:textId="77777777" w:rsidR="007D11F5" w:rsidRPr="00515AB9" w:rsidRDefault="007D11F5" w:rsidP="00515AB9">
      <w:pPr>
        <w:pStyle w:val="ListParagraph"/>
        <w:spacing w:line="360" w:lineRule="auto"/>
        <w:rPr>
          <w:rFonts w:ascii="Arial" w:hAnsi="Arial" w:cs="Arial"/>
          <w:sz w:val="22"/>
          <w:szCs w:val="22"/>
        </w:rPr>
      </w:pPr>
    </w:p>
    <w:p w14:paraId="5A91E07F" w14:textId="6C635046" w:rsidR="00EB6836" w:rsidRPr="00515AB9" w:rsidRDefault="0032602C" w:rsidP="00515AB9">
      <w:pPr>
        <w:pStyle w:val="ListParagraph"/>
        <w:spacing w:line="360" w:lineRule="auto"/>
        <w:rPr>
          <w:rFonts w:ascii="Arial" w:hAnsi="Arial" w:cs="Arial"/>
          <w:color w:val="000000"/>
          <w:sz w:val="22"/>
          <w:szCs w:val="22"/>
        </w:rPr>
      </w:pPr>
      <w:r w:rsidRPr="00515AB9">
        <w:rPr>
          <w:rFonts w:ascii="Arial" w:hAnsi="Arial" w:cs="Arial"/>
          <w:sz w:val="22"/>
          <w:szCs w:val="22"/>
          <w:lang w:val="en-US"/>
        </w:rPr>
        <w:t>“</w:t>
      </w:r>
      <w:r w:rsidRPr="00515AB9">
        <w:rPr>
          <w:rFonts w:ascii="Arial" w:hAnsi="Arial" w:cs="Arial"/>
          <w:sz w:val="22"/>
          <w:szCs w:val="22"/>
        </w:rPr>
        <w:t xml:space="preserve">An alternative to creating one large data warehouse is to create data marts, where a data mart </w:t>
      </w:r>
      <w:proofErr w:type="gramStart"/>
      <w:r w:rsidRPr="00515AB9">
        <w:rPr>
          <w:rFonts w:ascii="Arial" w:hAnsi="Arial" w:cs="Arial"/>
          <w:sz w:val="22"/>
          <w:szCs w:val="22"/>
        </w:rPr>
        <w:t>contains</w:t>
      </w:r>
      <w:proofErr w:type="gramEnd"/>
      <w:r w:rsidRPr="00515AB9">
        <w:rPr>
          <w:rFonts w:ascii="Arial" w:hAnsi="Arial" w:cs="Arial"/>
          <w:sz w:val="22"/>
          <w:szCs w:val="22"/>
        </w:rPr>
        <w:t xml:space="preserve"> a subset of the data in the warehouse. Data marts have the advantage of being focused into an area of the business, so they could contain regional or departmental data. However, care should be taken if the data mart approach is used, because instead of creating one data source, many data sources may be required.” </w:t>
      </w:r>
      <w:sdt>
        <w:sdtPr>
          <w:rPr>
            <w:rFonts w:ascii="Arial" w:hAnsi="Arial" w:cs="Arial"/>
            <w:color w:val="000000"/>
            <w:sz w:val="22"/>
            <w:szCs w:val="22"/>
            <w:highlight w:val="white"/>
          </w:rPr>
          <w:alias w:val="Citation"/>
          <w:tag w:val="{&quot;referencesIds&quot;:[&quot;doc:6a4ac5cfb985201187045af8&quot;],&quot;referencesOptions&quot;:{&quot;doc:6a4ac5cfb985201187045a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1212018,&quot;citationText&quot;:&quot;&lt;span style=\&quot;font-family:Aptos;font-size:16px;color:#EE0000\&quot;&gt;[7]&lt;/span&gt;&quot;}"/>
          <w:id w:val="-651212018"/>
          <w:placeholder>
            <w:docPart w:val="8497F291C42042DC8897A714F818658B"/>
          </w:placeholder>
        </w:sdtPr>
        <w:sdtContent>
          <w:r w:rsidR="00DE7B3F" w:rsidRPr="00515AB9">
            <w:rPr>
              <w:rFonts w:ascii="Arial" w:eastAsia="Times New Roman" w:hAnsi="Arial" w:cs="Arial"/>
              <w:color w:val="000000"/>
              <w:sz w:val="22"/>
              <w:szCs w:val="22"/>
            </w:rPr>
            <w:t>[9]</w:t>
          </w:r>
        </w:sdtContent>
      </w:sdt>
    </w:p>
    <w:p w14:paraId="6A97D724" w14:textId="77777777" w:rsidR="00FA6E38" w:rsidRPr="00515AB9" w:rsidRDefault="00FA6E38" w:rsidP="00515AB9">
      <w:pPr>
        <w:pStyle w:val="ListParagraph"/>
        <w:spacing w:line="360" w:lineRule="auto"/>
        <w:rPr>
          <w:rFonts w:ascii="Arial" w:hAnsi="Arial" w:cs="Arial"/>
          <w:color w:val="000000"/>
          <w:sz w:val="22"/>
          <w:szCs w:val="22"/>
        </w:rPr>
      </w:pPr>
    </w:p>
    <w:p w14:paraId="7753D76C" w14:textId="19108427" w:rsidR="008044FB" w:rsidRPr="00515AB9" w:rsidRDefault="008044FB" w:rsidP="00515AB9">
      <w:pPr>
        <w:pStyle w:val="ListParagraph"/>
        <w:spacing w:line="360" w:lineRule="auto"/>
        <w:rPr>
          <w:rFonts w:ascii="Arial" w:hAnsi="Arial" w:cs="Arial"/>
          <w:sz w:val="22"/>
          <w:szCs w:val="22"/>
          <w:lang w:val="en-US"/>
        </w:rPr>
      </w:pPr>
      <w:r w:rsidRPr="00515AB9">
        <w:rPr>
          <w:rFonts w:ascii="Arial" w:hAnsi="Arial" w:cs="Arial"/>
          <w:color w:val="000000"/>
          <w:sz w:val="22"/>
          <w:szCs w:val="22"/>
        </w:rPr>
        <w:t>“A </w:t>
      </w:r>
      <w:hyperlink r:id="rId11" w:tooltip="Learn more about data mart from ScienceDirect's AI-generated Topic Pages" w:history="1">
        <w:r w:rsidRPr="00515AB9">
          <w:rPr>
            <w:rFonts w:ascii="Arial" w:hAnsi="Arial" w:cs="Arial"/>
            <w:sz w:val="22"/>
            <w:szCs w:val="22"/>
          </w:rPr>
          <w:t>data</w:t>
        </w:r>
        <w:r w:rsidR="00C745A9" w:rsidRPr="00515AB9">
          <w:rPr>
            <w:rFonts w:ascii="Arial" w:hAnsi="Arial" w:cs="Arial"/>
            <w:sz w:val="22"/>
            <w:szCs w:val="22"/>
          </w:rPr>
          <w:t xml:space="preserve"> </w:t>
        </w:r>
        <w:r w:rsidRPr="00515AB9">
          <w:rPr>
            <w:rFonts w:ascii="Arial" w:hAnsi="Arial" w:cs="Arial"/>
            <w:sz w:val="22"/>
            <w:szCs w:val="22"/>
          </w:rPr>
          <w:t>mart</w:t>
        </w:r>
      </w:hyperlink>
      <w:r w:rsidRPr="00515AB9">
        <w:rPr>
          <w:rFonts w:ascii="Arial" w:hAnsi="Arial" w:cs="Arial"/>
          <w:color w:val="000000"/>
          <w:sz w:val="22"/>
          <w:szCs w:val="22"/>
        </w:rPr>
        <w:t> is a scaled-down version of a </w:t>
      </w:r>
      <w:r w:rsidR="00C745A9" w:rsidRPr="00515AB9">
        <w:rPr>
          <w:rFonts w:ascii="Arial" w:hAnsi="Arial" w:cs="Arial"/>
          <w:sz w:val="22"/>
          <w:szCs w:val="22"/>
        </w:rPr>
        <w:t>data warehouse</w:t>
      </w:r>
      <w:r w:rsidRPr="00515AB9">
        <w:rPr>
          <w:rFonts w:ascii="Arial" w:hAnsi="Arial" w:cs="Arial"/>
          <w:color w:val="000000"/>
          <w:sz w:val="22"/>
          <w:szCs w:val="22"/>
        </w:rPr>
        <w:t xml:space="preserve">.                                                   It is more focused, less complex, and holds a subset of the entire data, often in summary form. It is usually designed for a smaller number of users. Data marts provide fast, </w:t>
      </w:r>
      <w:r w:rsidR="00C745A9" w:rsidRPr="00515AB9">
        <w:rPr>
          <w:rFonts w:ascii="Arial" w:hAnsi="Arial" w:cs="Arial"/>
          <w:color w:val="000000"/>
          <w:sz w:val="22"/>
          <w:szCs w:val="22"/>
        </w:rPr>
        <w:t>specialised</w:t>
      </w:r>
      <w:r w:rsidRPr="00515AB9">
        <w:rPr>
          <w:rFonts w:ascii="Arial" w:hAnsi="Arial" w:cs="Arial"/>
          <w:color w:val="000000"/>
          <w:sz w:val="22"/>
          <w:szCs w:val="22"/>
        </w:rPr>
        <w:t xml:space="preserve"> access and applications.” </w:t>
      </w:r>
      <w:sdt>
        <w:sdtPr>
          <w:rPr>
            <w:rFonts w:ascii="Arial" w:hAnsi="Arial" w:cs="Arial"/>
            <w:color w:val="000000"/>
            <w:sz w:val="22"/>
            <w:szCs w:val="22"/>
            <w:highlight w:val="white"/>
          </w:rPr>
          <w:alias w:val="Citation"/>
          <w:tag w:val="{&quot;referencesIds&quot;:[&quot;doc:6a4ac5cfb985201187045af8&quot;],&quot;referencesOptions&quot;:{&quot;doc:6a4ac5cfb985201187045a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873744,&quot;citationText&quot;:&quot;&lt;span style=\&quot;font-family:Aptos;font-size:16px;color:#EE0000\&quot;&gt;[7]&lt;/span&gt;&quot;}"/>
          <w:id w:val="-132873744"/>
          <w:placeholder>
            <w:docPart w:val="457012041E0B47278569AB2FFE64FB30"/>
          </w:placeholder>
        </w:sdtPr>
        <w:sdtContent>
          <w:r w:rsidR="00DE7B3F" w:rsidRPr="00515AB9">
            <w:rPr>
              <w:rFonts w:ascii="Arial" w:eastAsia="Times New Roman" w:hAnsi="Arial" w:cs="Arial"/>
              <w:color w:val="000000"/>
              <w:sz w:val="22"/>
              <w:szCs w:val="22"/>
            </w:rPr>
            <w:t>[9]</w:t>
          </w:r>
        </w:sdtContent>
      </w:sdt>
    </w:p>
    <w:p w14:paraId="44CB67F0" w14:textId="77777777" w:rsidR="00C745A9" w:rsidRPr="00515AB9" w:rsidRDefault="00C745A9" w:rsidP="00515AB9">
      <w:pPr>
        <w:spacing w:line="360" w:lineRule="auto"/>
        <w:rPr>
          <w:rFonts w:ascii="Arial" w:hAnsi="Arial" w:cs="Arial"/>
          <w:sz w:val="22"/>
          <w:szCs w:val="22"/>
        </w:rPr>
      </w:pPr>
    </w:p>
    <w:p w14:paraId="72BD9194" w14:textId="77777777" w:rsidR="00845918" w:rsidRDefault="00845918" w:rsidP="00515AB9">
      <w:pPr>
        <w:spacing w:line="360" w:lineRule="auto"/>
        <w:rPr>
          <w:rFonts w:ascii="Arial" w:hAnsi="Arial" w:cs="Arial"/>
          <w:sz w:val="22"/>
          <w:szCs w:val="22"/>
        </w:rPr>
      </w:pPr>
    </w:p>
    <w:p w14:paraId="3A95DDDF" w14:textId="77777777" w:rsidR="002D6BCA" w:rsidRPr="00515AB9" w:rsidRDefault="002D6BCA" w:rsidP="00515AB9">
      <w:pPr>
        <w:spacing w:line="360" w:lineRule="auto"/>
        <w:rPr>
          <w:rFonts w:ascii="Arial" w:hAnsi="Arial" w:cs="Arial"/>
          <w:sz w:val="22"/>
          <w:szCs w:val="22"/>
        </w:rPr>
      </w:pPr>
    </w:p>
    <w:p w14:paraId="7783673A" w14:textId="77777777" w:rsidR="00845918" w:rsidRPr="00515AB9" w:rsidRDefault="00845918" w:rsidP="00515AB9">
      <w:pPr>
        <w:spacing w:line="360" w:lineRule="auto"/>
        <w:rPr>
          <w:rFonts w:ascii="Arial" w:hAnsi="Arial" w:cs="Arial"/>
          <w:sz w:val="22"/>
          <w:szCs w:val="22"/>
        </w:rPr>
      </w:pPr>
    </w:p>
    <w:tbl>
      <w:tblPr>
        <w:tblStyle w:val="GridTable4-Accent1"/>
        <w:tblW w:w="8917" w:type="dxa"/>
        <w:tblInd w:w="704" w:type="dxa"/>
        <w:tblLayout w:type="fixed"/>
        <w:tblLook w:val="06A0" w:firstRow="1" w:lastRow="0" w:firstColumn="1" w:lastColumn="0" w:noHBand="1" w:noVBand="1"/>
      </w:tblPr>
      <w:tblGrid>
        <w:gridCol w:w="2126"/>
        <w:gridCol w:w="3544"/>
        <w:gridCol w:w="3247"/>
      </w:tblGrid>
      <w:tr w:rsidR="007E377E" w:rsidRPr="00515AB9" w14:paraId="3E822AFF" w14:textId="77777777" w:rsidTr="00845918">
        <w:trPr>
          <w:cnfStyle w:val="100000000000" w:firstRow="1" w:lastRow="0" w:firstColumn="0" w:lastColumn="0" w:oddVBand="0" w:evenVBand="0" w:oddHBand="0" w:evenHBand="0" w:firstRowFirstColumn="0" w:firstRowLastColumn="0" w:lastRowFirstColumn="0" w:lastRowLastColumn="0"/>
          <w:trHeight w:val="9"/>
        </w:trPr>
        <w:tc>
          <w:tcPr>
            <w:cnfStyle w:val="001000000000" w:firstRow="0" w:lastRow="0" w:firstColumn="1" w:lastColumn="0" w:oddVBand="0" w:evenVBand="0" w:oddHBand="0" w:evenHBand="0" w:firstRowFirstColumn="0" w:firstRowLastColumn="0" w:lastRowFirstColumn="0" w:lastRowLastColumn="0"/>
            <w:tcW w:w="2126" w:type="dxa"/>
          </w:tcPr>
          <w:p w14:paraId="324B6375" w14:textId="77777777" w:rsidR="007E377E" w:rsidRPr="00515AB9" w:rsidRDefault="007E377E" w:rsidP="00515AB9">
            <w:pPr>
              <w:pStyle w:val="ListParagraph"/>
              <w:spacing w:line="360" w:lineRule="auto"/>
              <w:rPr>
                <w:rFonts w:ascii="Arial" w:hAnsi="Arial" w:cs="Arial"/>
                <w:sz w:val="22"/>
                <w:szCs w:val="22"/>
              </w:rPr>
            </w:pPr>
            <w:r w:rsidRPr="00515AB9">
              <w:rPr>
                <w:rFonts w:ascii="Arial" w:hAnsi="Arial" w:cs="Arial"/>
                <w:sz w:val="22"/>
                <w:szCs w:val="22"/>
              </w:rPr>
              <w:lastRenderedPageBreak/>
              <w:t>Decision-maker / mart</w:t>
            </w:r>
          </w:p>
        </w:tc>
        <w:tc>
          <w:tcPr>
            <w:tcW w:w="3544" w:type="dxa"/>
          </w:tcPr>
          <w:p w14:paraId="1133511B" w14:textId="77777777" w:rsidR="007E377E" w:rsidRPr="00515AB9" w:rsidRDefault="007E377E" w:rsidP="00515AB9">
            <w:pPr>
              <w:pStyle w:val="ListParagraph"/>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Questions and measures</w:t>
            </w:r>
          </w:p>
        </w:tc>
        <w:tc>
          <w:tcPr>
            <w:tcW w:w="3247" w:type="dxa"/>
            <w:tcBorders>
              <w:bottom w:val="single" w:sz="36" w:space="0" w:color="000000" w:themeColor="text1"/>
            </w:tcBorders>
          </w:tcPr>
          <w:p w14:paraId="78BB24DD" w14:textId="77777777" w:rsidR="007E377E" w:rsidRPr="00515AB9" w:rsidRDefault="007E377E" w:rsidP="00515AB9">
            <w:pPr>
              <w:pStyle w:val="ListParagraph"/>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Design and controls</w:t>
            </w:r>
          </w:p>
        </w:tc>
      </w:tr>
      <w:tr w:rsidR="007E377E" w:rsidRPr="00515AB9" w14:paraId="3D88010D" w14:textId="77777777" w:rsidTr="00320563">
        <w:trPr>
          <w:trHeight w:val="3552"/>
        </w:trPr>
        <w:tc>
          <w:tcPr>
            <w:cnfStyle w:val="001000000000" w:firstRow="0" w:lastRow="0" w:firstColumn="1" w:lastColumn="0" w:oddVBand="0" w:evenVBand="0" w:oddHBand="0" w:evenHBand="0" w:firstRowFirstColumn="0" w:firstRowLastColumn="0" w:lastRowFirstColumn="0" w:lastRowLastColumn="0"/>
            <w:tcW w:w="2126" w:type="dxa"/>
          </w:tcPr>
          <w:p w14:paraId="22B84417" w14:textId="77777777" w:rsidR="007E377E" w:rsidRPr="00515AB9" w:rsidRDefault="007E377E" w:rsidP="00515AB9">
            <w:pPr>
              <w:spacing w:line="360" w:lineRule="auto"/>
              <w:rPr>
                <w:rFonts w:ascii="Arial" w:hAnsi="Arial" w:cs="Arial"/>
                <w:sz w:val="22"/>
                <w:szCs w:val="22"/>
              </w:rPr>
            </w:pPr>
            <w:r w:rsidRPr="00515AB9">
              <w:rPr>
                <w:rFonts w:ascii="Arial" w:hAnsi="Arial" w:cs="Arial"/>
                <w:sz w:val="22"/>
                <w:szCs w:val="22"/>
              </w:rPr>
              <w:t>Chief Executive: enterprise performance</w:t>
            </w:r>
          </w:p>
        </w:tc>
        <w:tc>
          <w:tcPr>
            <w:tcW w:w="3544" w:type="dxa"/>
            <w:tcBorders>
              <w:right w:val="single" w:sz="36" w:space="0" w:color="000000" w:themeColor="text1"/>
            </w:tcBorders>
            <w:shd w:val="clear" w:color="auto" w:fill="ACD7CA" w:themeFill="accent3" w:themeFillTint="99"/>
          </w:tcPr>
          <w:p w14:paraId="1218FCD3" w14:textId="77777777" w:rsidR="007E377E" w:rsidRPr="00515AB9" w:rsidRDefault="007E377E" w:rsidP="00515AB9">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Where are flow, waiting, quality, workforce and financial risks converging? Occupancy, long stays, RTT distribution, elective backlog, productivity, cost variance, safety and equity.</w:t>
            </w:r>
          </w:p>
        </w:tc>
        <w:tc>
          <w:tcPr>
            <w:tcW w:w="3247" w:type="dxa"/>
            <w:tcBorders>
              <w:top w:val="single" w:sz="36" w:space="0" w:color="000000" w:themeColor="text1"/>
              <w:left w:val="single" w:sz="36" w:space="0" w:color="000000" w:themeColor="text1"/>
              <w:bottom w:val="single" w:sz="36" w:space="0" w:color="3494BA" w:themeColor="accent1"/>
              <w:right w:val="single" w:sz="36" w:space="0" w:color="000000" w:themeColor="text1"/>
            </w:tcBorders>
          </w:tcPr>
          <w:p w14:paraId="63A7F5A7" w14:textId="32E1B37E" w:rsidR="007E377E" w:rsidRPr="00515AB9" w:rsidRDefault="007E377E" w:rsidP="00515A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Monthly board scorecard with daily exception view; drill from England to region, ICS, Trust and service. Thresholds are versioned</w:t>
            </w:r>
            <w:r w:rsidR="00756A36" w:rsidRPr="00515AB9">
              <w:rPr>
                <w:rFonts w:ascii="Arial" w:hAnsi="Arial" w:cs="Arial"/>
                <w:sz w:val="22"/>
                <w:szCs w:val="22"/>
              </w:rPr>
              <w:t>,</w:t>
            </w:r>
            <w:r w:rsidRPr="00515AB9">
              <w:rPr>
                <w:rFonts w:ascii="Arial" w:hAnsi="Arial" w:cs="Arial"/>
                <w:sz w:val="22"/>
                <w:szCs w:val="22"/>
              </w:rPr>
              <w:t xml:space="preserve"> and comparisons show confidence and completeness.</w:t>
            </w:r>
          </w:p>
        </w:tc>
      </w:tr>
      <w:tr w:rsidR="007E377E" w:rsidRPr="00515AB9" w14:paraId="0FC0E62E" w14:textId="77777777" w:rsidTr="00320563">
        <w:trPr>
          <w:trHeight w:val="3603"/>
        </w:trPr>
        <w:tc>
          <w:tcPr>
            <w:cnfStyle w:val="001000000000" w:firstRow="0" w:lastRow="0" w:firstColumn="1" w:lastColumn="0" w:oddVBand="0" w:evenVBand="0" w:oddHBand="0" w:evenHBand="0" w:firstRowFirstColumn="0" w:firstRowLastColumn="0" w:lastRowFirstColumn="0" w:lastRowLastColumn="0"/>
            <w:tcW w:w="2126" w:type="dxa"/>
          </w:tcPr>
          <w:p w14:paraId="259D3374" w14:textId="77777777" w:rsidR="007E377E" w:rsidRPr="00515AB9" w:rsidRDefault="007E377E" w:rsidP="00515AB9">
            <w:pPr>
              <w:spacing w:line="360" w:lineRule="auto"/>
              <w:rPr>
                <w:rFonts w:ascii="Arial" w:hAnsi="Arial" w:cs="Arial"/>
                <w:sz w:val="22"/>
                <w:szCs w:val="22"/>
              </w:rPr>
            </w:pPr>
            <w:r w:rsidRPr="00515AB9">
              <w:rPr>
                <w:rFonts w:ascii="Arial" w:hAnsi="Arial" w:cs="Arial"/>
                <w:sz w:val="22"/>
                <w:szCs w:val="22"/>
              </w:rPr>
              <w:t>Finance Director: finance and value</w:t>
            </w:r>
          </w:p>
        </w:tc>
        <w:tc>
          <w:tcPr>
            <w:tcW w:w="3544" w:type="dxa"/>
            <w:tcBorders>
              <w:right w:val="single" w:sz="36" w:space="0" w:color="3494BA" w:themeColor="accent1"/>
            </w:tcBorders>
            <w:shd w:val="clear" w:color="auto" w:fill="74B5E4" w:themeFill="accent6" w:themeFillTint="99"/>
          </w:tcPr>
          <w:p w14:paraId="1ACBB9EA" w14:textId="77777777" w:rsidR="007E377E" w:rsidRPr="00515AB9" w:rsidRDefault="007E377E" w:rsidP="00515AB9">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Which providers and pathways overspend? Actual versus budget, tariff income, cost per episode, high-cost drugs/devices, agency spend, theatre cost and unwarranted variation.</w:t>
            </w:r>
          </w:p>
        </w:tc>
        <w:tc>
          <w:tcPr>
            <w:tcW w:w="3247" w:type="dxa"/>
            <w:tcBorders>
              <w:top w:val="single" w:sz="36" w:space="0" w:color="3494BA" w:themeColor="accent1"/>
              <w:left w:val="single" w:sz="36" w:space="0" w:color="3494BA" w:themeColor="accent1"/>
              <w:bottom w:val="single" w:sz="36" w:space="0" w:color="3494BA" w:themeColor="accent1"/>
              <w:right w:val="single" w:sz="36" w:space="0" w:color="3494BA" w:themeColor="accent1"/>
            </w:tcBorders>
          </w:tcPr>
          <w:p w14:paraId="14A81882" w14:textId="77777777" w:rsidR="007E377E" w:rsidRPr="00515AB9" w:rsidRDefault="007E377E" w:rsidP="00515A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Episode-level cost fact linked to ledger and activity; month-close snapshots; restricted payroll detail; reconciled to the general ledger before certification.</w:t>
            </w:r>
          </w:p>
        </w:tc>
      </w:tr>
      <w:tr w:rsidR="007E377E" w:rsidRPr="00515AB9" w14:paraId="7BC2EFCE" w14:textId="77777777" w:rsidTr="00104C08">
        <w:trPr>
          <w:trHeight w:val="4326"/>
        </w:trPr>
        <w:tc>
          <w:tcPr>
            <w:cnfStyle w:val="001000000000" w:firstRow="0" w:lastRow="0" w:firstColumn="1" w:lastColumn="0" w:oddVBand="0" w:evenVBand="0" w:oddHBand="0" w:evenHBand="0" w:firstRowFirstColumn="0" w:firstRowLastColumn="0" w:lastRowFirstColumn="0" w:lastRowLastColumn="0"/>
            <w:tcW w:w="2126" w:type="dxa"/>
          </w:tcPr>
          <w:p w14:paraId="764B39F7" w14:textId="77777777" w:rsidR="007E377E" w:rsidRPr="00515AB9" w:rsidRDefault="007E377E" w:rsidP="00515AB9">
            <w:pPr>
              <w:spacing w:line="360" w:lineRule="auto"/>
              <w:rPr>
                <w:rFonts w:ascii="Arial" w:hAnsi="Arial" w:cs="Arial"/>
                <w:sz w:val="22"/>
                <w:szCs w:val="22"/>
              </w:rPr>
            </w:pPr>
            <w:r w:rsidRPr="00515AB9">
              <w:rPr>
                <w:rFonts w:ascii="Arial" w:hAnsi="Arial" w:cs="Arial"/>
                <w:sz w:val="22"/>
                <w:szCs w:val="22"/>
              </w:rPr>
              <w:t>Medical Director: clinical quality</w:t>
            </w:r>
          </w:p>
        </w:tc>
        <w:tc>
          <w:tcPr>
            <w:tcW w:w="3544" w:type="dxa"/>
            <w:tcBorders>
              <w:right w:val="single" w:sz="36" w:space="0" w:color="FFC000"/>
            </w:tcBorders>
            <w:shd w:val="clear" w:color="auto" w:fill="253848" w:themeFill="background2" w:themeFillShade="40"/>
          </w:tcPr>
          <w:p w14:paraId="3EFBAEF8" w14:textId="65F9954E" w:rsidR="007E377E" w:rsidRPr="00515AB9" w:rsidRDefault="007E377E" w:rsidP="00515AB9">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 xml:space="preserve">Where do outcomes warrant clinical review? Risk-adjusted mortality, 30-day readmission, complications, incidents, infection, diagnostic delay, PROMs and variation by </w:t>
            </w:r>
            <w:r w:rsidR="00756A36" w:rsidRPr="00515AB9">
              <w:rPr>
                <w:rFonts w:ascii="Arial" w:hAnsi="Arial" w:cs="Arial"/>
                <w:sz w:val="22"/>
                <w:szCs w:val="22"/>
              </w:rPr>
              <w:t>speciality</w:t>
            </w:r>
            <w:r w:rsidRPr="00515AB9">
              <w:rPr>
                <w:rFonts w:ascii="Arial" w:hAnsi="Arial" w:cs="Arial"/>
                <w:sz w:val="22"/>
                <w:szCs w:val="22"/>
              </w:rPr>
              <w:t xml:space="preserve"> or patient group.</w:t>
            </w:r>
          </w:p>
        </w:tc>
        <w:tc>
          <w:tcPr>
            <w:tcW w:w="3247" w:type="dxa"/>
            <w:tcBorders>
              <w:top w:val="single" w:sz="36" w:space="0" w:color="3494BA" w:themeColor="accent1"/>
              <w:left w:val="single" w:sz="36" w:space="0" w:color="FFC000"/>
              <w:bottom w:val="single" w:sz="36" w:space="0" w:color="FFC000"/>
              <w:right w:val="single" w:sz="36" w:space="0" w:color="FFC000"/>
            </w:tcBorders>
          </w:tcPr>
          <w:p w14:paraId="58742BD8" w14:textId="77777777" w:rsidR="007E377E" w:rsidRPr="00515AB9" w:rsidRDefault="007E377E" w:rsidP="00515A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15AB9">
              <w:rPr>
                <w:rFonts w:ascii="Arial" w:hAnsi="Arial" w:cs="Arial"/>
                <w:sz w:val="22"/>
                <w:szCs w:val="22"/>
              </w:rPr>
              <w:t>Pseudonymised longitudinal linkage; minimum cohort suppression; diagnosis/procedure groupers; case-mix adjustment; named clinicians see only authorised populations.</w:t>
            </w:r>
          </w:p>
        </w:tc>
      </w:tr>
    </w:tbl>
    <w:p w14:paraId="53E85210" w14:textId="3A778A59" w:rsidR="00756A36" w:rsidRPr="00515AB9" w:rsidRDefault="008E3F8E" w:rsidP="00515AB9">
      <w:pPr>
        <w:pStyle w:val="ListParagraph"/>
        <w:spacing w:line="360" w:lineRule="auto"/>
        <w:rPr>
          <w:rFonts w:ascii="Arial" w:hAnsi="Arial" w:cs="Arial"/>
          <w:sz w:val="22"/>
          <w:szCs w:val="22"/>
        </w:rPr>
      </w:pPr>
      <w:r w:rsidRPr="00515AB9">
        <w:rPr>
          <w:rFonts w:ascii="Arial" w:hAnsi="Arial" w:cs="Arial"/>
          <w:sz w:val="22"/>
          <w:szCs w:val="22"/>
        </w:rPr>
        <w:t>Figure</w:t>
      </w:r>
      <w:r w:rsidR="008E19A1" w:rsidRPr="00515AB9">
        <w:rPr>
          <w:rFonts w:ascii="Arial" w:hAnsi="Arial" w:cs="Arial"/>
          <w:sz w:val="22"/>
          <w:szCs w:val="22"/>
        </w:rPr>
        <w:t xml:space="preserve"> 3. </w:t>
      </w:r>
      <w:r w:rsidR="00A73757" w:rsidRPr="00515AB9">
        <w:rPr>
          <w:rFonts w:ascii="Arial" w:hAnsi="Arial" w:cs="Arial"/>
          <w:sz w:val="22"/>
          <w:szCs w:val="22"/>
        </w:rPr>
        <w:t xml:space="preserve">Design </w:t>
      </w:r>
      <w:r w:rsidR="006017D3" w:rsidRPr="00515AB9">
        <w:rPr>
          <w:rFonts w:ascii="Arial" w:hAnsi="Arial" w:cs="Arial"/>
          <w:sz w:val="22"/>
          <w:szCs w:val="22"/>
        </w:rPr>
        <w:t xml:space="preserve">measures </w:t>
      </w:r>
      <w:r w:rsidR="00A73757" w:rsidRPr="00515AB9">
        <w:rPr>
          <w:rFonts w:ascii="Arial" w:hAnsi="Arial" w:cs="Arial"/>
          <w:sz w:val="22"/>
          <w:szCs w:val="22"/>
        </w:rPr>
        <w:t xml:space="preserve">for different departments </w:t>
      </w:r>
      <w:r w:rsidR="004D3D1D" w:rsidRPr="00515AB9">
        <w:rPr>
          <w:rFonts w:ascii="Arial" w:hAnsi="Arial" w:cs="Arial"/>
          <w:sz w:val="22"/>
          <w:szCs w:val="22"/>
        </w:rPr>
        <w:t>for data mart.</w:t>
      </w:r>
      <w:r w:rsidR="00946C4A" w:rsidRPr="00515AB9">
        <w:rPr>
          <w:rFonts w:ascii="Arial" w:hAnsi="Arial" w:cs="Arial"/>
          <w:sz w:val="22"/>
          <w:szCs w:val="22"/>
        </w:rPr>
        <w:t xml:space="preserve"> </w:t>
      </w:r>
      <w:sdt>
        <w:sdtPr>
          <w:rPr>
            <w:rFonts w:ascii="Arial" w:hAnsi="Arial" w:cs="Arial"/>
            <w:sz w:val="22"/>
            <w:szCs w:val="22"/>
            <w:highlight w:val="white"/>
          </w:rPr>
          <w:alias w:val="Citation"/>
          <w:tag w:val="{&quot;referencesIds&quot;:[&quot;doc:6a4ac5cfb985201187045af8&quot;],&quot;referencesOptions&quot;:{&quot;doc:6a4ac5cfb985201187045a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3799260"/>
          <w:placeholder>
            <w:docPart w:val="28853C7AAFBE4C8887ADC0F6810D719E"/>
          </w:placeholder>
        </w:sdtPr>
        <w:sdtContent>
          <w:r w:rsidR="00DE7B3F" w:rsidRPr="00515AB9">
            <w:rPr>
              <w:rFonts w:ascii="Arial" w:eastAsia="Times New Roman" w:hAnsi="Arial" w:cs="Arial"/>
              <w:color w:val="000000"/>
              <w:sz w:val="22"/>
              <w:szCs w:val="22"/>
            </w:rPr>
            <w:t>[9]</w:t>
          </w:r>
        </w:sdtContent>
      </w:sdt>
    </w:p>
    <w:p w14:paraId="0ECEB5B3" w14:textId="2D93151F" w:rsidR="006B4D06" w:rsidRPr="00515AB9" w:rsidRDefault="006B4D06" w:rsidP="00515AB9">
      <w:pPr>
        <w:spacing w:line="360" w:lineRule="auto"/>
        <w:rPr>
          <w:rFonts w:ascii="Arial" w:hAnsi="Arial" w:cs="Arial"/>
          <w:sz w:val="22"/>
          <w:szCs w:val="22"/>
          <w:lang w:val="en-US"/>
        </w:rPr>
      </w:pPr>
    </w:p>
    <w:p w14:paraId="674F46F4" w14:textId="1A0E3BBB" w:rsidR="00037B46" w:rsidRPr="00515AB9" w:rsidRDefault="002D7D50"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lastRenderedPageBreak/>
        <w:t xml:space="preserve">For the Chief Executive, the mart should highlight cross-domain relationships rather than encourage target gaming: for example, whether high occupancy and agency use coincide with delayed discharge and readmission. The Finance Director needs auditable reconciliation and period </w:t>
      </w:r>
      <w:proofErr w:type="gramStart"/>
      <w:r w:rsidRPr="00515AB9">
        <w:rPr>
          <w:rFonts w:ascii="Arial" w:hAnsi="Arial" w:cs="Arial"/>
          <w:sz w:val="22"/>
          <w:szCs w:val="22"/>
          <w:lang w:val="en-US"/>
        </w:rPr>
        <w:t>locking, because</w:t>
      </w:r>
      <w:proofErr w:type="gramEnd"/>
      <w:r w:rsidRPr="00515AB9">
        <w:rPr>
          <w:rFonts w:ascii="Arial" w:hAnsi="Arial" w:cs="Arial"/>
          <w:sz w:val="22"/>
          <w:szCs w:val="22"/>
          <w:lang w:val="en-US"/>
        </w:rPr>
        <w:t xml:space="preserve"> estimates suitable for operations are not necessarily suitable for statutory reporting. The Medical Director needs patient-level drill-through for authorised quality investigation, but population dashboards should suppress small cells and display uncertainty. All three should see data currency, lineage and a named metric owner. This combination of common facts and audience-specific presentation prevents the familiar problem of three executives arriving with three versions of the same KPI.</w:t>
      </w:r>
    </w:p>
    <w:p w14:paraId="0699D767" w14:textId="77777777" w:rsidR="00FE372A" w:rsidRPr="00515AB9" w:rsidRDefault="00FE372A" w:rsidP="00515AB9">
      <w:pPr>
        <w:spacing w:line="360" w:lineRule="auto"/>
        <w:rPr>
          <w:rFonts w:ascii="Arial" w:hAnsi="Arial" w:cs="Arial"/>
          <w:sz w:val="22"/>
          <w:szCs w:val="22"/>
          <w:lang w:val="en-US"/>
        </w:rPr>
      </w:pPr>
    </w:p>
    <w:p w14:paraId="798916D8" w14:textId="7CD4734A" w:rsidR="004401DF" w:rsidRPr="00515AB9" w:rsidRDefault="00980505" w:rsidP="00515AB9">
      <w:pPr>
        <w:pStyle w:val="Heading2"/>
        <w:numPr>
          <w:ilvl w:val="1"/>
          <w:numId w:val="17"/>
        </w:numPr>
        <w:spacing w:line="360" w:lineRule="auto"/>
        <w:rPr>
          <w:rFonts w:ascii="Arial" w:hAnsi="Arial" w:cs="Arial"/>
          <w:b/>
          <w:bCs/>
          <w:color w:val="auto"/>
          <w:sz w:val="22"/>
          <w:szCs w:val="22"/>
          <w:lang w:val="en-US"/>
        </w:rPr>
      </w:pPr>
      <w:bookmarkStart w:id="6" w:name="_Toc236712619"/>
      <w:r w:rsidRPr="00515AB9">
        <w:rPr>
          <w:rFonts w:ascii="Arial" w:hAnsi="Arial" w:cs="Arial"/>
          <w:b/>
          <w:bCs/>
          <w:color w:val="auto"/>
          <w:sz w:val="22"/>
          <w:szCs w:val="22"/>
        </w:rPr>
        <w:t>OLTP Normalisation vs. Data Warehouse Dimensional Modelling</w:t>
      </w:r>
      <w:bookmarkEnd w:id="6"/>
    </w:p>
    <w:p w14:paraId="1920D406" w14:textId="77777777" w:rsidR="00736966" w:rsidRPr="00515AB9" w:rsidRDefault="00736966" w:rsidP="00515AB9">
      <w:pPr>
        <w:pStyle w:val="ListParagraph"/>
        <w:spacing w:line="360" w:lineRule="auto"/>
        <w:ind w:left="1440"/>
        <w:rPr>
          <w:rFonts w:ascii="Arial" w:hAnsi="Arial" w:cs="Arial"/>
          <w:sz w:val="22"/>
          <w:szCs w:val="22"/>
          <w:lang w:val="en-US"/>
        </w:rPr>
      </w:pPr>
    </w:p>
    <w:p w14:paraId="738AA94E" w14:textId="6FF22B27" w:rsidR="002F0C8E" w:rsidRPr="00515AB9" w:rsidRDefault="002F0C8E" w:rsidP="00515AB9">
      <w:pPr>
        <w:pStyle w:val="ListParagraph"/>
        <w:spacing w:line="360" w:lineRule="auto"/>
        <w:rPr>
          <w:rFonts w:ascii="Arial" w:hAnsi="Arial" w:cs="Arial"/>
          <w:sz w:val="22"/>
          <w:szCs w:val="22"/>
          <w:lang w:val="en-US"/>
        </w:rPr>
      </w:pPr>
      <w:r w:rsidRPr="00515AB9">
        <w:rPr>
          <w:rFonts w:ascii="Arial" w:hAnsi="Arial" w:cs="Arial"/>
          <w:sz w:val="22"/>
          <w:szCs w:val="22"/>
        </w:rPr>
        <w:t xml:space="preserve">A normalised OLTP database stores patients, addresses, admissions, diagnoses, procedures, wards, and staff in separate linked tables, usually in 3NF. This avoids repeating data and makes updates easier—for example, a ward name only needs changing once. However, it can make reporting more complicated because national analysis may need lots of joins across different systems. It can also lose historical details when old information is overwritten. </w:t>
      </w:r>
      <w:r w:rsidR="00564618" w:rsidRPr="00515AB9">
        <w:rPr>
          <w:rFonts w:ascii="Arial" w:hAnsi="Arial" w:cs="Arial"/>
          <w:sz w:val="22"/>
          <w:szCs w:val="22"/>
        </w:rPr>
        <w:t>However, dimensional modelling uses a simple star layout, making large datasets easier and quicker to report on and analyse.</w:t>
      </w:r>
    </w:p>
    <w:p w14:paraId="06DFC4BE" w14:textId="3CB292BE" w:rsidR="00925A66" w:rsidRPr="00515AB9" w:rsidRDefault="00925A66" w:rsidP="00515AB9">
      <w:pPr>
        <w:pStyle w:val="ListParagraph"/>
        <w:spacing w:line="360" w:lineRule="auto"/>
        <w:rPr>
          <w:rFonts w:ascii="Arial" w:hAnsi="Arial" w:cs="Arial"/>
          <w:sz w:val="22"/>
          <w:szCs w:val="22"/>
          <w:lang w:val="en-US"/>
        </w:rPr>
      </w:pPr>
      <w:r w:rsidRPr="00515AB9">
        <w:rPr>
          <w:rFonts w:ascii="Arial" w:hAnsi="Arial" w:cs="Arial"/>
          <w:sz w:val="22"/>
          <w:szCs w:val="22"/>
          <w:lang w:val="en-US"/>
        </w:rPr>
        <w:t>“</w:t>
      </w:r>
      <w:r w:rsidRPr="00515AB9">
        <w:rPr>
          <w:rFonts w:ascii="Arial" w:hAnsi="Arial" w:cs="Arial"/>
          <w:sz w:val="22"/>
          <w:szCs w:val="22"/>
        </w:rPr>
        <w:t>Third normal form (3NF), defined in 1971 by Edgar F. Codd, is a set of requirements for database schemas to reduce the duplication of data, avoid data anomalies, ensure referential integrity, and simplify data management. It basically says that any given table only contains fields that are attributes of the primary key.</w:t>
      </w:r>
      <w:r w:rsidRPr="00515AB9">
        <w:rPr>
          <w:rFonts w:ascii="Arial" w:hAnsi="Arial" w:cs="Arial"/>
          <w:sz w:val="22"/>
          <w:szCs w:val="22"/>
        </w:rPr>
        <w:t>”</w:t>
      </w:r>
      <w:r w:rsidR="00D20F47" w:rsidRPr="00515AB9">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4ac06ae934bc744cbfaf93&quot;],&quot;referencesOptions&quot;:{&quot;doc:6a4ac06ae934bc744cbfa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6847125"/>
          <w:placeholder>
            <w:docPart w:val="CE003AC03E544614B9383D8BE37A72D2"/>
          </w:placeholder>
        </w:sdtPr>
        <w:sdtContent>
          <w:r w:rsidR="00DE7B3F" w:rsidRPr="00515AB9">
            <w:rPr>
              <w:rFonts w:ascii="Arial" w:eastAsia="Times New Roman" w:hAnsi="Arial" w:cs="Arial"/>
              <w:color w:val="000000"/>
              <w:sz w:val="22"/>
              <w:szCs w:val="22"/>
            </w:rPr>
            <w:t>[2]</w:t>
          </w:r>
        </w:sdtContent>
      </w:sdt>
      <w:r w:rsidR="00D20F47" w:rsidRPr="00515AB9">
        <w:rPr>
          <w:rFonts w:ascii="Arial" w:hAnsi="Arial" w:cs="Arial"/>
          <w:sz w:val="22"/>
          <w:szCs w:val="22"/>
          <w:lang w:val="en-US"/>
        </w:rPr>
        <w:t xml:space="preserve">                                    </w:t>
      </w:r>
    </w:p>
    <w:p w14:paraId="6834BEFD" w14:textId="77777777" w:rsidR="00E500DF" w:rsidRPr="00515AB9" w:rsidRDefault="00511977" w:rsidP="00515AB9">
      <w:pPr>
        <w:pStyle w:val="ListParagraph"/>
        <w:spacing w:line="360" w:lineRule="auto"/>
        <w:rPr>
          <w:rFonts w:ascii="Arial" w:hAnsi="Arial" w:cs="Arial"/>
          <w:sz w:val="22"/>
          <w:szCs w:val="22"/>
        </w:rPr>
      </w:pPr>
      <w:r w:rsidRPr="00515AB9">
        <w:rPr>
          <w:rFonts w:ascii="Arial" w:hAnsi="Arial" w:cs="Arial"/>
          <w:sz w:val="22"/>
          <w:szCs w:val="22"/>
          <w:lang w:val="en-US"/>
        </w:rPr>
        <w:t xml:space="preserve">A fact table records a business event at a declared grain and </w:t>
      </w:r>
      <w:proofErr w:type="gramStart"/>
      <w:r w:rsidRPr="00515AB9">
        <w:rPr>
          <w:rFonts w:ascii="Arial" w:hAnsi="Arial" w:cs="Arial"/>
          <w:sz w:val="22"/>
          <w:szCs w:val="22"/>
          <w:lang w:val="en-US"/>
        </w:rPr>
        <w:t>contains</w:t>
      </w:r>
      <w:proofErr w:type="gramEnd"/>
      <w:r w:rsidRPr="00515AB9">
        <w:rPr>
          <w:rFonts w:ascii="Arial" w:hAnsi="Arial" w:cs="Arial"/>
          <w:sz w:val="22"/>
          <w:szCs w:val="22"/>
          <w:lang w:val="en-US"/>
        </w:rPr>
        <w:t xml:space="preserve"> foreign keys plus numeric or additive measures</w:t>
      </w:r>
      <w:proofErr w:type="gramStart"/>
      <w:r w:rsidRPr="00515AB9">
        <w:rPr>
          <w:rFonts w:ascii="Arial" w:hAnsi="Arial" w:cs="Arial"/>
          <w:sz w:val="22"/>
          <w:szCs w:val="22"/>
          <w:lang w:val="en-US"/>
        </w:rPr>
        <w:t xml:space="preserve">. </w:t>
      </w:r>
      <w:r w:rsidR="00F02806" w:rsidRPr="00515AB9">
        <w:rPr>
          <w:rFonts w:ascii="Arial" w:hAnsi="Arial" w:cs="Arial"/>
          <w:sz w:val="22"/>
          <w:szCs w:val="22"/>
          <w:lang w:val="en-US"/>
        </w:rPr>
        <w:t xml:space="preserve"> </w:t>
      </w:r>
      <w:proofErr w:type="gramEnd"/>
      <w:r w:rsidR="00F02806" w:rsidRPr="00515AB9">
        <w:rPr>
          <w:rFonts w:ascii="Arial" w:hAnsi="Arial" w:cs="Arial"/>
          <w:sz w:val="22"/>
          <w:szCs w:val="22"/>
          <w:lang w:val="en-US"/>
        </w:rPr>
        <w:t xml:space="preserve">                                                                                                     </w:t>
      </w:r>
      <w:r w:rsidRPr="00515AB9">
        <w:rPr>
          <w:rFonts w:ascii="Arial" w:hAnsi="Arial" w:cs="Arial"/>
          <w:sz w:val="22"/>
          <w:szCs w:val="22"/>
          <w:lang w:val="en-US"/>
        </w:rPr>
        <w:t>Surrounding dimensions provide descriptive filters</w:t>
      </w:r>
      <w:proofErr w:type="gramStart"/>
      <w:r w:rsidRPr="00515AB9">
        <w:rPr>
          <w:rFonts w:ascii="Arial" w:hAnsi="Arial" w:cs="Arial"/>
          <w:sz w:val="22"/>
          <w:szCs w:val="22"/>
          <w:lang w:val="en-US"/>
        </w:rPr>
        <w:t xml:space="preserve">. </w:t>
      </w:r>
      <w:r w:rsidR="00AE1643" w:rsidRPr="00515AB9">
        <w:rPr>
          <w:rFonts w:ascii="Arial" w:hAnsi="Arial" w:cs="Arial"/>
          <w:sz w:val="22"/>
          <w:szCs w:val="22"/>
          <w:lang w:val="en-US"/>
        </w:rPr>
        <w:t xml:space="preserve"> </w:t>
      </w:r>
      <w:proofErr w:type="gramEnd"/>
      <w:r w:rsidR="00AE1643" w:rsidRPr="00515AB9">
        <w:rPr>
          <w:rFonts w:ascii="Arial" w:hAnsi="Arial" w:cs="Arial"/>
          <w:sz w:val="22"/>
          <w:szCs w:val="22"/>
          <w:lang w:val="en-US"/>
        </w:rPr>
        <w:t xml:space="preserve">                                                                         </w:t>
      </w:r>
      <w:r w:rsidRPr="00515AB9">
        <w:rPr>
          <w:rFonts w:ascii="Arial" w:hAnsi="Arial" w:cs="Arial"/>
          <w:sz w:val="22"/>
          <w:szCs w:val="22"/>
          <w:lang w:val="en-US"/>
        </w:rPr>
        <w:t xml:space="preserve">In Figure </w:t>
      </w:r>
      <w:r w:rsidR="00584B3C" w:rsidRPr="00515AB9">
        <w:rPr>
          <w:rFonts w:ascii="Arial" w:hAnsi="Arial" w:cs="Arial"/>
          <w:sz w:val="22"/>
          <w:szCs w:val="22"/>
          <w:lang w:val="en-US"/>
        </w:rPr>
        <w:t>4</w:t>
      </w:r>
      <w:r w:rsidRPr="00515AB9">
        <w:rPr>
          <w:rFonts w:ascii="Arial" w:hAnsi="Arial" w:cs="Arial"/>
          <w:sz w:val="22"/>
          <w:szCs w:val="22"/>
          <w:lang w:val="en-US"/>
        </w:rPr>
        <w:t xml:space="preserve">, one row in FACT_CARE_EPISODE </w:t>
      </w:r>
      <w:proofErr w:type="gramStart"/>
      <w:r w:rsidRPr="00515AB9">
        <w:rPr>
          <w:rFonts w:ascii="Arial" w:hAnsi="Arial" w:cs="Arial"/>
          <w:sz w:val="22"/>
          <w:szCs w:val="22"/>
          <w:lang w:val="en-US"/>
        </w:rPr>
        <w:t>represents</w:t>
      </w:r>
      <w:proofErr w:type="gramEnd"/>
      <w:r w:rsidRPr="00515AB9">
        <w:rPr>
          <w:rFonts w:ascii="Arial" w:hAnsi="Arial" w:cs="Arial"/>
          <w:sz w:val="22"/>
          <w:szCs w:val="22"/>
          <w:lang w:val="en-US"/>
        </w:rPr>
        <w:t xml:space="preserve"> one inpatient or outpatient episode; measures include length of stay, actual cost and tariff, while dimensions describe the patient, dates, organisation, service, diagnosis, procedure and responsible staff. </w:t>
      </w:r>
      <w:r w:rsidR="00E500DF" w:rsidRPr="00515AB9">
        <w:rPr>
          <w:rFonts w:ascii="Arial" w:hAnsi="Arial" w:cs="Arial"/>
          <w:sz w:val="22"/>
          <w:szCs w:val="22"/>
        </w:rPr>
        <w:t>Surrogate keys keep reporting stable even when the original source IDs change.</w:t>
      </w:r>
    </w:p>
    <w:p w14:paraId="5A498B88" w14:textId="541BDF8A" w:rsidR="00037B46" w:rsidRPr="00515AB9" w:rsidRDefault="00D20F47" w:rsidP="00515AB9">
      <w:pPr>
        <w:pStyle w:val="ListParagraph"/>
        <w:spacing w:line="360" w:lineRule="auto"/>
        <w:rPr>
          <w:rFonts w:ascii="Arial" w:hAnsi="Arial" w:cs="Arial"/>
          <w:sz w:val="22"/>
          <w:szCs w:val="22"/>
          <w:lang w:val="en-US"/>
        </w:rPr>
      </w:pPr>
      <w:r w:rsidRPr="00515AB9">
        <w:rPr>
          <w:rFonts w:ascii="Arial" w:hAnsi="Arial" w:cs="Arial"/>
          <w:noProof/>
          <w:sz w:val="22"/>
          <w:szCs w:val="22"/>
        </w:rPr>
        <w:lastRenderedPageBreak/>
        <w:drawing>
          <wp:inline distT="0" distB="0" distL="0" distR="0" wp14:anchorId="6B32D4DA" wp14:editId="3FA1E243">
            <wp:extent cx="4837866" cy="4343400"/>
            <wp:effectExtent l="171450" t="171450" r="191770" b="171450"/>
            <wp:docPr id="532026872" name="Picture 3">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26872" name="Picture 3">
                      <a:hlinkClick r:id="rId12"/>
                    </pic:cNvP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91851" cy="439186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245633" w:rsidRPr="00515AB9">
        <w:rPr>
          <w:rFonts w:ascii="Arial" w:hAnsi="Arial" w:cs="Arial"/>
          <w:sz w:val="22"/>
          <w:szCs w:val="22"/>
          <w:lang w:val="en-US"/>
        </w:rPr>
        <w:t xml:space="preserve">       </w:t>
      </w:r>
      <w:r w:rsidR="0079175C" w:rsidRPr="00515AB9">
        <w:rPr>
          <w:rFonts w:ascii="Arial" w:hAnsi="Arial" w:cs="Arial"/>
          <w:sz w:val="22"/>
          <w:szCs w:val="22"/>
          <w:lang w:val="en-US"/>
        </w:rPr>
        <w:t xml:space="preserve">Figure </w:t>
      </w:r>
      <w:r w:rsidR="00584B3C" w:rsidRPr="00515AB9">
        <w:rPr>
          <w:rFonts w:ascii="Arial" w:hAnsi="Arial" w:cs="Arial"/>
          <w:sz w:val="22"/>
          <w:szCs w:val="22"/>
          <w:lang w:val="en-US"/>
        </w:rPr>
        <w:t>4.</w:t>
      </w:r>
      <w:r w:rsidR="0079175C" w:rsidRPr="00515AB9">
        <w:rPr>
          <w:rFonts w:ascii="Arial" w:hAnsi="Arial" w:cs="Arial"/>
          <w:sz w:val="22"/>
          <w:szCs w:val="22"/>
          <w:lang w:val="en-US"/>
        </w:rPr>
        <w:t xml:space="preserve"> Patient-activity star schema (author's design).</w:t>
      </w:r>
      <w:r w:rsidR="0001499A" w:rsidRPr="00515AB9">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2723810"/>
          <w:placeholder>
            <w:docPart w:val="146D996387C04A70ACF32699C40EF7BF"/>
          </w:placeholder>
        </w:sdtPr>
        <w:sdtContent>
          <w:r w:rsidR="00DE7B3F" w:rsidRPr="00515AB9">
            <w:rPr>
              <w:rFonts w:ascii="Arial" w:eastAsia="Times New Roman" w:hAnsi="Arial" w:cs="Arial"/>
              <w:color w:val="000000"/>
              <w:sz w:val="22"/>
              <w:szCs w:val="22"/>
            </w:rPr>
            <w:t>[10]</w:t>
          </w:r>
        </w:sdtContent>
      </w:sdt>
    </w:p>
    <w:p w14:paraId="54BF50D5" w14:textId="77777777" w:rsidR="000B5952" w:rsidRPr="00515AB9" w:rsidRDefault="000B5952" w:rsidP="00515AB9">
      <w:pPr>
        <w:pStyle w:val="ListParagraph"/>
        <w:spacing w:line="360" w:lineRule="auto"/>
        <w:rPr>
          <w:rFonts w:ascii="Arial" w:hAnsi="Arial" w:cs="Arial"/>
          <w:sz w:val="22"/>
          <w:szCs w:val="22"/>
          <w:lang w:val="en-US"/>
        </w:rPr>
      </w:pPr>
    </w:p>
    <w:p w14:paraId="177ADB6A" w14:textId="77777777" w:rsidR="000B5952" w:rsidRPr="00515AB9" w:rsidRDefault="000B5952" w:rsidP="00515AB9">
      <w:pPr>
        <w:pStyle w:val="ListParagraph"/>
        <w:spacing w:line="360" w:lineRule="auto"/>
        <w:rPr>
          <w:rFonts w:ascii="Arial" w:hAnsi="Arial" w:cs="Arial"/>
          <w:sz w:val="22"/>
          <w:szCs w:val="22"/>
          <w:lang w:val="en-US"/>
        </w:rPr>
      </w:pPr>
    </w:p>
    <w:p w14:paraId="25D1223E" w14:textId="391BF258" w:rsidR="00816E95" w:rsidRPr="00515AB9" w:rsidRDefault="0046013A" w:rsidP="00515AB9">
      <w:pPr>
        <w:pStyle w:val="ListParagraph"/>
        <w:spacing w:line="360" w:lineRule="auto"/>
        <w:rPr>
          <w:rFonts w:ascii="Arial" w:hAnsi="Arial" w:cs="Arial"/>
          <w:sz w:val="22"/>
          <w:szCs w:val="22"/>
        </w:rPr>
      </w:pPr>
      <w:r w:rsidRPr="00515AB9">
        <w:rPr>
          <w:rFonts w:ascii="Arial" w:hAnsi="Arial" w:cs="Arial"/>
          <w:sz w:val="22"/>
          <w:szCs w:val="22"/>
        </w:rPr>
        <w:t>Denormalisation can repeat some data, but it makes the warehouse simpler and faster to use. It still needs clear rules. Each fact table should represent one type of record, such as one care episode, bed snapshot, staff shift, or waiting pathway. When one episode has several diagnoses, a bridge table or separate diagnosis fact table can manage them. Shared dimensions then help different NHS services be compared safely</w:t>
      </w:r>
      <w:r w:rsidRPr="00515AB9">
        <w:rPr>
          <w:rFonts w:ascii="Arial" w:hAnsi="Arial" w:cs="Arial"/>
          <w:sz w:val="22"/>
          <w:szCs w:val="22"/>
        </w:rPr>
        <w:t>.</w:t>
      </w:r>
    </w:p>
    <w:p w14:paraId="2060BDB4" w14:textId="30051A65" w:rsidR="00C76F83" w:rsidRPr="00DD0FAA" w:rsidRDefault="00C76F83" w:rsidP="00DD0FAA">
      <w:pPr>
        <w:pStyle w:val="ListParagraph"/>
        <w:spacing w:line="360" w:lineRule="auto"/>
        <w:rPr>
          <w:rFonts w:ascii="Arial" w:hAnsi="Arial" w:cs="Arial"/>
          <w:sz w:val="22"/>
          <w:szCs w:val="22"/>
        </w:rPr>
      </w:pPr>
      <w:r w:rsidRPr="00515AB9">
        <w:rPr>
          <w:rFonts w:ascii="Arial" w:hAnsi="Arial" w:cs="Arial"/>
          <w:sz w:val="22"/>
          <w:szCs w:val="22"/>
        </w:rPr>
        <w:t>“Dimensional</w:t>
      </w:r>
      <w:r w:rsidR="00B326DD" w:rsidRPr="00515AB9">
        <w:rPr>
          <w:rFonts w:ascii="Arial" w:hAnsi="Arial" w:cs="Arial"/>
          <w:sz w:val="22"/>
          <w:szCs w:val="22"/>
        </w:rPr>
        <w:t xml:space="preserve"> data model commonly used in data warehousing systems as star schema, snowflake schema and fact constellation/galaxy schema. This is various from the third normal form, usually used for </w:t>
      </w:r>
      <w:r w:rsidR="00F10901" w:rsidRPr="00515AB9">
        <w:rPr>
          <w:rFonts w:ascii="Arial" w:hAnsi="Arial" w:cs="Arial"/>
          <w:sz w:val="22"/>
          <w:szCs w:val="22"/>
        </w:rPr>
        <w:t>Online</w:t>
      </w:r>
      <w:r w:rsidR="00B326DD" w:rsidRPr="00515AB9">
        <w:rPr>
          <w:rFonts w:ascii="Arial" w:hAnsi="Arial" w:cs="Arial"/>
          <w:sz w:val="22"/>
          <w:szCs w:val="22"/>
        </w:rPr>
        <w:t xml:space="preserve"> Transactional Processing (OLTP) systems. As can imagine, the same data would be saved variously in a dimensional model from a third normal form model</w:t>
      </w:r>
      <w:r w:rsidR="00B326DD" w:rsidRPr="00515AB9">
        <w:rPr>
          <w:rFonts w:ascii="Arial" w:hAnsi="Arial" w:cs="Arial"/>
          <w:sz w:val="22"/>
          <w:szCs w:val="22"/>
        </w:rPr>
        <w:t xml:space="preserve">. “ </w:t>
      </w:r>
      <w:sdt>
        <w:sdtPr>
          <w:rPr>
            <w:rFonts w:ascii="Arial" w:hAnsi="Arial" w:cs="Arial"/>
            <w:color w:val="000000"/>
            <w:sz w:val="22"/>
            <w:szCs w:val="22"/>
            <w:highlight w:val="white"/>
          </w:rPr>
          <w:alias w:val="Citation"/>
          <w:tag w:val="{&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8663728"/>
          <w:placeholder>
            <w:docPart w:val="3D4B4A7072A1477E8A081EA4103E2703"/>
          </w:placeholder>
        </w:sdtPr>
        <w:sdtContent>
          <w:r w:rsidR="00DE7B3F" w:rsidRPr="00515AB9">
            <w:rPr>
              <w:rFonts w:ascii="Arial" w:eastAsia="Times New Roman" w:hAnsi="Arial" w:cs="Arial"/>
              <w:color w:val="000000"/>
              <w:sz w:val="22"/>
              <w:szCs w:val="22"/>
            </w:rPr>
            <w:t>[7]</w:t>
          </w:r>
        </w:sdtContent>
      </w:sdt>
    </w:p>
    <w:p w14:paraId="44CFE09A" w14:textId="77777777" w:rsidR="00DD0FAA" w:rsidRDefault="00DD0FAA" w:rsidP="00515AB9">
      <w:pPr>
        <w:pStyle w:val="Heading1"/>
        <w:spacing w:line="360" w:lineRule="auto"/>
        <w:jc w:val="center"/>
        <w:rPr>
          <w:rFonts w:ascii="Arial" w:hAnsi="Arial" w:cs="Arial"/>
          <w:b/>
          <w:bCs/>
          <w:color w:val="auto"/>
          <w:sz w:val="22"/>
          <w:szCs w:val="22"/>
        </w:rPr>
      </w:pPr>
    </w:p>
    <w:p w14:paraId="2F86B612" w14:textId="3F6946DA" w:rsidR="00816E95" w:rsidRPr="00515AB9" w:rsidRDefault="003429CC" w:rsidP="00515AB9">
      <w:pPr>
        <w:pStyle w:val="Heading1"/>
        <w:spacing w:line="360" w:lineRule="auto"/>
        <w:jc w:val="center"/>
        <w:rPr>
          <w:rFonts w:ascii="Arial" w:hAnsi="Arial" w:cs="Arial"/>
          <w:b/>
          <w:bCs/>
          <w:color w:val="auto"/>
          <w:sz w:val="22"/>
          <w:szCs w:val="22"/>
        </w:rPr>
      </w:pPr>
      <w:bookmarkStart w:id="7" w:name="_Toc236712620"/>
      <w:r w:rsidRPr="00515AB9">
        <w:rPr>
          <w:rFonts w:ascii="Arial" w:hAnsi="Arial" w:cs="Arial"/>
          <w:b/>
          <w:bCs/>
          <w:color w:val="auto"/>
          <w:sz w:val="22"/>
          <w:szCs w:val="22"/>
        </w:rPr>
        <w:t>Task 2. Star schema and implementation plan</w:t>
      </w:r>
      <w:bookmarkEnd w:id="7"/>
    </w:p>
    <w:p w14:paraId="4E66F481" w14:textId="77777777" w:rsidR="00816E95" w:rsidRPr="00515AB9" w:rsidRDefault="00816E95" w:rsidP="00515AB9">
      <w:pPr>
        <w:spacing w:line="360" w:lineRule="auto"/>
        <w:rPr>
          <w:rFonts w:ascii="Arial" w:hAnsi="Arial" w:cs="Arial"/>
          <w:sz w:val="22"/>
          <w:szCs w:val="22"/>
        </w:rPr>
      </w:pPr>
    </w:p>
    <w:p w14:paraId="59AEB4AC" w14:textId="55777CBF" w:rsidR="00816E95" w:rsidRPr="00515AB9" w:rsidRDefault="003C407C" w:rsidP="00515AB9">
      <w:pPr>
        <w:pStyle w:val="Heading2"/>
        <w:spacing w:line="360" w:lineRule="auto"/>
        <w:jc w:val="center"/>
        <w:rPr>
          <w:rFonts w:ascii="Arial" w:hAnsi="Arial" w:cs="Arial"/>
          <w:b/>
          <w:bCs/>
          <w:color w:val="auto"/>
          <w:sz w:val="22"/>
          <w:szCs w:val="22"/>
        </w:rPr>
      </w:pPr>
      <w:bookmarkStart w:id="8" w:name="_Toc236712621"/>
      <w:r w:rsidRPr="00515AB9">
        <w:rPr>
          <w:rFonts w:ascii="Arial" w:hAnsi="Arial" w:cs="Arial"/>
          <w:b/>
          <w:bCs/>
          <w:color w:val="auto"/>
          <w:sz w:val="22"/>
          <w:szCs w:val="22"/>
        </w:rPr>
        <w:t>2.1 Source system identification</w:t>
      </w:r>
      <w:bookmarkEnd w:id="8"/>
    </w:p>
    <w:p w14:paraId="77EBA30E" w14:textId="77777777" w:rsidR="003C407C" w:rsidRPr="00515AB9" w:rsidRDefault="003C407C" w:rsidP="00515AB9">
      <w:pPr>
        <w:spacing w:line="360" w:lineRule="auto"/>
        <w:rPr>
          <w:rFonts w:ascii="Arial" w:hAnsi="Arial" w:cs="Arial"/>
          <w:sz w:val="22"/>
          <w:szCs w:val="22"/>
        </w:rPr>
      </w:pPr>
    </w:p>
    <w:p w14:paraId="737F4B50" w14:textId="77777777" w:rsidR="00561BDD" w:rsidRPr="00DD0FAA" w:rsidRDefault="00561BDD" w:rsidP="00DD0FAA">
      <w:pPr>
        <w:pStyle w:val="ListParagraph"/>
        <w:spacing w:line="360" w:lineRule="auto"/>
        <w:rPr>
          <w:rFonts w:ascii="Arial" w:hAnsi="Arial" w:cs="Arial"/>
          <w:sz w:val="22"/>
          <w:szCs w:val="22"/>
        </w:rPr>
      </w:pPr>
      <w:r w:rsidRPr="00DD0FAA">
        <w:rPr>
          <w:rFonts w:ascii="Arial" w:hAnsi="Arial" w:cs="Arial"/>
          <w:sz w:val="22"/>
          <w:szCs w:val="22"/>
        </w:rPr>
        <w:t>The warehouse should only collect data that is needed for clear NHS purposes. Internal data sources should cover the patient journey and the resources used to deliver care. External data sources should provide reference, population and regulatory information.</w:t>
      </w:r>
    </w:p>
    <w:p w14:paraId="7579439B" w14:textId="77777777" w:rsidR="00561BDD" w:rsidRPr="00DD0FAA" w:rsidRDefault="00561BDD" w:rsidP="00DD0FAA">
      <w:pPr>
        <w:pStyle w:val="ListParagraph"/>
        <w:spacing w:line="360" w:lineRule="auto"/>
        <w:rPr>
          <w:rFonts w:ascii="Arial" w:hAnsi="Arial" w:cs="Arial"/>
          <w:sz w:val="22"/>
          <w:szCs w:val="22"/>
        </w:rPr>
      </w:pPr>
      <w:r w:rsidRPr="00DD0FAA">
        <w:rPr>
          <w:rFonts w:ascii="Arial" w:hAnsi="Arial" w:cs="Arial"/>
          <w:sz w:val="22"/>
          <w:szCs w:val="22"/>
        </w:rPr>
        <w:t>Each data source should have a named owner, a lawful reason for use, a data-sharing agreement, a refresh schedule and checks to confirm totals are correct. Differences between local NHS Trust systems should also be reviewed before applying national data mappings.</w:t>
      </w:r>
    </w:p>
    <w:tbl>
      <w:tblPr>
        <w:tblStyle w:val="TableGrid"/>
        <w:tblW w:w="8622" w:type="dxa"/>
        <w:tblInd w:w="701" w:type="dxa"/>
        <w:tblBorders>
          <w:top w:val="single" w:sz="6" w:space="0" w:color="D0D7DE"/>
          <w:left w:val="single" w:sz="6" w:space="0" w:color="D0D7DE"/>
          <w:bottom w:val="single" w:sz="6" w:space="0" w:color="D0D7DE"/>
          <w:right w:val="single" w:sz="6" w:space="0" w:color="D0D7DE"/>
          <w:insideH w:val="single" w:sz="6" w:space="0" w:color="D0D7DE"/>
          <w:insideV w:val="single" w:sz="6" w:space="0" w:color="D0D7DE"/>
        </w:tblBorders>
        <w:tblLayout w:type="fixed"/>
        <w:tblLook w:val="04A0" w:firstRow="1" w:lastRow="0" w:firstColumn="1" w:lastColumn="0" w:noHBand="0" w:noVBand="1"/>
      </w:tblPr>
      <w:tblGrid>
        <w:gridCol w:w="1234"/>
        <w:gridCol w:w="3660"/>
        <w:gridCol w:w="3728"/>
      </w:tblGrid>
      <w:tr w:rsidR="00D768AA" w:rsidRPr="00DD0FAA" w14:paraId="32FB1A9F" w14:textId="77777777" w:rsidTr="00DD0FAA">
        <w:trPr>
          <w:trHeight w:val="621"/>
          <w:tblHeader/>
        </w:trPr>
        <w:tc>
          <w:tcPr>
            <w:tcW w:w="1234" w:type="dxa"/>
            <w:tcBorders>
              <w:right w:val="single" w:sz="4" w:space="0" w:color="auto"/>
            </w:tcBorders>
            <w:shd w:val="clear" w:color="auto" w:fill="003087"/>
            <w:tcMar>
              <w:top w:w="100" w:type="dxa"/>
              <w:left w:w="120" w:type="dxa"/>
              <w:bottom w:w="100" w:type="dxa"/>
              <w:right w:w="120" w:type="dxa"/>
            </w:tcMar>
            <w:vAlign w:val="center"/>
          </w:tcPr>
          <w:p w14:paraId="73A6FCCF" w14:textId="77777777" w:rsidR="00D768AA" w:rsidRPr="00DD0FAA" w:rsidRDefault="00D768AA" w:rsidP="00DD0FAA">
            <w:pPr>
              <w:spacing w:line="360" w:lineRule="auto"/>
              <w:rPr>
                <w:rFonts w:ascii="Arial" w:hAnsi="Arial" w:cs="Arial"/>
                <w:sz w:val="22"/>
                <w:szCs w:val="22"/>
                <w:lang w:val="en-US"/>
              </w:rPr>
            </w:pPr>
            <w:r w:rsidRPr="00DD0FAA">
              <w:rPr>
                <w:rFonts w:ascii="Arial" w:hAnsi="Arial" w:cs="Arial"/>
                <w:b/>
                <w:sz w:val="22"/>
                <w:szCs w:val="22"/>
                <w:lang w:val="en-US"/>
              </w:rPr>
              <w:t>Source group</w:t>
            </w:r>
          </w:p>
        </w:tc>
        <w:tc>
          <w:tcPr>
            <w:tcW w:w="3660" w:type="dxa"/>
            <w:tcBorders>
              <w:top w:val="single" w:sz="4" w:space="0" w:color="auto"/>
              <w:left w:val="single" w:sz="4" w:space="0" w:color="auto"/>
              <w:bottom w:val="single" w:sz="4" w:space="0" w:color="auto"/>
              <w:right w:val="single" w:sz="4" w:space="0" w:color="auto"/>
            </w:tcBorders>
            <w:shd w:val="clear" w:color="auto" w:fill="CEDBE6" w:themeFill="background2"/>
            <w:tcMar>
              <w:top w:w="100" w:type="dxa"/>
              <w:left w:w="120" w:type="dxa"/>
              <w:bottom w:w="100" w:type="dxa"/>
              <w:right w:w="120" w:type="dxa"/>
            </w:tcMar>
            <w:vAlign w:val="center"/>
          </w:tcPr>
          <w:p w14:paraId="683D9632" w14:textId="77777777" w:rsidR="00D768AA" w:rsidRPr="00DD0FAA" w:rsidRDefault="00D768AA" w:rsidP="00DD0FAA">
            <w:pPr>
              <w:pStyle w:val="ListParagraph"/>
              <w:spacing w:line="360" w:lineRule="auto"/>
              <w:rPr>
                <w:rFonts w:ascii="Arial" w:hAnsi="Arial" w:cs="Arial"/>
                <w:sz w:val="22"/>
                <w:szCs w:val="22"/>
                <w:lang w:val="en-US"/>
              </w:rPr>
            </w:pPr>
            <w:r w:rsidRPr="00DD0FAA">
              <w:rPr>
                <w:rFonts w:ascii="Arial" w:hAnsi="Arial" w:cs="Arial"/>
                <w:b/>
                <w:sz w:val="22"/>
                <w:szCs w:val="22"/>
                <w:lang w:val="en-US"/>
              </w:rPr>
              <w:t>Examples</w:t>
            </w:r>
          </w:p>
        </w:tc>
        <w:tc>
          <w:tcPr>
            <w:tcW w:w="3728" w:type="dxa"/>
            <w:tcBorders>
              <w:left w:val="single" w:sz="4" w:space="0" w:color="auto"/>
            </w:tcBorders>
            <w:shd w:val="clear" w:color="auto" w:fill="003087"/>
            <w:tcMar>
              <w:top w:w="100" w:type="dxa"/>
              <w:left w:w="120" w:type="dxa"/>
              <w:bottom w:w="100" w:type="dxa"/>
              <w:right w:w="120" w:type="dxa"/>
            </w:tcMar>
            <w:vAlign w:val="center"/>
          </w:tcPr>
          <w:p w14:paraId="1DB7E5E4" w14:textId="77777777" w:rsidR="00D768AA" w:rsidRPr="00DD0FAA" w:rsidRDefault="00D768AA" w:rsidP="00DD0FAA">
            <w:pPr>
              <w:pStyle w:val="ListParagraph"/>
              <w:spacing w:line="360" w:lineRule="auto"/>
              <w:rPr>
                <w:rFonts w:ascii="Arial" w:hAnsi="Arial" w:cs="Arial"/>
                <w:sz w:val="22"/>
                <w:szCs w:val="22"/>
                <w:lang w:val="en-US"/>
              </w:rPr>
            </w:pPr>
            <w:r w:rsidRPr="00DD0FAA">
              <w:rPr>
                <w:rFonts w:ascii="Arial" w:hAnsi="Arial" w:cs="Arial"/>
                <w:b/>
                <w:sz w:val="22"/>
                <w:szCs w:val="22"/>
                <w:lang w:val="en-US"/>
              </w:rPr>
              <w:t>Principal warehouse content</w:t>
            </w:r>
          </w:p>
        </w:tc>
      </w:tr>
      <w:tr w:rsidR="00D768AA" w:rsidRPr="00DD0FAA" w14:paraId="0C133819" w14:textId="77777777" w:rsidTr="00DD0FAA">
        <w:trPr>
          <w:trHeight w:val="1222"/>
        </w:trPr>
        <w:tc>
          <w:tcPr>
            <w:tcW w:w="1234" w:type="dxa"/>
            <w:shd w:val="clear" w:color="auto" w:fill="4A9A82" w:themeFill="accent3" w:themeFillShade="BF"/>
            <w:tcMar>
              <w:top w:w="100" w:type="dxa"/>
              <w:left w:w="120" w:type="dxa"/>
              <w:bottom w:w="100" w:type="dxa"/>
              <w:right w:w="120" w:type="dxa"/>
            </w:tcMar>
            <w:vAlign w:val="center"/>
          </w:tcPr>
          <w:p w14:paraId="6639017A"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Patient and clinical</w:t>
            </w:r>
          </w:p>
        </w:tc>
        <w:tc>
          <w:tcPr>
            <w:tcW w:w="3660" w:type="dxa"/>
            <w:tcBorders>
              <w:top w:val="single" w:sz="4" w:space="0" w:color="auto"/>
            </w:tcBorders>
            <w:tcMar>
              <w:top w:w="100" w:type="dxa"/>
              <w:left w:w="120" w:type="dxa"/>
              <w:bottom w:w="100" w:type="dxa"/>
              <w:right w:w="120" w:type="dxa"/>
            </w:tcMar>
            <w:vAlign w:val="center"/>
          </w:tcPr>
          <w:p w14:paraId="33FA9C9B"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EPR, PAS, e-Referral, pathology, radiology, pharmacy, theatres, community and mental-health systems</w:t>
            </w:r>
          </w:p>
        </w:tc>
        <w:tc>
          <w:tcPr>
            <w:tcW w:w="3728" w:type="dxa"/>
            <w:tcMar>
              <w:top w:w="100" w:type="dxa"/>
              <w:left w:w="120" w:type="dxa"/>
              <w:bottom w:w="100" w:type="dxa"/>
              <w:right w:w="120" w:type="dxa"/>
            </w:tcMar>
            <w:vAlign w:val="center"/>
          </w:tcPr>
          <w:p w14:paraId="3056C6BE"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Demographics, referrals, encounters, diagnoses, procedures, observations, tests, medicines and outcomes</w:t>
            </w:r>
          </w:p>
        </w:tc>
      </w:tr>
      <w:tr w:rsidR="00D768AA" w:rsidRPr="00DD0FAA" w14:paraId="75C2BFF3" w14:textId="77777777" w:rsidTr="00DD0FAA">
        <w:trPr>
          <w:trHeight w:val="947"/>
        </w:trPr>
        <w:tc>
          <w:tcPr>
            <w:tcW w:w="1234" w:type="dxa"/>
            <w:shd w:val="clear" w:color="auto" w:fill="BCE1E5" w:themeFill="accent2" w:themeFillTint="66"/>
            <w:tcMar>
              <w:top w:w="100" w:type="dxa"/>
              <w:left w:w="120" w:type="dxa"/>
              <w:bottom w:w="100" w:type="dxa"/>
              <w:right w:w="120" w:type="dxa"/>
            </w:tcMar>
            <w:vAlign w:val="center"/>
          </w:tcPr>
          <w:p w14:paraId="585BDF16"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Operations and quality</w:t>
            </w:r>
          </w:p>
        </w:tc>
        <w:tc>
          <w:tcPr>
            <w:tcW w:w="3660" w:type="dxa"/>
            <w:shd w:val="clear" w:color="auto" w:fill="F7F9FB"/>
            <w:tcMar>
              <w:top w:w="100" w:type="dxa"/>
              <w:left w:w="120" w:type="dxa"/>
              <w:bottom w:w="100" w:type="dxa"/>
              <w:right w:w="120" w:type="dxa"/>
            </w:tcMar>
            <w:vAlign w:val="center"/>
          </w:tcPr>
          <w:p w14:paraId="578A3E2F"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Bed/ward systems, waiting lists, ambulance interfaces, incident reporting, patient experience</w:t>
            </w:r>
          </w:p>
        </w:tc>
        <w:tc>
          <w:tcPr>
            <w:tcW w:w="3728" w:type="dxa"/>
            <w:shd w:val="clear" w:color="auto" w:fill="F7F9FB"/>
            <w:tcMar>
              <w:top w:w="100" w:type="dxa"/>
              <w:left w:w="120" w:type="dxa"/>
              <w:bottom w:w="100" w:type="dxa"/>
              <w:right w:w="120" w:type="dxa"/>
            </w:tcMar>
            <w:vAlign w:val="center"/>
          </w:tcPr>
          <w:p w14:paraId="6D808031"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Snapshots, capacity, waits, transfers, incidents, complaints and survey measures</w:t>
            </w:r>
          </w:p>
        </w:tc>
      </w:tr>
      <w:tr w:rsidR="00D768AA" w:rsidRPr="00DD0FAA" w14:paraId="67200B5C" w14:textId="77777777" w:rsidTr="00DD0FAA">
        <w:trPr>
          <w:trHeight w:val="1222"/>
        </w:trPr>
        <w:tc>
          <w:tcPr>
            <w:tcW w:w="1234" w:type="dxa"/>
            <w:shd w:val="clear" w:color="auto" w:fill="FCF096"/>
            <w:tcMar>
              <w:top w:w="100" w:type="dxa"/>
              <w:left w:w="120" w:type="dxa"/>
              <w:bottom w:w="100" w:type="dxa"/>
              <w:right w:w="120" w:type="dxa"/>
            </w:tcMar>
            <w:vAlign w:val="center"/>
          </w:tcPr>
          <w:p w14:paraId="4B4AB9B3"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Workforce and finance</w:t>
            </w:r>
          </w:p>
        </w:tc>
        <w:tc>
          <w:tcPr>
            <w:tcW w:w="3660" w:type="dxa"/>
            <w:tcMar>
              <w:top w:w="100" w:type="dxa"/>
              <w:left w:w="120" w:type="dxa"/>
              <w:bottom w:w="100" w:type="dxa"/>
              <w:right w:w="120" w:type="dxa"/>
            </w:tcMar>
            <w:vAlign w:val="center"/>
          </w:tcPr>
          <w:p w14:paraId="0CC2DB93"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ESR/HR, rostering, agency, ledger, procurement, patient-level costing</w:t>
            </w:r>
          </w:p>
        </w:tc>
        <w:tc>
          <w:tcPr>
            <w:tcW w:w="3728" w:type="dxa"/>
            <w:tcMar>
              <w:top w:w="100" w:type="dxa"/>
              <w:left w:w="120" w:type="dxa"/>
              <w:bottom w:w="100" w:type="dxa"/>
              <w:right w:w="120" w:type="dxa"/>
            </w:tcMar>
            <w:vAlign w:val="center"/>
          </w:tcPr>
          <w:p w14:paraId="2A6E5E2F"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Roles, shifts, absence, hours, pay/agency cost, budgets, expenditure, tariffs and episode cost</w:t>
            </w:r>
          </w:p>
        </w:tc>
      </w:tr>
      <w:tr w:rsidR="00D768AA" w:rsidRPr="00DD0FAA" w14:paraId="1FE669F4" w14:textId="77777777" w:rsidTr="00DD0FAA">
        <w:trPr>
          <w:trHeight w:val="1615"/>
        </w:trPr>
        <w:tc>
          <w:tcPr>
            <w:tcW w:w="1234" w:type="dxa"/>
            <w:shd w:val="clear" w:color="auto" w:fill="C9D0D1" w:themeFill="accent4" w:themeFillTint="66"/>
            <w:tcMar>
              <w:top w:w="100" w:type="dxa"/>
              <w:left w:w="120" w:type="dxa"/>
              <w:bottom w:w="100" w:type="dxa"/>
              <w:right w:w="120" w:type="dxa"/>
            </w:tcMar>
            <w:vAlign w:val="center"/>
          </w:tcPr>
          <w:p w14:paraId="5360C3E7"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External / national</w:t>
            </w:r>
          </w:p>
        </w:tc>
        <w:tc>
          <w:tcPr>
            <w:tcW w:w="3660" w:type="dxa"/>
            <w:shd w:val="clear" w:color="auto" w:fill="F7F9FB"/>
            <w:tcMar>
              <w:top w:w="100" w:type="dxa"/>
              <w:left w:w="120" w:type="dxa"/>
              <w:bottom w:w="100" w:type="dxa"/>
              <w:right w:w="120" w:type="dxa"/>
            </w:tcMar>
            <w:vAlign w:val="center"/>
          </w:tcPr>
          <w:p w14:paraId="42485BF2"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ONS population and deprivation, UKHSA surveillance, CQC ratings, national tariffs, organisation and terminology services</w:t>
            </w:r>
          </w:p>
        </w:tc>
        <w:tc>
          <w:tcPr>
            <w:tcW w:w="3728" w:type="dxa"/>
            <w:shd w:val="clear" w:color="auto" w:fill="F7F9FB"/>
            <w:tcMar>
              <w:top w:w="100" w:type="dxa"/>
              <w:left w:w="120" w:type="dxa"/>
              <w:bottom w:w="100" w:type="dxa"/>
              <w:right w:w="120" w:type="dxa"/>
            </w:tcMar>
            <w:vAlign w:val="center"/>
          </w:tcPr>
          <w:p w14:paraId="6CFC2362" w14:textId="77777777" w:rsidR="00D768AA" w:rsidRPr="00DD0FAA" w:rsidRDefault="00D768AA" w:rsidP="00DD0FAA">
            <w:pPr>
              <w:spacing w:line="360" w:lineRule="auto"/>
              <w:rPr>
                <w:rFonts w:ascii="Arial" w:hAnsi="Arial" w:cs="Arial"/>
                <w:sz w:val="20"/>
                <w:szCs w:val="20"/>
                <w:lang w:val="en-US"/>
              </w:rPr>
            </w:pPr>
            <w:r w:rsidRPr="00DD0FAA">
              <w:rPr>
                <w:rFonts w:ascii="Arial" w:hAnsi="Arial" w:cs="Arial"/>
                <w:sz w:val="20"/>
                <w:szCs w:val="20"/>
                <w:lang w:val="en-US"/>
              </w:rPr>
              <w:t>Denominators, risk context, benchmarks, reference prices, codes and organisational hierarchies</w:t>
            </w:r>
          </w:p>
        </w:tc>
      </w:tr>
    </w:tbl>
    <w:p w14:paraId="6A64900A" w14:textId="3C2858E3" w:rsidR="003C407C" w:rsidRPr="00DD0FAA" w:rsidRDefault="000C429E" w:rsidP="00DD0FAA">
      <w:pPr>
        <w:pStyle w:val="ListParagraph"/>
        <w:spacing w:line="360" w:lineRule="auto"/>
        <w:rPr>
          <w:rFonts w:ascii="Arial" w:hAnsi="Arial" w:cs="Arial"/>
          <w:b/>
          <w:bCs/>
          <w:sz w:val="20"/>
          <w:szCs w:val="20"/>
        </w:rPr>
      </w:pPr>
      <w:r w:rsidRPr="00DD0FAA">
        <w:rPr>
          <w:rFonts w:ascii="Arial" w:hAnsi="Arial" w:cs="Arial"/>
          <w:b/>
          <w:bCs/>
          <w:sz w:val="20"/>
          <w:szCs w:val="20"/>
        </w:rPr>
        <w:t xml:space="preserve">Figure 5: </w:t>
      </w:r>
      <w:r w:rsidR="00C41167" w:rsidRPr="00DD0FAA">
        <w:rPr>
          <w:rFonts w:ascii="Arial" w:hAnsi="Arial" w:cs="Arial"/>
          <w:b/>
          <w:bCs/>
          <w:sz w:val="20"/>
          <w:szCs w:val="20"/>
        </w:rPr>
        <w:t>Sour</w:t>
      </w:r>
      <w:r w:rsidR="008914DE" w:rsidRPr="00DD0FAA">
        <w:rPr>
          <w:rFonts w:ascii="Arial" w:hAnsi="Arial" w:cs="Arial"/>
          <w:b/>
          <w:bCs/>
          <w:sz w:val="20"/>
          <w:szCs w:val="20"/>
        </w:rPr>
        <w:t xml:space="preserve">ce </w:t>
      </w:r>
      <w:r w:rsidR="009E0E62" w:rsidRPr="00DD0FAA">
        <w:rPr>
          <w:rFonts w:ascii="Arial" w:hAnsi="Arial" w:cs="Arial"/>
          <w:b/>
          <w:bCs/>
          <w:sz w:val="20"/>
          <w:szCs w:val="20"/>
        </w:rPr>
        <w:t xml:space="preserve">System </w:t>
      </w:r>
      <w:r w:rsidR="008914DE" w:rsidRPr="00DD0FAA">
        <w:rPr>
          <w:rFonts w:ascii="Arial" w:hAnsi="Arial" w:cs="Arial"/>
          <w:b/>
          <w:bCs/>
          <w:sz w:val="20"/>
          <w:szCs w:val="20"/>
        </w:rPr>
        <w:t xml:space="preserve">Identifier </w:t>
      </w:r>
    </w:p>
    <w:p w14:paraId="46906A62" w14:textId="77777777" w:rsidR="00DD0FAA" w:rsidRPr="00515AB9" w:rsidRDefault="00DD0FAA" w:rsidP="00515AB9">
      <w:pPr>
        <w:spacing w:line="360" w:lineRule="auto"/>
        <w:rPr>
          <w:rFonts w:ascii="Arial" w:hAnsi="Arial" w:cs="Arial"/>
          <w:sz w:val="22"/>
          <w:szCs w:val="22"/>
        </w:rPr>
      </w:pPr>
    </w:p>
    <w:p w14:paraId="50202DA7" w14:textId="3C8B0564" w:rsidR="002E43CE" w:rsidRPr="00515AB9" w:rsidRDefault="002E43CE" w:rsidP="00515AB9">
      <w:pPr>
        <w:pStyle w:val="Heading2"/>
        <w:spacing w:line="360" w:lineRule="auto"/>
        <w:jc w:val="center"/>
        <w:rPr>
          <w:rFonts w:ascii="Arial" w:hAnsi="Arial" w:cs="Arial"/>
          <w:b/>
          <w:bCs/>
          <w:color w:val="auto"/>
          <w:sz w:val="22"/>
          <w:szCs w:val="22"/>
        </w:rPr>
      </w:pPr>
      <w:bookmarkStart w:id="9" w:name="_2.2_Star_schema"/>
      <w:bookmarkStart w:id="10" w:name="_Toc236712622"/>
      <w:bookmarkEnd w:id="9"/>
      <w:r w:rsidRPr="00515AB9">
        <w:rPr>
          <w:rFonts w:ascii="Arial" w:hAnsi="Arial" w:cs="Arial"/>
          <w:b/>
          <w:bCs/>
          <w:color w:val="auto"/>
          <w:sz w:val="22"/>
          <w:szCs w:val="22"/>
        </w:rPr>
        <w:lastRenderedPageBreak/>
        <w:t>2.2 Star schema design</w:t>
      </w:r>
      <w:bookmarkEnd w:id="10"/>
    </w:p>
    <w:p w14:paraId="7504D8CF" w14:textId="60A7CE88" w:rsidR="00E25352" w:rsidRPr="00515AB9" w:rsidRDefault="006D2477" w:rsidP="00515AB9">
      <w:pPr>
        <w:spacing w:line="360" w:lineRule="auto"/>
        <w:rPr>
          <w:rFonts w:ascii="Arial" w:hAnsi="Arial" w:cs="Arial"/>
          <w:sz w:val="22"/>
          <w:szCs w:val="22"/>
        </w:rPr>
      </w:pPr>
      <w:r w:rsidRPr="00515AB9">
        <w:rPr>
          <w:rFonts w:ascii="Arial" w:hAnsi="Arial" w:cs="Arial"/>
          <w:sz w:val="22"/>
          <w:szCs w:val="22"/>
        </w:rPr>
        <w:t>A fact constellation works better than one huge table because NHS activities are recorded at different levels. A care episode, bed snapshot, referral pathway and staff shift are all measured differently. Putting them together could duplicate data and produce incorrect totals. Separate fact tables avoid this problem while shared dimensions still allow safe comparisons across NHS services</w:t>
      </w:r>
      <w:r w:rsidR="00227BA1" w:rsidRPr="00515AB9">
        <w:rPr>
          <w:rFonts w:ascii="Arial" w:hAnsi="Arial" w:cs="Arial"/>
          <w:sz w:val="22"/>
          <w:szCs w:val="22"/>
        </w:rPr>
        <w:t xml:space="preserve"> [1]. </w:t>
      </w:r>
      <w:r w:rsidR="007F24DD" w:rsidRPr="00515AB9">
        <w:rPr>
          <w:rFonts w:ascii="Arial" w:hAnsi="Arial" w:cs="Arial"/>
          <w:sz w:val="22"/>
          <w:szCs w:val="22"/>
        </w:rPr>
        <w:t xml:space="preserve">                                         </w:t>
      </w:r>
      <w:r w:rsidR="00227BA1" w:rsidRPr="00515AB9">
        <w:rPr>
          <w:rFonts w:ascii="Arial" w:hAnsi="Arial" w:cs="Arial"/>
          <w:sz w:val="22"/>
          <w:szCs w:val="22"/>
        </w:rPr>
        <w:t>The patient activity star schema in Figure 2 forms the main structure, with additional fact tables used to support wider analysis.</w:t>
      </w:r>
      <w:r w:rsidR="00F271AD" w:rsidRPr="00515AB9">
        <w:rPr>
          <w:rFonts w:ascii="Arial" w:hAnsi="Arial" w:cs="Arial"/>
          <w:sz w:val="22"/>
          <w:szCs w:val="22"/>
        </w:rPr>
        <w:t xml:space="preserve">                                                                                   </w:t>
      </w:r>
      <w:r w:rsidR="007F24DD" w:rsidRPr="00515AB9">
        <w:rPr>
          <w:rFonts w:ascii="Arial" w:hAnsi="Arial" w:cs="Arial"/>
          <w:sz w:val="22"/>
          <w:szCs w:val="22"/>
        </w:rPr>
        <w:t xml:space="preserve">Master data should be stored in key dimensions such as </w:t>
      </w:r>
    </w:p>
    <w:p w14:paraId="1DD0392B" w14:textId="77777777" w:rsidR="00E25352" w:rsidRPr="00515AB9" w:rsidRDefault="007F24DD" w:rsidP="00515AB9">
      <w:pPr>
        <w:pStyle w:val="ListParagraph"/>
        <w:numPr>
          <w:ilvl w:val="0"/>
          <w:numId w:val="19"/>
        </w:numPr>
        <w:spacing w:line="360" w:lineRule="auto"/>
        <w:rPr>
          <w:rFonts w:ascii="Arial" w:hAnsi="Arial" w:cs="Arial"/>
          <w:sz w:val="22"/>
          <w:szCs w:val="22"/>
        </w:rPr>
      </w:pPr>
      <w:r w:rsidRPr="00515AB9">
        <w:rPr>
          <w:rFonts w:ascii="Arial" w:hAnsi="Arial" w:cs="Arial"/>
          <w:sz w:val="22"/>
          <w:szCs w:val="22"/>
        </w:rPr>
        <w:t xml:space="preserve">DIM_PATIENT, </w:t>
      </w:r>
    </w:p>
    <w:p w14:paraId="75B538FB" w14:textId="77777777" w:rsidR="00E25352" w:rsidRPr="00515AB9" w:rsidRDefault="007F24DD" w:rsidP="00515AB9">
      <w:pPr>
        <w:pStyle w:val="ListParagraph"/>
        <w:numPr>
          <w:ilvl w:val="0"/>
          <w:numId w:val="19"/>
        </w:numPr>
        <w:spacing w:line="360" w:lineRule="auto"/>
        <w:rPr>
          <w:rFonts w:ascii="Arial" w:hAnsi="Arial" w:cs="Arial"/>
          <w:sz w:val="22"/>
          <w:szCs w:val="22"/>
        </w:rPr>
      </w:pPr>
      <w:r w:rsidRPr="00515AB9">
        <w:rPr>
          <w:rFonts w:ascii="Arial" w:hAnsi="Arial" w:cs="Arial"/>
          <w:sz w:val="22"/>
          <w:szCs w:val="22"/>
        </w:rPr>
        <w:t xml:space="preserve">DIM_STAFF and </w:t>
      </w:r>
    </w:p>
    <w:p w14:paraId="795A3794" w14:textId="77777777" w:rsidR="00E25352" w:rsidRPr="00515AB9" w:rsidRDefault="007F24DD" w:rsidP="00515AB9">
      <w:pPr>
        <w:pStyle w:val="ListParagraph"/>
        <w:numPr>
          <w:ilvl w:val="0"/>
          <w:numId w:val="19"/>
        </w:numPr>
        <w:spacing w:line="360" w:lineRule="auto"/>
        <w:rPr>
          <w:rFonts w:ascii="Arial" w:hAnsi="Arial" w:cs="Arial"/>
          <w:sz w:val="22"/>
          <w:szCs w:val="22"/>
        </w:rPr>
      </w:pPr>
      <w:r w:rsidRPr="00515AB9">
        <w:rPr>
          <w:rFonts w:ascii="Arial" w:hAnsi="Arial" w:cs="Arial"/>
          <w:sz w:val="22"/>
          <w:szCs w:val="22"/>
        </w:rPr>
        <w:t xml:space="preserve">DIM_ORGANISATION. </w:t>
      </w:r>
    </w:p>
    <w:p w14:paraId="465017ED" w14:textId="68C14997" w:rsidR="003C483B" w:rsidRPr="00515AB9" w:rsidRDefault="007F24DD" w:rsidP="00515AB9">
      <w:pPr>
        <w:spacing w:line="360" w:lineRule="auto"/>
        <w:rPr>
          <w:rFonts w:ascii="Arial" w:hAnsi="Arial" w:cs="Arial"/>
          <w:sz w:val="22"/>
          <w:szCs w:val="22"/>
        </w:rPr>
      </w:pPr>
      <w:r w:rsidRPr="00515AB9">
        <w:rPr>
          <w:rFonts w:ascii="Arial" w:hAnsi="Arial" w:cs="Arial"/>
          <w:sz w:val="22"/>
          <w:szCs w:val="22"/>
        </w:rPr>
        <w:t xml:space="preserve">Sensitive identifiers, such as NHS numbers and payroll IDs, should be kept in separate secure matching services. </w:t>
      </w:r>
      <w:r w:rsidR="00F271AD" w:rsidRPr="00515AB9">
        <w:rPr>
          <w:rFonts w:ascii="Arial" w:hAnsi="Arial" w:cs="Arial"/>
          <w:sz w:val="22"/>
          <w:szCs w:val="22"/>
        </w:rPr>
        <w:t xml:space="preserve">                                                                          </w:t>
      </w:r>
      <w:r w:rsidR="00BD3795" w:rsidRPr="00515AB9">
        <w:rPr>
          <w:rFonts w:ascii="Arial" w:hAnsi="Arial" w:cs="Arial"/>
          <w:sz w:val="22"/>
          <w:szCs w:val="22"/>
        </w:rPr>
        <w:t xml:space="preserve">                                                     </w:t>
      </w:r>
      <w:r w:rsidRPr="00515AB9">
        <w:rPr>
          <w:rFonts w:ascii="Arial" w:hAnsi="Arial" w:cs="Arial"/>
          <w:sz w:val="22"/>
          <w:szCs w:val="22"/>
        </w:rPr>
        <w:t xml:space="preserve">The main analytical dimensions should use pseudonymous keys and only include necessary details, such as age </w:t>
      </w:r>
      <w:r w:rsidR="002B2D2B" w:rsidRPr="00515AB9">
        <w:rPr>
          <w:rFonts w:ascii="Arial" w:hAnsi="Arial" w:cs="Arial"/>
          <w:sz w:val="22"/>
          <w:szCs w:val="22"/>
        </w:rPr>
        <w:t>spectrum</w:t>
      </w:r>
      <w:r w:rsidRPr="00515AB9">
        <w:rPr>
          <w:rFonts w:ascii="Arial" w:hAnsi="Arial" w:cs="Arial"/>
          <w:sz w:val="22"/>
          <w:szCs w:val="22"/>
        </w:rPr>
        <w:t xml:space="preserve">, ethnicity, staff role and grade. DIM_ORGANISATION should show the NHS structure from England to region, ICS, Trust, site and ward. It should also keep historical versions so that organisational changes do not overwrite </w:t>
      </w:r>
      <w:r w:rsidR="007917CE" w:rsidRPr="00515AB9">
        <w:rPr>
          <w:rFonts w:ascii="Arial" w:hAnsi="Arial" w:cs="Arial"/>
          <w:sz w:val="22"/>
          <w:szCs w:val="22"/>
        </w:rPr>
        <w:t xml:space="preserve">old </w:t>
      </w:r>
      <w:r w:rsidRPr="00515AB9">
        <w:rPr>
          <w:rFonts w:ascii="Arial" w:hAnsi="Arial" w:cs="Arial"/>
          <w:sz w:val="22"/>
          <w:szCs w:val="22"/>
        </w:rPr>
        <w:t>records.</w:t>
      </w:r>
      <w:r w:rsidR="00F271AD" w:rsidRPr="00515AB9">
        <w:rPr>
          <w:rFonts w:ascii="Arial" w:hAnsi="Arial" w:cs="Arial"/>
          <w:sz w:val="22"/>
          <w:szCs w:val="22"/>
        </w:rPr>
        <w:t xml:space="preserve">                                                                                                              </w:t>
      </w:r>
      <w:r w:rsidR="00DB6DEC" w:rsidRPr="00515AB9">
        <w:rPr>
          <w:rFonts w:ascii="Arial" w:hAnsi="Arial" w:cs="Arial"/>
          <w:sz w:val="22"/>
          <w:szCs w:val="22"/>
        </w:rPr>
        <w:t xml:space="preserve">                                                                 </w:t>
      </w:r>
      <w:r w:rsidRPr="00515AB9">
        <w:rPr>
          <w:rFonts w:ascii="Arial" w:hAnsi="Arial" w:cs="Arial"/>
          <w:sz w:val="22"/>
          <w:szCs w:val="22"/>
        </w:rPr>
        <w:t xml:space="preserve">Metadata dimensions should include </w:t>
      </w:r>
    </w:p>
    <w:p w14:paraId="25BE9FC5" w14:textId="3A27D9ED"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 xml:space="preserve">DIM_DATE </w:t>
      </w:r>
    </w:p>
    <w:p w14:paraId="40B777D4" w14:textId="5742D666"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DIM_SERVICE</w:t>
      </w:r>
    </w:p>
    <w:p w14:paraId="2348F48E" w14:textId="62A08AF8"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DIM_SPECIALTY</w:t>
      </w:r>
    </w:p>
    <w:p w14:paraId="2108F879" w14:textId="44DF34DA"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DIM_DIAGNOSIS</w:t>
      </w:r>
    </w:p>
    <w:p w14:paraId="244D3C3E" w14:textId="77777777"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 xml:space="preserve">DIM_PROCEDURE, </w:t>
      </w:r>
    </w:p>
    <w:p w14:paraId="5B5C20B3" w14:textId="0F48063A"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 xml:space="preserve">DIM_METRIC </w:t>
      </w:r>
    </w:p>
    <w:p w14:paraId="02829316" w14:textId="7BAE3DA0" w:rsidR="003C483B" w:rsidRPr="00515AB9" w:rsidRDefault="007F24DD" w:rsidP="00515AB9">
      <w:pPr>
        <w:pStyle w:val="ListParagraph"/>
        <w:numPr>
          <w:ilvl w:val="0"/>
          <w:numId w:val="20"/>
        </w:numPr>
        <w:spacing w:line="360" w:lineRule="auto"/>
        <w:rPr>
          <w:rFonts w:ascii="Arial" w:hAnsi="Arial" w:cs="Arial"/>
          <w:sz w:val="22"/>
          <w:szCs w:val="22"/>
        </w:rPr>
      </w:pPr>
      <w:r w:rsidRPr="00515AB9">
        <w:rPr>
          <w:rFonts w:ascii="Arial" w:hAnsi="Arial" w:cs="Arial"/>
          <w:sz w:val="22"/>
          <w:szCs w:val="22"/>
        </w:rPr>
        <w:t>DIM_DATA_SOURCE</w:t>
      </w:r>
    </w:p>
    <w:p w14:paraId="4FEB808F" w14:textId="77777777" w:rsidR="003C00C0" w:rsidRDefault="007F24DD" w:rsidP="00500B47">
      <w:pPr>
        <w:pStyle w:val="ListParagraph"/>
        <w:spacing w:line="360" w:lineRule="auto"/>
      </w:pPr>
      <w:r w:rsidRPr="00515AB9">
        <w:t>DIM_METRIC should store the definition of each measure, its numerator and denominator, owner, target, valid dates and disclosure rule.                                                                           This prevents national indicators from being changed without control.</w:t>
      </w:r>
      <w:r w:rsidR="00F271AD" w:rsidRPr="00515AB9">
        <w:t xml:space="preserve">                                              </w:t>
      </w:r>
      <w:r w:rsidRPr="00515AB9">
        <w:t xml:space="preserve">FACT_MONTHLY_KPI should be used as an aggregate table for reporting, not as a replacement for detailed fact tables. </w:t>
      </w:r>
      <w:r w:rsidR="00370E95" w:rsidRPr="00515AB9">
        <w:t xml:space="preserve">       </w:t>
      </w:r>
    </w:p>
    <w:p w14:paraId="2D1FC492" w14:textId="77777777" w:rsidR="003C00C0" w:rsidRDefault="003C00C0" w:rsidP="00500B47">
      <w:pPr>
        <w:pStyle w:val="ListParagraph"/>
        <w:spacing w:line="360" w:lineRule="auto"/>
      </w:pPr>
    </w:p>
    <w:p w14:paraId="392760C7" w14:textId="77777777" w:rsidR="003C00C0" w:rsidRDefault="003C00C0" w:rsidP="00500B47">
      <w:pPr>
        <w:pStyle w:val="ListParagraph"/>
        <w:spacing w:line="360" w:lineRule="auto"/>
      </w:pPr>
    </w:p>
    <w:p w14:paraId="337CA1CD" w14:textId="5F981743" w:rsidR="00A01E3C" w:rsidRPr="00500B47" w:rsidRDefault="007F24DD" w:rsidP="00500B47">
      <w:pPr>
        <w:pStyle w:val="ListParagraph"/>
        <w:spacing w:line="360" w:lineRule="auto"/>
        <w:rPr>
          <w:rFonts w:ascii="Arial" w:hAnsi="Arial" w:cs="Arial"/>
          <w:sz w:val="22"/>
          <w:szCs w:val="22"/>
        </w:rPr>
      </w:pPr>
      <w:r w:rsidRPr="00515AB9">
        <w:lastRenderedPageBreak/>
        <w:t xml:space="preserve">It helps speed up board reporting and keeps a fixed version of published results. </w:t>
      </w:r>
      <w:r w:rsidR="00370E95" w:rsidRPr="00515AB9">
        <w:t xml:space="preserve">                                                                                            </w:t>
      </w:r>
      <w:r w:rsidRPr="00515AB9">
        <w:t xml:space="preserve">Authorised </w:t>
      </w:r>
      <w:r w:rsidR="00370E95" w:rsidRPr="00515AB9">
        <w:t>staff</w:t>
      </w:r>
      <w:r w:rsidRPr="00515AB9">
        <w:t xml:space="preserve"> should still be able to trace each KPI back to the detailed facts used to </w:t>
      </w:r>
      <w:r w:rsidRPr="00500B47">
        <w:rPr>
          <w:rFonts w:ascii="Arial" w:hAnsi="Arial" w:cs="Arial"/>
          <w:sz w:val="22"/>
          <w:szCs w:val="22"/>
        </w:rPr>
        <w:t>calculate it.</w:t>
      </w:r>
      <w:r w:rsidR="00A01E3C" w:rsidRPr="00500B47">
        <w:rPr>
          <w:rFonts w:ascii="Arial" w:hAnsi="Arial" w:cs="Arial"/>
          <w:sz w:val="22"/>
          <w:szCs w:val="22"/>
        </w:rPr>
        <w:t xml:space="preserve"> </w:t>
      </w:r>
      <w:r w:rsidRPr="00500B47">
        <w:rPr>
          <w:rFonts w:ascii="Arial" w:hAnsi="Arial" w:cs="Arial"/>
          <w:sz w:val="22"/>
          <w:szCs w:val="22"/>
        </w:rPr>
        <w:t xml:space="preserve"> </w:t>
      </w:r>
      <w:r w:rsidR="00F271AD" w:rsidRPr="00500B47">
        <w:rPr>
          <w:rFonts w:ascii="Arial" w:hAnsi="Arial" w:cs="Arial"/>
          <w:sz w:val="22"/>
          <w:szCs w:val="22"/>
        </w:rPr>
        <w:t xml:space="preserve"> </w:t>
      </w:r>
      <w:r w:rsidR="00A01E3C" w:rsidRPr="00500B47">
        <w:rPr>
          <w:rFonts w:ascii="Arial" w:hAnsi="Arial" w:cs="Arial"/>
          <w:sz w:val="22"/>
          <w:szCs w:val="22"/>
        </w:rPr>
        <w:t xml:space="preserve">                                                                 </w:t>
      </w:r>
      <w:r w:rsidR="00A37433" w:rsidRPr="00500B47">
        <w:rPr>
          <w:rFonts w:ascii="Arial" w:hAnsi="Arial" w:cs="Arial"/>
          <w:sz w:val="22"/>
          <w:szCs w:val="22"/>
        </w:rPr>
        <w:t xml:space="preserve">    </w:t>
      </w:r>
      <w:r w:rsidR="00A01E3C" w:rsidRPr="00500B47">
        <w:rPr>
          <w:rFonts w:ascii="Arial" w:hAnsi="Arial" w:cs="Arial"/>
          <w:sz w:val="22"/>
          <w:szCs w:val="22"/>
        </w:rPr>
        <w:t xml:space="preserve"> </w:t>
      </w:r>
      <w:r w:rsidR="00370E95" w:rsidRPr="00500B47">
        <w:rPr>
          <w:rFonts w:ascii="Arial" w:hAnsi="Arial" w:cs="Arial"/>
          <w:sz w:val="22"/>
          <w:szCs w:val="22"/>
        </w:rPr>
        <w:t xml:space="preserve">                                                                                 </w:t>
      </w:r>
      <w:r w:rsidR="00A37433" w:rsidRPr="00500B47">
        <w:rPr>
          <w:rFonts w:ascii="Arial" w:hAnsi="Arial" w:cs="Arial"/>
          <w:sz w:val="22"/>
          <w:szCs w:val="22"/>
        </w:rPr>
        <w:t xml:space="preserve">Fact </w:t>
      </w:r>
      <w:r w:rsidR="00A01E3C" w:rsidRPr="00500B47">
        <w:rPr>
          <w:rFonts w:ascii="Arial" w:hAnsi="Arial" w:cs="Arial"/>
          <w:sz w:val="22"/>
          <w:szCs w:val="22"/>
        </w:rPr>
        <w:t>tables can track daily patient flow or monthly workforce numbers. They should update when source data changes and include refresh time, completeness, and calculation version.</w:t>
      </w:r>
    </w:p>
    <w:p w14:paraId="4F57F7B5" w14:textId="77777777" w:rsidR="00A01E3C" w:rsidRPr="00500B47" w:rsidRDefault="00A01E3C" w:rsidP="00500B47">
      <w:pPr>
        <w:pStyle w:val="ListParagraph"/>
        <w:spacing w:line="360" w:lineRule="auto"/>
        <w:rPr>
          <w:rFonts w:ascii="Arial" w:hAnsi="Arial" w:cs="Arial"/>
          <w:sz w:val="22"/>
          <w:szCs w:val="22"/>
        </w:rPr>
      </w:pPr>
      <w:r w:rsidRPr="00500B47">
        <w:rPr>
          <w:rFonts w:ascii="Arial" w:hAnsi="Arial" w:cs="Arial"/>
          <w:sz w:val="22"/>
          <w:szCs w:val="22"/>
        </w:rPr>
        <w:t>Large tables can be made faster by splitting them by date, organising them by service or organisation, compressing columns, and loading only new or changed records. Accuracy should always come first.</w:t>
      </w:r>
    </w:p>
    <w:p w14:paraId="6ED8586E" w14:textId="7A8673A0" w:rsidR="003429CC" w:rsidRDefault="00A01E3C" w:rsidP="00500B47">
      <w:pPr>
        <w:pStyle w:val="ListParagraph"/>
        <w:spacing w:line="360" w:lineRule="auto"/>
        <w:rPr>
          <w:rFonts w:ascii="Arial" w:hAnsi="Arial" w:cs="Arial"/>
          <w:sz w:val="22"/>
          <w:szCs w:val="22"/>
        </w:rPr>
      </w:pPr>
      <w:r w:rsidRPr="00500B47">
        <w:rPr>
          <w:rFonts w:ascii="Arial" w:hAnsi="Arial" w:cs="Arial"/>
          <w:sz w:val="22"/>
          <w:szCs w:val="22"/>
        </w:rPr>
        <w:t>Bed numbers can be added across locations, but not across different time periods. Ratios should be recalculated, not averaged.</w:t>
      </w:r>
      <w:r w:rsidR="0076697B" w:rsidRPr="00500B47">
        <w:rPr>
          <w:rFonts w:ascii="Arial" w:hAnsi="Arial" w:cs="Arial"/>
          <w:sz w:val="22"/>
          <w:szCs w:val="22"/>
        </w:rPr>
        <w:t xml:space="preserve"> </w:t>
      </w:r>
      <w:r w:rsidR="004B370B" w:rsidRPr="00500B47">
        <w:rPr>
          <w:rFonts w:ascii="Arial" w:hAnsi="Arial" w:cs="Arial"/>
          <w:sz w:val="22"/>
          <w:szCs w:val="22"/>
        </w:rPr>
        <w:t>(</w:t>
      </w:r>
      <w:r w:rsidR="005C0725" w:rsidRPr="00500B47">
        <w:rPr>
          <w:rFonts w:ascii="Arial" w:hAnsi="Arial" w:cs="Arial"/>
          <w:sz w:val="22"/>
          <w:szCs w:val="22"/>
        </w:rPr>
        <w:t>Fi</w:t>
      </w:r>
      <w:r w:rsidR="005C0725" w:rsidRPr="00500B47">
        <w:rPr>
          <w:rFonts w:ascii="Arial" w:hAnsi="Arial" w:cs="Arial"/>
          <w:sz w:val="22"/>
          <w:szCs w:val="22"/>
        </w:rPr>
        <w:t>g</w:t>
      </w:r>
      <w:r w:rsidR="005C0725" w:rsidRPr="00500B47">
        <w:rPr>
          <w:rFonts w:ascii="Arial" w:hAnsi="Arial" w:cs="Arial"/>
          <w:sz w:val="22"/>
          <w:szCs w:val="22"/>
        </w:rPr>
        <w:t>ure 4.</w:t>
      </w:r>
      <w:r w:rsidR="004B370B" w:rsidRPr="00500B47">
        <w:rPr>
          <w:rFonts w:ascii="Arial" w:hAnsi="Arial" w:cs="Arial"/>
          <w:sz w:val="22"/>
          <w:szCs w:val="22"/>
        </w:rPr>
        <w:t>)</w:t>
      </w:r>
    </w:p>
    <w:p w14:paraId="6C246B87" w14:textId="77777777" w:rsidR="00DD0FAA" w:rsidRPr="00500B47" w:rsidRDefault="00DD0FAA" w:rsidP="00500B47">
      <w:pPr>
        <w:pStyle w:val="ListParagraph"/>
        <w:spacing w:line="360" w:lineRule="auto"/>
        <w:rPr>
          <w:rFonts w:ascii="Arial" w:hAnsi="Arial" w:cs="Arial"/>
          <w:sz w:val="22"/>
          <w:szCs w:val="22"/>
        </w:rPr>
      </w:pPr>
    </w:p>
    <w:p w14:paraId="715EE7B5" w14:textId="0AAFD5EA" w:rsidR="005162C0" w:rsidRPr="00500B47" w:rsidRDefault="005162C0" w:rsidP="00500B47">
      <w:pPr>
        <w:pStyle w:val="ListParagraph"/>
        <w:spacing w:line="360" w:lineRule="auto"/>
        <w:rPr>
          <w:rFonts w:ascii="Arial" w:hAnsi="Arial" w:cs="Arial"/>
          <w:color w:val="000000"/>
          <w:sz w:val="22"/>
          <w:szCs w:val="22"/>
        </w:rPr>
      </w:pPr>
      <w:r w:rsidRPr="00500B47">
        <w:rPr>
          <w:rFonts w:ascii="Arial" w:hAnsi="Arial" w:cs="Arial"/>
          <w:sz w:val="22"/>
          <w:szCs w:val="22"/>
        </w:rPr>
        <w:t>“</w:t>
      </w:r>
      <w:r w:rsidRPr="00500B47">
        <w:rPr>
          <w:rFonts w:ascii="Arial" w:hAnsi="Arial" w:cs="Arial"/>
          <w:sz w:val="22"/>
          <w:szCs w:val="22"/>
        </w:rPr>
        <w:t>The physical database design structure known as a star schema has a particular affinity for the DM, a star schema made up of fact table and dimensions. The fact table represents the types of data that occur in great volume.</w:t>
      </w:r>
      <w:r w:rsidRPr="00500B47">
        <w:rPr>
          <w:rFonts w:ascii="Arial" w:hAnsi="Arial" w:cs="Arial"/>
          <w:sz w:val="22"/>
          <w:szCs w:val="22"/>
        </w:rPr>
        <w:t>”</w:t>
      </w:r>
      <w:sdt>
        <w:sdtPr>
          <w:rPr>
            <w:rFonts w:ascii="Arial" w:hAnsi="Arial" w:cs="Arial"/>
            <w:color w:val="000000"/>
            <w:sz w:val="22"/>
            <w:szCs w:val="22"/>
            <w:highlight w:val="white"/>
          </w:rPr>
          <w:alias w:val="Citation"/>
          <w:tag w:val="{&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1577239"/>
          <w:placeholder>
            <w:docPart w:val="7F394A8C8EFF4F1B9510BD9D4496D4BC"/>
          </w:placeholder>
        </w:sdtPr>
        <w:sdtContent>
          <w:r w:rsidR="00DE7B3F" w:rsidRPr="00500B47">
            <w:rPr>
              <w:rFonts w:ascii="Arial" w:eastAsia="Times New Roman" w:hAnsi="Arial" w:cs="Arial"/>
              <w:color w:val="000000"/>
              <w:sz w:val="22"/>
              <w:szCs w:val="22"/>
            </w:rPr>
            <w:t>[7]</w:t>
          </w:r>
        </w:sdtContent>
      </w:sdt>
    </w:p>
    <w:p w14:paraId="36D3B828" w14:textId="77777777" w:rsidR="00370E95" w:rsidRDefault="00370E95" w:rsidP="00500B47">
      <w:pPr>
        <w:pStyle w:val="ListParagraph"/>
        <w:spacing w:line="360" w:lineRule="auto"/>
        <w:rPr>
          <w:rFonts w:ascii="Arial" w:hAnsi="Arial" w:cs="Arial"/>
          <w:sz w:val="22"/>
          <w:szCs w:val="22"/>
        </w:rPr>
      </w:pPr>
    </w:p>
    <w:p w14:paraId="54C81FED" w14:textId="77777777" w:rsidR="00C35001" w:rsidRDefault="00C35001" w:rsidP="00500B47">
      <w:pPr>
        <w:pStyle w:val="ListParagraph"/>
        <w:spacing w:line="360" w:lineRule="auto"/>
        <w:rPr>
          <w:rFonts w:ascii="Arial" w:hAnsi="Arial" w:cs="Arial"/>
          <w:sz w:val="22"/>
          <w:szCs w:val="22"/>
        </w:rPr>
      </w:pPr>
    </w:p>
    <w:p w14:paraId="1BE159DC" w14:textId="77777777" w:rsidR="00C35001" w:rsidRDefault="00C35001" w:rsidP="00500B47">
      <w:pPr>
        <w:pStyle w:val="ListParagraph"/>
        <w:spacing w:line="360" w:lineRule="auto"/>
        <w:rPr>
          <w:rFonts w:ascii="Arial" w:hAnsi="Arial" w:cs="Arial"/>
          <w:sz w:val="22"/>
          <w:szCs w:val="22"/>
        </w:rPr>
      </w:pPr>
    </w:p>
    <w:p w14:paraId="6EC137CE" w14:textId="77777777" w:rsidR="00C35001" w:rsidRDefault="00C35001" w:rsidP="00500B47">
      <w:pPr>
        <w:pStyle w:val="ListParagraph"/>
        <w:spacing w:line="360" w:lineRule="auto"/>
        <w:rPr>
          <w:rFonts w:ascii="Arial" w:hAnsi="Arial" w:cs="Arial"/>
          <w:sz w:val="22"/>
          <w:szCs w:val="22"/>
        </w:rPr>
      </w:pPr>
    </w:p>
    <w:p w14:paraId="2150846B" w14:textId="77777777" w:rsidR="00C35001" w:rsidRDefault="00C35001" w:rsidP="00500B47">
      <w:pPr>
        <w:pStyle w:val="ListParagraph"/>
        <w:spacing w:line="360" w:lineRule="auto"/>
        <w:rPr>
          <w:rFonts w:ascii="Arial" w:hAnsi="Arial" w:cs="Arial"/>
          <w:sz w:val="22"/>
          <w:szCs w:val="22"/>
        </w:rPr>
      </w:pPr>
    </w:p>
    <w:p w14:paraId="4E493610" w14:textId="77777777" w:rsidR="00C35001" w:rsidRDefault="00C35001" w:rsidP="00500B47">
      <w:pPr>
        <w:pStyle w:val="ListParagraph"/>
        <w:spacing w:line="360" w:lineRule="auto"/>
        <w:rPr>
          <w:rFonts w:ascii="Arial" w:hAnsi="Arial" w:cs="Arial"/>
          <w:sz w:val="22"/>
          <w:szCs w:val="22"/>
        </w:rPr>
      </w:pPr>
    </w:p>
    <w:p w14:paraId="038DE862" w14:textId="77777777" w:rsidR="00C35001" w:rsidRDefault="00C35001" w:rsidP="00500B47">
      <w:pPr>
        <w:pStyle w:val="ListParagraph"/>
        <w:spacing w:line="360" w:lineRule="auto"/>
        <w:rPr>
          <w:rFonts w:ascii="Arial" w:hAnsi="Arial" w:cs="Arial"/>
          <w:sz w:val="22"/>
          <w:szCs w:val="22"/>
        </w:rPr>
      </w:pPr>
    </w:p>
    <w:p w14:paraId="2CE07EFF" w14:textId="77777777" w:rsidR="00C35001" w:rsidRDefault="00C35001" w:rsidP="00500B47">
      <w:pPr>
        <w:pStyle w:val="ListParagraph"/>
        <w:spacing w:line="360" w:lineRule="auto"/>
        <w:rPr>
          <w:rFonts w:ascii="Arial" w:hAnsi="Arial" w:cs="Arial"/>
          <w:sz w:val="22"/>
          <w:szCs w:val="22"/>
        </w:rPr>
      </w:pPr>
    </w:p>
    <w:p w14:paraId="0BDC1D6D" w14:textId="77777777" w:rsidR="00C35001" w:rsidRDefault="00C35001" w:rsidP="00500B47">
      <w:pPr>
        <w:pStyle w:val="ListParagraph"/>
        <w:spacing w:line="360" w:lineRule="auto"/>
        <w:rPr>
          <w:rFonts w:ascii="Arial" w:hAnsi="Arial" w:cs="Arial"/>
          <w:sz w:val="22"/>
          <w:szCs w:val="22"/>
        </w:rPr>
      </w:pPr>
    </w:p>
    <w:p w14:paraId="3B0D9378" w14:textId="77777777" w:rsidR="00C35001" w:rsidRDefault="00C35001" w:rsidP="00500B47">
      <w:pPr>
        <w:pStyle w:val="ListParagraph"/>
        <w:spacing w:line="360" w:lineRule="auto"/>
        <w:rPr>
          <w:rFonts w:ascii="Arial" w:hAnsi="Arial" w:cs="Arial"/>
          <w:sz w:val="22"/>
          <w:szCs w:val="22"/>
        </w:rPr>
      </w:pPr>
    </w:p>
    <w:p w14:paraId="162D21E2" w14:textId="77777777" w:rsidR="00C35001" w:rsidRDefault="00C35001" w:rsidP="00500B47">
      <w:pPr>
        <w:pStyle w:val="ListParagraph"/>
        <w:spacing w:line="360" w:lineRule="auto"/>
        <w:rPr>
          <w:rFonts w:ascii="Arial" w:hAnsi="Arial" w:cs="Arial"/>
          <w:sz w:val="22"/>
          <w:szCs w:val="22"/>
        </w:rPr>
      </w:pPr>
    </w:p>
    <w:p w14:paraId="3F230CA5" w14:textId="77777777" w:rsidR="00C35001" w:rsidRDefault="00C35001" w:rsidP="00500B47">
      <w:pPr>
        <w:pStyle w:val="ListParagraph"/>
        <w:spacing w:line="360" w:lineRule="auto"/>
        <w:rPr>
          <w:rFonts w:ascii="Arial" w:hAnsi="Arial" w:cs="Arial"/>
          <w:sz w:val="22"/>
          <w:szCs w:val="22"/>
        </w:rPr>
      </w:pPr>
    </w:p>
    <w:p w14:paraId="7031F247" w14:textId="77777777" w:rsidR="00C35001" w:rsidRDefault="00C35001" w:rsidP="00500B47">
      <w:pPr>
        <w:pStyle w:val="ListParagraph"/>
        <w:spacing w:line="360" w:lineRule="auto"/>
        <w:rPr>
          <w:rFonts w:ascii="Arial" w:hAnsi="Arial" w:cs="Arial"/>
          <w:sz w:val="22"/>
          <w:szCs w:val="22"/>
        </w:rPr>
      </w:pPr>
    </w:p>
    <w:p w14:paraId="765B69BB" w14:textId="77777777" w:rsidR="00C35001" w:rsidRDefault="00C35001" w:rsidP="00500B47">
      <w:pPr>
        <w:pStyle w:val="ListParagraph"/>
        <w:spacing w:line="360" w:lineRule="auto"/>
        <w:rPr>
          <w:rFonts w:ascii="Arial" w:hAnsi="Arial" w:cs="Arial"/>
          <w:sz w:val="22"/>
          <w:szCs w:val="22"/>
        </w:rPr>
      </w:pPr>
    </w:p>
    <w:p w14:paraId="360D7CDB" w14:textId="77777777" w:rsidR="0086578D" w:rsidRPr="00500B47" w:rsidRDefault="0086578D" w:rsidP="00500B47">
      <w:pPr>
        <w:pStyle w:val="ListParagraph"/>
        <w:spacing w:line="360" w:lineRule="auto"/>
        <w:rPr>
          <w:rFonts w:ascii="Arial" w:hAnsi="Arial" w:cs="Arial"/>
          <w:sz w:val="22"/>
          <w:szCs w:val="22"/>
        </w:rPr>
      </w:pPr>
    </w:p>
    <w:p w14:paraId="39957220" w14:textId="77777777" w:rsidR="00F271AD" w:rsidRPr="00500B47" w:rsidRDefault="00F271AD" w:rsidP="00500B47">
      <w:pPr>
        <w:pStyle w:val="ListParagraph"/>
        <w:spacing w:line="360" w:lineRule="auto"/>
        <w:rPr>
          <w:rFonts w:ascii="Arial" w:hAnsi="Arial" w:cs="Arial"/>
          <w:sz w:val="22"/>
          <w:szCs w:val="22"/>
        </w:rPr>
      </w:pPr>
    </w:p>
    <w:tbl>
      <w:tblPr>
        <w:tblStyle w:val="TableGrid"/>
        <w:tblW w:w="8222" w:type="dxa"/>
        <w:tblInd w:w="701" w:type="dxa"/>
        <w:tblBorders>
          <w:top w:val="single" w:sz="6" w:space="0" w:color="D0D7DE"/>
          <w:left w:val="single" w:sz="6" w:space="0" w:color="D0D7DE"/>
          <w:bottom w:val="single" w:sz="6" w:space="0" w:color="D0D7DE"/>
          <w:right w:val="single" w:sz="6" w:space="0" w:color="D0D7DE"/>
          <w:insideH w:val="single" w:sz="6" w:space="0" w:color="D0D7DE"/>
          <w:insideV w:val="single" w:sz="6" w:space="0" w:color="D0D7DE"/>
        </w:tblBorders>
        <w:tblLayout w:type="fixed"/>
        <w:tblLook w:val="04A0" w:firstRow="1" w:lastRow="0" w:firstColumn="1" w:lastColumn="0" w:noHBand="0" w:noVBand="1"/>
      </w:tblPr>
      <w:tblGrid>
        <w:gridCol w:w="1606"/>
        <w:gridCol w:w="2562"/>
        <w:gridCol w:w="4054"/>
      </w:tblGrid>
      <w:tr w:rsidR="00B624B2" w:rsidRPr="00500B47" w14:paraId="6225109B" w14:textId="77777777" w:rsidTr="00500B47">
        <w:trPr>
          <w:trHeight w:val="392"/>
          <w:tblHeader/>
        </w:trPr>
        <w:tc>
          <w:tcPr>
            <w:tcW w:w="1606" w:type="dxa"/>
            <w:shd w:val="clear" w:color="auto" w:fill="A3CEED" w:themeFill="accent6" w:themeFillTint="66"/>
            <w:tcMar>
              <w:top w:w="100" w:type="dxa"/>
              <w:left w:w="120" w:type="dxa"/>
              <w:bottom w:w="100" w:type="dxa"/>
              <w:right w:w="120" w:type="dxa"/>
            </w:tcMar>
            <w:vAlign w:val="center"/>
          </w:tcPr>
          <w:p w14:paraId="2909A90B" w14:textId="77777777"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b/>
                <w:sz w:val="22"/>
                <w:szCs w:val="22"/>
                <w:lang w:val="en-US"/>
              </w:rPr>
              <w:lastRenderedPageBreak/>
              <w:t>Table</w:t>
            </w:r>
          </w:p>
        </w:tc>
        <w:tc>
          <w:tcPr>
            <w:tcW w:w="2562" w:type="dxa"/>
            <w:shd w:val="clear" w:color="auto" w:fill="FCF096"/>
            <w:tcMar>
              <w:top w:w="100" w:type="dxa"/>
              <w:left w:w="120" w:type="dxa"/>
              <w:bottom w:w="100" w:type="dxa"/>
              <w:right w:w="120" w:type="dxa"/>
            </w:tcMar>
            <w:vAlign w:val="center"/>
          </w:tcPr>
          <w:p w14:paraId="72A6DA1E" w14:textId="77777777"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b/>
                <w:sz w:val="22"/>
                <w:szCs w:val="22"/>
                <w:lang w:val="en-US"/>
              </w:rPr>
              <w:t>Declared grain</w:t>
            </w:r>
          </w:p>
        </w:tc>
        <w:tc>
          <w:tcPr>
            <w:tcW w:w="4054" w:type="dxa"/>
            <w:shd w:val="clear" w:color="auto" w:fill="4A9A82" w:themeFill="accent3" w:themeFillShade="BF"/>
            <w:tcMar>
              <w:top w:w="100" w:type="dxa"/>
              <w:left w:w="120" w:type="dxa"/>
              <w:bottom w:w="100" w:type="dxa"/>
              <w:right w:w="120" w:type="dxa"/>
            </w:tcMar>
            <w:vAlign w:val="center"/>
          </w:tcPr>
          <w:p w14:paraId="060AA9E9" w14:textId="77777777"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b/>
                <w:sz w:val="22"/>
                <w:szCs w:val="22"/>
                <w:lang w:val="en-US"/>
              </w:rPr>
              <w:t>Key content / measures</w:t>
            </w:r>
          </w:p>
        </w:tc>
      </w:tr>
      <w:tr w:rsidR="00B624B2" w:rsidRPr="00500B47" w14:paraId="2944C26D" w14:textId="77777777" w:rsidTr="00500B47">
        <w:trPr>
          <w:trHeight w:val="1463"/>
        </w:trPr>
        <w:tc>
          <w:tcPr>
            <w:tcW w:w="1606" w:type="dxa"/>
            <w:tcMar>
              <w:top w:w="100" w:type="dxa"/>
              <w:left w:w="120" w:type="dxa"/>
              <w:bottom w:w="100" w:type="dxa"/>
              <w:right w:w="120" w:type="dxa"/>
            </w:tcMar>
            <w:vAlign w:val="center"/>
          </w:tcPr>
          <w:p w14:paraId="42FAF6A8"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FACT_CARE_EPISODE</w:t>
            </w:r>
          </w:p>
        </w:tc>
        <w:tc>
          <w:tcPr>
            <w:tcW w:w="2562" w:type="dxa"/>
            <w:tcMar>
              <w:top w:w="100" w:type="dxa"/>
              <w:left w:w="120" w:type="dxa"/>
              <w:bottom w:w="100" w:type="dxa"/>
              <w:right w:w="120" w:type="dxa"/>
            </w:tcMar>
            <w:vAlign w:val="center"/>
          </w:tcPr>
          <w:p w14:paraId="30D55789"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One completed care episode</w:t>
            </w:r>
          </w:p>
        </w:tc>
        <w:tc>
          <w:tcPr>
            <w:tcW w:w="4054" w:type="dxa"/>
            <w:tcMar>
              <w:top w:w="100" w:type="dxa"/>
              <w:left w:w="120" w:type="dxa"/>
              <w:bottom w:w="100" w:type="dxa"/>
              <w:right w:w="120" w:type="dxa"/>
            </w:tcMar>
            <w:vAlign w:val="center"/>
          </w:tcPr>
          <w:p w14:paraId="038BE7B5" w14:textId="77777777"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sz w:val="22"/>
                <w:szCs w:val="22"/>
                <w:lang w:val="en-US"/>
              </w:rPr>
              <w:t>Patient, admit/discharge dates, organisation, service, diagnosis/procedure and staff keys; length of stay, tariff, actual cost, outcome, readmission flag</w:t>
            </w:r>
          </w:p>
        </w:tc>
      </w:tr>
      <w:tr w:rsidR="00B624B2" w:rsidRPr="00500B47" w14:paraId="5A0C7687" w14:textId="77777777" w:rsidTr="00500B47">
        <w:trPr>
          <w:trHeight w:val="924"/>
        </w:trPr>
        <w:tc>
          <w:tcPr>
            <w:tcW w:w="1606" w:type="dxa"/>
            <w:shd w:val="clear" w:color="auto" w:fill="F7F9FB"/>
            <w:tcMar>
              <w:top w:w="100" w:type="dxa"/>
              <w:left w:w="120" w:type="dxa"/>
              <w:bottom w:w="100" w:type="dxa"/>
              <w:right w:w="120" w:type="dxa"/>
            </w:tcMar>
            <w:vAlign w:val="center"/>
          </w:tcPr>
          <w:p w14:paraId="4DE3A7DD"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FACT_REFERRAL_PATHWAY</w:t>
            </w:r>
          </w:p>
        </w:tc>
        <w:tc>
          <w:tcPr>
            <w:tcW w:w="2562" w:type="dxa"/>
            <w:shd w:val="clear" w:color="auto" w:fill="F7F9FB"/>
            <w:tcMar>
              <w:top w:w="100" w:type="dxa"/>
              <w:left w:w="120" w:type="dxa"/>
              <w:bottom w:w="100" w:type="dxa"/>
              <w:right w:w="120" w:type="dxa"/>
            </w:tcMar>
            <w:vAlign w:val="center"/>
          </w:tcPr>
          <w:p w14:paraId="31ABA214"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One referral pathway status event</w:t>
            </w:r>
          </w:p>
        </w:tc>
        <w:tc>
          <w:tcPr>
            <w:tcW w:w="4054" w:type="dxa"/>
            <w:shd w:val="clear" w:color="auto" w:fill="F7F9FB"/>
            <w:tcMar>
              <w:top w:w="100" w:type="dxa"/>
              <w:left w:w="120" w:type="dxa"/>
              <w:bottom w:w="100" w:type="dxa"/>
              <w:right w:w="120" w:type="dxa"/>
            </w:tcMar>
            <w:vAlign w:val="center"/>
          </w:tcPr>
          <w:p w14:paraId="2075961C" w14:textId="5B536866"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sz w:val="22"/>
                <w:szCs w:val="22"/>
                <w:lang w:val="en-US"/>
              </w:rPr>
              <w:t xml:space="preserve">Referral, clock start/stop, </w:t>
            </w:r>
            <w:proofErr w:type="spellStart"/>
            <w:r w:rsidR="00A36E7B">
              <w:rPr>
                <w:rFonts w:ascii="Arial" w:hAnsi="Arial" w:cs="Arial"/>
                <w:sz w:val="22"/>
                <w:szCs w:val="22"/>
                <w:lang w:val="en-US"/>
              </w:rPr>
              <w:t>speciality</w:t>
            </w:r>
            <w:proofErr w:type="spellEnd"/>
            <w:r w:rsidRPr="00500B47">
              <w:rPr>
                <w:rFonts w:ascii="Arial" w:hAnsi="Arial" w:cs="Arial"/>
                <w:sz w:val="22"/>
                <w:szCs w:val="22"/>
                <w:lang w:val="en-US"/>
              </w:rPr>
              <w:t>, provider, wait days, diagnostic stage, breach flag and reason</w:t>
            </w:r>
          </w:p>
        </w:tc>
      </w:tr>
      <w:tr w:rsidR="00B624B2" w:rsidRPr="00500B47" w14:paraId="7E9D7434" w14:textId="77777777" w:rsidTr="00500B47">
        <w:trPr>
          <w:trHeight w:val="1193"/>
        </w:trPr>
        <w:tc>
          <w:tcPr>
            <w:tcW w:w="1606" w:type="dxa"/>
            <w:tcMar>
              <w:top w:w="100" w:type="dxa"/>
              <w:left w:w="120" w:type="dxa"/>
              <w:bottom w:w="100" w:type="dxa"/>
              <w:right w:w="120" w:type="dxa"/>
            </w:tcMar>
            <w:vAlign w:val="center"/>
          </w:tcPr>
          <w:p w14:paraId="2B2C0863"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FACT_BED_SNAPSHOT</w:t>
            </w:r>
          </w:p>
        </w:tc>
        <w:tc>
          <w:tcPr>
            <w:tcW w:w="2562" w:type="dxa"/>
            <w:tcMar>
              <w:top w:w="100" w:type="dxa"/>
              <w:left w:w="120" w:type="dxa"/>
              <w:bottom w:w="100" w:type="dxa"/>
              <w:right w:w="120" w:type="dxa"/>
            </w:tcMar>
            <w:vAlign w:val="center"/>
          </w:tcPr>
          <w:p w14:paraId="534A94A8" w14:textId="4D456E01" w:rsidR="00B624B2" w:rsidRPr="00DD0FAA" w:rsidRDefault="00B624B2" w:rsidP="00DD0FAA">
            <w:pPr>
              <w:spacing w:line="360" w:lineRule="auto"/>
              <w:rPr>
                <w:rFonts w:ascii="Arial" w:hAnsi="Arial" w:cs="Arial"/>
                <w:sz w:val="22"/>
                <w:szCs w:val="22"/>
                <w:lang w:val="en-US"/>
              </w:rPr>
            </w:pPr>
            <w:proofErr w:type="gramStart"/>
            <w:r w:rsidRPr="00DD0FAA">
              <w:rPr>
                <w:rFonts w:ascii="Arial" w:hAnsi="Arial" w:cs="Arial"/>
                <w:sz w:val="22"/>
                <w:szCs w:val="22"/>
                <w:lang w:val="en-US"/>
              </w:rPr>
              <w:t xml:space="preserve">One  </w:t>
            </w:r>
            <w:r w:rsidR="00A36E7B">
              <w:rPr>
                <w:rFonts w:ascii="Arial" w:hAnsi="Arial" w:cs="Arial"/>
                <w:sz w:val="22"/>
                <w:szCs w:val="22"/>
                <w:lang w:val="en-US"/>
              </w:rPr>
              <w:t>WARD</w:t>
            </w:r>
            <w:proofErr w:type="gramEnd"/>
            <w:r w:rsidR="00A36E7B">
              <w:rPr>
                <w:rFonts w:ascii="Arial" w:hAnsi="Arial" w:cs="Arial"/>
                <w:sz w:val="22"/>
                <w:szCs w:val="22"/>
                <w:lang w:val="en-US"/>
              </w:rPr>
              <w:t xml:space="preserve"> </w:t>
            </w:r>
            <w:r w:rsidRPr="00DD0FAA">
              <w:rPr>
                <w:rFonts w:ascii="Arial" w:hAnsi="Arial" w:cs="Arial"/>
                <w:sz w:val="22"/>
                <w:szCs w:val="22"/>
                <w:lang w:val="en-US"/>
              </w:rPr>
              <w:t>at each hourly snapshot</w:t>
            </w:r>
          </w:p>
        </w:tc>
        <w:tc>
          <w:tcPr>
            <w:tcW w:w="4054" w:type="dxa"/>
            <w:tcMar>
              <w:top w:w="100" w:type="dxa"/>
              <w:left w:w="120" w:type="dxa"/>
              <w:bottom w:w="100" w:type="dxa"/>
              <w:right w:w="120" w:type="dxa"/>
            </w:tcMar>
            <w:vAlign w:val="center"/>
          </w:tcPr>
          <w:p w14:paraId="6F35D0F0" w14:textId="77777777"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sz w:val="22"/>
                <w:szCs w:val="22"/>
                <w:lang w:val="en-US"/>
              </w:rPr>
              <w:t>Staffed, occupied, available and escalation beds; patients medically fit for discharge; occupancy ratio derived in the semantic layer</w:t>
            </w:r>
          </w:p>
        </w:tc>
      </w:tr>
      <w:tr w:rsidR="00B624B2" w:rsidRPr="00500B47" w14:paraId="2FA74ED7" w14:textId="77777777" w:rsidTr="00500B47">
        <w:trPr>
          <w:trHeight w:val="661"/>
        </w:trPr>
        <w:tc>
          <w:tcPr>
            <w:tcW w:w="1606" w:type="dxa"/>
            <w:shd w:val="clear" w:color="auto" w:fill="F7F9FB"/>
            <w:tcMar>
              <w:top w:w="100" w:type="dxa"/>
              <w:left w:w="120" w:type="dxa"/>
              <w:bottom w:w="100" w:type="dxa"/>
              <w:right w:w="120" w:type="dxa"/>
            </w:tcMar>
            <w:vAlign w:val="center"/>
          </w:tcPr>
          <w:p w14:paraId="797FFA2E" w14:textId="77777777" w:rsidR="00B624B2" w:rsidRPr="00500B47" w:rsidRDefault="00B624B2" w:rsidP="00500B47">
            <w:pPr>
              <w:spacing w:line="360" w:lineRule="auto"/>
              <w:rPr>
                <w:rFonts w:ascii="Arial" w:hAnsi="Arial" w:cs="Arial"/>
                <w:sz w:val="22"/>
                <w:szCs w:val="22"/>
                <w:lang w:val="en-US"/>
              </w:rPr>
            </w:pPr>
            <w:r w:rsidRPr="00500B47">
              <w:rPr>
                <w:rFonts w:ascii="Arial" w:hAnsi="Arial" w:cs="Arial"/>
                <w:sz w:val="22"/>
                <w:szCs w:val="22"/>
                <w:lang w:val="en-US"/>
              </w:rPr>
              <w:t>FACT_WORKFORCE_SHIFT</w:t>
            </w:r>
          </w:p>
        </w:tc>
        <w:tc>
          <w:tcPr>
            <w:tcW w:w="2562" w:type="dxa"/>
            <w:shd w:val="clear" w:color="auto" w:fill="F7F9FB"/>
            <w:tcMar>
              <w:top w:w="100" w:type="dxa"/>
              <w:left w:w="120" w:type="dxa"/>
              <w:bottom w:w="100" w:type="dxa"/>
              <w:right w:w="120" w:type="dxa"/>
            </w:tcMar>
            <w:vAlign w:val="center"/>
          </w:tcPr>
          <w:p w14:paraId="3DADAA53"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One worker and rostered shift</w:t>
            </w:r>
          </w:p>
        </w:tc>
        <w:tc>
          <w:tcPr>
            <w:tcW w:w="4054" w:type="dxa"/>
            <w:shd w:val="clear" w:color="auto" w:fill="F7F9FB"/>
            <w:tcMar>
              <w:top w:w="100" w:type="dxa"/>
              <w:left w:w="120" w:type="dxa"/>
              <w:bottom w:w="100" w:type="dxa"/>
              <w:right w:w="120" w:type="dxa"/>
            </w:tcMar>
            <w:vAlign w:val="center"/>
          </w:tcPr>
          <w:p w14:paraId="4A6C167B" w14:textId="77777777" w:rsidR="00B624B2" w:rsidRPr="00500B47" w:rsidRDefault="00B624B2" w:rsidP="00500B47">
            <w:pPr>
              <w:pStyle w:val="ListParagraph"/>
              <w:spacing w:line="360" w:lineRule="auto"/>
              <w:rPr>
                <w:rFonts w:ascii="Arial" w:hAnsi="Arial" w:cs="Arial"/>
                <w:sz w:val="22"/>
                <w:szCs w:val="22"/>
                <w:lang w:val="en-US"/>
              </w:rPr>
            </w:pPr>
            <w:r w:rsidRPr="00500B47">
              <w:rPr>
                <w:rFonts w:ascii="Arial" w:hAnsi="Arial" w:cs="Arial"/>
                <w:sz w:val="22"/>
                <w:szCs w:val="22"/>
                <w:lang w:val="en-US"/>
              </w:rPr>
              <w:t>Planned/actual hours, overtime, absence, agency flag and cost; restricted staff key</w:t>
            </w:r>
          </w:p>
        </w:tc>
      </w:tr>
      <w:tr w:rsidR="00B624B2" w:rsidRPr="00500B47" w14:paraId="58C22E0E" w14:textId="77777777" w:rsidTr="00500B47">
        <w:trPr>
          <w:trHeight w:val="924"/>
        </w:trPr>
        <w:tc>
          <w:tcPr>
            <w:tcW w:w="1606" w:type="dxa"/>
            <w:tcMar>
              <w:top w:w="100" w:type="dxa"/>
              <w:left w:w="120" w:type="dxa"/>
              <w:bottom w:w="100" w:type="dxa"/>
              <w:right w:w="120" w:type="dxa"/>
            </w:tcMar>
            <w:vAlign w:val="center"/>
          </w:tcPr>
          <w:p w14:paraId="408865FF" w14:textId="77777777" w:rsidR="00B624B2" w:rsidRPr="00500B47" w:rsidRDefault="00B624B2" w:rsidP="00500B47">
            <w:pPr>
              <w:spacing w:line="360" w:lineRule="auto"/>
              <w:rPr>
                <w:rFonts w:ascii="Arial" w:hAnsi="Arial" w:cs="Arial"/>
                <w:sz w:val="22"/>
                <w:szCs w:val="22"/>
                <w:lang w:val="en-US"/>
              </w:rPr>
            </w:pPr>
            <w:r w:rsidRPr="00500B47">
              <w:rPr>
                <w:rFonts w:ascii="Arial" w:hAnsi="Arial" w:cs="Arial"/>
                <w:sz w:val="22"/>
                <w:szCs w:val="22"/>
                <w:lang w:val="en-US"/>
              </w:rPr>
              <w:t>FACT_QUALITY_EVENT</w:t>
            </w:r>
          </w:p>
        </w:tc>
        <w:tc>
          <w:tcPr>
            <w:tcW w:w="2562" w:type="dxa"/>
            <w:tcMar>
              <w:top w:w="100" w:type="dxa"/>
              <w:left w:w="120" w:type="dxa"/>
              <w:bottom w:w="100" w:type="dxa"/>
              <w:right w:w="120" w:type="dxa"/>
            </w:tcMar>
            <w:vAlign w:val="center"/>
          </w:tcPr>
          <w:p w14:paraId="4BBDC3F3"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One incident, outcome or readmission event</w:t>
            </w:r>
          </w:p>
        </w:tc>
        <w:tc>
          <w:tcPr>
            <w:tcW w:w="4054" w:type="dxa"/>
            <w:tcMar>
              <w:top w:w="100" w:type="dxa"/>
              <w:left w:w="120" w:type="dxa"/>
              <w:bottom w:w="100" w:type="dxa"/>
              <w:right w:w="120" w:type="dxa"/>
            </w:tcMar>
            <w:vAlign w:val="center"/>
          </w:tcPr>
          <w:p w14:paraId="4A1312B9" w14:textId="77777777" w:rsidR="00B624B2" w:rsidRPr="00DD0FAA" w:rsidRDefault="00B624B2" w:rsidP="00DD0FAA">
            <w:pPr>
              <w:spacing w:line="360" w:lineRule="auto"/>
              <w:rPr>
                <w:rFonts w:ascii="Arial" w:hAnsi="Arial" w:cs="Arial"/>
                <w:sz w:val="22"/>
                <w:szCs w:val="22"/>
                <w:lang w:val="en-US"/>
              </w:rPr>
            </w:pPr>
            <w:r w:rsidRPr="00DD0FAA">
              <w:rPr>
                <w:rFonts w:ascii="Arial" w:hAnsi="Arial" w:cs="Arial"/>
                <w:sz w:val="22"/>
                <w:szCs w:val="22"/>
                <w:lang w:val="en-US"/>
              </w:rPr>
              <w:t>Type, harm severity, preventability, source episode and reporting delay</w:t>
            </w:r>
          </w:p>
        </w:tc>
      </w:tr>
    </w:tbl>
    <w:p w14:paraId="3E6ADC8E" w14:textId="77777777" w:rsidR="003429CC" w:rsidRPr="00500B47" w:rsidRDefault="003429CC" w:rsidP="00500B47">
      <w:pPr>
        <w:pStyle w:val="ListParagraph"/>
        <w:spacing w:line="360" w:lineRule="auto"/>
        <w:rPr>
          <w:rFonts w:ascii="Arial" w:hAnsi="Arial" w:cs="Arial"/>
          <w:sz w:val="22"/>
          <w:szCs w:val="22"/>
        </w:rPr>
      </w:pPr>
    </w:p>
    <w:tbl>
      <w:tblPr>
        <w:tblStyle w:val="TableGrid"/>
        <w:tblW w:w="8222" w:type="dxa"/>
        <w:tblInd w:w="701" w:type="dxa"/>
        <w:tblBorders>
          <w:top w:val="single" w:sz="6" w:space="0" w:color="D0D7DE"/>
          <w:left w:val="single" w:sz="6" w:space="0" w:color="D0D7DE"/>
          <w:bottom w:val="single" w:sz="6" w:space="0" w:color="D0D7DE"/>
          <w:right w:val="single" w:sz="6" w:space="0" w:color="D0D7DE"/>
          <w:insideH w:val="single" w:sz="6" w:space="0" w:color="D0D7DE"/>
          <w:insideV w:val="single" w:sz="6" w:space="0" w:color="D0D7DE"/>
        </w:tblBorders>
        <w:tblLayout w:type="fixed"/>
        <w:tblLook w:val="04A0" w:firstRow="1" w:lastRow="0" w:firstColumn="1" w:lastColumn="0" w:noHBand="0" w:noVBand="1"/>
      </w:tblPr>
      <w:tblGrid>
        <w:gridCol w:w="1639"/>
        <w:gridCol w:w="2600"/>
        <w:gridCol w:w="3983"/>
      </w:tblGrid>
      <w:tr w:rsidR="004776CA" w:rsidRPr="00500B47" w14:paraId="4D1710F9" w14:textId="77777777" w:rsidTr="00500B47">
        <w:tc>
          <w:tcPr>
            <w:tcW w:w="1639" w:type="dxa"/>
            <w:shd w:val="clear" w:color="auto" w:fill="F7F9FB"/>
            <w:tcMar>
              <w:top w:w="100" w:type="dxa"/>
              <w:left w:w="120" w:type="dxa"/>
              <w:bottom w:w="100" w:type="dxa"/>
              <w:right w:w="120" w:type="dxa"/>
            </w:tcMar>
            <w:vAlign w:val="center"/>
          </w:tcPr>
          <w:p w14:paraId="2AFFBFBC" w14:textId="77777777" w:rsidR="004776CA" w:rsidRPr="00500B47" w:rsidRDefault="004776CA" w:rsidP="00500B47">
            <w:pPr>
              <w:spacing w:line="360" w:lineRule="auto"/>
              <w:rPr>
                <w:rFonts w:ascii="Arial" w:hAnsi="Arial" w:cs="Arial"/>
                <w:sz w:val="22"/>
                <w:szCs w:val="22"/>
                <w:lang w:val="en-US"/>
              </w:rPr>
            </w:pPr>
            <w:r w:rsidRPr="00500B47">
              <w:rPr>
                <w:rFonts w:ascii="Arial" w:hAnsi="Arial" w:cs="Arial"/>
                <w:sz w:val="22"/>
                <w:szCs w:val="22"/>
                <w:lang w:val="en-US"/>
              </w:rPr>
              <w:t>FACT_FINANCE_MONTH</w:t>
            </w:r>
          </w:p>
        </w:tc>
        <w:tc>
          <w:tcPr>
            <w:tcW w:w="2600" w:type="dxa"/>
            <w:shd w:val="clear" w:color="auto" w:fill="F7F9FB"/>
            <w:tcMar>
              <w:top w:w="100" w:type="dxa"/>
              <w:left w:w="120" w:type="dxa"/>
              <w:bottom w:w="100" w:type="dxa"/>
              <w:right w:w="120" w:type="dxa"/>
            </w:tcMar>
            <w:vAlign w:val="center"/>
          </w:tcPr>
          <w:p w14:paraId="306B5DC0" w14:textId="77777777" w:rsidR="004776CA" w:rsidRPr="00DD0FAA" w:rsidRDefault="004776CA" w:rsidP="00DD0FAA">
            <w:pPr>
              <w:spacing w:line="360" w:lineRule="auto"/>
              <w:rPr>
                <w:rFonts w:ascii="Arial" w:hAnsi="Arial" w:cs="Arial"/>
                <w:sz w:val="22"/>
                <w:szCs w:val="22"/>
                <w:lang w:val="en-US"/>
              </w:rPr>
            </w:pPr>
            <w:r w:rsidRPr="00DD0FAA">
              <w:rPr>
                <w:rFonts w:ascii="Arial" w:hAnsi="Arial" w:cs="Arial"/>
                <w:sz w:val="22"/>
                <w:szCs w:val="22"/>
                <w:lang w:val="en-US"/>
              </w:rPr>
              <w:t>One ledger account, organisation, service and month</w:t>
            </w:r>
          </w:p>
        </w:tc>
        <w:tc>
          <w:tcPr>
            <w:tcW w:w="3983" w:type="dxa"/>
            <w:shd w:val="clear" w:color="auto" w:fill="F7F9FB"/>
            <w:tcMar>
              <w:top w:w="100" w:type="dxa"/>
              <w:left w:w="120" w:type="dxa"/>
              <w:bottom w:w="100" w:type="dxa"/>
              <w:right w:w="120" w:type="dxa"/>
            </w:tcMar>
            <w:vAlign w:val="center"/>
          </w:tcPr>
          <w:p w14:paraId="21F8490C" w14:textId="77777777" w:rsidR="004776CA" w:rsidRPr="00DD0FAA" w:rsidRDefault="004776CA" w:rsidP="00DD0FAA">
            <w:pPr>
              <w:spacing w:line="360" w:lineRule="auto"/>
              <w:rPr>
                <w:rFonts w:ascii="Arial" w:hAnsi="Arial" w:cs="Arial"/>
                <w:sz w:val="22"/>
                <w:szCs w:val="22"/>
                <w:lang w:val="en-US"/>
              </w:rPr>
            </w:pPr>
            <w:r w:rsidRPr="00DD0FAA">
              <w:rPr>
                <w:rFonts w:ascii="Arial" w:hAnsi="Arial" w:cs="Arial"/>
                <w:sz w:val="22"/>
                <w:szCs w:val="22"/>
                <w:lang w:val="en-US"/>
              </w:rPr>
              <w:t>Budget, commitment, actual, forecast, variance and close status</w:t>
            </w:r>
          </w:p>
        </w:tc>
      </w:tr>
      <w:tr w:rsidR="004776CA" w:rsidRPr="00500B47" w14:paraId="1A99A557" w14:textId="77777777" w:rsidTr="00500B47">
        <w:tc>
          <w:tcPr>
            <w:tcW w:w="1639" w:type="dxa"/>
            <w:tcMar>
              <w:top w:w="100" w:type="dxa"/>
              <w:left w:w="120" w:type="dxa"/>
              <w:bottom w:w="100" w:type="dxa"/>
              <w:right w:w="120" w:type="dxa"/>
            </w:tcMar>
            <w:vAlign w:val="center"/>
          </w:tcPr>
          <w:p w14:paraId="08F30278" w14:textId="77777777" w:rsidR="004776CA" w:rsidRPr="00500B47" w:rsidRDefault="004776CA" w:rsidP="00500B47">
            <w:pPr>
              <w:spacing w:line="360" w:lineRule="auto"/>
              <w:rPr>
                <w:rFonts w:ascii="Arial" w:hAnsi="Arial" w:cs="Arial"/>
                <w:sz w:val="22"/>
                <w:szCs w:val="22"/>
                <w:lang w:val="en-US"/>
              </w:rPr>
            </w:pPr>
            <w:r w:rsidRPr="00500B47">
              <w:rPr>
                <w:rFonts w:ascii="Arial" w:hAnsi="Arial" w:cs="Arial"/>
                <w:sz w:val="22"/>
                <w:szCs w:val="22"/>
                <w:lang w:val="en-US"/>
              </w:rPr>
              <w:t>FACT_MONTHLY_KPI</w:t>
            </w:r>
          </w:p>
        </w:tc>
        <w:tc>
          <w:tcPr>
            <w:tcW w:w="2600" w:type="dxa"/>
            <w:tcMar>
              <w:top w:w="100" w:type="dxa"/>
              <w:left w:w="120" w:type="dxa"/>
              <w:bottom w:w="100" w:type="dxa"/>
              <w:right w:w="120" w:type="dxa"/>
            </w:tcMar>
            <w:vAlign w:val="center"/>
          </w:tcPr>
          <w:p w14:paraId="6DB2592F" w14:textId="6F0CCE6B" w:rsidR="004776CA" w:rsidRPr="00DD0FAA" w:rsidRDefault="004776CA" w:rsidP="00DD0FAA">
            <w:pPr>
              <w:spacing w:line="360" w:lineRule="auto"/>
              <w:rPr>
                <w:rFonts w:ascii="Arial" w:hAnsi="Arial" w:cs="Arial"/>
                <w:sz w:val="22"/>
                <w:szCs w:val="22"/>
                <w:lang w:val="en-US"/>
              </w:rPr>
            </w:pPr>
            <w:r w:rsidRPr="00DD0FAA">
              <w:rPr>
                <w:rFonts w:ascii="Arial" w:hAnsi="Arial" w:cs="Arial"/>
                <w:sz w:val="22"/>
                <w:szCs w:val="22"/>
                <w:lang w:val="en-US"/>
              </w:rPr>
              <w:t xml:space="preserve">One </w:t>
            </w:r>
            <w:r w:rsidR="00C35001">
              <w:rPr>
                <w:rFonts w:ascii="Arial" w:hAnsi="Arial" w:cs="Arial"/>
                <w:sz w:val="22"/>
                <w:szCs w:val="22"/>
                <w:lang w:val="en-US"/>
              </w:rPr>
              <w:t>organisation</w:t>
            </w:r>
            <w:r w:rsidRPr="00DD0FAA">
              <w:rPr>
                <w:rFonts w:ascii="Arial" w:hAnsi="Arial" w:cs="Arial"/>
                <w:sz w:val="22"/>
                <w:szCs w:val="22"/>
                <w:lang w:val="en-US"/>
              </w:rPr>
              <w:t>, service, metric and month</w:t>
            </w:r>
          </w:p>
        </w:tc>
        <w:tc>
          <w:tcPr>
            <w:tcW w:w="3983" w:type="dxa"/>
            <w:tcMar>
              <w:top w:w="100" w:type="dxa"/>
              <w:left w:w="120" w:type="dxa"/>
              <w:bottom w:w="100" w:type="dxa"/>
              <w:right w:w="120" w:type="dxa"/>
            </w:tcMar>
            <w:vAlign w:val="center"/>
          </w:tcPr>
          <w:p w14:paraId="6E1444A0" w14:textId="77777777" w:rsidR="004776CA" w:rsidRPr="00DD0FAA" w:rsidRDefault="004776CA" w:rsidP="00DD0FAA">
            <w:pPr>
              <w:spacing w:line="360" w:lineRule="auto"/>
              <w:rPr>
                <w:rFonts w:ascii="Arial" w:hAnsi="Arial" w:cs="Arial"/>
                <w:sz w:val="22"/>
                <w:szCs w:val="22"/>
                <w:lang w:val="en-US"/>
              </w:rPr>
            </w:pPr>
            <w:r w:rsidRPr="00DD0FAA">
              <w:rPr>
                <w:rFonts w:ascii="Arial" w:hAnsi="Arial" w:cs="Arial"/>
                <w:sz w:val="22"/>
                <w:szCs w:val="22"/>
                <w:lang w:val="en-US"/>
              </w:rPr>
              <w:t>Numerator, denominator, value, target version, completeness, publication status</w:t>
            </w:r>
          </w:p>
        </w:tc>
      </w:tr>
    </w:tbl>
    <w:p w14:paraId="768C7C8D" w14:textId="0A15F94B" w:rsidR="003429CC" w:rsidRPr="00500B47" w:rsidRDefault="0076697B" w:rsidP="00500B47">
      <w:pPr>
        <w:pStyle w:val="ListParagraph"/>
        <w:spacing w:line="360" w:lineRule="auto"/>
        <w:rPr>
          <w:rFonts w:ascii="Arial" w:hAnsi="Arial" w:cs="Arial"/>
          <w:b/>
          <w:bCs/>
          <w:sz w:val="22"/>
          <w:szCs w:val="22"/>
        </w:rPr>
      </w:pPr>
      <w:r w:rsidRPr="00500B47">
        <w:rPr>
          <w:rFonts w:ascii="Arial" w:hAnsi="Arial" w:cs="Arial"/>
          <w:b/>
          <w:bCs/>
          <w:sz w:val="22"/>
          <w:szCs w:val="22"/>
        </w:rPr>
        <w:t xml:space="preserve">Table </w:t>
      </w:r>
      <w:r w:rsidR="00F10901" w:rsidRPr="00500B47">
        <w:rPr>
          <w:rFonts w:ascii="Arial" w:hAnsi="Arial" w:cs="Arial"/>
          <w:b/>
          <w:bCs/>
          <w:sz w:val="22"/>
          <w:szCs w:val="22"/>
        </w:rPr>
        <w:t>1:</w:t>
      </w:r>
      <w:r w:rsidR="00DC2FC4" w:rsidRPr="00500B47">
        <w:rPr>
          <w:rFonts w:ascii="Arial" w:hAnsi="Arial" w:cs="Arial"/>
          <w:b/>
          <w:bCs/>
          <w:sz w:val="22"/>
          <w:szCs w:val="22"/>
        </w:rPr>
        <w:t xml:space="preserve"> </w:t>
      </w:r>
      <w:r w:rsidR="00F06480" w:rsidRPr="00500B47">
        <w:rPr>
          <w:rFonts w:ascii="Arial" w:hAnsi="Arial" w:cs="Arial"/>
          <w:b/>
          <w:bCs/>
          <w:sz w:val="22"/>
          <w:szCs w:val="22"/>
        </w:rPr>
        <w:t>Fact</w:t>
      </w:r>
      <w:r w:rsidR="00C35001">
        <w:rPr>
          <w:rFonts w:ascii="Arial" w:hAnsi="Arial" w:cs="Arial"/>
          <w:b/>
          <w:bCs/>
          <w:sz w:val="22"/>
          <w:szCs w:val="22"/>
        </w:rPr>
        <w:t>s</w:t>
      </w:r>
      <w:r w:rsidR="00F06480" w:rsidRPr="00500B47">
        <w:rPr>
          <w:rFonts w:ascii="Arial" w:hAnsi="Arial" w:cs="Arial"/>
          <w:b/>
          <w:bCs/>
          <w:sz w:val="22"/>
          <w:szCs w:val="22"/>
        </w:rPr>
        <w:t xml:space="preserve"> table</w:t>
      </w:r>
      <w:r w:rsidR="00F80CE4" w:rsidRPr="00500B47">
        <w:rPr>
          <w:rFonts w:ascii="Arial" w:hAnsi="Arial" w:cs="Arial"/>
          <w:b/>
          <w:bCs/>
          <w:sz w:val="22"/>
          <w:szCs w:val="22"/>
        </w:rPr>
        <w:t xml:space="preserve"> </w:t>
      </w:r>
      <w:sdt>
        <w:sdtPr>
          <w:rPr>
            <w:rFonts w:ascii="Arial" w:hAnsi="Arial" w:cs="Arial"/>
            <w:b/>
            <w:bCs/>
            <w:color w:val="000000"/>
            <w:sz w:val="22"/>
            <w:szCs w:val="22"/>
            <w:highlight w:val="white"/>
          </w:rPr>
          <w:alias w:val="Citation"/>
          <w:tag w:val="{&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425354"/>
          <w:placeholder>
            <w:docPart w:val="5A7BBEF3D55C43D1B59BDA8A68A241C9"/>
          </w:placeholder>
        </w:sdtPr>
        <w:sdtContent>
          <w:r w:rsidR="00DE7B3F" w:rsidRPr="00500B47">
            <w:rPr>
              <w:rFonts w:ascii="Arial" w:eastAsia="Times New Roman" w:hAnsi="Arial" w:cs="Arial"/>
              <w:color w:val="000000"/>
              <w:sz w:val="22"/>
              <w:szCs w:val="22"/>
            </w:rPr>
            <w:t>[7]</w:t>
          </w:r>
        </w:sdtContent>
      </w:sdt>
    </w:p>
    <w:p w14:paraId="55B01273" w14:textId="77777777" w:rsidR="003429CC" w:rsidRPr="00515AB9" w:rsidRDefault="003429CC" w:rsidP="00515AB9">
      <w:pPr>
        <w:spacing w:line="360" w:lineRule="auto"/>
        <w:rPr>
          <w:rFonts w:ascii="Arial" w:hAnsi="Arial" w:cs="Arial"/>
          <w:sz w:val="22"/>
          <w:szCs w:val="22"/>
        </w:rPr>
      </w:pPr>
    </w:p>
    <w:p w14:paraId="0787072F" w14:textId="1FC67A47" w:rsidR="001E4D8C" w:rsidRPr="00515AB9" w:rsidRDefault="001E4D8C" w:rsidP="00515AB9">
      <w:pPr>
        <w:pStyle w:val="Heading2"/>
        <w:spacing w:line="360" w:lineRule="auto"/>
        <w:jc w:val="center"/>
        <w:rPr>
          <w:rFonts w:ascii="Arial" w:hAnsi="Arial" w:cs="Arial"/>
          <w:b/>
          <w:bCs/>
          <w:color w:val="auto"/>
          <w:sz w:val="22"/>
          <w:szCs w:val="22"/>
        </w:rPr>
      </w:pPr>
      <w:bookmarkStart w:id="11" w:name="_Toc236712623"/>
      <w:r w:rsidRPr="00515AB9">
        <w:rPr>
          <w:rFonts w:ascii="Arial" w:hAnsi="Arial" w:cs="Arial"/>
          <w:b/>
          <w:bCs/>
          <w:color w:val="auto"/>
          <w:sz w:val="22"/>
          <w:szCs w:val="22"/>
        </w:rPr>
        <w:lastRenderedPageBreak/>
        <w:t>2.3 Data marts and schema</w:t>
      </w:r>
      <w:bookmarkEnd w:id="11"/>
    </w:p>
    <w:p w14:paraId="5372088C" w14:textId="77777777" w:rsidR="00093A52" w:rsidRPr="00515AB9" w:rsidRDefault="00093A52" w:rsidP="00515AB9">
      <w:pPr>
        <w:spacing w:line="360" w:lineRule="auto"/>
        <w:rPr>
          <w:rFonts w:ascii="Arial" w:hAnsi="Arial" w:cs="Arial"/>
          <w:sz w:val="22"/>
          <w:szCs w:val="22"/>
        </w:rPr>
      </w:pPr>
    </w:p>
    <w:p w14:paraId="4E2CFD92" w14:textId="651C0AC6" w:rsidR="002240F0" w:rsidRPr="00500B47" w:rsidRDefault="00093A52" w:rsidP="00500B47">
      <w:pPr>
        <w:pStyle w:val="ListParagraph"/>
        <w:spacing w:line="360" w:lineRule="auto"/>
        <w:rPr>
          <w:rFonts w:ascii="Arial" w:hAnsi="Arial" w:cs="Arial"/>
          <w:sz w:val="22"/>
          <w:szCs w:val="22"/>
        </w:rPr>
      </w:pPr>
      <w:r w:rsidRPr="00500B47">
        <w:rPr>
          <w:rFonts w:ascii="Arial" w:hAnsi="Arial" w:cs="Arial"/>
          <w:sz w:val="22"/>
          <w:szCs w:val="22"/>
        </w:rPr>
        <w:t>The marts should work as controlled views built from the same main data model, not as separate databases with different definitions. Row-level security limits users to approved organisations and services, while column masking hides sensitive patient and staff information.</w:t>
      </w:r>
    </w:p>
    <w:p w14:paraId="0F6F7FEB" w14:textId="330E7EFC" w:rsidR="000D235A" w:rsidRPr="00500B47" w:rsidRDefault="000D235A" w:rsidP="00500B47">
      <w:pPr>
        <w:pStyle w:val="ListParagraph"/>
        <w:spacing w:line="360" w:lineRule="auto"/>
        <w:rPr>
          <w:rFonts w:ascii="Arial" w:hAnsi="Arial" w:cs="Arial"/>
          <w:sz w:val="22"/>
          <w:szCs w:val="22"/>
        </w:rPr>
      </w:pPr>
      <w:r w:rsidRPr="00500B47">
        <w:rPr>
          <w:rFonts w:ascii="Arial" w:hAnsi="Arial" w:cs="Arial"/>
          <w:sz w:val="22"/>
          <w:szCs w:val="22"/>
        </w:rPr>
        <w:t>“</w:t>
      </w:r>
      <w:r w:rsidRPr="00500B47">
        <w:rPr>
          <w:rFonts w:ascii="Arial" w:hAnsi="Arial" w:cs="Arial"/>
          <w:sz w:val="22"/>
          <w:szCs w:val="22"/>
        </w:rPr>
        <w:t xml:space="preserve">Data marts can be designed with star schema, snowflake schema or starflake schema. The star schema is the utmost simple of all the styles associated to data mart and data warehousing. It contains only of few fact tables. The snowflake schema is a deviation of the star </w:t>
      </w:r>
      <w:r w:rsidR="00F10901" w:rsidRPr="00500B47">
        <w:rPr>
          <w:rFonts w:ascii="Arial" w:hAnsi="Arial" w:cs="Arial"/>
          <w:sz w:val="22"/>
          <w:szCs w:val="22"/>
        </w:rPr>
        <w:t>schema,</w:t>
      </w:r>
      <w:r w:rsidRPr="00500B47">
        <w:rPr>
          <w:rFonts w:ascii="Arial" w:hAnsi="Arial" w:cs="Arial"/>
          <w:sz w:val="22"/>
          <w:szCs w:val="22"/>
        </w:rPr>
        <w:t xml:space="preserve"> and the storing method is of multidimensional nature. The starflake schema is a fusion mixture of together the star and snowflake schemas.</w:t>
      </w:r>
      <w:r w:rsidRPr="00500B47">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8099652"/>
          <w:placeholder>
            <w:docPart w:val="2D655595E98E41279DEF722FDF3106E2"/>
          </w:placeholder>
        </w:sdtPr>
        <w:sdtContent>
          <w:r w:rsidR="00DE7B3F" w:rsidRPr="00500B47">
            <w:rPr>
              <w:rFonts w:ascii="Arial" w:eastAsia="Times New Roman" w:hAnsi="Arial" w:cs="Arial"/>
              <w:color w:val="000000"/>
              <w:sz w:val="22"/>
              <w:szCs w:val="22"/>
            </w:rPr>
            <w:t>[10]</w:t>
          </w:r>
        </w:sdtContent>
      </w:sdt>
    </w:p>
    <w:p w14:paraId="3C1543F7" w14:textId="77777777" w:rsidR="00C35001" w:rsidRDefault="004B67E6" w:rsidP="00500B47">
      <w:pPr>
        <w:pStyle w:val="ListParagraph"/>
        <w:spacing w:line="360" w:lineRule="auto"/>
        <w:rPr>
          <w:rFonts w:ascii="Arial" w:hAnsi="Arial" w:cs="Arial"/>
          <w:sz w:val="22"/>
          <w:szCs w:val="22"/>
        </w:rPr>
      </w:pPr>
      <w:r w:rsidRPr="00500B47">
        <w:rPr>
          <w:rFonts w:ascii="Arial" w:hAnsi="Arial" w:cs="Arial"/>
          <w:sz w:val="22"/>
          <w:szCs w:val="22"/>
        </w:rPr>
        <w:t>The operations mart should be refreshed regularly because it supports daily decisions about patient flow, bed use and waiting lists. It should quickly show current issues, not just past results.</w:t>
      </w:r>
      <w:r w:rsidR="00093A52" w:rsidRPr="00500B47">
        <w:rPr>
          <w:rFonts w:ascii="Arial" w:hAnsi="Arial" w:cs="Arial"/>
          <w:sz w:val="22"/>
          <w:szCs w:val="22"/>
        </w:rPr>
        <w:t xml:space="preserve">                                                                                                                                                </w:t>
      </w:r>
      <w:r w:rsidRPr="00500B47">
        <w:rPr>
          <w:rFonts w:ascii="Arial" w:hAnsi="Arial" w:cs="Arial"/>
          <w:sz w:val="22"/>
          <w:szCs w:val="22"/>
        </w:rPr>
        <w:t xml:space="preserve">The finance mart should match the general ledger and keep locked month-end reports. The quality mart should allow fair comparisons using risk adjustment and hide very small figures when needed. </w:t>
      </w:r>
      <w:r w:rsidR="00093A52" w:rsidRPr="00500B47">
        <w:rPr>
          <w:rFonts w:ascii="Arial" w:hAnsi="Arial" w:cs="Arial"/>
          <w:sz w:val="22"/>
          <w:szCs w:val="22"/>
        </w:rPr>
        <w:t xml:space="preserve">                                                                                                                               </w:t>
      </w:r>
      <w:r w:rsidRPr="00500B47">
        <w:rPr>
          <w:rFonts w:ascii="Arial" w:hAnsi="Arial" w:cs="Arial"/>
          <w:sz w:val="22"/>
          <w:szCs w:val="22"/>
        </w:rPr>
        <w:t>The workforce mart should clearly separate planned, worked and paid hours.</w:t>
      </w:r>
      <w:r w:rsidR="00093A52" w:rsidRPr="00500B47">
        <w:rPr>
          <w:rFonts w:ascii="Arial" w:hAnsi="Arial" w:cs="Arial"/>
          <w:sz w:val="22"/>
          <w:szCs w:val="22"/>
        </w:rPr>
        <w:t xml:space="preserve"> </w:t>
      </w:r>
      <w:r w:rsidRPr="00500B47">
        <w:rPr>
          <w:rFonts w:ascii="Arial" w:hAnsi="Arial" w:cs="Arial"/>
          <w:sz w:val="22"/>
          <w:szCs w:val="22"/>
        </w:rPr>
        <w:t xml:space="preserve">The executive mart should only include approved measures. </w:t>
      </w:r>
      <w:r w:rsidR="00093A52" w:rsidRPr="00500B47">
        <w:rPr>
          <w:rFonts w:ascii="Arial" w:hAnsi="Arial" w:cs="Arial"/>
          <w:sz w:val="22"/>
          <w:szCs w:val="22"/>
        </w:rPr>
        <w:t xml:space="preserve">                                                                </w:t>
      </w:r>
      <w:r w:rsidRPr="00500B47">
        <w:rPr>
          <w:rFonts w:ascii="Arial" w:hAnsi="Arial" w:cs="Arial"/>
          <w:sz w:val="22"/>
          <w:szCs w:val="22"/>
        </w:rPr>
        <w:t xml:space="preserve">Each measure should show its definition, owner, last update and data-quality score. </w:t>
      </w:r>
      <w:r w:rsidR="00093A52" w:rsidRPr="00500B47">
        <w:rPr>
          <w:rFonts w:ascii="Arial" w:hAnsi="Arial" w:cs="Arial"/>
          <w:sz w:val="22"/>
          <w:szCs w:val="22"/>
        </w:rPr>
        <w:t xml:space="preserve">                                                                     </w:t>
      </w:r>
      <w:r w:rsidRPr="00500B47">
        <w:rPr>
          <w:rFonts w:ascii="Arial" w:hAnsi="Arial" w:cs="Arial"/>
          <w:sz w:val="22"/>
          <w:szCs w:val="22"/>
        </w:rPr>
        <w:t xml:space="preserve">Shared dimensions help NHS leaders compare different areas, such as agency staffing, delayed discharges and safety concerns. </w:t>
      </w:r>
      <w:r w:rsidR="00093A52" w:rsidRPr="00500B47">
        <w:rPr>
          <w:rFonts w:ascii="Arial" w:hAnsi="Arial" w:cs="Arial"/>
          <w:sz w:val="22"/>
          <w:szCs w:val="22"/>
        </w:rPr>
        <w:t xml:space="preserve">  </w:t>
      </w:r>
    </w:p>
    <w:p w14:paraId="557EA393" w14:textId="231C4320" w:rsidR="004B67E6" w:rsidRPr="00500B47" w:rsidRDefault="004B67E6" w:rsidP="00500B47">
      <w:pPr>
        <w:pStyle w:val="ListParagraph"/>
        <w:spacing w:line="360" w:lineRule="auto"/>
        <w:rPr>
          <w:rFonts w:ascii="Arial" w:hAnsi="Arial" w:cs="Arial"/>
          <w:sz w:val="22"/>
          <w:szCs w:val="22"/>
        </w:rPr>
      </w:pPr>
      <w:r w:rsidRPr="00500B47">
        <w:rPr>
          <w:rFonts w:ascii="Arial" w:hAnsi="Arial" w:cs="Arial"/>
          <w:sz w:val="22"/>
          <w:szCs w:val="22"/>
        </w:rPr>
        <w:t>Strong access controls are also needed to protect patient-level information.</w:t>
      </w:r>
    </w:p>
    <w:p w14:paraId="1D17508C" w14:textId="6925D1DA" w:rsidR="00B77E06" w:rsidRPr="00500B47" w:rsidRDefault="00B77E06" w:rsidP="00500B47">
      <w:pPr>
        <w:pStyle w:val="ListParagraph"/>
        <w:spacing w:line="360" w:lineRule="auto"/>
        <w:rPr>
          <w:rFonts w:ascii="Arial" w:hAnsi="Arial" w:cs="Arial"/>
          <w:sz w:val="22"/>
          <w:szCs w:val="22"/>
        </w:rPr>
      </w:pPr>
      <w:r w:rsidRPr="00500B47">
        <w:rPr>
          <w:rFonts w:ascii="Arial" w:hAnsi="Arial" w:cs="Arial"/>
          <w:sz w:val="22"/>
          <w:szCs w:val="22"/>
        </w:rPr>
        <w:t>“</w:t>
      </w:r>
      <w:r w:rsidRPr="00500B47">
        <w:rPr>
          <w:rFonts w:ascii="Arial" w:hAnsi="Arial" w:cs="Arial"/>
          <w:sz w:val="22"/>
          <w:szCs w:val="22"/>
        </w:rPr>
        <w:t xml:space="preserve">Data marts are exclusively useful to make access to exact frequently access data very ease. It can give a collective picture or a certain aspect in the business by a particular group of users. Since data marts are smaller compared to a full data warehouse, reaction time could be </w:t>
      </w:r>
      <w:r w:rsidR="00F10901" w:rsidRPr="00500B47">
        <w:rPr>
          <w:rFonts w:ascii="Arial" w:hAnsi="Arial" w:cs="Arial"/>
          <w:sz w:val="22"/>
          <w:szCs w:val="22"/>
        </w:rPr>
        <w:t>reduced,</w:t>
      </w:r>
      <w:r w:rsidRPr="00500B47">
        <w:rPr>
          <w:rFonts w:ascii="Arial" w:hAnsi="Arial" w:cs="Arial"/>
          <w:sz w:val="22"/>
          <w:szCs w:val="22"/>
        </w:rPr>
        <w:t xml:space="preserve"> and the cost of imbedding could also be less expensive.</w:t>
      </w:r>
      <w:r w:rsidRPr="00500B47">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3143144"/>
          <w:placeholder>
            <w:docPart w:val="269EBE556E5C4E95AB498392DEDC8E21"/>
          </w:placeholder>
        </w:sdtPr>
        <w:sdtContent>
          <w:r w:rsidR="00DE7B3F" w:rsidRPr="00500B47">
            <w:rPr>
              <w:rFonts w:ascii="Arial" w:eastAsia="Times New Roman" w:hAnsi="Arial" w:cs="Arial"/>
              <w:color w:val="000000"/>
              <w:sz w:val="22"/>
              <w:szCs w:val="22"/>
            </w:rPr>
            <w:t>[10]</w:t>
          </w:r>
        </w:sdtContent>
      </w:sdt>
    </w:p>
    <w:p w14:paraId="13FE9917" w14:textId="77777777" w:rsidR="00093A52" w:rsidRPr="00500B47" w:rsidRDefault="00093A52" w:rsidP="00500B47">
      <w:pPr>
        <w:pStyle w:val="ListParagraph"/>
        <w:spacing w:line="360" w:lineRule="auto"/>
        <w:rPr>
          <w:rFonts w:ascii="Arial" w:hAnsi="Arial" w:cs="Arial"/>
          <w:sz w:val="22"/>
          <w:szCs w:val="22"/>
        </w:rPr>
      </w:pPr>
    </w:p>
    <w:p w14:paraId="2A292399" w14:textId="77777777" w:rsidR="00093A52" w:rsidRPr="00500B47" w:rsidRDefault="00093A52" w:rsidP="00500B47">
      <w:pPr>
        <w:pStyle w:val="ListParagraph"/>
        <w:spacing w:line="360" w:lineRule="auto"/>
        <w:rPr>
          <w:rFonts w:ascii="Arial" w:hAnsi="Arial" w:cs="Arial"/>
          <w:sz w:val="22"/>
          <w:szCs w:val="22"/>
        </w:rPr>
      </w:pPr>
    </w:p>
    <w:p w14:paraId="5C2E8DE3" w14:textId="77777777" w:rsidR="00093A52" w:rsidRPr="00500B47" w:rsidRDefault="00093A52" w:rsidP="00500B47">
      <w:pPr>
        <w:pStyle w:val="ListParagraph"/>
        <w:spacing w:line="360" w:lineRule="auto"/>
        <w:rPr>
          <w:rFonts w:ascii="Arial" w:hAnsi="Arial" w:cs="Arial"/>
          <w:sz w:val="22"/>
          <w:szCs w:val="22"/>
        </w:rPr>
      </w:pPr>
    </w:p>
    <w:p w14:paraId="664228C2" w14:textId="77777777" w:rsidR="00093A52" w:rsidRPr="00500B47" w:rsidRDefault="00093A52" w:rsidP="00500B47">
      <w:pPr>
        <w:pStyle w:val="ListParagraph"/>
        <w:spacing w:line="360" w:lineRule="auto"/>
        <w:rPr>
          <w:rFonts w:ascii="Arial" w:hAnsi="Arial" w:cs="Arial"/>
          <w:sz w:val="22"/>
          <w:szCs w:val="22"/>
        </w:rPr>
      </w:pPr>
    </w:p>
    <w:p w14:paraId="146426D1" w14:textId="77777777" w:rsidR="00D1501A" w:rsidRPr="00500B47" w:rsidRDefault="00D1501A" w:rsidP="00500B47">
      <w:pPr>
        <w:pStyle w:val="ListParagraph"/>
        <w:spacing w:line="360" w:lineRule="auto"/>
        <w:rPr>
          <w:rFonts w:ascii="Arial" w:hAnsi="Arial" w:cs="Arial"/>
          <w:sz w:val="22"/>
          <w:szCs w:val="22"/>
        </w:rPr>
      </w:pPr>
    </w:p>
    <w:tbl>
      <w:tblPr>
        <w:tblStyle w:val="TableGrid"/>
        <w:tblpPr w:leftFromText="180" w:rightFromText="180" w:vertAnchor="text" w:tblpXSpec="right" w:tblpY="1"/>
        <w:tblOverlap w:val="never"/>
        <w:tblW w:w="8497" w:type="dxa"/>
        <w:tblBorders>
          <w:top w:val="single" w:sz="6" w:space="0" w:color="D0D7DE"/>
          <w:left w:val="single" w:sz="6" w:space="0" w:color="D0D7DE"/>
          <w:bottom w:val="single" w:sz="6" w:space="0" w:color="D0D7DE"/>
          <w:right w:val="single" w:sz="6" w:space="0" w:color="D0D7DE"/>
          <w:insideH w:val="single" w:sz="6" w:space="0" w:color="D0D7DE"/>
          <w:insideV w:val="single" w:sz="6" w:space="0" w:color="D0D7DE"/>
        </w:tblBorders>
        <w:tblLayout w:type="fixed"/>
        <w:tblLook w:val="04A0" w:firstRow="1" w:lastRow="0" w:firstColumn="1" w:lastColumn="0" w:noHBand="0" w:noVBand="1"/>
      </w:tblPr>
      <w:tblGrid>
        <w:gridCol w:w="1707"/>
        <w:gridCol w:w="3727"/>
        <w:gridCol w:w="3063"/>
      </w:tblGrid>
      <w:tr w:rsidR="00E75FF1" w:rsidRPr="00500B47" w14:paraId="769E7030" w14:textId="77777777" w:rsidTr="00E10A36">
        <w:trPr>
          <w:trHeight w:val="298"/>
          <w:tblHeader/>
        </w:trPr>
        <w:tc>
          <w:tcPr>
            <w:tcW w:w="1707" w:type="dxa"/>
            <w:shd w:val="clear" w:color="auto" w:fill="75BDA7" w:themeFill="accent3"/>
            <w:tcMar>
              <w:top w:w="100" w:type="dxa"/>
              <w:left w:w="120" w:type="dxa"/>
              <w:bottom w:w="100" w:type="dxa"/>
              <w:right w:w="120" w:type="dxa"/>
            </w:tcMar>
            <w:vAlign w:val="center"/>
          </w:tcPr>
          <w:p w14:paraId="2A59646A" w14:textId="77777777" w:rsidR="00E75FF1" w:rsidRPr="00500B47" w:rsidRDefault="00E75FF1" w:rsidP="00500B47">
            <w:pPr>
              <w:pStyle w:val="ListParagraph"/>
              <w:spacing w:line="360" w:lineRule="auto"/>
              <w:rPr>
                <w:rFonts w:ascii="Arial" w:hAnsi="Arial" w:cs="Arial"/>
                <w:sz w:val="22"/>
                <w:szCs w:val="22"/>
                <w:lang w:val="en-US"/>
              </w:rPr>
            </w:pPr>
            <w:r w:rsidRPr="00500B47">
              <w:rPr>
                <w:rFonts w:ascii="Arial" w:hAnsi="Arial" w:cs="Arial"/>
                <w:b/>
                <w:sz w:val="22"/>
                <w:szCs w:val="22"/>
                <w:lang w:val="en-US"/>
              </w:rPr>
              <w:lastRenderedPageBreak/>
              <w:t>Mart</w:t>
            </w:r>
          </w:p>
        </w:tc>
        <w:tc>
          <w:tcPr>
            <w:tcW w:w="3727" w:type="dxa"/>
            <w:shd w:val="clear" w:color="auto" w:fill="003087"/>
            <w:tcMar>
              <w:top w:w="100" w:type="dxa"/>
              <w:left w:w="120" w:type="dxa"/>
              <w:bottom w:w="100" w:type="dxa"/>
              <w:right w:w="120" w:type="dxa"/>
            </w:tcMar>
            <w:vAlign w:val="center"/>
          </w:tcPr>
          <w:p w14:paraId="426E100C" w14:textId="77777777" w:rsidR="00E75FF1" w:rsidRPr="00500B47" w:rsidRDefault="00E75FF1" w:rsidP="00500B47">
            <w:pPr>
              <w:pStyle w:val="ListParagraph"/>
              <w:spacing w:line="360" w:lineRule="auto"/>
              <w:rPr>
                <w:rFonts w:ascii="Arial" w:hAnsi="Arial" w:cs="Arial"/>
                <w:sz w:val="22"/>
                <w:szCs w:val="22"/>
                <w:lang w:val="en-US"/>
              </w:rPr>
            </w:pPr>
            <w:r w:rsidRPr="00500B47">
              <w:rPr>
                <w:rFonts w:ascii="Arial" w:hAnsi="Arial" w:cs="Arial"/>
                <w:b/>
                <w:sz w:val="22"/>
                <w:szCs w:val="22"/>
                <w:lang w:val="en-US"/>
              </w:rPr>
              <w:t>Schema and data</w:t>
            </w:r>
          </w:p>
        </w:tc>
        <w:tc>
          <w:tcPr>
            <w:tcW w:w="3063" w:type="dxa"/>
            <w:shd w:val="clear" w:color="auto" w:fill="003087"/>
            <w:tcMar>
              <w:top w:w="100" w:type="dxa"/>
              <w:left w:w="120" w:type="dxa"/>
              <w:bottom w:w="100" w:type="dxa"/>
              <w:right w:w="120" w:type="dxa"/>
            </w:tcMar>
            <w:vAlign w:val="center"/>
          </w:tcPr>
          <w:p w14:paraId="136A7886" w14:textId="77777777" w:rsidR="00E75FF1" w:rsidRPr="00500B47" w:rsidRDefault="00E75FF1" w:rsidP="00500B47">
            <w:pPr>
              <w:pStyle w:val="ListParagraph"/>
              <w:spacing w:line="360" w:lineRule="auto"/>
              <w:rPr>
                <w:rFonts w:ascii="Arial" w:hAnsi="Arial" w:cs="Arial"/>
                <w:sz w:val="22"/>
                <w:szCs w:val="22"/>
                <w:lang w:val="en-US"/>
              </w:rPr>
            </w:pPr>
            <w:r w:rsidRPr="00500B47">
              <w:rPr>
                <w:rFonts w:ascii="Arial" w:hAnsi="Arial" w:cs="Arial"/>
                <w:b/>
                <w:sz w:val="22"/>
                <w:szCs w:val="22"/>
                <w:lang w:val="en-US"/>
              </w:rPr>
              <w:t>Departmental decisions</w:t>
            </w:r>
          </w:p>
        </w:tc>
      </w:tr>
      <w:tr w:rsidR="00E75FF1" w:rsidRPr="00500B47" w14:paraId="13C4F052" w14:textId="77777777" w:rsidTr="00E10A36">
        <w:trPr>
          <w:trHeight w:val="1115"/>
        </w:trPr>
        <w:tc>
          <w:tcPr>
            <w:tcW w:w="1707" w:type="dxa"/>
            <w:tcMar>
              <w:top w:w="100" w:type="dxa"/>
              <w:left w:w="120" w:type="dxa"/>
              <w:bottom w:w="100" w:type="dxa"/>
              <w:right w:w="120" w:type="dxa"/>
            </w:tcMar>
            <w:vAlign w:val="center"/>
          </w:tcPr>
          <w:p w14:paraId="3742D487"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Operations and flow</w:t>
            </w:r>
          </w:p>
        </w:tc>
        <w:tc>
          <w:tcPr>
            <w:tcW w:w="3727" w:type="dxa"/>
            <w:tcMar>
              <w:top w:w="100" w:type="dxa"/>
              <w:left w:w="120" w:type="dxa"/>
              <w:bottom w:w="100" w:type="dxa"/>
              <w:right w:w="120" w:type="dxa"/>
            </w:tcMar>
            <w:vAlign w:val="center"/>
          </w:tcPr>
          <w:p w14:paraId="19E018E2"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BED_SNAPSHOT + REFERRAL_PATHWAY + CARE_EPISODE with Date, Organisation, Service and Patient (banded) dimensions</w:t>
            </w:r>
          </w:p>
        </w:tc>
        <w:tc>
          <w:tcPr>
            <w:tcW w:w="3063" w:type="dxa"/>
            <w:tcMar>
              <w:top w:w="100" w:type="dxa"/>
              <w:left w:w="120" w:type="dxa"/>
              <w:bottom w:w="100" w:type="dxa"/>
              <w:right w:w="120" w:type="dxa"/>
            </w:tcMar>
            <w:vAlign w:val="center"/>
          </w:tcPr>
          <w:p w14:paraId="452767C6"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Escalation beds, discharge coordination, theatre utilisation, backlog prioritisation and rural access</w:t>
            </w:r>
          </w:p>
        </w:tc>
      </w:tr>
      <w:tr w:rsidR="00E75FF1" w:rsidRPr="00500B47" w14:paraId="4C571651" w14:textId="77777777" w:rsidTr="00E10A36">
        <w:trPr>
          <w:trHeight w:val="910"/>
        </w:trPr>
        <w:tc>
          <w:tcPr>
            <w:tcW w:w="1707" w:type="dxa"/>
            <w:shd w:val="clear" w:color="auto" w:fill="F7F9FB"/>
            <w:tcMar>
              <w:top w:w="100" w:type="dxa"/>
              <w:left w:w="120" w:type="dxa"/>
              <w:bottom w:w="100" w:type="dxa"/>
              <w:right w:w="120" w:type="dxa"/>
            </w:tcMar>
            <w:vAlign w:val="center"/>
          </w:tcPr>
          <w:p w14:paraId="05444805"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Finance and value</w:t>
            </w:r>
          </w:p>
        </w:tc>
        <w:tc>
          <w:tcPr>
            <w:tcW w:w="3727" w:type="dxa"/>
            <w:shd w:val="clear" w:color="auto" w:fill="F7F9FB"/>
            <w:tcMar>
              <w:top w:w="100" w:type="dxa"/>
              <w:left w:w="120" w:type="dxa"/>
              <w:bottom w:w="100" w:type="dxa"/>
              <w:right w:w="120" w:type="dxa"/>
            </w:tcMar>
            <w:vAlign w:val="center"/>
          </w:tcPr>
          <w:p w14:paraId="278B8D35"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FINANCE_MONTH + episode cost measures + WORKFORCE_SHIFT with Account, Cost Centre, Organisation and Service</w:t>
            </w:r>
          </w:p>
        </w:tc>
        <w:tc>
          <w:tcPr>
            <w:tcW w:w="3063" w:type="dxa"/>
            <w:shd w:val="clear" w:color="auto" w:fill="F7F9FB"/>
            <w:tcMar>
              <w:top w:w="100" w:type="dxa"/>
              <w:left w:w="120" w:type="dxa"/>
              <w:bottom w:w="100" w:type="dxa"/>
              <w:right w:w="120" w:type="dxa"/>
            </w:tcMar>
            <w:vAlign w:val="center"/>
          </w:tcPr>
          <w:p w14:paraId="2FB4F63C"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Budget control, forecast, tariff recovery, agency reduction and cost-per-pathway variation</w:t>
            </w:r>
          </w:p>
        </w:tc>
      </w:tr>
      <w:tr w:rsidR="00E75FF1" w:rsidRPr="00500B47" w14:paraId="055C0589" w14:textId="77777777" w:rsidTr="00E10A36">
        <w:trPr>
          <w:trHeight w:val="722"/>
        </w:trPr>
        <w:tc>
          <w:tcPr>
            <w:tcW w:w="1707" w:type="dxa"/>
            <w:tcMar>
              <w:top w:w="100" w:type="dxa"/>
              <w:left w:w="120" w:type="dxa"/>
              <w:bottom w:w="100" w:type="dxa"/>
              <w:right w:w="120" w:type="dxa"/>
            </w:tcMar>
            <w:vAlign w:val="center"/>
          </w:tcPr>
          <w:p w14:paraId="43FFF5F2"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Clinical quality</w:t>
            </w:r>
          </w:p>
        </w:tc>
        <w:tc>
          <w:tcPr>
            <w:tcW w:w="3727" w:type="dxa"/>
            <w:tcMar>
              <w:top w:w="100" w:type="dxa"/>
              <w:left w:w="120" w:type="dxa"/>
              <w:bottom w:w="100" w:type="dxa"/>
              <w:right w:w="120" w:type="dxa"/>
            </w:tcMar>
            <w:vAlign w:val="center"/>
          </w:tcPr>
          <w:p w14:paraId="4D8B1A8E"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QUALITY_EVENT + CARE_EPISODE with Patient, Diagnosis, Procedure, Clinician, Organisation and Date</w:t>
            </w:r>
          </w:p>
        </w:tc>
        <w:tc>
          <w:tcPr>
            <w:tcW w:w="3063" w:type="dxa"/>
            <w:tcMar>
              <w:top w:w="100" w:type="dxa"/>
              <w:left w:w="120" w:type="dxa"/>
              <w:bottom w:w="100" w:type="dxa"/>
              <w:right w:w="120" w:type="dxa"/>
            </w:tcMar>
            <w:vAlign w:val="center"/>
          </w:tcPr>
          <w:p w14:paraId="6C86AB06"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Outcome surveillance, mortality/readmission review, incident themes and unwarranted variation</w:t>
            </w:r>
          </w:p>
        </w:tc>
      </w:tr>
      <w:tr w:rsidR="00E75FF1" w:rsidRPr="00500B47" w14:paraId="246D20A6" w14:textId="77777777" w:rsidTr="00E10A36">
        <w:trPr>
          <w:trHeight w:val="910"/>
        </w:trPr>
        <w:tc>
          <w:tcPr>
            <w:tcW w:w="1707" w:type="dxa"/>
            <w:shd w:val="clear" w:color="auto" w:fill="F7F9FB"/>
            <w:tcMar>
              <w:top w:w="100" w:type="dxa"/>
              <w:left w:w="120" w:type="dxa"/>
              <w:bottom w:w="100" w:type="dxa"/>
              <w:right w:w="120" w:type="dxa"/>
            </w:tcMar>
            <w:vAlign w:val="center"/>
          </w:tcPr>
          <w:p w14:paraId="364D1217"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Workforce</w:t>
            </w:r>
          </w:p>
        </w:tc>
        <w:tc>
          <w:tcPr>
            <w:tcW w:w="3727" w:type="dxa"/>
            <w:shd w:val="clear" w:color="auto" w:fill="F7F9FB"/>
            <w:tcMar>
              <w:top w:w="100" w:type="dxa"/>
              <w:left w:w="120" w:type="dxa"/>
              <w:bottom w:w="100" w:type="dxa"/>
              <w:right w:w="120" w:type="dxa"/>
            </w:tcMar>
            <w:vAlign w:val="center"/>
          </w:tcPr>
          <w:p w14:paraId="45BBD479" w14:textId="21A07CC9" w:rsidR="00E75FF1" w:rsidRPr="00C35001" w:rsidRDefault="00C35001" w:rsidP="00C35001">
            <w:pPr>
              <w:spacing w:line="360" w:lineRule="auto"/>
              <w:rPr>
                <w:rFonts w:ascii="Arial" w:hAnsi="Arial" w:cs="Arial"/>
                <w:sz w:val="22"/>
                <w:szCs w:val="22"/>
                <w:lang w:val="en-US"/>
              </w:rPr>
            </w:pPr>
            <w:r>
              <w:rPr>
                <w:rFonts w:ascii="Arial" w:hAnsi="Arial" w:cs="Arial"/>
                <w:sz w:val="22"/>
                <w:szCs w:val="22"/>
                <w:lang w:val="en-US"/>
              </w:rPr>
              <w:t>WORKFORCE_SHIFT</w:t>
            </w:r>
            <w:r w:rsidR="00E75FF1" w:rsidRPr="00C35001">
              <w:rPr>
                <w:rFonts w:ascii="Arial" w:hAnsi="Arial" w:cs="Arial"/>
                <w:sz w:val="22"/>
                <w:szCs w:val="22"/>
                <w:lang w:val="en-US"/>
              </w:rPr>
              <w:t xml:space="preserve"> with Staff, Role, Organisation, Service and Date</w:t>
            </w:r>
          </w:p>
        </w:tc>
        <w:tc>
          <w:tcPr>
            <w:tcW w:w="3063" w:type="dxa"/>
            <w:shd w:val="clear" w:color="auto" w:fill="F7F9FB"/>
            <w:tcMar>
              <w:top w:w="100" w:type="dxa"/>
              <w:left w:w="120" w:type="dxa"/>
              <w:bottom w:w="100" w:type="dxa"/>
              <w:right w:w="120" w:type="dxa"/>
            </w:tcMar>
            <w:vAlign w:val="center"/>
          </w:tcPr>
          <w:p w14:paraId="51D2F0CF"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Vacancy/absence pressure, roster fill, skill mix, overtime, agency dependence and demand matching</w:t>
            </w:r>
          </w:p>
        </w:tc>
      </w:tr>
      <w:tr w:rsidR="00E75FF1" w:rsidRPr="00500B47" w14:paraId="2A504F94" w14:textId="77777777" w:rsidTr="00E10A36">
        <w:trPr>
          <w:trHeight w:val="762"/>
        </w:trPr>
        <w:tc>
          <w:tcPr>
            <w:tcW w:w="1707" w:type="dxa"/>
            <w:tcMar>
              <w:top w:w="100" w:type="dxa"/>
              <w:left w:w="120" w:type="dxa"/>
              <w:bottom w:w="100" w:type="dxa"/>
              <w:right w:w="120" w:type="dxa"/>
            </w:tcMar>
            <w:vAlign w:val="center"/>
          </w:tcPr>
          <w:p w14:paraId="098A45EB" w14:textId="3F0AD5E8" w:rsidR="00E75FF1" w:rsidRPr="00C35001" w:rsidRDefault="00C35001" w:rsidP="00C35001">
            <w:pPr>
              <w:spacing w:line="360" w:lineRule="auto"/>
              <w:rPr>
                <w:rFonts w:ascii="Arial" w:hAnsi="Arial" w:cs="Arial"/>
                <w:sz w:val="22"/>
                <w:szCs w:val="22"/>
                <w:lang w:val="en-US"/>
              </w:rPr>
            </w:pPr>
            <w:r>
              <w:rPr>
                <w:rFonts w:ascii="Arial" w:hAnsi="Arial" w:cs="Arial"/>
                <w:sz w:val="22"/>
                <w:szCs w:val="22"/>
                <w:lang w:val="en-US"/>
              </w:rPr>
              <w:t>Executive/population</w:t>
            </w:r>
          </w:p>
        </w:tc>
        <w:tc>
          <w:tcPr>
            <w:tcW w:w="3727" w:type="dxa"/>
            <w:tcMar>
              <w:top w:w="100" w:type="dxa"/>
              <w:left w:w="120" w:type="dxa"/>
              <w:bottom w:w="100" w:type="dxa"/>
              <w:right w:w="120" w:type="dxa"/>
            </w:tcMar>
            <w:vAlign w:val="center"/>
          </w:tcPr>
          <w:p w14:paraId="18A8F209"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MONTHLY_KPI plus certified measures from all facts with Organisation, Service, Date and demographic bands</w:t>
            </w:r>
          </w:p>
        </w:tc>
        <w:tc>
          <w:tcPr>
            <w:tcW w:w="3063" w:type="dxa"/>
            <w:tcMar>
              <w:top w:w="100" w:type="dxa"/>
              <w:left w:w="120" w:type="dxa"/>
              <w:bottom w:w="100" w:type="dxa"/>
              <w:right w:w="120" w:type="dxa"/>
            </w:tcMar>
            <w:vAlign w:val="center"/>
          </w:tcPr>
          <w:p w14:paraId="2459F673" w14:textId="77777777" w:rsidR="00E75FF1" w:rsidRPr="00C35001" w:rsidRDefault="00E75FF1" w:rsidP="00C35001">
            <w:pPr>
              <w:spacing w:line="360" w:lineRule="auto"/>
              <w:rPr>
                <w:rFonts w:ascii="Arial" w:hAnsi="Arial" w:cs="Arial"/>
                <w:sz w:val="22"/>
                <w:szCs w:val="22"/>
                <w:lang w:val="en-US"/>
              </w:rPr>
            </w:pPr>
            <w:r w:rsidRPr="00C35001">
              <w:rPr>
                <w:rFonts w:ascii="Arial" w:hAnsi="Arial" w:cs="Arial"/>
                <w:sz w:val="22"/>
                <w:szCs w:val="22"/>
                <w:lang w:val="en-US"/>
              </w:rPr>
              <w:t>Balanced assurance across access, quality, people, finance and equity; national-to-provider drill-down</w:t>
            </w:r>
          </w:p>
        </w:tc>
      </w:tr>
    </w:tbl>
    <w:p w14:paraId="04C34F63" w14:textId="79B44382" w:rsidR="003429CC" w:rsidRPr="00E10A36" w:rsidRDefault="00E10A36" w:rsidP="00E10A36">
      <w:pPr>
        <w:spacing w:line="360" w:lineRule="auto"/>
        <w:rPr>
          <w:rFonts w:ascii="Arial" w:hAnsi="Arial" w:cs="Arial"/>
          <w:b/>
          <w:bCs/>
          <w:sz w:val="22"/>
          <w:szCs w:val="22"/>
        </w:rPr>
      </w:pPr>
      <w:r>
        <w:rPr>
          <w:rFonts w:ascii="Arial" w:hAnsi="Arial" w:cs="Arial"/>
          <w:b/>
          <w:bCs/>
          <w:sz w:val="22"/>
          <w:szCs w:val="22"/>
        </w:rPr>
        <w:t xml:space="preserve">        </w:t>
      </w:r>
      <w:r w:rsidR="007065FD" w:rsidRPr="00E10A36">
        <w:rPr>
          <w:rFonts w:ascii="Arial" w:hAnsi="Arial" w:cs="Arial"/>
          <w:b/>
          <w:bCs/>
          <w:sz w:val="22"/>
          <w:szCs w:val="22"/>
        </w:rPr>
        <w:t xml:space="preserve">Table 2: </w:t>
      </w:r>
      <w:r w:rsidR="00DA4CD8" w:rsidRPr="00E10A36">
        <w:rPr>
          <w:rFonts w:ascii="Arial" w:hAnsi="Arial" w:cs="Arial"/>
          <w:b/>
          <w:bCs/>
          <w:sz w:val="22"/>
          <w:szCs w:val="22"/>
        </w:rPr>
        <w:t>NHS Data Marts and Departmental Decision Support</w:t>
      </w:r>
      <w:r w:rsidR="00B77E06" w:rsidRPr="00E10A36">
        <w:rPr>
          <w:rFonts w:ascii="Arial" w:hAnsi="Arial" w:cs="Arial"/>
          <w:b/>
          <w:bCs/>
          <w:sz w:val="22"/>
          <w:szCs w:val="22"/>
        </w:rPr>
        <w:t xml:space="preserve"> </w:t>
      </w:r>
      <w:sdt>
        <w:sdtPr>
          <w:rPr>
            <w:color w:val="000000"/>
            <w:highlight w:val="white"/>
          </w:rPr>
          <w:alias w:val="Citation"/>
          <w:tag w:val="{&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6223685"/>
          <w:placeholder>
            <w:docPart w:val="179A1FB6008E424AA60A286E48281ED6"/>
          </w:placeholder>
        </w:sdtPr>
        <w:sdtContent>
          <w:r w:rsidR="00DE7B3F" w:rsidRPr="00E10A36">
            <w:rPr>
              <w:rFonts w:ascii="Arial" w:eastAsia="Times New Roman" w:hAnsi="Arial" w:cs="Arial"/>
              <w:color w:val="000000"/>
              <w:sz w:val="22"/>
              <w:szCs w:val="22"/>
            </w:rPr>
            <w:t>[10]</w:t>
          </w:r>
        </w:sdtContent>
      </w:sdt>
    </w:p>
    <w:p w14:paraId="0019F3BC" w14:textId="77777777" w:rsidR="00C35001" w:rsidRDefault="00C35001" w:rsidP="00500B47">
      <w:pPr>
        <w:pStyle w:val="ListParagraph"/>
        <w:spacing w:line="360" w:lineRule="auto"/>
        <w:rPr>
          <w:rFonts w:ascii="Arial" w:hAnsi="Arial" w:cs="Arial"/>
          <w:sz w:val="22"/>
          <w:szCs w:val="22"/>
        </w:rPr>
      </w:pPr>
    </w:p>
    <w:p w14:paraId="14BEC1C7" w14:textId="77777777" w:rsidR="00C35001" w:rsidRDefault="00C35001" w:rsidP="00500B47">
      <w:pPr>
        <w:pStyle w:val="ListParagraph"/>
        <w:spacing w:line="360" w:lineRule="auto"/>
        <w:rPr>
          <w:rFonts w:ascii="Arial" w:hAnsi="Arial" w:cs="Arial"/>
          <w:sz w:val="22"/>
          <w:szCs w:val="22"/>
        </w:rPr>
      </w:pPr>
    </w:p>
    <w:p w14:paraId="67AB6514" w14:textId="77777777" w:rsidR="00C35001" w:rsidRDefault="00C35001" w:rsidP="00500B47">
      <w:pPr>
        <w:pStyle w:val="ListParagraph"/>
        <w:spacing w:line="360" w:lineRule="auto"/>
        <w:rPr>
          <w:rFonts w:ascii="Arial" w:hAnsi="Arial" w:cs="Arial"/>
          <w:sz w:val="22"/>
          <w:szCs w:val="22"/>
        </w:rPr>
      </w:pPr>
    </w:p>
    <w:p w14:paraId="694B365C" w14:textId="77777777" w:rsidR="00E10A36" w:rsidRDefault="00E10A36" w:rsidP="00500B47">
      <w:pPr>
        <w:pStyle w:val="ListParagraph"/>
        <w:spacing w:line="360" w:lineRule="auto"/>
        <w:rPr>
          <w:rFonts w:ascii="Arial" w:hAnsi="Arial" w:cs="Arial"/>
          <w:sz w:val="22"/>
          <w:szCs w:val="22"/>
        </w:rPr>
      </w:pPr>
    </w:p>
    <w:p w14:paraId="65DB8DC2" w14:textId="77777777" w:rsidR="00E10A36" w:rsidRDefault="00E10A36" w:rsidP="00500B47">
      <w:pPr>
        <w:pStyle w:val="ListParagraph"/>
        <w:spacing w:line="360" w:lineRule="auto"/>
        <w:rPr>
          <w:rFonts w:ascii="Arial" w:hAnsi="Arial" w:cs="Arial"/>
          <w:sz w:val="22"/>
          <w:szCs w:val="22"/>
        </w:rPr>
      </w:pPr>
    </w:p>
    <w:p w14:paraId="194AC483" w14:textId="77777777" w:rsidR="00C35001" w:rsidRDefault="00C35001" w:rsidP="00500B47">
      <w:pPr>
        <w:pStyle w:val="ListParagraph"/>
        <w:spacing w:line="360" w:lineRule="auto"/>
        <w:rPr>
          <w:rFonts w:ascii="Arial" w:hAnsi="Arial" w:cs="Arial"/>
          <w:sz w:val="22"/>
          <w:szCs w:val="22"/>
        </w:rPr>
      </w:pPr>
    </w:p>
    <w:p w14:paraId="4E10CD44" w14:textId="77777777" w:rsidR="00E10A36" w:rsidRDefault="00E10A36" w:rsidP="00500B47">
      <w:pPr>
        <w:pStyle w:val="ListParagraph"/>
        <w:spacing w:line="360" w:lineRule="auto"/>
        <w:rPr>
          <w:rFonts w:ascii="Arial" w:hAnsi="Arial" w:cs="Arial"/>
          <w:sz w:val="22"/>
          <w:szCs w:val="22"/>
        </w:rPr>
      </w:pPr>
    </w:p>
    <w:p w14:paraId="0CD9E298" w14:textId="77777777" w:rsidR="00C35001" w:rsidRDefault="00C35001" w:rsidP="00500B47">
      <w:pPr>
        <w:pStyle w:val="ListParagraph"/>
        <w:spacing w:line="360" w:lineRule="auto"/>
        <w:rPr>
          <w:rFonts w:ascii="Arial" w:hAnsi="Arial" w:cs="Arial"/>
          <w:sz w:val="22"/>
          <w:szCs w:val="22"/>
        </w:rPr>
      </w:pPr>
    </w:p>
    <w:p w14:paraId="70141796" w14:textId="5C3E0368" w:rsidR="002240F0" w:rsidRPr="00515AB9" w:rsidRDefault="00183FD8" w:rsidP="00C35001">
      <w:pPr>
        <w:pStyle w:val="ListParagraph"/>
        <w:spacing w:line="360" w:lineRule="auto"/>
        <w:rPr>
          <w:rFonts w:ascii="Arial" w:hAnsi="Arial" w:cs="Arial"/>
          <w:sz w:val="22"/>
          <w:szCs w:val="22"/>
        </w:rPr>
      </w:pPr>
      <w:r w:rsidRPr="00500B47">
        <w:rPr>
          <w:rFonts w:ascii="Arial" w:hAnsi="Arial" w:cs="Arial"/>
          <w:sz w:val="22"/>
          <w:szCs w:val="22"/>
        </w:rPr>
        <w:lastRenderedPageBreak/>
        <w:t>“</w:t>
      </w:r>
      <w:r w:rsidRPr="00500B47">
        <w:rPr>
          <w:rFonts w:ascii="Arial" w:hAnsi="Arial" w:cs="Arial"/>
          <w:sz w:val="22"/>
          <w:szCs w:val="22"/>
        </w:rPr>
        <w:t>The main change between independent and dependent data marts is how the data mart is populated. This step is known as the Extraction-Transformation-and Loading (ETL) process, which involves moving data from operational systems, filtering it, and loading it into the data mart.</w:t>
      </w:r>
      <w:r w:rsidRPr="00500B47">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4808432"/>
          <w:placeholder>
            <w:docPart w:val="2926A612D226437BB85B9C425FB5038C"/>
          </w:placeholder>
        </w:sdtPr>
        <w:sdtContent>
          <w:r w:rsidR="00DE7B3F" w:rsidRPr="00500B47">
            <w:rPr>
              <w:rFonts w:ascii="Arial" w:eastAsia="Times New Roman" w:hAnsi="Arial" w:cs="Arial"/>
              <w:color w:val="000000"/>
              <w:sz w:val="22"/>
              <w:szCs w:val="22"/>
            </w:rPr>
            <w:t>[10]</w:t>
          </w:r>
        </w:sdtContent>
      </w:sdt>
    </w:p>
    <w:p w14:paraId="405F009C" w14:textId="084CF7FF" w:rsidR="00A07D73" w:rsidRPr="00515AB9" w:rsidRDefault="00056682" w:rsidP="00515AB9">
      <w:pPr>
        <w:pStyle w:val="Heading2"/>
        <w:spacing w:line="360" w:lineRule="auto"/>
        <w:jc w:val="center"/>
        <w:rPr>
          <w:rFonts w:ascii="Arial" w:hAnsi="Arial" w:cs="Arial"/>
          <w:b/>
          <w:bCs/>
          <w:color w:val="auto"/>
          <w:sz w:val="22"/>
          <w:szCs w:val="22"/>
        </w:rPr>
      </w:pPr>
      <w:bookmarkStart w:id="12" w:name="_Toc236712624"/>
      <w:r w:rsidRPr="00515AB9">
        <w:rPr>
          <w:rFonts w:ascii="Arial" w:hAnsi="Arial" w:cs="Arial"/>
          <w:b/>
          <w:bCs/>
          <w:color w:val="auto"/>
          <w:sz w:val="22"/>
          <w:szCs w:val="22"/>
        </w:rPr>
        <w:t>2.4 ETL plan</w:t>
      </w:r>
      <w:bookmarkEnd w:id="12"/>
    </w:p>
    <w:p w14:paraId="02606018" w14:textId="55BBA577" w:rsidR="00A07D73" w:rsidRPr="00515AB9" w:rsidRDefault="00A07D73" w:rsidP="00515AB9">
      <w:pPr>
        <w:pStyle w:val="ListParagraph"/>
        <w:spacing w:line="360" w:lineRule="auto"/>
        <w:rPr>
          <w:rFonts w:ascii="Arial" w:hAnsi="Arial" w:cs="Arial"/>
          <w:sz w:val="22"/>
          <w:szCs w:val="22"/>
        </w:rPr>
      </w:pPr>
      <w:r w:rsidRPr="00515AB9">
        <w:rPr>
          <w:rFonts w:ascii="Arial" w:hAnsi="Arial" w:cs="Arial"/>
          <w:sz w:val="22"/>
          <w:szCs w:val="22"/>
        </w:rPr>
        <w:t>“</w:t>
      </w:r>
      <w:r w:rsidRPr="00515AB9">
        <w:rPr>
          <w:rFonts w:ascii="Arial" w:hAnsi="Arial" w:cs="Arial"/>
          <w:sz w:val="22"/>
          <w:szCs w:val="22"/>
        </w:rPr>
        <w:t>During an ETL process, data is first extracted from source systems. In the following transformation phase, data is cleaned up, processed, and transformed into the target schema.</w:t>
      </w:r>
      <w:r w:rsidRPr="00515AB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4189a799961e1e621aef&quot;],&quot;referencesOptions&quot;:{&quot;doc:6a714189a799961e1e621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5747893"/>
          <w:placeholder>
            <w:docPart w:val="FF42F061A3B649E2B094B312A7C0A43E"/>
          </w:placeholder>
        </w:sdtPr>
        <w:sdtContent>
          <w:r w:rsidR="00DE7B3F" w:rsidRPr="00515AB9">
            <w:rPr>
              <w:rFonts w:ascii="Arial" w:eastAsia="Times New Roman" w:hAnsi="Arial" w:cs="Arial"/>
              <w:color w:val="000000"/>
              <w:sz w:val="22"/>
              <w:szCs w:val="22"/>
            </w:rPr>
            <w:t>[6]</w:t>
          </w:r>
        </w:sdtContent>
      </w:sdt>
    </w:p>
    <w:p w14:paraId="5E62F92D" w14:textId="299B898C" w:rsidR="00050298" w:rsidRPr="004952E7" w:rsidRDefault="006E1F56" w:rsidP="00515AB9">
      <w:pPr>
        <w:pStyle w:val="ListParagraph"/>
        <w:spacing w:line="360" w:lineRule="auto"/>
        <w:rPr>
          <w:rFonts w:ascii="Arial" w:hAnsi="Arial" w:cs="Arial"/>
          <w:sz w:val="18"/>
          <w:szCs w:val="18"/>
        </w:rPr>
      </w:pPr>
      <w:r w:rsidRPr="00515AB9">
        <w:rPr>
          <w:rFonts w:ascii="Arial" w:hAnsi="Arial" w:cs="Arial"/>
          <w:sz w:val="22"/>
          <w:szCs w:val="22"/>
        </w:rPr>
        <w:t>Metadata should control data loads</w:t>
      </w:r>
      <w:r w:rsidR="00B74977" w:rsidRPr="00515AB9">
        <w:rPr>
          <w:rFonts w:ascii="Arial" w:hAnsi="Arial" w:cs="Arial"/>
          <w:sz w:val="22"/>
          <w:szCs w:val="22"/>
        </w:rPr>
        <w:t>, so each load follows</w:t>
      </w:r>
      <w:r w:rsidR="002B6847" w:rsidRPr="00515AB9">
        <w:rPr>
          <w:rFonts w:ascii="Arial" w:hAnsi="Arial" w:cs="Arial"/>
          <w:sz w:val="22"/>
          <w:szCs w:val="22"/>
        </w:rPr>
        <w:t xml:space="preserve"> </w:t>
      </w:r>
      <w:r w:rsidR="00C077AB" w:rsidRPr="00515AB9">
        <w:rPr>
          <w:rFonts w:ascii="Arial" w:hAnsi="Arial" w:cs="Arial"/>
          <w:sz w:val="22"/>
          <w:szCs w:val="22"/>
        </w:rPr>
        <w:t>clear, trackable</w:t>
      </w:r>
      <w:r w:rsidR="00B74977" w:rsidRPr="00515AB9">
        <w:rPr>
          <w:rFonts w:ascii="Arial" w:hAnsi="Arial" w:cs="Arial"/>
          <w:sz w:val="22"/>
          <w:szCs w:val="22"/>
        </w:rPr>
        <w:t xml:space="preserve"> rules</w:t>
      </w:r>
      <w:r w:rsidR="00C077AB" w:rsidRPr="00515AB9">
        <w:rPr>
          <w:rFonts w:ascii="Arial" w:hAnsi="Arial" w:cs="Arial"/>
          <w:sz w:val="22"/>
          <w:szCs w:val="22"/>
        </w:rPr>
        <w:t>.</w:t>
      </w:r>
      <w:r w:rsidR="00B74977" w:rsidRPr="00515AB9">
        <w:rPr>
          <w:rFonts w:ascii="Arial" w:hAnsi="Arial" w:cs="Arial"/>
          <w:sz w:val="22"/>
          <w:szCs w:val="22"/>
        </w:rPr>
        <w:t xml:space="preserve"> The process should </w:t>
      </w:r>
      <w:r w:rsidR="00B74977" w:rsidRPr="004952E7">
        <w:rPr>
          <w:rFonts w:ascii="Arial" w:hAnsi="Arial" w:cs="Arial"/>
          <w:sz w:val="22"/>
          <w:szCs w:val="22"/>
        </w:rPr>
        <w:t>also be repeatable and able to restart if it fails, without duplicating or losing data.</w:t>
      </w:r>
      <w:r w:rsidR="002B6847" w:rsidRPr="004952E7">
        <w:rPr>
          <w:rFonts w:ascii="Arial" w:hAnsi="Arial" w:cs="Arial"/>
          <w:sz w:val="22"/>
          <w:szCs w:val="22"/>
        </w:rPr>
        <w:t xml:space="preserve"> </w:t>
      </w:r>
      <w:r w:rsidR="00B74977" w:rsidRPr="004952E7">
        <w:rPr>
          <w:rFonts w:ascii="Arial" w:hAnsi="Arial" w:cs="Arial"/>
          <w:sz w:val="22"/>
          <w:szCs w:val="22"/>
        </w:rPr>
        <w:t>Any rejected records should be placed in a quarantine area for review They should not be ignored or deleted without investigation.</w:t>
      </w:r>
    </w:p>
    <w:tbl>
      <w:tblPr>
        <w:tblStyle w:val="TableGrid"/>
        <w:tblW w:w="8054" w:type="dxa"/>
        <w:tblInd w:w="701" w:type="dxa"/>
        <w:tblBorders>
          <w:top w:val="single" w:sz="6" w:space="0" w:color="D0D7DE"/>
          <w:left w:val="single" w:sz="6" w:space="0" w:color="D0D7DE"/>
          <w:bottom w:val="single" w:sz="6" w:space="0" w:color="D0D7DE"/>
          <w:right w:val="single" w:sz="6" w:space="0" w:color="D0D7DE"/>
          <w:insideH w:val="single" w:sz="6" w:space="0" w:color="D0D7DE"/>
          <w:insideV w:val="single" w:sz="6" w:space="0" w:color="D0D7DE"/>
        </w:tblBorders>
        <w:tblLayout w:type="fixed"/>
        <w:tblLook w:val="04A0" w:firstRow="1" w:lastRow="0" w:firstColumn="1" w:lastColumn="0" w:noHBand="0" w:noVBand="1"/>
      </w:tblPr>
      <w:tblGrid>
        <w:gridCol w:w="1652"/>
        <w:gridCol w:w="3151"/>
        <w:gridCol w:w="3251"/>
      </w:tblGrid>
      <w:tr w:rsidR="00270451" w:rsidRPr="004952E7" w14:paraId="4D9BE368" w14:textId="77777777" w:rsidTr="00C35001">
        <w:trPr>
          <w:trHeight w:val="466"/>
          <w:tblHeader/>
        </w:trPr>
        <w:tc>
          <w:tcPr>
            <w:tcW w:w="1652" w:type="dxa"/>
            <w:shd w:val="clear" w:color="auto" w:fill="003087"/>
            <w:tcMar>
              <w:top w:w="100" w:type="dxa"/>
              <w:left w:w="120" w:type="dxa"/>
              <w:bottom w:w="100" w:type="dxa"/>
              <w:right w:w="120" w:type="dxa"/>
            </w:tcMar>
            <w:vAlign w:val="center"/>
          </w:tcPr>
          <w:p w14:paraId="4261B61A" w14:textId="77777777" w:rsidR="00270451" w:rsidRPr="004952E7" w:rsidRDefault="00270451" w:rsidP="004952E7">
            <w:pPr>
              <w:spacing w:line="360" w:lineRule="auto"/>
              <w:rPr>
                <w:rFonts w:ascii="Arial" w:hAnsi="Arial" w:cs="Arial"/>
                <w:sz w:val="18"/>
                <w:szCs w:val="18"/>
                <w:lang w:val="en-US"/>
              </w:rPr>
            </w:pPr>
            <w:r w:rsidRPr="004952E7">
              <w:rPr>
                <w:rFonts w:ascii="Arial" w:hAnsi="Arial" w:cs="Arial"/>
                <w:b/>
                <w:sz w:val="18"/>
                <w:szCs w:val="18"/>
                <w:lang w:val="en-US"/>
              </w:rPr>
              <w:t>Targets</w:t>
            </w:r>
          </w:p>
        </w:tc>
        <w:tc>
          <w:tcPr>
            <w:tcW w:w="3151" w:type="dxa"/>
            <w:shd w:val="clear" w:color="auto" w:fill="003087"/>
            <w:tcMar>
              <w:top w:w="100" w:type="dxa"/>
              <w:left w:w="120" w:type="dxa"/>
              <w:bottom w:w="100" w:type="dxa"/>
              <w:right w:w="120" w:type="dxa"/>
            </w:tcMar>
            <w:vAlign w:val="center"/>
          </w:tcPr>
          <w:p w14:paraId="3993D857" w14:textId="77777777" w:rsidR="00270451" w:rsidRPr="004952E7" w:rsidRDefault="00270451" w:rsidP="004952E7">
            <w:pPr>
              <w:spacing w:line="360" w:lineRule="auto"/>
              <w:rPr>
                <w:rFonts w:ascii="Arial" w:hAnsi="Arial" w:cs="Arial"/>
                <w:sz w:val="18"/>
                <w:szCs w:val="18"/>
                <w:lang w:val="en-US"/>
              </w:rPr>
            </w:pPr>
            <w:r w:rsidRPr="004952E7">
              <w:rPr>
                <w:rFonts w:ascii="Arial" w:hAnsi="Arial" w:cs="Arial"/>
                <w:b/>
                <w:sz w:val="18"/>
                <w:szCs w:val="18"/>
                <w:lang w:val="en-US"/>
              </w:rPr>
              <w:t>Source and extraction</w:t>
            </w:r>
          </w:p>
        </w:tc>
        <w:tc>
          <w:tcPr>
            <w:tcW w:w="3251" w:type="dxa"/>
            <w:shd w:val="clear" w:color="auto" w:fill="003087"/>
            <w:tcMar>
              <w:top w:w="100" w:type="dxa"/>
              <w:left w:w="120" w:type="dxa"/>
              <w:bottom w:w="100" w:type="dxa"/>
              <w:right w:w="120" w:type="dxa"/>
            </w:tcMar>
            <w:vAlign w:val="center"/>
          </w:tcPr>
          <w:p w14:paraId="77DF53B9" w14:textId="77777777" w:rsidR="00270451" w:rsidRPr="004952E7" w:rsidRDefault="00270451" w:rsidP="004952E7">
            <w:pPr>
              <w:spacing w:line="360" w:lineRule="auto"/>
              <w:rPr>
                <w:rFonts w:ascii="Arial" w:hAnsi="Arial" w:cs="Arial"/>
                <w:sz w:val="18"/>
                <w:szCs w:val="18"/>
                <w:lang w:val="en-US"/>
              </w:rPr>
            </w:pPr>
            <w:r w:rsidRPr="004952E7">
              <w:rPr>
                <w:rFonts w:ascii="Arial" w:hAnsi="Arial" w:cs="Arial"/>
                <w:b/>
                <w:sz w:val="18"/>
                <w:szCs w:val="18"/>
                <w:lang w:val="en-US"/>
              </w:rPr>
              <w:t>Transformation and load</w:t>
            </w:r>
          </w:p>
        </w:tc>
      </w:tr>
      <w:tr w:rsidR="00270451" w:rsidRPr="004952E7" w14:paraId="59F47A20" w14:textId="77777777" w:rsidTr="00C35001">
        <w:trPr>
          <w:trHeight w:val="1198"/>
        </w:trPr>
        <w:tc>
          <w:tcPr>
            <w:tcW w:w="1652" w:type="dxa"/>
            <w:tcMar>
              <w:top w:w="100" w:type="dxa"/>
              <w:left w:w="120" w:type="dxa"/>
              <w:bottom w:w="100" w:type="dxa"/>
              <w:right w:w="120" w:type="dxa"/>
            </w:tcMar>
            <w:vAlign w:val="center"/>
          </w:tcPr>
          <w:p w14:paraId="706FE8B7" w14:textId="463F9EB4"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Patient, date,</w:t>
            </w:r>
            <w:r w:rsidR="000310D1" w:rsidRPr="004952E7">
              <w:rPr>
                <w:rFonts w:ascii="Arial" w:hAnsi="Arial" w:cs="Arial"/>
                <w:sz w:val="18"/>
                <w:szCs w:val="18"/>
                <w:lang w:val="en-US"/>
              </w:rPr>
              <w:t xml:space="preserve"> </w:t>
            </w:r>
            <w:r w:rsidRPr="004952E7">
              <w:rPr>
                <w:rFonts w:ascii="Arial" w:hAnsi="Arial" w:cs="Arial"/>
                <w:sz w:val="18"/>
                <w:szCs w:val="18"/>
                <w:lang w:val="en-US"/>
              </w:rPr>
              <w:t>organisation, service, diagnosis/procedure dimensions</w:t>
            </w:r>
          </w:p>
        </w:tc>
        <w:tc>
          <w:tcPr>
            <w:tcW w:w="3151" w:type="dxa"/>
            <w:tcMar>
              <w:top w:w="100" w:type="dxa"/>
              <w:left w:w="120" w:type="dxa"/>
              <w:bottom w:w="100" w:type="dxa"/>
              <w:right w:w="120" w:type="dxa"/>
            </w:tcMar>
            <w:vAlign w:val="center"/>
          </w:tcPr>
          <w:p w14:paraId="103FAFD1"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PAS/EPR, national organisation and terminology services</w:t>
            </w:r>
          </w:p>
        </w:tc>
        <w:tc>
          <w:tcPr>
            <w:tcW w:w="3251" w:type="dxa"/>
            <w:tcMar>
              <w:top w:w="100" w:type="dxa"/>
              <w:left w:w="120" w:type="dxa"/>
              <w:bottom w:w="100" w:type="dxa"/>
              <w:right w:w="120" w:type="dxa"/>
            </w:tcMar>
            <w:vAlign w:val="center"/>
          </w:tcPr>
          <w:p w14:paraId="764897CD"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Validate identifiers/dates; match and pseudonymise; map ICD-10/SNOMED and local codes; create surrogate keys; type-2 history</w:t>
            </w:r>
          </w:p>
        </w:tc>
      </w:tr>
      <w:tr w:rsidR="00270451" w:rsidRPr="004952E7" w14:paraId="2EE53984" w14:textId="77777777" w:rsidTr="004952E7">
        <w:trPr>
          <w:trHeight w:val="1669"/>
        </w:trPr>
        <w:tc>
          <w:tcPr>
            <w:tcW w:w="1652" w:type="dxa"/>
            <w:shd w:val="clear" w:color="auto" w:fill="F7F9FB"/>
            <w:tcMar>
              <w:top w:w="100" w:type="dxa"/>
              <w:left w:w="120" w:type="dxa"/>
              <w:bottom w:w="100" w:type="dxa"/>
              <w:right w:w="120" w:type="dxa"/>
            </w:tcMar>
            <w:vAlign w:val="center"/>
          </w:tcPr>
          <w:p w14:paraId="12FDF1C6"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Episode, referral, bed and quality facts</w:t>
            </w:r>
          </w:p>
        </w:tc>
        <w:tc>
          <w:tcPr>
            <w:tcW w:w="3151" w:type="dxa"/>
            <w:shd w:val="clear" w:color="auto" w:fill="F7F9FB"/>
            <w:tcMar>
              <w:top w:w="100" w:type="dxa"/>
              <w:left w:w="120" w:type="dxa"/>
              <w:bottom w:w="100" w:type="dxa"/>
              <w:right w:w="120" w:type="dxa"/>
            </w:tcMar>
            <w:vAlign w:val="center"/>
          </w:tcPr>
          <w:p w14:paraId="3330EBBB"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Incremental clinical/operational feeds</w:t>
            </w:r>
          </w:p>
        </w:tc>
        <w:tc>
          <w:tcPr>
            <w:tcW w:w="3251" w:type="dxa"/>
            <w:shd w:val="clear" w:color="auto" w:fill="F7F9FB"/>
            <w:tcMar>
              <w:top w:w="100" w:type="dxa"/>
              <w:left w:w="120" w:type="dxa"/>
              <w:bottom w:w="100" w:type="dxa"/>
              <w:right w:w="120" w:type="dxa"/>
            </w:tcMar>
            <w:vAlign w:val="center"/>
          </w:tcPr>
          <w:p w14:paraId="76D0449D" w14:textId="05093156"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Deduplicate; enforce grain; link dimensions; calculate</w:t>
            </w:r>
            <w:r w:rsidR="00965E3A" w:rsidRPr="004952E7">
              <w:rPr>
                <w:rFonts w:ascii="Arial" w:hAnsi="Arial" w:cs="Arial"/>
                <w:sz w:val="18"/>
                <w:szCs w:val="18"/>
                <w:lang w:val="en-US"/>
              </w:rPr>
              <w:t xml:space="preserve"> </w:t>
            </w:r>
            <w:r w:rsidRPr="004952E7">
              <w:rPr>
                <w:rFonts w:ascii="Arial" w:hAnsi="Arial" w:cs="Arial"/>
                <w:sz w:val="18"/>
                <w:szCs w:val="18"/>
                <w:lang w:val="en-US"/>
              </w:rPr>
              <w:t xml:space="preserve">durations; preserve source identifier; quarantine </w:t>
            </w:r>
            <w:r w:rsidR="00965E3A" w:rsidRPr="004952E7">
              <w:rPr>
                <w:rFonts w:ascii="Arial" w:hAnsi="Arial" w:cs="Arial"/>
                <w:sz w:val="18"/>
                <w:szCs w:val="18"/>
                <w:lang w:val="en-US"/>
              </w:rPr>
              <w:t>wrong</w:t>
            </w:r>
            <w:r w:rsidRPr="004952E7">
              <w:rPr>
                <w:rFonts w:ascii="Arial" w:hAnsi="Arial" w:cs="Arial"/>
                <w:sz w:val="18"/>
                <w:szCs w:val="18"/>
                <w:lang w:val="en-US"/>
              </w:rPr>
              <w:t xml:space="preserve"> sequences</w:t>
            </w:r>
          </w:p>
        </w:tc>
      </w:tr>
      <w:tr w:rsidR="00270451" w:rsidRPr="004952E7" w14:paraId="49FBDD03" w14:textId="77777777" w:rsidTr="004952E7">
        <w:trPr>
          <w:trHeight w:val="1492"/>
        </w:trPr>
        <w:tc>
          <w:tcPr>
            <w:tcW w:w="1652" w:type="dxa"/>
            <w:tcMar>
              <w:top w:w="100" w:type="dxa"/>
              <w:left w:w="120" w:type="dxa"/>
              <w:bottom w:w="100" w:type="dxa"/>
              <w:right w:w="120" w:type="dxa"/>
            </w:tcMar>
            <w:vAlign w:val="center"/>
          </w:tcPr>
          <w:p w14:paraId="2ADC47CF"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Staff and workforce facts</w:t>
            </w:r>
          </w:p>
        </w:tc>
        <w:tc>
          <w:tcPr>
            <w:tcW w:w="3151" w:type="dxa"/>
            <w:tcMar>
              <w:top w:w="100" w:type="dxa"/>
              <w:left w:w="120" w:type="dxa"/>
              <w:bottom w:w="100" w:type="dxa"/>
              <w:right w:w="120" w:type="dxa"/>
            </w:tcMar>
            <w:vAlign w:val="center"/>
          </w:tcPr>
          <w:p w14:paraId="5FBB9548"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ESR, rostering, agency</w:t>
            </w:r>
          </w:p>
        </w:tc>
        <w:tc>
          <w:tcPr>
            <w:tcW w:w="3251" w:type="dxa"/>
            <w:tcMar>
              <w:top w:w="100" w:type="dxa"/>
              <w:left w:w="120" w:type="dxa"/>
              <w:bottom w:w="100" w:type="dxa"/>
              <w:right w:w="120" w:type="dxa"/>
            </w:tcMar>
            <w:vAlign w:val="center"/>
          </w:tcPr>
          <w:p w14:paraId="3A5AD721"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Restrict identifiers; standardise role/grade; reconcile planned, worked and paid hours; type-2 staff history</w:t>
            </w:r>
          </w:p>
        </w:tc>
      </w:tr>
      <w:tr w:rsidR="00270451" w:rsidRPr="004952E7" w14:paraId="210CD871" w14:textId="77777777" w:rsidTr="00C35001">
        <w:trPr>
          <w:trHeight w:val="1799"/>
        </w:trPr>
        <w:tc>
          <w:tcPr>
            <w:tcW w:w="1652" w:type="dxa"/>
            <w:shd w:val="clear" w:color="auto" w:fill="F7F9FB"/>
            <w:tcMar>
              <w:top w:w="100" w:type="dxa"/>
              <w:left w:w="120" w:type="dxa"/>
              <w:bottom w:w="100" w:type="dxa"/>
              <w:right w:w="120" w:type="dxa"/>
            </w:tcMar>
            <w:vAlign w:val="center"/>
          </w:tcPr>
          <w:p w14:paraId="5E5A95A1"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Finance and monthly KPI facts</w:t>
            </w:r>
          </w:p>
        </w:tc>
        <w:tc>
          <w:tcPr>
            <w:tcW w:w="3151" w:type="dxa"/>
            <w:shd w:val="clear" w:color="auto" w:fill="F7F9FB"/>
            <w:tcMar>
              <w:top w:w="100" w:type="dxa"/>
              <w:left w:w="120" w:type="dxa"/>
              <w:bottom w:w="100" w:type="dxa"/>
              <w:right w:w="120" w:type="dxa"/>
            </w:tcMar>
            <w:vAlign w:val="center"/>
          </w:tcPr>
          <w:p w14:paraId="542B1DA6"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Ledger, costing, budgets and certified semantic measures</w:t>
            </w:r>
          </w:p>
        </w:tc>
        <w:tc>
          <w:tcPr>
            <w:tcW w:w="3251" w:type="dxa"/>
            <w:shd w:val="clear" w:color="auto" w:fill="F7F9FB"/>
            <w:tcMar>
              <w:top w:w="100" w:type="dxa"/>
              <w:left w:w="120" w:type="dxa"/>
              <w:bottom w:w="100" w:type="dxa"/>
              <w:right w:w="120" w:type="dxa"/>
            </w:tcMar>
            <w:vAlign w:val="center"/>
          </w:tcPr>
          <w:p w14:paraId="151D532E" w14:textId="77777777" w:rsidR="00270451" w:rsidRPr="004952E7" w:rsidRDefault="00270451" w:rsidP="00515AB9">
            <w:pPr>
              <w:spacing w:line="360" w:lineRule="auto"/>
              <w:rPr>
                <w:rFonts w:ascii="Arial" w:hAnsi="Arial" w:cs="Arial"/>
                <w:sz w:val="18"/>
                <w:szCs w:val="18"/>
                <w:lang w:val="en-US"/>
              </w:rPr>
            </w:pPr>
            <w:r w:rsidRPr="004952E7">
              <w:rPr>
                <w:rFonts w:ascii="Arial" w:hAnsi="Arial" w:cs="Arial"/>
                <w:sz w:val="18"/>
                <w:szCs w:val="18"/>
                <w:lang w:val="en-US"/>
              </w:rPr>
              <w:t>Map accounts/cost centres; reconcile control totals; lock close version; aggregate numerators/denominators; attach metric version and quality score</w:t>
            </w:r>
          </w:p>
        </w:tc>
      </w:tr>
    </w:tbl>
    <w:p w14:paraId="695D7B36" w14:textId="2ED47B03" w:rsidR="00ED70C6" w:rsidRPr="00515AB9" w:rsidRDefault="00ED70C6" w:rsidP="00515AB9">
      <w:pPr>
        <w:pStyle w:val="ListParagraph"/>
        <w:spacing w:line="360" w:lineRule="auto"/>
        <w:rPr>
          <w:rFonts w:ascii="Arial" w:eastAsia="Times New Roman" w:hAnsi="Arial" w:cs="Arial"/>
          <w:kern w:val="0"/>
          <w:sz w:val="22"/>
          <w:szCs w:val="22"/>
          <w:lang w:eastAsia="en-GB"/>
          <w14:ligatures w14:val="none"/>
        </w:rPr>
      </w:pPr>
      <w:r w:rsidRPr="00515AB9">
        <w:rPr>
          <w:rFonts w:ascii="Arial" w:eastAsia="Times New Roman" w:hAnsi="Arial" w:cs="Arial"/>
          <w:b/>
          <w:bCs/>
          <w:kern w:val="0"/>
          <w:sz w:val="18"/>
          <w:szCs w:val="18"/>
          <w:lang w:eastAsia="en-GB"/>
          <w14:ligatures w14:val="none"/>
        </w:rPr>
        <w:t>Table 3.</w:t>
      </w:r>
      <w:r w:rsidR="007A35B4" w:rsidRPr="00515AB9">
        <w:rPr>
          <w:rFonts w:ascii="Arial" w:eastAsia="Times New Roman" w:hAnsi="Arial" w:cs="Arial"/>
          <w:b/>
          <w:bCs/>
          <w:kern w:val="0"/>
          <w:sz w:val="18"/>
          <w:szCs w:val="18"/>
          <w:lang w:eastAsia="en-GB"/>
          <w14:ligatures w14:val="none"/>
        </w:rPr>
        <w:t xml:space="preserve"> </w:t>
      </w:r>
      <w:r w:rsidR="00CE7B3E" w:rsidRPr="00515AB9">
        <w:rPr>
          <w:rFonts w:ascii="Arial" w:eastAsia="Times New Roman" w:hAnsi="Arial" w:cs="Arial"/>
          <w:b/>
          <w:bCs/>
          <w:kern w:val="0"/>
          <w:sz w:val="18"/>
          <w:szCs w:val="18"/>
          <w:lang w:eastAsia="en-GB"/>
          <w14:ligatures w14:val="none"/>
        </w:rPr>
        <w:t>Simplified ETL plan</w:t>
      </w:r>
      <w:r w:rsidR="00904044" w:rsidRPr="00515AB9">
        <w:rPr>
          <w:rFonts w:ascii="Arial" w:eastAsia="Times New Roman" w:hAnsi="Arial" w:cs="Arial"/>
          <w:b/>
          <w:bCs/>
          <w:kern w:val="0"/>
          <w:sz w:val="22"/>
          <w:szCs w:val="22"/>
          <w:lang w:eastAsia="en-GB"/>
          <w14:ligatures w14:val="none"/>
        </w:rPr>
        <w:t xml:space="preserve"> </w:t>
      </w:r>
      <w:sdt>
        <w:sdtPr>
          <w:rPr>
            <w:rFonts w:ascii="Arial" w:eastAsia="Times New Roman" w:hAnsi="Arial" w:cs="Arial"/>
            <w:b/>
            <w:bCs/>
            <w:color w:val="000000"/>
            <w:kern w:val="0"/>
            <w:sz w:val="22"/>
            <w:szCs w:val="22"/>
            <w:highlight w:val="white"/>
            <w:lang w:eastAsia="en-GB"/>
            <w14:ligatures w14:val="none"/>
          </w:rPr>
          <w:alias w:val="Citation"/>
          <w:tag w:val="{&quot;referencesIds&quot;:[&quot;doc:6a714189a799961e1e621aef&quot;],&quot;referencesOptions&quot;:{&quot;doc:6a714189a799961e1e621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04566"/>
          <w:placeholder>
            <w:docPart w:val="92E7A497A2F345CA8060DFA71512BF9A"/>
          </w:placeholder>
        </w:sdtPr>
        <w:sdtContent>
          <w:r w:rsidR="00DE7B3F" w:rsidRPr="00515AB9">
            <w:rPr>
              <w:rFonts w:ascii="Arial" w:eastAsia="Times New Roman" w:hAnsi="Arial" w:cs="Arial"/>
              <w:color w:val="000000"/>
              <w:sz w:val="22"/>
              <w:szCs w:val="22"/>
            </w:rPr>
            <w:t>[6]</w:t>
          </w:r>
        </w:sdtContent>
      </w:sdt>
    </w:p>
    <w:p w14:paraId="65AB56D4" w14:textId="77777777" w:rsidR="004952E7" w:rsidRDefault="004952E7" w:rsidP="00515AB9">
      <w:pPr>
        <w:pStyle w:val="ListParagraph"/>
        <w:spacing w:line="360" w:lineRule="auto"/>
        <w:rPr>
          <w:rFonts w:ascii="Arial" w:hAnsi="Arial" w:cs="Arial"/>
          <w:sz w:val="22"/>
          <w:szCs w:val="22"/>
        </w:rPr>
      </w:pPr>
    </w:p>
    <w:p w14:paraId="42FD4060" w14:textId="186B410D" w:rsidR="00E22030" w:rsidRPr="00515AB9" w:rsidRDefault="00D069DA" w:rsidP="00515AB9">
      <w:pPr>
        <w:pStyle w:val="ListParagraph"/>
        <w:spacing w:line="360" w:lineRule="auto"/>
        <w:rPr>
          <w:rFonts w:ascii="Arial" w:hAnsi="Arial" w:cs="Arial"/>
          <w:sz w:val="22"/>
          <w:szCs w:val="22"/>
        </w:rPr>
      </w:pPr>
      <w:r w:rsidRPr="00515AB9">
        <w:rPr>
          <w:rFonts w:ascii="Arial" w:hAnsi="Arial" w:cs="Arial"/>
          <w:sz w:val="22"/>
          <w:szCs w:val="22"/>
        </w:rPr>
        <w:lastRenderedPageBreak/>
        <w:t>The ETL process should load the data in the correct order. Reference and master dimensions should be loaded first, followed by detailed fact tables, then aggregate tables and data marts.</w:t>
      </w:r>
      <w:r w:rsidR="00904044" w:rsidRPr="00515AB9">
        <w:rPr>
          <w:rFonts w:ascii="Arial" w:hAnsi="Arial" w:cs="Arial"/>
          <w:sz w:val="22"/>
          <w:szCs w:val="22"/>
        </w:rPr>
        <w:t xml:space="preserve"> </w:t>
      </w:r>
      <w:r w:rsidRPr="00515AB9">
        <w:rPr>
          <w:rFonts w:ascii="Arial" w:hAnsi="Arial" w:cs="Arial"/>
          <w:sz w:val="22"/>
          <w:szCs w:val="22"/>
        </w:rPr>
        <w:t>Each load should record important checks, such as the source point reached, row counts, control totals, failed rules, lineage and run time. If late data arrives, only the affected section should be updated. Any KPI changes should be controlled and recorded, rather than replacing published results without an audit trail.</w:t>
      </w:r>
    </w:p>
    <w:p w14:paraId="6C7F1927" w14:textId="77777777" w:rsidR="00E22030" w:rsidRPr="00515AB9" w:rsidRDefault="00E22030" w:rsidP="00515AB9">
      <w:pPr>
        <w:spacing w:line="360" w:lineRule="auto"/>
        <w:rPr>
          <w:rFonts w:ascii="Arial" w:hAnsi="Arial" w:cs="Arial"/>
          <w:sz w:val="22"/>
          <w:szCs w:val="22"/>
        </w:rPr>
      </w:pPr>
    </w:p>
    <w:p w14:paraId="1264C2A2" w14:textId="6AEBFBD9" w:rsidR="00037B46" w:rsidRDefault="00996461" w:rsidP="00515AB9">
      <w:pPr>
        <w:pStyle w:val="Heading2"/>
        <w:spacing w:line="360" w:lineRule="auto"/>
        <w:jc w:val="center"/>
        <w:rPr>
          <w:rFonts w:ascii="Arial" w:hAnsi="Arial" w:cs="Arial"/>
          <w:b/>
          <w:bCs/>
          <w:color w:val="auto"/>
          <w:sz w:val="22"/>
          <w:szCs w:val="22"/>
        </w:rPr>
      </w:pPr>
      <w:bookmarkStart w:id="13" w:name="_Toc236712625"/>
      <w:r w:rsidRPr="00515AB9">
        <w:rPr>
          <w:rFonts w:ascii="Arial" w:hAnsi="Arial" w:cs="Arial"/>
          <w:b/>
          <w:bCs/>
          <w:color w:val="auto"/>
          <w:sz w:val="22"/>
          <w:szCs w:val="22"/>
        </w:rPr>
        <w:t>2.5 Data quality and governance</w:t>
      </w:r>
      <w:bookmarkEnd w:id="13"/>
    </w:p>
    <w:p w14:paraId="055DC917" w14:textId="77777777" w:rsidR="004952E7" w:rsidRPr="004952E7" w:rsidRDefault="004952E7" w:rsidP="004952E7">
      <w:pPr>
        <w:pStyle w:val="ListParagraph"/>
        <w:spacing w:line="360" w:lineRule="auto"/>
        <w:rPr>
          <w:rFonts w:ascii="Arial" w:hAnsi="Arial" w:cs="Arial"/>
        </w:rPr>
      </w:pPr>
    </w:p>
    <w:p w14:paraId="5ED62B66" w14:textId="58103257" w:rsidR="00101E16" w:rsidRPr="004952E7" w:rsidRDefault="00101E16" w:rsidP="004952E7">
      <w:pPr>
        <w:pStyle w:val="ListParagraph"/>
        <w:spacing w:line="360" w:lineRule="auto"/>
        <w:rPr>
          <w:rFonts w:ascii="Arial" w:hAnsi="Arial" w:cs="Arial"/>
          <w:sz w:val="22"/>
          <w:szCs w:val="22"/>
        </w:rPr>
      </w:pPr>
      <w:r w:rsidRPr="004952E7">
        <w:rPr>
          <w:rFonts w:ascii="Arial" w:hAnsi="Arial" w:cs="Arial"/>
          <w:sz w:val="22"/>
          <w:szCs w:val="22"/>
        </w:rPr>
        <w:t>Data should be checked for mistakes, duplicates and missing information before it goes into the warehouse. Any problem records should be reviewed instead of simply deleted.</w:t>
      </w:r>
      <w:r w:rsidRPr="004952E7">
        <w:rPr>
          <w:rFonts w:ascii="Arial" w:hAnsi="Arial" w:cs="Arial"/>
          <w:sz w:val="22"/>
          <w:szCs w:val="22"/>
        </w:rPr>
        <w:t xml:space="preserve"> </w:t>
      </w:r>
      <w:r w:rsidRPr="004952E7">
        <w:rPr>
          <w:rFonts w:ascii="Arial" w:hAnsi="Arial" w:cs="Arial"/>
          <w:sz w:val="22"/>
          <w:szCs w:val="22"/>
        </w:rPr>
        <w:t>The same codes, definitions and calculation rules should be used across NHS systems. Patient and staff details must also be kept private and stored securely.</w:t>
      </w:r>
    </w:p>
    <w:p w14:paraId="5E0F3EEF" w14:textId="15B9955C" w:rsidR="007E6BB6" w:rsidRPr="004952E7" w:rsidRDefault="00101E16" w:rsidP="004952E7">
      <w:pPr>
        <w:pStyle w:val="ListParagraph"/>
        <w:spacing w:line="360" w:lineRule="auto"/>
        <w:rPr>
          <w:rFonts w:ascii="Arial" w:hAnsi="Arial" w:cs="Arial"/>
          <w:sz w:val="22"/>
          <w:szCs w:val="22"/>
        </w:rPr>
      </w:pPr>
      <w:r w:rsidRPr="004952E7">
        <w:rPr>
          <w:rFonts w:ascii="Arial" w:hAnsi="Arial" w:cs="Arial"/>
          <w:sz w:val="22"/>
          <w:szCs w:val="22"/>
        </w:rPr>
        <w:t>Only approved users should be able to view sensitive data. Access controls, audit records</w:t>
      </w:r>
      <w:r w:rsidR="00F509CE" w:rsidRPr="004952E7">
        <w:rPr>
          <w:rFonts w:ascii="Arial" w:hAnsi="Arial" w:cs="Arial"/>
          <w:sz w:val="22"/>
          <w:szCs w:val="22"/>
        </w:rPr>
        <w:t xml:space="preserve">, and </w:t>
      </w:r>
      <w:r w:rsidRPr="004952E7">
        <w:rPr>
          <w:rFonts w:ascii="Arial" w:hAnsi="Arial" w:cs="Arial"/>
          <w:sz w:val="22"/>
          <w:szCs w:val="22"/>
        </w:rPr>
        <w:t>clear ownership</w:t>
      </w:r>
      <w:r w:rsidR="00F509CE" w:rsidRPr="004952E7">
        <w:rPr>
          <w:rFonts w:ascii="Arial" w:hAnsi="Arial" w:cs="Arial"/>
          <w:sz w:val="22"/>
          <w:szCs w:val="22"/>
        </w:rPr>
        <w:t xml:space="preserve"> </w:t>
      </w:r>
      <w:r w:rsidRPr="004952E7">
        <w:rPr>
          <w:rFonts w:ascii="Arial" w:hAnsi="Arial" w:cs="Arial"/>
          <w:sz w:val="22"/>
          <w:szCs w:val="22"/>
        </w:rPr>
        <w:t>help keep the data safe, accurate and reliable.</w:t>
      </w:r>
      <w:r w:rsidR="00F509CE" w:rsidRPr="004952E7">
        <w:rPr>
          <w:rFonts w:ascii="Arial" w:hAnsi="Arial" w:cs="Arial"/>
          <w:sz w:val="22"/>
          <w:szCs w:val="22"/>
        </w:rPr>
        <w:t xml:space="preserve"> Updated</w:t>
      </w:r>
      <w:r w:rsidR="00F509CE" w:rsidRPr="004952E7">
        <w:rPr>
          <w:rFonts w:ascii="Arial" w:hAnsi="Arial" w:cs="Arial"/>
          <w:sz w:val="22"/>
          <w:szCs w:val="22"/>
        </w:rPr>
        <w:t xml:space="preserve"> </w:t>
      </w:r>
      <w:r w:rsidR="00183BA0" w:rsidRPr="004952E7">
        <w:rPr>
          <w:rFonts w:ascii="Arial" w:hAnsi="Arial" w:cs="Arial"/>
          <w:sz w:val="22"/>
          <w:szCs w:val="22"/>
        </w:rPr>
        <w:t xml:space="preserve">operating </w:t>
      </w:r>
      <w:r w:rsidR="00F509CE" w:rsidRPr="004952E7">
        <w:rPr>
          <w:rFonts w:ascii="Arial" w:hAnsi="Arial" w:cs="Arial"/>
          <w:sz w:val="22"/>
          <w:szCs w:val="22"/>
        </w:rPr>
        <w:t>systems</w:t>
      </w:r>
      <w:r w:rsidR="00BE527B" w:rsidRPr="004952E7">
        <w:rPr>
          <w:rFonts w:ascii="Arial" w:hAnsi="Arial" w:cs="Arial"/>
          <w:sz w:val="22"/>
          <w:szCs w:val="22"/>
        </w:rPr>
        <w:t>, following</w:t>
      </w:r>
      <w:r w:rsidR="00F509CE" w:rsidRPr="004952E7">
        <w:rPr>
          <w:rFonts w:ascii="Arial" w:hAnsi="Arial" w:cs="Arial"/>
          <w:sz w:val="22"/>
          <w:szCs w:val="22"/>
        </w:rPr>
        <w:t xml:space="preserve"> important cybersecurity </w:t>
      </w:r>
      <w:r w:rsidR="00183BA0" w:rsidRPr="004952E7">
        <w:rPr>
          <w:rFonts w:ascii="Arial" w:hAnsi="Arial" w:cs="Arial"/>
          <w:sz w:val="22"/>
          <w:szCs w:val="22"/>
        </w:rPr>
        <w:t xml:space="preserve">regulations and </w:t>
      </w:r>
      <w:r w:rsidR="00F509CE" w:rsidRPr="004952E7">
        <w:rPr>
          <w:rFonts w:ascii="Arial" w:hAnsi="Arial" w:cs="Arial"/>
          <w:sz w:val="22"/>
          <w:szCs w:val="22"/>
        </w:rPr>
        <w:t xml:space="preserve">measures, </w:t>
      </w:r>
      <w:r w:rsidR="006E5FD4" w:rsidRPr="004952E7">
        <w:rPr>
          <w:rFonts w:ascii="Arial" w:hAnsi="Arial" w:cs="Arial"/>
          <w:sz w:val="22"/>
          <w:szCs w:val="22"/>
        </w:rPr>
        <w:t>and</w:t>
      </w:r>
      <w:r w:rsidR="00F509CE" w:rsidRPr="004952E7">
        <w:rPr>
          <w:rFonts w:ascii="Arial" w:hAnsi="Arial" w:cs="Arial"/>
          <w:sz w:val="22"/>
          <w:szCs w:val="22"/>
        </w:rPr>
        <w:t xml:space="preserve"> staff education</w:t>
      </w:r>
      <w:r w:rsidR="006E5FD4" w:rsidRPr="004952E7">
        <w:rPr>
          <w:rFonts w:ascii="Arial" w:hAnsi="Arial" w:cs="Arial"/>
          <w:sz w:val="22"/>
          <w:szCs w:val="22"/>
        </w:rPr>
        <w:t xml:space="preserve"> also core action to keep everything safe. </w:t>
      </w:r>
    </w:p>
    <w:p w14:paraId="324CA7DF" w14:textId="77777777" w:rsidR="004952E7" w:rsidRPr="004952E7" w:rsidRDefault="004952E7" w:rsidP="004952E7">
      <w:pPr>
        <w:pStyle w:val="ListParagraph"/>
        <w:spacing w:line="360" w:lineRule="auto"/>
        <w:rPr>
          <w:rFonts w:ascii="Arial" w:hAnsi="Arial" w:cs="Arial"/>
          <w:sz w:val="22"/>
          <w:szCs w:val="22"/>
        </w:rPr>
      </w:pPr>
    </w:p>
    <w:p w14:paraId="7D400B3D" w14:textId="130B78F9" w:rsidR="00745A82" w:rsidRPr="004952E7" w:rsidRDefault="00745A82" w:rsidP="004952E7">
      <w:pPr>
        <w:pStyle w:val="ListParagraph"/>
        <w:spacing w:line="360" w:lineRule="auto"/>
        <w:rPr>
          <w:rFonts w:ascii="Arial" w:hAnsi="Arial" w:cs="Arial"/>
          <w:sz w:val="22"/>
          <w:szCs w:val="22"/>
        </w:rPr>
      </w:pPr>
      <w:r w:rsidRPr="004952E7">
        <w:rPr>
          <w:rFonts w:ascii="Arial" w:hAnsi="Arial" w:cs="Arial"/>
          <w:sz w:val="22"/>
          <w:szCs w:val="22"/>
        </w:rPr>
        <w:t>“</w:t>
      </w:r>
      <w:r w:rsidRPr="004952E7">
        <w:rPr>
          <w:rFonts w:ascii="Arial" w:hAnsi="Arial" w:cs="Arial"/>
          <w:sz w:val="22"/>
          <w:szCs w:val="22"/>
        </w:rPr>
        <w:t>The quality of data is critical for enterprises in order to be able to meet a variety of business requirements, such as compliance with regulatory and legal provisions, integrated customer management (“360° view on the customer”), effective and efficient reporting (“single point of truth”), or integrated and automated business processes</w:t>
      </w:r>
      <w:r w:rsidR="00472F5D" w:rsidRPr="004952E7">
        <w:rPr>
          <w:rFonts w:ascii="Arial" w:hAnsi="Arial" w:cs="Arial"/>
          <w:sz w:val="22"/>
          <w:szCs w:val="22"/>
        </w:rPr>
        <w:t>…</w:t>
      </w:r>
    </w:p>
    <w:p w14:paraId="5DDCA0AF" w14:textId="11A6A30A" w:rsidR="00472F5D" w:rsidRPr="004952E7" w:rsidRDefault="00472F5D" w:rsidP="004952E7">
      <w:pPr>
        <w:pStyle w:val="ListParagraph"/>
        <w:spacing w:line="360" w:lineRule="auto"/>
        <w:rPr>
          <w:rFonts w:ascii="Arial" w:hAnsi="Arial" w:cs="Arial"/>
          <w:sz w:val="22"/>
          <w:szCs w:val="22"/>
        </w:rPr>
      </w:pPr>
      <w:r w:rsidRPr="004952E7">
        <w:rPr>
          <w:rFonts w:ascii="Arial" w:hAnsi="Arial" w:cs="Arial"/>
          <w:sz w:val="22"/>
          <w:szCs w:val="22"/>
        </w:rPr>
        <w:t>…</w:t>
      </w:r>
      <w:r w:rsidRPr="004952E7">
        <w:rPr>
          <w:rFonts w:ascii="Arial" w:hAnsi="Arial" w:cs="Arial"/>
          <w:color w:val="222222"/>
          <w:sz w:val="22"/>
          <w:szCs w:val="22"/>
          <w:shd w:val="clear" w:color="auto" w:fill="FFFFFF"/>
        </w:rPr>
        <w:t xml:space="preserve"> </w:t>
      </w:r>
      <w:r w:rsidRPr="004952E7">
        <w:rPr>
          <w:rFonts w:ascii="Arial" w:hAnsi="Arial" w:cs="Arial"/>
          <w:sz w:val="22"/>
          <w:szCs w:val="22"/>
        </w:rPr>
        <w:t>The relationship between data management and Data Governance is based on a differentiation proposed by the </w:t>
      </w:r>
      <w:r w:rsidRPr="004952E7">
        <w:rPr>
          <w:rFonts w:ascii="Arial" w:hAnsi="Arial" w:cs="Arial"/>
          <w:i/>
          <w:iCs/>
          <w:sz w:val="22"/>
          <w:szCs w:val="22"/>
        </w:rPr>
        <w:t>International Organization for Standardization (ISO)</w:t>
      </w:r>
      <w:r w:rsidRPr="004952E7">
        <w:rPr>
          <w:rFonts w:ascii="Arial" w:hAnsi="Arial" w:cs="Arial"/>
          <w:sz w:val="22"/>
          <w:szCs w:val="22"/>
        </w:rPr>
        <w:t> regarding Governance and Management (ISO/IEC 2008). Following this differentiation, Data Governance represents the leading function of data management as it specifies which decisions need to be made in data management and who makes these decisions. Data management ensures these decisions are made and appropriate action takes place.</w:t>
      </w:r>
      <w:r w:rsidRPr="004952E7">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15c3df4ea0903916fc73a&quot;],&quot;referencesOptions&quot;:{&quot;doc:6a715c3df4ea0903916fc7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7230121"/>
          <w:placeholder>
            <w:docPart w:val="5D7A8F2EA3B44784801092A0205D59B9"/>
          </w:placeholder>
        </w:sdtPr>
        <w:sdtContent>
          <w:r w:rsidR="00DE7B3F" w:rsidRPr="004952E7">
            <w:rPr>
              <w:rFonts w:ascii="Arial" w:eastAsia="Times New Roman" w:hAnsi="Arial" w:cs="Arial"/>
              <w:color w:val="000000"/>
              <w:sz w:val="22"/>
              <w:szCs w:val="22"/>
            </w:rPr>
            <w:t>[11]</w:t>
          </w:r>
        </w:sdtContent>
      </w:sdt>
    </w:p>
    <w:p w14:paraId="22E124B5" w14:textId="77777777" w:rsidR="00050298" w:rsidRPr="00515AB9" w:rsidRDefault="00050298" w:rsidP="00515AB9">
      <w:pPr>
        <w:pStyle w:val="ListParagraph"/>
        <w:spacing w:line="360" w:lineRule="auto"/>
        <w:rPr>
          <w:rFonts w:ascii="Arial" w:hAnsi="Arial" w:cs="Arial"/>
          <w:sz w:val="22"/>
          <w:szCs w:val="22"/>
        </w:rPr>
      </w:pPr>
    </w:p>
    <w:p w14:paraId="431C54AB" w14:textId="77777777" w:rsidR="00172023" w:rsidRPr="00515AB9" w:rsidRDefault="00172023" w:rsidP="00515AB9">
      <w:pPr>
        <w:pStyle w:val="ListParagraph"/>
        <w:spacing w:line="360" w:lineRule="auto"/>
        <w:rPr>
          <w:rFonts w:ascii="Arial" w:hAnsi="Arial" w:cs="Arial"/>
          <w:sz w:val="22"/>
          <w:szCs w:val="22"/>
        </w:rPr>
      </w:pPr>
    </w:p>
    <w:p w14:paraId="413FC60E" w14:textId="77777777" w:rsidR="00172023" w:rsidRPr="00515AB9" w:rsidRDefault="00172023" w:rsidP="00515AB9">
      <w:pPr>
        <w:pStyle w:val="ListParagraph"/>
        <w:spacing w:line="360" w:lineRule="auto"/>
        <w:rPr>
          <w:rFonts w:ascii="Arial" w:hAnsi="Arial" w:cs="Arial"/>
          <w:sz w:val="22"/>
          <w:szCs w:val="22"/>
        </w:rPr>
      </w:pPr>
    </w:p>
    <w:p w14:paraId="6995B92D" w14:textId="4C749EF2" w:rsidR="004A6FF6" w:rsidRPr="00515AB9" w:rsidRDefault="00564A1D" w:rsidP="00515AB9">
      <w:pPr>
        <w:pStyle w:val="Heading1"/>
        <w:spacing w:line="360" w:lineRule="auto"/>
        <w:jc w:val="center"/>
        <w:rPr>
          <w:rFonts w:ascii="Arial" w:hAnsi="Arial" w:cs="Arial"/>
          <w:b/>
          <w:bCs/>
          <w:color w:val="auto"/>
          <w:sz w:val="22"/>
          <w:szCs w:val="22"/>
        </w:rPr>
      </w:pPr>
      <w:bookmarkStart w:id="14" w:name="_Toc236712626"/>
      <w:r w:rsidRPr="00515AB9">
        <w:rPr>
          <w:rFonts w:ascii="Arial" w:hAnsi="Arial" w:cs="Arial"/>
          <w:b/>
          <w:bCs/>
          <w:color w:val="auto"/>
          <w:sz w:val="22"/>
          <w:szCs w:val="22"/>
        </w:rPr>
        <w:lastRenderedPageBreak/>
        <w:t>Conclusion</w:t>
      </w:r>
      <w:bookmarkEnd w:id="14"/>
    </w:p>
    <w:p w14:paraId="23E62E1C" w14:textId="4181DFDB" w:rsidR="00515AB9" w:rsidRPr="00515AB9" w:rsidRDefault="00BC4371" w:rsidP="00515AB9">
      <w:pPr>
        <w:pStyle w:val="ListParagraph"/>
        <w:spacing w:line="360" w:lineRule="auto"/>
        <w:rPr>
          <w:rFonts w:ascii="Arial" w:hAnsi="Arial" w:cs="Arial"/>
          <w:sz w:val="22"/>
          <w:szCs w:val="22"/>
        </w:rPr>
      </w:pPr>
      <w:r w:rsidRPr="00515AB9">
        <w:rPr>
          <w:rFonts w:ascii="Arial" w:hAnsi="Arial" w:cs="Arial"/>
          <w:sz w:val="22"/>
          <w:szCs w:val="22"/>
        </w:rPr>
        <w:t xml:space="preserve">NHS England should develop the warehouse as a well-governed decision-support service, rather than simply a place to store technology and data. A </w:t>
      </w:r>
      <w:r w:rsidR="00106D36" w:rsidRPr="00515AB9">
        <w:rPr>
          <w:rFonts w:ascii="Arial" w:hAnsi="Arial" w:cs="Arial"/>
          <w:sz w:val="22"/>
          <w:szCs w:val="22"/>
        </w:rPr>
        <w:t xml:space="preserve">step-by-step, gradual </w:t>
      </w:r>
      <w:r w:rsidRPr="00515AB9">
        <w:rPr>
          <w:rFonts w:ascii="Arial" w:hAnsi="Arial" w:cs="Arial"/>
          <w:sz w:val="22"/>
          <w:szCs w:val="22"/>
        </w:rPr>
        <w:t>approach, beginning with patient flow, waiting lists and workforce data, would deliver early benefits while limiting risk.</w:t>
      </w:r>
      <w:r w:rsidR="00515AB9" w:rsidRPr="00515AB9">
        <w:rPr>
          <w:rFonts w:ascii="Arial" w:eastAsia="Times New Roman" w:hAnsi="Arial" w:cs="Arial"/>
          <w:kern w:val="0"/>
          <w:sz w:val="22"/>
          <w:szCs w:val="22"/>
          <w:lang w:eastAsia="en-GB"/>
          <w14:ligatures w14:val="none"/>
        </w:rPr>
        <w:t xml:space="preserve"> </w:t>
      </w:r>
      <w:r w:rsidR="00515AB9" w:rsidRPr="00515AB9">
        <w:rPr>
          <w:rFonts w:ascii="Arial" w:hAnsi="Arial" w:cs="Arial"/>
          <w:sz w:val="22"/>
          <w:szCs w:val="22"/>
        </w:rPr>
        <w:t>Using data marts is a simple way to organise large amounts of data into smaller, useful sections. Success means spending less time checking data and making decisions faster.</w:t>
      </w:r>
    </w:p>
    <w:p w14:paraId="5083B32D" w14:textId="77777777" w:rsidR="00515AB9" w:rsidRPr="00515AB9" w:rsidRDefault="00515AB9" w:rsidP="00515AB9">
      <w:pPr>
        <w:pStyle w:val="ListParagraph"/>
        <w:spacing w:line="360" w:lineRule="auto"/>
        <w:rPr>
          <w:rFonts w:ascii="Arial" w:hAnsi="Arial" w:cs="Arial"/>
          <w:sz w:val="22"/>
          <w:szCs w:val="22"/>
        </w:rPr>
      </w:pPr>
      <w:r w:rsidRPr="00515AB9">
        <w:rPr>
          <w:rFonts w:ascii="Arial" w:hAnsi="Arial" w:cs="Arial"/>
          <w:sz w:val="22"/>
          <w:szCs w:val="22"/>
        </w:rPr>
        <w:t>The system should also improve data quality and healthcare services. At the same time, it must keep patient information private, support clinical safety and make sure frontline staff can still access important systems.</w:t>
      </w:r>
    </w:p>
    <w:p w14:paraId="3704AFE6" w14:textId="677D985E" w:rsidR="00E22030" w:rsidRPr="00515AB9" w:rsidRDefault="00BC4371" w:rsidP="00515AB9">
      <w:pPr>
        <w:pStyle w:val="ListParagraph"/>
        <w:spacing w:line="360" w:lineRule="auto"/>
        <w:rPr>
          <w:rFonts w:ascii="Arial" w:hAnsi="Arial" w:cs="Arial"/>
          <w:sz w:val="22"/>
          <w:szCs w:val="22"/>
        </w:rPr>
      </w:pPr>
      <w:r w:rsidRPr="00515AB9">
        <w:rPr>
          <w:rFonts w:ascii="Arial" w:hAnsi="Arial" w:cs="Arial"/>
          <w:sz w:val="22"/>
          <w:szCs w:val="22"/>
        </w:rPr>
        <w:t xml:space="preserve"> </w:t>
      </w:r>
      <w:r w:rsidR="00EE638D" w:rsidRPr="00515AB9">
        <w:rPr>
          <w:rFonts w:ascii="Arial" w:hAnsi="Arial" w:cs="Arial"/>
          <w:sz w:val="22"/>
          <w:szCs w:val="22"/>
        </w:rPr>
        <w:t xml:space="preserve">                                </w:t>
      </w:r>
    </w:p>
    <w:p w14:paraId="5F2DB7FF" w14:textId="6EE5F83B" w:rsidR="003A5D73" w:rsidRDefault="003A5D73" w:rsidP="00023D9C">
      <w:pPr>
        <w:pStyle w:val="NormalWeb"/>
        <w:spacing w:line="360" w:lineRule="auto"/>
        <w:rPr>
          <w:rFonts w:ascii="Arial" w:eastAsiaTheme="minorHAnsi" w:hAnsi="Arial" w:cs="Arial"/>
          <w:kern w:val="2"/>
          <w:sz w:val="22"/>
          <w:szCs w:val="22"/>
          <w:lang w:eastAsia="en-US"/>
          <w14:ligatures w14:val="standardContextual"/>
        </w:rPr>
      </w:pPr>
    </w:p>
    <w:p w14:paraId="79481245"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50C5A3FC"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719E4824"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74B42F01"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1C9C5749"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4030373B"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34021097"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292F4D23" w14:textId="77777777" w:rsidR="0086578D" w:rsidRDefault="0086578D" w:rsidP="00023D9C">
      <w:pPr>
        <w:pStyle w:val="NormalWeb"/>
        <w:spacing w:line="360" w:lineRule="auto"/>
        <w:rPr>
          <w:rFonts w:ascii="Arial" w:eastAsiaTheme="minorHAnsi" w:hAnsi="Arial" w:cs="Arial"/>
          <w:kern w:val="2"/>
          <w:sz w:val="22"/>
          <w:szCs w:val="22"/>
          <w:lang w:eastAsia="en-US"/>
          <w14:ligatures w14:val="standardContextual"/>
        </w:rPr>
      </w:pPr>
    </w:p>
    <w:p w14:paraId="0664828A"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207D6DA2"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64B46262"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6877C050" w14:textId="77777777" w:rsidR="00172023" w:rsidRDefault="00172023" w:rsidP="00023D9C">
      <w:pPr>
        <w:pStyle w:val="NormalWeb"/>
        <w:spacing w:line="360" w:lineRule="auto"/>
        <w:rPr>
          <w:rFonts w:ascii="Arial" w:eastAsiaTheme="minorHAnsi" w:hAnsi="Arial" w:cs="Arial"/>
          <w:kern w:val="2"/>
          <w:sz w:val="22"/>
          <w:szCs w:val="22"/>
          <w:lang w:eastAsia="en-US"/>
          <w14:ligatures w14:val="standardContextual"/>
        </w:rPr>
      </w:pPr>
    </w:p>
    <w:p w14:paraId="0A2A85EF" w14:textId="77777777" w:rsidR="00EF4DFB" w:rsidRPr="00023D9C" w:rsidRDefault="00EF4DFB" w:rsidP="00023D9C">
      <w:pPr>
        <w:pStyle w:val="NormalWeb"/>
        <w:spacing w:line="360" w:lineRule="auto"/>
        <w:rPr>
          <w:rFonts w:ascii="Arial" w:eastAsiaTheme="minorHAnsi" w:hAnsi="Arial" w:cs="Arial"/>
          <w:kern w:val="2"/>
          <w:sz w:val="22"/>
          <w:szCs w:val="22"/>
          <w:lang w:eastAsia="en-US"/>
          <w14:ligatures w14:val="standardContextual"/>
        </w:rPr>
      </w:pPr>
    </w:p>
    <w:sdt>
      <w:sdtPr>
        <w:rPr>
          <w:rFonts w:ascii="Arial" w:hAnsi="Arial" w:cs="Arial"/>
          <w:kern w:val="2"/>
          <w:sz w:val="22"/>
          <w:szCs w:val="22"/>
          <w:lang w:eastAsia="en-US"/>
          <w14:ligatures w14:val="standardContextual"/>
        </w:rPr>
        <w:tag w:val="rw.bWnCOutputStyleIdiblio"/>
        <w:id w:val="-564253452"/>
        <w:placeholder>
          <w:docPart w:val="FC6FACF033E14310A3ABA3B5E6B97E7F"/>
        </w:placeholder>
      </w:sdtPr>
      <w:sdtContent>
        <w:p w14:paraId="209E5F0F" w14:textId="77777777" w:rsidR="00172023" w:rsidRPr="00172023" w:rsidRDefault="00172023">
          <w:pPr>
            <w:pStyle w:val="NormalWeb"/>
            <w:jc w:val="center"/>
            <w:rPr>
              <w:rFonts w:ascii="Arial" w:hAnsi="Arial" w:cs="Arial"/>
              <w:b/>
              <w:bCs/>
              <w:color w:val="000000"/>
              <w:sz w:val="22"/>
              <w:szCs w:val="22"/>
            </w:rPr>
          </w:pPr>
          <w:r w:rsidRPr="00172023">
            <w:rPr>
              <w:rFonts w:ascii="Arial" w:hAnsi="Arial" w:cs="Arial"/>
              <w:b/>
              <w:bCs/>
              <w:color w:val="000000"/>
              <w:sz w:val="22"/>
              <w:szCs w:val="22"/>
            </w:rPr>
            <w:t>References</w:t>
          </w:r>
        </w:p>
        <w:p w14:paraId="76B198FD"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[1] NHS UK, "NHS England : Digitising the frontline," 2026, [Online]. Available: </w:t>
          </w:r>
          <w:hyperlink r:id="rId14" w:tgtFrame="_blank" w:history="1">
            <w:r>
              <w:rPr>
                <w:rStyle w:val="Hyperlink"/>
                <w:rFonts w:ascii="Arial" w:hAnsi="Arial" w:cs="Arial"/>
                <w:sz w:val="22"/>
                <w:szCs w:val="22"/>
              </w:rPr>
              <w:t>https://www.england.nhs.uk/digitaltechnology/digitising-the-frontline/</w:t>
            </w:r>
          </w:hyperlink>
        </w:p>
        <w:p w14:paraId="16471A3F"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[2] M. Heller, "What is OLTP? The backbone of ecommerce," Feb 18 2022, </w:t>
          </w:r>
        </w:p>
        <w:p w14:paraId="40C6B1F0"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[3] Oracle. "What Is a Data Warehouse?" oracle.com. [Online]. Available: </w:t>
          </w:r>
          <w:hyperlink r:id="rId15" w:tgtFrame="_blank" w:history="1">
            <w:r>
              <w:rPr>
                <w:rStyle w:val="Hyperlink"/>
                <w:rFonts w:ascii="Arial" w:hAnsi="Arial" w:cs="Arial"/>
                <w:sz w:val="22"/>
                <w:szCs w:val="22"/>
              </w:rPr>
              <w:t>https://www.oracle.com/europe/database/what-is-a-data-warehouse/</w:t>
            </w:r>
          </w:hyperlink>
        </w:p>
        <w:p w14:paraId="21A50FDE"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[4] W. H. Inmon, </w:t>
          </w:r>
          <w:r>
            <w:rPr>
              <w:rFonts w:ascii="Arial" w:hAnsi="Arial" w:cs="Arial"/>
              <w:i/>
              <w:iCs/>
              <w:color w:val="000000"/>
              <w:sz w:val="22"/>
              <w:szCs w:val="22"/>
            </w:rPr>
            <w:t xml:space="preserve">Building the data warehouse, </w:t>
          </w:r>
          <w:r>
            <w:rPr>
              <w:rFonts w:ascii="Arial" w:hAnsi="Arial" w:cs="Arial"/>
              <w:color w:val="000000"/>
              <w:sz w:val="22"/>
              <w:szCs w:val="22"/>
            </w:rPr>
            <w:t xml:space="preserve">3. ed. Ed. New York: J. Wiley, 2002. [Online]. Available: </w:t>
          </w:r>
          <w:hyperlink r:id="rId16" w:tgtFrame="_blank" w:history="1">
            <w:r>
              <w:rPr>
                <w:rStyle w:val="Hyperlink"/>
                <w:rFonts w:ascii="Arial" w:hAnsi="Arial" w:cs="Arial"/>
                <w:sz w:val="22"/>
                <w:szCs w:val="22"/>
              </w:rPr>
              <w:t>http://www.loc.gov/catdir/toc/wiley021/2002002054.html</w:t>
            </w:r>
          </w:hyperlink>
        </w:p>
        <w:p w14:paraId="545E7CA8"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[5] "HHS Releases Public Communication From Health Level Seven International," </w:t>
          </w:r>
          <w:r>
            <w:rPr>
              <w:rFonts w:ascii="Arial" w:hAnsi="Arial" w:cs="Arial"/>
              <w:i/>
              <w:iCs/>
              <w:color w:val="000000"/>
              <w:sz w:val="22"/>
              <w:szCs w:val="22"/>
            </w:rPr>
            <w:t xml:space="preserve">Targeted News Service, </w:t>
          </w:r>
          <w:r>
            <w:rPr>
              <w:rFonts w:ascii="Arial" w:hAnsi="Arial" w:cs="Arial"/>
              <w:color w:val="000000"/>
              <w:sz w:val="22"/>
              <w:szCs w:val="22"/>
            </w:rPr>
            <w:t xml:space="preserve">Oct 17 2024. [Online]. Available: </w:t>
          </w:r>
          <w:hyperlink r:id="rId17" w:tgtFrame="_blank" w:history="1">
            <w:r>
              <w:rPr>
                <w:rStyle w:val="Hyperlink"/>
                <w:rFonts w:ascii="Arial" w:hAnsi="Arial" w:cs="Arial"/>
                <w:sz w:val="22"/>
                <w:szCs w:val="22"/>
              </w:rPr>
              <w:t>https://www.proquest.com/docview/3117877108</w:t>
            </w:r>
          </w:hyperlink>
        </w:p>
        <w:p w14:paraId="47E11E09"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[6] O. Azeroual, G. Saake and M. Abuosba, "ETL Best Practices for Data Quality Checks in RIS Databases," vol. 6, no. 1, pp.10, Mar 5 2019, doi: 10.3390/informatics6010010. </w:t>
          </w:r>
        </w:p>
        <w:p w14:paraId="224A136B"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[7] R. A. Jaleel and T. M. J. Abbas, "Design and Implementation of Efficient Decision Support System Using Data Mart Architecture", in</w:t>
          </w:r>
          <w:r>
            <w:rPr>
              <w:rFonts w:ascii="Arial" w:hAnsi="Arial" w:cs="Arial"/>
              <w:i/>
              <w:iCs/>
              <w:color w:val="000000"/>
              <w:sz w:val="22"/>
              <w:szCs w:val="22"/>
            </w:rPr>
            <w:t xml:space="preserve"> 2020 International Conference on Electrical, Communication, and Computer Engineering (ICECCE), </w:t>
          </w:r>
          <w:r>
            <w:rPr>
              <w:rFonts w:ascii="Arial" w:hAnsi="Arial" w:cs="Arial"/>
              <w:color w:val="000000"/>
              <w:sz w:val="22"/>
              <w:szCs w:val="22"/>
            </w:rPr>
            <w:t>pp. 1–6. doi: 10.1109/ICECCE49384.2020.9179313.</w:t>
          </w:r>
        </w:p>
        <w:p w14:paraId="0ED7A2AD"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[8] R. B. Kimball and M. Ross,</w:t>
          </w:r>
          <w:r>
            <w:rPr>
              <w:rFonts w:ascii="Arial" w:hAnsi="Arial" w:cs="Arial"/>
              <w:i/>
              <w:iCs/>
              <w:color w:val="000000"/>
              <w:sz w:val="22"/>
              <w:szCs w:val="22"/>
            </w:rPr>
            <w:t xml:space="preserve">The data warehouse toolkit : the definitive guide to dimensional modeling, </w:t>
          </w:r>
          <w:r>
            <w:rPr>
              <w:rFonts w:ascii="Arial" w:hAnsi="Arial" w:cs="Arial"/>
              <w:color w:val="000000"/>
              <w:sz w:val="22"/>
              <w:szCs w:val="22"/>
            </w:rPr>
            <w:t xml:space="preserve">3rd ed Ed. Indianapolis, IN: Wiley, 2013. [Online]. Available: </w:t>
          </w:r>
          <w:hyperlink r:id="rId18" w:tgtFrame="_blank" w:history="1">
            <w:r>
              <w:rPr>
                <w:rStyle w:val="Hyperlink"/>
                <w:rFonts w:ascii="Arial" w:hAnsi="Arial" w:cs="Arial"/>
                <w:sz w:val="22"/>
                <w:szCs w:val="22"/>
              </w:rPr>
              <w:t>https://elib.maruzen.co.jp/elib/html/BookDetail/Id/3000065355</w:t>
            </w:r>
          </w:hyperlink>
        </w:p>
        <w:p w14:paraId="0188802C"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[9] Z. Chen, "Data Warehousing and Data Marts," in </w:t>
          </w:r>
          <w:r>
            <w:rPr>
              <w:rFonts w:ascii="Arial" w:hAnsi="Arial" w:cs="Arial"/>
              <w:i/>
              <w:iCs/>
              <w:color w:val="000000"/>
              <w:sz w:val="22"/>
              <w:szCs w:val="22"/>
            </w:rPr>
            <w:t xml:space="preserve">Encyclopedia of Information Systems, </w:t>
          </w:r>
          <w:r>
            <w:rPr>
              <w:rFonts w:ascii="Arial" w:hAnsi="Arial" w:cs="Arial"/>
              <w:color w:val="000000"/>
              <w:sz w:val="22"/>
              <w:szCs w:val="22"/>
            </w:rPr>
            <w:t xml:space="preserve">pp. 521–533. doi: 10.1016/B0-12-227240-4/00036-8. </w:t>
          </w:r>
        </w:p>
        <w:p w14:paraId="6CA9C9BC"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[10] Pratibha Maurya, A. U. Assistant Professor India and Corresponding Author: Pratibha Maurya, "Conceptual Study on Data Marts – A Building Block of Data </w:t>
          </w:r>
          <w:r>
            <w:rPr>
              <w:rFonts w:ascii="Arial" w:hAnsi="Arial" w:cs="Arial"/>
              <w:color w:val="000000"/>
              <w:sz w:val="22"/>
              <w:szCs w:val="22"/>
            </w:rPr>
            <w:br/>
            <w:t xml:space="preserve">Warehouse," vol. 8, no. 4, April 2018, </w:t>
          </w:r>
        </w:p>
        <w:p w14:paraId="48AD2284" w14:textId="77777777" w:rsidR="00172023" w:rsidRDefault="00172023">
          <w:pPr>
            <w:pStyle w:val="NormalWeb"/>
            <w:ind w:left="450" w:hanging="450"/>
            <w:rPr>
              <w:rFonts w:ascii="Arial" w:hAnsi="Arial" w:cs="Arial"/>
              <w:color w:val="000000"/>
              <w:sz w:val="22"/>
              <w:szCs w:val="22"/>
            </w:rPr>
          </w:pPr>
          <w:r>
            <w:rPr>
              <w:rFonts w:ascii="Arial" w:hAnsi="Arial" w:cs="Arial"/>
              <w:color w:val="000000"/>
              <w:sz w:val="22"/>
              <w:szCs w:val="22"/>
            </w:rPr>
            <w:t xml:space="preserve">[11] B. Otto, "Data Governance," </w:t>
          </w:r>
          <w:r>
            <w:rPr>
              <w:rFonts w:ascii="Arial" w:hAnsi="Arial" w:cs="Arial"/>
              <w:i/>
              <w:iCs/>
              <w:color w:val="000000"/>
              <w:sz w:val="22"/>
              <w:szCs w:val="22"/>
            </w:rPr>
            <w:t xml:space="preserve">Bus Inf Syst Eng, </w:t>
          </w:r>
          <w:r>
            <w:rPr>
              <w:rFonts w:ascii="Arial" w:hAnsi="Arial" w:cs="Arial"/>
              <w:color w:val="000000"/>
              <w:sz w:val="22"/>
              <w:szCs w:val="22"/>
            </w:rPr>
            <w:t xml:space="preserve">vol. 3, no. 4, pp.241–244, Aug 1 2011, doi: 10.1007/s12599-011-0162-8. </w:t>
          </w:r>
        </w:p>
        <w:p w14:paraId="5554205F" w14:textId="3511F2A7" w:rsidR="003A5D73" w:rsidRPr="00946C4A" w:rsidRDefault="00000000" w:rsidP="00023D9C">
          <w:pPr>
            <w:pStyle w:val="NormalWeb"/>
            <w:spacing w:line="360" w:lineRule="auto"/>
            <w:rPr>
              <w:rFonts w:asciiTheme="minorHAnsi" w:eastAsiaTheme="minorHAnsi" w:hAnsiTheme="minorHAnsi" w:cstheme="minorBidi"/>
              <w:kern w:val="2"/>
              <w:lang w:eastAsia="en-US"/>
              <w14:ligatures w14:val="standardContextual"/>
            </w:rPr>
          </w:pPr>
        </w:p>
      </w:sdtContent>
    </w:sdt>
    <w:p w14:paraId="78237C5D" w14:textId="31E91194" w:rsidR="00601601" w:rsidRPr="00953F96" w:rsidRDefault="00601601" w:rsidP="003A7499">
      <w:pPr>
        <w:pStyle w:val="NormalWeb"/>
      </w:pPr>
    </w:p>
    <w:sectPr w:rsidR="00601601" w:rsidRPr="00953F96" w:rsidSect="00953F96">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5864C" w14:textId="77777777" w:rsidR="00734D67" w:rsidRDefault="00734D67" w:rsidP="0058280E">
      <w:pPr>
        <w:spacing w:after="0" w:line="240" w:lineRule="auto"/>
      </w:pPr>
      <w:r>
        <w:separator/>
      </w:r>
    </w:p>
  </w:endnote>
  <w:endnote w:type="continuationSeparator" w:id="0">
    <w:p w14:paraId="7484F52F" w14:textId="77777777" w:rsidR="00734D67" w:rsidRDefault="00734D67" w:rsidP="00582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ngravers MT">
    <w:panose1 w:val="02090707080505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3602310"/>
      <w:docPartObj>
        <w:docPartGallery w:val="Page Numbers (Bottom of Page)"/>
        <w:docPartUnique/>
      </w:docPartObj>
    </w:sdtPr>
    <w:sdtContent>
      <w:p w14:paraId="56AB4DD1" w14:textId="02403B29" w:rsidR="00864395" w:rsidRDefault="00864395">
        <w:pPr>
          <w:pStyle w:val="Footer"/>
          <w:jc w:val="right"/>
        </w:pPr>
        <w:r>
          <w:fldChar w:fldCharType="begin"/>
        </w:r>
        <w:r>
          <w:instrText>PAGE   \* MERGEFORMAT</w:instrText>
        </w:r>
        <w:r>
          <w:fldChar w:fldCharType="separate"/>
        </w:r>
        <w:r>
          <w:t>2</w:t>
        </w:r>
        <w:r>
          <w:fldChar w:fldCharType="end"/>
        </w:r>
      </w:p>
    </w:sdtContent>
  </w:sdt>
  <w:p w14:paraId="49C2156B" w14:textId="77777777" w:rsidR="0058280E" w:rsidRDefault="00582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C35AC" w14:textId="77777777" w:rsidR="00734D67" w:rsidRDefault="00734D67" w:rsidP="0058280E">
      <w:pPr>
        <w:spacing w:after="0" w:line="240" w:lineRule="auto"/>
      </w:pPr>
      <w:r>
        <w:separator/>
      </w:r>
    </w:p>
  </w:footnote>
  <w:footnote w:type="continuationSeparator" w:id="0">
    <w:p w14:paraId="22A50A27" w14:textId="77777777" w:rsidR="00734D67" w:rsidRDefault="00734D67" w:rsidP="005828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26225"/>
    <w:multiLevelType w:val="hybridMultilevel"/>
    <w:tmpl w:val="E3B2A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B55A6"/>
    <w:multiLevelType w:val="multilevel"/>
    <w:tmpl w:val="002012D0"/>
    <w:lvl w:ilvl="0">
      <w:start w:val="1"/>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0D9F2D2B"/>
    <w:multiLevelType w:val="hybridMultilevel"/>
    <w:tmpl w:val="FBFCA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BE2929"/>
    <w:multiLevelType w:val="multilevel"/>
    <w:tmpl w:val="A39891EC"/>
    <w:lvl w:ilvl="0">
      <w:start w:val="1"/>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4" w15:restartNumberingAfterBreak="0">
    <w:nsid w:val="1655681F"/>
    <w:multiLevelType w:val="hybridMultilevel"/>
    <w:tmpl w:val="503C8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53415"/>
    <w:multiLevelType w:val="multilevel"/>
    <w:tmpl w:val="98E87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4F7D01"/>
    <w:multiLevelType w:val="hybridMultilevel"/>
    <w:tmpl w:val="BB066A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1B146D6"/>
    <w:multiLevelType w:val="hybridMultilevel"/>
    <w:tmpl w:val="94FE44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2BC2C9D"/>
    <w:multiLevelType w:val="multilevel"/>
    <w:tmpl w:val="9428446E"/>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B2B53B9"/>
    <w:multiLevelType w:val="hybridMultilevel"/>
    <w:tmpl w:val="1CCE6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F2846"/>
    <w:multiLevelType w:val="multilevel"/>
    <w:tmpl w:val="8294D90A"/>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1" w15:restartNumberingAfterBreak="0">
    <w:nsid w:val="3EA800D0"/>
    <w:multiLevelType w:val="hybridMultilevel"/>
    <w:tmpl w:val="919EF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296D1B"/>
    <w:multiLevelType w:val="hybridMultilevel"/>
    <w:tmpl w:val="CDDC1456"/>
    <w:lvl w:ilvl="0" w:tplc="1CFC6C4A">
      <w:start w:val="1"/>
      <w:numFmt w:val="decimal"/>
      <w:lvlText w:val="%1."/>
      <w:lvlJc w:val="left"/>
      <w:pPr>
        <w:ind w:left="720" w:hanging="360"/>
      </w:pPr>
      <w:rPr>
        <w:rFonts w:ascii="Arial" w:eastAsia="Arial" w:hAnsi="Arial" w:cs="Arial"/>
        <w:b w:val="0"/>
        <w:i w:val="0"/>
        <w:strike w:val="0"/>
        <w:dstrike w:val="0"/>
        <w:color w:val="1A1C1E"/>
        <w:sz w:val="22"/>
        <w:szCs w:val="22"/>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1D00B1"/>
    <w:multiLevelType w:val="hybridMultilevel"/>
    <w:tmpl w:val="5DBEC8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16A0DB6"/>
    <w:multiLevelType w:val="hybridMultilevel"/>
    <w:tmpl w:val="83501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C22482"/>
    <w:multiLevelType w:val="hybridMultilevel"/>
    <w:tmpl w:val="7808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D44E58"/>
    <w:multiLevelType w:val="hybridMultilevel"/>
    <w:tmpl w:val="A6D6D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2221CF"/>
    <w:multiLevelType w:val="hybridMultilevel"/>
    <w:tmpl w:val="603C4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AF1E22"/>
    <w:multiLevelType w:val="hybridMultilevel"/>
    <w:tmpl w:val="864CA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C42AB6"/>
    <w:multiLevelType w:val="hybridMultilevel"/>
    <w:tmpl w:val="A7EEF9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862213A"/>
    <w:multiLevelType w:val="multilevel"/>
    <w:tmpl w:val="CE809D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CA87EC3"/>
    <w:multiLevelType w:val="hybridMultilevel"/>
    <w:tmpl w:val="A18C1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446D89"/>
    <w:multiLevelType w:val="hybridMultilevel"/>
    <w:tmpl w:val="C6AE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9632F3"/>
    <w:multiLevelType w:val="multilevel"/>
    <w:tmpl w:val="3976C70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1498690302">
    <w:abstractNumId w:val="8"/>
  </w:num>
  <w:num w:numId="2" w16cid:durableId="1240365315">
    <w:abstractNumId w:val="5"/>
  </w:num>
  <w:num w:numId="3" w16cid:durableId="589195008">
    <w:abstractNumId w:val="11"/>
  </w:num>
  <w:num w:numId="4" w16cid:durableId="255792759">
    <w:abstractNumId w:val="2"/>
  </w:num>
  <w:num w:numId="5" w16cid:durableId="3826140">
    <w:abstractNumId w:val="17"/>
  </w:num>
  <w:num w:numId="6" w16cid:durableId="643777770">
    <w:abstractNumId w:val="21"/>
  </w:num>
  <w:num w:numId="7" w16cid:durableId="1630820019">
    <w:abstractNumId w:val="16"/>
  </w:num>
  <w:num w:numId="8" w16cid:durableId="1854219569">
    <w:abstractNumId w:val="19"/>
  </w:num>
  <w:num w:numId="9" w16cid:durableId="787549628">
    <w:abstractNumId w:val="9"/>
  </w:num>
  <w:num w:numId="10" w16cid:durableId="163015288">
    <w:abstractNumId w:val="23"/>
  </w:num>
  <w:num w:numId="11" w16cid:durableId="1540123467">
    <w:abstractNumId w:val="22"/>
  </w:num>
  <w:num w:numId="12" w16cid:durableId="929390407">
    <w:abstractNumId w:val="0"/>
  </w:num>
  <w:num w:numId="13" w16cid:durableId="2076778851">
    <w:abstractNumId w:val="1"/>
  </w:num>
  <w:num w:numId="14" w16cid:durableId="1982345298">
    <w:abstractNumId w:val="10"/>
  </w:num>
  <w:num w:numId="15" w16cid:durableId="1283461801">
    <w:abstractNumId w:val="4"/>
  </w:num>
  <w:num w:numId="16" w16cid:durableId="1137649511">
    <w:abstractNumId w:val="15"/>
  </w:num>
  <w:num w:numId="17" w16cid:durableId="1350835005">
    <w:abstractNumId w:val="3"/>
  </w:num>
  <w:num w:numId="18" w16cid:durableId="2136363795">
    <w:abstractNumId w:val="12"/>
  </w:num>
  <w:num w:numId="19" w16cid:durableId="1959142234">
    <w:abstractNumId w:val="18"/>
  </w:num>
  <w:num w:numId="20" w16cid:durableId="2009019563">
    <w:abstractNumId w:val="14"/>
  </w:num>
  <w:num w:numId="21" w16cid:durableId="472914929">
    <w:abstractNumId w:val="7"/>
  </w:num>
  <w:num w:numId="22" w16cid:durableId="223175338">
    <w:abstractNumId w:val="13"/>
  </w:num>
  <w:num w:numId="23" w16cid:durableId="279336709">
    <w:abstractNumId w:val="6"/>
  </w:num>
  <w:num w:numId="24" w16cid:durableId="202004144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F96"/>
    <w:rsid w:val="00010614"/>
    <w:rsid w:val="00014299"/>
    <w:rsid w:val="0001499A"/>
    <w:rsid w:val="00015147"/>
    <w:rsid w:val="00015FAD"/>
    <w:rsid w:val="0001658F"/>
    <w:rsid w:val="00023D9C"/>
    <w:rsid w:val="00024797"/>
    <w:rsid w:val="00030628"/>
    <w:rsid w:val="000310D1"/>
    <w:rsid w:val="00037B46"/>
    <w:rsid w:val="0004210B"/>
    <w:rsid w:val="00050298"/>
    <w:rsid w:val="00051A3D"/>
    <w:rsid w:val="000540BA"/>
    <w:rsid w:val="00056682"/>
    <w:rsid w:val="00061E8B"/>
    <w:rsid w:val="00071123"/>
    <w:rsid w:val="00084206"/>
    <w:rsid w:val="000849E1"/>
    <w:rsid w:val="00085CEF"/>
    <w:rsid w:val="00087E7B"/>
    <w:rsid w:val="00092F85"/>
    <w:rsid w:val="00093A52"/>
    <w:rsid w:val="00094BCD"/>
    <w:rsid w:val="000960A6"/>
    <w:rsid w:val="000971DD"/>
    <w:rsid w:val="000B5952"/>
    <w:rsid w:val="000C429E"/>
    <w:rsid w:val="000D235A"/>
    <w:rsid w:val="000D7B90"/>
    <w:rsid w:val="000E67B6"/>
    <w:rsid w:val="000F69FA"/>
    <w:rsid w:val="00101E16"/>
    <w:rsid w:val="00104C08"/>
    <w:rsid w:val="00106D36"/>
    <w:rsid w:val="00107B6B"/>
    <w:rsid w:val="00123041"/>
    <w:rsid w:val="001234EA"/>
    <w:rsid w:val="001253C2"/>
    <w:rsid w:val="0012588E"/>
    <w:rsid w:val="00145F8C"/>
    <w:rsid w:val="00151A6C"/>
    <w:rsid w:val="00155D94"/>
    <w:rsid w:val="0017126A"/>
    <w:rsid w:val="00172023"/>
    <w:rsid w:val="00177034"/>
    <w:rsid w:val="00183BA0"/>
    <w:rsid w:val="00183FD8"/>
    <w:rsid w:val="00185A28"/>
    <w:rsid w:val="001A1AD4"/>
    <w:rsid w:val="001C2DD8"/>
    <w:rsid w:val="001D5445"/>
    <w:rsid w:val="001D55D1"/>
    <w:rsid w:val="001E3542"/>
    <w:rsid w:val="001E4D8C"/>
    <w:rsid w:val="001E7A97"/>
    <w:rsid w:val="001E7C59"/>
    <w:rsid w:val="001F3641"/>
    <w:rsid w:val="002044E4"/>
    <w:rsid w:val="002074F0"/>
    <w:rsid w:val="002078BF"/>
    <w:rsid w:val="00217F2A"/>
    <w:rsid w:val="002218B4"/>
    <w:rsid w:val="002240F0"/>
    <w:rsid w:val="0022474A"/>
    <w:rsid w:val="0022571E"/>
    <w:rsid w:val="00227BA1"/>
    <w:rsid w:val="00232771"/>
    <w:rsid w:val="00232839"/>
    <w:rsid w:val="00233570"/>
    <w:rsid w:val="00235085"/>
    <w:rsid w:val="00235F22"/>
    <w:rsid w:val="00243FE2"/>
    <w:rsid w:val="00245633"/>
    <w:rsid w:val="002472B1"/>
    <w:rsid w:val="00255747"/>
    <w:rsid w:val="0026263A"/>
    <w:rsid w:val="00266096"/>
    <w:rsid w:val="00270451"/>
    <w:rsid w:val="002707C2"/>
    <w:rsid w:val="00271338"/>
    <w:rsid w:val="00281BB4"/>
    <w:rsid w:val="00282609"/>
    <w:rsid w:val="00284888"/>
    <w:rsid w:val="002950D0"/>
    <w:rsid w:val="00296DBA"/>
    <w:rsid w:val="002A1346"/>
    <w:rsid w:val="002A51DC"/>
    <w:rsid w:val="002B277F"/>
    <w:rsid w:val="002B2D2B"/>
    <w:rsid w:val="002B6847"/>
    <w:rsid w:val="002B7D20"/>
    <w:rsid w:val="002C0640"/>
    <w:rsid w:val="002D268C"/>
    <w:rsid w:val="002D6BCA"/>
    <w:rsid w:val="002D7D50"/>
    <w:rsid w:val="002E0AB5"/>
    <w:rsid w:val="002E43CE"/>
    <w:rsid w:val="002E5455"/>
    <w:rsid w:val="002F0C8E"/>
    <w:rsid w:val="00307781"/>
    <w:rsid w:val="00320563"/>
    <w:rsid w:val="0032602C"/>
    <w:rsid w:val="0034118A"/>
    <w:rsid w:val="0034175A"/>
    <w:rsid w:val="003429CC"/>
    <w:rsid w:val="00343FC2"/>
    <w:rsid w:val="00345A27"/>
    <w:rsid w:val="003508D8"/>
    <w:rsid w:val="00353C70"/>
    <w:rsid w:val="003576E7"/>
    <w:rsid w:val="00367500"/>
    <w:rsid w:val="00370E95"/>
    <w:rsid w:val="00371524"/>
    <w:rsid w:val="00373FBD"/>
    <w:rsid w:val="00374283"/>
    <w:rsid w:val="003835BE"/>
    <w:rsid w:val="003861CF"/>
    <w:rsid w:val="00392635"/>
    <w:rsid w:val="00393A57"/>
    <w:rsid w:val="003A08EE"/>
    <w:rsid w:val="003A3139"/>
    <w:rsid w:val="003A5D73"/>
    <w:rsid w:val="003A66B5"/>
    <w:rsid w:val="003A7499"/>
    <w:rsid w:val="003C00C0"/>
    <w:rsid w:val="003C407C"/>
    <w:rsid w:val="003C483B"/>
    <w:rsid w:val="003C7800"/>
    <w:rsid w:val="003D71F0"/>
    <w:rsid w:val="003D7E04"/>
    <w:rsid w:val="003E0D8C"/>
    <w:rsid w:val="003E3613"/>
    <w:rsid w:val="0040125D"/>
    <w:rsid w:val="004053D0"/>
    <w:rsid w:val="0040645D"/>
    <w:rsid w:val="00412A09"/>
    <w:rsid w:val="004131BD"/>
    <w:rsid w:val="004401DF"/>
    <w:rsid w:val="004459FA"/>
    <w:rsid w:val="00446A02"/>
    <w:rsid w:val="00455C3B"/>
    <w:rsid w:val="0046013A"/>
    <w:rsid w:val="00472F5D"/>
    <w:rsid w:val="0047416B"/>
    <w:rsid w:val="004776CA"/>
    <w:rsid w:val="00481908"/>
    <w:rsid w:val="00481C81"/>
    <w:rsid w:val="00482C7A"/>
    <w:rsid w:val="0049296F"/>
    <w:rsid w:val="004952E7"/>
    <w:rsid w:val="00495FFA"/>
    <w:rsid w:val="004A6FF6"/>
    <w:rsid w:val="004B096D"/>
    <w:rsid w:val="004B370B"/>
    <w:rsid w:val="004B67E6"/>
    <w:rsid w:val="004C011B"/>
    <w:rsid w:val="004C7C0C"/>
    <w:rsid w:val="004C7F51"/>
    <w:rsid w:val="004D3D1D"/>
    <w:rsid w:val="004D5515"/>
    <w:rsid w:val="004E6EFB"/>
    <w:rsid w:val="004F31E8"/>
    <w:rsid w:val="004F44FC"/>
    <w:rsid w:val="00500B47"/>
    <w:rsid w:val="00504C1F"/>
    <w:rsid w:val="00511977"/>
    <w:rsid w:val="00515AB9"/>
    <w:rsid w:val="005162C0"/>
    <w:rsid w:val="0052338F"/>
    <w:rsid w:val="00547D72"/>
    <w:rsid w:val="005559A5"/>
    <w:rsid w:val="005563A9"/>
    <w:rsid w:val="005572EB"/>
    <w:rsid w:val="0056094A"/>
    <w:rsid w:val="00561BDD"/>
    <w:rsid w:val="005632E2"/>
    <w:rsid w:val="00564618"/>
    <w:rsid w:val="00564A1D"/>
    <w:rsid w:val="00567B02"/>
    <w:rsid w:val="00580D1F"/>
    <w:rsid w:val="0058280E"/>
    <w:rsid w:val="00582DDC"/>
    <w:rsid w:val="005849EF"/>
    <w:rsid w:val="00584B3C"/>
    <w:rsid w:val="00591622"/>
    <w:rsid w:val="005A6324"/>
    <w:rsid w:val="005C0725"/>
    <w:rsid w:val="005D1C59"/>
    <w:rsid w:val="005E16E5"/>
    <w:rsid w:val="005E2517"/>
    <w:rsid w:val="005E2C44"/>
    <w:rsid w:val="005E469F"/>
    <w:rsid w:val="005F3123"/>
    <w:rsid w:val="005F420D"/>
    <w:rsid w:val="006006B5"/>
    <w:rsid w:val="00601601"/>
    <w:rsid w:val="006017D3"/>
    <w:rsid w:val="00602C0B"/>
    <w:rsid w:val="00604A6F"/>
    <w:rsid w:val="00611D2E"/>
    <w:rsid w:val="006250F5"/>
    <w:rsid w:val="00642FE7"/>
    <w:rsid w:val="00670E29"/>
    <w:rsid w:val="00672800"/>
    <w:rsid w:val="00677C15"/>
    <w:rsid w:val="00693EA7"/>
    <w:rsid w:val="006A54FD"/>
    <w:rsid w:val="006B4D06"/>
    <w:rsid w:val="006B73D3"/>
    <w:rsid w:val="006C1CC8"/>
    <w:rsid w:val="006D2477"/>
    <w:rsid w:val="006D33FD"/>
    <w:rsid w:val="006D604B"/>
    <w:rsid w:val="006E1F56"/>
    <w:rsid w:val="006E5FD4"/>
    <w:rsid w:val="006E64B1"/>
    <w:rsid w:val="006F0A9D"/>
    <w:rsid w:val="006F18A7"/>
    <w:rsid w:val="0070485E"/>
    <w:rsid w:val="007065FD"/>
    <w:rsid w:val="00721198"/>
    <w:rsid w:val="00732F70"/>
    <w:rsid w:val="00734D67"/>
    <w:rsid w:val="00735DEB"/>
    <w:rsid w:val="00736966"/>
    <w:rsid w:val="00743A97"/>
    <w:rsid w:val="00745A82"/>
    <w:rsid w:val="00756A36"/>
    <w:rsid w:val="007616E4"/>
    <w:rsid w:val="00764541"/>
    <w:rsid w:val="00764DC5"/>
    <w:rsid w:val="0076595B"/>
    <w:rsid w:val="0076697B"/>
    <w:rsid w:val="007875B2"/>
    <w:rsid w:val="0079175C"/>
    <w:rsid w:val="007917CE"/>
    <w:rsid w:val="007A35B4"/>
    <w:rsid w:val="007A7774"/>
    <w:rsid w:val="007A7CC0"/>
    <w:rsid w:val="007A7EFB"/>
    <w:rsid w:val="007C0D66"/>
    <w:rsid w:val="007D11F5"/>
    <w:rsid w:val="007D16F3"/>
    <w:rsid w:val="007D3AB2"/>
    <w:rsid w:val="007E1323"/>
    <w:rsid w:val="007E14D9"/>
    <w:rsid w:val="007E377E"/>
    <w:rsid w:val="007E51A0"/>
    <w:rsid w:val="007E6BB6"/>
    <w:rsid w:val="007E776A"/>
    <w:rsid w:val="007F24DD"/>
    <w:rsid w:val="007F526D"/>
    <w:rsid w:val="007F69E1"/>
    <w:rsid w:val="00803A0E"/>
    <w:rsid w:val="008044FB"/>
    <w:rsid w:val="0080523A"/>
    <w:rsid w:val="00816E95"/>
    <w:rsid w:val="0082086C"/>
    <w:rsid w:val="00832DBE"/>
    <w:rsid w:val="00845918"/>
    <w:rsid w:val="00860FBE"/>
    <w:rsid w:val="008631A5"/>
    <w:rsid w:val="00864395"/>
    <w:rsid w:val="0086578D"/>
    <w:rsid w:val="00884A7F"/>
    <w:rsid w:val="00884ACD"/>
    <w:rsid w:val="008914DE"/>
    <w:rsid w:val="00891A56"/>
    <w:rsid w:val="008A00E0"/>
    <w:rsid w:val="008A430A"/>
    <w:rsid w:val="008A456F"/>
    <w:rsid w:val="008A4F4E"/>
    <w:rsid w:val="008C0FA2"/>
    <w:rsid w:val="008C2647"/>
    <w:rsid w:val="008C356B"/>
    <w:rsid w:val="008C46CD"/>
    <w:rsid w:val="008E0AA2"/>
    <w:rsid w:val="008E19A1"/>
    <w:rsid w:val="008E3F8E"/>
    <w:rsid w:val="008E7C4D"/>
    <w:rsid w:val="008F1F34"/>
    <w:rsid w:val="008F7EDD"/>
    <w:rsid w:val="00904044"/>
    <w:rsid w:val="0091386B"/>
    <w:rsid w:val="00914C5F"/>
    <w:rsid w:val="00914C64"/>
    <w:rsid w:val="00915CD4"/>
    <w:rsid w:val="009225E7"/>
    <w:rsid w:val="00925A66"/>
    <w:rsid w:val="00940F69"/>
    <w:rsid w:val="00946C4A"/>
    <w:rsid w:val="00953F96"/>
    <w:rsid w:val="0095421F"/>
    <w:rsid w:val="009610C4"/>
    <w:rsid w:val="0096281A"/>
    <w:rsid w:val="00965E3A"/>
    <w:rsid w:val="00980505"/>
    <w:rsid w:val="00980B27"/>
    <w:rsid w:val="00986B9E"/>
    <w:rsid w:val="0098724B"/>
    <w:rsid w:val="009932FD"/>
    <w:rsid w:val="009942CD"/>
    <w:rsid w:val="00996461"/>
    <w:rsid w:val="0099697D"/>
    <w:rsid w:val="009A018B"/>
    <w:rsid w:val="009A6960"/>
    <w:rsid w:val="009A6ABF"/>
    <w:rsid w:val="009A75D5"/>
    <w:rsid w:val="009B1263"/>
    <w:rsid w:val="009B2E4C"/>
    <w:rsid w:val="009B3287"/>
    <w:rsid w:val="009B6155"/>
    <w:rsid w:val="009C3226"/>
    <w:rsid w:val="009C48AA"/>
    <w:rsid w:val="009D213B"/>
    <w:rsid w:val="009D6C34"/>
    <w:rsid w:val="009E0E62"/>
    <w:rsid w:val="009F149D"/>
    <w:rsid w:val="009F5354"/>
    <w:rsid w:val="009F56AF"/>
    <w:rsid w:val="009F6F5B"/>
    <w:rsid w:val="00A00AA5"/>
    <w:rsid w:val="00A01E3C"/>
    <w:rsid w:val="00A06523"/>
    <w:rsid w:val="00A07D73"/>
    <w:rsid w:val="00A16BB4"/>
    <w:rsid w:val="00A24C5A"/>
    <w:rsid w:val="00A32EA8"/>
    <w:rsid w:val="00A36E7B"/>
    <w:rsid w:val="00A37433"/>
    <w:rsid w:val="00A42BB8"/>
    <w:rsid w:val="00A46503"/>
    <w:rsid w:val="00A52BEC"/>
    <w:rsid w:val="00A56084"/>
    <w:rsid w:val="00A664E7"/>
    <w:rsid w:val="00A70EC0"/>
    <w:rsid w:val="00A73757"/>
    <w:rsid w:val="00A756D5"/>
    <w:rsid w:val="00A76B55"/>
    <w:rsid w:val="00A828F9"/>
    <w:rsid w:val="00A85C74"/>
    <w:rsid w:val="00A86451"/>
    <w:rsid w:val="00A91825"/>
    <w:rsid w:val="00A91F9B"/>
    <w:rsid w:val="00A947A1"/>
    <w:rsid w:val="00AA19CC"/>
    <w:rsid w:val="00AA548D"/>
    <w:rsid w:val="00AA6C1E"/>
    <w:rsid w:val="00AB04B3"/>
    <w:rsid w:val="00AB0CBD"/>
    <w:rsid w:val="00AB30CB"/>
    <w:rsid w:val="00AC6644"/>
    <w:rsid w:val="00AD7C7A"/>
    <w:rsid w:val="00AE1643"/>
    <w:rsid w:val="00AE27B7"/>
    <w:rsid w:val="00AE6BD9"/>
    <w:rsid w:val="00AF2E76"/>
    <w:rsid w:val="00AF31F3"/>
    <w:rsid w:val="00B064BB"/>
    <w:rsid w:val="00B07BA5"/>
    <w:rsid w:val="00B10714"/>
    <w:rsid w:val="00B26763"/>
    <w:rsid w:val="00B326DD"/>
    <w:rsid w:val="00B327D0"/>
    <w:rsid w:val="00B34419"/>
    <w:rsid w:val="00B37CE6"/>
    <w:rsid w:val="00B37DD1"/>
    <w:rsid w:val="00B442B3"/>
    <w:rsid w:val="00B462C8"/>
    <w:rsid w:val="00B47B31"/>
    <w:rsid w:val="00B53F7A"/>
    <w:rsid w:val="00B624B2"/>
    <w:rsid w:val="00B65A34"/>
    <w:rsid w:val="00B74977"/>
    <w:rsid w:val="00B769C4"/>
    <w:rsid w:val="00B77703"/>
    <w:rsid w:val="00B77E06"/>
    <w:rsid w:val="00B81041"/>
    <w:rsid w:val="00B811E2"/>
    <w:rsid w:val="00B81B1F"/>
    <w:rsid w:val="00B85567"/>
    <w:rsid w:val="00B942F1"/>
    <w:rsid w:val="00B95D22"/>
    <w:rsid w:val="00BC2FD0"/>
    <w:rsid w:val="00BC4371"/>
    <w:rsid w:val="00BC7054"/>
    <w:rsid w:val="00BD3795"/>
    <w:rsid w:val="00BD45F3"/>
    <w:rsid w:val="00BE527B"/>
    <w:rsid w:val="00BE7357"/>
    <w:rsid w:val="00C0738C"/>
    <w:rsid w:val="00C077AB"/>
    <w:rsid w:val="00C10B25"/>
    <w:rsid w:val="00C277B5"/>
    <w:rsid w:val="00C33E45"/>
    <w:rsid w:val="00C34249"/>
    <w:rsid w:val="00C35001"/>
    <w:rsid w:val="00C35CB8"/>
    <w:rsid w:val="00C41167"/>
    <w:rsid w:val="00C4540E"/>
    <w:rsid w:val="00C506C8"/>
    <w:rsid w:val="00C53C40"/>
    <w:rsid w:val="00C6009A"/>
    <w:rsid w:val="00C61485"/>
    <w:rsid w:val="00C646FB"/>
    <w:rsid w:val="00C64D59"/>
    <w:rsid w:val="00C745A9"/>
    <w:rsid w:val="00C755DD"/>
    <w:rsid w:val="00C76F83"/>
    <w:rsid w:val="00C817A5"/>
    <w:rsid w:val="00C859BF"/>
    <w:rsid w:val="00C93BDA"/>
    <w:rsid w:val="00CA2458"/>
    <w:rsid w:val="00CA596A"/>
    <w:rsid w:val="00CB0811"/>
    <w:rsid w:val="00CB2D45"/>
    <w:rsid w:val="00CD101F"/>
    <w:rsid w:val="00CD17E0"/>
    <w:rsid w:val="00CD6B6F"/>
    <w:rsid w:val="00CE52F1"/>
    <w:rsid w:val="00CE5648"/>
    <w:rsid w:val="00CE7B3E"/>
    <w:rsid w:val="00CF2BFC"/>
    <w:rsid w:val="00CF7A57"/>
    <w:rsid w:val="00D00FD0"/>
    <w:rsid w:val="00D069DA"/>
    <w:rsid w:val="00D107B8"/>
    <w:rsid w:val="00D13F8F"/>
    <w:rsid w:val="00D1501A"/>
    <w:rsid w:val="00D17C0D"/>
    <w:rsid w:val="00D2065E"/>
    <w:rsid w:val="00D20D66"/>
    <w:rsid w:val="00D20F47"/>
    <w:rsid w:val="00D21CA5"/>
    <w:rsid w:val="00D23867"/>
    <w:rsid w:val="00D239B0"/>
    <w:rsid w:val="00D4112D"/>
    <w:rsid w:val="00D4235C"/>
    <w:rsid w:val="00D42A13"/>
    <w:rsid w:val="00D5212E"/>
    <w:rsid w:val="00D576CE"/>
    <w:rsid w:val="00D62CE4"/>
    <w:rsid w:val="00D768AA"/>
    <w:rsid w:val="00D84084"/>
    <w:rsid w:val="00D928D8"/>
    <w:rsid w:val="00DA4CD8"/>
    <w:rsid w:val="00DB4507"/>
    <w:rsid w:val="00DB6DEC"/>
    <w:rsid w:val="00DC2FC4"/>
    <w:rsid w:val="00DC68D3"/>
    <w:rsid w:val="00DD0FAA"/>
    <w:rsid w:val="00DD7D4F"/>
    <w:rsid w:val="00DDBCA8"/>
    <w:rsid w:val="00DE6C4A"/>
    <w:rsid w:val="00DE73F3"/>
    <w:rsid w:val="00DE7B3F"/>
    <w:rsid w:val="00DF4087"/>
    <w:rsid w:val="00E04C92"/>
    <w:rsid w:val="00E10A36"/>
    <w:rsid w:val="00E15535"/>
    <w:rsid w:val="00E22030"/>
    <w:rsid w:val="00E25352"/>
    <w:rsid w:val="00E26F54"/>
    <w:rsid w:val="00E45876"/>
    <w:rsid w:val="00E500DF"/>
    <w:rsid w:val="00E54771"/>
    <w:rsid w:val="00E62CDF"/>
    <w:rsid w:val="00E66AFA"/>
    <w:rsid w:val="00E75FF1"/>
    <w:rsid w:val="00E81272"/>
    <w:rsid w:val="00E84004"/>
    <w:rsid w:val="00E84975"/>
    <w:rsid w:val="00E84D54"/>
    <w:rsid w:val="00E9135B"/>
    <w:rsid w:val="00E91F9F"/>
    <w:rsid w:val="00E93D26"/>
    <w:rsid w:val="00E95210"/>
    <w:rsid w:val="00E97FE0"/>
    <w:rsid w:val="00EA10B8"/>
    <w:rsid w:val="00EA3A82"/>
    <w:rsid w:val="00EB10E5"/>
    <w:rsid w:val="00EB11E4"/>
    <w:rsid w:val="00EB5232"/>
    <w:rsid w:val="00EB6836"/>
    <w:rsid w:val="00EC1878"/>
    <w:rsid w:val="00ED70C6"/>
    <w:rsid w:val="00EE18DE"/>
    <w:rsid w:val="00EE1D68"/>
    <w:rsid w:val="00EE638D"/>
    <w:rsid w:val="00EF4334"/>
    <w:rsid w:val="00EF4DFB"/>
    <w:rsid w:val="00F0147E"/>
    <w:rsid w:val="00F02806"/>
    <w:rsid w:val="00F03253"/>
    <w:rsid w:val="00F06480"/>
    <w:rsid w:val="00F10901"/>
    <w:rsid w:val="00F14C7D"/>
    <w:rsid w:val="00F21CE1"/>
    <w:rsid w:val="00F271AD"/>
    <w:rsid w:val="00F37B1B"/>
    <w:rsid w:val="00F41946"/>
    <w:rsid w:val="00F42478"/>
    <w:rsid w:val="00F45AE9"/>
    <w:rsid w:val="00F509CE"/>
    <w:rsid w:val="00F52666"/>
    <w:rsid w:val="00F64888"/>
    <w:rsid w:val="00F649F8"/>
    <w:rsid w:val="00F7697C"/>
    <w:rsid w:val="00F80CE4"/>
    <w:rsid w:val="00F80FDF"/>
    <w:rsid w:val="00F91409"/>
    <w:rsid w:val="00F91E6B"/>
    <w:rsid w:val="00F93FF0"/>
    <w:rsid w:val="00FA6E38"/>
    <w:rsid w:val="00FB4132"/>
    <w:rsid w:val="00FC463B"/>
    <w:rsid w:val="00FC59B2"/>
    <w:rsid w:val="00FE372A"/>
    <w:rsid w:val="00FE497C"/>
    <w:rsid w:val="00FF222C"/>
    <w:rsid w:val="00FF67D8"/>
    <w:rsid w:val="040A340A"/>
    <w:rsid w:val="073AED41"/>
    <w:rsid w:val="07D7AF51"/>
    <w:rsid w:val="0A2E8509"/>
    <w:rsid w:val="0C4B293E"/>
    <w:rsid w:val="0E215C99"/>
    <w:rsid w:val="0EC0EEBF"/>
    <w:rsid w:val="10F24726"/>
    <w:rsid w:val="10F341D4"/>
    <w:rsid w:val="116D19EB"/>
    <w:rsid w:val="14E72C73"/>
    <w:rsid w:val="151501EC"/>
    <w:rsid w:val="1706F6C4"/>
    <w:rsid w:val="1712FD7A"/>
    <w:rsid w:val="18558F8A"/>
    <w:rsid w:val="1ABBC5E3"/>
    <w:rsid w:val="1B5BC29F"/>
    <w:rsid w:val="1CB1F618"/>
    <w:rsid w:val="1DEBB703"/>
    <w:rsid w:val="1F1AA9BD"/>
    <w:rsid w:val="211A8369"/>
    <w:rsid w:val="212A8EE0"/>
    <w:rsid w:val="219814FA"/>
    <w:rsid w:val="23344FA8"/>
    <w:rsid w:val="293B51AA"/>
    <w:rsid w:val="296CD812"/>
    <w:rsid w:val="2DB5320B"/>
    <w:rsid w:val="2E676FE2"/>
    <w:rsid w:val="2F8F3684"/>
    <w:rsid w:val="30DC2D43"/>
    <w:rsid w:val="31586931"/>
    <w:rsid w:val="323F9C78"/>
    <w:rsid w:val="33390491"/>
    <w:rsid w:val="34C9713C"/>
    <w:rsid w:val="35D52EC1"/>
    <w:rsid w:val="36620AF6"/>
    <w:rsid w:val="3688D477"/>
    <w:rsid w:val="40B595CD"/>
    <w:rsid w:val="442875BC"/>
    <w:rsid w:val="4587CE06"/>
    <w:rsid w:val="461B8C81"/>
    <w:rsid w:val="4849E97A"/>
    <w:rsid w:val="4C43EA66"/>
    <w:rsid w:val="4DD36438"/>
    <w:rsid w:val="4FA245EF"/>
    <w:rsid w:val="51872A04"/>
    <w:rsid w:val="545493A8"/>
    <w:rsid w:val="5506444F"/>
    <w:rsid w:val="5735B0BF"/>
    <w:rsid w:val="58262513"/>
    <w:rsid w:val="5934FF41"/>
    <w:rsid w:val="5A5EC33E"/>
    <w:rsid w:val="5B0AB465"/>
    <w:rsid w:val="5DCA3A54"/>
    <w:rsid w:val="5EAC93B2"/>
    <w:rsid w:val="60442C1A"/>
    <w:rsid w:val="6382DE2D"/>
    <w:rsid w:val="65DFA94F"/>
    <w:rsid w:val="66FE4CDA"/>
    <w:rsid w:val="67D1618B"/>
    <w:rsid w:val="68FA8A9B"/>
    <w:rsid w:val="692C4B34"/>
    <w:rsid w:val="6AFF5886"/>
    <w:rsid w:val="6B4D31AA"/>
    <w:rsid w:val="6DE8F0B6"/>
    <w:rsid w:val="6E462AAA"/>
    <w:rsid w:val="6E7F8C1F"/>
    <w:rsid w:val="705D6F1D"/>
    <w:rsid w:val="732F2E35"/>
    <w:rsid w:val="748A412D"/>
    <w:rsid w:val="7695FAC9"/>
    <w:rsid w:val="76AF7ECA"/>
    <w:rsid w:val="77FB3CA3"/>
    <w:rsid w:val="78D4BEC6"/>
    <w:rsid w:val="7A1DA578"/>
    <w:rsid w:val="7A963A77"/>
    <w:rsid w:val="7C377CDD"/>
    <w:rsid w:val="7ED79CBC"/>
    <w:rsid w:val="7FF98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F38880"/>
  <w15:chartTrackingRefBased/>
  <w15:docId w15:val="{43D31EC3-9AA6-4C22-AFD6-75AA0F079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F96"/>
    <w:pPr>
      <w:keepNext/>
      <w:keepLines/>
      <w:spacing w:before="360" w:after="80"/>
      <w:outlineLvl w:val="0"/>
    </w:pPr>
    <w:rPr>
      <w:rFonts w:asciiTheme="majorHAnsi" w:eastAsiaTheme="majorEastAsia" w:hAnsiTheme="majorHAnsi" w:cstheme="majorBidi"/>
      <w:color w:val="276E8B" w:themeColor="accent1" w:themeShade="BF"/>
      <w:sz w:val="40"/>
      <w:szCs w:val="40"/>
    </w:rPr>
  </w:style>
  <w:style w:type="paragraph" w:styleId="Heading2">
    <w:name w:val="heading 2"/>
    <w:basedOn w:val="Normal"/>
    <w:next w:val="Normal"/>
    <w:link w:val="Heading2Char"/>
    <w:uiPriority w:val="9"/>
    <w:unhideWhenUsed/>
    <w:qFormat/>
    <w:rsid w:val="00953F96"/>
    <w:pPr>
      <w:keepNext/>
      <w:keepLines/>
      <w:spacing w:before="160" w:after="80"/>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uiPriority w:val="9"/>
    <w:unhideWhenUsed/>
    <w:qFormat/>
    <w:rsid w:val="00953F96"/>
    <w:pPr>
      <w:keepNext/>
      <w:keepLines/>
      <w:spacing w:before="160" w:after="80"/>
      <w:outlineLvl w:val="2"/>
    </w:pPr>
    <w:rPr>
      <w:rFonts w:eastAsiaTheme="majorEastAsia" w:cstheme="majorBidi"/>
      <w:color w:val="276E8B" w:themeColor="accent1" w:themeShade="BF"/>
      <w:sz w:val="28"/>
      <w:szCs w:val="28"/>
    </w:rPr>
  </w:style>
  <w:style w:type="paragraph" w:styleId="Heading4">
    <w:name w:val="heading 4"/>
    <w:basedOn w:val="Normal"/>
    <w:next w:val="Normal"/>
    <w:link w:val="Heading4Char"/>
    <w:uiPriority w:val="9"/>
    <w:semiHidden/>
    <w:unhideWhenUsed/>
    <w:qFormat/>
    <w:rsid w:val="00953F96"/>
    <w:pPr>
      <w:keepNext/>
      <w:keepLines/>
      <w:spacing w:before="80" w:after="40"/>
      <w:outlineLvl w:val="3"/>
    </w:pPr>
    <w:rPr>
      <w:rFonts w:eastAsiaTheme="majorEastAsia" w:cstheme="majorBidi"/>
      <w:i/>
      <w:iCs/>
      <w:color w:val="276E8B" w:themeColor="accent1" w:themeShade="BF"/>
    </w:rPr>
  </w:style>
  <w:style w:type="paragraph" w:styleId="Heading5">
    <w:name w:val="heading 5"/>
    <w:basedOn w:val="Normal"/>
    <w:next w:val="Normal"/>
    <w:link w:val="Heading5Char"/>
    <w:uiPriority w:val="9"/>
    <w:semiHidden/>
    <w:unhideWhenUsed/>
    <w:qFormat/>
    <w:rsid w:val="00953F96"/>
    <w:pPr>
      <w:keepNext/>
      <w:keepLines/>
      <w:spacing w:before="80" w:after="40"/>
      <w:outlineLvl w:val="4"/>
    </w:pPr>
    <w:rPr>
      <w:rFonts w:eastAsiaTheme="majorEastAsia" w:cstheme="majorBidi"/>
      <w:color w:val="276E8B" w:themeColor="accent1" w:themeShade="BF"/>
    </w:rPr>
  </w:style>
  <w:style w:type="paragraph" w:styleId="Heading6">
    <w:name w:val="heading 6"/>
    <w:basedOn w:val="Normal"/>
    <w:next w:val="Normal"/>
    <w:link w:val="Heading6Char"/>
    <w:uiPriority w:val="9"/>
    <w:semiHidden/>
    <w:unhideWhenUsed/>
    <w:qFormat/>
    <w:rsid w:val="00953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F96"/>
    <w:rPr>
      <w:rFonts w:asciiTheme="majorHAnsi" w:eastAsiaTheme="majorEastAsia" w:hAnsiTheme="majorHAnsi" w:cstheme="majorBidi"/>
      <w:color w:val="276E8B" w:themeColor="accent1" w:themeShade="BF"/>
      <w:sz w:val="40"/>
      <w:szCs w:val="40"/>
    </w:rPr>
  </w:style>
  <w:style w:type="character" w:customStyle="1" w:styleId="Heading2Char">
    <w:name w:val="Heading 2 Char"/>
    <w:basedOn w:val="DefaultParagraphFont"/>
    <w:link w:val="Heading2"/>
    <w:uiPriority w:val="9"/>
    <w:rsid w:val="00953F96"/>
    <w:rPr>
      <w:rFonts w:asciiTheme="majorHAnsi" w:eastAsiaTheme="majorEastAsia" w:hAnsiTheme="majorHAnsi" w:cstheme="majorBidi"/>
      <w:color w:val="276E8B" w:themeColor="accent1" w:themeShade="BF"/>
      <w:sz w:val="32"/>
      <w:szCs w:val="32"/>
    </w:rPr>
  </w:style>
  <w:style w:type="character" w:customStyle="1" w:styleId="Heading3Char">
    <w:name w:val="Heading 3 Char"/>
    <w:basedOn w:val="DefaultParagraphFont"/>
    <w:link w:val="Heading3"/>
    <w:uiPriority w:val="9"/>
    <w:rsid w:val="00953F96"/>
    <w:rPr>
      <w:rFonts w:eastAsiaTheme="majorEastAsia" w:cstheme="majorBidi"/>
      <w:color w:val="276E8B" w:themeColor="accent1" w:themeShade="BF"/>
      <w:sz w:val="28"/>
      <w:szCs w:val="28"/>
    </w:rPr>
  </w:style>
  <w:style w:type="character" w:customStyle="1" w:styleId="Heading4Char">
    <w:name w:val="Heading 4 Char"/>
    <w:basedOn w:val="DefaultParagraphFont"/>
    <w:link w:val="Heading4"/>
    <w:uiPriority w:val="9"/>
    <w:semiHidden/>
    <w:rsid w:val="00953F96"/>
    <w:rPr>
      <w:rFonts w:eastAsiaTheme="majorEastAsia" w:cstheme="majorBidi"/>
      <w:i/>
      <w:iCs/>
      <w:color w:val="276E8B" w:themeColor="accent1" w:themeShade="BF"/>
    </w:rPr>
  </w:style>
  <w:style w:type="character" w:customStyle="1" w:styleId="Heading5Char">
    <w:name w:val="Heading 5 Char"/>
    <w:basedOn w:val="DefaultParagraphFont"/>
    <w:link w:val="Heading5"/>
    <w:uiPriority w:val="9"/>
    <w:semiHidden/>
    <w:rsid w:val="00953F96"/>
    <w:rPr>
      <w:rFonts w:eastAsiaTheme="majorEastAsia" w:cstheme="majorBidi"/>
      <w:color w:val="276E8B" w:themeColor="accent1" w:themeShade="BF"/>
    </w:rPr>
  </w:style>
  <w:style w:type="character" w:customStyle="1" w:styleId="Heading6Char">
    <w:name w:val="Heading 6 Char"/>
    <w:basedOn w:val="DefaultParagraphFont"/>
    <w:link w:val="Heading6"/>
    <w:uiPriority w:val="9"/>
    <w:semiHidden/>
    <w:rsid w:val="00953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F96"/>
    <w:rPr>
      <w:rFonts w:eastAsiaTheme="majorEastAsia" w:cstheme="majorBidi"/>
      <w:color w:val="272727" w:themeColor="text1" w:themeTint="D8"/>
    </w:rPr>
  </w:style>
  <w:style w:type="paragraph" w:styleId="Title">
    <w:name w:val="Title"/>
    <w:basedOn w:val="Normal"/>
    <w:next w:val="Normal"/>
    <w:link w:val="TitleChar"/>
    <w:uiPriority w:val="10"/>
    <w:qFormat/>
    <w:rsid w:val="00953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F96"/>
    <w:pPr>
      <w:spacing w:before="160"/>
      <w:jc w:val="center"/>
    </w:pPr>
    <w:rPr>
      <w:i/>
      <w:iCs/>
      <w:color w:val="404040" w:themeColor="text1" w:themeTint="BF"/>
    </w:rPr>
  </w:style>
  <w:style w:type="character" w:customStyle="1" w:styleId="QuoteChar">
    <w:name w:val="Quote Char"/>
    <w:basedOn w:val="DefaultParagraphFont"/>
    <w:link w:val="Quote"/>
    <w:uiPriority w:val="29"/>
    <w:rsid w:val="00953F96"/>
    <w:rPr>
      <w:i/>
      <w:iCs/>
      <w:color w:val="404040" w:themeColor="text1" w:themeTint="BF"/>
    </w:rPr>
  </w:style>
  <w:style w:type="paragraph" w:styleId="ListParagraph">
    <w:name w:val="List Paragraph"/>
    <w:basedOn w:val="Normal"/>
    <w:uiPriority w:val="34"/>
    <w:qFormat/>
    <w:rsid w:val="00953F96"/>
    <w:pPr>
      <w:ind w:left="720"/>
      <w:contextualSpacing/>
    </w:pPr>
  </w:style>
  <w:style w:type="character" w:styleId="IntenseEmphasis">
    <w:name w:val="Intense Emphasis"/>
    <w:basedOn w:val="DefaultParagraphFont"/>
    <w:uiPriority w:val="21"/>
    <w:qFormat/>
    <w:rsid w:val="00953F96"/>
    <w:rPr>
      <w:i/>
      <w:iCs/>
      <w:color w:val="276E8B" w:themeColor="accent1" w:themeShade="BF"/>
    </w:rPr>
  </w:style>
  <w:style w:type="paragraph" w:styleId="IntenseQuote">
    <w:name w:val="Intense Quote"/>
    <w:basedOn w:val="Normal"/>
    <w:next w:val="Normal"/>
    <w:link w:val="IntenseQuoteChar"/>
    <w:uiPriority w:val="30"/>
    <w:qFormat/>
    <w:rsid w:val="00953F96"/>
    <w:pPr>
      <w:pBdr>
        <w:top w:val="single" w:sz="4" w:space="10" w:color="276E8B" w:themeColor="accent1" w:themeShade="BF"/>
        <w:bottom w:val="single" w:sz="4" w:space="10" w:color="276E8B" w:themeColor="accent1" w:themeShade="BF"/>
      </w:pBdr>
      <w:spacing w:before="360" w:after="360"/>
      <w:ind w:left="864" w:right="864"/>
      <w:jc w:val="center"/>
    </w:pPr>
    <w:rPr>
      <w:i/>
      <w:iCs/>
      <w:color w:val="276E8B" w:themeColor="accent1" w:themeShade="BF"/>
    </w:rPr>
  </w:style>
  <w:style w:type="character" w:customStyle="1" w:styleId="IntenseQuoteChar">
    <w:name w:val="Intense Quote Char"/>
    <w:basedOn w:val="DefaultParagraphFont"/>
    <w:link w:val="IntenseQuote"/>
    <w:uiPriority w:val="30"/>
    <w:rsid w:val="00953F96"/>
    <w:rPr>
      <w:i/>
      <w:iCs/>
      <w:color w:val="276E8B" w:themeColor="accent1" w:themeShade="BF"/>
    </w:rPr>
  </w:style>
  <w:style w:type="character" w:styleId="IntenseReference">
    <w:name w:val="Intense Reference"/>
    <w:basedOn w:val="DefaultParagraphFont"/>
    <w:uiPriority w:val="32"/>
    <w:qFormat/>
    <w:rsid w:val="00953F96"/>
    <w:rPr>
      <w:b/>
      <w:bCs/>
      <w:smallCaps/>
      <w:color w:val="276E8B" w:themeColor="accent1" w:themeShade="BF"/>
      <w:spacing w:val="5"/>
    </w:rPr>
  </w:style>
  <w:style w:type="paragraph" w:styleId="NoSpacing">
    <w:name w:val="No Spacing"/>
    <w:link w:val="NoSpacingChar"/>
    <w:uiPriority w:val="1"/>
    <w:qFormat/>
    <w:rsid w:val="00953F9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53F9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53F9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0485E"/>
    <w:pPr>
      <w:spacing w:after="100"/>
    </w:pPr>
  </w:style>
  <w:style w:type="character" w:styleId="Hyperlink">
    <w:name w:val="Hyperlink"/>
    <w:basedOn w:val="DefaultParagraphFont"/>
    <w:uiPriority w:val="99"/>
    <w:unhideWhenUsed/>
    <w:rsid w:val="0070485E"/>
    <w:rPr>
      <w:color w:val="6B9F25" w:themeColor="hyperlink"/>
      <w:u w:val="single"/>
    </w:rPr>
  </w:style>
  <w:style w:type="table" w:styleId="TableGrid">
    <w:name w:val="Table Grid"/>
    <w:basedOn w:val="TableNormal"/>
    <w:uiPriority w:val="59"/>
    <w:rsid w:val="00704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4175A"/>
    <w:pPr>
      <w:spacing w:after="100"/>
      <w:ind w:left="240"/>
    </w:pPr>
  </w:style>
  <w:style w:type="character" w:styleId="PlaceholderText">
    <w:name w:val="Placeholder Text"/>
    <w:basedOn w:val="DefaultParagraphFont"/>
    <w:uiPriority w:val="99"/>
    <w:semiHidden/>
    <w:rsid w:val="0012588E"/>
    <w:rPr>
      <w:color w:val="666666"/>
    </w:rPr>
  </w:style>
  <w:style w:type="paragraph" w:styleId="NormalWeb">
    <w:name w:val="Normal (Web)"/>
    <w:basedOn w:val="Normal"/>
    <w:uiPriority w:val="99"/>
    <w:unhideWhenUsed/>
    <w:rsid w:val="0012588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84ACD"/>
    <w:rPr>
      <w:color w:val="605E5C"/>
      <w:shd w:val="clear" w:color="auto" w:fill="E1DFDD"/>
    </w:rPr>
  </w:style>
  <w:style w:type="paragraph" w:styleId="TOC3">
    <w:name w:val="toc 3"/>
    <w:basedOn w:val="Normal"/>
    <w:next w:val="Normal"/>
    <w:autoRedefine/>
    <w:uiPriority w:val="39"/>
    <w:unhideWhenUsed/>
    <w:rsid w:val="00C35CB8"/>
    <w:pPr>
      <w:spacing w:after="100"/>
      <w:ind w:left="480"/>
    </w:pPr>
  </w:style>
  <w:style w:type="paragraph" w:styleId="Header">
    <w:name w:val="header"/>
    <w:basedOn w:val="Normal"/>
    <w:link w:val="HeaderChar"/>
    <w:uiPriority w:val="99"/>
    <w:unhideWhenUsed/>
    <w:rsid w:val="00582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80E"/>
  </w:style>
  <w:style w:type="paragraph" w:styleId="Footer">
    <w:name w:val="footer"/>
    <w:basedOn w:val="Normal"/>
    <w:link w:val="FooterChar"/>
    <w:uiPriority w:val="99"/>
    <w:unhideWhenUsed/>
    <w:rsid w:val="00582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80E"/>
  </w:style>
  <w:style w:type="table" w:styleId="ListTable3-Accent6">
    <w:name w:val="List Table 3 Accent 6"/>
    <w:basedOn w:val="TableNormal"/>
    <w:uiPriority w:val="48"/>
    <w:rsid w:val="002D7D50"/>
    <w:pPr>
      <w:spacing w:after="0" w:line="240" w:lineRule="auto"/>
    </w:pPr>
    <w:tblPr>
      <w:tblStyleRowBandSize w:val="1"/>
      <w:tblStyleColBandSize w:val="1"/>
      <w:tblBorders>
        <w:top w:val="single" w:sz="4" w:space="0" w:color="2683C6" w:themeColor="accent6"/>
        <w:left w:val="single" w:sz="4" w:space="0" w:color="2683C6" w:themeColor="accent6"/>
        <w:bottom w:val="single" w:sz="4" w:space="0" w:color="2683C6" w:themeColor="accent6"/>
        <w:right w:val="single" w:sz="4" w:space="0" w:color="2683C6" w:themeColor="accent6"/>
      </w:tblBorders>
    </w:tblPr>
    <w:tblStylePr w:type="firstRow">
      <w:rPr>
        <w:b/>
        <w:bCs/>
        <w:color w:val="FFFFFF" w:themeColor="background1"/>
      </w:rPr>
      <w:tblPr/>
      <w:tcPr>
        <w:shd w:val="clear" w:color="auto" w:fill="2683C6" w:themeFill="accent6"/>
      </w:tcPr>
    </w:tblStylePr>
    <w:tblStylePr w:type="lastRow">
      <w:rPr>
        <w:b/>
        <w:bCs/>
      </w:rPr>
      <w:tblPr/>
      <w:tcPr>
        <w:tcBorders>
          <w:top w:val="double" w:sz="4" w:space="0" w:color="2683C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683C6" w:themeColor="accent6"/>
          <w:right w:val="single" w:sz="4" w:space="0" w:color="2683C6" w:themeColor="accent6"/>
        </w:tcBorders>
      </w:tcPr>
    </w:tblStylePr>
    <w:tblStylePr w:type="band1Horz">
      <w:tblPr/>
      <w:tcPr>
        <w:tcBorders>
          <w:top w:val="single" w:sz="4" w:space="0" w:color="2683C6" w:themeColor="accent6"/>
          <w:bottom w:val="single" w:sz="4" w:space="0" w:color="2683C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683C6" w:themeColor="accent6"/>
          <w:left w:val="nil"/>
        </w:tcBorders>
      </w:tcPr>
    </w:tblStylePr>
    <w:tblStylePr w:type="swCell">
      <w:tblPr/>
      <w:tcPr>
        <w:tcBorders>
          <w:top w:val="double" w:sz="4" w:space="0" w:color="2683C6" w:themeColor="accent6"/>
          <w:right w:val="nil"/>
        </w:tcBorders>
      </w:tcPr>
    </w:tblStylePr>
  </w:style>
  <w:style w:type="table" w:styleId="GridTable4-Accent1">
    <w:name w:val="Grid Table 4 Accent 1"/>
    <w:basedOn w:val="TableNormal"/>
    <w:uiPriority w:val="49"/>
    <w:rsid w:val="00756A36"/>
    <w:pPr>
      <w:spacing w:after="0" w:line="240" w:lineRule="auto"/>
    </w:pPr>
    <w:tblPr>
      <w:tblStyleRowBandSize w:val="1"/>
      <w:tblStyleColBandSize w:val="1"/>
      <w:tblBorders>
        <w:top w:val="single" w:sz="4" w:space="0" w:color="7FC0DB" w:themeColor="accent1" w:themeTint="99"/>
        <w:left w:val="single" w:sz="4" w:space="0" w:color="7FC0DB" w:themeColor="accent1" w:themeTint="99"/>
        <w:bottom w:val="single" w:sz="4" w:space="0" w:color="7FC0DB" w:themeColor="accent1" w:themeTint="99"/>
        <w:right w:val="single" w:sz="4" w:space="0" w:color="7FC0DB" w:themeColor="accent1" w:themeTint="99"/>
        <w:insideH w:val="single" w:sz="4" w:space="0" w:color="7FC0DB" w:themeColor="accent1" w:themeTint="99"/>
        <w:insideV w:val="single" w:sz="4" w:space="0" w:color="7FC0DB" w:themeColor="accent1" w:themeTint="99"/>
      </w:tblBorders>
    </w:tblPr>
    <w:tblStylePr w:type="firstRow">
      <w:rPr>
        <w:b/>
        <w:bCs/>
        <w:color w:val="FFFFFF" w:themeColor="background1"/>
      </w:rPr>
      <w:tblPr/>
      <w:tcPr>
        <w:tcBorders>
          <w:top w:val="single" w:sz="4" w:space="0" w:color="3494BA" w:themeColor="accent1"/>
          <w:left w:val="single" w:sz="4" w:space="0" w:color="3494BA" w:themeColor="accent1"/>
          <w:bottom w:val="single" w:sz="4" w:space="0" w:color="3494BA" w:themeColor="accent1"/>
          <w:right w:val="single" w:sz="4" w:space="0" w:color="3494BA" w:themeColor="accent1"/>
          <w:insideH w:val="nil"/>
          <w:insideV w:val="nil"/>
        </w:tcBorders>
        <w:shd w:val="clear" w:color="auto" w:fill="3494BA" w:themeFill="accent1"/>
      </w:tcPr>
    </w:tblStylePr>
    <w:tblStylePr w:type="lastRow">
      <w:rPr>
        <w:b/>
        <w:bCs/>
      </w:rPr>
      <w:tblPr/>
      <w:tcPr>
        <w:tcBorders>
          <w:top w:val="double" w:sz="4" w:space="0" w:color="3494BA" w:themeColor="accent1"/>
        </w:tcBorders>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 w:type="character" w:styleId="FollowedHyperlink">
    <w:name w:val="FollowedHyperlink"/>
    <w:basedOn w:val="DefaultParagraphFont"/>
    <w:uiPriority w:val="99"/>
    <w:semiHidden/>
    <w:unhideWhenUsed/>
    <w:rsid w:val="005C0725"/>
    <w:rPr>
      <w:color w:val="9F671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elib.maruzen.co.jp/elib/html/BookDetail/Id/3000065355"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_2.2_Star_schema"/><Relationship Id="rId17" Type="http://schemas.openxmlformats.org/officeDocument/2006/relationships/hyperlink" Target="https://www.proquest.com/docview/3117877108" TargetMode="External"/><Relationship Id="rId2" Type="http://schemas.openxmlformats.org/officeDocument/2006/relationships/customXml" Target="../customXml/item2.xml"/><Relationship Id="rId16" Type="http://schemas.openxmlformats.org/officeDocument/2006/relationships/hyperlink" Target="http://www.loc.gov/catdir/toc/wiley021/2002002054.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topics/computer-science/data-warehouse" TargetMode="External"/><Relationship Id="rId5" Type="http://schemas.openxmlformats.org/officeDocument/2006/relationships/settings" Target="settings.xml"/><Relationship Id="rId15" Type="http://schemas.openxmlformats.org/officeDocument/2006/relationships/hyperlink" Target="https://www.oracle.com/europe/database/what-is-a-data-warehouse/"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ngland.nhs.uk/digitaltechnology/digitising-the-frontlin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03282B6681C40E78F5C6C12229A1CB0"/>
        <w:category>
          <w:name w:val="General"/>
          <w:gallery w:val="placeholder"/>
        </w:category>
        <w:types>
          <w:type w:val="bbPlcHdr"/>
        </w:types>
        <w:behaviors>
          <w:behavior w:val="content"/>
        </w:behaviors>
        <w:guid w:val="{F11F6A13-0718-4889-853B-F5A9CF46FBCF}"/>
      </w:docPartPr>
      <w:docPartBody>
        <w:p w:rsidR="0004210B" w:rsidRDefault="00D17C0D">
          <w:r w:rsidRPr="001A32A2">
            <w:rPr>
              <w:rStyle w:val="PlaceholderText"/>
            </w:rPr>
            <w:t>Formatting...</w:t>
          </w:r>
        </w:p>
      </w:docPartBody>
    </w:docPart>
    <w:docPart>
      <w:docPartPr>
        <w:name w:val="BC2E83DEF06B42D38677ECF73104D60A"/>
        <w:category>
          <w:name w:val="General"/>
          <w:gallery w:val="placeholder"/>
        </w:category>
        <w:types>
          <w:type w:val="bbPlcHdr"/>
        </w:types>
        <w:behaviors>
          <w:behavior w:val="content"/>
        </w:behaviors>
        <w:guid w:val="{DBA3A0FF-EA85-4233-B153-CABC277FD4A1}"/>
      </w:docPartPr>
      <w:docPartBody>
        <w:p w:rsidR="0004210B" w:rsidRDefault="00D17C0D">
          <w:r w:rsidRPr="001A32A2">
            <w:rPr>
              <w:rStyle w:val="PlaceholderText"/>
            </w:rPr>
            <w:t>Formatting...</w:t>
          </w:r>
        </w:p>
      </w:docPartBody>
    </w:docPart>
    <w:docPart>
      <w:docPartPr>
        <w:name w:val="A974E4B680E74E53A937F08C498B16BE"/>
        <w:category>
          <w:name w:val="General"/>
          <w:gallery w:val="placeholder"/>
        </w:category>
        <w:types>
          <w:type w:val="bbPlcHdr"/>
        </w:types>
        <w:behaviors>
          <w:behavior w:val="content"/>
        </w:behaviors>
        <w:guid w:val="{7153121A-912B-40EF-883E-4B9E00FE8506}"/>
      </w:docPartPr>
      <w:docPartBody>
        <w:p w:rsidR="0004210B" w:rsidRDefault="00D17C0D">
          <w:r w:rsidRPr="001A32A2">
            <w:rPr>
              <w:rStyle w:val="PlaceholderText"/>
            </w:rPr>
            <w:t>Formatting...</w:t>
          </w:r>
        </w:p>
      </w:docPartBody>
    </w:docPart>
    <w:docPart>
      <w:docPartPr>
        <w:name w:val="1740592503EB4604BAA33FCFA9F244E1"/>
        <w:category>
          <w:name w:val="General"/>
          <w:gallery w:val="placeholder"/>
        </w:category>
        <w:types>
          <w:type w:val="bbPlcHdr"/>
        </w:types>
        <w:behaviors>
          <w:behavior w:val="content"/>
        </w:behaviors>
        <w:guid w:val="{D76526D1-5FE3-4F80-B745-97A70E0DA5F3}"/>
      </w:docPartPr>
      <w:docPartBody>
        <w:p w:rsidR="0004210B" w:rsidRDefault="00D17C0D">
          <w:r w:rsidRPr="001A32A2">
            <w:rPr>
              <w:rStyle w:val="PlaceholderText"/>
            </w:rPr>
            <w:t>Formatting...</w:t>
          </w:r>
        </w:p>
      </w:docPartBody>
    </w:docPart>
    <w:docPart>
      <w:docPartPr>
        <w:name w:val="ECD2FFED8EB44B2BBD8692B352AD912C"/>
        <w:category>
          <w:name w:val="General"/>
          <w:gallery w:val="placeholder"/>
        </w:category>
        <w:types>
          <w:type w:val="bbPlcHdr"/>
        </w:types>
        <w:behaviors>
          <w:behavior w:val="content"/>
        </w:behaviors>
        <w:guid w:val="{1A10A3A9-1361-44E9-86E0-1D865D57ADA3}"/>
      </w:docPartPr>
      <w:docPartBody>
        <w:p w:rsidR="0004210B" w:rsidRDefault="00D17C0D">
          <w:r w:rsidRPr="001A32A2">
            <w:rPr>
              <w:rStyle w:val="PlaceholderText"/>
            </w:rPr>
            <w:t>Formatting...</w:t>
          </w:r>
        </w:p>
      </w:docPartBody>
    </w:docPart>
    <w:docPart>
      <w:docPartPr>
        <w:name w:val="1697432272A24D2CAC922EA3A0E021D1"/>
        <w:category>
          <w:name w:val="General"/>
          <w:gallery w:val="placeholder"/>
        </w:category>
        <w:types>
          <w:type w:val="bbPlcHdr"/>
        </w:types>
        <w:behaviors>
          <w:behavior w:val="content"/>
        </w:behaviors>
        <w:guid w:val="{FA5F7E88-5666-4922-9CD9-CF995855213B}"/>
      </w:docPartPr>
      <w:docPartBody>
        <w:p w:rsidR="0004210B" w:rsidRDefault="00D17C0D">
          <w:r w:rsidRPr="001A32A2">
            <w:rPr>
              <w:rStyle w:val="PlaceholderText"/>
            </w:rPr>
            <w:t>Formatting...</w:t>
          </w:r>
        </w:p>
      </w:docPartBody>
    </w:docPart>
    <w:docPart>
      <w:docPartPr>
        <w:name w:val="528E6018E4D74D55ADBC364CC6B8D336"/>
        <w:category>
          <w:name w:val="General"/>
          <w:gallery w:val="placeholder"/>
        </w:category>
        <w:types>
          <w:type w:val="bbPlcHdr"/>
        </w:types>
        <w:behaviors>
          <w:behavior w:val="content"/>
        </w:behaviors>
        <w:guid w:val="{231B5D6D-6564-474D-88B5-4C286ADCB434}"/>
      </w:docPartPr>
      <w:docPartBody>
        <w:p w:rsidR="0004210B" w:rsidRDefault="00D17C0D">
          <w:r w:rsidRPr="001A32A2">
            <w:rPr>
              <w:rStyle w:val="PlaceholderText"/>
            </w:rPr>
            <w:t>Formatting...</w:t>
          </w:r>
        </w:p>
      </w:docPartBody>
    </w:docPart>
    <w:docPart>
      <w:docPartPr>
        <w:name w:val="DA7955264EC045E8A9411FA4B94ABC8C"/>
        <w:category>
          <w:name w:val="General"/>
          <w:gallery w:val="placeholder"/>
        </w:category>
        <w:types>
          <w:type w:val="bbPlcHdr"/>
        </w:types>
        <w:behaviors>
          <w:behavior w:val="content"/>
        </w:behaviors>
        <w:guid w:val="{F4DF3674-63E7-4FDF-846E-F5E91BC395FC}"/>
      </w:docPartPr>
      <w:docPartBody>
        <w:p w:rsidR="0004210B" w:rsidRDefault="00D17C0D">
          <w:r w:rsidRPr="001A32A2">
            <w:rPr>
              <w:rStyle w:val="PlaceholderText"/>
            </w:rPr>
            <w:t>Formatting...</w:t>
          </w:r>
        </w:p>
      </w:docPartBody>
    </w:docPart>
    <w:docPart>
      <w:docPartPr>
        <w:name w:val="34E0B64DF0234CDDA3DC8FB3C328A38D"/>
        <w:category>
          <w:name w:val="General"/>
          <w:gallery w:val="placeholder"/>
        </w:category>
        <w:types>
          <w:type w:val="bbPlcHdr"/>
        </w:types>
        <w:behaviors>
          <w:behavior w:val="content"/>
        </w:behaviors>
        <w:guid w:val="{7BA85117-ABC6-44AB-85EA-96082A0EBD32}"/>
      </w:docPartPr>
      <w:docPartBody>
        <w:p w:rsidR="0004210B" w:rsidRDefault="00D17C0D">
          <w:r w:rsidRPr="001A32A2">
            <w:rPr>
              <w:rStyle w:val="PlaceholderText"/>
            </w:rPr>
            <w:t>Formatting...</w:t>
          </w:r>
        </w:p>
      </w:docPartBody>
    </w:docPart>
    <w:docPart>
      <w:docPartPr>
        <w:name w:val="8497F291C42042DC8897A714F818658B"/>
        <w:category>
          <w:name w:val="General"/>
          <w:gallery w:val="placeholder"/>
        </w:category>
        <w:types>
          <w:type w:val="bbPlcHdr"/>
        </w:types>
        <w:behaviors>
          <w:behavior w:val="content"/>
        </w:behaviors>
        <w:guid w:val="{9F395C65-60BF-4879-A925-202F64E835FC}"/>
      </w:docPartPr>
      <w:docPartBody>
        <w:p w:rsidR="0004210B" w:rsidRDefault="00D17C0D">
          <w:r w:rsidRPr="001A32A2">
            <w:rPr>
              <w:rStyle w:val="PlaceholderText"/>
            </w:rPr>
            <w:t>Formatting...</w:t>
          </w:r>
        </w:p>
      </w:docPartBody>
    </w:docPart>
    <w:docPart>
      <w:docPartPr>
        <w:name w:val="457012041E0B47278569AB2FFE64FB30"/>
        <w:category>
          <w:name w:val="General"/>
          <w:gallery w:val="placeholder"/>
        </w:category>
        <w:types>
          <w:type w:val="bbPlcHdr"/>
        </w:types>
        <w:behaviors>
          <w:behavior w:val="content"/>
        </w:behaviors>
        <w:guid w:val="{23BA62BC-212B-42A6-902A-5F00F5EC0C4D}"/>
      </w:docPartPr>
      <w:docPartBody>
        <w:p w:rsidR="0004210B" w:rsidRDefault="00D17C0D">
          <w:r w:rsidRPr="001A32A2">
            <w:rPr>
              <w:rStyle w:val="PlaceholderText"/>
            </w:rPr>
            <w:t>Formatting...</w:t>
          </w:r>
        </w:p>
      </w:docPartBody>
    </w:docPart>
    <w:docPart>
      <w:docPartPr>
        <w:name w:val="8CBBE1CBBFFA4AC28444D4B10842F811"/>
        <w:category>
          <w:name w:val="General"/>
          <w:gallery w:val="placeholder"/>
        </w:category>
        <w:types>
          <w:type w:val="bbPlcHdr"/>
        </w:types>
        <w:behaviors>
          <w:behavior w:val="content"/>
        </w:behaviors>
        <w:guid w:val="{AE657731-1F6D-4F01-A8E2-BD1E5F735896}"/>
      </w:docPartPr>
      <w:docPartBody>
        <w:p w:rsidR="0004210B" w:rsidRDefault="00D17C0D">
          <w:r w:rsidRPr="001A32A2">
            <w:rPr>
              <w:rStyle w:val="PlaceholderText"/>
            </w:rPr>
            <w:t>Formatting...</w:t>
          </w:r>
        </w:p>
      </w:docPartBody>
    </w:docPart>
    <w:docPart>
      <w:docPartPr>
        <w:name w:val="F080328967424D1598674B38E8A72846"/>
        <w:category>
          <w:name w:val="General"/>
          <w:gallery w:val="placeholder"/>
        </w:category>
        <w:types>
          <w:type w:val="bbPlcHdr"/>
        </w:types>
        <w:behaviors>
          <w:behavior w:val="content"/>
        </w:behaviors>
        <w:guid w:val="{FE813193-2187-48AE-80D7-DC58338907F9}"/>
      </w:docPartPr>
      <w:docPartBody>
        <w:p w:rsidR="0004210B" w:rsidRDefault="00D17C0D">
          <w:r w:rsidRPr="001A32A2">
            <w:rPr>
              <w:rStyle w:val="PlaceholderText"/>
            </w:rPr>
            <w:t>Formatting...</w:t>
          </w:r>
        </w:p>
      </w:docPartBody>
    </w:docPart>
    <w:docPart>
      <w:docPartPr>
        <w:name w:val="CA562C4D66BC413BA28BF4EB772A59C2"/>
        <w:category>
          <w:name w:val="General"/>
          <w:gallery w:val="placeholder"/>
        </w:category>
        <w:types>
          <w:type w:val="bbPlcHdr"/>
        </w:types>
        <w:behaviors>
          <w:behavior w:val="content"/>
        </w:behaviors>
        <w:guid w:val="{37384A37-E279-4793-ADE5-DFD09933718D}"/>
      </w:docPartPr>
      <w:docPartBody>
        <w:p w:rsidR="00D10E28" w:rsidRDefault="0004210B">
          <w:r w:rsidRPr="00AB1CFF">
            <w:rPr>
              <w:rStyle w:val="PlaceholderText"/>
            </w:rPr>
            <w:t>Formatting...</w:t>
          </w:r>
        </w:p>
      </w:docPartBody>
    </w:docPart>
    <w:docPart>
      <w:docPartPr>
        <w:name w:val="FC6FACF033E14310A3ABA3B5E6B97E7F"/>
        <w:category>
          <w:name w:val="General"/>
          <w:gallery w:val="placeholder"/>
        </w:category>
        <w:types>
          <w:type w:val="bbPlcHdr"/>
        </w:types>
        <w:behaviors>
          <w:behavior w:val="content"/>
        </w:behaviors>
        <w:guid w:val="{00E079FA-C2F4-4D7E-8926-B3B06C924083}"/>
      </w:docPartPr>
      <w:docPartBody>
        <w:p w:rsidR="00844079" w:rsidRDefault="00B81B1F">
          <w:r w:rsidRPr="00AB1CFF">
            <w:rPr>
              <w:rStyle w:val="PlaceholderText"/>
            </w:rPr>
            <w:t>Formatting Bibliography...</w:t>
          </w:r>
        </w:p>
      </w:docPartBody>
    </w:docPart>
    <w:docPart>
      <w:docPartPr>
        <w:name w:val="28853C7AAFBE4C8887ADC0F6810D719E"/>
        <w:category>
          <w:name w:val="General"/>
          <w:gallery w:val="placeholder"/>
        </w:category>
        <w:types>
          <w:type w:val="bbPlcHdr"/>
        </w:types>
        <w:behaviors>
          <w:behavior w:val="content"/>
        </w:behaviors>
        <w:guid w:val="{9FD610D9-EC9C-4318-BDF5-701FF3A5083C}"/>
      </w:docPartPr>
      <w:docPartBody>
        <w:p w:rsidR="00000000" w:rsidRDefault="003D53A8">
          <w:r w:rsidRPr="008A1C6E">
            <w:rPr>
              <w:rStyle w:val="PlaceholderText"/>
            </w:rPr>
            <w:t>Formatting...</w:t>
          </w:r>
        </w:p>
      </w:docPartBody>
    </w:docPart>
    <w:docPart>
      <w:docPartPr>
        <w:name w:val="CE003AC03E544614B9383D8BE37A72D2"/>
        <w:category>
          <w:name w:val="General"/>
          <w:gallery w:val="placeholder"/>
        </w:category>
        <w:types>
          <w:type w:val="bbPlcHdr"/>
        </w:types>
        <w:behaviors>
          <w:behavior w:val="content"/>
        </w:behaviors>
        <w:guid w:val="{B41C4235-C799-418F-A9BA-BF7926A32D70}"/>
      </w:docPartPr>
      <w:docPartBody>
        <w:p w:rsidR="00000000" w:rsidRDefault="003D53A8">
          <w:r w:rsidRPr="008A1C6E">
            <w:rPr>
              <w:rStyle w:val="PlaceholderText"/>
            </w:rPr>
            <w:t>Formatting...</w:t>
          </w:r>
        </w:p>
      </w:docPartBody>
    </w:docPart>
    <w:docPart>
      <w:docPartPr>
        <w:name w:val="2D655595E98E41279DEF722FDF3106E2"/>
        <w:category>
          <w:name w:val="General"/>
          <w:gallery w:val="placeholder"/>
        </w:category>
        <w:types>
          <w:type w:val="bbPlcHdr"/>
        </w:types>
        <w:behaviors>
          <w:behavior w:val="content"/>
        </w:behaviors>
        <w:guid w:val="{F5B19308-A470-450E-A7A1-E314923744B1}"/>
      </w:docPartPr>
      <w:docPartBody>
        <w:p w:rsidR="00000000" w:rsidRDefault="003D53A8">
          <w:r w:rsidRPr="00AC2A66">
            <w:rPr>
              <w:rStyle w:val="PlaceholderText"/>
            </w:rPr>
            <w:t>Formatting...</w:t>
          </w:r>
        </w:p>
      </w:docPartBody>
    </w:docPart>
    <w:docPart>
      <w:docPartPr>
        <w:name w:val="269EBE556E5C4E95AB498392DEDC8E21"/>
        <w:category>
          <w:name w:val="General"/>
          <w:gallery w:val="placeholder"/>
        </w:category>
        <w:types>
          <w:type w:val="bbPlcHdr"/>
        </w:types>
        <w:behaviors>
          <w:behavior w:val="content"/>
        </w:behaviors>
        <w:guid w:val="{670D15E6-1F9D-4DC7-8699-0FA7DA76A813}"/>
      </w:docPartPr>
      <w:docPartBody>
        <w:p w:rsidR="00000000" w:rsidRDefault="003D53A8">
          <w:r w:rsidRPr="00AC2A66">
            <w:rPr>
              <w:rStyle w:val="PlaceholderText"/>
            </w:rPr>
            <w:t>Formatting...</w:t>
          </w:r>
        </w:p>
      </w:docPartBody>
    </w:docPart>
    <w:docPart>
      <w:docPartPr>
        <w:name w:val="179A1FB6008E424AA60A286E48281ED6"/>
        <w:category>
          <w:name w:val="General"/>
          <w:gallery w:val="placeholder"/>
        </w:category>
        <w:types>
          <w:type w:val="bbPlcHdr"/>
        </w:types>
        <w:behaviors>
          <w:behavior w:val="content"/>
        </w:behaviors>
        <w:guid w:val="{768C1524-512D-45E9-9F42-84CEAEFFA9E2}"/>
      </w:docPartPr>
      <w:docPartBody>
        <w:p w:rsidR="00000000" w:rsidRDefault="003D53A8">
          <w:r w:rsidRPr="00AC2A66">
            <w:rPr>
              <w:rStyle w:val="PlaceholderText"/>
            </w:rPr>
            <w:t>Formatting...</w:t>
          </w:r>
        </w:p>
      </w:docPartBody>
    </w:docPart>
    <w:docPart>
      <w:docPartPr>
        <w:name w:val="FF42F061A3B649E2B094B312A7C0A43E"/>
        <w:category>
          <w:name w:val="General"/>
          <w:gallery w:val="placeholder"/>
        </w:category>
        <w:types>
          <w:type w:val="bbPlcHdr"/>
        </w:types>
        <w:behaviors>
          <w:behavior w:val="content"/>
        </w:behaviors>
        <w:guid w:val="{0BB9ED7D-61BC-48A0-AE54-6107A2B639CA}"/>
      </w:docPartPr>
      <w:docPartBody>
        <w:p w:rsidR="00000000" w:rsidRDefault="003D53A8">
          <w:r w:rsidRPr="00AC2A66">
            <w:rPr>
              <w:rStyle w:val="PlaceholderText"/>
            </w:rPr>
            <w:t>Formatting...</w:t>
          </w:r>
        </w:p>
      </w:docPartBody>
    </w:docPart>
    <w:docPart>
      <w:docPartPr>
        <w:name w:val="7F394A8C8EFF4F1B9510BD9D4496D4BC"/>
        <w:category>
          <w:name w:val="General"/>
          <w:gallery w:val="placeholder"/>
        </w:category>
        <w:types>
          <w:type w:val="bbPlcHdr"/>
        </w:types>
        <w:behaviors>
          <w:behavior w:val="content"/>
        </w:behaviors>
        <w:guid w:val="{19CDFB6A-E975-4C73-8199-BFED48785AFA}"/>
      </w:docPartPr>
      <w:docPartBody>
        <w:p w:rsidR="00000000" w:rsidRDefault="003D53A8">
          <w:r w:rsidRPr="00AC2A66">
            <w:rPr>
              <w:rStyle w:val="PlaceholderText"/>
            </w:rPr>
            <w:t>Formatting...</w:t>
          </w:r>
        </w:p>
      </w:docPartBody>
    </w:docPart>
    <w:docPart>
      <w:docPartPr>
        <w:name w:val="4DB98E10396F4E24A0B7184BB84F6BB2"/>
        <w:category>
          <w:name w:val="General"/>
          <w:gallery w:val="placeholder"/>
        </w:category>
        <w:types>
          <w:type w:val="bbPlcHdr"/>
        </w:types>
        <w:behaviors>
          <w:behavior w:val="content"/>
        </w:behaviors>
        <w:guid w:val="{A5691DA2-DBA5-4718-B72B-2F97927A8C68}"/>
      </w:docPartPr>
      <w:docPartBody>
        <w:p w:rsidR="00000000" w:rsidRDefault="003D53A8">
          <w:r w:rsidRPr="00AC2A66">
            <w:rPr>
              <w:rStyle w:val="PlaceholderText"/>
            </w:rPr>
            <w:t>Formatting...</w:t>
          </w:r>
        </w:p>
      </w:docPartBody>
    </w:docPart>
    <w:docPart>
      <w:docPartPr>
        <w:name w:val="69331187DFAF4006B2302DAD64749A82"/>
        <w:category>
          <w:name w:val="General"/>
          <w:gallery w:val="placeholder"/>
        </w:category>
        <w:types>
          <w:type w:val="bbPlcHdr"/>
        </w:types>
        <w:behaviors>
          <w:behavior w:val="content"/>
        </w:behaviors>
        <w:guid w:val="{F35FA880-4F99-4883-9DFA-475109BB5878}"/>
      </w:docPartPr>
      <w:docPartBody>
        <w:p w:rsidR="00000000" w:rsidRDefault="003D53A8">
          <w:r w:rsidRPr="00AC2A66">
            <w:rPr>
              <w:rStyle w:val="PlaceholderText"/>
            </w:rPr>
            <w:t>Formatting...</w:t>
          </w:r>
        </w:p>
      </w:docPartBody>
    </w:docPart>
    <w:docPart>
      <w:docPartPr>
        <w:name w:val="146D996387C04A70ACF32699C40EF7BF"/>
        <w:category>
          <w:name w:val="General"/>
          <w:gallery w:val="placeholder"/>
        </w:category>
        <w:types>
          <w:type w:val="bbPlcHdr"/>
        </w:types>
        <w:behaviors>
          <w:behavior w:val="content"/>
        </w:behaviors>
        <w:guid w:val="{731E9464-3E5C-44B8-AC76-EB461E4BA338}"/>
      </w:docPartPr>
      <w:docPartBody>
        <w:p w:rsidR="00000000" w:rsidRDefault="003D53A8">
          <w:r w:rsidRPr="00AC2A66">
            <w:rPr>
              <w:rStyle w:val="PlaceholderText"/>
            </w:rPr>
            <w:t>Formatting...</w:t>
          </w:r>
        </w:p>
      </w:docPartBody>
    </w:docPart>
    <w:docPart>
      <w:docPartPr>
        <w:name w:val="5A7BBEF3D55C43D1B59BDA8A68A241C9"/>
        <w:category>
          <w:name w:val="General"/>
          <w:gallery w:val="placeholder"/>
        </w:category>
        <w:types>
          <w:type w:val="bbPlcHdr"/>
        </w:types>
        <w:behaviors>
          <w:behavior w:val="content"/>
        </w:behaviors>
        <w:guid w:val="{D9F43C2F-12C0-4337-BC7C-A6A4F91C2DD7}"/>
      </w:docPartPr>
      <w:docPartBody>
        <w:p w:rsidR="00000000" w:rsidRDefault="003D53A8">
          <w:r w:rsidRPr="00AC2A66">
            <w:rPr>
              <w:rStyle w:val="PlaceholderText"/>
            </w:rPr>
            <w:t>Formatting...</w:t>
          </w:r>
        </w:p>
      </w:docPartBody>
    </w:docPart>
    <w:docPart>
      <w:docPartPr>
        <w:name w:val="D5DAFBC097A8403AAA839338B2F8D58C"/>
        <w:category>
          <w:name w:val="General"/>
          <w:gallery w:val="placeholder"/>
        </w:category>
        <w:types>
          <w:type w:val="bbPlcHdr"/>
        </w:types>
        <w:behaviors>
          <w:behavior w:val="content"/>
        </w:behaviors>
        <w:guid w:val="{71987744-AB4C-470D-93F4-FABA357E4A30}"/>
      </w:docPartPr>
      <w:docPartBody>
        <w:p w:rsidR="00000000" w:rsidRDefault="003D53A8">
          <w:r w:rsidRPr="00AC2A66">
            <w:rPr>
              <w:rStyle w:val="PlaceholderText"/>
            </w:rPr>
            <w:t>Formatting...</w:t>
          </w:r>
        </w:p>
      </w:docPartBody>
    </w:docPart>
    <w:docPart>
      <w:docPartPr>
        <w:name w:val="3D4B4A7072A1477E8A081EA4103E2703"/>
        <w:category>
          <w:name w:val="General"/>
          <w:gallery w:val="placeholder"/>
        </w:category>
        <w:types>
          <w:type w:val="bbPlcHdr"/>
        </w:types>
        <w:behaviors>
          <w:behavior w:val="content"/>
        </w:behaviors>
        <w:guid w:val="{7E3F0311-0734-4F2C-A559-590BE25D086A}"/>
      </w:docPartPr>
      <w:docPartBody>
        <w:p w:rsidR="00000000" w:rsidRDefault="003D53A8">
          <w:r w:rsidRPr="00AC2A66">
            <w:rPr>
              <w:rStyle w:val="PlaceholderText"/>
            </w:rPr>
            <w:t>Formatting...</w:t>
          </w:r>
        </w:p>
      </w:docPartBody>
    </w:docPart>
    <w:docPart>
      <w:docPartPr>
        <w:name w:val="2926A612D226437BB85B9C425FB5038C"/>
        <w:category>
          <w:name w:val="General"/>
          <w:gallery w:val="placeholder"/>
        </w:category>
        <w:types>
          <w:type w:val="bbPlcHdr"/>
        </w:types>
        <w:behaviors>
          <w:behavior w:val="content"/>
        </w:behaviors>
        <w:guid w:val="{482B0BE6-F93E-42AC-9427-70B93B094970}"/>
      </w:docPartPr>
      <w:docPartBody>
        <w:p w:rsidR="00000000" w:rsidRDefault="003D53A8">
          <w:r w:rsidRPr="00AC2A66">
            <w:rPr>
              <w:rStyle w:val="PlaceholderText"/>
            </w:rPr>
            <w:t>Formatting...</w:t>
          </w:r>
        </w:p>
      </w:docPartBody>
    </w:docPart>
    <w:docPart>
      <w:docPartPr>
        <w:name w:val="92E7A497A2F345CA8060DFA71512BF9A"/>
        <w:category>
          <w:name w:val="General"/>
          <w:gallery w:val="placeholder"/>
        </w:category>
        <w:types>
          <w:type w:val="bbPlcHdr"/>
        </w:types>
        <w:behaviors>
          <w:behavior w:val="content"/>
        </w:behaviors>
        <w:guid w:val="{FF205938-9855-463A-BB3F-A888F198911F}"/>
      </w:docPartPr>
      <w:docPartBody>
        <w:p w:rsidR="00000000" w:rsidRDefault="003D53A8">
          <w:r w:rsidRPr="00AC2A66">
            <w:rPr>
              <w:rStyle w:val="PlaceholderText"/>
            </w:rPr>
            <w:t>Formatting...</w:t>
          </w:r>
        </w:p>
      </w:docPartBody>
    </w:docPart>
    <w:docPart>
      <w:docPartPr>
        <w:name w:val="5D7A8F2EA3B44784801092A0205D59B9"/>
        <w:category>
          <w:name w:val="General"/>
          <w:gallery w:val="placeholder"/>
        </w:category>
        <w:types>
          <w:type w:val="bbPlcHdr"/>
        </w:types>
        <w:behaviors>
          <w:behavior w:val="content"/>
        </w:behaviors>
        <w:guid w:val="{2EC4CA8D-905C-47C0-8482-77DB4102423F}"/>
      </w:docPartPr>
      <w:docPartBody>
        <w:p w:rsidR="00000000" w:rsidRDefault="003D53A8">
          <w:r w:rsidRPr="00AC2A6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ngravers MT">
    <w:panose1 w:val="02090707080505020304"/>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C0D"/>
    <w:rsid w:val="0004210B"/>
    <w:rsid w:val="003D53A8"/>
    <w:rsid w:val="0049190E"/>
    <w:rsid w:val="00591622"/>
    <w:rsid w:val="006F0A9D"/>
    <w:rsid w:val="00844079"/>
    <w:rsid w:val="00B81B1F"/>
    <w:rsid w:val="00D10E28"/>
    <w:rsid w:val="00D17C0D"/>
    <w:rsid w:val="00F9199B"/>
    <w:rsid w:val="00FC4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67E130"/>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53A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4"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97b4d9-a821-4abf-93ce-68a18da1d123">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7589319&quot;:{&quot;referencesIds&quot;:[&quot;doc:6a4a92345faf3b18508d83af&quot;],&quot;referencesOptions&quot;:{&quot;doc:6a4a92345faf3b18508d83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9319,&quot;citationText&quot;:&quot;&lt;span style=\&quot;font-family:Arial;font-size:14.666666666666666px;color:#000000\&quot;&gt;[1]&lt;/span&gt;&quot;},&quot;85425354&quot;:{&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425354,&quot;citationText&quot;:&quot;&lt;span style=\&quot;font-family:Arial;font-size:14.666666666666666px;color:#000000\&quot;&gt;[7]&lt;/span&gt;&quot;},&quot;598066869&quot;:{&quot;referencesIds&quot;:[&quot;doc:6a4ad2cd2530730741dbbf17&quot;],&quot;referencesOptions&quot;:{&quot;doc:6a4ad2cd2530730741dbb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066869,&quot;citationText&quot;:&quot;&lt;span style=\&quot;font-family:Arial;font-size:14.666666666666666px;color:#000000\&quot;&gt;[8]&lt;/span&gt;&quot;},&quot;758099652&quot;:{&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8099652,&quot;citationText&quot;:&quot;&lt;span style=\&quot;font-family:Arial;font-size:14.666666666666666px;color:#000000\&quot;&gt;[10]&lt;/span&gt;&quot;},&quot;1064148263&quot;:{&quot;referencesIds&quot;:[&quot;doc:6a4ac06ae934bc744cbfaf93&quot;],&quot;referencesOptions&quot;:{&quot;doc:6a4ac06ae934bc744cbfa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148263,&quot;citationText&quot;:&quot;&lt;span style=\&quot;font-family:Arial;font-size:14.666666666666666px;color:#000000\&quot;&gt;[2]&lt;/span&gt;&quot;},&quot;1083799260&quot;:{&quot;referencesIds&quot;:[&quot;doc:6a4ac5cfb985201187045af8&quot;],&quot;referencesOptions&quot;:{&quot;doc:6a4ac5cfb985201187045a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799260,&quot;citationText&quot;:&quot;&lt;span style=\&quot;font-family:Arial;font-size:14.666666666666666px;color:#000000\&quot;&gt;[9]&lt;/span&gt;&quot;},&quot;1181004485&quot;:{&quot;referencesIds&quot;:[&quot;doc:6a4ad2cd2530730741dbbf17&quot;],&quot;referencesOptions&quot;:{&quot;doc:6a4ad2cd2530730741dbb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004485,&quot;citationText&quot;:&quot;&lt;span style=\&quot;font-family:Arial;font-size:14.666666666666666px;color:#000000\&quot;&gt;[8]&lt;/span&gt;&quot;},&quot;1208919743&quot;:{&quot;referencesIds&quot;:[&quot;doc:6a4a9fd69101ca5e73c2e55f&quot;],&quot;referencesOptions&quot;:{&quot;doc:6a4a9fd69101ca5e73c2e5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919743,&quot;citationText&quot;:&quot;&lt;span style=\&quot;font-family:Arial;font-size:14.666666666666666px;color:#000000\&quot;&gt;[3]&lt;/span&gt;&quot;},&quot;1427230121&quot;:{&quot;referencesIds&quot;:[&quot;doc:6a715c3df4ea0903916fc73a&quot;],&quot;referencesOptions&quot;:{&quot;doc:6a715c3df4ea0903916fc7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230121,&quot;citationText&quot;:&quot;&lt;span style=\&quot;font-family:Arial;font-size:14.666666666666666px;color:#000000\&quot;&gt;[11]&lt;/span&gt;&quot;},&quot;1508627145&quot;:{&quot;referencesIds&quot;:[&quot;doc:6a4ab884f267343f1a10f694&quot;],&quot;referencesOptions&quot;:{&quot;doc:6a4ab884f267343f1a10f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8627145,&quot;citationText&quot;:&quot;&lt;span style=\&quot;font-family:Arial;font-size:14.666666666666666px;color:#000000\&quot;&gt;[5]&lt;/span&gt;&quot;},&quot;1588663728&quot;:{&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8663728,&quot;citationText&quot;:&quot;&lt;span style=\&quot;font-family:Arial;font-size:14.666666666666666px;color:#000000\&quot;&gt;[7]&lt;/span&gt;&quot;},&quot;1935855364&quot;:{&quot;referencesIds&quot;:[&quot;doc:6a4ad2cd2530730741dbbf17&quot;],&quot;referencesOptions&quot;:{&quot;doc:6a4ad2cd2530730741dbb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855364,&quot;citationText&quot;:&quot;&lt;span style=\&quot;font-family:Arial;font-size:14.666666666666666px;color:#000000\&quot;&gt;[8]&lt;/span&gt;&quot;},&quot;-510532396&quot;:{&quot;referencesIds&quot;:[&quot;doc:6a4a92345faf3b18508d83af&quot;],&quot;referencesOptions&quot;:{&quot;doc:6a4a92345faf3b18508d83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0532396,&quot;citationText&quot;:&quot;&lt;span style=\&quot;font-family:Arial;font-size:14.666666666666666px;color:#000000\&quot;&gt;[1]&lt;/span&gt;&quot;},&quot;-1401827059&quot;:{&quot;referencesIds&quot;:[&quot;doc:6a4a92345faf3b18508d83af&quot;],&quot;referencesOptions&quot;:{&quot;doc:6a4a92345faf3b18508d83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827059,&quot;citationText&quot;:&quot;&lt;span style=\&quot;font-family:Arial;font-size:14.666666666666666px;color:#000000\&quot;&gt;[1]&lt;/span&gt;&quot;},&quot;-63025411&quot;:{&quot;referencesIds&quot;:[&quot;doc:6a4a9fd69101ca5e73c2e55f&quot;],&quot;referencesOptions&quot;:{&quot;doc:6a4a9fd69101ca5e73c2e5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25411,&quot;citationText&quot;:&quot;&lt;span style=\&quot;font-family:Arial;font-size:14.666666666666666px;color:#000000\&quot;&gt;[3]&lt;/span&gt;&quot;},&quot;-1156067744&quot;:{&quot;referencesIds&quot;:[&quot;doc:6a4aa0ee214c753ba42997e7&quot;],&quot;referencesOptions&quot;:{&quot;doc:6a4aa0ee214c753ba42997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067744,&quot;citationText&quot;:&quot;&lt;span style=\&quot;font-family:Arial;font-size:14.666666666666666px;color:#000000\&quot;&gt;[4]&lt;/span&gt;&quot;},&quot;-502429967&quot;:{&quot;referencesIds&quot;:[&quot;doc:6a4ab884f267343f1a10f694&quot;],&quot;referencesOptions&quot;:{&quot;doc:6a4ab884f267343f1a10f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2429967,&quot;citationText&quot;:&quot;&lt;span style=\&quot;font-family:Arial;font-size:14.666666666666666px;color:#000000\&quot;&gt;[5]&lt;/span&gt;&quot;},&quot;-132264440&quot;:{&quot;referencesIds&quot;:[&quot;doc:6a4ab884f267343f1a10f694&quot;],&quot;referencesOptions&quot;:{&quot;doc:6a4ab884f267343f1a10f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264440,&quot;citationText&quot;:&quot;&lt;span style=\&quot;font-family:Arial;font-size:14.666666666666666px;color:#000000\&quot;&gt;[5]&lt;/span&gt;&quot;},&quot;-1173181661&quot;:{&quot;referencesIds&quot;:[&quot;doc:6a714189a799961e1e621aef&quot;],&quot;referencesOptions&quot;:{&quot;doc:6a714189a799961e1e621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181661,&quot;citationText&quot;:&quot;&lt;span style=\&quot;font-family:Arial;font-size:14.666666666666666px;color:#000000\&quot;&gt;[6]&lt;/span&gt;&quot;},&quot;-674024171&quot;:{&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024171,&quot;citationText&quot;:&quot;&lt;span style=\&quot;font-family:Arial;font-size:14.666666666666666px;color:#000000\&quot;&gt;[7]&lt;/span&gt;&quot;},&quot;-651212018&quot;:{&quot;referencesIds&quot;:[&quot;doc:6a4ac5cfb985201187045af8&quot;],&quot;referencesOptions&quot;:{&quot;doc:6a4ac5cfb985201187045a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1212018,&quot;citationText&quot;:&quot;&lt;span style=\&quot;font-family:Arial;font-size:14.666666666666666px;color:#000000\&quot;&gt;[9]&lt;/span&gt;&quot;},&quot;-132873744&quot;:{&quot;referencesIds&quot;:[&quot;doc:6a4ac5cfb985201187045af8&quot;],&quot;referencesOptions&quot;:{&quot;doc:6a4ac5cfb985201187045a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873744,&quot;citationText&quot;:&quot;&lt;span style=\&quot;font-family:Arial;font-size:14.666666666666666px;color:#000000\&quot;&gt;[9]&lt;/span&gt;&quot;},&quot;-876847125&quot;:{&quot;referencesIds&quot;:[&quot;doc:6a4ac06ae934bc744cbfaf93&quot;],&quot;referencesOptions&quot;:{&quot;doc:6a4ac06ae934bc744cbfa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847125,&quot;citationText&quot;:&quot;&lt;span style=\&quot;font-family:Arial;font-size:14.666666666666666px;color:#000000\&quot;&gt;[2]&lt;/span&gt;&quot;},&quot;-1462723810&quot;:{&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723810,&quot;citationText&quot;:&quot;&lt;span style=\&quot;font-family:Arial;font-size:14.666666666666666px;color:#000000\&quot;&gt;[10]&lt;/span&gt;&quot;},&quot;-1501577239&quot;:{&quot;referencesIds&quot;:[&quot;doc:6a7144de6ea8294ba2d34e96&quot;],&quot;referencesOptions&quot;:{&quot;doc:6a7144de6ea8294ba2d34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1577239,&quot;citationText&quot;:&quot;&lt;span style=\&quot;font-family:Arial;font-size:14.666666666666666px;color:#000000\&quot;&gt;[7]&lt;/span&gt;&quot;},&quot;-1333143144&quot;:{&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143144,&quot;citationText&quot;:&quot;&lt;span style=\&quot;font-family:Arial;font-size:14.666666666666666px;color:#000000\&quot;&gt;[10]&lt;/span&gt;&quot;},&quot;-476223685&quot;:{&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6223685,&quot;citationText&quot;:&quot;&lt;span style=\&quot;font-family:Arial;font-size:14.666666666666666px;color:#000000\&quot;&gt;[10]&lt;/span&gt;&quot;},&quot;-1784808432&quot;:{&quot;referencesIds&quot;:[&quot;doc:6a713d154bad1318faf082de&quot;],&quot;referencesOptions&quot;:{&quot;doc:6a713d154bad1318faf08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808432,&quot;citationText&quot;:&quot;&lt;span style=\&quot;font-family:Arial;font-size:14.666666666666666px;color:#000000\&quot;&gt;[10]&lt;/span&gt;&quot;},&quot;-365747893&quot;:{&quot;referencesIds&quot;:[&quot;doc:6a714189a799961e1e621aef&quot;],&quot;referencesOptions&quot;:{&quot;doc:6a714189a799961e1e621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747893,&quot;citationText&quot;:&quot;&lt;span style=\&quot;font-family:Arial;font-size:14.666666666666666px;color:#000000\&quot;&gt;[6]&lt;/span&gt;&quot;},&quot;-4604566&quot;:{&quot;referencesIds&quot;:[&quot;doc:6a714189a799961e1e621aef&quot;],&quot;referencesOptions&quot;:{&quot;doc:6a714189a799961e1e621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04566,&quot;citationText&quot;:&quot;&lt;span style=\&quot;font-family:Arial;font-size:14.666666666666666px;color:#000000\&quot;&gt;[6]&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5d2781f223d7143c39749f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12E5A6-B4AD-4670-889A-57A687855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5698</Words>
  <Characters>32484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Data Warehousing        STRATEGIC REPORT</vt:lpstr>
    </vt:vector>
  </TitlesOfParts>
  <Company>UWTSD</Company>
  <LinksUpToDate>false</LinksUpToDate>
  <CharactersWithSpaces>38106</CharactersWithSpaces>
  <SharedDoc>false</SharedDoc>
  <HLinks>
    <vt:vector size="150" baseType="variant">
      <vt:variant>
        <vt:i4>1966108</vt:i4>
      </vt:variant>
      <vt:variant>
        <vt:i4>132</vt:i4>
      </vt:variant>
      <vt:variant>
        <vt:i4>0</vt:i4>
      </vt:variant>
      <vt:variant>
        <vt:i4>5</vt:i4>
      </vt:variant>
      <vt:variant>
        <vt:lpwstr>https://elib.maruzen.co.jp/elib/html/BookDetail/Id/3000065355</vt:lpwstr>
      </vt:variant>
      <vt:variant>
        <vt:lpwstr/>
      </vt:variant>
      <vt:variant>
        <vt:i4>7340132</vt:i4>
      </vt:variant>
      <vt:variant>
        <vt:i4>129</vt:i4>
      </vt:variant>
      <vt:variant>
        <vt:i4>0</vt:i4>
      </vt:variant>
      <vt:variant>
        <vt:i4>5</vt:i4>
      </vt:variant>
      <vt:variant>
        <vt:lpwstr>https://www.proquest.com/docview/3117877108</vt:lpwstr>
      </vt:variant>
      <vt:variant>
        <vt:lpwstr/>
      </vt:variant>
      <vt:variant>
        <vt:i4>2752637</vt:i4>
      </vt:variant>
      <vt:variant>
        <vt:i4>126</vt:i4>
      </vt:variant>
      <vt:variant>
        <vt:i4>0</vt:i4>
      </vt:variant>
      <vt:variant>
        <vt:i4>5</vt:i4>
      </vt:variant>
      <vt:variant>
        <vt:lpwstr>http://www.loc.gov/catdir/toc/wiley021/2002002054.html</vt:lpwstr>
      </vt:variant>
      <vt:variant>
        <vt:lpwstr/>
      </vt:variant>
      <vt:variant>
        <vt:i4>6094869</vt:i4>
      </vt:variant>
      <vt:variant>
        <vt:i4>123</vt:i4>
      </vt:variant>
      <vt:variant>
        <vt:i4>0</vt:i4>
      </vt:variant>
      <vt:variant>
        <vt:i4>5</vt:i4>
      </vt:variant>
      <vt:variant>
        <vt:lpwstr>https://www.oracle.com/europe/database/what-is-a-data-warehouse/</vt:lpwstr>
      </vt:variant>
      <vt:variant>
        <vt:lpwstr/>
      </vt:variant>
      <vt:variant>
        <vt:i4>8060987</vt:i4>
      </vt:variant>
      <vt:variant>
        <vt:i4>120</vt:i4>
      </vt:variant>
      <vt:variant>
        <vt:i4>0</vt:i4>
      </vt:variant>
      <vt:variant>
        <vt:i4>5</vt:i4>
      </vt:variant>
      <vt:variant>
        <vt:lpwstr>https://www.england.nhs.uk/digitaltechnology/digitising-the-frontline/</vt:lpwstr>
      </vt:variant>
      <vt:variant>
        <vt:lpwstr/>
      </vt:variant>
      <vt:variant>
        <vt:i4>4653122</vt:i4>
      </vt:variant>
      <vt:variant>
        <vt:i4>117</vt:i4>
      </vt:variant>
      <vt:variant>
        <vt:i4>0</vt:i4>
      </vt:variant>
      <vt:variant>
        <vt:i4>5</vt:i4>
      </vt:variant>
      <vt:variant>
        <vt:lpwstr>https://www.sciencedirect.com/topics/computer-science/data-warehouse</vt:lpwstr>
      </vt:variant>
      <vt:variant>
        <vt:lpwstr/>
      </vt:variant>
      <vt:variant>
        <vt:i4>1966129</vt:i4>
      </vt:variant>
      <vt:variant>
        <vt:i4>110</vt:i4>
      </vt:variant>
      <vt:variant>
        <vt:i4>0</vt:i4>
      </vt:variant>
      <vt:variant>
        <vt:i4>5</vt:i4>
      </vt:variant>
      <vt:variant>
        <vt:lpwstr/>
      </vt:variant>
      <vt:variant>
        <vt:lpwstr>_Toc235547282</vt:lpwstr>
      </vt:variant>
      <vt:variant>
        <vt:i4>1966129</vt:i4>
      </vt:variant>
      <vt:variant>
        <vt:i4>104</vt:i4>
      </vt:variant>
      <vt:variant>
        <vt:i4>0</vt:i4>
      </vt:variant>
      <vt:variant>
        <vt:i4>5</vt:i4>
      </vt:variant>
      <vt:variant>
        <vt:lpwstr/>
      </vt:variant>
      <vt:variant>
        <vt:lpwstr>_Toc235547281</vt:lpwstr>
      </vt:variant>
      <vt:variant>
        <vt:i4>1966129</vt:i4>
      </vt:variant>
      <vt:variant>
        <vt:i4>98</vt:i4>
      </vt:variant>
      <vt:variant>
        <vt:i4>0</vt:i4>
      </vt:variant>
      <vt:variant>
        <vt:i4>5</vt:i4>
      </vt:variant>
      <vt:variant>
        <vt:lpwstr/>
      </vt:variant>
      <vt:variant>
        <vt:lpwstr>_Toc235547280</vt:lpwstr>
      </vt:variant>
      <vt:variant>
        <vt:i4>1114161</vt:i4>
      </vt:variant>
      <vt:variant>
        <vt:i4>92</vt:i4>
      </vt:variant>
      <vt:variant>
        <vt:i4>0</vt:i4>
      </vt:variant>
      <vt:variant>
        <vt:i4>5</vt:i4>
      </vt:variant>
      <vt:variant>
        <vt:lpwstr/>
      </vt:variant>
      <vt:variant>
        <vt:lpwstr>_Toc235547279</vt:lpwstr>
      </vt:variant>
      <vt:variant>
        <vt:i4>1114161</vt:i4>
      </vt:variant>
      <vt:variant>
        <vt:i4>86</vt:i4>
      </vt:variant>
      <vt:variant>
        <vt:i4>0</vt:i4>
      </vt:variant>
      <vt:variant>
        <vt:i4>5</vt:i4>
      </vt:variant>
      <vt:variant>
        <vt:lpwstr/>
      </vt:variant>
      <vt:variant>
        <vt:lpwstr>_Toc235547278</vt:lpwstr>
      </vt:variant>
      <vt:variant>
        <vt:i4>1114161</vt:i4>
      </vt:variant>
      <vt:variant>
        <vt:i4>80</vt:i4>
      </vt:variant>
      <vt:variant>
        <vt:i4>0</vt:i4>
      </vt:variant>
      <vt:variant>
        <vt:i4>5</vt:i4>
      </vt:variant>
      <vt:variant>
        <vt:lpwstr/>
      </vt:variant>
      <vt:variant>
        <vt:lpwstr>_Toc235547277</vt:lpwstr>
      </vt:variant>
      <vt:variant>
        <vt:i4>1114161</vt:i4>
      </vt:variant>
      <vt:variant>
        <vt:i4>74</vt:i4>
      </vt:variant>
      <vt:variant>
        <vt:i4>0</vt:i4>
      </vt:variant>
      <vt:variant>
        <vt:i4>5</vt:i4>
      </vt:variant>
      <vt:variant>
        <vt:lpwstr/>
      </vt:variant>
      <vt:variant>
        <vt:lpwstr>_Toc235547276</vt:lpwstr>
      </vt:variant>
      <vt:variant>
        <vt:i4>1114161</vt:i4>
      </vt:variant>
      <vt:variant>
        <vt:i4>68</vt:i4>
      </vt:variant>
      <vt:variant>
        <vt:i4>0</vt:i4>
      </vt:variant>
      <vt:variant>
        <vt:i4>5</vt:i4>
      </vt:variant>
      <vt:variant>
        <vt:lpwstr/>
      </vt:variant>
      <vt:variant>
        <vt:lpwstr>_Toc235547275</vt:lpwstr>
      </vt:variant>
      <vt:variant>
        <vt:i4>1114161</vt:i4>
      </vt:variant>
      <vt:variant>
        <vt:i4>62</vt:i4>
      </vt:variant>
      <vt:variant>
        <vt:i4>0</vt:i4>
      </vt:variant>
      <vt:variant>
        <vt:i4>5</vt:i4>
      </vt:variant>
      <vt:variant>
        <vt:lpwstr/>
      </vt:variant>
      <vt:variant>
        <vt:lpwstr>_Toc235547274</vt:lpwstr>
      </vt:variant>
      <vt:variant>
        <vt:i4>1114161</vt:i4>
      </vt:variant>
      <vt:variant>
        <vt:i4>56</vt:i4>
      </vt:variant>
      <vt:variant>
        <vt:i4>0</vt:i4>
      </vt:variant>
      <vt:variant>
        <vt:i4>5</vt:i4>
      </vt:variant>
      <vt:variant>
        <vt:lpwstr/>
      </vt:variant>
      <vt:variant>
        <vt:lpwstr>_Toc235547273</vt:lpwstr>
      </vt:variant>
      <vt:variant>
        <vt:i4>1114161</vt:i4>
      </vt:variant>
      <vt:variant>
        <vt:i4>50</vt:i4>
      </vt:variant>
      <vt:variant>
        <vt:i4>0</vt:i4>
      </vt:variant>
      <vt:variant>
        <vt:i4>5</vt:i4>
      </vt:variant>
      <vt:variant>
        <vt:lpwstr/>
      </vt:variant>
      <vt:variant>
        <vt:lpwstr>_Toc235547272</vt:lpwstr>
      </vt:variant>
      <vt:variant>
        <vt:i4>1114161</vt:i4>
      </vt:variant>
      <vt:variant>
        <vt:i4>44</vt:i4>
      </vt:variant>
      <vt:variant>
        <vt:i4>0</vt:i4>
      </vt:variant>
      <vt:variant>
        <vt:i4>5</vt:i4>
      </vt:variant>
      <vt:variant>
        <vt:lpwstr/>
      </vt:variant>
      <vt:variant>
        <vt:lpwstr>_Toc235547271</vt:lpwstr>
      </vt:variant>
      <vt:variant>
        <vt:i4>1114161</vt:i4>
      </vt:variant>
      <vt:variant>
        <vt:i4>38</vt:i4>
      </vt:variant>
      <vt:variant>
        <vt:i4>0</vt:i4>
      </vt:variant>
      <vt:variant>
        <vt:i4>5</vt:i4>
      </vt:variant>
      <vt:variant>
        <vt:lpwstr/>
      </vt:variant>
      <vt:variant>
        <vt:lpwstr>_Toc235547270</vt:lpwstr>
      </vt:variant>
      <vt:variant>
        <vt:i4>1048625</vt:i4>
      </vt:variant>
      <vt:variant>
        <vt:i4>32</vt:i4>
      </vt:variant>
      <vt:variant>
        <vt:i4>0</vt:i4>
      </vt:variant>
      <vt:variant>
        <vt:i4>5</vt:i4>
      </vt:variant>
      <vt:variant>
        <vt:lpwstr/>
      </vt:variant>
      <vt:variant>
        <vt:lpwstr>_Toc235547269</vt:lpwstr>
      </vt:variant>
      <vt:variant>
        <vt:i4>1048625</vt:i4>
      </vt:variant>
      <vt:variant>
        <vt:i4>26</vt:i4>
      </vt:variant>
      <vt:variant>
        <vt:i4>0</vt:i4>
      </vt:variant>
      <vt:variant>
        <vt:i4>5</vt:i4>
      </vt:variant>
      <vt:variant>
        <vt:lpwstr/>
      </vt:variant>
      <vt:variant>
        <vt:lpwstr>_Toc235547268</vt:lpwstr>
      </vt:variant>
      <vt:variant>
        <vt:i4>1048625</vt:i4>
      </vt:variant>
      <vt:variant>
        <vt:i4>20</vt:i4>
      </vt:variant>
      <vt:variant>
        <vt:i4>0</vt:i4>
      </vt:variant>
      <vt:variant>
        <vt:i4>5</vt:i4>
      </vt:variant>
      <vt:variant>
        <vt:lpwstr/>
      </vt:variant>
      <vt:variant>
        <vt:lpwstr>_Toc235547267</vt:lpwstr>
      </vt:variant>
      <vt:variant>
        <vt:i4>1048625</vt:i4>
      </vt:variant>
      <vt:variant>
        <vt:i4>14</vt:i4>
      </vt:variant>
      <vt:variant>
        <vt:i4>0</vt:i4>
      </vt:variant>
      <vt:variant>
        <vt:i4>5</vt:i4>
      </vt:variant>
      <vt:variant>
        <vt:lpwstr/>
      </vt:variant>
      <vt:variant>
        <vt:lpwstr>_Toc235547266</vt:lpwstr>
      </vt:variant>
      <vt:variant>
        <vt:i4>1048625</vt:i4>
      </vt:variant>
      <vt:variant>
        <vt:i4>8</vt:i4>
      </vt:variant>
      <vt:variant>
        <vt:i4>0</vt:i4>
      </vt:variant>
      <vt:variant>
        <vt:i4>5</vt:i4>
      </vt:variant>
      <vt:variant>
        <vt:lpwstr/>
      </vt:variant>
      <vt:variant>
        <vt:lpwstr>_Toc235547265</vt:lpwstr>
      </vt:variant>
      <vt:variant>
        <vt:i4>1048625</vt:i4>
      </vt:variant>
      <vt:variant>
        <vt:i4>2</vt:i4>
      </vt:variant>
      <vt:variant>
        <vt:i4>0</vt:i4>
      </vt:variant>
      <vt:variant>
        <vt:i4>5</vt:i4>
      </vt:variant>
      <vt:variant>
        <vt:lpwstr/>
      </vt:variant>
      <vt:variant>
        <vt:lpwstr>_Toc235547264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STRATEGIC REPORT</dc:title>
  <dc:subject/>
  <dc:creator>BSc Applied Computing                                                                                                                                                                                                                                                                                                                                 University of Wales Trinity Saint David, London Campus       30 June 2026</dc:creator>
  <cp:keywords/>
  <dc:description/>
  <cp:lastModifiedBy>Morgan Dora (2327894)</cp:lastModifiedBy>
  <cp:revision>483</cp:revision>
  <dcterms:created xsi:type="dcterms:W3CDTF">2026-06-22T22:44:00Z</dcterms:created>
  <dcterms:modified xsi:type="dcterms:W3CDTF">2026-08-04T04:10:00Z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6bb73dc2-2e51-4fba-9a59-3ae639fc5f37</vt:lpwstr>
  </property>
</Properties>
</file>