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pStyle w:val="7"/>
        <w:shd w:val="clear" w:color="auto" w:fill="FFFFFF"/>
        <w:spacing w:before="150" w:after="150"/>
        <w:rPr>
          <w:rFonts w:ascii="open_sansregular" w:hAnsi="open_sansregular"/>
          <w:b w:val="0"/>
          <w:bCs w:val="0"/>
          <w:color w:val="333333"/>
          <w:sz w:val="27"/>
          <w:szCs w:val="27"/>
        </w:rPr>
      </w:pPr>
    </w:p>
    <w:p/>
    <w:p/>
    <w:p/>
    <w:p/>
    <w:p/>
    <w:p/>
    <w:p/>
    <w:p/>
    <w:p/>
    <w:p/>
    <w:p/>
    <w:p>
      <w:pPr>
        <w:jc w:val="center"/>
        <w:rPr>
          <w:b/>
        </w:rPr>
      </w:pPr>
      <w:r>
        <w:rPr>
          <w:rFonts w:ascii="open_sansregular" w:hAnsi="open_sansregular"/>
          <w:color w:val="333333"/>
          <w:sz w:val="21"/>
          <w:szCs w:val="21"/>
          <w:shd w:val="clear" w:color="auto" w:fill="FFFFFF"/>
        </w:rPr>
        <w:t xml:space="preserve"> </w:t>
      </w:r>
      <w:r>
        <w:rPr>
          <w:b/>
          <w:i/>
          <w:sz w:val="88"/>
          <w:szCs w:val="88"/>
        </w:rPr>
        <w:t>Data Handling &amp; Business Intelligence</w:t>
      </w:r>
    </w:p>
    <w:p>
      <w:pPr>
        <w:jc w:val="center"/>
        <w:rPr>
          <w:rFonts w:hint="default" w:ascii="Calibri" w:hAnsi="Calibri" w:cs="Calibri"/>
          <w:color w:val="333333"/>
          <w:sz w:val="88"/>
          <w:szCs w:val="88"/>
          <w:shd w:val="clear" w:color="auto" w:fill="FFFFFF"/>
          <w:lang w:val="en-US"/>
        </w:rPr>
      </w:pPr>
    </w:p>
    <w:p>
      <w:pPr>
        <w:pStyle w:val="66"/>
        <w:jc w:val="center"/>
        <w:rPr>
          <w:rFonts w:hint="default"/>
          <w:lang w:val="en-US"/>
        </w:rPr>
      </w:pPr>
      <w:r>
        <w:rPr>
          <w:rFonts w:hint="default"/>
          <w:lang w:val="en-US"/>
        </w:rPr>
        <w:t>Student ID:1906879</w:t>
      </w:r>
      <w:bookmarkStart w:id="18" w:name="_GoBack"/>
      <w:bookmarkEnd w:id="18"/>
    </w:p>
    <w:p>
      <w:pPr>
        <w:pStyle w:val="66"/>
        <w:jc w:val="center"/>
      </w:pPr>
      <w:r>
        <w:rPr>
          <w:rFonts w:hint="default"/>
          <w:lang w:val="en-US"/>
        </w:rPr>
        <w:t>Cristi-Gabriel Tudosie</w:t>
      </w:r>
      <w:r>
        <w:br w:type="page"/>
      </w:r>
      <w:bookmarkStart w:id="0" w:name="_Toc124419733"/>
      <w:r>
        <w:t>Contents</w:t>
      </w:r>
      <w:bookmarkEnd w:id="0"/>
    </w:p>
    <w:p>
      <w:pPr>
        <w:pStyle w:val="17"/>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TOC \o "1-3" \h \z \u </w:instrText>
      </w:r>
      <w:r>
        <w:fldChar w:fldCharType="separate"/>
      </w:r>
      <w:r>
        <w:fldChar w:fldCharType="begin"/>
      </w:r>
      <w:r>
        <w:instrText xml:space="preserve"> HYPERLINK \l "_Toc124419733" </w:instrText>
      </w:r>
      <w:r>
        <w:fldChar w:fldCharType="separate"/>
      </w:r>
      <w:r>
        <w:rPr>
          <w:rStyle w:val="13"/>
        </w:rPr>
        <w:t>Contents</w:t>
      </w:r>
      <w:r>
        <w:tab/>
      </w:r>
      <w:r>
        <w:fldChar w:fldCharType="begin"/>
      </w:r>
      <w:r>
        <w:instrText xml:space="preserve"> PAGEREF _Toc124419733 \h </w:instrText>
      </w:r>
      <w:r>
        <w:fldChar w:fldCharType="separate"/>
      </w:r>
      <w:r>
        <w:t>2</w:t>
      </w:r>
      <w:r>
        <w:fldChar w:fldCharType="end"/>
      </w:r>
      <w:r>
        <w:fldChar w:fldCharType="end"/>
      </w:r>
    </w:p>
    <w:p>
      <w:pPr>
        <w:pStyle w:val="17"/>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"_Toc124419734" </w:instrText>
      </w:r>
      <w:r>
        <w:fldChar w:fldCharType="separate"/>
      </w:r>
      <w:r>
        <w:rPr>
          <w:rStyle w:val="13"/>
        </w:rPr>
        <w:t>INTRODUCTION</w:t>
      </w:r>
      <w:r>
        <w:tab/>
      </w:r>
      <w:r>
        <w:fldChar w:fldCharType="begin"/>
      </w:r>
      <w:r>
        <w:instrText xml:space="preserve"> PAGEREF _Toc124419734 \h </w:instrText>
      </w:r>
      <w:r>
        <w:fldChar w:fldCharType="separate"/>
      </w:r>
      <w:r>
        <w:t>1</w:t>
      </w:r>
      <w:r>
        <w:fldChar w:fldCharType="end"/>
      </w:r>
      <w:r>
        <w:fldChar w:fldCharType="end"/>
      </w:r>
    </w:p>
    <w:p>
      <w:pPr>
        <w:pStyle w:val="17"/>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"_Toc124419735" </w:instrText>
      </w:r>
      <w:r>
        <w:fldChar w:fldCharType="separate"/>
      </w:r>
      <w:r>
        <w:rPr>
          <w:rStyle w:val="13"/>
        </w:rPr>
        <w:t>PART 1</w:t>
      </w:r>
      <w:r>
        <w:tab/>
      </w:r>
      <w:r>
        <w:fldChar w:fldCharType="begin"/>
      </w:r>
      <w:r>
        <w:instrText xml:space="preserve"> PAGEREF _Toc124419735 \h </w:instrText>
      </w:r>
      <w:r>
        <w:fldChar w:fldCharType="separate"/>
      </w:r>
      <w:r>
        <w:t>1</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"_Toc124419736" </w:instrText>
      </w:r>
      <w:r>
        <w:fldChar w:fldCharType="separate"/>
      </w:r>
      <w:r>
        <w:rPr>
          <w:rStyle w:val="13"/>
        </w:rPr>
        <w:t>Evaluation of sales or profits using the superstore data set over the years</w:t>
      </w:r>
      <w:r>
        <w:tab/>
      </w:r>
      <w:r>
        <w:fldChar w:fldCharType="begin"/>
      </w:r>
      <w:r>
        <w:instrText xml:space="preserve"> PAGEREF _Toc124419736 \h </w:instrText>
      </w:r>
      <w:r>
        <w:fldChar w:fldCharType="separate"/>
      </w:r>
      <w:r>
        <w:t>1</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"_Toc124419737" </w:instrText>
      </w:r>
      <w:r>
        <w:fldChar w:fldCharType="separate"/>
      </w:r>
      <w:r>
        <w:rPr>
          <w:rStyle w:val="13"/>
        </w:rPr>
        <w:t>Use of excel for pre-processing the data</w:t>
      </w:r>
      <w:r>
        <w:tab/>
      </w:r>
      <w:r>
        <w:fldChar w:fldCharType="begin"/>
      </w:r>
      <w:r>
        <w:instrText xml:space="preserve"> PAGEREF _Toc124419737 \h </w:instrText>
      </w:r>
      <w:r>
        <w:fldChar w:fldCharType="separate"/>
      </w:r>
      <w:r>
        <w:t>2</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"_Toc124419738" </w:instrText>
      </w:r>
      <w:r>
        <w:fldChar w:fldCharType="separate"/>
      </w:r>
      <w:r>
        <w:rPr>
          <w:rStyle w:val="13"/>
        </w:rPr>
        <w:t>Representation of 2 Excel Functions</w:t>
      </w:r>
      <w:r>
        <w:tab/>
      </w:r>
      <w:r>
        <w:fldChar w:fldCharType="begin"/>
      </w:r>
      <w:r>
        <w:instrText xml:space="preserve"> PAGEREF _Toc124419738 \h </w:instrText>
      </w:r>
      <w:r>
        <w:fldChar w:fldCharType="separate"/>
      </w:r>
      <w:r>
        <w:t>2</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"_Toc124419739" </w:instrText>
      </w:r>
      <w:r>
        <w:fldChar w:fldCharType="separate"/>
      </w:r>
      <w:r>
        <w:rPr>
          <w:rStyle w:val="13"/>
        </w:rPr>
        <w:t>Data visualisation through charts and graphs</w:t>
      </w:r>
      <w:r>
        <w:tab/>
      </w:r>
      <w:r>
        <w:fldChar w:fldCharType="begin"/>
      </w:r>
      <w:r>
        <w:instrText xml:space="preserve"> PAGEREF _Toc124419739 \h </w:instrText>
      </w:r>
      <w:r>
        <w:fldChar w:fldCharType="separate"/>
      </w:r>
      <w:r>
        <w:t>4</w:t>
      </w:r>
      <w:r>
        <w:fldChar w:fldCharType="end"/>
      </w:r>
      <w:r>
        <w:fldChar w:fldCharType="end"/>
      </w:r>
    </w:p>
    <w:p>
      <w:pPr>
        <w:pStyle w:val="17"/>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"_Toc124419740" </w:instrText>
      </w:r>
      <w:r>
        <w:fldChar w:fldCharType="separate"/>
      </w:r>
      <w:r>
        <w:rPr>
          <w:rStyle w:val="13"/>
        </w:rPr>
        <w:t>PART 2</w:t>
      </w:r>
      <w:r>
        <w:tab/>
      </w:r>
      <w:r>
        <w:fldChar w:fldCharType="begin"/>
      </w:r>
      <w:r>
        <w:instrText xml:space="preserve"> PAGEREF _Toc124419740 \h </w:instrText>
      </w:r>
      <w:r>
        <w:fldChar w:fldCharType="separate"/>
      </w:r>
      <w:r>
        <w:t>6</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"_Toc124419741" </w:instrText>
      </w:r>
      <w:r>
        <w:fldChar w:fldCharType="separate"/>
      </w:r>
      <w:r>
        <w:rPr>
          <w:rStyle w:val="13"/>
        </w:rPr>
        <w:t>2.1 How many students like vanilla flavour of ice-cream?</w:t>
      </w:r>
      <w:r>
        <w:tab/>
      </w:r>
      <w:r>
        <w:fldChar w:fldCharType="begin"/>
      </w:r>
      <w:r>
        <w:instrText xml:space="preserve"> PAGEREF _Toc124419741 \h </w:instrText>
      </w:r>
      <w:r>
        <w:fldChar w:fldCharType="separate"/>
      </w:r>
      <w:r>
        <w:t>6</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"_Toc124419742" </w:instrText>
      </w:r>
      <w:r>
        <w:fldChar w:fldCharType="separate"/>
      </w:r>
      <w:r>
        <w:rPr>
          <w:rStyle w:val="13"/>
        </w:rPr>
        <w:t>2.2: How many students are Male and Female?</w:t>
      </w:r>
      <w:r>
        <w:tab/>
      </w:r>
      <w:r>
        <w:fldChar w:fldCharType="begin"/>
      </w:r>
      <w:r>
        <w:instrText xml:space="preserve"> PAGEREF _Toc124419742 \h </w:instrText>
      </w:r>
      <w:r>
        <w:fldChar w:fldCharType="separate"/>
      </w:r>
      <w:r>
        <w:t>6</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"_Toc124419743" </w:instrText>
      </w:r>
      <w:r>
        <w:fldChar w:fldCharType="separate"/>
      </w:r>
      <w:r>
        <w:rPr>
          <w:rStyle w:val="13"/>
        </w:rPr>
        <w:t>2.3: What are the Mean and Median of participants who likes chocolate and strawberry flavour ice-cream?</w:t>
      </w:r>
      <w:r>
        <w:tab/>
      </w:r>
      <w:r>
        <w:fldChar w:fldCharType="begin"/>
      </w:r>
      <w:r>
        <w:instrText xml:space="preserve"> PAGEREF _Toc124419743 \h </w:instrText>
      </w:r>
      <w:r>
        <w:fldChar w:fldCharType="separate"/>
      </w:r>
      <w:r>
        <w:t>6</w:t>
      </w:r>
      <w:r>
        <w:fldChar w:fldCharType="end"/>
      </w:r>
      <w:r>
        <w:fldChar w:fldCharType="end"/>
      </w:r>
    </w:p>
    <w:p>
      <w:pPr>
        <w:pStyle w:val="19"/>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"_Toc124419744" </w:instrText>
      </w:r>
      <w:r>
        <w:fldChar w:fldCharType="separate"/>
      </w:r>
      <w:r>
        <w:rPr>
          <w:rStyle w:val="13"/>
          <w:i/>
        </w:rPr>
        <w:t>Show your findings through Pie, Bar or Histogram</w:t>
      </w:r>
      <w:r>
        <w:tab/>
      </w:r>
      <w:r>
        <w:fldChar w:fldCharType="begin"/>
      </w:r>
      <w:r>
        <w:instrText xml:space="preserve"> PAGEREF _Toc124419744 \h </w:instrText>
      </w:r>
      <w:r>
        <w:fldChar w:fldCharType="separate"/>
      </w:r>
      <w:r>
        <w:t>7</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"_Toc124419745" </w:instrText>
      </w:r>
      <w:r>
        <w:fldChar w:fldCharType="separate"/>
      </w:r>
      <w:r>
        <w:rPr>
          <w:rStyle w:val="13"/>
        </w:rPr>
        <w:t>2.4 Using the dataset provided in conjunction with SPSS, give a specific example of clustering (ex. K-Means). Show your workings with screenshots and clearly explain your results.</w:t>
      </w:r>
      <w:r>
        <w:tab/>
      </w:r>
      <w:r>
        <w:fldChar w:fldCharType="begin"/>
      </w:r>
      <w:r>
        <w:instrText xml:space="preserve"> PAGEREF _Toc124419745 \h </w:instrText>
      </w:r>
      <w:r>
        <w:fldChar w:fldCharType="separate"/>
      </w:r>
      <w:r>
        <w:t>8</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"_Toc124419746" </w:instrText>
      </w:r>
      <w:r>
        <w:fldChar w:fldCharType="separate"/>
      </w:r>
      <w:r>
        <w:rPr>
          <w:rStyle w:val="13"/>
        </w:rPr>
        <w:t>2.5: Explain the most common data mining and text mining methods that can be used in business with real world examples.</w:t>
      </w:r>
      <w:r>
        <w:tab/>
      </w:r>
      <w:r>
        <w:fldChar w:fldCharType="begin"/>
      </w:r>
      <w:r>
        <w:instrText xml:space="preserve"> PAGEREF _Toc124419746 \h </w:instrText>
      </w:r>
      <w:r>
        <w:fldChar w:fldCharType="separate"/>
      </w:r>
      <w:r>
        <w:t>15</w:t>
      </w:r>
      <w:r>
        <w:fldChar w:fldCharType="end"/>
      </w:r>
      <w:r>
        <w:fldChar w:fldCharType="end"/>
      </w:r>
    </w:p>
    <w:p>
      <w:pPr>
        <w:pStyle w:val="18"/>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"_Toc124419747" </w:instrText>
      </w:r>
      <w:r>
        <w:fldChar w:fldCharType="separate"/>
      </w:r>
      <w:r>
        <w:rPr>
          <w:rStyle w:val="13"/>
        </w:rPr>
        <w:t>2.6: Discuss the advantages and disadvantages of using SPSS and Excel using relevant practical examples and present your discussions in a table.</w:t>
      </w:r>
      <w:r>
        <w:tab/>
      </w:r>
      <w:r>
        <w:fldChar w:fldCharType="begin"/>
      </w:r>
      <w:r>
        <w:instrText xml:space="preserve"> PAGEREF _Toc124419747 \h </w:instrText>
      </w:r>
      <w:r>
        <w:fldChar w:fldCharType="separate"/>
      </w:r>
      <w:r>
        <w:t>15</w:t>
      </w:r>
      <w:r>
        <w:fldChar w:fldCharType="end"/>
      </w:r>
      <w:r>
        <w:fldChar w:fldCharType="end"/>
      </w:r>
    </w:p>
    <w:p>
      <w:pPr>
        <w:pStyle w:val="17"/>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"_Toc124419748" </w:instrText>
      </w:r>
      <w:r>
        <w:fldChar w:fldCharType="separate"/>
      </w:r>
      <w:r>
        <w:rPr>
          <w:rStyle w:val="13"/>
        </w:rPr>
        <w:t>CONCLUSION</w:t>
      </w:r>
      <w:r>
        <w:tab/>
      </w:r>
      <w:r>
        <w:fldChar w:fldCharType="begin"/>
      </w:r>
      <w:r>
        <w:instrText xml:space="preserve"> PAGEREF _Toc124419748 \h </w:instrText>
      </w:r>
      <w:r>
        <w:fldChar w:fldCharType="separate"/>
      </w:r>
      <w:r>
        <w:t>15</w:t>
      </w:r>
      <w:r>
        <w:fldChar w:fldCharType="end"/>
      </w:r>
      <w:r>
        <w:fldChar w:fldCharType="end"/>
      </w:r>
    </w:p>
    <w:p>
      <w:pPr>
        <w:pStyle w:val="17"/>
        <w:tabs>
          <w:tab w:val="right" w:leader="dot" w:pos="9350"/>
        </w:tabs>
        <w:rPr>
          <w:rFonts w:asciiTheme="minorHAnsi" w:hAnsiTheme="minorHAnsi" w:eastAsiaTheme="minorEastAsia" w:cstheme="minorBidi"/>
          <w:color w:val="auto"/>
          <w:sz w:val="22"/>
          <w:lang w:val="en-US" w:eastAsia="en-US"/>
        </w:rPr>
      </w:pPr>
      <w:r>
        <w:fldChar w:fldCharType="begin"/>
      </w:r>
      <w:r>
        <w:instrText xml:space="preserve"> HYPERLINK \l "_Toc124419749" </w:instrText>
      </w:r>
      <w:r>
        <w:fldChar w:fldCharType="separate"/>
      </w:r>
      <w:r>
        <w:rPr>
          <w:rStyle w:val="13"/>
        </w:rPr>
        <w:t>REFERENCES</w:t>
      </w:r>
      <w:r>
        <w:tab/>
      </w:r>
      <w:r>
        <w:fldChar w:fldCharType="begin"/>
      </w:r>
      <w:r>
        <w:instrText xml:space="preserve"> PAGEREF _Toc124419749 \h </w:instrText>
      </w:r>
      <w:r>
        <w:fldChar w:fldCharType="separate"/>
      </w:r>
      <w:r>
        <w:t>16</w:t>
      </w:r>
      <w:r>
        <w:fldChar w:fldCharType="end"/>
      </w:r>
      <w:r>
        <w:fldChar w:fldCharType="end"/>
      </w:r>
    </w:p>
    <w:p>
      <w:r>
        <w:rPr>
          <w:b/>
          <w:bCs/>
        </w:rPr>
        <w:fldChar w:fldCharType="end"/>
      </w:r>
    </w:p>
    <w:p>
      <w:pPr>
        <w:pStyle w:val="64"/>
        <w:jc w:val="center"/>
        <w:rPr>
          <w:rFonts w:ascii="Times New Roman" w:hAnsi="Times New Roman" w:cs="Times New Roman"/>
          <w:b/>
          <w:i/>
          <w:sz w:val="80"/>
          <w:szCs w:val="80"/>
          <w:shd w:val="clear" w:color="auto" w:fill="FFFFFF"/>
        </w:rPr>
      </w:pPr>
    </w:p>
    <w:p>
      <w:pPr>
        <w:rPr>
          <w:color w:val="auto"/>
        </w:rPr>
      </w:pPr>
    </w:p>
    <w:p/>
    <w:p/>
    <w:p/>
    <w:p/>
    <w:p>
      <w:pPr>
        <w:sectPr>
          <w:pgSz w:w="12240" w:h="15840"/>
          <w:pgMar w:top="1440" w:right="1440" w:bottom="1440" w:left="1440" w:header="720" w:footer="720" w:gutter="0"/>
          <w:cols w:space="720" w:num="1"/>
          <w:docGrid w:linePitch="600" w:charSpace="32768"/>
        </w:sectPr>
      </w:pPr>
    </w:p>
    <w:p>
      <w:pPr>
        <w:pStyle w:val="2"/>
        <w:jc w:val="left"/>
      </w:pPr>
      <w:bookmarkStart w:id="1" w:name="_Toc124419734"/>
      <w:r>
        <w:t>INTRODUCTION</w:t>
      </w:r>
      <w:bookmarkEnd w:id="1"/>
    </w:p>
    <w:p>
      <w:pPr>
        <w:ind w:firstLine="432"/>
      </w:pPr>
      <w:r>
        <w:t xml:space="preserve">Business Intelligence (BI) is a systematic process which involves the combination of data analysis, mining and visualisation. Wherein data mining involves extraction of raw data and text into more refined form. Data analysis involves evaluating the mined data so that it can serve as a meaningful information. Lastly data visualisation is done in order to represent the data analysis in a more attractive way which is basically in the form of graphs, charts, and tables. The process of business intelligence is done in order to make the data useful for internal as well as external users. The report is majorly divided into 2 parts &amp; consists of various such data intelligence tools which are used against the given data in the form of excel sheets. The calculations are then represented in the required visuals which are given below along with proper justifications </w:t>
      </w:r>
      <w:r>
        <w:rPr>
          <w:color w:val="auto"/>
          <w:szCs w:val="24"/>
          <w:shd w:val="clear" w:color="auto" w:fill="FFFFFF"/>
        </w:rPr>
        <w:t>(Ain and et.al., 2019).</w:t>
      </w:r>
    </w:p>
    <w:p>
      <w:pPr>
        <w:pStyle w:val="2"/>
      </w:pPr>
      <w:bookmarkStart w:id="2" w:name="_Toc124419735"/>
      <w:r>
        <w:t>PART 1</w:t>
      </w:r>
      <w:bookmarkEnd w:id="2"/>
    </w:p>
    <w:p>
      <w:pPr>
        <w:pStyle w:val="3"/>
      </w:pPr>
      <w:bookmarkStart w:id="3" w:name="_Toc124419736"/>
      <w:r>
        <w:t>Evaluation of sales or profits using the superstore data set over the years</w:t>
      </w:r>
      <w:bookmarkEnd w:id="3"/>
    </w:p>
    <w:p/>
    <w:tbl>
      <w:tblPr>
        <w:tblStyle w:val="90"/>
        <w:tblpPr w:leftFromText="180" w:rightFromText="180" w:vertAnchor="text" w:horzAnchor="margin" w:tblpXSpec="center" w:tblpY="161"/>
        <w:tblW w:w="4957" w:type="dxa"/>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Layout w:type="autofit"/>
        <w:tblCellMar>
          <w:top w:w="0" w:type="dxa"/>
          <w:left w:w="108" w:type="dxa"/>
          <w:bottom w:w="0" w:type="dxa"/>
          <w:right w:w="108" w:type="dxa"/>
        </w:tblCellMar>
      </w:tblPr>
      <w:tblGrid>
        <w:gridCol w:w="1980"/>
        <w:gridCol w:w="2977"/>
      </w:tblGrid>
      <w:tr>
        <w:trPr>
          <w:trHeight w:val="300" w:hRule="atLeast"/>
        </w:trPr>
        <w:tc>
          <w:tcPr>
            <w:tcW w:w="4957" w:type="dxa"/>
            <w:gridSpan w:val="2"/>
            <w:vMerge w:val="restart"/>
            <w:tcBorders>
              <w:top w:val="single" w:color="5B9BD5" w:themeColor="accent1" w:sz="4" w:space="0"/>
              <w:left w:val="single" w:color="5B9BD5" w:themeColor="accent1" w:sz="4" w:space="0"/>
              <w:bottom w:val="single" w:color="5B9BD5" w:themeColor="accent1" w:sz="4" w:space="0"/>
              <w:right w:val="single" w:color="5B9BD5" w:themeColor="accent1" w:sz="4" w:space="0"/>
              <w:insideH w:val="single" w:sz="4" w:space="0"/>
              <w:insideV w:val="nil"/>
            </w:tcBorders>
            <w:shd w:val="clear" w:color="auto" w:fill="5B9BD5" w:themeFill="accent1"/>
          </w:tcPr>
          <w:p>
            <w:pPr>
              <w:suppressAutoHyphens w:val="0"/>
              <w:spacing w:line="240" w:lineRule="auto"/>
              <w:jc w:val="center"/>
              <w:rPr>
                <w:rFonts w:eastAsia="Times New Roman"/>
                <w:b/>
                <w:bCs/>
                <w:szCs w:val="24"/>
                <w:lang w:val="en-US" w:eastAsia="en-US"/>
              </w:rPr>
            </w:pPr>
            <w:r>
              <w:rPr>
                <w:rFonts w:eastAsia="Times New Roman"/>
                <w:b/>
                <w:bCs/>
                <w:szCs w:val="24"/>
                <w:lang w:val="en-US" w:eastAsia="en-US"/>
              </w:rPr>
              <w:t>Decrease or increase in value of sales and profit for each year</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195" w:hRule="atLeast"/>
        </w:trPr>
        <w:tc>
          <w:tcPr>
            <w:tcW w:w="4957" w:type="dxa"/>
            <w:gridSpan w:val="2"/>
            <w:vMerge w:val="continue"/>
            <w:shd w:val="clear" w:color="auto" w:fill="DEEAF6" w:themeFill="accent1" w:themeFillTint="33"/>
          </w:tcPr>
          <w:p>
            <w:pPr>
              <w:suppressAutoHyphens w:val="0"/>
              <w:spacing w:line="240" w:lineRule="auto"/>
              <w:jc w:val="left"/>
              <w:rPr>
                <w:rFonts w:eastAsia="Times New Roman"/>
                <w:b/>
                <w:bCs/>
                <w:sz w:val="16"/>
                <w:szCs w:val="16"/>
                <w:lang w:val="en-US" w:eastAsia="en-US"/>
              </w:rPr>
            </w:pP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980" w:type="dxa"/>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sales</w:t>
            </w:r>
          </w:p>
        </w:tc>
        <w:tc>
          <w:tcPr>
            <w:tcW w:w="2977" w:type="dxa"/>
            <w:noWrap/>
          </w:tcPr>
          <w:p>
            <w:pPr>
              <w:suppressAutoHyphens w:val="0"/>
              <w:spacing w:line="240" w:lineRule="auto"/>
              <w:jc w:val="center"/>
              <w:rPr>
                <w:rFonts w:eastAsia="Times New Roman"/>
                <w:sz w:val="22"/>
                <w:lang w:val="en-US" w:eastAsia="en-US"/>
              </w:rPr>
            </w:pPr>
            <w:r>
              <w:rPr>
                <w:rFonts w:eastAsia="Times New Roman"/>
                <w:sz w:val="22"/>
                <w:lang w:val="en-US" w:eastAsia="en-US"/>
              </w:rPr>
              <w:t>profit</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980" w:type="dxa"/>
            <w:shd w:val="clear" w:color="auto" w:fill="DEEAF6" w:themeFill="accent1" w:themeFillTint="33"/>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0</w:t>
            </w:r>
          </w:p>
        </w:tc>
        <w:tc>
          <w:tcPr>
            <w:tcW w:w="2977" w:type="dxa"/>
            <w:shd w:val="clear" w:color="auto" w:fill="DEEAF6" w:themeFill="accent1" w:themeFillTint="33"/>
            <w:noWrap/>
          </w:tcPr>
          <w:p>
            <w:pPr>
              <w:suppressAutoHyphens w:val="0"/>
              <w:spacing w:line="240" w:lineRule="auto"/>
              <w:jc w:val="center"/>
              <w:rPr>
                <w:rFonts w:eastAsia="Times New Roman"/>
                <w:sz w:val="22"/>
                <w:lang w:val="en-US" w:eastAsia="en-US"/>
              </w:rPr>
            </w:pPr>
            <w:r>
              <w:rPr>
                <w:rFonts w:eastAsia="Times New Roman"/>
                <w:sz w:val="22"/>
                <w:lang w:val="en-US" w:eastAsia="en-US"/>
              </w:rPr>
              <w:t>0</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980" w:type="dxa"/>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-649810</w:t>
            </w:r>
          </w:p>
        </w:tc>
        <w:tc>
          <w:tcPr>
            <w:tcW w:w="2977" w:type="dxa"/>
            <w:noWrap/>
          </w:tcPr>
          <w:p>
            <w:pPr>
              <w:suppressAutoHyphens w:val="0"/>
              <w:spacing w:line="240" w:lineRule="auto"/>
              <w:jc w:val="center"/>
              <w:rPr>
                <w:rFonts w:eastAsia="Times New Roman"/>
                <w:sz w:val="22"/>
                <w:lang w:val="en-US" w:eastAsia="en-US"/>
              </w:rPr>
            </w:pPr>
            <w:r>
              <w:rPr>
                <w:rFonts w:eastAsia="Times New Roman"/>
                <w:sz w:val="22"/>
                <w:lang w:val="en-US" w:eastAsia="en-US"/>
              </w:rPr>
              <w:t>-69178.7</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980" w:type="dxa"/>
            <w:shd w:val="clear" w:color="auto" w:fill="DEEAF6" w:themeFill="accent1" w:themeFillTint="33"/>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-130142</w:t>
            </w:r>
          </w:p>
        </w:tc>
        <w:tc>
          <w:tcPr>
            <w:tcW w:w="2977" w:type="dxa"/>
            <w:shd w:val="clear" w:color="auto" w:fill="DEEAF6" w:themeFill="accent1" w:themeFillTint="33"/>
            <w:noWrap/>
          </w:tcPr>
          <w:p>
            <w:pPr>
              <w:suppressAutoHyphens w:val="0"/>
              <w:spacing w:line="240" w:lineRule="auto"/>
              <w:jc w:val="center"/>
              <w:rPr>
                <w:rFonts w:eastAsia="Times New Roman"/>
                <w:sz w:val="22"/>
                <w:lang w:val="en-US" w:eastAsia="en-US"/>
              </w:rPr>
            </w:pPr>
            <w:r>
              <w:rPr>
                <w:rFonts w:eastAsia="Times New Roman"/>
                <w:sz w:val="22"/>
                <w:lang w:val="en-US" w:eastAsia="en-US"/>
              </w:rPr>
              <w:t>15393.17</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980" w:type="dxa"/>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285727</w:t>
            </w:r>
          </w:p>
        </w:tc>
        <w:tc>
          <w:tcPr>
            <w:tcW w:w="2977" w:type="dxa"/>
            <w:noWrap/>
          </w:tcPr>
          <w:p>
            <w:pPr>
              <w:suppressAutoHyphens w:val="0"/>
              <w:spacing w:line="240" w:lineRule="auto"/>
              <w:jc w:val="center"/>
              <w:rPr>
                <w:rFonts w:eastAsia="Times New Roman"/>
                <w:sz w:val="22"/>
                <w:lang w:val="en-US" w:eastAsia="en-US"/>
              </w:rPr>
            </w:pPr>
            <w:r>
              <w:rPr>
                <w:rFonts w:eastAsia="Times New Roman"/>
                <w:sz w:val="22"/>
                <w:lang w:val="en-US" w:eastAsia="en-US"/>
              </w:rPr>
              <w:t>-37866.4</w:t>
            </w:r>
          </w:p>
        </w:tc>
      </w:tr>
    </w:tbl>
    <w:p/>
    <w:p/>
    <w:p/>
    <w:p/>
    <w:p/>
    <w:p>
      <w:pPr>
        <w:jc w:val="center"/>
      </w:pPr>
    </w:p>
    <w:p>
      <w:pPr>
        <w:jc w:val="center"/>
        <w:rPr>
          <w:i/>
        </w:rPr>
      </w:pPr>
      <w:r>
        <w:rPr>
          <w:i/>
        </w:rPr>
        <w:t>Derivation of Profit and sales</w:t>
      </w:r>
    </w:p>
    <w:p>
      <w:pPr>
        <w:ind w:firstLine="576"/>
        <w:rPr>
          <w:color w:val="auto"/>
          <w:szCs w:val="24"/>
          <w:shd w:val="clear" w:color="auto" w:fill="FFFFFF"/>
        </w:rPr>
      </w:pPr>
      <w:r>
        <w:t xml:space="preserve">In order to evaluate the decline in the sales and profit of the superstore, pivot table function has been used in MS EXCEL. After performing so it has been observed that sales have been decreased by 649,809 and profits were declined by 69,178 in the year 2010 whereas sales were recorded as 130,142 and profits increased by 15,393 in the year 2011. Though sales got slightly increased in the year 2012 by 285,726 by profits got declined by 37,866 in the same year. Hence it can be stated that the revenues and sales are continuously declining since 2009, which was the year marked as highest in terms of sales and revenue </w:t>
      </w:r>
      <w:r>
        <w:rPr>
          <w:color w:val="auto"/>
          <w:szCs w:val="24"/>
          <w:shd w:val="clear" w:color="auto" w:fill="FFFFFF"/>
        </w:rPr>
        <w:t>(Bordeleau, Mosconi, and de Santa-Eulalia, 2020).</w:t>
      </w:r>
    </w:p>
    <w:p/>
    <w:p>
      <w:pPr>
        <w:pStyle w:val="3"/>
      </w:pPr>
      <w:bookmarkStart w:id="4" w:name="_Toc124419737"/>
      <w:r>
        <w:t>Use of excel for pre-processing the data</w:t>
      </w:r>
      <w:bookmarkEnd w:id="4"/>
    </w:p>
    <w:p>
      <w:pPr>
        <w:ind w:firstLine="576"/>
      </w:pPr>
      <w:r>
        <w:t xml:space="preserve">MS EXCEL has been efficient in terms of data analysis and representation. One can easily perform tasks like extracting raw data, modifying data sets, performing calculations in a fast and simplified manner, and examination of data along with data visualisation. It is one of the widely used application by data analysts and researchers. Some of the functions and tools of Excel which help in data analysis are IF, WHATIF, SUBSTITUTE, SUM, AVERAGE, IFERROR, COUNTIF, etc.  By using these tools one can easily calculate the total number of data, sum of data, add or subtract the data, perform statistical operations such as finding out mean, median and mode etc. </w:t>
      </w:r>
      <w:r>
        <w:rPr>
          <w:color w:val="auto"/>
          <w:szCs w:val="24"/>
          <w:shd w:val="clear" w:color="auto" w:fill="FFFFFF"/>
        </w:rPr>
        <w:t>(Dogan and Birant, 2021)</w:t>
      </w:r>
      <w:r>
        <w:t xml:space="preserve">. </w:t>
      </w:r>
    </w:p>
    <w:p>
      <w:pPr>
        <w:pStyle w:val="3"/>
      </w:pPr>
      <w:bookmarkStart w:id="5" w:name="_Toc124419738"/>
      <w:r>
        <w:t>Representation of 2 Excel Functions</w:t>
      </w:r>
      <w:bookmarkEnd w:id="5"/>
    </w:p>
    <w:p>
      <w:r>
        <w:rPr>
          <w:b/>
        </w:rPr>
        <w:t>PIVOT TABLE</w:t>
      </w:r>
      <w:r>
        <w:rPr>
          <w:rStyle w:val="68"/>
          <w:b w:val="0"/>
        </w:rPr>
        <w:t xml:space="preserve"> - </w:t>
      </w:r>
      <w:r>
        <w:t>Pivot table is majorly used for summarising and analysing the large data sets. This excel function helps in sorting the data, filtering the data, grouping various items, expanding the data and collapsing the same, modifying and rearrangement and reordering of data etc. (</w:t>
      </w:r>
      <w:r>
        <w:rPr>
          <w:color w:val="auto"/>
          <w:szCs w:val="24"/>
          <w:shd w:val="clear" w:color="auto" w:fill="FFFFFF"/>
        </w:rPr>
        <w:t>Zhang and Chen, 2020).</w:t>
      </w:r>
      <w:r>
        <w:t xml:space="preserve"> </w:t>
      </w:r>
    </w:p>
    <w:tbl>
      <w:tblPr>
        <w:tblStyle w:val="90"/>
        <w:tblpPr w:leftFromText="180" w:rightFromText="180" w:vertAnchor="text" w:horzAnchor="margin" w:tblpXSpec="center" w:tblpY="-7"/>
        <w:tblW w:w="6176" w:type="dxa"/>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Layout w:type="autofit"/>
        <w:tblCellMar>
          <w:top w:w="0" w:type="dxa"/>
          <w:left w:w="108" w:type="dxa"/>
          <w:bottom w:w="0" w:type="dxa"/>
          <w:right w:w="108" w:type="dxa"/>
        </w:tblCellMar>
      </w:tblPr>
      <w:tblGrid>
        <w:gridCol w:w="1193"/>
        <w:gridCol w:w="1476"/>
        <w:gridCol w:w="1356"/>
        <w:gridCol w:w="2268"/>
      </w:tblGrid>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414" w:hRule="atLeast"/>
        </w:trPr>
        <w:tc>
          <w:tcPr>
            <w:tcW w:w="6176" w:type="dxa"/>
            <w:gridSpan w:val="4"/>
            <w:vMerge w:val="restart"/>
            <w:tcBorders>
              <w:top w:val="single" w:color="5B9BD5" w:themeColor="accent1" w:sz="4" w:space="0"/>
              <w:left w:val="single" w:color="5B9BD5" w:themeColor="accent1" w:sz="4" w:space="0"/>
              <w:bottom w:val="single" w:color="5B9BD5" w:themeColor="accent1" w:sz="4" w:space="0"/>
              <w:right w:val="single" w:color="5B9BD5" w:themeColor="accent1" w:sz="4" w:space="0"/>
              <w:insideH w:val="single" w:sz="4" w:space="0"/>
              <w:insideV w:val="nil"/>
            </w:tcBorders>
            <w:shd w:val="clear" w:color="auto" w:fill="5B9BD5" w:themeFill="accent1"/>
            <w:noWrap/>
          </w:tcPr>
          <w:p>
            <w:pPr>
              <w:jc w:val="center"/>
              <w:rPr>
                <w:b/>
                <w:bCs/>
                <w:lang w:val="en-US" w:eastAsia="en-US"/>
              </w:rPr>
            </w:pPr>
            <w:r>
              <w:rPr>
                <w:b/>
                <w:bCs/>
                <w:lang w:val="en-US" w:eastAsia="en-US"/>
              </w:rPr>
              <w:t>Pivot Table</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414" w:hRule="atLeast"/>
        </w:trPr>
        <w:tc>
          <w:tcPr>
            <w:tcW w:w="6176" w:type="dxa"/>
            <w:gridSpan w:val="4"/>
            <w:vMerge w:val="continue"/>
            <w:shd w:val="clear" w:color="auto" w:fill="DEEAF6" w:themeFill="accent1" w:themeFillTint="33"/>
          </w:tcPr>
          <w:p>
            <w:pPr>
              <w:jc w:val="center"/>
              <w:rPr>
                <w:b/>
                <w:bCs/>
                <w:lang w:val="en-US" w:eastAsia="en-US"/>
              </w:rPr>
            </w:pP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193" w:type="dxa"/>
            <w:noWrap/>
          </w:tcPr>
          <w:p>
            <w:pPr>
              <w:jc w:val="center"/>
              <w:rPr>
                <w:b/>
                <w:bCs/>
                <w:lang w:val="en-US" w:eastAsia="en-US"/>
              </w:rPr>
            </w:pPr>
            <w:r>
              <w:rPr>
                <w:b/>
                <w:bCs/>
                <w:lang w:val="en-US" w:eastAsia="en-US"/>
              </w:rPr>
              <w:t>Row Labels</w:t>
            </w:r>
          </w:p>
        </w:tc>
        <w:tc>
          <w:tcPr>
            <w:tcW w:w="1390" w:type="dxa"/>
            <w:noWrap/>
          </w:tcPr>
          <w:p>
            <w:pPr>
              <w:jc w:val="center"/>
              <w:rPr>
                <w:b/>
                <w:bCs/>
                <w:lang w:val="en-US" w:eastAsia="en-US"/>
              </w:rPr>
            </w:pPr>
            <w:r>
              <w:rPr>
                <w:b/>
                <w:bCs/>
                <w:lang w:val="en-US" w:eastAsia="en-US"/>
              </w:rPr>
              <w:t>Sum of Sales</w:t>
            </w:r>
          </w:p>
        </w:tc>
        <w:tc>
          <w:tcPr>
            <w:tcW w:w="1325" w:type="dxa"/>
            <w:noWrap/>
          </w:tcPr>
          <w:p>
            <w:pPr>
              <w:jc w:val="center"/>
              <w:rPr>
                <w:b/>
                <w:bCs/>
                <w:lang w:val="en-US" w:eastAsia="en-US"/>
              </w:rPr>
            </w:pPr>
            <w:r>
              <w:rPr>
                <w:b/>
                <w:bCs/>
                <w:lang w:val="en-US" w:eastAsia="en-US"/>
              </w:rPr>
              <w:t>Sum of Profit</w:t>
            </w:r>
          </w:p>
        </w:tc>
        <w:tc>
          <w:tcPr>
            <w:tcW w:w="2268" w:type="dxa"/>
            <w:noWrap/>
          </w:tcPr>
          <w:p>
            <w:pPr>
              <w:jc w:val="center"/>
              <w:rPr>
                <w:b/>
                <w:bCs/>
                <w:lang w:val="en-US" w:eastAsia="en-US"/>
              </w:rPr>
            </w:pPr>
            <w:r>
              <w:rPr>
                <w:b/>
                <w:bCs/>
                <w:lang w:val="en-US" w:eastAsia="en-US"/>
              </w:rPr>
              <w:t>Sum of Order Quantity</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193" w:type="dxa"/>
            <w:shd w:val="clear" w:color="auto" w:fill="DEEAF6" w:themeFill="accent1" w:themeFillTint="33"/>
            <w:noWrap/>
          </w:tcPr>
          <w:p>
            <w:pPr>
              <w:jc w:val="center"/>
              <w:rPr>
                <w:b/>
                <w:bCs/>
                <w:lang w:val="en-US" w:eastAsia="en-US"/>
              </w:rPr>
            </w:pPr>
            <w:r>
              <w:rPr>
                <w:b/>
                <w:bCs/>
                <w:lang w:val="en-US" w:eastAsia="en-US"/>
              </w:rPr>
              <w:t>2009</w:t>
            </w:r>
          </w:p>
        </w:tc>
        <w:tc>
          <w:tcPr>
            <w:tcW w:w="1390" w:type="dxa"/>
            <w:shd w:val="clear" w:color="auto" w:fill="DEEAF6" w:themeFill="accent1" w:themeFillTint="33"/>
            <w:noWrap/>
          </w:tcPr>
          <w:p>
            <w:pPr>
              <w:jc w:val="center"/>
              <w:rPr>
                <w:b/>
                <w:bCs/>
                <w:lang w:val="en-US" w:eastAsia="en-US"/>
              </w:rPr>
            </w:pPr>
            <w:r>
              <w:rPr>
                <w:b/>
                <w:bCs/>
                <w:lang w:val="en-US" w:eastAsia="en-US"/>
              </w:rPr>
              <w:t>4209896.846</w:t>
            </w:r>
          </w:p>
        </w:tc>
        <w:tc>
          <w:tcPr>
            <w:tcW w:w="1325" w:type="dxa"/>
            <w:shd w:val="clear" w:color="auto" w:fill="DEEAF6" w:themeFill="accent1" w:themeFillTint="33"/>
            <w:noWrap/>
          </w:tcPr>
          <w:p>
            <w:pPr>
              <w:jc w:val="center"/>
              <w:rPr>
                <w:b/>
                <w:bCs/>
                <w:lang w:val="en-US" w:eastAsia="en-US"/>
              </w:rPr>
            </w:pPr>
            <w:r>
              <w:rPr>
                <w:b/>
                <w:bCs/>
                <w:lang w:val="en-US" w:eastAsia="en-US"/>
              </w:rPr>
              <w:t>434096.02</w:t>
            </w:r>
          </w:p>
        </w:tc>
        <w:tc>
          <w:tcPr>
            <w:tcW w:w="2268" w:type="dxa"/>
            <w:shd w:val="clear" w:color="auto" w:fill="DEEAF6" w:themeFill="accent1" w:themeFillTint="33"/>
            <w:noWrap/>
          </w:tcPr>
          <w:p>
            <w:pPr>
              <w:jc w:val="center"/>
              <w:rPr>
                <w:b/>
                <w:bCs/>
                <w:lang w:val="en-US" w:eastAsia="en-US"/>
              </w:rPr>
            </w:pPr>
            <w:r>
              <w:rPr>
                <w:b/>
                <w:bCs/>
                <w:lang w:val="en-US" w:eastAsia="en-US"/>
              </w:rPr>
              <w:t>54508</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193" w:type="dxa"/>
            <w:noWrap/>
          </w:tcPr>
          <w:p>
            <w:pPr>
              <w:jc w:val="center"/>
              <w:rPr>
                <w:b/>
                <w:bCs/>
                <w:lang w:val="en-US" w:eastAsia="en-US"/>
              </w:rPr>
            </w:pPr>
            <w:r>
              <w:rPr>
                <w:b/>
                <w:bCs/>
                <w:lang w:val="en-US" w:eastAsia="en-US"/>
              </w:rPr>
              <w:t>2010</w:t>
            </w:r>
          </w:p>
        </w:tc>
        <w:tc>
          <w:tcPr>
            <w:tcW w:w="1390" w:type="dxa"/>
            <w:noWrap/>
          </w:tcPr>
          <w:p>
            <w:pPr>
              <w:jc w:val="center"/>
              <w:rPr>
                <w:b/>
                <w:bCs/>
                <w:lang w:val="en-US" w:eastAsia="en-US"/>
              </w:rPr>
            </w:pPr>
            <w:r>
              <w:rPr>
                <w:b/>
                <w:bCs/>
                <w:lang w:val="en-US" w:eastAsia="en-US"/>
              </w:rPr>
              <w:t>3560087.045</w:t>
            </w:r>
          </w:p>
        </w:tc>
        <w:tc>
          <w:tcPr>
            <w:tcW w:w="1325" w:type="dxa"/>
            <w:noWrap/>
          </w:tcPr>
          <w:p>
            <w:pPr>
              <w:jc w:val="center"/>
              <w:rPr>
                <w:b/>
                <w:bCs/>
                <w:lang w:val="en-US" w:eastAsia="en-US"/>
              </w:rPr>
            </w:pPr>
            <w:r>
              <w:rPr>
                <w:b/>
                <w:bCs/>
                <w:lang w:val="en-US" w:eastAsia="en-US"/>
              </w:rPr>
              <w:t>364917.33</w:t>
            </w:r>
          </w:p>
        </w:tc>
        <w:tc>
          <w:tcPr>
            <w:tcW w:w="2268" w:type="dxa"/>
            <w:noWrap/>
          </w:tcPr>
          <w:p>
            <w:pPr>
              <w:jc w:val="center"/>
              <w:rPr>
                <w:b/>
                <w:bCs/>
                <w:lang w:val="en-US" w:eastAsia="en-US"/>
              </w:rPr>
            </w:pPr>
            <w:r>
              <w:rPr>
                <w:b/>
                <w:bCs/>
                <w:lang w:val="en-US" w:eastAsia="en-US"/>
              </w:rPr>
              <w:t>54379</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193" w:type="dxa"/>
            <w:shd w:val="clear" w:color="auto" w:fill="DEEAF6" w:themeFill="accent1" w:themeFillTint="33"/>
            <w:noWrap/>
          </w:tcPr>
          <w:p>
            <w:pPr>
              <w:jc w:val="center"/>
              <w:rPr>
                <w:b/>
                <w:bCs/>
                <w:lang w:val="en-US" w:eastAsia="en-US"/>
              </w:rPr>
            </w:pPr>
            <w:r>
              <w:rPr>
                <w:b/>
                <w:bCs/>
                <w:lang w:val="en-US" w:eastAsia="en-US"/>
              </w:rPr>
              <w:t>2011</w:t>
            </w:r>
          </w:p>
        </w:tc>
        <w:tc>
          <w:tcPr>
            <w:tcW w:w="1390" w:type="dxa"/>
            <w:shd w:val="clear" w:color="auto" w:fill="DEEAF6" w:themeFill="accent1" w:themeFillTint="33"/>
            <w:noWrap/>
          </w:tcPr>
          <w:p>
            <w:pPr>
              <w:jc w:val="center"/>
              <w:rPr>
                <w:b/>
                <w:bCs/>
                <w:lang w:val="en-US" w:eastAsia="en-US"/>
              </w:rPr>
            </w:pPr>
            <w:r>
              <w:rPr>
                <w:b/>
                <w:bCs/>
                <w:lang w:val="en-US" w:eastAsia="en-US"/>
              </w:rPr>
              <w:t>3429944.981</w:t>
            </w:r>
          </w:p>
        </w:tc>
        <w:tc>
          <w:tcPr>
            <w:tcW w:w="1325" w:type="dxa"/>
            <w:shd w:val="clear" w:color="auto" w:fill="DEEAF6" w:themeFill="accent1" w:themeFillTint="33"/>
            <w:noWrap/>
          </w:tcPr>
          <w:p>
            <w:pPr>
              <w:jc w:val="center"/>
              <w:rPr>
                <w:b/>
                <w:bCs/>
                <w:lang w:val="en-US" w:eastAsia="en-US"/>
              </w:rPr>
            </w:pPr>
            <w:r>
              <w:rPr>
                <w:b/>
                <w:bCs/>
                <w:lang w:val="en-US" w:eastAsia="en-US"/>
              </w:rPr>
              <w:t>380310.5</w:t>
            </w:r>
          </w:p>
        </w:tc>
        <w:tc>
          <w:tcPr>
            <w:tcW w:w="2268" w:type="dxa"/>
            <w:shd w:val="clear" w:color="auto" w:fill="DEEAF6" w:themeFill="accent1" w:themeFillTint="33"/>
            <w:noWrap/>
          </w:tcPr>
          <w:p>
            <w:pPr>
              <w:jc w:val="center"/>
              <w:rPr>
                <w:b/>
                <w:bCs/>
                <w:lang w:val="en-US" w:eastAsia="en-US"/>
              </w:rPr>
            </w:pPr>
            <w:r>
              <w:rPr>
                <w:b/>
                <w:bCs/>
                <w:lang w:val="en-US" w:eastAsia="en-US"/>
              </w:rPr>
              <w:t>51413</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193" w:type="dxa"/>
            <w:noWrap/>
          </w:tcPr>
          <w:p>
            <w:pPr>
              <w:jc w:val="center"/>
              <w:rPr>
                <w:b/>
                <w:bCs/>
                <w:lang w:val="en-US" w:eastAsia="en-US"/>
              </w:rPr>
            </w:pPr>
            <w:r>
              <w:rPr>
                <w:b/>
                <w:bCs/>
                <w:lang w:val="en-US" w:eastAsia="en-US"/>
              </w:rPr>
              <w:t>2012</w:t>
            </w:r>
          </w:p>
        </w:tc>
        <w:tc>
          <w:tcPr>
            <w:tcW w:w="1390" w:type="dxa"/>
            <w:noWrap/>
          </w:tcPr>
          <w:p>
            <w:pPr>
              <w:jc w:val="center"/>
              <w:rPr>
                <w:b/>
                <w:bCs/>
                <w:lang w:val="en-US" w:eastAsia="en-US"/>
              </w:rPr>
            </w:pPr>
            <w:r>
              <w:rPr>
                <w:b/>
                <w:bCs/>
                <w:lang w:val="en-US" w:eastAsia="en-US"/>
              </w:rPr>
              <w:t>3715671.953</w:t>
            </w:r>
          </w:p>
        </w:tc>
        <w:tc>
          <w:tcPr>
            <w:tcW w:w="1325" w:type="dxa"/>
            <w:noWrap/>
          </w:tcPr>
          <w:p>
            <w:pPr>
              <w:jc w:val="center"/>
              <w:rPr>
                <w:b/>
                <w:bCs/>
                <w:lang w:val="en-US" w:eastAsia="en-US"/>
              </w:rPr>
            </w:pPr>
            <w:r>
              <w:rPr>
                <w:b/>
                <w:bCs/>
                <w:lang w:val="en-US" w:eastAsia="en-US"/>
              </w:rPr>
              <w:t>342444.13</w:t>
            </w:r>
          </w:p>
        </w:tc>
        <w:tc>
          <w:tcPr>
            <w:tcW w:w="2268" w:type="dxa"/>
            <w:noWrap/>
          </w:tcPr>
          <w:p>
            <w:pPr>
              <w:jc w:val="center"/>
              <w:rPr>
                <w:b/>
                <w:bCs/>
                <w:lang w:val="en-US" w:eastAsia="en-US"/>
              </w:rPr>
            </w:pPr>
            <w:r>
              <w:rPr>
                <w:b/>
                <w:bCs/>
                <w:lang w:val="en-US" w:eastAsia="en-US"/>
              </w:rPr>
              <w:t>54480</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trPr>
        <w:tc>
          <w:tcPr>
            <w:tcW w:w="1193" w:type="dxa"/>
            <w:shd w:val="clear" w:color="auto" w:fill="DEEAF6" w:themeFill="accent1" w:themeFillTint="33"/>
            <w:noWrap/>
          </w:tcPr>
          <w:p>
            <w:pPr>
              <w:jc w:val="center"/>
              <w:rPr>
                <w:b/>
                <w:bCs/>
                <w:lang w:val="en-US" w:eastAsia="en-US"/>
              </w:rPr>
            </w:pPr>
            <w:r>
              <w:rPr>
                <w:b/>
                <w:bCs/>
                <w:lang w:val="en-US" w:eastAsia="en-US"/>
              </w:rPr>
              <w:t>Grand Total</w:t>
            </w:r>
          </w:p>
        </w:tc>
        <w:tc>
          <w:tcPr>
            <w:tcW w:w="1390" w:type="dxa"/>
            <w:shd w:val="clear" w:color="auto" w:fill="DEEAF6" w:themeFill="accent1" w:themeFillTint="33"/>
            <w:noWrap/>
          </w:tcPr>
          <w:p>
            <w:pPr>
              <w:jc w:val="center"/>
              <w:rPr>
                <w:b/>
                <w:bCs/>
                <w:lang w:val="en-US" w:eastAsia="en-US"/>
              </w:rPr>
            </w:pPr>
            <w:r>
              <w:rPr>
                <w:b/>
                <w:bCs/>
                <w:lang w:val="en-US" w:eastAsia="en-US"/>
              </w:rPr>
              <w:t>14915600.82</w:t>
            </w:r>
          </w:p>
        </w:tc>
        <w:tc>
          <w:tcPr>
            <w:tcW w:w="1325" w:type="dxa"/>
            <w:shd w:val="clear" w:color="auto" w:fill="DEEAF6" w:themeFill="accent1" w:themeFillTint="33"/>
            <w:noWrap/>
          </w:tcPr>
          <w:p>
            <w:pPr>
              <w:jc w:val="center"/>
              <w:rPr>
                <w:b/>
                <w:bCs/>
                <w:lang w:val="en-US" w:eastAsia="en-US"/>
              </w:rPr>
            </w:pPr>
            <w:r>
              <w:rPr>
                <w:b/>
                <w:bCs/>
                <w:lang w:val="en-US" w:eastAsia="en-US"/>
              </w:rPr>
              <w:t>1521767.98</w:t>
            </w:r>
          </w:p>
        </w:tc>
        <w:tc>
          <w:tcPr>
            <w:tcW w:w="2268" w:type="dxa"/>
            <w:shd w:val="clear" w:color="auto" w:fill="DEEAF6" w:themeFill="accent1" w:themeFillTint="33"/>
            <w:noWrap/>
          </w:tcPr>
          <w:p>
            <w:pPr>
              <w:jc w:val="center"/>
              <w:rPr>
                <w:b/>
                <w:bCs/>
                <w:lang w:val="en-US" w:eastAsia="en-US"/>
              </w:rPr>
            </w:pPr>
            <w:r>
              <w:rPr>
                <w:b/>
                <w:bCs/>
                <w:lang w:val="en-US" w:eastAsia="en-US"/>
              </w:rPr>
              <w:t>214780</w:t>
            </w:r>
          </w:p>
        </w:tc>
      </w:tr>
    </w:tbl>
    <w:p/>
    <w:p/>
    <w:p/>
    <w:p/>
    <w:p/>
    <w:p/>
    <w:p>
      <w:pPr>
        <w:ind w:firstLine="720"/>
      </w:pPr>
    </w:p>
    <w:p>
      <w:pPr>
        <w:ind w:firstLine="720"/>
      </w:pPr>
    </w:p>
    <w:p>
      <w:pPr>
        <w:ind w:firstLine="720"/>
      </w:pPr>
    </w:p>
    <w:p/>
    <w:p/>
    <w:p>
      <w:pPr>
        <w:ind w:firstLine="720"/>
        <w:jc w:val="center"/>
        <w:rPr>
          <w:i/>
        </w:rPr>
      </w:pPr>
      <w:r>
        <w:rPr>
          <w:i/>
        </w:rPr>
        <w:t>Pivot Table</w:t>
      </w:r>
    </w:p>
    <w:p>
      <w:r>
        <w:rPr>
          <w:b/>
        </w:rPr>
        <w:t>LOOKUP function</w:t>
      </w:r>
      <w:r>
        <w:t xml:space="preserve"> –The LOOKUP or VLOOKUP function is generally used to find out the desired data set in the whole data series in the given range. In case there’s no similar value, the function returns the closest value in the series. Following is the formula of VLOOKUP. </w:t>
      </w:r>
      <w:r>
        <w:rPr>
          <w:b/>
        </w:rPr>
        <w:t xml:space="preserve">= VLOOKUP (Lookup value, table array, column index number, [range lookup]) </w:t>
      </w:r>
      <w:r>
        <w:t>(</w:t>
      </w:r>
      <w:r>
        <w:rPr>
          <w:color w:val="auto"/>
          <w:szCs w:val="24"/>
          <w:shd w:val="clear" w:color="auto" w:fill="FFFFFF"/>
        </w:rPr>
        <w:t>Jelen, 2019).</w:t>
      </w:r>
    </w:p>
    <w:p>
      <w:pPr>
        <w:ind w:firstLine="720"/>
      </w:pPr>
    </w:p>
    <w:tbl>
      <w:tblPr>
        <w:tblStyle w:val="91"/>
        <w:tblpPr w:leftFromText="180" w:rightFromText="180" w:vertAnchor="text" w:horzAnchor="margin" w:tblpXSpec="center" w:tblpY="-595"/>
        <w:tblW w:w="5344" w:type="dxa"/>
        <w:tblInd w:w="0" w:type="dxa"/>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3205"/>
        <w:gridCol w:w="2139"/>
      </w:tblGrid>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300" w:hRule="atLeast"/>
        </w:trPr>
        <w:tc>
          <w:tcPr>
            <w:tcW w:w="5344" w:type="dxa"/>
            <w:gridSpan w:val="2"/>
            <w:vMerge w:val="restart"/>
            <w:tcBorders>
              <w:top w:val="single" w:color="ED7D31" w:themeColor="accent2" w:sz="4" w:space="0"/>
              <w:left w:val="single" w:color="ED7D31" w:themeColor="accent2" w:sz="4" w:space="0"/>
              <w:bottom w:val="single" w:color="ED7D31" w:themeColor="accent2" w:sz="4" w:space="0"/>
              <w:right w:val="single" w:color="ED7D31" w:themeColor="accent2" w:sz="4" w:space="0"/>
              <w:insideH w:val="single" w:sz="4" w:space="0"/>
              <w:insideV w:val="nil"/>
            </w:tcBorders>
            <w:shd w:val="clear" w:color="auto" w:fill="ED7D31" w:themeFill="accent2"/>
            <w:noWrap/>
          </w:tcPr>
          <w:p>
            <w:pPr>
              <w:suppressAutoHyphens w:val="0"/>
              <w:spacing w:line="240" w:lineRule="auto"/>
              <w:jc w:val="center"/>
              <w:rPr>
                <w:rFonts w:eastAsia="Times New Roman"/>
                <w:b/>
                <w:bCs/>
                <w:lang w:val="en-US" w:eastAsia="en-US"/>
              </w:rPr>
            </w:pPr>
            <w:r>
              <w:rPr>
                <w:rFonts w:eastAsia="Times New Roman"/>
                <w:b/>
                <w:bCs/>
                <w:lang w:val="en-US" w:eastAsia="en-US"/>
              </w:rPr>
              <w:t>VLOOKUP</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276" w:hRule="atLeast"/>
        </w:trPr>
        <w:tc>
          <w:tcPr>
            <w:tcW w:w="5344" w:type="dxa"/>
            <w:gridSpan w:val="2"/>
            <w:vMerge w:val="continue"/>
            <w:shd w:val="clear" w:color="auto" w:fill="FBE4D5" w:themeFill="accent2" w:themeFillTint="33"/>
          </w:tcPr>
          <w:p>
            <w:pPr>
              <w:suppressAutoHyphens w:val="0"/>
              <w:spacing w:line="240" w:lineRule="auto"/>
              <w:jc w:val="left"/>
              <w:rPr>
                <w:rFonts w:eastAsia="Times New Roman"/>
                <w:b/>
                <w:bCs/>
                <w:lang w:val="en-US" w:eastAsia="en-US"/>
              </w:rPr>
            </w:pP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300" w:hRule="atLeast"/>
        </w:trPr>
        <w:tc>
          <w:tcPr>
            <w:tcW w:w="3205" w:type="dxa"/>
            <w:noWrap/>
          </w:tcPr>
          <w:p>
            <w:pPr>
              <w:suppressAutoHyphens w:val="0"/>
              <w:spacing w:line="240" w:lineRule="auto"/>
              <w:jc w:val="left"/>
              <w:rPr>
                <w:rFonts w:eastAsia="Times New Roman"/>
                <w:b/>
                <w:bCs/>
                <w:lang w:val="en-US" w:eastAsia="en-US"/>
              </w:rPr>
            </w:pPr>
            <w:r>
              <w:rPr>
                <w:rFonts w:eastAsia="Times New Roman"/>
                <w:b/>
                <w:bCs/>
                <w:lang w:val="en-US" w:eastAsia="en-US"/>
              </w:rPr>
              <w:t>Enter Row ID</w:t>
            </w:r>
          </w:p>
        </w:tc>
        <w:tc>
          <w:tcPr>
            <w:tcW w:w="2139" w:type="dxa"/>
            <w:noWrap/>
          </w:tcPr>
          <w:p>
            <w:pPr>
              <w:suppressAutoHyphens w:val="0"/>
              <w:spacing w:line="240" w:lineRule="auto"/>
              <w:jc w:val="right"/>
              <w:rPr>
                <w:rFonts w:eastAsia="Times New Roman"/>
                <w:lang w:val="en-US" w:eastAsia="en-US"/>
              </w:rPr>
            </w:pPr>
            <w:r>
              <w:rPr>
                <w:rFonts w:eastAsia="Times New Roman"/>
                <w:lang w:val="en-US" w:eastAsia="en-US"/>
              </w:rPr>
              <w:t>80</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300" w:hRule="atLeast"/>
        </w:trPr>
        <w:tc>
          <w:tcPr>
            <w:tcW w:w="3205" w:type="dxa"/>
            <w:shd w:val="clear" w:color="auto" w:fill="FBE4D5" w:themeFill="accent2" w:themeFillTint="33"/>
            <w:noWrap/>
          </w:tcPr>
          <w:p>
            <w:pPr>
              <w:suppressAutoHyphens w:val="0"/>
              <w:spacing w:line="240" w:lineRule="auto"/>
              <w:jc w:val="left"/>
              <w:rPr>
                <w:rFonts w:eastAsia="Times New Roman"/>
                <w:b/>
                <w:bCs/>
                <w:lang w:val="en-US" w:eastAsia="en-US"/>
              </w:rPr>
            </w:pPr>
            <w:r>
              <w:rPr>
                <w:rFonts w:eastAsia="Times New Roman"/>
                <w:b/>
                <w:bCs/>
                <w:lang w:val="en-US" w:eastAsia="en-US"/>
              </w:rPr>
              <w:t>get profit-</w:t>
            </w:r>
          </w:p>
        </w:tc>
        <w:tc>
          <w:tcPr>
            <w:tcW w:w="2139" w:type="dxa"/>
            <w:shd w:val="clear" w:color="auto" w:fill="FBE4D5" w:themeFill="accent2" w:themeFillTint="33"/>
            <w:noWrap/>
          </w:tcPr>
          <w:p>
            <w:pPr>
              <w:suppressAutoHyphens w:val="0"/>
              <w:spacing w:line="240" w:lineRule="auto"/>
              <w:jc w:val="right"/>
              <w:rPr>
                <w:rFonts w:eastAsia="Times New Roman"/>
                <w:lang w:val="en-US" w:eastAsia="en-US"/>
              </w:rPr>
            </w:pPr>
            <w:r>
              <w:rPr>
                <w:rFonts w:eastAsia="Times New Roman"/>
                <w:lang w:val="en-US" w:eastAsia="en-US"/>
              </w:rPr>
              <w:t>1198.97</w:t>
            </w:r>
          </w:p>
        </w:tc>
      </w:tr>
    </w:tbl>
    <w:p/>
    <w:p/>
    <w:p>
      <w:pPr>
        <w:jc w:val="center"/>
        <w:rPr>
          <w:i/>
        </w:rPr>
      </w:pPr>
      <w:r>
        <w:rPr>
          <w:i/>
        </w:rPr>
        <w:t>VLOOK UP Function</w:t>
      </w:r>
    </w:p>
    <w:p>
      <w:pPr>
        <w:pStyle w:val="3"/>
      </w:pPr>
      <w:bookmarkStart w:id="6" w:name="_Toc124419739"/>
      <w:r>
        <w:t>Data visualisation through charts and graphs</w:t>
      </w:r>
      <w:bookmarkEnd w:id="6"/>
    </w:p>
    <w:p>
      <w:pPr>
        <w:ind w:firstLine="576"/>
      </w:pPr>
      <w:r>
        <w:t>As directed given below is the data representation of the superstore data sets. Line Chart and Pie chart has been made on the basis of given table which consists total number of orders from different regions (</w:t>
      </w:r>
      <w:r>
        <w:rPr>
          <w:color w:val="auto"/>
          <w:szCs w:val="24"/>
          <w:shd w:val="clear" w:color="auto" w:fill="FFFFFF"/>
        </w:rPr>
        <w:t>Zhen and et.al., 2021</w:t>
      </w:r>
      <w:r>
        <w:t xml:space="preserve">). </w:t>
      </w:r>
    </w:p>
    <w:tbl>
      <w:tblPr>
        <w:tblStyle w:val="90"/>
        <w:tblW w:w="4678" w:type="dxa"/>
        <w:jc w:val="center"/>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Layout w:type="autofit"/>
        <w:tblCellMar>
          <w:top w:w="0" w:type="dxa"/>
          <w:left w:w="108" w:type="dxa"/>
          <w:bottom w:w="0" w:type="dxa"/>
          <w:right w:w="108" w:type="dxa"/>
        </w:tblCellMar>
      </w:tblPr>
      <w:tblGrid>
        <w:gridCol w:w="2712"/>
        <w:gridCol w:w="1966"/>
      </w:tblGrid>
      <w:tr>
        <w:trPr>
          <w:trHeight w:val="414" w:hRule="atLeast"/>
          <w:jc w:val="center"/>
        </w:trPr>
        <w:tc>
          <w:tcPr>
            <w:tcW w:w="2712" w:type="dxa"/>
            <w:vMerge w:val="restart"/>
            <w:tcBorders>
              <w:top w:val="single" w:color="5B9BD5" w:themeColor="accent1" w:sz="4" w:space="0"/>
              <w:left w:val="single" w:color="5B9BD5" w:themeColor="accent1" w:sz="4" w:space="0"/>
              <w:bottom w:val="single" w:color="5B9BD5" w:themeColor="accent1" w:sz="4" w:space="0"/>
              <w:right w:val="nil"/>
              <w:insideH w:val="single" w:sz="4" w:space="0"/>
              <w:insideV w:val="nil"/>
            </w:tcBorders>
            <w:shd w:val="clear" w:color="auto" w:fill="5B9BD5" w:themeFill="accent1"/>
            <w:noWrap/>
          </w:tcPr>
          <w:p>
            <w:pPr>
              <w:jc w:val="center"/>
              <w:rPr>
                <w:b/>
                <w:bCs/>
                <w:lang w:val="en-US" w:eastAsia="en-US"/>
              </w:rPr>
            </w:pPr>
            <w:r>
              <w:rPr>
                <w:b/>
                <w:bCs/>
                <w:lang w:val="en-US" w:eastAsia="en-US"/>
              </w:rPr>
              <w:t>Region</w:t>
            </w:r>
          </w:p>
        </w:tc>
        <w:tc>
          <w:tcPr>
            <w:tcW w:w="1966" w:type="dxa"/>
            <w:vMerge w:val="restart"/>
            <w:tcBorders>
              <w:top w:val="single" w:color="5B9BD5" w:themeColor="accent1" w:sz="4" w:space="0"/>
              <w:bottom w:val="single" w:color="5B9BD5" w:themeColor="accent1" w:sz="4" w:space="0"/>
              <w:right w:val="single" w:color="5B9BD5" w:themeColor="accent1" w:sz="4" w:space="0"/>
              <w:insideH w:val="single" w:sz="4" w:space="0"/>
              <w:insideV w:val="nil"/>
            </w:tcBorders>
            <w:shd w:val="clear" w:color="auto" w:fill="5B9BD5" w:themeFill="accent1"/>
          </w:tcPr>
          <w:p>
            <w:pPr>
              <w:jc w:val="center"/>
              <w:rPr>
                <w:b/>
                <w:bCs/>
                <w:lang w:val="en-US" w:eastAsia="en-US"/>
              </w:rPr>
            </w:pPr>
            <w:r>
              <w:rPr>
                <w:b/>
                <w:bCs/>
                <w:lang w:val="en-US" w:eastAsia="en-US"/>
              </w:rPr>
              <w:t>Total number of orders</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414" w:hRule="atLeast"/>
          <w:jc w:val="center"/>
        </w:trPr>
        <w:tc>
          <w:tcPr>
            <w:tcW w:w="2712" w:type="dxa"/>
            <w:vMerge w:val="continue"/>
            <w:shd w:val="clear" w:color="auto" w:fill="DEEAF6" w:themeFill="accent1" w:themeFillTint="33"/>
          </w:tcPr>
          <w:p>
            <w:pPr>
              <w:jc w:val="center"/>
              <w:rPr>
                <w:b/>
                <w:bCs/>
                <w:lang w:val="en-US" w:eastAsia="en-US"/>
              </w:rPr>
            </w:pPr>
          </w:p>
        </w:tc>
        <w:tc>
          <w:tcPr>
            <w:tcW w:w="1966" w:type="dxa"/>
            <w:vMerge w:val="continue"/>
            <w:shd w:val="clear" w:color="auto" w:fill="DEEAF6" w:themeFill="accent1" w:themeFillTint="33"/>
          </w:tcPr>
          <w:p>
            <w:pPr>
              <w:jc w:val="center"/>
              <w:rPr>
                <w:lang w:val="en-US" w:eastAsia="en-US"/>
              </w:rPr>
            </w:pPr>
          </w:p>
        </w:tc>
      </w:tr>
      <w:tr>
        <w:trPr>
          <w:trHeight w:val="414" w:hRule="atLeast"/>
          <w:jc w:val="center"/>
        </w:trPr>
        <w:tc>
          <w:tcPr>
            <w:tcW w:w="2712" w:type="dxa"/>
            <w:vMerge w:val="continue"/>
          </w:tcPr>
          <w:p>
            <w:pPr>
              <w:jc w:val="center"/>
              <w:rPr>
                <w:b/>
                <w:bCs/>
                <w:lang w:val="en-US" w:eastAsia="en-US"/>
              </w:rPr>
            </w:pPr>
          </w:p>
        </w:tc>
        <w:tc>
          <w:tcPr>
            <w:tcW w:w="1966" w:type="dxa"/>
            <w:vMerge w:val="continue"/>
          </w:tcPr>
          <w:p>
            <w:pPr>
              <w:jc w:val="center"/>
              <w:rPr>
                <w:lang w:val="en-US" w:eastAsia="en-US"/>
              </w:rPr>
            </w:pPr>
          </w:p>
        </w:tc>
      </w:tr>
      <w:tr>
        <w:trPr>
          <w:trHeight w:val="300" w:hRule="atLeast"/>
          <w:jc w:val="center"/>
        </w:trPr>
        <w:tc>
          <w:tcPr>
            <w:tcW w:w="2712" w:type="dxa"/>
            <w:shd w:val="clear" w:color="auto" w:fill="DEEAF6" w:themeFill="accent1" w:themeFillTint="33"/>
            <w:noWrap/>
          </w:tcPr>
          <w:p>
            <w:pPr>
              <w:jc w:val="center"/>
              <w:rPr>
                <w:b/>
                <w:bCs/>
                <w:lang w:val="en-US" w:eastAsia="en-US"/>
              </w:rPr>
            </w:pPr>
            <w:r>
              <w:rPr>
                <w:b/>
                <w:bCs/>
                <w:lang w:val="en-US" w:eastAsia="en-US"/>
              </w:rPr>
              <w:t>Atlantic</w:t>
            </w:r>
          </w:p>
        </w:tc>
        <w:tc>
          <w:tcPr>
            <w:tcW w:w="1966" w:type="dxa"/>
            <w:shd w:val="clear" w:color="auto" w:fill="DEEAF6" w:themeFill="accent1" w:themeFillTint="33"/>
            <w:noWrap/>
          </w:tcPr>
          <w:p>
            <w:pPr>
              <w:jc w:val="center"/>
              <w:rPr>
                <w:lang w:val="en-US" w:eastAsia="en-US"/>
              </w:rPr>
            </w:pPr>
            <w:r>
              <w:rPr>
                <w:lang w:val="en-US" w:eastAsia="en-US"/>
              </w:rPr>
              <w:t>1080</w:t>
            </w:r>
          </w:p>
        </w:tc>
      </w:tr>
      <w:tr>
        <w:trPr>
          <w:trHeight w:val="300" w:hRule="atLeast"/>
          <w:jc w:val="center"/>
        </w:trPr>
        <w:tc>
          <w:tcPr>
            <w:tcW w:w="2712" w:type="dxa"/>
            <w:noWrap/>
          </w:tcPr>
          <w:p>
            <w:pPr>
              <w:jc w:val="center"/>
              <w:rPr>
                <w:b/>
                <w:bCs/>
                <w:lang w:val="en-US" w:eastAsia="en-US"/>
              </w:rPr>
            </w:pPr>
            <w:r>
              <w:rPr>
                <w:b/>
                <w:bCs/>
                <w:lang w:val="en-US" w:eastAsia="en-US"/>
              </w:rPr>
              <w:t>North Carolina</w:t>
            </w:r>
          </w:p>
        </w:tc>
        <w:tc>
          <w:tcPr>
            <w:tcW w:w="1966" w:type="dxa"/>
            <w:noWrap/>
          </w:tcPr>
          <w:p>
            <w:pPr>
              <w:jc w:val="center"/>
              <w:rPr>
                <w:lang w:val="en-US" w:eastAsia="en-US"/>
              </w:rPr>
            </w:pPr>
            <w:r>
              <w:rPr>
                <w:lang w:val="en-US" w:eastAsia="en-US"/>
              </w:rPr>
              <w:t>79</w:t>
            </w:r>
          </w:p>
        </w:tc>
      </w:tr>
      <w:tr>
        <w:trPr>
          <w:trHeight w:val="300" w:hRule="atLeast"/>
          <w:jc w:val="center"/>
        </w:trPr>
        <w:tc>
          <w:tcPr>
            <w:tcW w:w="2712" w:type="dxa"/>
            <w:shd w:val="clear" w:color="auto" w:fill="DEEAF6" w:themeFill="accent1" w:themeFillTint="33"/>
            <w:noWrap/>
          </w:tcPr>
          <w:p>
            <w:pPr>
              <w:jc w:val="center"/>
              <w:rPr>
                <w:b/>
                <w:bCs/>
                <w:lang w:val="en-US" w:eastAsia="en-US"/>
              </w:rPr>
            </w:pPr>
            <w:r>
              <w:rPr>
                <w:b/>
                <w:bCs/>
                <w:lang w:val="en-US" w:eastAsia="en-US"/>
              </w:rPr>
              <w:t>Northwest Territories</w:t>
            </w:r>
          </w:p>
        </w:tc>
        <w:tc>
          <w:tcPr>
            <w:tcW w:w="1966" w:type="dxa"/>
            <w:shd w:val="clear" w:color="auto" w:fill="DEEAF6" w:themeFill="accent1" w:themeFillTint="33"/>
            <w:noWrap/>
          </w:tcPr>
          <w:p>
            <w:pPr>
              <w:jc w:val="center"/>
              <w:rPr>
                <w:lang w:val="en-US" w:eastAsia="en-US"/>
              </w:rPr>
            </w:pPr>
            <w:r>
              <w:rPr>
                <w:lang w:val="en-US" w:eastAsia="en-US"/>
              </w:rPr>
              <w:t>59</w:t>
            </w:r>
          </w:p>
        </w:tc>
      </w:tr>
      <w:tr>
        <w:tblPrEx>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Ex>
        <w:trPr>
          <w:trHeight w:val="300" w:hRule="atLeast"/>
          <w:jc w:val="center"/>
        </w:trPr>
        <w:tc>
          <w:tcPr>
            <w:tcW w:w="2712" w:type="dxa"/>
            <w:noWrap/>
          </w:tcPr>
          <w:p>
            <w:pPr>
              <w:jc w:val="center"/>
              <w:rPr>
                <w:b/>
                <w:bCs/>
                <w:lang w:val="en-US" w:eastAsia="en-US"/>
              </w:rPr>
            </w:pPr>
            <w:r>
              <w:rPr>
                <w:b/>
                <w:bCs/>
                <w:lang w:val="en-US" w:eastAsia="en-US"/>
              </w:rPr>
              <w:t>Ontario</w:t>
            </w:r>
          </w:p>
        </w:tc>
        <w:tc>
          <w:tcPr>
            <w:tcW w:w="1966" w:type="dxa"/>
            <w:noWrap/>
          </w:tcPr>
          <w:p>
            <w:pPr>
              <w:jc w:val="center"/>
              <w:rPr>
                <w:lang w:val="en-US" w:eastAsia="en-US"/>
              </w:rPr>
            </w:pPr>
            <w:r>
              <w:rPr>
                <w:lang w:val="en-US" w:eastAsia="en-US"/>
              </w:rPr>
              <w:t>2161</w:t>
            </w:r>
          </w:p>
        </w:tc>
      </w:tr>
      <w:tr>
        <w:trPr>
          <w:trHeight w:val="300" w:hRule="atLeast"/>
          <w:jc w:val="center"/>
        </w:trPr>
        <w:tc>
          <w:tcPr>
            <w:tcW w:w="2712" w:type="dxa"/>
            <w:shd w:val="clear" w:color="auto" w:fill="DEEAF6" w:themeFill="accent1" w:themeFillTint="33"/>
            <w:noWrap/>
          </w:tcPr>
          <w:p>
            <w:pPr>
              <w:jc w:val="center"/>
              <w:rPr>
                <w:b/>
                <w:bCs/>
                <w:lang w:val="en-US" w:eastAsia="en-US"/>
              </w:rPr>
            </w:pPr>
            <w:r>
              <w:rPr>
                <w:b/>
                <w:bCs/>
                <w:lang w:val="en-US" w:eastAsia="en-US"/>
              </w:rPr>
              <w:t>Prairie</w:t>
            </w:r>
          </w:p>
        </w:tc>
        <w:tc>
          <w:tcPr>
            <w:tcW w:w="1966" w:type="dxa"/>
            <w:shd w:val="clear" w:color="auto" w:fill="DEEAF6" w:themeFill="accent1" w:themeFillTint="33"/>
            <w:noWrap/>
          </w:tcPr>
          <w:p>
            <w:pPr>
              <w:jc w:val="center"/>
              <w:rPr>
                <w:lang w:val="en-US" w:eastAsia="en-US"/>
              </w:rPr>
            </w:pPr>
            <w:r>
              <w:rPr>
                <w:lang w:val="en-US" w:eastAsia="en-US"/>
              </w:rPr>
              <w:t>1706</w:t>
            </w:r>
          </w:p>
        </w:tc>
      </w:tr>
      <w:tr>
        <w:trPr>
          <w:trHeight w:val="300" w:hRule="atLeast"/>
          <w:jc w:val="center"/>
        </w:trPr>
        <w:tc>
          <w:tcPr>
            <w:tcW w:w="2712" w:type="dxa"/>
            <w:noWrap/>
          </w:tcPr>
          <w:p>
            <w:pPr>
              <w:jc w:val="center"/>
              <w:rPr>
                <w:b/>
                <w:bCs/>
                <w:lang w:val="en-US" w:eastAsia="en-US"/>
              </w:rPr>
            </w:pPr>
            <w:r>
              <w:rPr>
                <w:b/>
                <w:bCs/>
                <w:lang w:val="en-US" w:eastAsia="en-US"/>
              </w:rPr>
              <w:t>Quebec</w:t>
            </w:r>
          </w:p>
        </w:tc>
        <w:tc>
          <w:tcPr>
            <w:tcW w:w="1966" w:type="dxa"/>
            <w:noWrap/>
          </w:tcPr>
          <w:p>
            <w:pPr>
              <w:jc w:val="center"/>
              <w:rPr>
                <w:lang w:val="en-US" w:eastAsia="en-US"/>
              </w:rPr>
            </w:pPr>
            <w:r>
              <w:rPr>
                <w:lang w:val="en-US" w:eastAsia="en-US"/>
              </w:rPr>
              <w:t>781</w:t>
            </w:r>
          </w:p>
        </w:tc>
      </w:tr>
      <w:tr>
        <w:trPr>
          <w:trHeight w:val="300" w:hRule="atLeast"/>
          <w:jc w:val="center"/>
        </w:trPr>
        <w:tc>
          <w:tcPr>
            <w:tcW w:w="2712" w:type="dxa"/>
            <w:shd w:val="clear" w:color="auto" w:fill="DEEAF6" w:themeFill="accent1" w:themeFillTint="33"/>
            <w:noWrap/>
          </w:tcPr>
          <w:p>
            <w:pPr>
              <w:jc w:val="center"/>
              <w:rPr>
                <w:b/>
                <w:bCs/>
                <w:lang w:val="en-US" w:eastAsia="en-US"/>
              </w:rPr>
            </w:pPr>
            <w:r>
              <w:rPr>
                <w:b/>
                <w:bCs/>
                <w:lang w:val="en-US" w:eastAsia="en-US"/>
              </w:rPr>
              <w:t>West</w:t>
            </w:r>
          </w:p>
        </w:tc>
        <w:tc>
          <w:tcPr>
            <w:tcW w:w="1966" w:type="dxa"/>
            <w:shd w:val="clear" w:color="auto" w:fill="DEEAF6" w:themeFill="accent1" w:themeFillTint="33"/>
            <w:noWrap/>
          </w:tcPr>
          <w:p>
            <w:pPr>
              <w:jc w:val="center"/>
              <w:rPr>
                <w:lang w:val="en-US" w:eastAsia="en-US"/>
              </w:rPr>
            </w:pPr>
            <w:r>
              <w:rPr>
                <w:lang w:val="en-US" w:eastAsia="en-US"/>
              </w:rPr>
              <w:t>1991</w:t>
            </w:r>
          </w:p>
        </w:tc>
      </w:tr>
      <w:tr>
        <w:trPr>
          <w:trHeight w:val="300" w:hRule="atLeast"/>
          <w:jc w:val="center"/>
        </w:trPr>
        <w:tc>
          <w:tcPr>
            <w:tcW w:w="2712" w:type="dxa"/>
            <w:noWrap/>
          </w:tcPr>
          <w:p>
            <w:pPr>
              <w:jc w:val="center"/>
              <w:rPr>
                <w:b/>
                <w:bCs/>
                <w:lang w:val="en-US" w:eastAsia="en-US"/>
              </w:rPr>
            </w:pPr>
            <w:r>
              <w:rPr>
                <w:b/>
                <w:bCs/>
                <w:lang w:val="en-US" w:eastAsia="en-US"/>
              </w:rPr>
              <w:t>Yukon</w:t>
            </w:r>
          </w:p>
        </w:tc>
        <w:tc>
          <w:tcPr>
            <w:tcW w:w="1966" w:type="dxa"/>
            <w:noWrap/>
          </w:tcPr>
          <w:p>
            <w:pPr>
              <w:jc w:val="center"/>
              <w:rPr>
                <w:lang w:val="en-US" w:eastAsia="en-US"/>
              </w:rPr>
            </w:pPr>
            <w:r>
              <w:rPr>
                <w:lang w:val="en-US" w:eastAsia="en-US"/>
              </w:rPr>
              <w:t>542</w:t>
            </w:r>
          </w:p>
        </w:tc>
      </w:tr>
    </w:tbl>
    <w:p>
      <w:r>
        <w:rPr>
          <w:lang w:val="en-US" w:eastAsia="en-US"/>
        </w:rPr>
        <w:drawing>
          <wp:anchor distT="0" distB="0" distL="114300" distR="114300" simplePos="0" relativeHeight="251660288" behindDoc="0" locked="0" layoutInCell="1" allowOverlap="1">
            <wp:simplePos x="0" y="0"/>
            <wp:positionH relativeFrom="column">
              <wp:posOffset>1235075</wp:posOffset>
            </wp:positionH>
            <wp:positionV relativeFrom="page">
              <wp:posOffset>5942330</wp:posOffset>
            </wp:positionV>
            <wp:extent cx="3681095" cy="2858135"/>
            <wp:effectExtent l="0" t="0" r="14605" b="1841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p/>
    <w:p/>
    <w:p/>
    <w:p/>
    <w:p/>
    <w:p/>
    <w:p/>
    <w:p>
      <w:pPr>
        <w:suppressAutoHyphens w:val="0"/>
        <w:spacing w:line="240" w:lineRule="auto"/>
        <w:rPr>
          <w:rFonts w:eastAsia="Times New Roman"/>
          <w:i/>
          <w:lang w:val="en-US" w:eastAsia="en-US"/>
        </w:rPr>
      </w:pPr>
    </w:p>
    <w:p>
      <w:pPr>
        <w:suppressAutoHyphens w:val="0"/>
        <w:spacing w:line="240" w:lineRule="auto"/>
        <w:jc w:val="center"/>
        <w:rPr>
          <w:rFonts w:eastAsia="Times New Roman"/>
          <w:i/>
          <w:lang w:val="en-US" w:eastAsia="en-US"/>
        </w:rPr>
      </w:pPr>
    </w:p>
    <w:p>
      <w:pPr>
        <w:suppressAutoHyphens w:val="0"/>
        <w:spacing w:line="240" w:lineRule="auto"/>
        <w:jc w:val="center"/>
        <w:rPr>
          <w:rFonts w:eastAsia="Times New Roman"/>
          <w:i/>
          <w:lang w:val="en-US" w:eastAsia="en-US"/>
        </w:rPr>
      </w:pPr>
    </w:p>
    <w:p>
      <w:pPr>
        <w:suppressAutoHyphens w:val="0"/>
        <w:spacing w:line="240" w:lineRule="auto"/>
        <w:rPr>
          <w:rFonts w:eastAsia="Times New Roman"/>
          <w:i/>
          <w:lang w:val="en-US" w:eastAsia="en-US"/>
        </w:rPr>
      </w:pPr>
    </w:p>
    <w:p>
      <w:pPr>
        <w:suppressAutoHyphens w:val="0"/>
        <w:spacing w:line="240" w:lineRule="auto"/>
        <w:jc w:val="center"/>
        <w:rPr>
          <w:rFonts w:eastAsia="Times New Roman"/>
          <w:i/>
          <w:lang w:val="en-US" w:eastAsia="en-US"/>
        </w:rPr>
      </w:pPr>
      <w:r>
        <w:rPr>
          <w:rFonts w:eastAsia="Times New Roman"/>
          <w:i/>
          <w:lang w:val="en-US" w:eastAsia="en-US"/>
        </w:rPr>
        <w:t>Pie chart for total number of orders from different regions</w:t>
      </w:r>
    </w:p>
    <w:p>
      <w:r>
        <w:rPr>
          <w:lang w:val="en-US" w:eastAsia="en-US"/>
        </w:rPr>
        <w:drawing>
          <wp:anchor distT="0" distB="0" distL="114300" distR="114300" simplePos="0" relativeHeight="251659264" behindDoc="0" locked="0" layoutInCell="1" allowOverlap="1">
            <wp:simplePos x="0" y="0"/>
            <wp:positionH relativeFrom="margin">
              <wp:align>center</wp:align>
            </wp:positionH>
            <wp:positionV relativeFrom="margin">
              <wp:posOffset>-542925</wp:posOffset>
            </wp:positionV>
            <wp:extent cx="3836035" cy="2633345"/>
            <wp:effectExtent l="0" t="0" r="12065" b="1460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pPr>
        <w:suppressAutoHyphens w:val="0"/>
        <w:spacing w:line="240" w:lineRule="auto"/>
        <w:jc w:val="center"/>
        <w:rPr>
          <w:rFonts w:eastAsia="Times New Roman"/>
          <w:i/>
          <w:lang w:val="en-US" w:eastAsia="en-US"/>
        </w:rPr>
      </w:pPr>
    </w:p>
    <w:p>
      <w:pPr>
        <w:suppressAutoHyphens w:val="0"/>
        <w:spacing w:line="240" w:lineRule="auto"/>
        <w:jc w:val="center"/>
        <w:rPr>
          <w:rFonts w:eastAsia="Times New Roman"/>
          <w:i/>
          <w:lang w:val="en-US" w:eastAsia="en-US"/>
        </w:rPr>
      </w:pPr>
    </w:p>
    <w:p>
      <w:pPr>
        <w:suppressAutoHyphens w:val="0"/>
        <w:spacing w:line="240" w:lineRule="auto"/>
        <w:jc w:val="center"/>
        <w:rPr>
          <w:rFonts w:eastAsia="Times New Roman"/>
          <w:i/>
          <w:lang w:val="en-US" w:eastAsia="en-US"/>
        </w:rPr>
      </w:pPr>
    </w:p>
    <w:p/>
    <w:p/>
    <w:p/>
    <w:p/>
    <w:p/>
    <w:p>
      <w:pPr>
        <w:suppressAutoHyphens w:val="0"/>
        <w:spacing w:line="240" w:lineRule="auto"/>
        <w:rPr>
          <w:rFonts w:eastAsia="Times New Roman"/>
          <w:i/>
          <w:lang w:val="en-US" w:eastAsia="en-US"/>
        </w:rPr>
      </w:pPr>
    </w:p>
    <w:p>
      <w:pPr>
        <w:suppressAutoHyphens w:val="0"/>
        <w:spacing w:line="240" w:lineRule="auto"/>
        <w:jc w:val="center"/>
        <w:rPr>
          <w:rFonts w:eastAsia="Times New Roman"/>
          <w:i/>
          <w:lang w:val="en-US" w:eastAsia="en-US"/>
        </w:rPr>
      </w:pPr>
      <w:r>
        <w:rPr>
          <w:rFonts w:eastAsia="Times New Roman"/>
          <w:i/>
          <w:lang w:val="en-US" w:eastAsia="en-US"/>
        </w:rPr>
        <w:t>Line Chart for the pivot table data</w:t>
      </w:r>
      <w:bookmarkStart w:id="7" w:name="_Toc124419740"/>
    </w:p>
    <w:p>
      <w:pPr>
        <w:pStyle w:val="2"/>
      </w:pPr>
      <w:r>
        <w:t>PART 2</w:t>
      </w:r>
      <w:bookmarkEnd w:id="7"/>
    </w:p>
    <w:p>
      <w:pPr>
        <w:pStyle w:val="3"/>
        <w:widowControl w:val="0"/>
      </w:pPr>
      <w:bookmarkStart w:id="8" w:name="_Toc122102761"/>
      <w:bookmarkStart w:id="9" w:name="_Toc124419741"/>
      <w:r>
        <w:t>2.1 How many students like vanilla flavour of ice-cream?</w:t>
      </w:r>
      <w:bookmarkEnd w:id="8"/>
      <w:bookmarkEnd w:id="9"/>
    </w:p>
    <w:p>
      <w:pPr>
        <w:ind w:firstLine="576"/>
      </w:pPr>
      <w:r>
        <w:t>In order to determine the total sum of students who like vanilla flavour ice-cream, COUNTIF function in excel is carried out and after it has been observed that 95 students like Vanilla Flavour ice-cream. The tabular representation of the same is also given below (</w:t>
      </w:r>
      <w:r>
        <w:rPr>
          <w:color w:val="auto"/>
          <w:szCs w:val="24"/>
          <w:shd w:val="clear" w:color="auto" w:fill="FFFFFF"/>
        </w:rPr>
        <w:t>JELEN, 2022).</w:t>
      </w:r>
    </w:p>
    <w:p>
      <w:pPr>
        <w:pStyle w:val="6"/>
        <w:ind w:firstLine="576"/>
      </w:pPr>
    </w:p>
    <w:tbl>
      <w:tblPr>
        <w:tblStyle w:val="69"/>
        <w:tblW w:w="3380" w:type="dxa"/>
        <w:jc w:val="center"/>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Layout w:type="autofit"/>
        <w:tblCellMar>
          <w:top w:w="0" w:type="dxa"/>
          <w:left w:w="108" w:type="dxa"/>
          <w:bottom w:w="0" w:type="dxa"/>
          <w:right w:w="108" w:type="dxa"/>
        </w:tblCellMar>
      </w:tblPr>
      <w:tblGrid>
        <w:gridCol w:w="1240"/>
        <w:gridCol w:w="2140"/>
      </w:tblGrid>
      <w:tr>
        <w:tblPrEx>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Ex>
        <w:trPr>
          <w:trHeight w:val="300" w:hRule="atLeast"/>
          <w:jc w:val="center"/>
        </w:trPr>
        <w:tc>
          <w:tcPr>
            <w:tcW w:w="1240" w:type="dxa"/>
            <w:tcBorders>
              <w:top w:val="single" w:color="4472C4" w:themeColor="accent5" w:sz="4" w:space="0"/>
              <w:left w:val="single" w:color="4472C4" w:themeColor="accent5" w:sz="4" w:space="0"/>
              <w:bottom w:val="single" w:color="4472C4" w:themeColor="accent5" w:sz="4" w:space="0"/>
              <w:right w:val="nil"/>
              <w:insideH w:val="single" w:sz="4" w:space="0"/>
              <w:insideV w:val="nil"/>
            </w:tcBorders>
            <w:shd w:val="clear" w:color="auto" w:fill="4472C4" w:themeFill="accent5"/>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COUNT</w:t>
            </w:r>
          </w:p>
        </w:tc>
        <w:tc>
          <w:tcPr>
            <w:tcW w:w="2140" w:type="dxa"/>
            <w:tcBorders>
              <w:top w:val="single" w:color="4472C4" w:themeColor="accent5" w:sz="4" w:space="0"/>
              <w:bottom w:val="single" w:color="4472C4" w:themeColor="accent5" w:sz="4" w:space="0"/>
              <w:right w:val="single" w:color="4472C4" w:themeColor="accent5" w:sz="4" w:space="0"/>
              <w:insideH w:val="single" w:sz="4" w:space="0"/>
              <w:insideV w:val="nil"/>
            </w:tcBorders>
            <w:shd w:val="clear" w:color="auto" w:fill="4472C4" w:themeFill="accent5"/>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FAV. FLAVOR</w:t>
            </w:r>
          </w:p>
        </w:tc>
      </w:tr>
      <w:tr>
        <w:tblPrEx>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Ex>
        <w:trPr>
          <w:trHeight w:val="300" w:hRule="atLeast"/>
          <w:jc w:val="center"/>
        </w:trPr>
        <w:tc>
          <w:tcPr>
            <w:tcW w:w="1240" w:type="dxa"/>
            <w:shd w:val="clear" w:color="auto" w:fill="D9E2F3" w:themeFill="accent5" w:themeFillTint="33"/>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95</w:t>
            </w:r>
          </w:p>
        </w:tc>
        <w:tc>
          <w:tcPr>
            <w:tcW w:w="2140" w:type="dxa"/>
            <w:shd w:val="clear" w:color="auto" w:fill="D9E2F3" w:themeFill="accent5" w:themeFillTint="33"/>
            <w:noWrap/>
          </w:tcPr>
          <w:p>
            <w:pPr>
              <w:suppressAutoHyphens w:val="0"/>
              <w:spacing w:line="240" w:lineRule="auto"/>
              <w:jc w:val="center"/>
              <w:rPr>
                <w:rFonts w:eastAsia="Times New Roman"/>
                <w:sz w:val="22"/>
                <w:lang w:val="en-US" w:eastAsia="en-US"/>
              </w:rPr>
            </w:pPr>
            <w:r>
              <w:rPr>
                <w:rFonts w:eastAsia="Times New Roman"/>
                <w:sz w:val="22"/>
                <w:lang w:val="en-US" w:eastAsia="en-US"/>
              </w:rPr>
              <w:t>Vanilla</w:t>
            </w:r>
          </w:p>
        </w:tc>
      </w:tr>
      <w:tr>
        <w:tblPrEx>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Ex>
        <w:trPr>
          <w:trHeight w:val="300" w:hRule="atLeast"/>
          <w:jc w:val="center"/>
        </w:trPr>
        <w:tc>
          <w:tcPr>
            <w:tcW w:w="1240" w:type="dxa"/>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47</w:t>
            </w:r>
          </w:p>
        </w:tc>
        <w:tc>
          <w:tcPr>
            <w:tcW w:w="2140" w:type="dxa"/>
            <w:noWrap/>
          </w:tcPr>
          <w:p>
            <w:pPr>
              <w:suppressAutoHyphens w:val="0"/>
              <w:spacing w:line="240" w:lineRule="auto"/>
              <w:jc w:val="center"/>
              <w:rPr>
                <w:rFonts w:eastAsia="Times New Roman"/>
                <w:sz w:val="22"/>
                <w:lang w:val="en-US" w:eastAsia="en-US"/>
              </w:rPr>
            </w:pPr>
            <w:r>
              <w:rPr>
                <w:rFonts w:eastAsia="Times New Roman"/>
                <w:sz w:val="22"/>
                <w:lang w:val="en-US" w:eastAsia="en-US"/>
              </w:rPr>
              <w:t>Chocolate</w:t>
            </w:r>
          </w:p>
        </w:tc>
      </w:tr>
      <w:tr>
        <w:tblPrEx>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Ex>
        <w:trPr>
          <w:trHeight w:val="300" w:hRule="atLeast"/>
          <w:jc w:val="center"/>
        </w:trPr>
        <w:tc>
          <w:tcPr>
            <w:tcW w:w="1240" w:type="dxa"/>
            <w:shd w:val="clear" w:color="auto" w:fill="D9E2F3" w:themeFill="accent5" w:themeFillTint="33"/>
            <w:noWrap/>
          </w:tcPr>
          <w:p>
            <w:pPr>
              <w:suppressAutoHyphens w:val="0"/>
              <w:spacing w:line="240" w:lineRule="auto"/>
              <w:jc w:val="center"/>
              <w:rPr>
                <w:rFonts w:eastAsia="Times New Roman"/>
                <w:b/>
                <w:bCs/>
                <w:sz w:val="22"/>
                <w:lang w:val="en-US" w:eastAsia="en-US"/>
              </w:rPr>
            </w:pPr>
            <w:r>
              <w:rPr>
                <w:rFonts w:eastAsia="Times New Roman"/>
                <w:b/>
                <w:bCs/>
                <w:sz w:val="22"/>
                <w:lang w:val="en-US" w:eastAsia="en-US"/>
              </w:rPr>
              <w:t>58</w:t>
            </w:r>
          </w:p>
        </w:tc>
        <w:tc>
          <w:tcPr>
            <w:tcW w:w="2140" w:type="dxa"/>
            <w:shd w:val="clear" w:color="auto" w:fill="D9E2F3" w:themeFill="accent5" w:themeFillTint="33"/>
            <w:noWrap/>
          </w:tcPr>
          <w:p>
            <w:pPr>
              <w:suppressAutoHyphens w:val="0"/>
              <w:spacing w:line="240" w:lineRule="auto"/>
              <w:jc w:val="center"/>
              <w:rPr>
                <w:rFonts w:eastAsia="Times New Roman"/>
                <w:sz w:val="22"/>
                <w:lang w:val="en-US" w:eastAsia="en-US"/>
              </w:rPr>
            </w:pPr>
            <w:r>
              <w:rPr>
                <w:rFonts w:eastAsia="Times New Roman"/>
                <w:sz w:val="22"/>
                <w:lang w:val="en-US" w:eastAsia="en-US"/>
              </w:rPr>
              <w:t>Strawberry</w:t>
            </w:r>
          </w:p>
        </w:tc>
      </w:tr>
    </w:tbl>
    <w:p/>
    <w:p>
      <w:pPr>
        <w:pStyle w:val="3"/>
        <w:widowControl w:val="0"/>
      </w:pPr>
      <w:bookmarkStart w:id="10" w:name="_Toc124419742"/>
      <w:r>
        <w:t>2.2: How many students are Male and Female?</w:t>
      </w:r>
      <w:bookmarkEnd w:id="10"/>
    </w:p>
    <w:p>
      <w:pPr>
        <w:pStyle w:val="6"/>
        <w:ind w:firstLine="576"/>
      </w:pPr>
      <w:r>
        <w:t xml:space="preserve">Again, in order to figure out the bifurcation of Male and Female from the total sum of students, COUNTIF Function at Excel has been performed and it came to be as: 91 Male and 109 Female out of total 200 students. The table below gives a quick snap of the same. </w:t>
      </w:r>
    </w:p>
    <w:p>
      <w:pPr>
        <w:pStyle w:val="6"/>
        <w:ind w:firstLine="576"/>
      </w:pPr>
    </w:p>
    <w:tbl>
      <w:tblPr>
        <w:tblStyle w:val="16"/>
        <w:tblW w:w="338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40"/>
        <w:gridCol w:w="2140"/>
      </w:tblGrid>
      <w:tr>
        <w:trPr>
          <w:trHeight w:val="300" w:hRule="atLeast"/>
          <w:jc w:val="center"/>
        </w:trPr>
        <w:tc>
          <w:tcPr>
            <w:tcW w:w="1240" w:type="dxa"/>
            <w:shd w:val="clear" w:color="auto" w:fill="F4B083" w:themeFill="accent2" w:themeFillTint="99"/>
            <w:noWrap/>
          </w:tcPr>
          <w:p>
            <w:pPr>
              <w:suppressAutoHyphens w:val="0"/>
              <w:spacing w:line="240" w:lineRule="auto"/>
              <w:jc w:val="center"/>
              <w:rPr>
                <w:rFonts w:ascii="Calibri" w:hAnsi="Calibri" w:eastAsia="Times New Roman" w:cs="Calibri"/>
                <w:sz w:val="22"/>
                <w:lang w:val="en-US" w:eastAsia="en-US"/>
              </w:rPr>
            </w:pPr>
            <w:r>
              <w:rPr>
                <w:rFonts w:ascii="Calibri" w:hAnsi="Calibri" w:eastAsia="Times New Roman" w:cs="Calibri"/>
                <w:sz w:val="22"/>
                <w:lang w:val="en-US" w:eastAsia="en-US"/>
              </w:rPr>
              <w:t>91</w:t>
            </w:r>
          </w:p>
        </w:tc>
        <w:tc>
          <w:tcPr>
            <w:tcW w:w="2140" w:type="dxa"/>
            <w:shd w:val="clear" w:color="auto" w:fill="F4B083" w:themeFill="accent2" w:themeFillTint="99"/>
            <w:noWrap/>
          </w:tcPr>
          <w:p>
            <w:pPr>
              <w:suppressAutoHyphens w:val="0"/>
              <w:spacing w:line="240" w:lineRule="auto"/>
              <w:jc w:val="center"/>
              <w:rPr>
                <w:rFonts w:ascii="Calibri" w:hAnsi="Calibri" w:eastAsia="Times New Roman" w:cs="Calibri"/>
                <w:sz w:val="22"/>
                <w:lang w:val="en-US" w:eastAsia="en-US"/>
              </w:rPr>
            </w:pPr>
            <w:r>
              <w:rPr>
                <w:rFonts w:ascii="Calibri" w:hAnsi="Calibri" w:eastAsia="Times New Roman" w:cs="Calibri"/>
                <w:sz w:val="22"/>
                <w:lang w:val="en-US" w:eastAsia="en-US"/>
              </w:rPr>
              <w:t>Male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5" w:hRule="atLeast"/>
          <w:jc w:val="center"/>
        </w:trPr>
        <w:tc>
          <w:tcPr>
            <w:tcW w:w="1240" w:type="dxa"/>
            <w:shd w:val="clear" w:color="auto" w:fill="FFE599" w:themeFill="accent4" w:themeFillTint="66"/>
            <w:noWrap/>
          </w:tcPr>
          <w:p>
            <w:pPr>
              <w:suppressAutoHyphens w:val="0"/>
              <w:spacing w:line="240" w:lineRule="auto"/>
              <w:jc w:val="center"/>
              <w:rPr>
                <w:rFonts w:ascii="Calibri" w:hAnsi="Calibri" w:eastAsia="Times New Roman" w:cs="Calibri"/>
                <w:sz w:val="22"/>
                <w:lang w:val="en-US" w:eastAsia="en-US"/>
              </w:rPr>
            </w:pPr>
            <w:r>
              <w:rPr>
                <w:rFonts w:ascii="Calibri" w:hAnsi="Calibri" w:eastAsia="Times New Roman" w:cs="Calibri"/>
                <w:sz w:val="22"/>
                <w:lang w:val="en-US" w:eastAsia="en-US"/>
              </w:rPr>
              <w:t>109</w:t>
            </w:r>
          </w:p>
        </w:tc>
        <w:tc>
          <w:tcPr>
            <w:tcW w:w="2140" w:type="dxa"/>
            <w:shd w:val="clear" w:color="auto" w:fill="FFE599" w:themeFill="accent4" w:themeFillTint="66"/>
            <w:noWrap/>
          </w:tcPr>
          <w:p>
            <w:pPr>
              <w:suppressAutoHyphens w:val="0"/>
              <w:spacing w:line="240" w:lineRule="auto"/>
              <w:jc w:val="center"/>
              <w:rPr>
                <w:rFonts w:ascii="Calibri" w:hAnsi="Calibri" w:eastAsia="Times New Roman" w:cs="Calibri"/>
                <w:sz w:val="22"/>
                <w:lang w:val="en-US" w:eastAsia="en-US"/>
              </w:rPr>
            </w:pPr>
            <w:r>
              <w:rPr>
                <w:rFonts w:ascii="Calibri" w:hAnsi="Calibri" w:eastAsia="Times New Roman" w:cs="Calibri"/>
                <w:sz w:val="22"/>
                <w:lang w:val="en-US" w:eastAsia="en-US"/>
              </w:rPr>
              <w:t>Female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5" w:hRule="atLeast"/>
          <w:jc w:val="center"/>
        </w:trPr>
        <w:tc>
          <w:tcPr>
            <w:tcW w:w="1240" w:type="dxa"/>
            <w:shd w:val="clear" w:color="auto" w:fill="FFFFFF" w:themeFill="background1"/>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200</w:t>
            </w:r>
          </w:p>
        </w:tc>
        <w:tc>
          <w:tcPr>
            <w:tcW w:w="2140" w:type="dxa"/>
            <w:shd w:val="clear" w:color="auto" w:fill="FFFFFF" w:themeFill="background1"/>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total</w:t>
            </w:r>
          </w:p>
        </w:tc>
      </w:tr>
    </w:tbl>
    <w:p/>
    <w:p>
      <w:pPr>
        <w:pStyle w:val="3"/>
        <w:widowControl w:val="0"/>
      </w:pPr>
      <w:bookmarkStart w:id="11" w:name="_Toc124419743"/>
      <w:r>
        <w:t>2.3: What are the Mean and Median of participants who likes chocolate and strawberry flavour ice-cream?</w:t>
      </w:r>
      <w:bookmarkEnd w:id="11"/>
      <w:r>
        <w:t xml:space="preserve"> </w:t>
      </w:r>
    </w:p>
    <w:p>
      <w:pPr>
        <w:ind w:firstLine="576"/>
      </w:pPr>
      <w:r>
        <w:t xml:space="preserve">The functions of AVERAGE in Excel has been taken into consideration for the purpose of calculation MEAN of participants who like chocolate and strawberry. Similarly, MEDIAN function has been performed to find out the MEDIAN of students who likes chocolate and strawberry respectively </w:t>
      </w:r>
      <w:r>
        <w:rPr>
          <w:color w:val="auto"/>
          <w:szCs w:val="24"/>
          <w:shd w:val="clear" w:color="auto" w:fill="FFFFFF"/>
        </w:rPr>
        <w:t>(Kim, and et.al., 2019).</w:t>
      </w:r>
      <w:r>
        <w:t xml:space="preserve"> </w:t>
      </w:r>
    </w:p>
    <w:p>
      <w:pPr>
        <w:pStyle w:val="6"/>
        <w:ind w:left="576"/>
      </w:pPr>
    </w:p>
    <w:tbl>
      <w:tblPr>
        <w:tblStyle w:val="79"/>
        <w:tblW w:w="3686" w:type="dxa"/>
        <w:jc w:val="cente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Layout w:type="autofit"/>
        <w:tblCellMar>
          <w:top w:w="0" w:type="dxa"/>
          <w:left w:w="108" w:type="dxa"/>
          <w:bottom w:w="0" w:type="dxa"/>
          <w:right w:w="108" w:type="dxa"/>
        </w:tblCellMar>
      </w:tblPr>
      <w:tblGrid>
        <w:gridCol w:w="1240"/>
        <w:gridCol w:w="2446"/>
      </w:tblGrid>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300" w:hRule="atLeast"/>
          <w:jc w:val="center"/>
        </w:trPr>
        <w:tc>
          <w:tcPr>
            <w:tcW w:w="1240" w:type="dxa"/>
            <w:tcBorders>
              <w:bottom w:val="single" w:color="F4B083" w:themeColor="accent2" w:themeTint="99" w:sz="12" w:space="0"/>
              <w:insideH w:val="single" w:sz="12" w:space="0"/>
            </w:tcBorders>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52.5</w:t>
            </w:r>
          </w:p>
        </w:tc>
        <w:tc>
          <w:tcPr>
            <w:tcW w:w="2446" w:type="dxa"/>
            <w:tcBorders>
              <w:bottom w:val="single" w:color="F4B083" w:themeColor="accent2" w:themeTint="99" w:sz="12" w:space="0"/>
              <w:insideH w:val="single" w:sz="12" w:space="0"/>
            </w:tcBorders>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Mean</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300" w:hRule="atLeast"/>
          <w:jc w:val="center"/>
        </w:trPr>
        <w:tc>
          <w:tcPr>
            <w:tcW w:w="1240" w:type="dxa"/>
            <w:shd w:val="clear" w:color="auto" w:fill="FBE4D5" w:themeFill="accent2" w:themeFillTint="33"/>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63</w:t>
            </w:r>
          </w:p>
        </w:tc>
        <w:tc>
          <w:tcPr>
            <w:tcW w:w="2446" w:type="dxa"/>
            <w:shd w:val="clear" w:color="auto" w:fill="FBE4D5" w:themeFill="accent2" w:themeFillTint="33"/>
            <w:noWrap/>
          </w:tcPr>
          <w:p>
            <w:pPr>
              <w:suppressAutoHyphens w:val="0"/>
              <w:spacing w:line="240" w:lineRule="auto"/>
              <w:jc w:val="center"/>
              <w:rPr>
                <w:rFonts w:ascii="Calibri" w:hAnsi="Calibri" w:eastAsia="Times New Roman" w:cs="Calibri"/>
                <w:sz w:val="22"/>
                <w:lang w:val="en-US" w:eastAsia="en-US"/>
              </w:rPr>
            </w:pPr>
            <w:r>
              <w:rPr>
                <w:rFonts w:ascii="Calibri" w:hAnsi="Calibri" w:eastAsia="Times New Roman" w:cs="Calibri"/>
                <w:sz w:val="22"/>
                <w:lang w:val="en-US" w:eastAsia="en-US"/>
              </w:rPr>
              <w:t>Median of Chocolate</w:t>
            </w:r>
          </w:p>
        </w:tc>
      </w:tr>
      <w:tr>
        <w:tblPrEx>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Ex>
        <w:trPr>
          <w:trHeight w:val="300" w:hRule="atLeast"/>
          <w:jc w:val="center"/>
        </w:trPr>
        <w:tc>
          <w:tcPr>
            <w:tcW w:w="1240" w:type="dxa"/>
            <w:noWrap/>
          </w:tcPr>
          <w:p>
            <w:pPr>
              <w:suppressAutoHyphens w:val="0"/>
              <w:spacing w:line="240" w:lineRule="auto"/>
              <w:jc w:val="center"/>
              <w:rPr>
                <w:rFonts w:ascii="Calibri" w:hAnsi="Calibri" w:eastAsia="Times New Roman" w:cs="Calibri"/>
                <w:b/>
                <w:bCs/>
                <w:sz w:val="22"/>
                <w:lang w:val="en-US" w:eastAsia="en-US"/>
              </w:rPr>
            </w:pPr>
            <w:r>
              <w:rPr>
                <w:rFonts w:ascii="Calibri" w:hAnsi="Calibri" w:eastAsia="Times New Roman" w:cs="Calibri"/>
                <w:b/>
                <w:bCs/>
                <w:sz w:val="22"/>
                <w:lang w:val="en-US" w:eastAsia="en-US"/>
              </w:rPr>
              <w:t>101.5</w:t>
            </w:r>
          </w:p>
        </w:tc>
        <w:tc>
          <w:tcPr>
            <w:tcW w:w="2446" w:type="dxa"/>
            <w:noWrap/>
          </w:tcPr>
          <w:p>
            <w:pPr>
              <w:suppressAutoHyphens w:val="0"/>
              <w:spacing w:line="240" w:lineRule="auto"/>
              <w:jc w:val="center"/>
              <w:rPr>
                <w:rFonts w:ascii="Calibri" w:hAnsi="Calibri" w:eastAsia="Times New Roman" w:cs="Calibri"/>
                <w:sz w:val="22"/>
                <w:lang w:val="en-US" w:eastAsia="en-US"/>
              </w:rPr>
            </w:pPr>
            <w:r>
              <w:rPr>
                <w:rFonts w:ascii="Calibri" w:hAnsi="Calibri" w:eastAsia="Times New Roman" w:cs="Calibri"/>
                <w:sz w:val="22"/>
                <w:lang w:val="en-US" w:eastAsia="en-US"/>
              </w:rPr>
              <w:t>Median of Strawberry</w:t>
            </w:r>
          </w:p>
        </w:tc>
      </w:tr>
    </w:tbl>
    <w:p/>
    <w:p>
      <w:pPr>
        <w:pStyle w:val="4"/>
        <w:numPr>
          <w:ilvl w:val="4"/>
          <w:numId w:val="1"/>
        </w:numPr>
        <w:rPr>
          <w:rFonts w:ascii="Times New Roman" w:hAnsi="Times New Roman" w:cs="Times New Roman"/>
          <w:b w:val="0"/>
          <w:i/>
          <w:sz w:val="24"/>
          <w:u w:val="single"/>
        </w:rPr>
      </w:pPr>
      <w:bookmarkStart w:id="12" w:name="_Toc124419744"/>
      <w:r>
        <w:rPr>
          <w:rFonts w:ascii="Times New Roman" w:hAnsi="Times New Roman" w:cs="Times New Roman"/>
          <w:b w:val="0"/>
          <w:i/>
          <w:sz w:val="24"/>
          <w:u w:val="single"/>
        </w:rPr>
        <w:t>Show your findings through Pie, Bar or Histogram</w:t>
      </w:r>
      <w:bookmarkEnd w:id="12"/>
    </w:p>
    <w:p>
      <w:pPr>
        <w:pStyle w:val="6"/>
        <w:ind w:firstLine="720"/>
      </w:pPr>
      <w:r>
        <w:t xml:space="preserve">As directed, given below is the data visualisation or graphical representation of the findings in the form of Bar Graph and Pie Chart. </w:t>
      </w:r>
    </w:p>
    <w:p>
      <w:pPr>
        <w:pStyle w:val="6"/>
        <w:ind w:firstLine="720"/>
      </w:pPr>
    </w:p>
    <w:p>
      <w:pPr>
        <w:pStyle w:val="6"/>
        <w:jc w:val="center"/>
      </w:pPr>
      <w:r>
        <w:rPr>
          <w:lang w:val="en-US" w:eastAsia="en-US"/>
        </w:rPr>
        <w:drawing>
          <wp:inline distT="0" distB="0" distL="0" distR="0">
            <wp:extent cx="4138295"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Style w:val="6"/>
        <w:jc w:val="center"/>
        <w:rPr>
          <w:i/>
        </w:rPr>
      </w:pPr>
      <w:r>
        <w:rPr>
          <w:i/>
        </w:rPr>
        <w:t>Fig 1: Bar Graph showing number of males and females in the given data</w:t>
      </w:r>
    </w:p>
    <w:p>
      <w:pPr>
        <w:pStyle w:val="6"/>
      </w:pPr>
    </w:p>
    <w:p>
      <w:pPr>
        <w:pStyle w:val="6"/>
        <w:jc w:val="center"/>
      </w:pPr>
      <w:r>
        <w:rPr>
          <w:lang w:val="en-US" w:eastAsia="en-US"/>
        </w:rPr>
        <w:drawing>
          <wp:inline distT="0" distB="0" distL="0" distR="0">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pStyle w:val="6"/>
        <w:jc w:val="center"/>
        <w:rPr>
          <w:i/>
        </w:rPr>
      </w:pPr>
      <w:r>
        <w:rPr>
          <w:i/>
        </w:rPr>
        <w:t xml:space="preserve">Fig 2: Pie Chart showing number of students who likes Vanilla, Chocolate and Strawberry flavour ice-cream respectively. </w:t>
      </w:r>
    </w:p>
    <w:tbl>
      <w:tblPr>
        <w:tblStyle w:val="9"/>
        <w:tblW w:w="6260" w:type="dxa"/>
        <w:tblInd w:w="0" w:type="dxa"/>
        <w:tblLayout w:type="autofit"/>
        <w:tblCellMar>
          <w:top w:w="0" w:type="dxa"/>
          <w:left w:w="108" w:type="dxa"/>
          <w:bottom w:w="0" w:type="dxa"/>
          <w:right w:w="108" w:type="dxa"/>
        </w:tblCellMar>
      </w:tblPr>
      <w:tblGrid>
        <w:gridCol w:w="6260"/>
      </w:tblGrid>
      <w:tr>
        <w:trPr>
          <w:trHeight w:val="414" w:hRule="atLeast"/>
        </w:trPr>
        <w:tc>
          <w:tcPr>
            <w:tcW w:w="6260" w:type="dxa"/>
            <w:vMerge w:val="restart"/>
            <w:tcBorders>
              <w:top w:val="nil"/>
              <w:left w:val="nil"/>
              <w:bottom w:val="nil"/>
              <w:right w:val="nil"/>
            </w:tcBorders>
            <w:shd w:val="clear" w:color="auto" w:fill="auto"/>
            <w:vAlign w:val="center"/>
          </w:tcPr>
          <w:p>
            <w:pPr>
              <w:pStyle w:val="6"/>
              <w:jc w:val="left"/>
            </w:pPr>
          </w:p>
        </w:tc>
      </w:tr>
      <w:tr>
        <w:trPr>
          <w:trHeight w:val="414" w:hRule="atLeast"/>
        </w:trPr>
        <w:tc>
          <w:tcPr>
            <w:tcW w:w="6260" w:type="dxa"/>
            <w:vMerge w:val="continue"/>
            <w:tcBorders>
              <w:top w:val="nil"/>
              <w:left w:val="nil"/>
              <w:bottom w:val="nil"/>
              <w:right w:val="nil"/>
            </w:tcBorders>
            <w:vAlign w:val="center"/>
          </w:tcPr>
          <w:p>
            <w:pPr>
              <w:pStyle w:val="6"/>
              <w:jc w:val="center"/>
            </w:pPr>
          </w:p>
        </w:tc>
      </w:tr>
      <w:tr>
        <w:trPr>
          <w:trHeight w:val="414" w:hRule="atLeast"/>
        </w:trPr>
        <w:tc>
          <w:tcPr>
            <w:tcW w:w="6260" w:type="dxa"/>
            <w:vMerge w:val="continue"/>
            <w:tcBorders>
              <w:top w:val="nil"/>
              <w:left w:val="nil"/>
              <w:bottom w:val="nil"/>
              <w:right w:val="nil"/>
            </w:tcBorders>
            <w:vAlign w:val="center"/>
          </w:tcPr>
          <w:p>
            <w:pPr>
              <w:pStyle w:val="6"/>
              <w:jc w:val="center"/>
            </w:pPr>
          </w:p>
        </w:tc>
      </w:tr>
    </w:tbl>
    <w:p>
      <w:pPr>
        <w:pStyle w:val="3"/>
      </w:pPr>
      <w:bookmarkStart w:id="13" w:name="_Toc124419745"/>
      <w:r>
        <w:t>2.4 Using the dataset provided in conjunction with SPSS, give a specific example of clustering (ex. K-Means). Show your workings with screenshots and clearly explain your results.</w:t>
      </w:r>
      <w:bookmarkEnd w:id="13"/>
    </w:p>
    <w:p/>
    <w:p>
      <w:r>
        <w:rPr>
          <w:b/>
        </w:rPr>
        <w:t>Initial Cluster Centre:</w:t>
      </w:r>
      <w:r>
        <w:t xml:space="preserve"> In order to provide the example, the first step which is taken here is identifying the Initial Cluster Centres. The below Table 1. shows that there are 3 min clusters, Vanilla – Chocolate - Strawberry and their values are based on 2 variables, which are Gender and Favourite Flavour </w:t>
      </w:r>
      <w:r>
        <w:rPr>
          <w:color w:val="auto"/>
          <w:szCs w:val="24"/>
          <w:shd w:val="clear" w:color="auto" w:fill="FFFFFF"/>
        </w:rPr>
        <w:t>(Muijs, 2022).</w:t>
      </w:r>
      <w:r>
        <w:t xml:space="preserve"> </w:t>
      </w:r>
    </w:p>
    <w:p>
      <w:pPr>
        <w:autoSpaceDE w:val="0"/>
        <w:autoSpaceDN w:val="0"/>
        <w:adjustRightInd w:val="0"/>
        <w:rPr>
          <w:b/>
        </w:rPr>
      </w:pPr>
    </w:p>
    <w:tbl>
      <w:tblPr>
        <w:tblStyle w:val="84"/>
        <w:tblW w:w="4957" w:type="dxa"/>
        <w:jc w:val="center"/>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Layout w:type="fixed"/>
        <w:tblCellMar>
          <w:top w:w="0" w:type="dxa"/>
          <w:left w:w="108" w:type="dxa"/>
          <w:bottom w:w="0" w:type="dxa"/>
          <w:right w:w="108" w:type="dxa"/>
        </w:tblCellMar>
      </w:tblPr>
      <w:tblGrid>
        <w:gridCol w:w="2263"/>
        <w:gridCol w:w="851"/>
        <w:gridCol w:w="992"/>
        <w:gridCol w:w="851"/>
      </w:tblGrid>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PrEx>
        <w:trPr>
          <w:jc w:val="center"/>
        </w:trPr>
        <w:tc>
          <w:tcPr>
            <w:tcW w:w="4957" w:type="dxa"/>
            <w:gridSpan w:val="4"/>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bCs/>
              </w:rPr>
              <w:t>Initial Cluster Centres</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PrEx>
        <w:trPr>
          <w:jc w:val="center"/>
        </w:trPr>
        <w:tc>
          <w:tcPr>
            <w:tcW w:w="2263" w:type="dxa"/>
            <w:vMerge w:val="restart"/>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rPr>
            </w:pPr>
          </w:p>
        </w:tc>
        <w:tc>
          <w:tcPr>
            <w:tcW w:w="2694" w:type="dxa"/>
            <w:gridSpan w:val="3"/>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rPr>
            </w:pPr>
            <w:r>
              <w:rPr>
                <w:b/>
              </w:rPr>
              <w:t>Cluster</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PrEx>
        <w:trPr>
          <w:jc w:val="center"/>
        </w:trPr>
        <w:tc>
          <w:tcPr>
            <w:tcW w:w="2263" w:type="dxa"/>
            <w:vMerge w:val="continue"/>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jc w:val="center"/>
              <w:rPr>
                <w:b/>
              </w:rPr>
            </w:pP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1</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2</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3</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PrEx>
        <w:trPr>
          <w:jc w:val="center"/>
        </w:trPr>
        <w:tc>
          <w:tcPr>
            <w:tcW w:w="226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rPr>
            </w:pPr>
            <w:r>
              <w:rPr>
                <w:b/>
              </w:rPr>
              <w:t>Gender</w:t>
            </w:r>
          </w:p>
        </w:tc>
        <w:tc>
          <w:tcPr>
            <w:tcW w:w="851"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rPr>
            </w:pPr>
            <w:r>
              <w:rPr>
                <w:b/>
              </w:rPr>
              <w:t>.00</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rPr>
            </w:pPr>
            <w:r>
              <w:rPr>
                <w:b/>
              </w:rPr>
              <w:t>1.00</w:t>
            </w:r>
          </w:p>
        </w:tc>
        <w:tc>
          <w:tcPr>
            <w:tcW w:w="851"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rPr>
            </w:pPr>
            <w:r>
              <w:rPr>
                <w:b/>
              </w:rPr>
              <w:t>1.00</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PrEx>
        <w:trPr>
          <w:jc w:val="center"/>
        </w:trPr>
        <w:tc>
          <w:tcPr>
            <w:tcW w:w="226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Favourite Flavour</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2.00</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1.00</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rPr>
            </w:pPr>
            <w:r>
              <w:rPr>
                <w:b/>
              </w:rPr>
              <w:t>3.00</w:t>
            </w:r>
          </w:p>
        </w:tc>
      </w:tr>
    </w:tbl>
    <w:p>
      <w:pPr>
        <w:jc w:val="center"/>
        <w:rPr>
          <w:b/>
        </w:rPr>
      </w:pPr>
      <w:r>
        <w:rPr>
          <w:b/>
        </w:rPr>
        <w:t>Table 1</w:t>
      </w:r>
    </w:p>
    <w:p/>
    <w:p>
      <w:r>
        <w:rPr>
          <w:b/>
          <w:bCs/>
        </w:rPr>
        <w:t>Iteration History and change in cluster centres</w:t>
      </w:r>
      <w:r>
        <w:rPr>
          <w:b/>
          <w:bCs/>
          <w:vertAlign w:val="superscript"/>
        </w:rPr>
        <w:t>:</w:t>
      </w:r>
      <w:r>
        <w:t xml:space="preserve"> Secondly step is all about identifying the changes in cluster centres and number of iterations which is shown in Table 2. In cluster no. 1 the change of .298 is identified whereas in the 2</w:t>
      </w:r>
      <w:r>
        <w:rPr>
          <w:vertAlign w:val="superscript"/>
        </w:rPr>
        <w:t>nd</w:t>
      </w:r>
      <w:r>
        <w:t xml:space="preserve"> cluster a change of .363 to .500. The 3</w:t>
      </w:r>
      <w:r>
        <w:rPr>
          <w:vertAlign w:val="superscript"/>
        </w:rPr>
        <w:t>rd</w:t>
      </w:r>
      <w:r>
        <w:t xml:space="preserve"> and the final cluster experienced no change. The justification of the same is given below. Current Iteration = 3 &amp; maximum distance between initial centres = 1.414 (</w:t>
      </w:r>
      <w:r>
        <w:rPr>
          <w:color w:val="auto"/>
          <w:szCs w:val="24"/>
          <w:shd w:val="clear" w:color="auto" w:fill="FFFFFF"/>
        </w:rPr>
        <w:t>Murray, 2022).</w:t>
      </w:r>
      <w:r>
        <w:t xml:space="preserve"> </w:t>
      </w:r>
    </w:p>
    <w:p>
      <w:pPr>
        <w:pStyle w:val="6"/>
      </w:pPr>
    </w:p>
    <w:p>
      <w:pPr>
        <w:pStyle w:val="6"/>
      </w:pPr>
    </w:p>
    <w:tbl>
      <w:tblPr>
        <w:tblStyle w:val="84"/>
        <w:tblW w:w="4248" w:type="dxa"/>
        <w:jc w:val="center"/>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shd w:val="clear" w:color="auto" w:fill="B4C6E7" w:themeFill="accent5" w:themeFillTint="66"/>
        <w:tblLayout w:type="fixed"/>
        <w:tblCellMar>
          <w:top w:w="0" w:type="dxa"/>
          <w:left w:w="108" w:type="dxa"/>
          <w:bottom w:w="0" w:type="dxa"/>
          <w:right w:w="108" w:type="dxa"/>
        </w:tblCellMar>
      </w:tblPr>
      <w:tblGrid>
        <w:gridCol w:w="1413"/>
        <w:gridCol w:w="992"/>
        <w:gridCol w:w="851"/>
        <w:gridCol w:w="992"/>
      </w:tblGrid>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tblPrEx>
        <w:trPr>
          <w:jc w:val="center"/>
        </w:trPr>
        <w:tc>
          <w:tcPr>
            <w:tcW w:w="1413" w:type="dxa"/>
            <w:vMerge w:val="restart"/>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Iteration</w:t>
            </w:r>
          </w:p>
        </w:tc>
        <w:tc>
          <w:tcPr>
            <w:tcW w:w="2835" w:type="dxa"/>
            <w:gridSpan w:val="3"/>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Change in Cluster Centres</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shd w:val="clear" w:color="auto" w:fill="B4C6E7" w:themeFill="accent5" w:themeFillTint="66"/>
        </w:tblPrEx>
        <w:trPr>
          <w:jc w:val="center"/>
        </w:trPr>
        <w:tc>
          <w:tcPr>
            <w:tcW w:w="1413" w:type="dxa"/>
            <w:vMerge w:val="continue"/>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1</w:t>
            </w:r>
          </w:p>
        </w:tc>
        <w:tc>
          <w:tcPr>
            <w:tcW w:w="851"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2</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3</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shd w:val="clear" w:color="auto" w:fill="B4C6E7" w:themeFill="accent5" w:themeFillTint="66"/>
        </w:tblPrEx>
        <w:trPr>
          <w:jc w:val="center"/>
        </w:trPr>
        <w:tc>
          <w:tcPr>
            <w:tcW w:w="14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1</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.298</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.000</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.000</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shd w:val="clear" w:color="auto" w:fill="B4C6E7" w:themeFill="accent5" w:themeFillTint="66"/>
        </w:tblPrEx>
        <w:trPr>
          <w:jc w:val="center"/>
        </w:trPr>
        <w:tc>
          <w:tcPr>
            <w:tcW w:w="141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2</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.363</w:t>
            </w:r>
          </w:p>
        </w:tc>
        <w:tc>
          <w:tcPr>
            <w:tcW w:w="851"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.000</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.500</w:t>
            </w:r>
          </w:p>
        </w:tc>
      </w:tr>
      <w:tr>
        <w:tblPrEx>
          <w:tblBorders>
            <w:top w:val="single" w:color="A5A5A5" w:themeColor="accent3" w:sz="24" w:space="0"/>
            <w:left w:val="single" w:color="A5A5A5" w:themeColor="accent3" w:sz="24" w:space="0"/>
            <w:bottom w:val="single" w:color="A5A5A5" w:themeColor="accent3" w:sz="24" w:space="0"/>
            <w:right w:val="single" w:color="A5A5A5" w:themeColor="accent3" w:sz="24" w:space="0"/>
            <w:insideH w:val="none" w:color="auto" w:sz="0" w:space="0"/>
            <w:insideV w:val="none" w:color="auto" w:sz="0" w:space="0"/>
          </w:tblBorders>
          <w:shd w:val="clear" w:color="auto" w:fill="B4C6E7" w:themeFill="accent5" w:themeFillTint="66"/>
        </w:tblPrEx>
        <w:trPr>
          <w:jc w:val="center"/>
        </w:trPr>
        <w:tc>
          <w:tcPr>
            <w:tcW w:w="141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3</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.000</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.000</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.000</w:t>
            </w:r>
          </w:p>
        </w:tc>
      </w:tr>
    </w:tbl>
    <w:p>
      <w:pPr>
        <w:jc w:val="center"/>
        <w:rPr>
          <w:b/>
        </w:rPr>
      </w:pPr>
      <w:r>
        <w:rPr>
          <w:b/>
        </w:rPr>
        <w:t>Table 2</w:t>
      </w:r>
    </w:p>
    <w:p>
      <w:pPr>
        <w:pStyle w:val="6"/>
      </w:pPr>
    </w:p>
    <w:p>
      <w:pPr>
        <w:rPr>
          <w:b/>
        </w:rPr>
      </w:pPr>
      <w:r>
        <w:rPr>
          <w:b/>
        </w:rPr>
        <w:t xml:space="preserve">Cluster Membership: </w:t>
      </w:r>
      <w:r>
        <w:t xml:space="preserve">The workings of Cluster membership are given below in the Table 4 </w:t>
      </w:r>
      <w:r>
        <w:rPr>
          <w:color w:val="auto"/>
          <w:szCs w:val="24"/>
          <w:shd w:val="clear" w:color="auto" w:fill="FFFFFF"/>
        </w:rPr>
        <w:t>(Yan and et.al., 2020).</w:t>
      </w:r>
    </w:p>
    <w:tbl>
      <w:tblPr>
        <w:tblStyle w:val="9"/>
        <w:tblW w:w="6521" w:type="dxa"/>
        <w:jc w:val="cente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843"/>
        <w:gridCol w:w="1985"/>
        <w:gridCol w:w="269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6521" w:type="dxa"/>
            <w:gridSpan w:val="3"/>
            <w:tcBorders>
              <w:top w:val="nil"/>
              <w:left w:val="nil"/>
              <w:bottom w:val="nil"/>
              <w:right w:val="nil"/>
            </w:tcBorders>
            <w:shd w:val="clear" w:color="auto" w:fill="FFFFFF"/>
          </w:tcPr>
          <w:p>
            <w:pPr>
              <w:autoSpaceDE w:val="0"/>
              <w:autoSpaceDN w:val="0"/>
              <w:adjustRightInd w:val="0"/>
              <w:spacing w:line="320" w:lineRule="atLeast"/>
              <w:ind w:left="60" w:right="60"/>
              <w:jc w:val="center"/>
              <w:rPr>
                <w:sz w:val="16"/>
                <w:szCs w:val="16"/>
              </w:rPr>
            </w:pPr>
            <w:r>
              <w:rPr>
                <w:b/>
                <w:bCs/>
                <w:szCs w:val="16"/>
              </w:rPr>
              <w:t>Cluster Membership</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6521" w:type="dxa"/>
            <w:gridSpan w:val="3"/>
            <w:tcBorders>
              <w:top w:val="nil"/>
              <w:left w:val="nil"/>
              <w:bottom w:val="nil"/>
              <w:right w:val="nil"/>
            </w:tcBorders>
            <w:shd w:val="clear" w:color="auto" w:fill="FFFFFF"/>
          </w:tcPr>
          <w:p>
            <w:pPr>
              <w:autoSpaceDE w:val="0"/>
              <w:autoSpaceDN w:val="0"/>
              <w:adjustRightInd w:val="0"/>
              <w:spacing w:line="320" w:lineRule="atLeast"/>
              <w:ind w:left="60" w:right="60"/>
              <w:jc w:val="center"/>
              <w:rPr>
                <w:b/>
                <w:bCs/>
                <w:sz w:val="16"/>
                <w:szCs w:val="16"/>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adjustRightInd w:val="0"/>
              <w:spacing w:line="320" w:lineRule="atLeast"/>
              <w:ind w:left="60" w:right="60"/>
              <w:jc w:val="center"/>
              <w:rPr>
                <w:b/>
                <w:szCs w:val="24"/>
              </w:rPr>
            </w:pPr>
            <w:r>
              <w:rPr>
                <w:b/>
                <w:szCs w:val="24"/>
              </w:rPr>
              <w:t>Case Number</w:t>
            </w:r>
          </w:p>
        </w:tc>
        <w:tc>
          <w:tcPr>
            <w:tcW w:w="1985" w:type="dxa"/>
            <w:tcBorders>
              <w:top w:val="single" w:color="000000" w:sz="16" w:space="0"/>
              <w:left w:val="single" w:color="000000" w:sz="16" w:space="0"/>
              <w:bottom w:val="single" w:color="000000" w:sz="16" w:space="0"/>
            </w:tcBorders>
            <w:shd w:val="clear" w:color="auto" w:fill="FFFFFF"/>
          </w:tcPr>
          <w:p>
            <w:pPr>
              <w:autoSpaceDE w:val="0"/>
              <w:autoSpaceDN w:val="0"/>
              <w:adjustRightInd w:val="0"/>
              <w:spacing w:line="320" w:lineRule="atLeast"/>
              <w:ind w:left="60" w:right="60"/>
              <w:jc w:val="center"/>
              <w:rPr>
                <w:b/>
                <w:szCs w:val="24"/>
              </w:rPr>
            </w:pPr>
            <w:r>
              <w:rPr>
                <w:b/>
                <w:szCs w:val="24"/>
              </w:rPr>
              <w:t>Cluster</w:t>
            </w:r>
          </w:p>
        </w:tc>
        <w:tc>
          <w:tcPr>
            <w:tcW w:w="2693" w:type="dxa"/>
            <w:tcBorders>
              <w:top w:val="single" w:color="000000" w:sz="16" w:space="0"/>
              <w:bottom w:val="single" w:color="000000" w:sz="16" w:space="0"/>
              <w:right w:val="single" w:color="000000" w:sz="16" w:space="0"/>
            </w:tcBorders>
            <w:shd w:val="clear" w:color="auto" w:fill="FFFFFF"/>
          </w:tcPr>
          <w:p>
            <w:pPr>
              <w:autoSpaceDE w:val="0"/>
              <w:autoSpaceDN w:val="0"/>
              <w:adjustRightInd w:val="0"/>
              <w:spacing w:line="320" w:lineRule="atLeast"/>
              <w:ind w:left="60" w:right="60"/>
              <w:jc w:val="center"/>
              <w:rPr>
                <w:b/>
                <w:szCs w:val="24"/>
              </w:rPr>
            </w:pPr>
            <w:r>
              <w:rPr>
                <w:b/>
                <w:szCs w:val="24"/>
              </w:rPr>
              <w:t>Distance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single" w:color="000000" w:sz="16" w:space="0"/>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1985" w:type="dxa"/>
            <w:tcBorders>
              <w:top w:val="single" w:color="000000" w:sz="16" w:space="0"/>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49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79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.605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99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109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119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129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139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149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159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169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179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189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190</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191</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1</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.828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192</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193</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194</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195</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196</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197</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198</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199</w:t>
            </w:r>
          </w:p>
        </w:tc>
        <w:tc>
          <w:tcPr>
            <w:tcW w:w="1985" w:type="dxa"/>
            <w:tcBorders>
              <w:top w:val="nil"/>
              <w:left w:val="single" w:color="000000" w:sz="16" w:space="0"/>
              <w:bottom w:val="nil"/>
            </w:tcBorders>
            <w:shd w:val="clear" w:color="auto" w:fill="FFFFFF"/>
            <w:vAlign w:val="center"/>
          </w:tcPr>
          <w:p>
            <w:pPr>
              <w:autoSpaceDE w:val="0"/>
              <w:autoSpaceDN w:val="0"/>
              <w:adjustRightInd w:val="0"/>
              <w:spacing w:line="320" w:lineRule="atLeast"/>
              <w:ind w:left="60" w:right="60"/>
              <w:jc w:val="center"/>
              <w:rPr>
                <w:szCs w:val="24"/>
              </w:rPr>
            </w:pPr>
            <w:r>
              <w:rPr>
                <w:szCs w:val="24"/>
              </w:rPr>
              <w:t>2</w:t>
            </w:r>
          </w:p>
        </w:tc>
        <w:tc>
          <w:tcPr>
            <w:tcW w:w="2693" w:type="dxa"/>
            <w:tcBorders>
              <w:top w:val="nil"/>
              <w:bottom w:val="nil"/>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rPr>
          <w:cantSplit/>
          <w:jc w:val="center"/>
        </w:trPr>
        <w:tc>
          <w:tcPr>
            <w:tcW w:w="1843" w:type="dxa"/>
            <w:tcBorders>
              <w:top w:val="nil"/>
              <w:left w:val="single" w:color="000000" w:sz="16" w:space="0"/>
              <w:bottom w:val="single" w:color="000000" w:sz="16" w:space="0"/>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200</w:t>
            </w:r>
          </w:p>
        </w:tc>
        <w:tc>
          <w:tcPr>
            <w:tcW w:w="1985" w:type="dxa"/>
            <w:tcBorders>
              <w:top w:val="nil"/>
              <w:left w:val="single" w:color="000000" w:sz="16" w:space="0"/>
              <w:bottom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3</w:t>
            </w:r>
          </w:p>
        </w:tc>
        <w:tc>
          <w:tcPr>
            <w:tcW w:w="2693" w:type="dxa"/>
            <w:tcBorders>
              <w:top w:val="nil"/>
              <w:bottom w:val="single" w:color="000000" w:sz="16" w:space="0"/>
              <w:right w:val="single" w:color="000000" w:sz="16" w:space="0"/>
            </w:tcBorders>
            <w:shd w:val="clear" w:color="auto" w:fill="FFFFFF"/>
            <w:vAlign w:val="center"/>
          </w:tcPr>
          <w:p>
            <w:pPr>
              <w:autoSpaceDE w:val="0"/>
              <w:autoSpaceDN w:val="0"/>
              <w:adjustRightInd w:val="0"/>
              <w:spacing w:line="320" w:lineRule="atLeast"/>
              <w:ind w:left="60" w:right="60"/>
              <w:jc w:val="center"/>
              <w:rPr>
                <w:szCs w:val="24"/>
              </w:rPr>
            </w:pPr>
            <w:r>
              <w:rPr>
                <w:szCs w:val="24"/>
              </w:rPr>
              <w:t>.500</w:t>
            </w:r>
          </w:p>
        </w:tc>
      </w:tr>
    </w:tbl>
    <w:p>
      <w:pPr>
        <w:autoSpaceDE w:val="0"/>
        <w:autoSpaceDN w:val="0"/>
        <w:adjustRightInd w:val="0"/>
        <w:spacing w:line="400" w:lineRule="atLeast"/>
        <w:jc w:val="center"/>
        <w:rPr>
          <w:b/>
        </w:rPr>
      </w:pPr>
      <w:r>
        <w:rPr>
          <w:b/>
        </w:rPr>
        <w:t>Table 4</w:t>
      </w:r>
    </w:p>
    <w:p>
      <w:pPr>
        <w:autoSpaceDE w:val="0"/>
        <w:autoSpaceDN w:val="0"/>
        <w:adjustRightInd w:val="0"/>
        <w:spacing w:line="400" w:lineRule="atLeast"/>
        <w:rPr>
          <w:b/>
        </w:rPr>
      </w:pPr>
    </w:p>
    <w:p>
      <w:pPr>
        <w:autoSpaceDE w:val="0"/>
        <w:autoSpaceDN w:val="0"/>
        <w:adjustRightInd w:val="0"/>
        <w:spacing w:line="400" w:lineRule="atLeast"/>
      </w:pPr>
      <w:r>
        <w:rPr>
          <w:b/>
        </w:rPr>
        <w:t xml:space="preserve">Final Cluster: </w:t>
      </w:r>
      <w:r>
        <w:t xml:space="preserve">The table no 5 represents data of final cluster centres </w:t>
      </w:r>
      <w:r>
        <w:rPr>
          <w:color w:val="auto"/>
          <w:szCs w:val="24"/>
          <w:shd w:val="clear" w:color="auto" w:fill="FFFFFF"/>
        </w:rPr>
        <w:t>(Ostherr, 2022).</w:t>
      </w:r>
      <w:r>
        <w:t xml:space="preserve"> </w:t>
      </w:r>
    </w:p>
    <w:p>
      <w:pPr>
        <w:autoSpaceDE w:val="0"/>
        <w:autoSpaceDN w:val="0"/>
        <w:adjustRightInd w:val="0"/>
        <w:spacing w:line="400" w:lineRule="atLeast"/>
        <w:jc w:val="center"/>
        <w:rPr>
          <w:b/>
        </w:rPr>
      </w:pPr>
    </w:p>
    <w:tbl>
      <w:tblPr>
        <w:tblStyle w:val="87"/>
        <w:tblW w:w="5098" w:type="dxa"/>
        <w:jc w:val="center"/>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Layout w:type="fixed"/>
        <w:tblCellMar>
          <w:top w:w="0" w:type="dxa"/>
          <w:left w:w="108" w:type="dxa"/>
          <w:bottom w:w="0" w:type="dxa"/>
          <w:right w:w="108" w:type="dxa"/>
        </w:tblCellMar>
      </w:tblPr>
      <w:tblGrid>
        <w:gridCol w:w="2263"/>
        <w:gridCol w:w="993"/>
        <w:gridCol w:w="850"/>
        <w:gridCol w:w="992"/>
      </w:tblGrid>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PrEx>
        <w:trPr>
          <w:jc w:val="center"/>
        </w:trPr>
        <w:tc>
          <w:tcPr>
            <w:tcW w:w="5098" w:type="dxa"/>
            <w:gridSpan w:val="4"/>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sz w:val="18"/>
                <w:szCs w:val="18"/>
              </w:rPr>
            </w:pPr>
            <w:r>
              <w:rPr>
                <w:b/>
                <w:bCs/>
              </w:rPr>
              <w:t>Final Cluster Centres</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2263" w:type="dxa"/>
            <w:vMerge w:val="restart"/>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p>
        </w:tc>
        <w:tc>
          <w:tcPr>
            <w:tcW w:w="2835" w:type="dxa"/>
            <w:gridSpan w:val="3"/>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Cluster</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2263" w:type="dxa"/>
            <w:vMerge w:val="continue"/>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p>
        </w:tc>
        <w:tc>
          <w:tcPr>
            <w:tcW w:w="99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1</w:t>
            </w:r>
          </w:p>
        </w:tc>
        <w:tc>
          <w:tcPr>
            <w:tcW w:w="850"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2</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3</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226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Gender</w:t>
            </w:r>
          </w:p>
        </w:tc>
        <w:tc>
          <w:tcPr>
            <w:tcW w:w="99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.34</w:t>
            </w:r>
          </w:p>
        </w:tc>
        <w:tc>
          <w:tcPr>
            <w:tcW w:w="850"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1.00</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.50</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226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Favourite Flavour</w:t>
            </w:r>
          </w:p>
        </w:tc>
        <w:tc>
          <w:tcPr>
            <w:tcW w:w="99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1.50</w:t>
            </w:r>
          </w:p>
        </w:tc>
        <w:tc>
          <w:tcPr>
            <w:tcW w:w="850"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1.00</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ind w:left="60" w:right="60"/>
              <w:jc w:val="center"/>
              <w:rPr>
                <w:b/>
                <w:bCs/>
              </w:rPr>
            </w:pPr>
            <w:r>
              <w:rPr>
                <w:b/>
                <w:bCs/>
              </w:rPr>
              <w:t>3.00</w:t>
            </w:r>
          </w:p>
        </w:tc>
      </w:tr>
    </w:tbl>
    <w:p>
      <w:pPr>
        <w:autoSpaceDE w:val="0"/>
        <w:autoSpaceDN w:val="0"/>
        <w:adjustRightInd w:val="0"/>
        <w:spacing w:line="400" w:lineRule="atLeast"/>
        <w:jc w:val="center"/>
        <w:rPr>
          <w:b/>
          <w:bCs/>
        </w:rPr>
      </w:pPr>
      <w:r>
        <w:rPr>
          <w:b/>
          <w:bCs/>
        </w:rPr>
        <w:t>Table 5</w:t>
      </w:r>
    </w:p>
    <w:p>
      <w:pPr>
        <w:autoSpaceDE w:val="0"/>
        <w:autoSpaceDN w:val="0"/>
        <w:adjustRightInd w:val="0"/>
        <w:spacing w:line="400" w:lineRule="atLeast"/>
      </w:pPr>
      <w:r>
        <w:rPr>
          <w:b/>
          <w:bCs/>
        </w:rPr>
        <w:t xml:space="preserve">Distances between Final Cluster Centres: </w:t>
      </w:r>
      <w:r>
        <w:rPr>
          <w:bCs/>
        </w:rPr>
        <w:t xml:space="preserve">Table 6 shows difference in the result of table 1 and table 4. It can be seen that there are no changes in the 3 cluster and the analysis is completely descriptive. </w:t>
      </w:r>
    </w:p>
    <w:tbl>
      <w:tblPr>
        <w:tblStyle w:val="87"/>
        <w:tblW w:w="4248" w:type="dxa"/>
        <w:jc w:val="center"/>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Layout w:type="fixed"/>
        <w:tblCellMar>
          <w:top w:w="0" w:type="dxa"/>
          <w:left w:w="108" w:type="dxa"/>
          <w:bottom w:w="0" w:type="dxa"/>
          <w:right w:w="108" w:type="dxa"/>
        </w:tblCellMar>
      </w:tblPr>
      <w:tblGrid>
        <w:gridCol w:w="1129"/>
        <w:gridCol w:w="993"/>
        <w:gridCol w:w="1134"/>
        <w:gridCol w:w="992"/>
      </w:tblGrid>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4248" w:type="dxa"/>
            <w:gridSpan w:val="4"/>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Distances between Final Cluster Centres</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129"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Cluster</w:t>
            </w:r>
          </w:p>
        </w:tc>
        <w:tc>
          <w:tcPr>
            <w:tcW w:w="99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w:t>
            </w:r>
          </w:p>
        </w:tc>
        <w:tc>
          <w:tcPr>
            <w:tcW w:w="1134"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3</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1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w:t>
            </w:r>
          </w:p>
        </w:tc>
        <w:tc>
          <w:tcPr>
            <w:tcW w:w="99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240" w:lineRule="auto"/>
              <w:jc w:val="center"/>
              <w:rPr>
                <w:b/>
                <w:bCs/>
              </w:rPr>
            </w:pPr>
          </w:p>
        </w:tc>
        <w:tc>
          <w:tcPr>
            <w:tcW w:w="1134"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.828</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1.508</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129"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w:t>
            </w:r>
          </w:p>
        </w:tc>
        <w:tc>
          <w:tcPr>
            <w:tcW w:w="99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.828</w:t>
            </w:r>
          </w:p>
        </w:tc>
        <w:tc>
          <w:tcPr>
            <w:tcW w:w="1134"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240" w:lineRule="auto"/>
              <w:jc w:val="center"/>
              <w:rPr>
                <w:b/>
                <w:bCs/>
              </w:rPr>
            </w:pP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2.062</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12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3</w:t>
            </w:r>
          </w:p>
        </w:tc>
        <w:tc>
          <w:tcPr>
            <w:tcW w:w="99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1.508</w:t>
            </w:r>
          </w:p>
        </w:tc>
        <w:tc>
          <w:tcPr>
            <w:tcW w:w="1134"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2.062</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240" w:lineRule="auto"/>
              <w:jc w:val="center"/>
              <w:rPr>
                <w:b/>
                <w:bCs/>
              </w:rPr>
            </w:pPr>
          </w:p>
        </w:tc>
      </w:tr>
    </w:tbl>
    <w:p>
      <w:pPr>
        <w:autoSpaceDE w:val="0"/>
        <w:autoSpaceDN w:val="0"/>
        <w:adjustRightInd w:val="0"/>
        <w:spacing w:line="400" w:lineRule="atLeast"/>
        <w:jc w:val="center"/>
        <w:rPr>
          <w:b/>
          <w:bCs/>
        </w:rPr>
      </w:pPr>
      <w:r>
        <w:rPr>
          <w:b/>
          <w:bCs/>
        </w:rPr>
        <w:t>Table 6</w:t>
      </w:r>
    </w:p>
    <w:p>
      <w:pPr>
        <w:autoSpaceDE w:val="0"/>
        <w:autoSpaceDN w:val="0"/>
        <w:adjustRightInd w:val="0"/>
        <w:spacing w:line="400" w:lineRule="atLeast"/>
        <w:jc w:val="center"/>
        <w:rPr>
          <w:b/>
          <w:bCs/>
        </w:rPr>
      </w:pPr>
    </w:p>
    <w:p>
      <w:pPr>
        <w:autoSpaceDE w:val="0"/>
        <w:autoSpaceDN w:val="0"/>
        <w:adjustRightInd w:val="0"/>
        <w:spacing w:line="400" w:lineRule="atLeast"/>
      </w:pPr>
      <w:r>
        <w:rPr>
          <w:b/>
          <w:bCs/>
        </w:rPr>
        <w:t xml:space="preserve">Anova Test: </w:t>
      </w:r>
      <w:r>
        <w:rPr>
          <w:bCs/>
        </w:rPr>
        <w:t xml:space="preserve">Anova Test is performed in the table 7 which shows that favourite flavour holds the greatest influence in forming the cluster and not the gender variable when compared </w:t>
      </w:r>
      <w:r>
        <w:rPr>
          <w:color w:val="auto"/>
          <w:szCs w:val="24"/>
          <w:shd w:val="clear" w:color="auto" w:fill="FFFFFF"/>
        </w:rPr>
        <w:t>(Pei and et.al., 2022)</w:t>
      </w:r>
      <w:r>
        <w:t>.</w:t>
      </w:r>
    </w:p>
    <w:p>
      <w:pPr>
        <w:autoSpaceDE w:val="0"/>
        <w:autoSpaceDN w:val="0"/>
        <w:adjustRightInd w:val="0"/>
        <w:spacing w:line="400" w:lineRule="atLeast"/>
      </w:pPr>
    </w:p>
    <w:tbl>
      <w:tblPr>
        <w:tblStyle w:val="87"/>
        <w:tblW w:w="9067" w:type="dxa"/>
        <w:tblInd w:w="0" w:type="dxa"/>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Layout w:type="fixed"/>
        <w:tblCellMar>
          <w:top w:w="0" w:type="dxa"/>
          <w:left w:w="108" w:type="dxa"/>
          <w:bottom w:w="0" w:type="dxa"/>
          <w:right w:w="108" w:type="dxa"/>
        </w:tblCellMar>
      </w:tblPr>
      <w:tblGrid>
        <w:gridCol w:w="2263"/>
        <w:gridCol w:w="1134"/>
        <w:gridCol w:w="851"/>
        <w:gridCol w:w="1559"/>
        <w:gridCol w:w="992"/>
        <w:gridCol w:w="1134"/>
        <w:gridCol w:w="1134"/>
      </w:tblGrid>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PrEx>
        <w:tc>
          <w:tcPr>
            <w:tcW w:w="9067" w:type="dxa"/>
            <w:gridSpan w:val="7"/>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ANOVA</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c>
          <w:tcPr>
            <w:tcW w:w="2263" w:type="dxa"/>
            <w:vMerge w:val="restart"/>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p>
        </w:tc>
        <w:tc>
          <w:tcPr>
            <w:tcW w:w="1985" w:type="dxa"/>
            <w:gridSpan w:val="2"/>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Cluster</w:t>
            </w:r>
          </w:p>
        </w:tc>
        <w:tc>
          <w:tcPr>
            <w:tcW w:w="2551" w:type="dxa"/>
            <w:gridSpan w:val="2"/>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Error</w:t>
            </w:r>
          </w:p>
        </w:tc>
        <w:tc>
          <w:tcPr>
            <w:tcW w:w="1134" w:type="dxa"/>
            <w:vMerge w:val="restart"/>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F</w:t>
            </w:r>
          </w:p>
        </w:tc>
        <w:tc>
          <w:tcPr>
            <w:tcW w:w="1134" w:type="dxa"/>
            <w:vMerge w:val="restart"/>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Sig.</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c>
          <w:tcPr>
            <w:tcW w:w="2263" w:type="dxa"/>
            <w:vMerge w:val="continue"/>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p>
        </w:tc>
        <w:tc>
          <w:tcPr>
            <w:tcW w:w="1134"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Mean Square</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df</w:t>
            </w:r>
          </w:p>
        </w:tc>
        <w:tc>
          <w:tcPr>
            <w:tcW w:w="155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Mean Square</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spacing w:line="320" w:lineRule="atLeast"/>
              <w:ind w:left="60" w:right="60"/>
              <w:jc w:val="center"/>
              <w:rPr>
                <w:b/>
                <w:bCs/>
              </w:rPr>
            </w:pPr>
            <w:r>
              <w:rPr>
                <w:b/>
                <w:bCs/>
              </w:rPr>
              <w:t>df</w:t>
            </w:r>
          </w:p>
        </w:tc>
        <w:tc>
          <w:tcPr>
            <w:tcW w:w="1134" w:type="dxa"/>
            <w:vMerge w:val="continue"/>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rPr>
                <w:b/>
                <w:bCs/>
              </w:rPr>
            </w:pPr>
          </w:p>
        </w:tc>
        <w:tc>
          <w:tcPr>
            <w:tcW w:w="1134" w:type="dxa"/>
            <w:vMerge w:val="continue"/>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rPr>
                <w:b/>
                <w:bCs/>
              </w:rPr>
            </w:pP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PrEx>
        <w:tc>
          <w:tcPr>
            <w:tcW w:w="2263"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Gender</w:t>
            </w:r>
          </w:p>
        </w:tc>
        <w:tc>
          <w:tcPr>
            <w:tcW w:w="1134"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6.994</w:t>
            </w:r>
          </w:p>
        </w:tc>
        <w:tc>
          <w:tcPr>
            <w:tcW w:w="851"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w:t>
            </w:r>
          </w:p>
        </w:tc>
        <w:tc>
          <w:tcPr>
            <w:tcW w:w="1559"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.181</w:t>
            </w:r>
          </w:p>
        </w:tc>
        <w:tc>
          <w:tcPr>
            <w:tcW w:w="992"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spacing w:line="320" w:lineRule="atLeast"/>
              <w:ind w:left="60" w:right="60"/>
              <w:jc w:val="right"/>
              <w:rPr>
                <w:b/>
                <w:bCs/>
              </w:rPr>
            </w:pPr>
            <w:r>
              <w:rPr>
                <w:b/>
                <w:bCs/>
              </w:rPr>
              <w:t>197</w:t>
            </w:r>
          </w:p>
        </w:tc>
        <w:tc>
          <w:tcPr>
            <w:tcW w:w="1134"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spacing w:line="320" w:lineRule="atLeast"/>
              <w:ind w:left="60" w:right="60"/>
              <w:jc w:val="right"/>
              <w:rPr>
                <w:b/>
                <w:bCs/>
              </w:rPr>
            </w:pPr>
            <w:r>
              <w:rPr>
                <w:b/>
                <w:bCs/>
              </w:rPr>
              <w:t>38.698</w:t>
            </w:r>
          </w:p>
        </w:tc>
        <w:tc>
          <w:tcPr>
            <w:tcW w:w="1134"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spacing w:line="320" w:lineRule="atLeast"/>
              <w:ind w:left="60" w:right="60"/>
              <w:jc w:val="right"/>
              <w:rPr>
                <w:b/>
                <w:bCs/>
              </w:rPr>
            </w:pPr>
            <w:r>
              <w:rPr>
                <w:b/>
                <w:bCs/>
              </w:rPr>
              <w:t>.000</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trHeight w:val="395" w:hRule="atLeast"/>
        </w:trPr>
        <w:tc>
          <w:tcPr>
            <w:tcW w:w="2263"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Favourite Flavour</w:t>
            </w:r>
          </w:p>
        </w:tc>
        <w:tc>
          <w:tcPr>
            <w:tcW w:w="1134"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61.328</w:t>
            </w:r>
          </w:p>
        </w:tc>
        <w:tc>
          <w:tcPr>
            <w:tcW w:w="851"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w:t>
            </w:r>
          </w:p>
        </w:tc>
        <w:tc>
          <w:tcPr>
            <w:tcW w:w="1559"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.119</w:t>
            </w:r>
          </w:p>
        </w:tc>
        <w:tc>
          <w:tcPr>
            <w:tcW w:w="992"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spacing w:line="320" w:lineRule="atLeast"/>
              <w:ind w:left="60" w:right="60"/>
              <w:jc w:val="right"/>
              <w:rPr>
                <w:b/>
                <w:bCs/>
              </w:rPr>
            </w:pPr>
            <w:r>
              <w:rPr>
                <w:b/>
                <w:bCs/>
              </w:rPr>
              <w:t>197</w:t>
            </w:r>
          </w:p>
        </w:tc>
        <w:tc>
          <w:tcPr>
            <w:tcW w:w="1134"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spacing w:line="320" w:lineRule="atLeast"/>
              <w:ind w:left="60" w:right="60"/>
              <w:jc w:val="right"/>
              <w:rPr>
                <w:b/>
                <w:bCs/>
              </w:rPr>
            </w:pPr>
            <w:r>
              <w:rPr>
                <w:b/>
                <w:bCs/>
              </w:rPr>
              <w:t>514.107</w:t>
            </w:r>
          </w:p>
        </w:tc>
        <w:tc>
          <w:tcPr>
            <w:tcW w:w="1134"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spacing w:line="320" w:lineRule="atLeast"/>
              <w:ind w:left="60" w:right="60"/>
              <w:jc w:val="right"/>
              <w:rPr>
                <w:b/>
                <w:bCs/>
              </w:rPr>
            </w:pPr>
            <w:r>
              <w:rPr>
                <w:b/>
                <w:bCs/>
              </w:rPr>
              <w:t>.000</w:t>
            </w:r>
          </w:p>
        </w:tc>
      </w:tr>
    </w:tbl>
    <w:p>
      <w:pPr>
        <w:autoSpaceDE w:val="0"/>
        <w:autoSpaceDN w:val="0"/>
        <w:adjustRightInd w:val="0"/>
        <w:spacing w:line="400" w:lineRule="atLeast"/>
        <w:jc w:val="center"/>
        <w:rPr>
          <w:b/>
          <w:bCs/>
        </w:rPr>
      </w:pPr>
      <w:r>
        <w:rPr>
          <w:b/>
          <w:bCs/>
        </w:rPr>
        <w:t>Table 7</w:t>
      </w:r>
    </w:p>
    <w:p>
      <w:pPr>
        <w:autoSpaceDE w:val="0"/>
        <w:autoSpaceDN w:val="0"/>
        <w:adjustRightInd w:val="0"/>
        <w:spacing w:line="400" w:lineRule="atLeast"/>
        <w:rPr>
          <w:b/>
          <w:bCs/>
        </w:rPr>
      </w:pPr>
    </w:p>
    <w:p>
      <w:pPr>
        <w:autoSpaceDE w:val="0"/>
        <w:autoSpaceDN w:val="0"/>
        <w:adjustRightInd w:val="0"/>
        <w:spacing w:line="400" w:lineRule="atLeast"/>
      </w:pPr>
      <w:r>
        <w:rPr>
          <w:b/>
          <w:bCs/>
        </w:rPr>
        <w:t>Number of Cases in each Cluster</w:t>
      </w:r>
      <w:r>
        <w:t xml:space="preserve">: Table 8 shows that Vanilla flavoured ice-cream has maximum influence and chocolate has the minimum. </w:t>
      </w:r>
    </w:p>
    <w:p>
      <w:pPr>
        <w:autoSpaceDE w:val="0"/>
        <w:autoSpaceDN w:val="0"/>
        <w:adjustRightInd w:val="0"/>
        <w:spacing w:line="400" w:lineRule="atLeast"/>
        <w:rPr>
          <w:b/>
          <w:bCs/>
        </w:rPr>
      </w:pPr>
    </w:p>
    <w:p>
      <w:pPr>
        <w:autoSpaceDE w:val="0"/>
        <w:autoSpaceDN w:val="0"/>
        <w:adjustRightInd w:val="0"/>
        <w:spacing w:line="400" w:lineRule="atLeast"/>
        <w:jc w:val="center"/>
        <w:rPr>
          <w:b/>
          <w:bCs/>
        </w:rPr>
      </w:pPr>
    </w:p>
    <w:tbl>
      <w:tblPr>
        <w:tblStyle w:val="87"/>
        <w:tblW w:w="3114" w:type="dxa"/>
        <w:jc w:val="center"/>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Layout w:type="fixed"/>
        <w:tblCellMar>
          <w:top w:w="0" w:type="dxa"/>
          <w:left w:w="108" w:type="dxa"/>
          <w:bottom w:w="0" w:type="dxa"/>
          <w:right w:w="108" w:type="dxa"/>
        </w:tblCellMar>
      </w:tblPr>
      <w:tblGrid>
        <w:gridCol w:w="1201"/>
        <w:gridCol w:w="756"/>
        <w:gridCol w:w="1157"/>
      </w:tblGrid>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shd w:val="clear" w:color="auto" w:fill="B4C6E7" w:themeFill="accent5" w:themeFillTint="66"/>
        </w:tblPrEx>
        <w:trPr>
          <w:jc w:val="center"/>
        </w:trPr>
        <w:tc>
          <w:tcPr>
            <w:tcW w:w="3114" w:type="dxa"/>
            <w:gridSpan w:val="3"/>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Number of Cases in each Cluster</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201" w:type="dxa"/>
            <w:vMerge w:val="restart"/>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rPr>
                <w:b/>
                <w:bCs/>
              </w:rPr>
            </w:pPr>
            <w:r>
              <w:rPr>
                <w:b/>
                <w:bCs/>
              </w:rPr>
              <w:t>Cluster</w:t>
            </w:r>
          </w:p>
        </w:tc>
        <w:tc>
          <w:tcPr>
            <w:tcW w:w="756"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1</w:t>
            </w:r>
          </w:p>
        </w:tc>
        <w:tc>
          <w:tcPr>
            <w:tcW w:w="1157"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94.000</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201" w:type="dxa"/>
            <w:vMerge w:val="continue"/>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240" w:lineRule="auto"/>
              <w:rPr>
                <w:rFonts w:ascii="Arial" w:hAnsi="Arial" w:cs="Arial"/>
                <w:sz w:val="18"/>
                <w:szCs w:val="18"/>
              </w:rPr>
            </w:pPr>
          </w:p>
        </w:tc>
        <w:tc>
          <w:tcPr>
            <w:tcW w:w="756"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w:t>
            </w:r>
          </w:p>
        </w:tc>
        <w:tc>
          <w:tcPr>
            <w:tcW w:w="1157"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48.000</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201" w:type="dxa"/>
            <w:vMerge w:val="continue"/>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240" w:lineRule="auto"/>
              <w:rPr>
                <w:rFonts w:ascii="Arial" w:hAnsi="Arial" w:cs="Arial"/>
                <w:sz w:val="18"/>
                <w:szCs w:val="18"/>
              </w:rPr>
            </w:pPr>
          </w:p>
        </w:tc>
        <w:tc>
          <w:tcPr>
            <w:tcW w:w="756"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3</w:t>
            </w:r>
          </w:p>
        </w:tc>
        <w:tc>
          <w:tcPr>
            <w:tcW w:w="1157"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58.000</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jc w:val="center"/>
        </w:trPr>
        <w:tc>
          <w:tcPr>
            <w:tcW w:w="1957" w:type="dxa"/>
            <w:gridSpan w:val="2"/>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Valid</w:t>
            </w:r>
          </w:p>
        </w:tc>
        <w:tc>
          <w:tcPr>
            <w:tcW w:w="1157" w:type="dxa"/>
            <w:tc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200.000</w:t>
            </w:r>
          </w:p>
        </w:tc>
      </w:tr>
      <w:tr>
        <w:tblPrEx>
          <w:tblBorders>
            <w:top w:val="single" w:color="70AD47" w:themeColor="accent6" w:sz="24" w:space="0"/>
            <w:left w:val="single" w:color="70AD47" w:themeColor="accent6" w:sz="24" w:space="0"/>
            <w:bottom w:val="single" w:color="70AD47" w:themeColor="accent6" w:sz="24" w:space="0"/>
            <w:right w:val="single" w:color="70AD47" w:themeColor="accent6" w:sz="24" w:space="0"/>
            <w:insideH w:val="none" w:color="auto" w:sz="0" w:space="0"/>
            <w:insideV w:val="none" w:color="auto" w:sz="0" w:space="0"/>
          </w:tblBorders>
        </w:tblPrEx>
        <w:trPr>
          <w:trHeight w:val="199" w:hRule="atLeast"/>
          <w:jc w:val="center"/>
        </w:trPr>
        <w:tc>
          <w:tcPr>
            <w:tcW w:w="1957" w:type="dxa"/>
            <w:gridSpan w:val="2"/>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Missing</w:t>
            </w:r>
          </w:p>
        </w:tc>
        <w:tc>
          <w:tcPr>
            <w:tcW w:w="1157" w:type="dxa"/>
            <w:tcBorders>
              <w:left w:val="single" w:color="FFFFFF" w:themeColor="background1" w:sz="4" w:space="0"/>
              <w:right w:val="single" w:color="FFFFFF" w:themeColor="background1" w:sz="4" w:space="0"/>
              <w:insideV w:val="single" w:sz="4" w:space="0"/>
            </w:tcBorders>
            <w:shd w:val="clear" w:color="auto" w:fill="B4C6E7" w:themeFill="accent5" w:themeFillTint="66"/>
          </w:tcPr>
          <w:p>
            <w:pPr>
              <w:autoSpaceDE w:val="0"/>
              <w:autoSpaceDN w:val="0"/>
              <w:adjustRightInd w:val="0"/>
              <w:spacing w:line="320" w:lineRule="atLeast"/>
              <w:ind w:left="60" w:right="60"/>
              <w:jc w:val="center"/>
              <w:rPr>
                <w:b/>
                <w:bCs/>
              </w:rPr>
            </w:pPr>
            <w:r>
              <w:rPr>
                <w:b/>
                <w:bCs/>
              </w:rPr>
              <w:t>.000</w:t>
            </w:r>
          </w:p>
        </w:tc>
      </w:tr>
    </w:tbl>
    <w:p>
      <w:pPr>
        <w:autoSpaceDE w:val="0"/>
        <w:autoSpaceDN w:val="0"/>
        <w:adjustRightInd w:val="0"/>
        <w:spacing w:line="400" w:lineRule="atLeast"/>
        <w:jc w:val="center"/>
        <w:rPr>
          <w:b/>
          <w:bCs/>
        </w:rPr>
      </w:pPr>
      <w:r>
        <w:rPr>
          <w:b/>
          <w:bCs/>
        </w:rPr>
        <w:t>Table 8</w:t>
      </w:r>
    </w:p>
    <w:p>
      <w:pPr>
        <w:pStyle w:val="3"/>
        <w:rPr>
          <w:color w:val="auto"/>
        </w:rPr>
      </w:pPr>
      <w:bookmarkStart w:id="14" w:name="_Toc124419746"/>
      <w:r>
        <w:rPr>
          <w:color w:val="auto"/>
        </w:rPr>
        <w:t>2.5: Explain the most common data mining and text mining methods that can be used in business with real world examples.</w:t>
      </w:r>
      <w:bookmarkEnd w:id="14"/>
      <w:r>
        <w:rPr>
          <w:color w:val="auto"/>
        </w:rPr>
        <w:t xml:space="preserve"> </w:t>
      </w:r>
    </w:p>
    <w:p>
      <w:pPr>
        <w:rPr>
          <w:b/>
          <w:bCs/>
          <w:u w:val="single"/>
        </w:rPr>
      </w:pPr>
      <w:r>
        <w:rPr>
          <w:b/>
          <w:bCs/>
          <w:u w:val="single"/>
        </w:rPr>
        <w:t xml:space="preserve">Text and data mining (TDM): </w:t>
      </w:r>
      <w:r>
        <w:t xml:space="preserve">It is the process that encompasses various different activities which involves identifying the potential relevant documents after that turning these documents into machine readable format so that necessary data can be extracted which can be in the form of new information, testing of hypothesis and identifying new relationships </w:t>
      </w:r>
      <w:r>
        <w:rPr>
          <w:color w:val="auto"/>
          <w:szCs w:val="24"/>
          <w:shd w:val="clear" w:color="auto" w:fill="FFFFFF"/>
        </w:rPr>
        <w:t>(Salinas and et.al., 2020).</w:t>
      </w:r>
      <w:r>
        <w:t xml:space="preserve"> There are certainly various common methods in the data and text mining which are as:</w:t>
      </w:r>
    </w:p>
    <w:p>
      <w:pPr>
        <w:pStyle w:val="92"/>
        <w:numPr>
          <w:ilvl w:val="0"/>
          <w:numId w:val="2"/>
        </w:numPr>
        <w:rPr>
          <w:b/>
          <w:bCs/>
          <w:u w:val="single"/>
        </w:rPr>
      </w:pPr>
      <w:r>
        <w:rPr>
          <w:b/>
          <w:bCs/>
          <w:u w:val="single"/>
        </w:rPr>
        <w:t>Association rules</w:t>
      </w:r>
      <w:r>
        <w:t>: It is type of data and text mining method which is a rule based machine learning technique and help in discovering relations among different variable in large set of data base. The purpose is to identify hidden pattern among the data set and then finding out any correlation between those sets.</w:t>
      </w:r>
    </w:p>
    <w:p>
      <w:pPr>
        <w:pStyle w:val="92"/>
        <w:rPr>
          <w:b/>
          <w:bCs/>
          <w:u w:val="single"/>
        </w:rPr>
      </w:pPr>
    </w:p>
    <w:p>
      <w:pPr>
        <w:pStyle w:val="92"/>
        <w:numPr>
          <w:ilvl w:val="0"/>
          <w:numId w:val="2"/>
        </w:numPr>
        <w:rPr>
          <w:b/>
          <w:bCs/>
          <w:u w:val="single"/>
        </w:rPr>
      </w:pPr>
      <w:r>
        <w:rPr>
          <w:b/>
          <w:bCs/>
          <w:u w:val="single"/>
        </w:rPr>
        <w:t>Classification</w:t>
      </w:r>
      <w:r>
        <w:t xml:space="preserve">: this method is used for making different classification between the data sets. The data are recognised, differentiated and understood along with that classification is also carried out as per the classes or group so as to discover differed patterns and trends into the same group.  </w:t>
      </w:r>
    </w:p>
    <w:p>
      <w:pPr>
        <w:rPr>
          <w:b/>
          <w:bCs/>
          <w:u w:val="single"/>
        </w:rPr>
      </w:pPr>
    </w:p>
    <w:p>
      <w:pPr>
        <w:pStyle w:val="92"/>
        <w:numPr>
          <w:ilvl w:val="0"/>
          <w:numId w:val="2"/>
        </w:numPr>
        <w:rPr>
          <w:b/>
          <w:bCs/>
          <w:u w:val="single"/>
        </w:rPr>
      </w:pPr>
      <w:r>
        <w:rPr>
          <w:b/>
          <w:bCs/>
          <w:u w:val="single"/>
        </w:rPr>
        <w:t>SAS data mining</w:t>
      </w:r>
      <w:r>
        <w:t xml:space="preserve">: SAS or Statistical Analysis System is used to make analysis using different sets of data. This type of data mining facilitates sorting of relevant data from big chunks of data and then making the comparison based on those sets so as to draw meaningful conclusions. The SAS data mining helps the user cleaning the data, removing all the necessary errors and eliminating duplicate and useless sets while also filling null values </w:t>
      </w:r>
      <w:r>
        <w:rPr>
          <w:color w:val="auto"/>
          <w:szCs w:val="24"/>
          <w:shd w:val="clear" w:color="auto" w:fill="FFFFFF"/>
        </w:rPr>
        <w:t>(Selwyn, 2022).</w:t>
      </w:r>
    </w:p>
    <w:p>
      <w:pPr>
        <w:rPr>
          <w:b/>
          <w:bCs/>
          <w:u w:val="single"/>
        </w:rPr>
      </w:pPr>
    </w:p>
    <w:p>
      <w:pPr>
        <w:pStyle w:val="92"/>
        <w:numPr>
          <w:ilvl w:val="0"/>
          <w:numId w:val="2"/>
        </w:numPr>
        <w:rPr>
          <w:b/>
          <w:bCs/>
          <w:u w:val="single"/>
        </w:rPr>
      </w:pPr>
      <w:r>
        <w:rPr>
          <w:b/>
          <w:bCs/>
          <w:u w:val="single"/>
        </w:rPr>
        <w:t>Oracle data mining:</w:t>
      </w:r>
      <w:r>
        <w:t xml:space="preserve"> This a type of data mining which includes various algorithms related to mining and processing of data like classification, making predictions using different data sets, making regression, association, feature selection, anomaly detection, feature extraction and specialized analytics. Oracle data mining is a part of Oracle Advanced analytics which helps in distinction between numerical, categorical and unstructured attributes.</w:t>
      </w:r>
    </w:p>
    <w:p>
      <w:pPr>
        <w:pStyle w:val="92"/>
        <w:numPr>
          <w:ilvl w:val="0"/>
          <w:numId w:val="2"/>
        </w:numPr>
        <w:rPr>
          <w:color w:val="auto"/>
          <w:szCs w:val="24"/>
          <w:shd w:val="clear" w:color="auto" w:fill="FFFFFF"/>
        </w:rPr>
      </w:pPr>
      <w:r>
        <w:rPr>
          <w:b/>
          <w:bCs/>
          <w:u w:val="single"/>
        </w:rPr>
        <w:t>Weka:</w:t>
      </w:r>
      <w:r>
        <w:t xml:space="preserve">  It is a type of data mining method which supports several task related to the data mining such as data pre-processing, classification, clustering of data, association of data, selecting different attributes and making visualization for easy understanding by the user. The data which is taken as input in the weka must be formatted as per the attribute-relational file format and the filename must be with the arff extension (</w:t>
      </w:r>
      <w:r>
        <w:rPr>
          <w:color w:val="auto"/>
          <w:szCs w:val="24"/>
          <w:shd w:val="clear" w:color="auto" w:fill="FFFFFF"/>
        </w:rPr>
        <w:t>Shreiner, 2020).</w:t>
      </w:r>
    </w:p>
    <w:p/>
    <w:p>
      <w:pPr>
        <w:pStyle w:val="3"/>
        <w:rPr>
          <w:color w:val="auto"/>
        </w:rPr>
      </w:pPr>
      <w:bookmarkStart w:id="15" w:name="_Toc124419747"/>
      <w:r>
        <w:rPr>
          <w:color w:val="auto"/>
        </w:rPr>
        <w:t>2.6: Discuss the advantages and disadvantages of using SPSS and Excel using relevant practical examples and present your discussions in a table.</w:t>
      </w:r>
      <w:bookmarkEnd w:id="15"/>
    </w:p>
    <w:p/>
    <w:p>
      <w:pPr>
        <w:pStyle w:val="6"/>
        <w:rPr>
          <w:szCs w:val="24"/>
        </w:rPr>
      </w:pPr>
      <w:r>
        <w:rPr>
          <w:b/>
        </w:rPr>
        <w:t>SPSS:</w:t>
      </w:r>
      <w:r>
        <w:t xml:space="preserve"> Statistical package for social science is a type of software program which is used by different people especially researchers in various disciplines so as to make a detailed analysis of complex data. This software is developed by IBM for the different purpose like data management, advanced analytics, business intelligence and criminal investigation. The various features of SPSS include </w:t>
      </w:r>
      <w:r>
        <w:rPr>
          <w:szCs w:val="24"/>
        </w:rPr>
        <w:t>reproducible output, simplifying repetitive tasks, and handling complex data manipulations and analyses. Following are some of the advantages and disadvantages of SPSS.</w:t>
      </w:r>
    </w:p>
    <w:p>
      <w:pPr>
        <w:pStyle w:val="6"/>
      </w:pPr>
    </w:p>
    <w:tbl>
      <w:tblPr>
        <w:tblStyle w:val="9"/>
        <w:tblW w:w="0" w:type="auto"/>
        <w:tblInd w:w="55" w:type="dxa"/>
        <w:tblLayout w:type="fixed"/>
        <w:tblCellMar>
          <w:top w:w="55" w:type="dxa"/>
          <w:left w:w="55" w:type="dxa"/>
          <w:bottom w:w="55" w:type="dxa"/>
          <w:right w:w="55" w:type="dxa"/>
        </w:tblCellMar>
      </w:tblPr>
      <w:tblGrid>
        <w:gridCol w:w="4680"/>
        <w:gridCol w:w="4680"/>
      </w:tblGrid>
      <w:tr>
        <w:tc>
          <w:tcPr>
            <w:tcW w:w="4680" w:type="dxa"/>
            <w:tcBorders>
              <w:top w:val="single" w:color="000000" w:sz="0" w:space="0"/>
              <w:left w:val="single" w:color="000000" w:sz="0" w:space="0"/>
              <w:bottom w:val="single" w:color="000000" w:sz="0" w:space="0"/>
            </w:tcBorders>
            <w:shd w:val="clear" w:color="auto" w:fill="auto"/>
          </w:tcPr>
          <w:p>
            <w:pPr>
              <w:pStyle w:val="67"/>
            </w:pPr>
            <w:r>
              <w:t>Advantages of SPSS</w:t>
            </w:r>
          </w:p>
        </w:tc>
        <w:tc>
          <w:tcPr>
            <w:tcW w:w="4680" w:type="dxa"/>
            <w:tcBorders>
              <w:top w:val="single" w:color="000000" w:sz="0" w:space="0"/>
              <w:left w:val="single" w:color="000000" w:sz="0" w:space="0"/>
              <w:bottom w:val="single" w:color="000000" w:sz="0" w:space="0"/>
              <w:right w:val="single" w:color="000000" w:sz="0" w:space="0"/>
            </w:tcBorders>
            <w:shd w:val="clear" w:color="auto" w:fill="auto"/>
          </w:tcPr>
          <w:p>
            <w:pPr>
              <w:pStyle w:val="67"/>
            </w:pPr>
            <w:r>
              <w:t>Disadvantages of SPSS</w:t>
            </w:r>
          </w:p>
        </w:tc>
      </w:tr>
      <w:tr>
        <w:tc>
          <w:tcPr>
            <w:tcW w:w="4680" w:type="dxa"/>
            <w:tcBorders>
              <w:left w:val="single" w:color="000000" w:sz="0" w:space="0"/>
              <w:bottom w:val="single" w:color="000000" w:sz="0" w:space="0"/>
            </w:tcBorders>
            <w:shd w:val="clear" w:color="auto" w:fill="auto"/>
          </w:tcPr>
          <w:p>
            <w:pPr>
              <w:pStyle w:val="67"/>
            </w:pPr>
            <w:r>
              <w:t xml:space="preserve">SPSS helps the user by detecting any risk in the earlier stage. It various features help in understanding the risk as well as making necessary decisions to deal with those different risks. </w:t>
            </w:r>
          </w:p>
        </w:tc>
        <w:tc>
          <w:tcPr>
            <w:tcW w:w="4680" w:type="dxa"/>
            <w:tcBorders>
              <w:left w:val="single" w:color="000000" w:sz="0" w:space="0"/>
              <w:bottom w:val="single" w:color="000000" w:sz="0" w:space="0"/>
              <w:right w:val="single" w:color="000000" w:sz="0" w:space="0"/>
            </w:tcBorders>
            <w:shd w:val="clear" w:color="auto" w:fill="auto"/>
          </w:tcPr>
          <w:p>
            <w:pPr>
              <w:pStyle w:val="67"/>
            </w:pPr>
            <w:r>
              <w:t>One of the disadvantages of SPSS includes that it cannot used for analysis of data where large datasets are involved. there are certain different field where large chunk of data is used so it is best not to use SPSS in those areas.</w:t>
            </w:r>
          </w:p>
        </w:tc>
      </w:tr>
      <w:tr>
        <w:tc>
          <w:tcPr>
            <w:tcW w:w="4680" w:type="dxa"/>
            <w:tcBorders>
              <w:left w:val="single" w:color="000000" w:sz="0" w:space="0"/>
              <w:bottom w:val="single" w:color="000000" w:sz="0" w:space="0"/>
            </w:tcBorders>
            <w:shd w:val="clear" w:color="auto" w:fill="auto"/>
          </w:tcPr>
          <w:p>
            <w:pPr>
              <w:rPr>
                <w:u w:val="single"/>
              </w:rPr>
            </w:pPr>
            <w:r>
              <w:t xml:space="preserve">Another advantage of SPSS includes Easy and quickly displays of data tables so that user can get necessary knowledge or make necessary decision using them </w:t>
            </w:r>
            <w:r>
              <w:rPr>
                <w:color w:val="auto"/>
                <w:szCs w:val="24"/>
                <w:shd w:val="clear" w:color="auto" w:fill="FFFFFF"/>
              </w:rPr>
              <w:t>(Sirichanya, and Kraisak, 2021).</w:t>
            </w:r>
          </w:p>
          <w:p>
            <w:pPr>
              <w:pStyle w:val="67"/>
            </w:pPr>
          </w:p>
        </w:tc>
        <w:tc>
          <w:tcPr>
            <w:tcW w:w="4680" w:type="dxa"/>
            <w:tcBorders>
              <w:left w:val="single" w:color="000000" w:sz="0" w:space="0"/>
              <w:bottom w:val="single" w:color="000000" w:sz="0" w:space="0"/>
              <w:right w:val="single" w:color="000000" w:sz="0" w:space="0"/>
            </w:tcBorders>
            <w:shd w:val="clear" w:color="auto" w:fill="auto"/>
          </w:tcPr>
          <w:p>
            <w:pPr>
              <w:pStyle w:val="67"/>
            </w:pPr>
            <w:r>
              <w:t>Another disadvantage of SPSS is that sometimes if the researchers fails to collect data using right methods and if the gap between sample and the actual data is huge then it can  leads to producing of misleading data.</w:t>
            </w:r>
          </w:p>
        </w:tc>
      </w:tr>
      <w:tr>
        <w:tc>
          <w:tcPr>
            <w:tcW w:w="4680" w:type="dxa"/>
            <w:tcBorders>
              <w:left w:val="single" w:color="000000" w:sz="0" w:space="0"/>
              <w:bottom w:val="single" w:color="000000" w:sz="0" w:space="0"/>
            </w:tcBorders>
            <w:shd w:val="clear" w:color="auto" w:fill="auto"/>
          </w:tcPr>
          <w:p>
            <w:pPr>
              <w:pStyle w:val="67"/>
            </w:pPr>
            <w:r>
              <w:t xml:space="preserve">SPSS also helps in improving customer satisfaction because it facilitates the businesses in early detection of any type of fraud as well analysis of the market trends so directly it benefits the customer as they get right type of goods and services as per their requirements. </w:t>
            </w:r>
          </w:p>
        </w:tc>
        <w:tc>
          <w:tcPr>
            <w:tcW w:w="4680" w:type="dxa"/>
            <w:tcBorders>
              <w:left w:val="single" w:color="000000" w:sz="0" w:space="0"/>
              <w:bottom w:val="single" w:color="000000" w:sz="0" w:space="0"/>
              <w:right w:val="single" w:color="000000" w:sz="0" w:space="0"/>
            </w:tcBorders>
            <w:shd w:val="clear" w:color="auto" w:fill="auto"/>
          </w:tcPr>
          <w:p>
            <w:pPr>
              <w:pStyle w:val="67"/>
            </w:pPr>
            <w:r>
              <w:t xml:space="preserve">SPSS is considered to be very expensive software so totally not a good choice when it comes to the student. Along with that there is need of training to understand the application which also act as a additional cost </w:t>
            </w:r>
            <w:r>
              <w:rPr>
                <w:color w:val="auto"/>
                <w:szCs w:val="24"/>
                <w:shd w:val="clear" w:color="auto" w:fill="FFFFFF"/>
              </w:rPr>
              <w:t>(Strantz, 2021).</w:t>
            </w:r>
          </w:p>
        </w:tc>
      </w:tr>
      <w:tr>
        <w:tc>
          <w:tcPr>
            <w:tcW w:w="4680" w:type="dxa"/>
            <w:tcBorders>
              <w:left w:val="single" w:color="000000" w:sz="0" w:space="0"/>
              <w:bottom w:val="single" w:color="000000" w:sz="0" w:space="0"/>
            </w:tcBorders>
            <w:shd w:val="clear" w:color="auto" w:fill="auto"/>
          </w:tcPr>
          <w:p>
            <w:pPr>
              <w:pStyle w:val="67"/>
            </w:pPr>
            <w:r>
              <w:t xml:space="preserve">One of the advantage of SPSS includes making predictive analysis which helps the different users in understand the trends and patterns like in an business context this can immensely help in increase profitability and efficiency of an organisation. </w:t>
            </w:r>
          </w:p>
        </w:tc>
        <w:tc>
          <w:tcPr>
            <w:tcW w:w="4680" w:type="dxa"/>
            <w:tcBorders>
              <w:left w:val="single" w:color="000000" w:sz="0" w:space="0"/>
              <w:bottom w:val="single" w:color="000000" w:sz="0" w:space="0"/>
              <w:right w:val="single" w:color="000000" w:sz="0" w:space="0"/>
            </w:tcBorders>
            <w:shd w:val="clear" w:color="auto" w:fill="auto"/>
          </w:tcPr>
          <w:p>
            <w:pPr>
              <w:pStyle w:val="67"/>
            </w:pPr>
          </w:p>
        </w:tc>
      </w:tr>
    </w:tbl>
    <w:p>
      <w:pPr>
        <w:pStyle w:val="6"/>
      </w:pPr>
    </w:p>
    <w:p>
      <w:pPr>
        <w:rPr>
          <w:color w:val="auto"/>
          <w:szCs w:val="24"/>
          <w:shd w:val="clear" w:color="auto" w:fill="FFFFFF"/>
        </w:rPr>
      </w:pPr>
      <w:r>
        <w:rPr>
          <w:b/>
          <w:bCs/>
          <w:u w:val="single"/>
        </w:rPr>
        <w:t>Excel:</w:t>
      </w:r>
      <w:r>
        <w:t xml:space="preserve"> MS excel is a type of software application which is owned by Microsoft. It provides a platform in the form of spreadsheet where user can have carried out various analysis of different datasets. MS excel is widely used various different purpose as it gave the benefit of organising the data, formatting the data as well as calculating the data. The features include doing basic calculations, using different charts for presenting the data, creating pivot tables and various other useful features (</w:t>
      </w:r>
      <w:r>
        <w:rPr>
          <w:color w:val="auto"/>
          <w:szCs w:val="24"/>
          <w:shd w:val="clear" w:color="auto" w:fill="FFFFFF"/>
        </w:rPr>
        <w:t>Tsai and et.al., 2019).</w:t>
      </w:r>
    </w:p>
    <w:p/>
    <w:tbl>
      <w:tblPr>
        <w:tblStyle w:val="9"/>
        <w:tblW w:w="0" w:type="auto"/>
        <w:tblInd w:w="55" w:type="dxa"/>
        <w:tblLayout w:type="fixed"/>
        <w:tblCellMar>
          <w:top w:w="55" w:type="dxa"/>
          <w:left w:w="55" w:type="dxa"/>
          <w:bottom w:w="55" w:type="dxa"/>
          <w:right w:w="55" w:type="dxa"/>
        </w:tblCellMar>
      </w:tblPr>
      <w:tblGrid>
        <w:gridCol w:w="4665"/>
        <w:gridCol w:w="4680"/>
      </w:tblGrid>
      <w:tr>
        <w:tc>
          <w:tcPr>
            <w:tcW w:w="4665" w:type="dxa"/>
            <w:tcBorders>
              <w:top w:val="single" w:color="000000" w:sz="0" w:space="0"/>
              <w:left w:val="single" w:color="000000" w:sz="0" w:space="0"/>
              <w:bottom w:val="single" w:color="000000" w:sz="0" w:space="0"/>
            </w:tcBorders>
            <w:shd w:val="clear" w:color="auto" w:fill="auto"/>
          </w:tcPr>
          <w:p>
            <w:pPr>
              <w:pStyle w:val="67"/>
            </w:pPr>
            <w:r>
              <w:t>Advantages of Excel</w:t>
            </w:r>
          </w:p>
        </w:tc>
        <w:tc>
          <w:tcPr>
            <w:tcW w:w="4680" w:type="dxa"/>
            <w:tcBorders>
              <w:top w:val="single" w:color="000000" w:sz="0" w:space="0"/>
              <w:left w:val="single" w:color="000000" w:sz="0" w:space="0"/>
              <w:bottom w:val="single" w:color="000000" w:sz="0" w:space="0"/>
              <w:right w:val="single" w:color="000000" w:sz="0" w:space="0"/>
            </w:tcBorders>
            <w:shd w:val="clear" w:color="auto" w:fill="auto"/>
          </w:tcPr>
          <w:p>
            <w:pPr>
              <w:pStyle w:val="67"/>
            </w:pPr>
            <w:r>
              <w:t>Disadvantages of Excel</w:t>
            </w:r>
          </w:p>
        </w:tc>
      </w:tr>
      <w:tr>
        <w:tc>
          <w:tcPr>
            <w:tcW w:w="4665" w:type="dxa"/>
            <w:tcBorders>
              <w:left w:val="single" w:color="000000" w:sz="0" w:space="0"/>
              <w:bottom w:val="single" w:color="000000" w:sz="0" w:space="0"/>
            </w:tcBorders>
            <w:shd w:val="clear" w:color="auto" w:fill="auto"/>
          </w:tcPr>
          <w:p>
            <w:pPr>
              <w:pStyle w:val="67"/>
            </w:pPr>
            <w:r>
              <w:t>One of the biggest advantage of using MS excel is that it is able to carry operation on large amount of data without any complexity. A user can easily organise, format and calculate large amount of data.</w:t>
            </w:r>
          </w:p>
        </w:tc>
        <w:tc>
          <w:tcPr>
            <w:tcW w:w="4680" w:type="dxa"/>
            <w:tcBorders>
              <w:left w:val="single" w:color="000000" w:sz="0" w:space="0"/>
              <w:bottom w:val="single" w:color="000000" w:sz="0" w:space="0"/>
              <w:right w:val="single" w:color="000000" w:sz="0" w:space="0"/>
            </w:tcBorders>
            <w:shd w:val="clear" w:color="auto" w:fill="auto"/>
          </w:tcPr>
          <w:p>
            <w:pPr>
              <w:pStyle w:val="67"/>
            </w:pPr>
            <w:r>
              <w:t>MS excel is a software tool but there is need that the user has basic learning about executing it different function so this act as  an disadvantage because for making its full utilisation it is needed by user that it has full knowledge for all its functions.</w:t>
            </w:r>
          </w:p>
        </w:tc>
      </w:tr>
      <w:tr>
        <w:tc>
          <w:tcPr>
            <w:tcW w:w="4665" w:type="dxa"/>
            <w:tcBorders>
              <w:left w:val="single" w:color="000000" w:sz="0" w:space="0"/>
              <w:bottom w:val="single" w:color="000000" w:sz="0" w:space="0"/>
            </w:tcBorders>
            <w:shd w:val="clear" w:color="auto" w:fill="auto"/>
          </w:tcPr>
          <w:p>
            <w:pPr>
              <w:pStyle w:val="67"/>
            </w:pPr>
            <w:r>
              <w:t>It facilitates easy calculations on any types of number and dataset along with application of various mathematical formulas.</w:t>
            </w:r>
          </w:p>
        </w:tc>
        <w:tc>
          <w:tcPr>
            <w:tcW w:w="4680" w:type="dxa"/>
            <w:tcBorders>
              <w:left w:val="single" w:color="000000" w:sz="0" w:space="0"/>
              <w:bottom w:val="single" w:color="000000" w:sz="0" w:space="0"/>
              <w:right w:val="single" w:color="000000" w:sz="0" w:space="0"/>
            </w:tcBorders>
            <w:shd w:val="clear" w:color="auto" w:fill="auto"/>
          </w:tcPr>
          <w:p>
            <w:pPr>
              <w:pStyle w:val="67"/>
            </w:pPr>
            <w:r>
              <w:t>Though the excel provides easy calculation on all types of data there is huge chance of not being able to detect any error. If sometimes while inserting the data user made a mistake then excel is not able to detect such humanly mistakes.</w:t>
            </w:r>
          </w:p>
        </w:tc>
      </w:tr>
      <w:tr>
        <w:tc>
          <w:tcPr>
            <w:tcW w:w="4665" w:type="dxa"/>
            <w:tcBorders>
              <w:left w:val="single" w:color="000000" w:sz="0" w:space="0"/>
              <w:bottom w:val="single" w:color="000000" w:sz="0" w:space="0"/>
            </w:tcBorders>
            <w:shd w:val="clear" w:color="auto" w:fill="auto"/>
          </w:tcPr>
          <w:p>
            <w:pPr>
              <w:pStyle w:val="67"/>
            </w:pPr>
            <w:r>
              <w:t xml:space="preserve">As the excel is widely used by large base of users, whether it is the small organisation or large organisation all uses MS excel to process their data so it easily gets third party support which means its files can easily be opened in any other devices.  </w:t>
            </w:r>
          </w:p>
        </w:tc>
        <w:tc>
          <w:tcPr>
            <w:tcW w:w="4680" w:type="dxa"/>
            <w:tcBorders>
              <w:left w:val="single" w:color="000000" w:sz="0" w:space="0"/>
              <w:bottom w:val="single" w:color="000000" w:sz="0" w:space="0"/>
              <w:right w:val="single" w:color="000000" w:sz="0" w:space="0"/>
            </w:tcBorders>
            <w:shd w:val="clear" w:color="auto" w:fill="auto"/>
          </w:tcPr>
          <w:p>
            <w:pPr>
              <w:pStyle w:val="67"/>
            </w:pPr>
            <w:r>
              <w:t xml:space="preserve">One of the disadvantage of using excel is that while it supports functioning on large data sometimes it becomes very time consuming while entering the data manually </w:t>
            </w:r>
            <w:r>
              <w:rPr>
                <w:color w:val="auto"/>
                <w:szCs w:val="24"/>
                <w:shd w:val="clear" w:color="auto" w:fill="FFFFFF"/>
              </w:rPr>
              <w:t>(Wu and et.al., 2021).</w:t>
            </w:r>
          </w:p>
        </w:tc>
      </w:tr>
    </w:tbl>
    <w:p/>
    <w:p/>
    <w:p>
      <w:pPr>
        <w:pStyle w:val="2"/>
      </w:pPr>
      <w:bookmarkStart w:id="16" w:name="_Toc124419748"/>
      <w:r>
        <w:t>CONCLUSION</w:t>
      </w:r>
      <w:bookmarkEnd w:id="16"/>
    </w:p>
    <w:p>
      <w:pPr>
        <w:pStyle w:val="6"/>
        <w:ind w:firstLine="432"/>
      </w:pPr>
      <w:r>
        <w:t>It can be concluded that in the report, detailed discussion about the data handling and business intelligence has been included. In the report two different sets has been calculated and explained. Firstly, is The superstore set in which profits and sales of each year has been calculated using MS Excel where it has been found out that sales have been declining since 2009 and the region with highest sales is Ontario</w:t>
      </w:r>
      <w:r>
        <w:rPr>
          <w:color w:val="222222"/>
        </w:rPr>
        <w:t>.</w:t>
      </w:r>
      <w:r>
        <w:t xml:space="preserve"> The second part includes presentation of data using pie charts along with different questions that has been analysed using analytical tools. The final conclusion drawn is that the mean of strawberry and chocolate ice cream preferring people is 52.5, the total number of males and females in the observation is 91 and 109 respectively. Hence the report has covered 2 parts with the required tasks to be done. Various visuals have been represented along with the analyses data and business intelligence. </w:t>
      </w:r>
    </w:p>
    <w:p>
      <w:pPr>
        <w:pStyle w:val="6"/>
        <w:ind w:firstLine="432"/>
      </w:pPr>
    </w:p>
    <w:p>
      <w:pPr>
        <w:pStyle w:val="6"/>
        <w:ind w:firstLine="432"/>
        <w:rPr>
          <w:lang w:val="en-IN"/>
        </w:rPr>
      </w:pPr>
    </w:p>
    <w:p>
      <w:pPr>
        <w:pStyle w:val="2"/>
      </w:pPr>
      <w:bookmarkStart w:id="17" w:name="_Toc124419749"/>
      <w:r>
        <w:t>REFERENCES</w:t>
      </w:r>
      <w:bookmarkEnd w:id="17"/>
    </w:p>
    <w:p>
      <w:pPr>
        <w:pStyle w:val="3"/>
      </w:pPr>
      <w:r>
        <w:t>Books and Journals</w:t>
      </w:r>
    </w:p>
    <w:p>
      <w:pPr>
        <w:spacing w:line="240" w:lineRule="auto"/>
        <w:ind w:left="851" w:hanging="851"/>
        <w:rPr>
          <w:color w:val="auto"/>
          <w:szCs w:val="24"/>
          <w:shd w:val="clear" w:color="auto" w:fill="FFFFFF"/>
        </w:rPr>
      </w:pPr>
      <w:r>
        <w:rPr>
          <w:color w:val="auto"/>
          <w:szCs w:val="24"/>
          <w:shd w:val="clear" w:color="auto" w:fill="FFFFFF"/>
        </w:rPr>
        <w:t>Ain, N., and et.al., 2019. Two decades of research on business intelligence system adoption, utilization and success–A systematic literature review. </w:t>
      </w:r>
      <w:r>
        <w:rPr>
          <w:iCs/>
          <w:color w:val="auto"/>
          <w:szCs w:val="24"/>
          <w:shd w:val="clear" w:color="auto" w:fill="FFFFFF"/>
        </w:rPr>
        <w:t>Decision Support Systems</w:t>
      </w:r>
      <w:r>
        <w:rPr>
          <w:color w:val="auto"/>
          <w:szCs w:val="24"/>
          <w:shd w:val="clear" w:color="auto" w:fill="FFFFFF"/>
        </w:rPr>
        <w:t>. </w:t>
      </w:r>
      <w:r>
        <w:rPr>
          <w:iCs/>
          <w:color w:val="auto"/>
          <w:szCs w:val="24"/>
          <w:shd w:val="clear" w:color="auto" w:fill="FFFFFF"/>
        </w:rPr>
        <w:t>125</w:t>
      </w:r>
      <w:r>
        <w:rPr>
          <w:color w:val="auto"/>
          <w:szCs w:val="24"/>
          <w:shd w:val="clear" w:color="auto" w:fill="FFFFFF"/>
        </w:rPr>
        <w:t>. p.113113.</w:t>
      </w:r>
    </w:p>
    <w:p>
      <w:pPr>
        <w:spacing w:line="240" w:lineRule="auto"/>
        <w:ind w:left="851" w:hanging="851"/>
        <w:rPr>
          <w:color w:val="auto"/>
          <w:szCs w:val="24"/>
          <w:shd w:val="clear" w:color="auto" w:fill="FFFFFF"/>
        </w:rPr>
      </w:pPr>
      <w:r>
        <w:rPr>
          <w:color w:val="auto"/>
          <w:szCs w:val="24"/>
          <w:shd w:val="clear" w:color="auto" w:fill="FFFFFF"/>
        </w:rPr>
        <w:t>Bordeleau, F.E., Mosconi, E. and de Santa-Eulalia, L.A., 2020. Business intelligence and analytics value creation in Industry 4.0: a multiple case study in manufacturing medium enterprises. </w:t>
      </w:r>
      <w:r>
        <w:rPr>
          <w:iCs/>
          <w:color w:val="auto"/>
          <w:szCs w:val="24"/>
          <w:shd w:val="clear" w:color="auto" w:fill="FFFFFF"/>
        </w:rPr>
        <w:t>Production Planning &amp; Control</w:t>
      </w:r>
      <w:r>
        <w:rPr>
          <w:color w:val="auto"/>
          <w:szCs w:val="24"/>
          <w:shd w:val="clear" w:color="auto" w:fill="FFFFFF"/>
        </w:rPr>
        <w:t>. </w:t>
      </w:r>
      <w:r>
        <w:rPr>
          <w:iCs/>
          <w:color w:val="auto"/>
          <w:szCs w:val="24"/>
          <w:shd w:val="clear" w:color="auto" w:fill="FFFFFF"/>
        </w:rPr>
        <w:t>31</w:t>
      </w:r>
      <w:r>
        <w:rPr>
          <w:color w:val="auto"/>
          <w:szCs w:val="24"/>
          <w:shd w:val="clear" w:color="auto" w:fill="FFFFFF"/>
        </w:rPr>
        <w:t>(2-3). pp.173-185.</w:t>
      </w:r>
    </w:p>
    <w:p>
      <w:pPr>
        <w:spacing w:line="240" w:lineRule="auto"/>
        <w:ind w:left="851" w:hanging="851"/>
        <w:rPr>
          <w:color w:val="auto"/>
          <w:szCs w:val="24"/>
          <w:shd w:val="clear" w:color="auto" w:fill="FFFFFF"/>
        </w:rPr>
      </w:pPr>
      <w:r>
        <w:rPr>
          <w:color w:val="auto"/>
          <w:szCs w:val="24"/>
          <w:shd w:val="clear" w:color="auto" w:fill="FFFFFF"/>
        </w:rPr>
        <w:t>Dogan, A. and Birant, D., 2021. Machine learning and data mining in manufacturing. </w:t>
      </w:r>
      <w:r>
        <w:rPr>
          <w:iCs/>
          <w:color w:val="auto"/>
          <w:szCs w:val="24"/>
          <w:shd w:val="clear" w:color="auto" w:fill="FFFFFF"/>
        </w:rPr>
        <w:t>Expert Systems with Applications</w:t>
      </w:r>
      <w:r>
        <w:rPr>
          <w:color w:val="auto"/>
          <w:szCs w:val="24"/>
          <w:shd w:val="clear" w:color="auto" w:fill="FFFFFF"/>
        </w:rPr>
        <w:t>. </w:t>
      </w:r>
      <w:r>
        <w:rPr>
          <w:iCs/>
          <w:color w:val="auto"/>
          <w:szCs w:val="24"/>
          <w:shd w:val="clear" w:color="auto" w:fill="FFFFFF"/>
        </w:rPr>
        <w:t>166</w:t>
      </w:r>
      <w:r>
        <w:rPr>
          <w:color w:val="auto"/>
          <w:szCs w:val="24"/>
          <w:shd w:val="clear" w:color="auto" w:fill="FFFFFF"/>
        </w:rPr>
        <w:t>. p.114060.</w:t>
      </w:r>
    </w:p>
    <w:p>
      <w:pPr>
        <w:spacing w:line="240" w:lineRule="auto"/>
        <w:ind w:left="851" w:hanging="851"/>
        <w:rPr>
          <w:color w:val="auto"/>
          <w:szCs w:val="24"/>
          <w:shd w:val="clear" w:color="auto" w:fill="FFFFFF"/>
        </w:rPr>
      </w:pPr>
      <w:r>
        <w:rPr>
          <w:color w:val="auto"/>
          <w:szCs w:val="24"/>
          <w:shd w:val="clear" w:color="auto" w:fill="FFFFFF"/>
        </w:rPr>
        <w:t>Jelen, B., 2019. Excel: WILDCARDS IN VLOOKUP AND SUMIFS. </w:t>
      </w:r>
      <w:r>
        <w:rPr>
          <w:iCs/>
          <w:color w:val="auto"/>
          <w:szCs w:val="24"/>
          <w:shd w:val="clear" w:color="auto" w:fill="FFFFFF"/>
        </w:rPr>
        <w:t>Strategic Finance</w:t>
      </w:r>
      <w:r>
        <w:rPr>
          <w:color w:val="auto"/>
          <w:szCs w:val="24"/>
          <w:shd w:val="clear" w:color="auto" w:fill="FFFFFF"/>
        </w:rPr>
        <w:t>. </w:t>
      </w:r>
      <w:r>
        <w:rPr>
          <w:iCs/>
          <w:color w:val="auto"/>
          <w:szCs w:val="24"/>
          <w:shd w:val="clear" w:color="auto" w:fill="FFFFFF"/>
        </w:rPr>
        <w:t>100</w:t>
      </w:r>
      <w:r>
        <w:rPr>
          <w:color w:val="auto"/>
          <w:szCs w:val="24"/>
          <w:shd w:val="clear" w:color="auto" w:fill="FFFFFF"/>
        </w:rPr>
        <w:t>(11). pp.62-63.</w:t>
      </w:r>
    </w:p>
    <w:p>
      <w:pPr>
        <w:spacing w:line="240" w:lineRule="auto"/>
        <w:ind w:left="851" w:hanging="851"/>
        <w:rPr>
          <w:color w:val="auto"/>
          <w:szCs w:val="24"/>
          <w:shd w:val="clear" w:color="auto" w:fill="FFFFFF"/>
        </w:rPr>
      </w:pPr>
      <w:r>
        <w:rPr>
          <w:color w:val="auto"/>
          <w:szCs w:val="24"/>
          <w:shd w:val="clear" w:color="auto" w:fill="FFFFFF"/>
        </w:rPr>
        <w:t>JELEN, B., 2022. VLOOKUP FOR SPEED. </w:t>
      </w:r>
      <w:r>
        <w:rPr>
          <w:iCs/>
          <w:color w:val="auto"/>
          <w:szCs w:val="24"/>
          <w:shd w:val="clear" w:color="auto" w:fill="FFFFFF"/>
        </w:rPr>
        <w:t>STRATEGIC FINANCE</w:t>
      </w:r>
      <w:r>
        <w:rPr>
          <w:color w:val="auto"/>
          <w:szCs w:val="24"/>
          <w:shd w:val="clear" w:color="auto" w:fill="FFFFFF"/>
        </w:rPr>
        <w:t>.</w:t>
      </w:r>
    </w:p>
    <w:p>
      <w:pPr>
        <w:spacing w:line="240" w:lineRule="auto"/>
        <w:ind w:left="851" w:hanging="851"/>
        <w:rPr>
          <w:color w:val="auto"/>
          <w:szCs w:val="24"/>
          <w:shd w:val="clear" w:color="auto" w:fill="FFFFFF"/>
        </w:rPr>
      </w:pPr>
      <w:r>
        <w:rPr>
          <w:color w:val="auto"/>
          <w:szCs w:val="24"/>
          <w:shd w:val="clear" w:color="auto" w:fill="FFFFFF"/>
        </w:rPr>
        <w:t>Kim, M., and et.al., 2019. Visualization for internet of things: power system and financial network cases. </w:t>
      </w:r>
      <w:r>
        <w:rPr>
          <w:iCs/>
          <w:color w:val="auto"/>
          <w:szCs w:val="24"/>
          <w:shd w:val="clear" w:color="auto" w:fill="FFFFFF"/>
        </w:rPr>
        <w:t>Multimedia Tools and Applications</w:t>
      </w:r>
      <w:r>
        <w:rPr>
          <w:color w:val="auto"/>
          <w:szCs w:val="24"/>
          <w:shd w:val="clear" w:color="auto" w:fill="FFFFFF"/>
        </w:rPr>
        <w:t>. </w:t>
      </w:r>
      <w:r>
        <w:rPr>
          <w:iCs/>
          <w:color w:val="auto"/>
          <w:szCs w:val="24"/>
          <w:shd w:val="clear" w:color="auto" w:fill="FFFFFF"/>
        </w:rPr>
        <w:t>78</w:t>
      </w:r>
      <w:r>
        <w:rPr>
          <w:color w:val="auto"/>
          <w:szCs w:val="24"/>
          <w:shd w:val="clear" w:color="auto" w:fill="FFFFFF"/>
        </w:rPr>
        <w:t>(3). pp.3241-3265.</w:t>
      </w:r>
    </w:p>
    <w:p>
      <w:pPr>
        <w:spacing w:line="240" w:lineRule="auto"/>
        <w:ind w:left="851" w:hanging="851"/>
        <w:rPr>
          <w:color w:val="auto"/>
          <w:szCs w:val="24"/>
          <w:shd w:val="clear" w:color="auto" w:fill="FFFFFF"/>
        </w:rPr>
      </w:pPr>
      <w:r>
        <w:rPr>
          <w:color w:val="auto"/>
          <w:szCs w:val="24"/>
          <w:shd w:val="clear" w:color="auto" w:fill="FFFFFF"/>
        </w:rPr>
        <w:t>Muijs, D., 2022. Doing Quantitative Research in Education with IBM SPSS Statistics. </w:t>
      </w:r>
      <w:r>
        <w:rPr>
          <w:iCs/>
          <w:color w:val="auto"/>
          <w:szCs w:val="24"/>
          <w:shd w:val="clear" w:color="auto" w:fill="FFFFFF"/>
        </w:rPr>
        <w:t>Doing Quantitative Research in Education with IBM SPSS Statistics</w:t>
      </w:r>
      <w:r>
        <w:rPr>
          <w:color w:val="auto"/>
          <w:szCs w:val="24"/>
          <w:shd w:val="clear" w:color="auto" w:fill="FFFFFF"/>
        </w:rPr>
        <w:t>. pp.1-100.</w:t>
      </w:r>
    </w:p>
    <w:p>
      <w:pPr>
        <w:spacing w:line="240" w:lineRule="auto"/>
        <w:ind w:left="851" w:hanging="851"/>
        <w:rPr>
          <w:color w:val="auto"/>
          <w:szCs w:val="24"/>
          <w:shd w:val="clear" w:color="auto" w:fill="FFFFFF"/>
        </w:rPr>
      </w:pPr>
      <w:r>
        <w:rPr>
          <w:color w:val="auto"/>
          <w:szCs w:val="24"/>
          <w:shd w:val="clear" w:color="auto" w:fill="FFFFFF"/>
        </w:rPr>
        <w:t>Murray, A., 2022. The Infamous VLOOKUP Function. In </w:t>
      </w:r>
      <w:r>
        <w:rPr>
          <w:iCs/>
          <w:color w:val="auto"/>
          <w:szCs w:val="24"/>
          <w:shd w:val="clear" w:color="auto" w:fill="FFFFFF"/>
        </w:rPr>
        <w:t>Advanced Excel Formulas</w:t>
      </w:r>
      <w:r>
        <w:rPr>
          <w:color w:val="auto"/>
          <w:szCs w:val="24"/>
          <w:shd w:val="clear" w:color="auto" w:fill="FFFFFF"/>
        </w:rPr>
        <w:t> (pp. 329-372). Apress, Berkeley, CA.</w:t>
      </w:r>
    </w:p>
    <w:p>
      <w:pPr>
        <w:spacing w:line="240" w:lineRule="auto"/>
        <w:ind w:left="851" w:hanging="851"/>
        <w:rPr>
          <w:color w:val="auto"/>
          <w:szCs w:val="24"/>
          <w:shd w:val="clear" w:color="auto" w:fill="FFFFFF"/>
        </w:rPr>
      </w:pPr>
      <w:r>
        <w:rPr>
          <w:color w:val="auto"/>
          <w:szCs w:val="24"/>
          <w:shd w:val="clear" w:color="auto" w:fill="FFFFFF"/>
        </w:rPr>
        <w:t>Ostherr, K., 2022. Data visualization and digital contact tracing technology: Emerging forms of health media. In </w:t>
      </w:r>
      <w:r>
        <w:rPr>
          <w:iCs/>
          <w:color w:val="auto"/>
          <w:szCs w:val="24"/>
          <w:shd w:val="clear" w:color="auto" w:fill="FFFFFF"/>
        </w:rPr>
        <w:t>Routledge Handbook of Health and Media</w:t>
      </w:r>
      <w:r>
        <w:rPr>
          <w:color w:val="auto"/>
          <w:szCs w:val="24"/>
          <w:shd w:val="clear" w:color="auto" w:fill="FFFFFF"/>
        </w:rPr>
        <w:t> (pp. 401-412). Routledge.</w:t>
      </w:r>
    </w:p>
    <w:p>
      <w:pPr>
        <w:spacing w:line="240" w:lineRule="auto"/>
        <w:ind w:left="851" w:hanging="851"/>
        <w:rPr>
          <w:color w:val="auto"/>
          <w:szCs w:val="24"/>
          <w:shd w:val="clear" w:color="auto" w:fill="FFFFFF"/>
        </w:rPr>
      </w:pPr>
      <w:r>
        <w:rPr>
          <w:color w:val="auto"/>
          <w:szCs w:val="24"/>
          <w:shd w:val="clear" w:color="auto" w:fill="FFFFFF"/>
        </w:rPr>
        <w:t>Pei, J., and et.al., 2022. ECNN: evaluating a cluster-neural network model for city innovation capability. </w:t>
      </w:r>
      <w:r>
        <w:rPr>
          <w:iCs/>
          <w:color w:val="auto"/>
          <w:szCs w:val="24"/>
          <w:shd w:val="clear" w:color="auto" w:fill="FFFFFF"/>
        </w:rPr>
        <w:t>Neural Computing and Applications</w:t>
      </w:r>
      <w:r>
        <w:rPr>
          <w:color w:val="auto"/>
          <w:szCs w:val="24"/>
          <w:shd w:val="clear" w:color="auto" w:fill="FFFFFF"/>
        </w:rPr>
        <w:t>. </w:t>
      </w:r>
      <w:r>
        <w:rPr>
          <w:iCs/>
          <w:color w:val="auto"/>
          <w:szCs w:val="24"/>
          <w:shd w:val="clear" w:color="auto" w:fill="FFFFFF"/>
        </w:rPr>
        <w:t>34</w:t>
      </w:r>
      <w:r>
        <w:rPr>
          <w:color w:val="auto"/>
          <w:szCs w:val="24"/>
          <w:shd w:val="clear" w:color="auto" w:fill="FFFFFF"/>
        </w:rPr>
        <w:t>(15). pp.12331-12343.</w:t>
      </w:r>
    </w:p>
    <w:p>
      <w:pPr>
        <w:spacing w:line="240" w:lineRule="auto"/>
        <w:ind w:left="851" w:hanging="851"/>
        <w:rPr>
          <w:color w:val="auto"/>
          <w:szCs w:val="24"/>
          <w:shd w:val="clear" w:color="auto" w:fill="FFFFFF"/>
        </w:rPr>
      </w:pPr>
      <w:r>
        <w:rPr>
          <w:color w:val="auto"/>
          <w:szCs w:val="24"/>
          <w:shd w:val="clear" w:color="auto" w:fill="FFFFFF"/>
        </w:rPr>
        <w:t>Salinas, J.L., and et.al., 2020. A primer on data visualization in infection prevention and antimicrobial stewardship. </w:t>
      </w:r>
      <w:r>
        <w:rPr>
          <w:iCs/>
          <w:color w:val="auto"/>
          <w:szCs w:val="24"/>
          <w:shd w:val="clear" w:color="auto" w:fill="FFFFFF"/>
        </w:rPr>
        <w:t>Infection Control &amp; Hospital Epidemiology</w:t>
      </w:r>
      <w:r>
        <w:rPr>
          <w:color w:val="auto"/>
          <w:szCs w:val="24"/>
          <w:shd w:val="clear" w:color="auto" w:fill="FFFFFF"/>
        </w:rPr>
        <w:t>. </w:t>
      </w:r>
      <w:r>
        <w:rPr>
          <w:iCs/>
          <w:color w:val="auto"/>
          <w:szCs w:val="24"/>
          <w:shd w:val="clear" w:color="auto" w:fill="FFFFFF"/>
        </w:rPr>
        <w:t>41</w:t>
      </w:r>
      <w:r>
        <w:rPr>
          <w:color w:val="auto"/>
          <w:szCs w:val="24"/>
          <w:shd w:val="clear" w:color="auto" w:fill="FFFFFF"/>
        </w:rPr>
        <w:t>(8). pp.948-957.</w:t>
      </w:r>
    </w:p>
    <w:p>
      <w:pPr>
        <w:spacing w:line="240" w:lineRule="auto"/>
        <w:ind w:left="851" w:hanging="851"/>
        <w:rPr>
          <w:color w:val="auto"/>
          <w:szCs w:val="24"/>
          <w:shd w:val="clear" w:color="auto" w:fill="FFFFFF"/>
        </w:rPr>
      </w:pPr>
      <w:r>
        <w:rPr>
          <w:color w:val="auto"/>
          <w:szCs w:val="24"/>
          <w:shd w:val="clear" w:color="auto" w:fill="FFFFFF"/>
        </w:rPr>
        <w:t>Selwyn, N., 2022. ‘Just playing around with Excel and pivot tables’-the realities of data-driven schooling. </w:t>
      </w:r>
      <w:r>
        <w:rPr>
          <w:iCs/>
          <w:color w:val="auto"/>
          <w:szCs w:val="24"/>
          <w:shd w:val="clear" w:color="auto" w:fill="FFFFFF"/>
        </w:rPr>
        <w:t>Research Papers in Education</w:t>
      </w:r>
      <w:r>
        <w:rPr>
          <w:color w:val="auto"/>
          <w:szCs w:val="24"/>
          <w:shd w:val="clear" w:color="auto" w:fill="FFFFFF"/>
        </w:rPr>
        <w:t>. </w:t>
      </w:r>
      <w:r>
        <w:rPr>
          <w:iCs/>
          <w:color w:val="auto"/>
          <w:szCs w:val="24"/>
          <w:shd w:val="clear" w:color="auto" w:fill="FFFFFF"/>
        </w:rPr>
        <w:t>37</w:t>
      </w:r>
      <w:r>
        <w:rPr>
          <w:color w:val="auto"/>
          <w:szCs w:val="24"/>
          <w:shd w:val="clear" w:color="auto" w:fill="FFFFFF"/>
        </w:rPr>
        <w:t>(1). pp.95-114.</w:t>
      </w:r>
    </w:p>
    <w:p>
      <w:pPr>
        <w:spacing w:line="240" w:lineRule="auto"/>
        <w:ind w:left="851" w:hanging="851"/>
        <w:rPr>
          <w:color w:val="auto"/>
          <w:szCs w:val="24"/>
          <w:shd w:val="clear" w:color="auto" w:fill="FFFFFF"/>
        </w:rPr>
      </w:pPr>
      <w:r>
        <w:rPr>
          <w:color w:val="auto"/>
          <w:szCs w:val="24"/>
          <w:shd w:val="clear" w:color="auto" w:fill="FFFFFF"/>
        </w:rPr>
        <w:t>Shreiner, T.L., 2020. Data-literate citizenry: how US state standards address data and data visualizations in social studies. </w:t>
      </w:r>
      <w:r>
        <w:rPr>
          <w:iCs/>
          <w:color w:val="auto"/>
          <w:szCs w:val="24"/>
          <w:shd w:val="clear" w:color="auto" w:fill="FFFFFF"/>
        </w:rPr>
        <w:t>Information and Learning Sciences</w:t>
      </w:r>
      <w:r>
        <w:rPr>
          <w:color w:val="auto"/>
          <w:szCs w:val="24"/>
          <w:shd w:val="clear" w:color="auto" w:fill="FFFFFF"/>
        </w:rPr>
        <w:t>.</w:t>
      </w:r>
    </w:p>
    <w:p>
      <w:pPr>
        <w:spacing w:line="240" w:lineRule="auto"/>
        <w:ind w:left="851" w:hanging="851"/>
        <w:rPr>
          <w:color w:val="auto"/>
          <w:szCs w:val="24"/>
          <w:shd w:val="clear" w:color="auto" w:fill="FFFFFF"/>
        </w:rPr>
      </w:pPr>
      <w:r>
        <w:rPr>
          <w:color w:val="auto"/>
          <w:szCs w:val="24"/>
          <w:shd w:val="clear" w:color="auto" w:fill="FFFFFF"/>
        </w:rPr>
        <w:t>Sirichanya, C. and Kraisak, K., 2021. Semantic data mining in the information age: A systematic review. </w:t>
      </w:r>
      <w:r>
        <w:rPr>
          <w:iCs/>
          <w:color w:val="auto"/>
          <w:szCs w:val="24"/>
          <w:shd w:val="clear" w:color="auto" w:fill="FFFFFF"/>
        </w:rPr>
        <w:t>International Journal of Intelligent Systems</w:t>
      </w:r>
      <w:r>
        <w:rPr>
          <w:color w:val="auto"/>
          <w:szCs w:val="24"/>
          <w:shd w:val="clear" w:color="auto" w:fill="FFFFFF"/>
        </w:rPr>
        <w:t>. </w:t>
      </w:r>
      <w:r>
        <w:rPr>
          <w:iCs/>
          <w:color w:val="auto"/>
          <w:szCs w:val="24"/>
          <w:shd w:val="clear" w:color="auto" w:fill="FFFFFF"/>
        </w:rPr>
        <w:t>36</w:t>
      </w:r>
      <w:r>
        <w:rPr>
          <w:color w:val="auto"/>
          <w:szCs w:val="24"/>
          <w:shd w:val="clear" w:color="auto" w:fill="FFFFFF"/>
        </w:rPr>
        <w:t>(8). pp.3880-3916.</w:t>
      </w:r>
    </w:p>
    <w:p>
      <w:pPr>
        <w:spacing w:line="240" w:lineRule="auto"/>
        <w:ind w:left="851" w:hanging="851"/>
        <w:rPr>
          <w:color w:val="auto"/>
          <w:szCs w:val="24"/>
          <w:shd w:val="clear" w:color="auto" w:fill="FFFFFF"/>
        </w:rPr>
      </w:pPr>
      <w:r>
        <w:rPr>
          <w:color w:val="auto"/>
          <w:szCs w:val="24"/>
          <w:shd w:val="clear" w:color="auto" w:fill="FFFFFF"/>
        </w:rPr>
        <w:t>Strantz, A., 2021. Using web standards to design accessible data visualizations in professional communication. </w:t>
      </w:r>
      <w:r>
        <w:rPr>
          <w:iCs/>
          <w:color w:val="auto"/>
          <w:szCs w:val="24"/>
          <w:shd w:val="clear" w:color="auto" w:fill="FFFFFF"/>
        </w:rPr>
        <w:t>IEEE Transactions on Professional Communication</w:t>
      </w:r>
      <w:r>
        <w:rPr>
          <w:color w:val="auto"/>
          <w:szCs w:val="24"/>
          <w:shd w:val="clear" w:color="auto" w:fill="FFFFFF"/>
        </w:rPr>
        <w:t>. </w:t>
      </w:r>
      <w:r>
        <w:rPr>
          <w:iCs/>
          <w:color w:val="auto"/>
          <w:szCs w:val="24"/>
          <w:shd w:val="clear" w:color="auto" w:fill="FFFFFF"/>
        </w:rPr>
        <w:t>64</w:t>
      </w:r>
      <w:r>
        <w:rPr>
          <w:color w:val="auto"/>
          <w:szCs w:val="24"/>
          <w:shd w:val="clear" w:color="auto" w:fill="FFFFFF"/>
        </w:rPr>
        <w:t>(3). pp.288-301.</w:t>
      </w:r>
    </w:p>
    <w:p>
      <w:pPr>
        <w:spacing w:line="240" w:lineRule="auto"/>
        <w:ind w:left="851" w:hanging="851"/>
        <w:rPr>
          <w:color w:val="auto"/>
          <w:szCs w:val="24"/>
          <w:shd w:val="clear" w:color="auto" w:fill="FFFFFF"/>
        </w:rPr>
      </w:pPr>
      <w:r>
        <w:rPr>
          <w:color w:val="auto"/>
          <w:szCs w:val="24"/>
          <w:shd w:val="clear" w:color="auto" w:fill="FFFFFF"/>
        </w:rPr>
        <w:t>Tsai, C.F., and et.al., 2019. Under-sampling class imbalanced datasets by combining clustering analysis and instance selection. </w:t>
      </w:r>
      <w:r>
        <w:rPr>
          <w:iCs/>
          <w:color w:val="auto"/>
          <w:szCs w:val="24"/>
          <w:shd w:val="clear" w:color="auto" w:fill="FFFFFF"/>
        </w:rPr>
        <w:t>Information Sciences</w:t>
      </w:r>
      <w:r>
        <w:rPr>
          <w:color w:val="auto"/>
          <w:szCs w:val="24"/>
          <w:shd w:val="clear" w:color="auto" w:fill="FFFFFF"/>
        </w:rPr>
        <w:t>. </w:t>
      </w:r>
      <w:r>
        <w:rPr>
          <w:iCs/>
          <w:color w:val="auto"/>
          <w:szCs w:val="24"/>
          <w:shd w:val="clear" w:color="auto" w:fill="FFFFFF"/>
        </w:rPr>
        <w:t>477</w:t>
      </w:r>
      <w:r>
        <w:rPr>
          <w:color w:val="auto"/>
          <w:szCs w:val="24"/>
          <w:shd w:val="clear" w:color="auto" w:fill="FFFFFF"/>
        </w:rPr>
        <w:t>. pp.47-54.</w:t>
      </w:r>
    </w:p>
    <w:p>
      <w:pPr>
        <w:spacing w:line="240" w:lineRule="auto"/>
        <w:ind w:left="851" w:hanging="851"/>
        <w:rPr>
          <w:color w:val="auto"/>
          <w:szCs w:val="24"/>
          <w:shd w:val="clear" w:color="auto" w:fill="FFFFFF"/>
        </w:rPr>
      </w:pPr>
      <w:r>
        <w:rPr>
          <w:color w:val="auto"/>
          <w:szCs w:val="24"/>
          <w:shd w:val="clear" w:color="auto" w:fill="FFFFFF"/>
        </w:rPr>
        <w:t>Wu, L., and et.al., 2021. A novel kernel extreme learning machine model coupled with K-means clustering and firefly algorithm for estimating monthly reference evapotranspiration in parallel computation. </w:t>
      </w:r>
      <w:r>
        <w:rPr>
          <w:iCs/>
          <w:color w:val="auto"/>
          <w:szCs w:val="24"/>
          <w:shd w:val="clear" w:color="auto" w:fill="FFFFFF"/>
        </w:rPr>
        <w:t>Agricultural Water Management</w:t>
      </w:r>
      <w:r>
        <w:rPr>
          <w:color w:val="auto"/>
          <w:szCs w:val="24"/>
          <w:shd w:val="clear" w:color="auto" w:fill="FFFFFF"/>
        </w:rPr>
        <w:t>. </w:t>
      </w:r>
      <w:r>
        <w:rPr>
          <w:iCs/>
          <w:color w:val="auto"/>
          <w:szCs w:val="24"/>
          <w:shd w:val="clear" w:color="auto" w:fill="FFFFFF"/>
        </w:rPr>
        <w:t>245</w:t>
      </w:r>
      <w:r>
        <w:rPr>
          <w:color w:val="auto"/>
          <w:szCs w:val="24"/>
          <w:shd w:val="clear" w:color="auto" w:fill="FFFFFF"/>
        </w:rPr>
        <w:t>. p.106624.</w:t>
      </w:r>
    </w:p>
    <w:p>
      <w:pPr>
        <w:spacing w:line="240" w:lineRule="auto"/>
        <w:ind w:left="851" w:hanging="851"/>
        <w:rPr>
          <w:color w:val="auto"/>
          <w:szCs w:val="24"/>
          <w:shd w:val="clear" w:color="auto" w:fill="FFFFFF"/>
        </w:rPr>
      </w:pPr>
      <w:r>
        <w:rPr>
          <w:color w:val="auto"/>
          <w:szCs w:val="24"/>
          <w:shd w:val="clear" w:color="auto" w:fill="FFFFFF"/>
        </w:rPr>
        <w:t>Yan, H., and et.al., 2020. Data mining in the construction industry: Present status, opportunities, and future trends. </w:t>
      </w:r>
      <w:r>
        <w:rPr>
          <w:iCs/>
          <w:color w:val="auto"/>
          <w:szCs w:val="24"/>
          <w:shd w:val="clear" w:color="auto" w:fill="FFFFFF"/>
        </w:rPr>
        <w:t>Automation in Construction</w:t>
      </w:r>
      <w:r>
        <w:rPr>
          <w:color w:val="auto"/>
          <w:szCs w:val="24"/>
          <w:shd w:val="clear" w:color="auto" w:fill="FFFFFF"/>
        </w:rPr>
        <w:t>. </w:t>
      </w:r>
      <w:r>
        <w:rPr>
          <w:iCs/>
          <w:color w:val="auto"/>
          <w:szCs w:val="24"/>
          <w:shd w:val="clear" w:color="auto" w:fill="FFFFFF"/>
        </w:rPr>
        <w:t>119</w:t>
      </w:r>
      <w:r>
        <w:rPr>
          <w:color w:val="auto"/>
          <w:szCs w:val="24"/>
          <w:shd w:val="clear" w:color="auto" w:fill="FFFFFF"/>
        </w:rPr>
        <w:t>. p.103331.</w:t>
      </w:r>
    </w:p>
    <w:p>
      <w:pPr>
        <w:spacing w:line="240" w:lineRule="auto"/>
        <w:ind w:left="851" w:hanging="851"/>
        <w:rPr>
          <w:color w:val="auto"/>
          <w:szCs w:val="24"/>
          <w:shd w:val="clear" w:color="auto" w:fill="FFFFFF"/>
        </w:rPr>
      </w:pPr>
      <w:r>
        <w:rPr>
          <w:color w:val="auto"/>
          <w:szCs w:val="24"/>
          <w:shd w:val="clear" w:color="auto" w:fill="FFFFFF"/>
        </w:rPr>
        <w:t>Zhang, C. and Chen, Y., 2020. A review of research relevant to the emerging industry trends: Industry 4.0, IoT, blockchain, and business analytics. </w:t>
      </w:r>
      <w:r>
        <w:rPr>
          <w:iCs/>
          <w:color w:val="auto"/>
          <w:szCs w:val="24"/>
          <w:shd w:val="clear" w:color="auto" w:fill="FFFFFF"/>
        </w:rPr>
        <w:t>Journal of Industrial Integration and Management</w:t>
      </w:r>
      <w:r>
        <w:rPr>
          <w:color w:val="auto"/>
          <w:szCs w:val="24"/>
          <w:shd w:val="clear" w:color="auto" w:fill="FFFFFF"/>
        </w:rPr>
        <w:t>. </w:t>
      </w:r>
      <w:r>
        <w:rPr>
          <w:iCs/>
          <w:color w:val="auto"/>
          <w:szCs w:val="24"/>
          <w:shd w:val="clear" w:color="auto" w:fill="FFFFFF"/>
        </w:rPr>
        <w:t>5</w:t>
      </w:r>
      <w:r>
        <w:rPr>
          <w:color w:val="auto"/>
          <w:szCs w:val="24"/>
          <w:shd w:val="clear" w:color="auto" w:fill="FFFFFF"/>
        </w:rPr>
        <w:t>(01). pp.165-180.</w:t>
      </w:r>
    </w:p>
    <w:p>
      <w:pPr>
        <w:spacing w:line="240" w:lineRule="auto"/>
        <w:ind w:left="851" w:hanging="851"/>
        <w:rPr>
          <w:color w:val="auto"/>
          <w:szCs w:val="24"/>
          <w:shd w:val="clear" w:color="auto" w:fill="FFFFFF"/>
        </w:rPr>
      </w:pPr>
      <w:r>
        <w:rPr>
          <w:color w:val="auto"/>
          <w:szCs w:val="24"/>
          <w:shd w:val="clear" w:color="auto" w:fill="FFFFFF"/>
        </w:rPr>
        <w:t>Zhen, W., and et.al., 2021, January. Apply SPSS software to analyze the influence of new teaching method on students' physical and mental health and teaching effect. In </w:t>
      </w:r>
      <w:r>
        <w:rPr>
          <w:iCs/>
          <w:color w:val="auto"/>
          <w:szCs w:val="24"/>
          <w:shd w:val="clear" w:color="auto" w:fill="FFFFFF"/>
        </w:rPr>
        <w:t>2021 International Conference on Information Technology and Contemporary Sports (TCS)</w:t>
      </w:r>
      <w:r>
        <w:rPr>
          <w:color w:val="auto"/>
          <w:szCs w:val="24"/>
          <w:shd w:val="clear" w:color="auto" w:fill="FFFFFF"/>
        </w:rPr>
        <w:t> (pp. 565-570). IEEE.</w:t>
      </w:r>
    </w:p>
    <w:p>
      <w:pPr>
        <w:ind w:left="840" w:hanging="840"/>
        <w:jc w:val="left"/>
        <w:rPr>
          <w:rFonts w:ascii="Arial" w:hAnsi="Arial" w:cs="Arial"/>
          <w:color w:val="222222"/>
          <w:sz w:val="20"/>
          <w:szCs w:val="20"/>
          <w:shd w:val="clear" w:color="auto" w:fill="FFFFFF"/>
        </w:rPr>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ind w:left="840" w:hanging="840"/>
        <w:jc w:val="left"/>
      </w:pPr>
    </w:p>
    <w:p>
      <w:pPr>
        <w:jc w:val="left"/>
      </w:pPr>
    </w:p>
    <w:sectPr>
      <w:footerReference r:id="rId5" w:type="default"/>
      <w:pgSz w:w="12240" w:h="15840"/>
      <w:pgMar w:top="1440" w:right="1440" w:bottom="1440" w:left="1440" w:header="720" w:footer="720" w:gutter="0"/>
      <w:pgNumType w:start="1"/>
      <w:cols w:space="720" w:num="1"/>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OpenSymbol">
    <w:altName w:val="苹方-简"/>
    <w:panose1 w:val="00000000000000000000"/>
    <w:charset w:val="8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Wingdings">
    <w:panose1 w:val="05000000000000000000"/>
    <w:charset w:val="02"/>
    <w:family w:val="auto"/>
    <w:pitch w:val="default"/>
    <w:sig w:usb0="00000000" w:usb1="00000000" w:usb2="00000000" w:usb3="00000000" w:csb0="00000000" w:csb1="00000000"/>
  </w:font>
  <w:font w:name="Droid Sans">
    <w:altName w:val="苹方-简"/>
    <w:panose1 w:val="00000000000000000000"/>
    <w:charset w:val="80"/>
    <w:family w:val="auto"/>
    <w:pitch w:val="default"/>
    <w:sig w:usb0="00000000" w:usb1="00000000" w:usb2="00000000" w:usb3="00000000" w:csb0="00000000" w:csb1="00000000"/>
  </w:font>
  <w:font w:name="DejaVu Sans">
    <w:altName w:val="苹方-简"/>
    <w:panose1 w:val="00000000000000000000"/>
    <w:charset w:val="80"/>
    <w:family w:val="auto"/>
    <w:pitch w:val="default"/>
    <w:sig w:usb0="00000000" w:usb1="00000000" w:usb2="00000000" w:usb3="00000000" w:csb0="00000000" w:csb1="00000000"/>
  </w:font>
  <w:font w:name="Tinos">
    <w:altName w:val="苹方-简"/>
    <w:panose1 w:val="00000000000000000000"/>
    <w:charset w:val="80"/>
    <w:family w:val="roman"/>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open_sansregular">
    <w:altName w:val="苹方-简"/>
    <w:panose1 w:val="00000000000000000000"/>
    <w:charset w:val="00"/>
    <w:family w:val="roman"/>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Apple LiSung">
    <w:panose1 w:val="00000000000000000000"/>
    <w:charset w:val="86"/>
    <w:family w:val="auto"/>
    <w:pitch w:val="default"/>
    <w:sig w:usb0="00000000" w:usb1="00000000" w:usb2="00000000" w:usb3="00000000" w:csb0="00140000" w:csb1="00000000"/>
  </w:font>
  <w:font w:name="Tamil Sangam MN Medium">
    <w:panose1 w:val="00000500000000000000"/>
    <w:charset w:val="00"/>
    <w:family w:val="auto"/>
    <w:pitch w:val="default"/>
    <w:sig w:usb0="00000000" w:usb1="00000000" w:usb2="00000000" w:usb3="00000000" w:csb0="00000000" w:csb1="00000000"/>
  </w:font>
  <w:font w:name="Telugu MN Regular">
    <w:panose1 w:val="00000500000000000000"/>
    <w:charset w:val="00"/>
    <w:family w:val="auto"/>
    <w:pitch w:val="default"/>
    <w:sig w:usb0="00000000" w:usb1="00000000" w:usb2="00000000" w:usb3="00000000" w:csb0="00000000" w:csb1="00000000"/>
  </w:font>
  <w:font w:name="Tamil MN Regular">
    <w:panose1 w:val="000005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jc w:val="center"/>
    </w:pPr>
    <w:r>
      <w:fldChar w:fldCharType="begin"/>
    </w:r>
    <w:r>
      <w:instrText xml:space="preserve"> PAGE </w:instrText>
    </w:r>
    <w:r>
      <w:fldChar w:fldCharType="separate"/>
    </w:r>
    <w:r>
      <w:t>19</w:t>
    </w:r>
    <w:r>
      <w:fldChar w:fldCharType="end"/>
    </w:r>
  </w:p>
  <w:p>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1"/>
    <w:multiLevelType w:val="multilevel"/>
    <w:tmpl w:val="00000001"/>
    <w:lvl w:ilvl="0" w:tentative="0">
      <w:start w:val="1"/>
      <w:numFmt w:val="none"/>
      <w:pStyle w:val="2"/>
      <w:suff w:val="nothing"/>
      <w:lvlText w:val=""/>
      <w:lvlJc w:val="left"/>
      <w:pPr>
        <w:tabs>
          <w:tab w:val="left" w:pos="0"/>
        </w:tabs>
        <w:ind w:left="432" w:hanging="432"/>
      </w:pPr>
    </w:lvl>
    <w:lvl w:ilvl="1" w:tentative="0">
      <w:start w:val="1"/>
      <w:numFmt w:val="none"/>
      <w:pStyle w:val="3"/>
      <w:suff w:val="nothing"/>
      <w:lvlText w:val=""/>
      <w:lvlJc w:val="left"/>
      <w:pPr>
        <w:tabs>
          <w:tab w:val="left" w:pos="0"/>
        </w:tabs>
        <w:ind w:left="576" w:hanging="576"/>
      </w:pPr>
    </w:lvl>
    <w:lvl w:ilvl="2" w:tentative="0">
      <w:start w:val="1"/>
      <w:numFmt w:val="none"/>
      <w:pStyle w:val="4"/>
      <w:suff w:val="nothing"/>
      <w:lvlText w:val=""/>
      <w:lvlJc w:val="left"/>
      <w:pPr>
        <w:tabs>
          <w:tab w:val="left" w:pos="0"/>
        </w:tabs>
        <w:ind w:left="720" w:hanging="720"/>
      </w:pPr>
    </w:lvl>
    <w:lvl w:ilvl="3" w:tentative="0">
      <w:start w:val="1"/>
      <w:numFmt w:val="none"/>
      <w:suff w:val="nothing"/>
      <w:lvlText w:val=""/>
      <w:lvlJc w:val="left"/>
      <w:pPr>
        <w:tabs>
          <w:tab w:val="left" w:pos="864"/>
        </w:tabs>
        <w:ind w:left="864" w:hanging="864"/>
      </w:pPr>
    </w:lvl>
    <w:lvl w:ilvl="4" w:tentative="0">
      <w:start w:val="1"/>
      <w:numFmt w:val="none"/>
      <w:suff w:val="nothing"/>
      <w:lvlText w:val=""/>
      <w:lvlJc w:val="left"/>
      <w:pPr>
        <w:tabs>
          <w:tab w:val="left" w:pos="1008"/>
        </w:tabs>
        <w:ind w:left="1008" w:hanging="1008"/>
      </w:pPr>
    </w:lvl>
    <w:lvl w:ilvl="5" w:tentative="0">
      <w:start w:val="1"/>
      <w:numFmt w:val="none"/>
      <w:suff w:val="nothing"/>
      <w:lvlText w:val=""/>
      <w:lvlJc w:val="left"/>
      <w:pPr>
        <w:tabs>
          <w:tab w:val="left" w:pos="1152"/>
        </w:tabs>
        <w:ind w:left="1152" w:hanging="1152"/>
      </w:pPr>
    </w:lvl>
    <w:lvl w:ilvl="6" w:tentative="0">
      <w:start w:val="1"/>
      <w:numFmt w:val="none"/>
      <w:suff w:val="nothing"/>
      <w:lvlText w:val=""/>
      <w:lvlJc w:val="left"/>
      <w:pPr>
        <w:tabs>
          <w:tab w:val="left" w:pos="1296"/>
        </w:tabs>
        <w:ind w:left="1296" w:hanging="1296"/>
      </w:pPr>
    </w:lvl>
    <w:lvl w:ilvl="7" w:tentative="0">
      <w:start w:val="1"/>
      <w:numFmt w:val="none"/>
      <w:suff w:val="nothing"/>
      <w:lvlText w:val=""/>
      <w:lvlJc w:val="left"/>
      <w:pPr>
        <w:tabs>
          <w:tab w:val="left" w:pos="1440"/>
        </w:tabs>
        <w:ind w:left="1440" w:hanging="1440"/>
      </w:pPr>
    </w:lvl>
    <w:lvl w:ilvl="8" w:tentative="0">
      <w:start w:val="1"/>
      <w:numFmt w:val="none"/>
      <w:suff w:val="nothing"/>
      <w:lvlText w:val=""/>
      <w:lvlJc w:val="left"/>
      <w:pPr>
        <w:tabs>
          <w:tab w:val="left" w:pos="1584"/>
        </w:tabs>
        <w:ind w:left="1584" w:hanging="1584"/>
      </w:pPr>
    </w:lvl>
  </w:abstractNum>
  <w:abstractNum w:abstractNumId="1">
    <w:nsid w:val="0B916E02"/>
    <w:multiLevelType w:val="multilevel"/>
    <w:tmpl w:val="0B916E0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5"/>
  <w:displayBackgroundShape w:val="1"/>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cumentProtection w:enforcement="0"/>
  <w:defaultTabStop w:val="720"/>
  <w:drawingGridHorizontalSpacing w:val="0"/>
  <w:drawingGridVerticalSpacing w:val="0"/>
  <w:displayHorizontalDrawingGridEvery w:val="0"/>
  <w:displayVerticalDrawingGridEvery w:val="0"/>
  <w:doNotUseMarginsForDrawingGridOrigin w:val="1"/>
  <w:drawingGridHorizontalOrigin w:val="0"/>
  <w:drawingGridVerticalOrigin w:val="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620"/>
    <w:rsid w:val="00050D1D"/>
    <w:rsid w:val="00070AF3"/>
    <w:rsid w:val="000D3E0C"/>
    <w:rsid w:val="001231E7"/>
    <w:rsid w:val="00124905"/>
    <w:rsid w:val="001B254E"/>
    <w:rsid w:val="00270C47"/>
    <w:rsid w:val="00296AF0"/>
    <w:rsid w:val="002B663E"/>
    <w:rsid w:val="003368EA"/>
    <w:rsid w:val="00350BFC"/>
    <w:rsid w:val="003D7A8C"/>
    <w:rsid w:val="003E3964"/>
    <w:rsid w:val="00407DC6"/>
    <w:rsid w:val="00436620"/>
    <w:rsid w:val="0044214C"/>
    <w:rsid w:val="004531D8"/>
    <w:rsid w:val="00456781"/>
    <w:rsid w:val="004A4FBD"/>
    <w:rsid w:val="00522D09"/>
    <w:rsid w:val="005467F1"/>
    <w:rsid w:val="005C65D6"/>
    <w:rsid w:val="005D2888"/>
    <w:rsid w:val="005D6625"/>
    <w:rsid w:val="005F34F6"/>
    <w:rsid w:val="006312B0"/>
    <w:rsid w:val="006A72C1"/>
    <w:rsid w:val="006C055B"/>
    <w:rsid w:val="006F1DA9"/>
    <w:rsid w:val="00710B22"/>
    <w:rsid w:val="00814FE2"/>
    <w:rsid w:val="00831A00"/>
    <w:rsid w:val="008636C4"/>
    <w:rsid w:val="008702BD"/>
    <w:rsid w:val="008759EA"/>
    <w:rsid w:val="008A7EE6"/>
    <w:rsid w:val="0094729D"/>
    <w:rsid w:val="009747A7"/>
    <w:rsid w:val="0097689F"/>
    <w:rsid w:val="009D16DA"/>
    <w:rsid w:val="009E5870"/>
    <w:rsid w:val="00A0297E"/>
    <w:rsid w:val="00A31406"/>
    <w:rsid w:val="00A31771"/>
    <w:rsid w:val="00A63A13"/>
    <w:rsid w:val="00A85D5C"/>
    <w:rsid w:val="00AC57EC"/>
    <w:rsid w:val="00AF6665"/>
    <w:rsid w:val="00B85C23"/>
    <w:rsid w:val="00B96C4E"/>
    <w:rsid w:val="00BB6B97"/>
    <w:rsid w:val="00BD79CC"/>
    <w:rsid w:val="00BF4298"/>
    <w:rsid w:val="00C31C2F"/>
    <w:rsid w:val="00C87AA2"/>
    <w:rsid w:val="00CD2D9F"/>
    <w:rsid w:val="00CE5B33"/>
    <w:rsid w:val="00D037BF"/>
    <w:rsid w:val="00D05740"/>
    <w:rsid w:val="00D31684"/>
    <w:rsid w:val="00D96106"/>
    <w:rsid w:val="00DB6449"/>
    <w:rsid w:val="00DC38FF"/>
    <w:rsid w:val="00DD6E5B"/>
    <w:rsid w:val="00DD787F"/>
    <w:rsid w:val="00DE1294"/>
    <w:rsid w:val="00DE6653"/>
    <w:rsid w:val="00E03259"/>
    <w:rsid w:val="00E12912"/>
    <w:rsid w:val="00EB6425"/>
    <w:rsid w:val="00EE4F2E"/>
    <w:rsid w:val="00EF0FB1"/>
    <w:rsid w:val="00FD37D2"/>
    <w:rsid w:val="77FB6D45"/>
    <w:rsid w:val="7BBFE0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doNotEmbedSmartTag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39" w:semiHidden="0" w:name="toc 1"/>
    <w:lsdException w:qFormat="1" w:unhideWhenUsed="0"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qFormat="1"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line="360" w:lineRule="auto"/>
      <w:jc w:val="both"/>
    </w:pPr>
    <w:rPr>
      <w:rFonts w:ascii="Times New Roman" w:hAnsi="Times New Roman" w:eastAsia="Calibri" w:cs="Times New Roman"/>
      <w:color w:val="000000"/>
      <w:sz w:val="24"/>
      <w:szCs w:val="22"/>
      <w:lang w:val="en-GB" w:eastAsia="ar-SA" w:bidi="ar-SA"/>
    </w:rPr>
  </w:style>
  <w:style w:type="paragraph" w:styleId="2">
    <w:name w:val="heading 1"/>
    <w:basedOn w:val="1"/>
    <w:next w:val="1"/>
    <w:qFormat/>
    <w:uiPriority w:val="0"/>
    <w:pPr>
      <w:keepNext/>
      <w:keepLines/>
      <w:numPr>
        <w:ilvl w:val="0"/>
        <w:numId w:val="1"/>
      </w:numPr>
      <w:spacing w:before="113"/>
      <w:outlineLvl w:val="0"/>
    </w:pPr>
    <w:rPr>
      <w:rFonts w:eastAsia="Times New Roman"/>
      <w:b/>
      <w:bCs/>
      <w:sz w:val="28"/>
      <w:szCs w:val="28"/>
    </w:rPr>
  </w:style>
  <w:style w:type="paragraph" w:styleId="3">
    <w:name w:val="heading 2"/>
    <w:basedOn w:val="1"/>
    <w:next w:val="1"/>
    <w:qFormat/>
    <w:uiPriority w:val="0"/>
    <w:pPr>
      <w:keepNext/>
      <w:keepLines/>
      <w:numPr>
        <w:ilvl w:val="1"/>
        <w:numId w:val="1"/>
      </w:numPr>
      <w:spacing w:before="113"/>
      <w:outlineLvl w:val="1"/>
    </w:pPr>
    <w:rPr>
      <w:rFonts w:eastAsia="Times New Roman"/>
      <w:bCs/>
      <w:szCs w:val="26"/>
      <w:u w:val="single"/>
    </w:rPr>
  </w:style>
  <w:style w:type="paragraph" w:styleId="4">
    <w:name w:val="heading 3"/>
    <w:basedOn w:val="5"/>
    <w:next w:val="6"/>
    <w:link w:val="68"/>
    <w:qFormat/>
    <w:uiPriority w:val="0"/>
    <w:pPr>
      <w:numPr>
        <w:ilvl w:val="2"/>
        <w:numId w:val="1"/>
      </w:numPr>
      <w:outlineLvl w:val="2"/>
    </w:pPr>
    <w:rPr>
      <w:b/>
      <w:bCs/>
    </w:rPr>
  </w:style>
  <w:style w:type="paragraph" w:styleId="7">
    <w:name w:val="heading 4"/>
    <w:basedOn w:val="1"/>
    <w:next w:val="1"/>
    <w:qFormat/>
    <w:uiPriority w:val="0"/>
    <w:pPr>
      <w:keepNext/>
      <w:spacing w:before="240" w:after="60"/>
      <w:outlineLvl w:val="3"/>
    </w:pPr>
    <w:rPr>
      <w:rFonts w:ascii="Calibri" w:hAnsi="Calibri" w:eastAsia="Times New Roman"/>
      <w:b/>
      <w:bCs/>
      <w:sz w:val="28"/>
      <w:szCs w:val="28"/>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customStyle="1" w:styleId="5">
    <w:name w:val="Heading"/>
    <w:basedOn w:val="1"/>
    <w:next w:val="6"/>
    <w:qFormat/>
    <w:uiPriority w:val="0"/>
    <w:pPr>
      <w:keepNext/>
      <w:spacing w:before="240" w:after="120"/>
    </w:pPr>
    <w:rPr>
      <w:rFonts w:ascii="Arial" w:hAnsi="Arial" w:eastAsia="Droid Sans" w:cs="DejaVu Sans"/>
      <w:sz w:val="28"/>
      <w:szCs w:val="28"/>
    </w:rPr>
  </w:style>
  <w:style w:type="paragraph" w:styleId="6">
    <w:name w:val="Body Text"/>
    <w:basedOn w:val="1"/>
    <w:qFormat/>
    <w:uiPriority w:val="0"/>
  </w:style>
  <w:style w:type="paragraph" w:styleId="10">
    <w:name w:val="caption"/>
    <w:basedOn w:val="1"/>
    <w:next w:val="1"/>
    <w:qFormat/>
    <w:uiPriority w:val="0"/>
    <w:pPr>
      <w:suppressLineNumbers/>
      <w:spacing w:before="120" w:after="120"/>
    </w:pPr>
    <w:rPr>
      <w:rFonts w:cs="DejaVu Sans"/>
      <w:i/>
      <w:iCs/>
      <w:szCs w:val="24"/>
    </w:rPr>
  </w:style>
  <w:style w:type="paragraph" w:styleId="11">
    <w:name w:val="footer"/>
    <w:basedOn w:val="1"/>
    <w:qFormat/>
    <w:uiPriority w:val="0"/>
    <w:pPr>
      <w:tabs>
        <w:tab w:val="center" w:pos="4680"/>
        <w:tab w:val="right" w:pos="9360"/>
      </w:tabs>
      <w:spacing w:line="240" w:lineRule="auto"/>
    </w:pPr>
  </w:style>
  <w:style w:type="paragraph" w:styleId="12">
    <w:name w:val="header"/>
    <w:basedOn w:val="1"/>
    <w:qFormat/>
    <w:uiPriority w:val="0"/>
    <w:pPr>
      <w:tabs>
        <w:tab w:val="center" w:pos="4680"/>
        <w:tab w:val="right" w:pos="9360"/>
      </w:tabs>
      <w:spacing w:line="240" w:lineRule="auto"/>
    </w:pPr>
  </w:style>
  <w:style w:type="character" w:styleId="13">
    <w:name w:val="Hyperlink"/>
    <w:qFormat/>
    <w:uiPriority w:val="99"/>
    <w:rPr>
      <w:color w:val="000080"/>
      <w:u w:val="single"/>
    </w:rPr>
  </w:style>
  <w:style w:type="paragraph" w:styleId="14">
    <w:name w:val="List"/>
    <w:basedOn w:val="6"/>
    <w:qFormat/>
    <w:uiPriority w:val="0"/>
    <w:rPr>
      <w:rFonts w:cs="DejaVu Sans"/>
    </w:rPr>
  </w:style>
  <w:style w:type="paragraph" w:styleId="15">
    <w:name w:val="Normal (Web)"/>
    <w:basedOn w:val="1"/>
    <w:semiHidden/>
    <w:unhideWhenUsed/>
    <w:qFormat/>
    <w:uiPriority w:val="99"/>
    <w:pPr>
      <w:suppressAutoHyphens w:val="0"/>
      <w:spacing w:before="100" w:beforeAutospacing="1" w:after="100" w:afterAutospacing="1" w:line="240" w:lineRule="auto"/>
      <w:jc w:val="left"/>
    </w:pPr>
    <w:rPr>
      <w:rFonts w:eastAsia="Times New Roman"/>
      <w:color w:val="auto"/>
      <w:szCs w:val="24"/>
      <w:lang w:val="en-US" w:eastAsia="en-US"/>
    </w:rPr>
  </w:style>
  <w:style w:type="table" w:styleId="16">
    <w:name w:val="Table Grid"/>
    <w:basedOn w:val="9"/>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7">
    <w:name w:val="toc 1"/>
    <w:basedOn w:val="1"/>
    <w:next w:val="1"/>
    <w:qFormat/>
    <w:uiPriority w:val="39"/>
  </w:style>
  <w:style w:type="paragraph" w:styleId="18">
    <w:name w:val="toc 2"/>
    <w:basedOn w:val="1"/>
    <w:next w:val="1"/>
    <w:qFormat/>
    <w:uiPriority w:val="39"/>
    <w:pPr>
      <w:ind w:left="240"/>
    </w:pPr>
  </w:style>
  <w:style w:type="paragraph" w:styleId="19">
    <w:name w:val="toc 3"/>
    <w:basedOn w:val="1"/>
    <w:next w:val="1"/>
    <w:unhideWhenUsed/>
    <w:qFormat/>
    <w:uiPriority w:val="39"/>
    <w:pPr>
      <w:spacing w:after="100"/>
      <w:ind w:left="480"/>
    </w:pPr>
  </w:style>
  <w:style w:type="character" w:customStyle="1" w:styleId="20">
    <w:name w:val="WW8Num1z0"/>
    <w:qFormat/>
    <w:uiPriority w:val="0"/>
  </w:style>
  <w:style w:type="character" w:customStyle="1" w:styleId="21">
    <w:name w:val="WW8Num1z1"/>
    <w:qFormat/>
    <w:uiPriority w:val="0"/>
  </w:style>
  <w:style w:type="character" w:customStyle="1" w:styleId="22">
    <w:name w:val="WW8Num1z2"/>
    <w:qFormat/>
    <w:uiPriority w:val="0"/>
  </w:style>
  <w:style w:type="character" w:customStyle="1" w:styleId="23">
    <w:name w:val="WW8Num1z3"/>
    <w:qFormat/>
    <w:uiPriority w:val="0"/>
  </w:style>
  <w:style w:type="character" w:customStyle="1" w:styleId="24">
    <w:name w:val="WW8Num1z4"/>
    <w:qFormat/>
    <w:uiPriority w:val="0"/>
  </w:style>
  <w:style w:type="character" w:customStyle="1" w:styleId="25">
    <w:name w:val="WW8Num1z5"/>
    <w:qFormat/>
    <w:uiPriority w:val="0"/>
  </w:style>
  <w:style w:type="character" w:customStyle="1" w:styleId="26">
    <w:name w:val="WW8Num1z6"/>
    <w:qFormat/>
    <w:uiPriority w:val="0"/>
  </w:style>
  <w:style w:type="character" w:customStyle="1" w:styleId="27">
    <w:name w:val="WW8Num1z7"/>
    <w:qFormat/>
    <w:uiPriority w:val="0"/>
  </w:style>
  <w:style w:type="character" w:customStyle="1" w:styleId="28">
    <w:name w:val="WW8Num1z8"/>
    <w:qFormat/>
    <w:uiPriority w:val="0"/>
  </w:style>
  <w:style w:type="character" w:customStyle="1" w:styleId="29">
    <w:name w:val="WW8Num2z0"/>
    <w:qFormat/>
    <w:uiPriority w:val="0"/>
    <w:rPr>
      <w:rFonts w:ascii="Symbol" w:hAnsi="Symbol" w:cs="OpenSymbol"/>
    </w:rPr>
  </w:style>
  <w:style w:type="character" w:customStyle="1" w:styleId="30">
    <w:name w:val="WW8Num2z1"/>
    <w:qFormat/>
    <w:uiPriority w:val="0"/>
    <w:rPr>
      <w:rFonts w:ascii="OpenSymbol" w:hAnsi="OpenSymbol" w:cs="OpenSymbol"/>
    </w:rPr>
  </w:style>
  <w:style w:type="character" w:customStyle="1" w:styleId="31">
    <w:name w:val="WW8Num2z2"/>
    <w:qFormat/>
    <w:uiPriority w:val="0"/>
    <w:rPr>
      <w:rFonts w:hint="default" w:ascii="Wingdings" w:hAnsi="Wingdings" w:cs="Wingdings"/>
    </w:rPr>
  </w:style>
  <w:style w:type="character" w:customStyle="1" w:styleId="32">
    <w:name w:val="WW8Num3z0"/>
    <w:qFormat/>
    <w:uiPriority w:val="0"/>
    <w:rPr>
      <w:rFonts w:ascii="Symbol" w:hAnsi="Symbol" w:cs="OpenSymbol"/>
    </w:rPr>
  </w:style>
  <w:style w:type="character" w:customStyle="1" w:styleId="33">
    <w:name w:val="WW8Num3z1"/>
    <w:qFormat/>
    <w:uiPriority w:val="0"/>
    <w:rPr>
      <w:rFonts w:ascii="OpenSymbol" w:hAnsi="OpenSymbol" w:cs="OpenSymbol"/>
    </w:rPr>
  </w:style>
  <w:style w:type="character" w:customStyle="1" w:styleId="34">
    <w:name w:val="WW8Num3z2"/>
    <w:qFormat/>
    <w:uiPriority w:val="0"/>
    <w:rPr>
      <w:rFonts w:hint="default" w:ascii="Wingdings" w:hAnsi="Wingdings" w:cs="Wingdings"/>
    </w:rPr>
  </w:style>
  <w:style w:type="character" w:customStyle="1" w:styleId="35">
    <w:name w:val="WW8Num4z0"/>
    <w:qFormat/>
    <w:uiPriority w:val="0"/>
    <w:rPr>
      <w:rFonts w:hint="default" w:ascii="Symbol" w:hAnsi="Symbol" w:cs="Symbol"/>
    </w:rPr>
  </w:style>
  <w:style w:type="character" w:customStyle="1" w:styleId="36">
    <w:name w:val="WW8Num4z1"/>
    <w:qFormat/>
    <w:uiPriority w:val="0"/>
    <w:rPr>
      <w:rFonts w:hint="default" w:ascii="Courier New" w:hAnsi="Courier New" w:cs="Courier New"/>
    </w:rPr>
  </w:style>
  <w:style w:type="character" w:customStyle="1" w:styleId="37">
    <w:name w:val="WW8Num4z2"/>
    <w:qFormat/>
    <w:uiPriority w:val="0"/>
    <w:rPr>
      <w:rFonts w:hint="default" w:ascii="Wingdings" w:hAnsi="Wingdings" w:cs="Wingdings"/>
    </w:rPr>
  </w:style>
  <w:style w:type="character" w:customStyle="1" w:styleId="38">
    <w:name w:val="WW8Num5z0"/>
    <w:qFormat/>
    <w:uiPriority w:val="0"/>
    <w:rPr>
      <w:rFonts w:hint="default" w:ascii="Symbol" w:hAnsi="Symbol" w:cs="Symbol"/>
    </w:rPr>
  </w:style>
  <w:style w:type="character" w:customStyle="1" w:styleId="39">
    <w:name w:val="WW8Num5z1"/>
    <w:qFormat/>
    <w:uiPriority w:val="0"/>
    <w:rPr>
      <w:rFonts w:hint="default" w:ascii="Courier New" w:hAnsi="Courier New" w:cs="Courier New"/>
    </w:rPr>
  </w:style>
  <w:style w:type="character" w:customStyle="1" w:styleId="40">
    <w:name w:val="WW8Num5z2"/>
    <w:qFormat/>
    <w:uiPriority w:val="0"/>
    <w:rPr>
      <w:rFonts w:hint="default" w:ascii="Wingdings" w:hAnsi="Wingdings" w:cs="Wingdings"/>
    </w:rPr>
  </w:style>
  <w:style w:type="character" w:customStyle="1" w:styleId="41">
    <w:name w:val="WW8Num6z0"/>
    <w:qFormat/>
    <w:uiPriority w:val="0"/>
    <w:rPr>
      <w:rFonts w:hint="default" w:ascii="Symbol" w:hAnsi="Symbol" w:cs="Symbol"/>
    </w:rPr>
  </w:style>
  <w:style w:type="character" w:customStyle="1" w:styleId="42">
    <w:name w:val="WW8Num6z1"/>
    <w:qFormat/>
    <w:uiPriority w:val="0"/>
    <w:rPr>
      <w:rFonts w:hint="default" w:ascii="Courier New" w:hAnsi="Courier New" w:cs="Courier New"/>
    </w:rPr>
  </w:style>
  <w:style w:type="character" w:customStyle="1" w:styleId="43">
    <w:name w:val="WW8Num6z2"/>
    <w:qFormat/>
    <w:uiPriority w:val="0"/>
    <w:rPr>
      <w:rFonts w:hint="default" w:ascii="Wingdings" w:hAnsi="Wingdings" w:cs="Wingdings"/>
    </w:rPr>
  </w:style>
  <w:style w:type="character" w:customStyle="1" w:styleId="44">
    <w:name w:val="WW8Num7z0"/>
    <w:qFormat/>
    <w:uiPriority w:val="0"/>
    <w:rPr>
      <w:rFonts w:hint="default" w:ascii="Symbol" w:hAnsi="Symbol" w:cs="Symbol"/>
    </w:rPr>
  </w:style>
  <w:style w:type="character" w:customStyle="1" w:styleId="45">
    <w:name w:val="WW8Num7z1"/>
    <w:qFormat/>
    <w:uiPriority w:val="0"/>
    <w:rPr>
      <w:rFonts w:hint="default" w:ascii="Courier New" w:hAnsi="Courier New" w:cs="Courier New"/>
    </w:rPr>
  </w:style>
  <w:style w:type="character" w:customStyle="1" w:styleId="46">
    <w:name w:val="WW8Num7z2"/>
    <w:qFormat/>
    <w:uiPriority w:val="0"/>
    <w:rPr>
      <w:rFonts w:hint="default" w:ascii="Wingdings" w:hAnsi="Wingdings" w:cs="Wingdings"/>
    </w:rPr>
  </w:style>
  <w:style w:type="character" w:customStyle="1" w:styleId="47">
    <w:name w:val="WW8Num8z0"/>
    <w:qFormat/>
    <w:uiPriority w:val="0"/>
    <w:rPr>
      <w:rFonts w:hint="default" w:ascii="Symbol" w:hAnsi="Symbol" w:cs="Symbol"/>
    </w:rPr>
  </w:style>
  <w:style w:type="character" w:customStyle="1" w:styleId="48">
    <w:name w:val="WW8Num8z1"/>
    <w:qFormat/>
    <w:uiPriority w:val="0"/>
    <w:rPr>
      <w:rFonts w:hint="default" w:ascii="Courier New" w:hAnsi="Courier New" w:cs="Courier New"/>
    </w:rPr>
  </w:style>
  <w:style w:type="character" w:customStyle="1" w:styleId="49">
    <w:name w:val="WW8Num8z2"/>
    <w:qFormat/>
    <w:uiPriority w:val="0"/>
    <w:rPr>
      <w:rFonts w:hint="default" w:ascii="Wingdings" w:hAnsi="Wingdings" w:cs="Wingdings"/>
    </w:rPr>
  </w:style>
  <w:style w:type="character" w:customStyle="1" w:styleId="50">
    <w:name w:val="WW8Num9z0"/>
    <w:qFormat/>
    <w:uiPriority w:val="0"/>
    <w:rPr>
      <w:rFonts w:hint="default" w:ascii="Symbol" w:hAnsi="Symbol" w:cs="Symbol"/>
    </w:rPr>
  </w:style>
  <w:style w:type="character" w:customStyle="1" w:styleId="51">
    <w:name w:val="WW8Num9z1"/>
    <w:qFormat/>
    <w:uiPriority w:val="0"/>
    <w:rPr>
      <w:rFonts w:hint="default" w:ascii="Courier New" w:hAnsi="Courier New" w:cs="Courier New"/>
    </w:rPr>
  </w:style>
  <w:style w:type="character" w:customStyle="1" w:styleId="52">
    <w:name w:val="WW8Num9z2"/>
    <w:qFormat/>
    <w:uiPriority w:val="0"/>
    <w:rPr>
      <w:rFonts w:hint="default" w:ascii="Wingdings" w:hAnsi="Wingdings" w:cs="Wingdings"/>
    </w:rPr>
  </w:style>
  <w:style w:type="character" w:customStyle="1" w:styleId="53">
    <w:name w:val="WW-Default Paragraph Font"/>
    <w:qFormat/>
    <w:uiPriority w:val="0"/>
  </w:style>
  <w:style w:type="character" w:customStyle="1" w:styleId="54">
    <w:name w:val="WW-Default Paragraph Font1"/>
    <w:qFormat/>
    <w:uiPriority w:val="0"/>
  </w:style>
  <w:style w:type="character" w:customStyle="1" w:styleId="55">
    <w:name w:val="Header Char"/>
    <w:basedOn w:val="54"/>
    <w:qFormat/>
    <w:uiPriority w:val="0"/>
  </w:style>
  <w:style w:type="character" w:customStyle="1" w:styleId="56">
    <w:name w:val="Footer Char"/>
    <w:basedOn w:val="54"/>
    <w:qFormat/>
    <w:uiPriority w:val="0"/>
  </w:style>
  <w:style w:type="character" w:customStyle="1" w:styleId="57">
    <w:name w:val="Heading 1 Char"/>
    <w:qFormat/>
    <w:uiPriority w:val="0"/>
    <w:rPr>
      <w:rFonts w:ascii="Times New Roman" w:hAnsi="Times New Roman" w:eastAsia="Times New Roman" w:cs="Times New Roman"/>
      <w:b/>
      <w:bCs/>
      <w:sz w:val="28"/>
      <w:szCs w:val="28"/>
    </w:rPr>
  </w:style>
  <w:style w:type="character" w:customStyle="1" w:styleId="58">
    <w:name w:val="Heading 2 Char"/>
    <w:qFormat/>
    <w:uiPriority w:val="0"/>
    <w:rPr>
      <w:rFonts w:ascii="Times New Roman" w:hAnsi="Times New Roman" w:eastAsia="Times New Roman" w:cs="Times New Roman"/>
      <w:bCs/>
      <w:sz w:val="24"/>
      <w:szCs w:val="26"/>
      <w:u w:val="single"/>
    </w:rPr>
  </w:style>
  <w:style w:type="character" w:customStyle="1" w:styleId="59">
    <w:name w:val="Bullets"/>
    <w:qFormat/>
    <w:uiPriority w:val="0"/>
    <w:rPr>
      <w:rFonts w:ascii="OpenSymbol" w:hAnsi="OpenSymbol" w:eastAsia="OpenSymbol" w:cs="OpenSymbol"/>
    </w:rPr>
  </w:style>
  <w:style w:type="character" w:customStyle="1" w:styleId="60">
    <w:name w:val="apple-converted-space"/>
    <w:qFormat/>
    <w:uiPriority w:val="0"/>
  </w:style>
  <w:style w:type="character" w:customStyle="1" w:styleId="61">
    <w:name w:val="Heading 4 Char"/>
    <w:qFormat/>
    <w:uiPriority w:val="0"/>
    <w:rPr>
      <w:rFonts w:ascii="Calibri" w:hAnsi="Calibri" w:eastAsia="Times New Roman" w:cs="Times New Roman"/>
      <w:b/>
      <w:bCs/>
      <w:color w:val="000000"/>
      <w:sz w:val="28"/>
      <w:szCs w:val="28"/>
      <w:lang w:val="en-GB"/>
    </w:rPr>
  </w:style>
  <w:style w:type="paragraph" w:customStyle="1" w:styleId="62">
    <w:name w:val="Index"/>
    <w:basedOn w:val="1"/>
    <w:qFormat/>
    <w:uiPriority w:val="0"/>
    <w:pPr>
      <w:suppressLineNumbers/>
    </w:pPr>
    <w:rPr>
      <w:rFonts w:cs="DejaVu Sans"/>
    </w:rPr>
  </w:style>
  <w:style w:type="paragraph" w:customStyle="1" w:styleId="63">
    <w:name w:val="Contents Heading"/>
    <w:basedOn w:val="5"/>
    <w:qFormat/>
    <w:uiPriority w:val="0"/>
    <w:pPr>
      <w:suppressLineNumbers/>
      <w:jc w:val="center"/>
    </w:pPr>
    <w:rPr>
      <w:rFonts w:ascii="Times New Roman" w:hAnsi="Times New Roman" w:cs="Times New Roman"/>
      <w:b/>
      <w:bCs/>
      <w:szCs w:val="32"/>
    </w:rPr>
  </w:style>
  <w:style w:type="paragraph" w:styleId="64">
    <w:name w:val="No Spacing"/>
    <w:qFormat/>
    <w:uiPriority w:val="0"/>
    <w:pPr>
      <w:suppressAutoHyphens/>
      <w:spacing w:line="100" w:lineRule="atLeast"/>
    </w:pPr>
    <w:rPr>
      <w:rFonts w:ascii="Tinos" w:hAnsi="Tinos" w:eastAsia="Droid Sans" w:cs="DejaVu Sans"/>
      <w:sz w:val="24"/>
      <w:szCs w:val="24"/>
      <w:lang w:val="en-GB" w:eastAsia="hi-IN" w:bidi="hi-IN"/>
    </w:rPr>
  </w:style>
  <w:style w:type="paragraph" w:customStyle="1" w:styleId="65">
    <w:name w:val="Illustration"/>
    <w:basedOn w:val="10"/>
    <w:qFormat/>
    <w:uiPriority w:val="0"/>
  </w:style>
  <w:style w:type="paragraph" w:customStyle="1" w:styleId="66">
    <w:name w:val="TOC Heading"/>
    <w:basedOn w:val="2"/>
    <w:next w:val="1"/>
    <w:qFormat/>
    <w:uiPriority w:val="39"/>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customStyle="1" w:styleId="67">
    <w:name w:val="Table Contents"/>
    <w:basedOn w:val="1"/>
    <w:qFormat/>
    <w:uiPriority w:val="0"/>
    <w:pPr>
      <w:suppressLineNumbers/>
    </w:pPr>
  </w:style>
  <w:style w:type="character" w:customStyle="1" w:styleId="68">
    <w:name w:val="Heading 3 Char"/>
    <w:basedOn w:val="8"/>
    <w:link w:val="4"/>
    <w:qFormat/>
    <w:uiPriority w:val="0"/>
    <w:rPr>
      <w:rFonts w:ascii="Arial" w:hAnsi="Arial" w:eastAsia="Droid Sans" w:cs="DejaVu Sans"/>
      <w:b/>
      <w:bCs/>
      <w:color w:val="000000"/>
      <w:sz w:val="28"/>
      <w:szCs w:val="28"/>
      <w:lang w:val="en-GB" w:eastAsia="ar-SA"/>
    </w:rPr>
  </w:style>
  <w:style w:type="table" w:customStyle="1" w:styleId="69">
    <w:name w:val="Grid Table 4 Accent 5"/>
    <w:basedOn w:val="9"/>
    <w:qFormat/>
    <w:uiPriority w:val="49"/>
    <w:tblPr>
      <w:tblBorders>
        <w:top w:val="single" w:color="8EAADB" w:themeColor="accent5" w:themeTint="99" w:sz="4" w:space="0"/>
        <w:left w:val="single" w:color="8EAADB" w:themeColor="accent5" w:themeTint="99" w:sz="4" w:space="0"/>
        <w:bottom w:val="single" w:color="8EAADB" w:themeColor="accent5" w:themeTint="99" w:sz="4" w:space="0"/>
        <w:right w:val="single" w:color="8EAADB" w:themeColor="accent5" w:themeTint="99" w:sz="4" w:space="0"/>
        <w:insideH w:val="single" w:color="8EAADB" w:themeColor="accent5" w:themeTint="99" w:sz="4" w:space="0"/>
        <w:insideV w:val="single" w:color="8EAADB" w:themeColor="accent5" w:themeTint="99" w:sz="4" w:space="0"/>
      </w:tblBorders>
    </w:tblPr>
    <w:tblStylePr w:type="firstRow">
      <w:rPr>
        <w:b/>
        <w:bCs/>
        <w:color w:val="FFFFFF" w:themeColor="background1"/>
        <w14:textFill>
          <w14:solidFill>
            <w14:schemeClr w14:val="bg1"/>
          </w14:solidFill>
        </w14:textFill>
      </w:rPr>
      <w:tcPr>
        <w:tcBorders>
          <w:top w:val="single" w:color="4472C4" w:themeColor="accent5" w:sz="4" w:space="0"/>
          <w:left w:val="single" w:color="4472C4" w:themeColor="accent5" w:sz="4" w:space="0"/>
          <w:bottom w:val="single" w:color="4472C4" w:themeColor="accent5" w:sz="4" w:space="0"/>
          <w:right w:val="single" w:color="4472C4" w:themeColor="accent5" w:sz="4" w:space="0"/>
          <w:insideH w:val="nil"/>
          <w:insideV w:val="nil"/>
        </w:tcBorders>
        <w:shd w:val="clear" w:color="auto" w:fill="4472C4" w:themeFill="accent5"/>
      </w:tcPr>
    </w:tblStylePr>
    <w:tblStylePr w:type="lastRow">
      <w:rPr>
        <w:b/>
        <w:bCs/>
      </w:rPr>
      <w:tcPr>
        <w:tcBorders>
          <w:top w:val="double" w:color="4472C4" w:themeColor="accent5" w:sz="4" w:space="0"/>
        </w:tcBorders>
      </w:tcPr>
    </w:tblStylePr>
    <w:tblStylePr w:type="firstCol">
      <w:rPr>
        <w:b/>
        <w:bCs/>
      </w:rPr>
    </w:tblStylePr>
    <w:tblStylePr w:type="lastCol">
      <w:rPr>
        <w:b/>
        <w:bCs/>
      </w:rPr>
    </w:tblStylePr>
    <w:tblStylePr w:type="band1Vert">
      <w:tcPr>
        <w:shd w:val="clear" w:color="auto" w:fill="D9E2F3" w:themeFill="accent5" w:themeFillTint="33"/>
      </w:tcPr>
    </w:tblStylePr>
    <w:tblStylePr w:type="band1Horz">
      <w:tcPr>
        <w:shd w:val="clear" w:color="auto" w:fill="D9E2F3" w:themeFill="accent5" w:themeFillTint="33"/>
      </w:tcPr>
    </w:tblStylePr>
  </w:style>
  <w:style w:type="table" w:customStyle="1" w:styleId="70">
    <w:name w:val="List Table 5 Dark Accent 5"/>
    <w:basedOn w:val="9"/>
    <w:qFormat/>
    <w:uiPriority w:val="50"/>
    <w:rPr>
      <w:color w:val="FFFFFF" w:themeColor="background1"/>
      <w14:textFill>
        <w14:solidFill>
          <w14:schemeClr w14:val="bg1"/>
        </w14:solidFill>
      </w14:textFill>
    </w:rPr>
    <w:tblPr>
      <w:tblBorders>
        <w:top w:val="single" w:color="4472C4" w:themeColor="accent5" w:sz="24" w:space="0"/>
        <w:left w:val="single" w:color="4472C4" w:themeColor="accent5" w:sz="24" w:space="0"/>
        <w:bottom w:val="single" w:color="4472C4" w:themeColor="accent5" w:sz="24" w:space="0"/>
        <w:right w:val="single" w:color="4472C4" w:themeColor="accent5" w:sz="24" w:space="0"/>
      </w:tblBorders>
    </w:tblPr>
    <w:tcPr>
      <w:shd w:val="clear" w:color="auto" w:fill="4472C4" w:themeFill="accent5"/>
    </w:tcPr>
    <w:tblStylePr w:type="firstRow">
      <w:rPr>
        <w:b/>
        <w:bCs/>
      </w:rPr>
      <w:tcPr>
        <w:tcBorders>
          <w:bottom w:val="single" w:color="FFFFFF" w:themeColor="background1" w:sz="18" w:space="0"/>
        </w:tcBorders>
      </w:tcPr>
    </w:tblStylePr>
    <w:tblStylePr w:type="lastRow">
      <w:rPr>
        <w:b/>
        <w:bCs/>
      </w:rPr>
      <w:tcPr>
        <w:tcBorders>
          <w:top w:val="single" w:color="FFFFFF" w:themeColor="background1" w:sz="4" w:space="0"/>
        </w:tcBorders>
      </w:tcPr>
    </w:tblStylePr>
    <w:tblStylePr w:type="firstCol">
      <w:rPr>
        <w:b/>
        <w:bCs/>
      </w:rPr>
      <w:tcPr>
        <w:tcBorders>
          <w:right w:val="single" w:color="FFFFFF" w:themeColor="background1" w:sz="4" w:space="0"/>
        </w:tcBorders>
      </w:tcPr>
    </w:tblStylePr>
    <w:tblStylePr w:type="lastCol">
      <w:rPr>
        <w:b/>
        <w:bCs/>
      </w:rPr>
      <w:tcPr>
        <w:tcBorders>
          <w:left w:val="single" w:color="FFFFFF" w:themeColor="background1" w:sz="4" w:space="0"/>
        </w:tcBorders>
      </w:tcPr>
    </w:tblStylePr>
    <w:tblStylePr w:type="band1Vert">
      <w:tcPr>
        <w:tcBorders>
          <w:left w:val="single" w:color="FFFFFF" w:themeColor="background1" w:sz="4" w:space="0"/>
          <w:right w:val="single" w:color="FFFFFF" w:themeColor="background1" w:sz="4" w:space="0"/>
        </w:tcBorders>
      </w:tcPr>
    </w:tblStylePr>
    <w:tblStylePr w:type="band2Vert">
      <w:tcPr>
        <w:tcBorders>
          <w:left w:val="single" w:color="FFFFFF" w:themeColor="background1" w:sz="4" w:space="0"/>
          <w:right w:val="single" w:color="FFFFFF" w:themeColor="background1" w:sz="4" w:space="0"/>
        </w:tcBorders>
      </w:tcPr>
    </w:tblStylePr>
    <w:tblStylePr w:type="band1Horz">
      <w:tcPr>
        <w:tcBorders>
          <w:top w:val="single" w:color="FFFFFF" w:themeColor="background1" w:sz="4" w:space="0"/>
          <w:bottom w:val="single" w:color="FFFFFF" w:themeColor="background1" w:sz="4" w:space="0"/>
        </w:tcBorders>
      </w:tcPr>
    </w:tblStylePr>
    <w:tblStylePr w:type="neCell">
      <w:tcPr>
        <w:tcBorders>
          <w:left w:val="nil"/>
        </w:tcBorders>
      </w:tcPr>
    </w:tblStylePr>
    <w:tblStylePr w:type="nwCell">
      <w:tcPr>
        <w:tcBorders>
          <w:right w:val="nil"/>
        </w:tcBorders>
      </w:tcPr>
    </w:tblStylePr>
    <w:tblStylePr w:type="seCell">
      <w:tcPr>
        <w:tcBorders>
          <w:top w:val="nil"/>
          <w:left w:val="nil"/>
        </w:tcBorders>
      </w:tcPr>
    </w:tblStylePr>
    <w:tblStylePr w:type="swCell">
      <w:tcPr>
        <w:tcBorders>
          <w:top w:val="nil"/>
          <w:right w:val="nil"/>
        </w:tcBorders>
      </w:tcPr>
    </w:tblStylePr>
  </w:style>
  <w:style w:type="table" w:customStyle="1" w:styleId="71">
    <w:name w:val="List Table 4 Accent 2"/>
    <w:basedOn w:val="9"/>
    <w:qFormat/>
    <w:uiPriority w:val="49"/>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tcBorders>
        <w:shd w:val="clear" w:color="auto" w:fill="ED7D31" w:themeFill="accent2"/>
      </w:tcPr>
    </w:tblStylePr>
    <w:tblStylePr w:type="lastRow">
      <w:rPr>
        <w:b/>
        <w:bCs/>
      </w:rPr>
      <w:tcPr>
        <w:tcBorders>
          <w:top w:val="double" w:color="F4B083" w:themeColor="accent2" w:themeTint="99"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table" w:customStyle="1" w:styleId="72">
    <w:name w:val="Grid Table 5 Dark Accent 6"/>
    <w:basedOn w:val="9"/>
    <w:qFormat/>
    <w:uiPriority w:val="50"/>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cPr>
        <w:shd w:val="clear" w:color="auto" w:fill="C5E0B3" w:themeFill="accent6" w:themeFillTint="66"/>
      </w:tcPr>
    </w:tblStylePr>
    <w:tblStylePr w:type="band1Horz">
      <w:tcPr>
        <w:shd w:val="clear" w:color="auto" w:fill="C5E0B3" w:themeFill="accent6" w:themeFillTint="66"/>
      </w:tcPr>
    </w:tblStylePr>
  </w:style>
  <w:style w:type="table" w:customStyle="1" w:styleId="73">
    <w:name w:val="Grid Table 3"/>
    <w:basedOn w:val="9"/>
    <w:qFormat/>
    <w:uiPriority w:val="48"/>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table" w:customStyle="1" w:styleId="74">
    <w:name w:val="Grid Table 3 Accent 1"/>
    <w:basedOn w:val="9"/>
    <w:qFormat/>
    <w:uiPriority w:val="48"/>
    <w:tblPr>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DEEAF6" w:themeFill="accent1" w:themeFillTint="33"/>
      </w:tcPr>
    </w:tblStylePr>
    <w:tblStylePr w:type="band1Horz">
      <w:tcPr>
        <w:shd w:val="clear" w:color="auto" w:fill="DEEAF6" w:themeFill="accent1" w:themeFillTint="33"/>
      </w:tcPr>
    </w:tblStylePr>
    <w:tblStylePr w:type="neCell">
      <w:tcPr>
        <w:tcBorders>
          <w:bottom w:val="single" w:color="9CC2E5" w:themeColor="accent1" w:themeTint="99" w:sz="4" w:space="0"/>
        </w:tcBorders>
      </w:tcPr>
    </w:tblStylePr>
    <w:tblStylePr w:type="nwCell">
      <w:tcPr>
        <w:tcBorders>
          <w:bottom w:val="single" w:color="9CC2E5" w:themeColor="accent1" w:themeTint="99" w:sz="4" w:space="0"/>
        </w:tcBorders>
      </w:tcPr>
    </w:tblStylePr>
    <w:tblStylePr w:type="seCell">
      <w:tcPr>
        <w:tcBorders>
          <w:top w:val="single" w:color="9CC2E5" w:themeColor="accent1" w:themeTint="99" w:sz="4" w:space="0"/>
        </w:tcBorders>
      </w:tcPr>
    </w:tblStylePr>
    <w:tblStylePr w:type="swCell">
      <w:tcPr>
        <w:tcBorders>
          <w:top w:val="single" w:color="9CC2E5" w:themeColor="accent1" w:themeTint="99" w:sz="4" w:space="0"/>
        </w:tcBorders>
      </w:tcPr>
    </w:tblStylePr>
  </w:style>
  <w:style w:type="table" w:customStyle="1" w:styleId="75">
    <w:name w:val="Grid Table 3 Accent 2"/>
    <w:basedOn w:val="9"/>
    <w:qFormat/>
    <w:uiPriority w:val="48"/>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FBE4D5" w:themeFill="accent2" w:themeFillTint="33"/>
      </w:tcPr>
    </w:tblStylePr>
    <w:tblStylePr w:type="band1Horz">
      <w:tcPr>
        <w:shd w:val="clear" w:color="auto" w:fill="FBE4D5" w:themeFill="accent2" w:themeFillTint="33"/>
      </w:tcPr>
    </w:tblStylePr>
    <w:tblStylePr w:type="neCell">
      <w:tcPr>
        <w:tcBorders>
          <w:bottom w:val="single" w:color="F4B083" w:themeColor="accent2" w:themeTint="99" w:sz="4" w:space="0"/>
        </w:tcBorders>
      </w:tcPr>
    </w:tblStylePr>
    <w:tblStylePr w:type="nwCell">
      <w:tcPr>
        <w:tcBorders>
          <w:bottom w:val="single" w:color="F4B083" w:themeColor="accent2" w:themeTint="99" w:sz="4" w:space="0"/>
        </w:tcBorders>
      </w:tcPr>
    </w:tblStylePr>
    <w:tblStylePr w:type="seCell">
      <w:tcPr>
        <w:tcBorders>
          <w:top w:val="single" w:color="F4B083" w:themeColor="accent2" w:themeTint="99" w:sz="4" w:space="0"/>
        </w:tcBorders>
      </w:tcPr>
    </w:tblStylePr>
    <w:tblStylePr w:type="swCell">
      <w:tcPr>
        <w:tcBorders>
          <w:top w:val="single" w:color="F4B083" w:themeColor="accent2" w:themeTint="99" w:sz="4" w:space="0"/>
        </w:tcBorders>
      </w:tcPr>
    </w:tblStylePr>
  </w:style>
  <w:style w:type="table" w:customStyle="1" w:styleId="76">
    <w:name w:val="Grid Table 2 Accent 6"/>
    <w:basedOn w:val="9"/>
    <w:qFormat/>
    <w:uiPriority w:val="47"/>
    <w:tblPr>
      <w:tblBorders>
        <w:top w:val="single" w:color="A8D08D" w:themeColor="accent6" w:themeTint="99" w:sz="2" w:space="0"/>
        <w:bottom w:val="single" w:color="A8D08D" w:themeColor="accent6" w:themeTint="99" w:sz="2" w:space="0"/>
        <w:insideH w:val="single" w:color="A8D08D" w:themeColor="accent6" w:themeTint="99" w:sz="2" w:space="0"/>
        <w:insideV w:val="single" w:color="A8D08D" w:themeColor="accent6" w:themeTint="99" w:sz="2" w:space="0"/>
      </w:tblBorders>
    </w:tblPr>
    <w:tblStylePr w:type="firstRow">
      <w:rPr>
        <w:b/>
        <w:bCs/>
      </w:rPr>
      <w:tcPr>
        <w:tcBorders>
          <w:top w:val="nil"/>
          <w:bottom w:val="single" w:color="A8D08D" w:themeColor="accent6" w:themeTint="99" w:sz="12" w:space="0"/>
          <w:insideH w:val="nil"/>
          <w:insideV w:val="nil"/>
        </w:tcBorders>
        <w:shd w:val="clear" w:color="auto" w:fill="FFFFFF" w:themeFill="background1"/>
      </w:tcPr>
    </w:tblStylePr>
    <w:tblStylePr w:type="lastRow">
      <w:rPr>
        <w:b/>
        <w:bCs/>
      </w:rPr>
      <w:tcPr>
        <w:tcBorders>
          <w:top w:val="double" w:color="A8D08D"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 w:type="table" w:customStyle="1" w:styleId="77">
    <w:name w:val="Grid Table 4 Accent 3"/>
    <w:basedOn w:val="9"/>
    <w:qFormat/>
    <w:uiPriority w:val="49"/>
    <w:tblPr>
      <w:tblBorders>
        <w:top w:val="single" w:color="C8C8C8" w:themeColor="accent3" w:themeTint="99" w:sz="4" w:space="0"/>
        <w:left w:val="single" w:color="C8C8C8" w:themeColor="accent3" w:themeTint="99" w:sz="4" w:space="0"/>
        <w:bottom w:val="single" w:color="C8C8C8" w:themeColor="accent3" w:themeTint="99" w:sz="4" w:space="0"/>
        <w:right w:val="single" w:color="C8C8C8" w:themeColor="accent3" w:themeTint="99" w:sz="4" w:space="0"/>
        <w:insideH w:val="single" w:color="C8C8C8" w:themeColor="accent3" w:themeTint="99" w:sz="4" w:space="0"/>
        <w:insideV w:val="single" w:color="C8C8C8" w:themeColor="accent3" w:themeTint="99" w:sz="4" w:space="0"/>
      </w:tblBorders>
    </w:tblPr>
    <w:tblStylePr w:type="firstRow">
      <w:rPr>
        <w:b/>
        <w:bCs/>
        <w:color w:val="FFFFFF" w:themeColor="background1"/>
        <w14:textFill>
          <w14:solidFill>
            <w14:schemeClr w14:val="bg1"/>
          </w14:solidFill>
        </w14:textFill>
      </w:r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cPr>
        <w:tcBorders>
          <w:top w:val="double" w:color="A5A5A5" w:themeColor="accent3" w:sz="4" w:space="0"/>
        </w:tcBorders>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 w:type="table" w:customStyle="1" w:styleId="78">
    <w:name w:val="Grid Table 5 Dark Accent 1"/>
    <w:basedOn w:val="9"/>
    <w:qFormat/>
    <w:uiPriority w:val="50"/>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1"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w:type="band1Vert">
      <w:tcPr>
        <w:shd w:val="clear" w:color="auto" w:fill="BDD6EE" w:themeFill="accent1" w:themeFillTint="66"/>
      </w:tcPr>
    </w:tblStylePr>
    <w:tblStylePr w:type="band1Horz">
      <w:tcPr>
        <w:shd w:val="clear" w:color="auto" w:fill="BDD6EE" w:themeFill="accent1" w:themeFillTint="66"/>
      </w:tcPr>
    </w:tblStylePr>
  </w:style>
  <w:style w:type="table" w:customStyle="1" w:styleId="79">
    <w:name w:val="Grid Table 6 Colorful Accent 2"/>
    <w:basedOn w:val="9"/>
    <w:qFormat/>
    <w:uiPriority w:val="51"/>
    <w:rPr>
      <w:color w:val="C55A11" w:themeColor="accent2" w:themeShade="BF"/>
    </w:rPr>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rPr>
      <w:tcPr>
        <w:tcBorders>
          <w:bottom w:val="single" w:color="F4B083" w:themeColor="accent2" w:themeTint="99" w:sz="12" w:space="0"/>
        </w:tcBorders>
      </w:tcPr>
    </w:tblStylePr>
    <w:tblStylePr w:type="lastRow">
      <w:rPr>
        <w:b/>
        <w:bCs/>
      </w:rPr>
      <w:tcPr>
        <w:tcBorders>
          <w:top w:val="double" w:color="F4B083" w:themeColor="accent2" w:themeTint="99"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table" w:customStyle="1" w:styleId="80">
    <w:name w:val="Plain Table 3"/>
    <w:basedOn w:val="9"/>
    <w:qFormat/>
    <w:uiPriority w:val="43"/>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table" w:customStyle="1" w:styleId="81">
    <w:name w:val="Plain Table 2"/>
    <w:basedOn w:val="9"/>
    <w:qFormat/>
    <w:uiPriority w:val="42"/>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table" w:customStyle="1" w:styleId="82">
    <w:name w:val="Plain Table 1"/>
    <w:basedOn w:val="9"/>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83">
    <w:name w:val="List Table 1 Light Accent 2"/>
    <w:basedOn w:val="9"/>
    <w:qFormat/>
    <w:uiPriority w:val="46"/>
    <w:tblStylePr w:type="firstRow">
      <w:rPr>
        <w:b/>
        <w:bCs/>
      </w:rPr>
      <w:tcPr>
        <w:tcBorders>
          <w:bottom w:val="single" w:color="F4B083" w:themeColor="accent2" w:themeTint="99" w:sz="4" w:space="0"/>
        </w:tcBorders>
      </w:tcPr>
    </w:tblStylePr>
    <w:tblStylePr w:type="lastRow">
      <w:rPr>
        <w:b/>
        <w:bCs/>
      </w:rPr>
      <w:tcPr>
        <w:tcBorders>
          <w:top w:val="single" w:color="F4B083" w:themeColor="accent2" w:themeTint="99"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table" w:customStyle="1" w:styleId="84">
    <w:name w:val="List Table 5 Dark Accent 3"/>
    <w:basedOn w:val="9"/>
    <w:qFormat/>
    <w:uiPriority w:val="50"/>
    <w:rPr>
      <w:color w:val="FFFFFF" w:themeColor="background1"/>
      <w14:textFill>
        <w14:solidFill>
          <w14:schemeClr w14:val="bg1"/>
        </w14:solidFill>
      </w14:textFill>
    </w:rPr>
    <w:tblPr>
      <w:tblBorders>
        <w:top w:val="single" w:color="A5A5A5" w:themeColor="accent3" w:sz="24" w:space="0"/>
        <w:left w:val="single" w:color="A5A5A5" w:themeColor="accent3" w:sz="24" w:space="0"/>
        <w:bottom w:val="single" w:color="A5A5A5" w:themeColor="accent3" w:sz="24" w:space="0"/>
        <w:right w:val="single" w:color="A5A5A5" w:themeColor="accent3" w:sz="24" w:space="0"/>
      </w:tblBorders>
    </w:tblPr>
    <w:tcPr>
      <w:shd w:val="clear" w:color="auto" w:fill="A5A5A5" w:themeFill="accent3"/>
    </w:tcPr>
    <w:tblStylePr w:type="firstRow">
      <w:rPr>
        <w:b/>
        <w:bCs/>
      </w:rPr>
      <w:tcPr>
        <w:tcBorders>
          <w:bottom w:val="single" w:color="FFFFFF" w:themeColor="background1" w:sz="18" w:space="0"/>
        </w:tcBorders>
      </w:tcPr>
    </w:tblStylePr>
    <w:tblStylePr w:type="lastRow">
      <w:rPr>
        <w:b/>
        <w:bCs/>
      </w:rPr>
      <w:tcPr>
        <w:tcBorders>
          <w:top w:val="single" w:color="FFFFFF" w:themeColor="background1" w:sz="4" w:space="0"/>
        </w:tcBorders>
      </w:tcPr>
    </w:tblStylePr>
    <w:tblStylePr w:type="firstCol">
      <w:rPr>
        <w:b/>
        <w:bCs/>
      </w:rPr>
      <w:tcPr>
        <w:tcBorders>
          <w:right w:val="single" w:color="FFFFFF" w:themeColor="background1" w:sz="4" w:space="0"/>
        </w:tcBorders>
      </w:tcPr>
    </w:tblStylePr>
    <w:tblStylePr w:type="lastCol">
      <w:rPr>
        <w:b/>
        <w:bCs/>
      </w:rPr>
      <w:tcPr>
        <w:tcBorders>
          <w:left w:val="single" w:color="FFFFFF" w:themeColor="background1" w:sz="4" w:space="0"/>
        </w:tcBorders>
      </w:tcPr>
    </w:tblStylePr>
    <w:tblStylePr w:type="band1Vert">
      <w:tcPr>
        <w:tcBorders>
          <w:left w:val="single" w:color="FFFFFF" w:themeColor="background1" w:sz="4" w:space="0"/>
          <w:right w:val="single" w:color="FFFFFF" w:themeColor="background1" w:sz="4" w:space="0"/>
        </w:tcBorders>
      </w:tcPr>
    </w:tblStylePr>
    <w:tblStylePr w:type="band2Vert">
      <w:tcPr>
        <w:tcBorders>
          <w:left w:val="single" w:color="FFFFFF" w:themeColor="background1" w:sz="4" w:space="0"/>
          <w:right w:val="single" w:color="FFFFFF" w:themeColor="background1" w:sz="4" w:space="0"/>
        </w:tcBorders>
      </w:tcPr>
    </w:tblStylePr>
    <w:tblStylePr w:type="band1Horz">
      <w:tcPr>
        <w:tcBorders>
          <w:top w:val="single" w:color="FFFFFF" w:themeColor="background1" w:sz="4" w:space="0"/>
          <w:bottom w:val="single" w:color="FFFFFF" w:themeColor="background1" w:sz="4" w:space="0"/>
        </w:tcBorders>
      </w:tcPr>
    </w:tblStylePr>
    <w:tblStylePr w:type="neCell">
      <w:tcPr>
        <w:tcBorders>
          <w:left w:val="nil"/>
        </w:tcBorders>
      </w:tcPr>
    </w:tblStylePr>
    <w:tblStylePr w:type="nwCell">
      <w:tcPr>
        <w:tcBorders>
          <w:right w:val="nil"/>
        </w:tcBorders>
      </w:tcPr>
    </w:tblStylePr>
    <w:tblStylePr w:type="seCell">
      <w:tcPr>
        <w:tcBorders>
          <w:top w:val="nil"/>
          <w:left w:val="nil"/>
        </w:tcBorders>
      </w:tcPr>
    </w:tblStylePr>
    <w:tblStylePr w:type="swCell">
      <w:tcPr>
        <w:tcBorders>
          <w:top w:val="nil"/>
          <w:right w:val="nil"/>
        </w:tcBorders>
      </w:tcPr>
    </w:tblStylePr>
  </w:style>
  <w:style w:type="table" w:customStyle="1" w:styleId="85">
    <w:name w:val="List Table 5 Dark Accent 1"/>
    <w:basedOn w:val="9"/>
    <w:qFormat/>
    <w:uiPriority w:val="50"/>
    <w:rPr>
      <w:color w:val="FFFFFF" w:themeColor="background1"/>
      <w14:textFill>
        <w14:solidFill>
          <w14:schemeClr w14:val="bg1"/>
        </w14:solidFill>
      </w14:textFill>
    </w:rPr>
    <w:tblPr>
      <w:tblBorders>
        <w:top w:val="single" w:color="5B9BD5" w:themeColor="accent1" w:sz="24" w:space="0"/>
        <w:left w:val="single" w:color="5B9BD5" w:themeColor="accent1" w:sz="24" w:space="0"/>
        <w:bottom w:val="single" w:color="5B9BD5" w:themeColor="accent1" w:sz="24" w:space="0"/>
        <w:right w:val="single" w:color="5B9BD5" w:themeColor="accent1" w:sz="24" w:space="0"/>
      </w:tblBorders>
    </w:tblPr>
    <w:tcPr>
      <w:shd w:val="clear" w:color="auto" w:fill="5B9BD5" w:themeFill="accent1"/>
    </w:tcPr>
    <w:tblStylePr w:type="firstRow">
      <w:rPr>
        <w:b/>
        <w:bCs/>
      </w:rPr>
      <w:tcPr>
        <w:tcBorders>
          <w:bottom w:val="single" w:color="FFFFFF" w:themeColor="background1" w:sz="18" w:space="0"/>
        </w:tcBorders>
      </w:tcPr>
    </w:tblStylePr>
    <w:tblStylePr w:type="lastRow">
      <w:rPr>
        <w:b/>
        <w:bCs/>
      </w:rPr>
      <w:tcPr>
        <w:tcBorders>
          <w:top w:val="single" w:color="FFFFFF" w:themeColor="background1" w:sz="4" w:space="0"/>
        </w:tcBorders>
      </w:tcPr>
    </w:tblStylePr>
    <w:tblStylePr w:type="firstCol">
      <w:rPr>
        <w:b/>
        <w:bCs/>
      </w:rPr>
      <w:tcPr>
        <w:tcBorders>
          <w:right w:val="single" w:color="FFFFFF" w:themeColor="background1" w:sz="4" w:space="0"/>
        </w:tcBorders>
      </w:tcPr>
    </w:tblStylePr>
    <w:tblStylePr w:type="lastCol">
      <w:rPr>
        <w:b/>
        <w:bCs/>
      </w:rPr>
      <w:tcPr>
        <w:tcBorders>
          <w:left w:val="single" w:color="FFFFFF" w:themeColor="background1" w:sz="4" w:space="0"/>
        </w:tcBorders>
      </w:tcPr>
    </w:tblStylePr>
    <w:tblStylePr w:type="band1Vert">
      <w:tcPr>
        <w:tcBorders>
          <w:left w:val="single" w:color="FFFFFF" w:themeColor="background1" w:sz="4" w:space="0"/>
          <w:right w:val="single" w:color="FFFFFF" w:themeColor="background1" w:sz="4" w:space="0"/>
        </w:tcBorders>
      </w:tcPr>
    </w:tblStylePr>
    <w:tblStylePr w:type="band2Vert">
      <w:tcPr>
        <w:tcBorders>
          <w:left w:val="single" w:color="FFFFFF" w:themeColor="background1" w:sz="4" w:space="0"/>
          <w:right w:val="single" w:color="FFFFFF" w:themeColor="background1" w:sz="4" w:space="0"/>
        </w:tcBorders>
      </w:tcPr>
    </w:tblStylePr>
    <w:tblStylePr w:type="band1Horz">
      <w:tcPr>
        <w:tcBorders>
          <w:top w:val="single" w:color="FFFFFF" w:themeColor="background1" w:sz="4" w:space="0"/>
          <w:bottom w:val="single" w:color="FFFFFF" w:themeColor="background1" w:sz="4" w:space="0"/>
        </w:tcBorders>
      </w:tcPr>
    </w:tblStylePr>
    <w:tblStylePr w:type="neCell">
      <w:tcPr>
        <w:tcBorders>
          <w:left w:val="nil"/>
        </w:tcBorders>
      </w:tcPr>
    </w:tblStylePr>
    <w:tblStylePr w:type="nwCell">
      <w:tcPr>
        <w:tcBorders>
          <w:right w:val="nil"/>
        </w:tcBorders>
      </w:tcPr>
    </w:tblStylePr>
    <w:tblStylePr w:type="seCell">
      <w:tcPr>
        <w:tcBorders>
          <w:top w:val="nil"/>
          <w:left w:val="nil"/>
        </w:tcBorders>
      </w:tcPr>
    </w:tblStylePr>
    <w:tblStylePr w:type="swCell">
      <w:tcPr>
        <w:tcBorders>
          <w:top w:val="nil"/>
          <w:right w:val="nil"/>
        </w:tcBorders>
      </w:tcPr>
    </w:tblStylePr>
  </w:style>
  <w:style w:type="table" w:customStyle="1" w:styleId="86">
    <w:name w:val="List Table 3 Accent 6"/>
    <w:basedOn w:val="9"/>
    <w:qFormat/>
    <w:uiPriority w:val="48"/>
    <w:tblPr>
      <w:tblBorders>
        <w:top w:val="single" w:color="70AD47" w:themeColor="accent6" w:sz="4" w:space="0"/>
        <w:left w:val="single" w:color="70AD47" w:themeColor="accent6" w:sz="4" w:space="0"/>
        <w:bottom w:val="single" w:color="70AD47" w:themeColor="accent6" w:sz="4" w:space="0"/>
        <w:right w:val="single" w:color="70AD47" w:themeColor="accent6" w:sz="4" w:space="0"/>
      </w:tblBorders>
    </w:tblPr>
    <w:tblStylePr w:type="firstRow">
      <w:rPr>
        <w:b/>
        <w:bCs/>
        <w:color w:val="FFFFFF" w:themeColor="background1"/>
        <w14:textFill>
          <w14:solidFill>
            <w14:schemeClr w14:val="bg1"/>
          </w14:solidFill>
        </w14:textFill>
      </w:rPr>
      <w:tcPr>
        <w:shd w:val="clear" w:color="auto" w:fill="70AD47" w:themeFill="accent6"/>
      </w:tcPr>
    </w:tblStylePr>
    <w:tblStylePr w:type="lastRow">
      <w:rPr>
        <w:b/>
        <w:bCs/>
      </w:rPr>
      <w:tcPr>
        <w:tcBorders>
          <w:top w:val="double" w:color="70AD47" w:themeColor="accent6"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70AD47" w:themeColor="accent6" w:sz="4" w:space="0"/>
          <w:right w:val="single" w:color="70AD47" w:themeColor="accent6" w:sz="4" w:space="0"/>
        </w:tcBorders>
      </w:tcPr>
    </w:tblStylePr>
    <w:tblStylePr w:type="band1Horz">
      <w:tcPr>
        <w:tcBorders>
          <w:top w:val="single" w:color="70AD47" w:themeColor="accent6" w:sz="4" w:space="0"/>
          <w:bottom w:val="single" w:color="70AD47" w:themeColor="accent6"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70AD47" w:themeColor="accent6" w:sz="4" w:space="0"/>
          <w:left w:val="nil"/>
        </w:tcBorders>
      </w:tcPr>
    </w:tblStylePr>
    <w:tblStylePr w:type="swCell">
      <w:tcPr>
        <w:tcBorders>
          <w:top w:val="double" w:color="70AD47" w:themeColor="accent6" w:sz="4" w:space="0"/>
          <w:right w:val="nil"/>
        </w:tcBorders>
      </w:tcPr>
    </w:tblStylePr>
  </w:style>
  <w:style w:type="table" w:customStyle="1" w:styleId="87">
    <w:name w:val="List Table 5 Dark Accent 6"/>
    <w:basedOn w:val="9"/>
    <w:qFormat/>
    <w:uiPriority w:val="50"/>
    <w:rPr>
      <w:color w:val="FFFFFF" w:themeColor="background1"/>
      <w14:textFill>
        <w14:solidFill>
          <w14:schemeClr w14:val="bg1"/>
        </w14:solidFill>
      </w14:textFill>
    </w:rPr>
    <w:tblPr>
      <w:tblBorders>
        <w:top w:val="single" w:color="70AD47" w:themeColor="accent6" w:sz="24" w:space="0"/>
        <w:left w:val="single" w:color="70AD47" w:themeColor="accent6" w:sz="24" w:space="0"/>
        <w:bottom w:val="single" w:color="70AD47" w:themeColor="accent6" w:sz="24" w:space="0"/>
        <w:right w:val="single" w:color="70AD47" w:themeColor="accent6" w:sz="24" w:space="0"/>
      </w:tblBorders>
    </w:tblPr>
    <w:tcPr>
      <w:shd w:val="clear" w:color="auto" w:fill="70AD47" w:themeFill="accent6"/>
    </w:tcPr>
    <w:tblStylePr w:type="firstRow">
      <w:rPr>
        <w:b/>
        <w:bCs/>
      </w:rPr>
      <w:tcPr>
        <w:tcBorders>
          <w:bottom w:val="single" w:color="FFFFFF" w:themeColor="background1" w:sz="18" w:space="0"/>
        </w:tcBorders>
      </w:tcPr>
    </w:tblStylePr>
    <w:tblStylePr w:type="lastRow">
      <w:rPr>
        <w:b/>
        <w:bCs/>
      </w:rPr>
      <w:tcPr>
        <w:tcBorders>
          <w:top w:val="single" w:color="FFFFFF" w:themeColor="background1" w:sz="4" w:space="0"/>
        </w:tcBorders>
      </w:tcPr>
    </w:tblStylePr>
    <w:tblStylePr w:type="firstCol">
      <w:rPr>
        <w:b/>
        <w:bCs/>
      </w:rPr>
      <w:tcPr>
        <w:tcBorders>
          <w:right w:val="single" w:color="FFFFFF" w:themeColor="background1" w:sz="4" w:space="0"/>
        </w:tcBorders>
      </w:tcPr>
    </w:tblStylePr>
    <w:tblStylePr w:type="lastCol">
      <w:rPr>
        <w:b/>
        <w:bCs/>
      </w:rPr>
      <w:tcPr>
        <w:tcBorders>
          <w:left w:val="single" w:color="FFFFFF" w:themeColor="background1" w:sz="4" w:space="0"/>
        </w:tcBorders>
      </w:tcPr>
    </w:tblStylePr>
    <w:tblStylePr w:type="band1Vert">
      <w:tcPr>
        <w:tcBorders>
          <w:left w:val="single" w:color="FFFFFF" w:themeColor="background1" w:sz="4" w:space="0"/>
          <w:right w:val="single" w:color="FFFFFF" w:themeColor="background1" w:sz="4" w:space="0"/>
        </w:tcBorders>
      </w:tcPr>
    </w:tblStylePr>
    <w:tblStylePr w:type="band2Vert">
      <w:tcPr>
        <w:tcBorders>
          <w:left w:val="single" w:color="FFFFFF" w:themeColor="background1" w:sz="4" w:space="0"/>
          <w:right w:val="single" w:color="FFFFFF" w:themeColor="background1" w:sz="4" w:space="0"/>
        </w:tcBorders>
      </w:tcPr>
    </w:tblStylePr>
    <w:tblStylePr w:type="band1Horz">
      <w:tcPr>
        <w:tcBorders>
          <w:top w:val="single" w:color="FFFFFF" w:themeColor="background1" w:sz="4" w:space="0"/>
          <w:bottom w:val="single" w:color="FFFFFF" w:themeColor="background1" w:sz="4" w:space="0"/>
        </w:tcBorders>
      </w:tcPr>
    </w:tblStylePr>
    <w:tblStylePr w:type="neCell">
      <w:tcPr>
        <w:tcBorders>
          <w:left w:val="nil"/>
        </w:tcBorders>
      </w:tcPr>
    </w:tblStylePr>
    <w:tblStylePr w:type="nwCell">
      <w:tcPr>
        <w:tcBorders>
          <w:right w:val="nil"/>
        </w:tcBorders>
      </w:tcPr>
    </w:tblStylePr>
    <w:tblStylePr w:type="seCell">
      <w:tcPr>
        <w:tcBorders>
          <w:top w:val="nil"/>
          <w:left w:val="nil"/>
        </w:tcBorders>
      </w:tcPr>
    </w:tblStylePr>
    <w:tblStylePr w:type="swCell">
      <w:tcPr>
        <w:tcBorders>
          <w:top w:val="nil"/>
          <w:right w:val="nil"/>
        </w:tcBorders>
      </w:tcPr>
    </w:tblStylePr>
  </w:style>
  <w:style w:type="paragraph" w:customStyle="1" w:styleId="88">
    <w:name w:val="Default"/>
    <w:qFormat/>
    <w:uiPriority w:val="0"/>
    <w:pPr>
      <w:autoSpaceDE w:val="0"/>
      <w:autoSpaceDN w:val="0"/>
      <w:adjustRightInd w:val="0"/>
    </w:pPr>
    <w:rPr>
      <w:rFonts w:ascii="Times New Roman" w:hAnsi="Times New Roman" w:eastAsia="Times New Roman" w:cs="Times New Roman"/>
      <w:color w:val="000000"/>
      <w:sz w:val="24"/>
      <w:szCs w:val="24"/>
      <w:lang w:val="en-US" w:eastAsia="en-US" w:bidi="ar-SA"/>
    </w:rPr>
  </w:style>
  <w:style w:type="table" w:customStyle="1" w:styleId="89">
    <w:name w:val="Grid Table 4 Accent 6"/>
    <w:basedOn w:val="9"/>
    <w:qFormat/>
    <w:uiPriority w:val="49"/>
    <w:tblPr>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14:textFill>
          <w14:solidFill>
            <w14:schemeClr w14:val="bg1"/>
          </w14:solidFill>
        </w14:textFill>
      </w:r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cPr>
        <w:tcBorders>
          <w:top w:val="double" w:color="70AD47" w:themeColor="accent6" w:sz="4" w:space="0"/>
        </w:tcBorders>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 w:type="table" w:customStyle="1" w:styleId="90">
    <w:name w:val="Grid Table 4 Accent 1"/>
    <w:basedOn w:val="9"/>
    <w:qFormat/>
    <w:uiPriority w:val="49"/>
    <w:tblPr>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color w:val="FFFFFF" w:themeColor="background1"/>
        <w14:textFill>
          <w14:solidFill>
            <w14:schemeClr w14:val="bg1"/>
          </w14:solidFill>
        </w14:textFill>
      </w:r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w:type="lastRow">
      <w:rPr>
        <w:b/>
        <w:bCs/>
      </w:rPr>
      <w:tcPr>
        <w:tcBorders>
          <w:top w:val="double" w:color="5B9BD5" w:themeColor="accent1" w:sz="4" w:space="0"/>
        </w:tcBorders>
      </w:tcPr>
    </w:tblStylePr>
    <w:tblStylePr w:type="firstCol">
      <w:rPr>
        <w:b/>
        <w:bCs/>
      </w:rPr>
    </w:tblStylePr>
    <w:tblStylePr w:type="lastCol">
      <w:rPr>
        <w:b/>
        <w:bCs/>
      </w:rPr>
    </w:tblStylePr>
    <w:tblStylePr w:type="band1Vert">
      <w:tcPr>
        <w:shd w:val="clear" w:color="auto" w:fill="DEEAF6" w:themeFill="accent1" w:themeFillTint="33"/>
      </w:tcPr>
    </w:tblStylePr>
    <w:tblStylePr w:type="band1Horz">
      <w:tcPr>
        <w:shd w:val="clear" w:color="auto" w:fill="DEEAF6" w:themeFill="accent1" w:themeFillTint="33"/>
      </w:tcPr>
    </w:tblStylePr>
  </w:style>
  <w:style w:type="table" w:customStyle="1" w:styleId="91">
    <w:name w:val="Grid Table 4 Accent 2"/>
    <w:basedOn w:val="9"/>
    <w:qFormat/>
    <w:uiPriority w:val="49"/>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cPr>
        <w:tcBorders>
          <w:top w:val="double" w:color="ED7D31" w:themeColor="accent2"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paragraph" w:styleId="9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hart" Target="charts/chart3.xml"/><Relationship Id="rId8" Type="http://schemas.openxmlformats.org/officeDocument/2006/relationships/chart" Target="charts/chart2.xml"/><Relationship Id="rId7" Type="http://schemas.openxmlformats.org/officeDocument/2006/relationships/chart" Target="charts/chart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hart" Target="charts/chart4.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Admin\Desktop\Prachi\December\16\C16739.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Admin\Desktop\Prachi\December\16\C16739.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Admin\Desktop\Prachi\December\16\C16739%202.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Admin\Desktop\Prachi\Jan\12\C2026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cap="all" baseline="0">
                <a:solidFill>
                  <a:schemeClr val="tx1">
                    <a:lumMod val="65000"/>
                    <a:lumOff val="35000"/>
                  </a:schemeClr>
                </a:solidFill>
                <a:latin typeface="+mn-lt"/>
                <a:ea typeface="+mn-ea"/>
                <a:cs typeface="+mn-cs"/>
              </a:defRPr>
            </a:pPr>
            <a:r>
              <a:rPr lang="en-US"/>
              <a:t>Pie Chart</a:t>
            </a:r>
            <a:endParaRPr lang="en-US"/>
          </a:p>
        </c:rich>
      </c:tx>
      <c:layout/>
      <c:overlay val="0"/>
      <c:spPr>
        <a:noFill/>
        <a:ln>
          <a:noFill/>
        </a:ln>
        <a:effectLst/>
      </c:spPr>
    </c:title>
    <c:autoTitleDeleted val="0"/>
    <c:plotArea>
      <c:layout/>
      <c:pieChart>
        <c:varyColors val="1"/>
        <c:ser>
          <c:idx val="0"/>
          <c:order val="0"/>
          <c:spPr/>
          <c:explosion val="0"/>
          <c:dPt>
            <c:idx val="0"/>
            <c:bubble3D val="0"/>
            <c:spPr>
              <a:solidFill>
                <a:schemeClr val="accent1"/>
              </a:solidFill>
              <a:ln>
                <a:noFill/>
              </a:ln>
              <a:effectLst>
                <a:outerShdw blurRad="63500" sx="102000" sy="102000" algn="ctr" rotWithShape="0">
                  <a:prstClr val="black">
                    <a:alpha val="20000"/>
                  </a:prstClr>
                </a:outerShdw>
              </a:effectLst>
            </c:spPr>
          </c:dPt>
          <c:dPt>
            <c:idx val="1"/>
            <c:bubble3D val="0"/>
            <c:spPr>
              <a:solidFill>
                <a:schemeClr val="accent2"/>
              </a:solidFill>
              <a:ln>
                <a:noFill/>
              </a:ln>
              <a:effectLst>
                <a:outerShdw blurRad="63500" sx="102000" sy="102000" algn="ctr" rotWithShape="0">
                  <a:prstClr val="black">
                    <a:alpha val="20000"/>
                  </a:prstClr>
                </a:outerShdw>
              </a:effectLst>
            </c:spPr>
          </c:dPt>
          <c:dPt>
            <c:idx val="2"/>
            <c:bubble3D val="0"/>
            <c:spPr>
              <a:solidFill>
                <a:schemeClr val="accent3"/>
              </a:solidFill>
              <a:ln>
                <a:noFill/>
              </a:ln>
              <a:effectLst>
                <a:outerShdw blurRad="63500" sx="102000" sy="102000" algn="ctr" rotWithShape="0">
                  <a:prstClr val="black">
                    <a:alpha val="20000"/>
                  </a:prstClr>
                </a:outerShdw>
              </a:effectLst>
            </c:spPr>
          </c:dPt>
          <c:dPt>
            <c:idx val="3"/>
            <c:bubble3D val="0"/>
            <c:spPr>
              <a:solidFill>
                <a:schemeClr val="accent4"/>
              </a:solidFill>
              <a:ln>
                <a:noFill/>
              </a:ln>
              <a:effectLst>
                <a:outerShdw blurRad="63500" sx="102000" sy="102000" algn="ctr" rotWithShape="0">
                  <a:prstClr val="black">
                    <a:alpha val="20000"/>
                  </a:prstClr>
                </a:outerShdw>
              </a:effectLst>
            </c:spPr>
          </c:dPt>
          <c:dPt>
            <c:idx val="4"/>
            <c:bubble3D val="0"/>
            <c:spPr>
              <a:solidFill>
                <a:schemeClr val="accent5"/>
              </a:solidFill>
              <a:ln>
                <a:noFill/>
              </a:ln>
              <a:effectLst>
                <a:outerShdw blurRad="63500" sx="102000" sy="102000" algn="ctr" rotWithShape="0">
                  <a:prstClr val="black">
                    <a:alpha val="20000"/>
                  </a:prstClr>
                </a:outerShdw>
              </a:effectLst>
            </c:spPr>
          </c:dPt>
          <c:dPt>
            <c:idx val="5"/>
            <c:bubble3D val="0"/>
            <c:spPr>
              <a:solidFill>
                <a:schemeClr val="accent6"/>
              </a:solidFill>
              <a:ln>
                <a:noFill/>
              </a:ln>
              <a:effectLst>
                <a:outerShdw blurRad="63500" sx="102000" sy="102000" algn="ctr" rotWithShape="0">
                  <a:prstClr val="black">
                    <a:alpha val="20000"/>
                  </a:prstClr>
                </a:outerShdw>
              </a:effectLst>
            </c:spPr>
          </c:dPt>
          <c:dPt>
            <c:idx val="6"/>
            <c:bubble3D val="0"/>
            <c:spPr>
              <a:solidFill>
                <a:schemeClr val="accent1">
                  <a:lumMod val="60000"/>
                </a:schemeClr>
              </a:solidFill>
              <a:ln>
                <a:noFill/>
              </a:ln>
              <a:effectLst>
                <a:outerShdw blurRad="63500" sx="102000" sy="102000" algn="ctr" rotWithShape="0">
                  <a:prstClr val="black">
                    <a:alpha val="20000"/>
                  </a:prstClr>
                </a:outerShdw>
              </a:effectLst>
            </c:spPr>
          </c:dPt>
          <c:dPt>
            <c:idx val="7"/>
            <c:bubble3D val="0"/>
            <c:spPr>
              <a:solidFill>
                <a:schemeClr val="accent2">
                  <a:lumMod val="60000"/>
                </a:schemeClr>
              </a:solidFill>
              <a:ln>
                <a:noFill/>
              </a:ln>
              <a:effectLst>
                <a:outerShdw blurRad="63500" sx="102000" sy="102000" algn="ctr" rotWithShape="0">
                  <a:prstClr val="black">
                    <a:alpha val="20000"/>
                  </a:prstClr>
                </a:outerShdw>
              </a:effectLst>
            </c:spPr>
          </c:dPt>
          <c:dLbls>
            <c:dLbl>
              <c:idx val="0"/>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1"/>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1"/>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2"/>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2"/>
              <c:layout>
                <c:manualLayout>
                  <c:x val="0.0690012075211316"/>
                  <c:y val="0.102199511219729"/>
                </c:manualLayout>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3"/>
                      </a:solidFill>
                      <a:latin typeface="+mn-lt"/>
                      <a:ea typeface="+mn-ea"/>
                      <a:cs typeface="+mn-cs"/>
                    </a:defRPr>
                  </a:pPr>
                </a:p>
              </c:txPr>
              <c:dLblPos val="bestFit"/>
              <c:showLegendKey val="0"/>
              <c:showVal val="0"/>
              <c:showCatName val="1"/>
              <c:showSerName val="0"/>
              <c:showPercent val="0"/>
              <c:showBubbleSize val="0"/>
              <c:extLst>
                <c:ext xmlns:c15="http://schemas.microsoft.com/office/drawing/2012/chart" uri="{CE6537A1-D6FC-4f65-9D91-7224C49458BB}">
                  <c15:layout/>
                </c:ext>
              </c:extLst>
            </c:dLbl>
            <c:dLbl>
              <c:idx val="3"/>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4"/>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4"/>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5"/>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5"/>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6"/>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6"/>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1">
                          <a:lumMod val="60000"/>
                        </a:schemeClr>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dLbl>
              <c:idx val="7"/>
              <c:layout/>
              <c:numFmt formatCode="General" sourceLinked="1"/>
              <c:spPr>
                <a:noFill/>
                <a:ln>
                  <a:noFill/>
                </a:ln>
                <a:effectLst/>
              </c:spPr>
              <c:txPr>
                <a:bodyPr rot="0" spcFirstLastPara="1" vertOverflow="ellipsis" vert="horz" wrap="square" lIns="38100" tIns="19050" rIns="38100" bIns="19050" anchor="ctr" anchorCtr="1">
                  <a:spAutoFit/>
                </a:bodyPr>
                <a:lstStyle/>
                <a:p>
                  <a:pPr>
                    <a:defRPr lang="en-US" sz="1000" b="1" i="0" u="none" strike="noStrike" kern="1200" spc="0" baseline="0">
                      <a:solidFill>
                        <a:schemeClr val="accent2">
                          <a:lumMod val="60000"/>
                        </a:schemeClr>
                      </a:solidFill>
                      <a:latin typeface="+mn-lt"/>
                      <a:ea typeface="+mn-ea"/>
                      <a:cs typeface="+mn-cs"/>
                    </a:defRPr>
                  </a:pPr>
                </a:p>
              </c:txPr>
              <c:dLblPos val="outEnd"/>
              <c:showLegendKey val="0"/>
              <c:showVal val="0"/>
              <c:showCatName val="1"/>
              <c:showSerName val="0"/>
              <c:showPercent val="0"/>
              <c:showBubbleSize val="0"/>
              <c:extLst>
                <c:ext xmlns:c15="http://schemas.microsoft.com/office/drawing/2012/chart" uri="{CE6537A1-D6FC-4f65-9D91-7224C49458BB}"/>
              </c:extLst>
            </c:dLbl>
            <c:spPr>
              <a:noFill/>
              <a:ln>
                <a:noFill/>
              </a:ln>
              <a:effectLst/>
            </c:spPr>
            <c:txPr>
              <a:bodyPr rot="0" spcFirstLastPara="0" vertOverflow="ellipsis" vert="horz" wrap="square" lIns="38100" tIns="19050" rIns="38100" bIns="19050" anchor="ctr" anchorCtr="1"/>
              <a:lstStyle/>
              <a:p>
                <a:pPr>
                  <a:defRPr lang="en-US" sz="1000" b="1" i="0" u="none" strike="noStrike" kern="1200" spc="0" baseline="0">
                    <a:solidFill>
                      <a:schemeClr val="accent1"/>
                    </a:solidFill>
                    <a:latin typeface="+mn-lt"/>
                    <a:ea typeface="+mn-ea"/>
                    <a:cs typeface="+mn-cs"/>
                  </a:defRPr>
                </a:pPr>
              </a:p>
            </c:txPr>
            <c:dLblPos val="outEnd"/>
            <c:showLegendKey val="0"/>
            <c:showVal val="0"/>
            <c:showCatName val="1"/>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Sheet3!$M$4:$M$11</c:f>
              <c:strCache>
                <c:ptCount val="8"/>
                <c:pt idx="0">
                  <c:v>Atlantic</c:v>
                </c:pt>
                <c:pt idx="1">
                  <c:v>North Carolina</c:v>
                </c:pt>
                <c:pt idx="2">
                  <c:v>Northwest Territories</c:v>
                </c:pt>
                <c:pt idx="3">
                  <c:v>Ontario</c:v>
                </c:pt>
                <c:pt idx="4">
                  <c:v>Prarie</c:v>
                </c:pt>
                <c:pt idx="5">
                  <c:v>Quebec</c:v>
                </c:pt>
                <c:pt idx="6">
                  <c:v>West</c:v>
                </c:pt>
                <c:pt idx="7">
                  <c:v>Yukon</c:v>
                </c:pt>
              </c:strCache>
            </c:strRef>
          </c:cat>
          <c:val>
            <c:numRef>
              <c:f>Sheet3!$O$4:$O$11</c:f>
              <c:numCache>
                <c:formatCode>General</c:formatCode>
                <c:ptCount val="8"/>
                <c:pt idx="0">
                  <c:v>1080</c:v>
                </c:pt>
                <c:pt idx="1">
                  <c:v>79</c:v>
                </c:pt>
                <c:pt idx="2">
                  <c:v>59</c:v>
                </c:pt>
                <c:pt idx="3">
                  <c:v>2161</c:v>
                </c:pt>
                <c:pt idx="4">
                  <c:v>1706</c:v>
                </c:pt>
                <c:pt idx="5">
                  <c:v>781</c:v>
                </c:pt>
                <c:pt idx="6">
                  <c:v>1991</c:v>
                </c:pt>
                <c:pt idx="7">
                  <c:v>542</c:v>
                </c:pt>
              </c:numCache>
            </c:numRef>
          </c:val>
        </c:ser>
        <c:dLbls>
          <c:showLegendKey val="0"/>
          <c:showVal val="0"/>
          <c:showCatName val="1"/>
          <c:showSerName val="0"/>
          <c:showPercent val="0"/>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400" b="1" i="0" u="none" strike="noStrike" kern="1200" cap="none" baseline="0">
                <a:solidFill>
                  <a:schemeClr val="lt1">
                    <a:lumMod val="85000"/>
                  </a:schemeClr>
                </a:solidFill>
                <a:latin typeface="Times New Roman" panose="02020603050405020304" pitchFamily="18" charset="0"/>
                <a:ea typeface="+mn-ea"/>
                <a:cs typeface="Times New Roman" panose="02020603050405020304" pitchFamily="18" charset="0"/>
              </a:defRPr>
            </a:pPr>
            <a:r>
              <a:rPr lang="en-US"/>
              <a:t>Line Chart</a:t>
            </a:r>
            <a:endParaRPr lang="en-US"/>
          </a:p>
        </c:rich>
      </c:tx>
      <c:layout/>
      <c:overlay val="0"/>
      <c:spPr>
        <a:noFill/>
        <a:ln>
          <a:noFill/>
        </a:ln>
        <a:effectLst/>
      </c:spPr>
    </c:title>
    <c:autoTitleDeleted val="0"/>
    <c:plotArea>
      <c:layout>
        <c:manualLayout>
          <c:layoutTarget val="inner"/>
          <c:xMode val="edge"/>
          <c:yMode val="edge"/>
          <c:x val="0.116025371828521"/>
          <c:y val="0.300764435695538"/>
          <c:w val="0.839530183727034"/>
          <c:h val="0.614984324876057"/>
        </c:manualLayout>
      </c:layout>
      <c:lineChart>
        <c:grouping val="standard"/>
        <c:varyColors val="0"/>
        <c:ser>
          <c:idx val="0"/>
          <c:order val="0"/>
          <c:tx>
            <c:strRef>
              <c:f>Sheet3!$B$4</c:f>
              <c:strCache>
                <c:ptCount val="1"/>
                <c:pt idx="0">
                  <c:v>4209896.846</c:v>
                </c:pt>
              </c:strCache>
            </c:strRef>
          </c:tx>
          <c:spPr>
            <a:ln w="22225" cap="rnd">
              <a:solidFill>
                <a:schemeClr val="accent2"/>
              </a:solidFill>
            </a:ln>
            <a:effectLst>
              <a:glow rad="139700">
                <a:schemeClr val="accent2">
                  <a:satMod val="175000"/>
                  <a:alpha val="14000"/>
                </a:schemeClr>
              </a:glow>
            </a:effectLst>
          </c:spPr>
          <c:marker>
            <c:symbol val="none"/>
          </c:marker>
          <c:dLbls>
            <c:delete val="1"/>
          </c:dLbls>
          <c:cat>
            <c:strRef>
              <c:f>Sheet3!$A$5:$A$8</c:f>
              <c:strCache>
                <c:ptCount val="4"/>
                <c:pt idx="0">
                  <c:v>2010</c:v>
                </c:pt>
                <c:pt idx="1">
                  <c:v>2011</c:v>
                </c:pt>
                <c:pt idx="2">
                  <c:v>2012</c:v>
                </c:pt>
                <c:pt idx="3">
                  <c:v>Grand Total</c:v>
                </c:pt>
              </c:strCache>
            </c:strRef>
          </c:cat>
          <c:val>
            <c:numRef>
              <c:f>Sheet3!$B$5:$B$8</c:f>
              <c:numCache>
                <c:formatCode>General</c:formatCode>
                <c:ptCount val="4"/>
                <c:pt idx="0">
                  <c:v>3560087.0445</c:v>
                </c:pt>
                <c:pt idx="1">
                  <c:v>3429944.981</c:v>
                </c:pt>
                <c:pt idx="2">
                  <c:v>3715671.953</c:v>
                </c:pt>
                <c:pt idx="3">
                  <c:v>14915600.824</c:v>
                </c:pt>
              </c:numCache>
            </c:numRef>
          </c:val>
          <c:smooth val="0"/>
        </c:ser>
        <c:ser>
          <c:idx val="1"/>
          <c:order val="1"/>
          <c:tx>
            <c:strRef>
              <c:f>Sheet3!$C$4</c:f>
              <c:strCache>
                <c:ptCount val="1"/>
                <c:pt idx="0">
                  <c:v>434096.02</c:v>
                </c:pt>
              </c:strCache>
            </c:strRef>
          </c:tx>
          <c:spPr>
            <a:ln w="22225" cap="rnd">
              <a:solidFill>
                <a:schemeClr val="accent4"/>
              </a:solidFill>
            </a:ln>
            <a:effectLst>
              <a:glow rad="139700">
                <a:schemeClr val="accent4">
                  <a:satMod val="175000"/>
                  <a:alpha val="14000"/>
                </a:schemeClr>
              </a:glow>
            </a:effectLst>
          </c:spPr>
          <c:marker>
            <c:symbol val="none"/>
          </c:marker>
          <c:dLbls>
            <c:delete val="1"/>
          </c:dLbls>
          <c:cat>
            <c:strRef>
              <c:f>Sheet3!$A$5:$A$8</c:f>
              <c:strCache>
                <c:ptCount val="4"/>
                <c:pt idx="0">
                  <c:v>2010</c:v>
                </c:pt>
                <c:pt idx="1">
                  <c:v>2011</c:v>
                </c:pt>
                <c:pt idx="2">
                  <c:v>2012</c:v>
                </c:pt>
                <c:pt idx="3">
                  <c:v>Grand Total</c:v>
                </c:pt>
              </c:strCache>
            </c:strRef>
          </c:cat>
          <c:val>
            <c:numRef>
              <c:f>Sheet3!$C$5:$C$8</c:f>
              <c:numCache>
                <c:formatCode>General</c:formatCode>
                <c:ptCount val="4"/>
                <c:pt idx="0">
                  <c:v>364917.33</c:v>
                </c:pt>
                <c:pt idx="1">
                  <c:v>380310.499999999</c:v>
                </c:pt>
                <c:pt idx="2">
                  <c:v>342444.129999999</c:v>
                </c:pt>
                <c:pt idx="3">
                  <c:v>1521767.98</c:v>
                </c:pt>
              </c:numCache>
            </c:numRef>
          </c:val>
          <c:smooth val="0"/>
        </c:ser>
        <c:dLbls>
          <c:showLegendKey val="0"/>
          <c:showVal val="0"/>
          <c:showCatName val="0"/>
          <c:showSerName val="0"/>
          <c:showPercent val="0"/>
          <c:showBubbleSize val="0"/>
        </c:dLbls>
        <c:marker val="0"/>
        <c:smooth val="0"/>
        <c:axId val="2118062687"/>
        <c:axId val="2125945087"/>
        <c:extLst>
          <c:ext xmlns:c15="http://schemas.microsoft.com/office/drawing/2012/chart" uri="{02D57815-91ED-43cb-92C2-25804820EDAC}">
            <c15:filteredLineSeries>
              <c15:ser>
                <c:idx val="2"/>
                <c:order val="2"/>
                <c:tx>
                  <c:strRef>
                    <c:extLst>
                      <c:ext uri="{02D57815-91ED-43cb-92C2-25804820EDAC}">
                        <c15:formulaRef>
                          <c15:sqref>Sheet3!$D$4</c15:sqref>
                        </c15:formulaRef>
                      </c:ext>
                    </c:extLst>
                    <c:strCache>
                      <c:ptCount val="1"/>
                      <c:pt idx="0">
                        <c:v>54508</c:v>
                      </c:pt>
                    </c:strCache>
                  </c:strRef>
                </c:tx>
                <c:spPr>
                  <a:ln w="22225" cap="rnd">
                    <a:solidFill>
                      <a:schemeClr val="accent6"/>
                    </a:solidFill>
                  </a:ln>
                  <a:effectLst>
                    <a:glow rad="139700">
                      <a:schemeClr val="accent6">
                        <a:satMod val="175000"/>
                        <a:alpha val="14000"/>
                      </a:schemeClr>
                    </a:glow>
                  </a:effectLst>
                </c:spPr>
                <c:marker>
                  <c:symbol val="none"/>
                </c:marker>
                <c:dLbls>
                  <c:delete val="1"/>
                </c:dLbls>
                <c:cat>
                  <c:strRef>
                    <c:extLst>
                      <c:ext uri="{02D57815-91ED-43cb-92C2-25804820EDAC}">
                        <c15:fullRef>
                          <c15:sqref/>
                        </c15:fullRef>
                        <c15:formulaRef>
                          <c15:sqref>Sheet3!$A$5:$A$8</c15:sqref>
                        </c15:formulaRef>
                      </c:ext>
                    </c:extLst>
                    <c:strCache>
                      <c:ptCount val="4"/>
                      <c:pt idx="0">
                        <c:v>2010</c:v>
                      </c:pt>
                      <c:pt idx="1">
                        <c:v>2011</c:v>
                      </c:pt>
                      <c:pt idx="2">
                        <c:v>2012</c:v>
                      </c:pt>
                      <c:pt idx="3">
                        <c:v>Grand Total</c:v>
                      </c:pt>
                    </c:strCache>
                  </c:strRef>
                </c:cat>
                <c:val>
                  <c:numRef>
                    <c:extLst>
                      <c:ext uri="{02D57815-91ED-43cb-92C2-25804820EDAC}">
                        <c15:formulaRef>
                          <c15:sqref>Sheet3!$D$5:$D$8</c15:sqref>
                        </c15:formulaRef>
                      </c:ext>
                    </c:extLst>
                    <c:numCache>
                      <c:formatCode>General</c:formatCode>
                      <c:ptCount val="4"/>
                      <c:pt idx="0">
                        <c:v>54379</c:v>
                      </c:pt>
                      <c:pt idx="1">
                        <c:v>51413</c:v>
                      </c:pt>
                      <c:pt idx="2">
                        <c:v>54480</c:v>
                      </c:pt>
                      <c:pt idx="3">
                        <c:v>214780</c:v>
                      </c:pt>
                    </c:numCache>
                  </c:numRef>
                </c:val>
                <c:smooth val="0"/>
              </c15:ser>
            </c15:filteredLineSeries>
          </c:ext>
        </c:extLst>
      </c:lineChart>
      <c:catAx>
        <c:axId val="2118062687"/>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p>
        </c:txPr>
        <c:crossAx val="2125945087"/>
        <c:crosses val="autoZero"/>
        <c:auto val="1"/>
        <c:lblAlgn val="ctr"/>
        <c:lblOffset val="100"/>
        <c:noMultiLvlLbl val="0"/>
      </c:catAx>
      <c:valAx>
        <c:axId val="2125945087"/>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p>
        </c:txPr>
        <c:crossAx val="2118062687"/>
        <c:crosses val="autoZero"/>
        <c:crossBetween val="between"/>
      </c:valAx>
      <c:spPr>
        <a:noFill/>
        <a:ln>
          <a:noFill/>
        </a:ln>
        <a:effectLst/>
      </c:spPr>
    </c:plotArea>
    <c:legend>
      <c:legendPos val="t"/>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75000"/>
                </a:schemeClr>
              </a:solidFill>
              <a:latin typeface="Times New Roman" panose="02020603050405020304" pitchFamily="18" charset="0"/>
              <a:ea typeface="+mn-ea"/>
              <a:cs typeface="Times New Roman" panose="02020603050405020304" pitchFamily="18" charset="0"/>
            </a:defRPr>
          </a:pPr>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lang="en-US">
          <a:latin typeface="Times New Roman" panose="02020603050405020304" pitchFamily="18" charset="0"/>
          <a:cs typeface="Times New Roman" panose="02020603050405020304" pitchFamily="18" charset="0"/>
        </a:defRPr>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Bar</a:t>
            </a:r>
            <a:r>
              <a:rPr lang="en-US" baseline="0"/>
              <a:t> Graph</a:t>
            </a:r>
            <a:endParaRPr lang="en-US"/>
          </a:p>
        </c:rich>
      </c:tx>
      <c:layout/>
      <c:overlay val="0"/>
      <c:spPr>
        <a:noFill/>
        <a:ln>
          <a:noFill/>
        </a:ln>
        <a:effectLst/>
      </c:spPr>
    </c:title>
    <c:autoTitleDeleted val="0"/>
    <c:plotArea>
      <c:layout/>
      <c:barChart>
        <c:barDir val="bar"/>
        <c:grouping val="clustered"/>
        <c:varyColors val="0"/>
        <c:ser>
          <c:idx val="0"/>
          <c:order val="0"/>
          <c:tx>
            <c:strRef>
              <c:f>Male</c:f>
              <c:strCache>
                <c:ptCount val="1"/>
                <c:pt idx="0">
                  <c:v>Male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val>
            <c:numRef>
              <c:f>'Ice_cream_csv (1)'!$T$13:$U$13</c:f>
              <c:numCache>
                <c:formatCode>General</c:formatCode>
                <c:ptCount val="2"/>
                <c:pt idx="0">
                  <c:v>91</c:v>
                </c:pt>
                <c:pt idx="1">
                  <c:v>0</c:v>
                </c:pt>
              </c:numCache>
            </c:numRef>
          </c:val>
        </c:ser>
        <c:ser>
          <c:idx val="1"/>
          <c:order val="1"/>
          <c:tx>
            <c:strRef>
              <c:f>Female</c:f>
              <c:strCache>
                <c:ptCount val="1"/>
                <c:pt idx="0">
                  <c:v>Female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elete val="1"/>
          </c:dLbls>
          <c:val>
            <c:numRef>
              <c:f>'Ice_cream_csv (1)'!$T$14:$U$14</c:f>
              <c:numCache>
                <c:formatCode>General</c:formatCode>
                <c:ptCount val="2"/>
                <c:pt idx="0">
                  <c:v>109</c:v>
                </c:pt>
                <c:pt idx="1">
                  <c:v>0</c:v>
                </c:pt>
              </c:numCache>
            </c:numRef>
          </c:val>
        </c:ser>
        <c:dLbls>
          <c:showLegendKey val="0"/>
          <c:showVal val="0"/>
          <c:showCatName val="0"/>
          <c:showSerName val="0"/>
          <c:showPercent val="0"/>
          <c:showBubbleSize val="0"/>
        </c:dLbls>
        <c:gapWidth val="115"/>
        <c:overlap val="-20"/>
        <c:axId val="1261037535"/>
        <c:axId val="1261023391"/>
      </c:barChart>
      <c:catAx>
        <c:axId val="1261037535"/>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1261023391"/>
        <c:crosses val="autoZero"/>
        <c:auto val="1"/>
        <c:lblAlgn val="ctr"/>
        <c:lblOffset val="100"/>
        <c:noMultiLvlLbl val="0"/>
      </c:catAx>
      <c:valAx>
        <c:axId val="1261023391"/>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crossAx val="1261037535"/>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PIE</a:t>
            </a:r>
            <a:r>
              <a:rPr lang="en-US" baseline="0"/>
              <a:t> Chart</a:t>
            </a:r>
            <a:endParaRPr lang="en-US"/>
          </a:p>
        </c:rich>
      </c:tx>
      <c:layout/>
      <c:overlay val="0"/>
      <c:spPr>
        <a:noFill/>
        <a:ln>
          <a:noFill/>
        </a:ln>
        <a:effectLst/>
      </c:spPr>
    </c:title>
    <c:autoTitleDeleted val="0"/>
    <c:plotArea>
      <c:layout/>
      <c:pieChart>
        <c:varyColors val="1"/>
        <c:ser>
          <c:idx val="0"/>
          <c:order val="0"/>
          <c:tx>
            <c:strRef>
              <c:f>'Ice_cream_csv (1)'!$V$7</c:f>
              <c:strCache>
                <c:ptCount val="1"/>
                <c:pt idx="0">
                  <c:v>COUNT</c:v>
                </c:pt>
              </c:strCache>
            </c:strRef>
          </c:tx>
          <c:spPr/>
          <c:explosion val="0"/>
          <c:dPt>
            <c:idx val="0"/>
            <c:bubble3D val="0"/>
            <c:spPr>
              <a:solidFill>
                <a:schemeClr val="accent2">
                  <a:lumMod val="20000"/>
                  <a:lumOff val="80000"/>
                </a:schemeClr>
              </a:solidFill>
              <a:ln>
                <a:noFill/>
              </a:ln>
              <a:effectLst>
                <a:outerShdw blurRad="57150" dist="19050" dir="5400000" algn="ctr" rotWithShape="0">
                  <a:srgbClr val="000000">
                    <a:alpha val="63000"/>
                  </a:srgbClr>
                </a:outerShdw>
              </a:effectLst>
            </c:spPr>
          </c:dPt>
          <c:dPt>
            <c:idx val="1"/>
            <c:bubble3D val="0"/>
            <c:spPr>
              <a:solidFill>
                <a:srgbClr val="663300"/>
              </a:solidFill>
              <a:ln>
                <a:noFill/>
              </a:ln>
              <a:effectLst>
                <a:outerShdw blurRad="57150" dist="19050" dir="5400000" algn="ctr" rotWithShape="0">
                  <a:srgbClr val="000000">
                    <a:alpha val="63000"/>
                  </a:srgbClr>
                </a:outerShdw>
              </a:effectLst>
            </c:spPr>
          </c:dPt>
          <c:dPt>
            <c:idx val="2"/>
            <c:bubble3D val="0"/>
            <c:spPr>
              <a:solidFill>
                <a:srgbClr val="E55D70"/>
              </a:solidFill>
              <a:ln>
                <a:noFill/>
              </a:ln>
              <a:effectLst>
                <a:outerShdw blurRad="57150" dist="19050" dir="5400000" algn="ctr" rotWithShape="0">
                  <a:srgbClr val="000000">
                    <a:alpha val="63000"/>
                  </a:srgbClr>
                </a:outerShdw>
              </a:effectLst>
            </c:spPr>
          </c:dPt>
          <c:dLbls>
            <c:delete val="1"/>
          </c:dLbls>
          <c:cat>
            <c:strRef>
              <c:f>'Ice_cream_csv (1)'!$U$8:$U$10</c:f>
              <c:strCache>
                <c:ptCount val="3"/>
                <c:pt idx="0">
                  <c:v>Vanilla</c:v>
                </c:pt>
                <c:pt idx="1">
                  <c:v>Chocolate</c:v>
                </c:pt>
                <c:pt idx="2">
                  <c:v>Strawberry</c:v>
                </c:pt>
              </c:strCache>
            </c:strRef>
          </c:cat>
          <c:val>
            <c:numRef>
              <c:f>'Ice_cream_csv (1)'!$V$8:$V$10</c:f>
              <c:numCache>
                <c:formatCode>General</c:formatCode>
                <c:ptCount val="3"/>
                <c:pt idx="0">
                  <c:v>95</c:v>
                </c:pt>
                <c:pt idx="1">
                  <c:v>47</c:v>
                </c:pt>
                <c:pt idx="2">
                  <c:v>58</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3568</Words>
  <Characters>20338</Characters>
  <Lines>169</Lines>
  <Paragraphs>47</Paragraphs>
  <TotalTime>246</TotalTime>
  <ScaleCrop>false</ScaleCrop>
  <LinksUpToDate>false</LinksUpToDate>
  <CharactersWithSpaces>23859</CharactersWithSpaces>
  <Application>WPS Office_4.9.0.7859_F1E327BC-269C-435d-A152-05C5408002CA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2023-01-03T13:11:00Z</dcterms:created>
  <dc:creator>user10</dc:creator>
  <cp:lastModifiedBy>GabrielTudosie</cp:lastModifiedBy>
  <cp:lastPrinted>2411-12-31T19:30:00Z</cp:lastPrinted>
  <dcterms:modified xsi:type="dcterms:W3CDTF">2023-01-12T12:53:37Z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1033-4.9.0.7859</vt:lpwstr>
  </property>
</Properties>
</file>