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7B5FD"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112D5F5D" w14:textId="64A7EC3D" w:rsidR="002F1A59" w:rsidRPr="003540A1" w:rsidRDefault="003540A1" w:rsidP="003540A1">
      <w:pPr>
        <w:spacing w:line="360" w:lineRule="auto"/>
        <w:jc w:val="center"/>
        <w:rPr>
          <w:rFonts w:ascii="Times New Roman" w:eastAsia="Times New Roman" w:hAnsi="Times New Roman" w:cs="Times New Roman"/>
          <w:b/>
          <w:sz w:val="24"/>
          <w:szCs w:val="24"/>
        </w:rPr>
      </w:pPr>
      <w:r w:rsidRPr="003540A1">
        <w:rPr>
          <w:rFonts w:ascii="Times New Roman" w:hAnsi="Times New Roman" w:cs="Times New Roman"/>
          <w:noProof/>
          <w:sz w:val="24"/>
          <w:szCs w:val="24"/>
        </w:rPr>
        <w:drawing>
          <wp:inline distT="114300" distB="114300" distL="114300" distR="114300" wp14:anchorId="191EBFD9" wp14:editId="4BB29996">
            <wp:extent cx="1438275" cy="566738"/>
            <wp:effectExtent l="0" t="0" r="0" b="0"/>
            <wp:docPr id="806026779" name="Picture 806026779"/>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438275" cy="566738"/>
                    </a:xfrm>
                    <a:prstGeom prst="rect">
                      <a:avLst/>
                    </a:prstGeom>
                    <a:ln/>
                  </pic:spPr>
                </pic:pic>
              </a:graphicData>
            </a:graphic>
          </wp:inline>
        </w:drawing>
      </w:r>
    </w:p>
    <w:p w14:paraId="14B02BF6"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45933730"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3BB8F678"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41D41EC1"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01AC9EB2"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5650B834"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71B77CCE"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273BDA7B" w14:textId="77777777" w:rsidR="002F1A59" w:rsidRPr="003540A1" w:rsidRDefault="002F1A59" w:rsidP="003540A1">
      <w:pPr>
        <w:spacing w:line="360" w:lineRule="auto"/>
        <w:rPr>
          <w:rFonts w:ascii="Times New Roman" w:eastAsia="Times New Roman" w:hAnsi="Times New Roman" w:cs="Times New Roman"/>
          <w:b/>
          <w:sz w:val="24"/>
          <w:szCs w:val="24"/>
        </w:rPr>
      </w:pPr>
    </w:p>
    <w:p w14:paraId="3E396D09" w14:textId="77777777" w:rsidR="002F1A59" w:rsidRPr="003540A1" w:rsidRDefault="002F1A59" w:rsidP="003540A1">
      <w:pPr>
        <w:spacing w:line="360" w:lineRule="auto"/>
        <w:jc w:val="center"/>
        <w:rPr>
          <w:rFonts w:ascii="Times New Roman" w:eastAsia="Times New Roman" w:hAnsi="Times New Roman" w:cs="Times New Roman"/>
          <w:b/>
          <w:sz w:val="24"/>
          <w:szCs w:val="24"/>
        </w:rPr>
      </w:pPr>
    </w:p>
    <w:p w14:paraId="3C18CFA1" w14:textId="77777777" w:rsidR="002F1A59" w:rsidRPr="003540A1" w:rsidRDefault="009167AE" w:rsidP="003540A1">
      <w:pPr>
        <w:spacing w:line="360" w:lineRule="auto"/>
        <w:jc w:val="center"/>
        <w:rPr>
          <w:rFonts w:ascii="Times New Roman" w:eastAsia="Times New Roman" w:hAnsi="Times New Roman" w:cs="Times New Roman"/>
          <w:b/>
          <w:sz w:val="40"/>
          <w:szCs w:val="40"/>
        </w:rPr>
      </w:pPr>
      <w:r w:rsidRPr="003540A1">
        <w:rPr>
          <w:rFonts w:ascii="Times New Roman" w:eastAsia="Times New Roman" w:hAnsi="Times New Roman" w:cs="Times New Roman"/>
          <w:b/>
          <w:sz w:val="40"/>
          <w:szCs w:val="40"/>
        </w:rPr>
        <w:t>Module: Accounting Fundamentals</w:t>
      </w:r>
    </w:p>
    <w:p w14:paraId="1EE239C5" w14:textId="77777777" w:rsidR="002F1A59" w:rsidRPr="003540A1" w:rsidRDefault="009167AE" w:rsidP="003540A1">
      <w:pPr>
        <w:spacing w:line="360" w:lineRule="auto"/>
        <w:jc w:val="center"/>
        <w:rPr>
          <w:rFonts w:ascii="Times New Roman" w:eastAsia="Times New Roman" w:hAnsi="Times New Roman" w:cs="Times New Roman"/>
          <w:b/>
          <w:sz w:val="40"/>
          <w:szCs w:val="40"/>
        </w:rPr>
      </w:pPr>
      <w:r w:rsidRPr="003540A1">
        <w:rPr>
          <w:rFonts w:ascii="Times New Roman" w:eastAsia="Times New Roman" w:hAnsi="Times New Roman" w:cs="Times New Roman"/>
          <w:b/>
          <w:sz w:val="40"/>
          <w:szCs w:val="40"/>
        </w:rPr>
        <w:t>Module code: LCBB4001</w:t>
      </w:r>
    </w:p>
    <w:p w14:paraId="67CEEBB8" w14:textId="77777777" w:rsidR="002F1A59" w:rsidRPr="003540A1" w:rsidRDefault="009167AE" w:rsidP="003540A1">
      <w:pPr>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40"/>
          <w:szCs w:val="40"/>
        </w:rPr>
        <w:t>Word Count: 2,500</w:t>
      </w:r>
      <w:r w:rsidRPr="003540A1">
        <w:rPr>
          <w:rFonts w:ascii="Times New Roman" w:hAnsi="Times New Roman" w:cs="Times New Roman"/>
          <w:sz w:val="24"/>
          <w:szCs w:val="24"/>
        </w:rPr>
        <w:br w:type="page"/>
      </w:r>
    </w:p>
    <w:p w14:paraId="2A8E89B5" w14:textId="77777777" w:rsidR="003540A1" w:rsidRPr="003540A1" w:rsidRDefault="009167AE" w:rsidP="003540A1">
      <w:pPr>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 xml:space="preserve">Table of Contents </w:t>
      </w:r>
    </w:p>
    <w:sdt>
      <w:sdtPr>
        <w:rPr>
          <w:rFonts w:ascii="Times New Roman" w:eastAsia="Arial" w:hAnsi="Times New Roman" w:cs="Times New Roman"/>
          <w:color w:val="auto"/>
          <w:sz w:val="24"/>
          <w:szCs w:val="24"/>
          <w:lang w:val="en" w:eastAsia="zh-CN"/>
        </w:rPr>
        <w:id w:val="164984960"/>
        <w:docPartObj>
          <w:docPartGallery w:val="Table of Contents"/>
          <w:docPartUnique/>
        </w:docPartObj>
      </w:sdtPr>
      <w:sdtEndPr>
        <w:rPr>
          <w:b/>
          <w:bCs/>
          <w:noProof/>
        </w:rPr>
      </w:sdtEndPr>
      <w:sdtContent>
        <w:p w14:paraId="1D839DB0" w14:textId="09761A44" w:rsidR="003540A1" w:rsidRPr="003540A1" w:rsidRDefault="003540A1" w:rsidP="003540A1">
          <w:pPr>
            <w:pStyle w:val="Titlucuprins"/>
            <w:spacing w:line="360" w:lineRule="auto"/>
            <w:rPr>
              <w:rFonts w:ascii="Times New Roman" w:hAnsi="Times New Roman" w:cs="Times New Roman"/>
              <w:sz w:val="24"/>
              <w:szCs w:val="24"/>
            </w:rPr>
          </w:pPr>
        </w:p>
        <w:p w14:paraId="14AA6198" w14:textId="1C21D65A" w:rsidR="003540A1" w:rsidRPr="003540A1" w:rsidRDefault="003540A1" w:rsidP="003540A1">
          <w:pPr>
            <w:pStyle w:val="Cuprins1"/>
            <w:tabs>
              <w:tab w:val="right" w:leader="dot" w:pos="9350"/>
            </w:tabs>
            <w:spacing w:line="360" w:lineRule="auto"/>
            <w:jc w:val="both"/>
            <w:rPr>
              <w:rFonts w:ascii="Times New Roman" w:hAnsi="Times New Roman" w:cs="Times New Roman"/>
              <w:noProof/>
              <w:sz w:val="24"/>
              <w:szCs w:val="24"/>
            </w:rPr>
          </w:pPr>
          <w:r w:rsidRPr="003540A1">
            <w:rPr>
              <w:rFonts w:ascii="Times New Roman" w:hAnsi="Times New Roman" w:cs="Times New Roman"/>
              <w:sz w:val="24"/>
              <w:szCs w:val="24"/>
            </w:rPr>
            <w:fldChar w:fldCharType="begin"/>
          </w:r>
          <w:r w:rsidRPr="003540A1">
            <w:rPr>
              <w:rFonts w:ascii="Times New Roman" w:hAnsi="Times New Roman" w:cs="Times New Roman"/>
              <w:sz w:val="24"/>
              <w:szCs w:val="24"/>
            </w:rPr>
            <w:instrText xml:space="preserve"> TOC \o "1-3" \h \z \u </w:instrText>
          </w:r>
          <w:r w:rsidRPr="003540A1">
            <w:rPr>
              <w:rFonts w:ascii="Times New Roman" w:hAnsi="Times New Roman" w:cs="Times New Roman"/>
              <w:sz w:val="24"/>
              <w:szCs w:val="24"/>
            </w:rPr>
            <w:fldChar w:fldCharType="separate"/>
          </w:r>
          <w:hyperlink w:anchor="_Toc153368170" w:history="1">
            <w:r w:rsidRPr="003540A1">
              <w:rPr>
                <w:rStyle w:val="Hyperlink"/>
                <w:rFonts w:ascii="Times New Roman" w:hAnsi="Times New Roman" w:cs="Times New Roman"/>
                <w:noProof/>
                <w:sz w:val="24"/>
                <w:szCs w:val="24"/>
              </w:rPr>
              <w:t>Introduction</w:t>
            </w:r>
            <w:r w:rsidRPr="003540A1">
              <w:rPr>
                <w:rFonts w:ascii="Times New Roman" w:hAnsi="Times New Roman" w:cs="Times New Roman"/>
                <w:noProof/>
                <w:webHidden/>
                <w:sz w:val="24"/>
                <w:szCs w:val="24"/>
              </w:rPr>
              <w:tab/>
            </w:r>
            <w:r w:rsidRPr="003540A1">
              <w:rPr>
                <w:rFonts w:ascii="Times New Roman" w:hAnsi="Times New Roman" w:cs="Times New Roman"/>
                <w:noProof/>
                <w:webHidden/>
                <w:sz w:val="24"/>
                <w:szCs w:val="24"/>
              </w:rPr>
              <w:fldChar w:fldCharType="begin"/>
            </w:r>
            <w:r w:rsidRPr="003540A1">
              <w:rPr>
                <w:rFonts w:ascii="Times New Roman" w:hAnsi="Times New Roman" w:cs="Times New Roman"/>
                <w:noProof/>
                <w:webHidden/>
                <w:sz w:val="24"/>
                <w:szCs w:val="24"/>
              </w:rPr>
              <w:instrText xml:space="preserve"> PAGEREF _Toc153368170 \h </w:instrText>
            </w:r>
            <w:r w:rsidRPr="003540A1">
              <w:rPr>
                <w:rFonts w:ascii="Times New Roman" w:hAnsi="Times New Roman" w:cs="Times New Roman"/>
                <w:noProof/>
                <w:webHidden/>
                <w:sz w:val="24"/>
                <w:szCs w:val="24"/>
              </w:rPr>
            </w:r>
            <w:r w:rsidRPr="003540A1">
              <w:rPr>
                <w:rFonts w:ascii="Times New Roman" w:hAnsi="Times New Roman" w:cs="Times New Roman"/>
                <w:noProof/>
                <w:webHidden/>
                <w:sz w:val="24"/>
                <w:szCs w:val="24"/>
              </w:rPr>
              <w:fldChar w:fldCharType="separate"/>
            </w:r>
            <w:r w:rsidRPr="003540A1">
              <w:rPr>
                <w:rFonts w:ascii="Times New Roman" w:hAnsi="Times New Roman" w:cs="Times New Roman"/>
                <w:noProof/>
                <w:webHidden/>
                <w:sz w:val="24"/>
                <w:szCs w:val="24"/>
              </w:rPr>
              <w:t>3</w:t>
            </w:r>
            <w:r w:rsidRPr="003540A1">
              <w:rPr>
                <w:rFonts w:ascii="Times New Roman" w:hAnsi="Times New Roman" w:cs="Times New Roman"/>
                <w:noProof/>
                <w:webHidden/>
                <w:sz w:val="24"/>
                <w:szCs w:val="24"/>
              </w:rPr>
              <w:fldChar w:fldCharType="end"/>
            </w:r>
          </w:hyperlink>
        </w:p>
        <w:p w14:paraId="676EBDD6" w14:textId="6DAD7EDB" w:rsidR="003540A1" w:rsidRPr="003540A1" w:rsidRDefault="00360B64" w:rsidP="003540A1">
          <w:pPr>
            <w:pStyle w:val="Cuprins1"/>
            <w:tabs>
              <w:tab w:val="right" w:leader="dot" w:pos="9350"/>
            </w:tabs>
            <w:spacing w:line="360" w:lineRule="auto"/>
            <w:jc w:val="both"/>
            <w:rPr>
              <w:rFonts w:ascii="Times New Roman" w:hAnsi="Times New Roman" w:cs="Times New Roman"/>
              <w:noProof/>
              <w:sz w:val="24"/>
              <w:szCs w:val="24"/>
            </w:rPr>
          </w:pPr>
          <w:hyperlink w:anchor="_Toc153368171" w:history="1">
            <w:r w:rsidR="003540A1" w:rsidRPr="003540A1">
              <w:rPr>
                <w:rStyle w:val="Hyperlink"/>
                <w:rFonts w:ascii="Times New Roman" w:hAnsi="Times New Roman" w:cs="Times New Roman"/>
                <w:noProof/>
                <w:sz w:val="24"/>
                <w:szCs w:val="24"/>
              </w:rPr>
              <w:t>Question 1</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_Toc153368171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3</w:t>
            </w:r>
            <w:r w:rsidR="003540A1" w:rsidRPr="003540A1">
              <w:rPr>
                <w:rFonts w:ascii="Times New Roman" w:hAnsi="Times New Roman" w:cs="Times New Roman"/>
                <w:noProof/>
                <w:webHidden/>
                <w:sz w:val="24"/>
                <w:szCs w:val="24"/>
              </w:rPr>
              <w:fldChar w:fldCharType="end"/>
            </w:r>
          </w:hyperlink>
        </w:p>
        <w:p w14:paraId="1E75AEBC" w14:textId="714699E6" w:rsidR="003540A1" w:rsidRPr="003540A1" w:rsidRDefault="00360B64" w:rsidP="003540A1">
          <w:pPr>
            <w:pStyle w:val="Cuprins1"/>
            <w:tabs>
              <w:tab w:val="right" w:leader="dot" w:pos="9350"/>
            </w:tabs>
            <w:spacing w:line="360" w:lineRule="auto"/>
            <w:jc w:val="both"/>
            <w:rPr>
              <w:rFonts w:ascii="Times New Roman" w:hAnsi="Times New Roman" w:cs="Times New Roman"/>
              <w:noProof/>
              <w:sz w:val="24"/>
              <w:szCs w:val="24"/>
            </w:rPr>
          </w:pPr>
          <w:hyperlink w:anchor="_Toc153368172" w:history="1">
            <w:r w:rsidR="003540A1" w:rsidRPr="003540A1">
              <w:rPr>
                <w:rStyle w:val="Hyperlink"/>
                <w:rFonts w:ascii="Times New Roman" w:hAnsi="Times New Roman" w:cs="Times New Roman"/>
                <w:noProof/>
                <w:sz w:val="24"/>
                <w:szCs w:val="24"/>
              </w:rPr>
              <w:t>Question 2</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_Toc153368172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5</w:t>
            </w:r>
            <w:r w:rsidR="003540A1" w:rsidRPr="003540A1">
              <w:rPr>
                <w:rFonts w:ascii="Times New Roman" w:hAnsi="Times New Roman" w:cs="Times New Roman"/>
                <w:noProof/>
                <w:webHidden/>
                <w:sz w:val="24"/>
                <w:szCs w:val="24"/>
              </w:rPr>
              <w:fldChar w:fldCharType="end"/>
            </w:r>
          </w:hyperlink>
        </w:p>
        <w:p w14:paraId="23BD1CAB" w14:textId="5CDB401C" w:rsidR="003540A1" w:rsidRPr="003540A1" w:rsidRDefault="00360B64" w:rsidP="003540A1">
          <w:pPr>
            <w:pStyle w:val="Cuprins2"/>
            <w:tabs>
              <w:tab w:val="right" w:leader="dot" w:pos="9350"/>
            </w:tabs>
            <w:spacing w:line="360" w:lineRule="auto"/>
            <w:jc w:val="both"/>
            <w:rPr>
              <w:rFonts w:ascii="Times New Roman" w:hAnsi="Times New Roman" w:cs="Times New Roman"/>
              <w:noProof/>
              <w:sz w:val="24"/>
              <w:szCs w:val="24"/>
            </w:rPr>
          </w:pPr>
          <w:hyperlink w:anchor="_Toc153368173" w:history="1">
            <w:r w:rsidR="003540A1" w:rsidRPr="003540A1">
              <w:rPr>
                <w:rStyle w:val="Hyperlink"/>
                <w:rFonts w:ascii="Times New Roman" w:hAnsi="Times New Roman" w:cs="Times New Roman"/>
                <w:noProof/>
                <w:sz w:val="24"/>
                <w:szCs w:val="24"/>
              </w:rPr>
              <w:t>What is an Income statement?</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_Toc153368173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5</w:t>
            </w:r>
            <w:r w:rsidR="003540A1" w:rsidRPr="003540A1">
              <w:rPr>
                <w:rFonts w:ascii="Times New Roman" w:hAnsi="Times New Roman" w:cs="Times New Roman"/>
                <w:noProof/>
                <w:webHidden/>
                <w:sz w:val="24"/>
                <w:szCs w:val="24"/>
              </w:rPr>
              <w:fldChar w:fldCharType="end"/>
            </w:r>
          </w:hyperlink>
        </w:p>
        <w:p w14:paraId="290192B5" w14:textId="775E6685" w:rsidR="003540A1" w:rsidRPr="003540A1" w:rsidRDefault="00360B64" w:rsidP="003540A1">
          <w:pPr>
            <w:pStyle w:val="Cuprins2"/>
            <w:tabs>
              <w:tab w:val="right" w:leader="dot" w:pos="9350"/>
            </w:tabs>
            <w:spacing w:line="360" w:lineRule="auto"/>
            <w:jc w:val="both"/>
            <w:rPr>
              <w:rFonts w:ascii="Times New Roman" w:hAnsi="Times New Roman" w:cs="Times New Roman"/>
              <w:noProof/>
              <w:sz w:val="24"/>
              <w:szCs w:val="24"/>
            </w:rPr>
          </w:pPr>
          <w:hyperlink w:anchor="_Toc153368174" w:history="1">
            <w:r w:rsidR="003540A1" w:rsidRPr="003540A1">
              <w:rPr>
                <w:rStyle w:val="Hyperlink"/>
                <w:rFonts w:ascii="Times New Roman" w:hAnsi="Times New Roman" w:cs="Times New Roman"/>
                <w:noProof/>
                <w:sz w:val="24"/>
                <w:szCs w:val="24"/>
              </w:rPr>
              <w:t>The Income Statement of Wales Plc</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_Toc153368174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6</w:t>
            </w:r>
            <w:r w:rsidR="003540A1" w:rsidRPr="003540A1">
              <w:rPr>
                <w:rFonts w:ascii="Times New Roman" w:hAnsi="Times New Roman" w:cs="Times New Roman"/>
                <w:noProof/>
                <w:webHidden/>
                <w:sz w:val="24"/>
                <w:szCs w:val="24"/>
              </w:rPr>
              <w:fldChar w:fldCharType="end"/>
            </w:r>
          </w:hyperlink>
        </w:p>
        <w:p w14:paraId="3C65E147" w14:textId="5AB6AAE4" w:rsidR="003540A1" w:rsidRPr="003540A1" w:rsidRDefault="00360B64" w:rsidP="003540A1">
          <w:pPr>
            <w:pStyle w:val="Cuprins1"/>
            <w:tabs>
              <w:tab w:val="right" w:leader="dot" w:pos="9350"/>
            </w:tabs>
            <w:spacing w:line="360" w:lineRule="auto"/>
            <w:jc w:val="both"/>
            <w:rPr>
              <w:rFonts w:ascii="Times New Roman" w:hAnsi="Times New Roman" w:cs="Times New Roman"/>
              <w:noProof/>
              <w:sz w:val="24"/>
              <w:szCs w:val="24"/>
            </w:rPr>
          </w:pPr>
          <w:hyperlink w:anchor="_Toc153368175" w:history="1">
            <w:r w:rsidR="003540A1" w:rsidRPr="003540A1">
              <w:rPr>
                <w:rStyle w:val="Hyperlink"/>
                <w:rFonts w:ascii="Times New Roman" w:hAnsi="Times New Roman" w:cs="Times New Roman"/>
                <w:noProof/>
                <w:sz w:val="24"/>
                <w:szCs w:val="24"/>
              </w:rPr>
              <w:t>Question 3 -</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_Toc153368175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7</w:t>
            </w:r>
            <w:r w:rsidR="003540A1" w:rsidRPr="003540A1">
              <w:rPr>
                <w:rFonts w:ascii="Times New Roman" w:hAnsi="Times New Roman" w:cs="Times New Roman"/>
                <w:noProof/>
                <w:webHidden/>
                <w:sz w:val="24"/>
                <w:szCs w:val="24"/>
              </w:rPr>
              <w:fldChar w:fldCharType="end"/>
            </w:r>
          </w:hyperlink>
        </w:p>
        <w:p w14:paraId="2B802B20" w14:textId="3B0AD989" w:rsidR="003540A1" w:rsidRPr="003540A1" w:rsidRDefault="00360B64" w:rsidP="003540A1">
          <w:pPr>
            <w:pStyle w:val="Cuprins2"/>
            <w:tabs>
              <w:tab w:val="right" w:leader="dot" w:pos="9350"/>
            </w:tabs>
            <w:spacing w:line="360" w:lineRule="auto"/>
            <w:jc w:val="both"/>
            <w:rPr>
              <w:rFonts w:ascii="Times New Roman" w:hAnsi="Times New Roman" w:cs="Times New Roman"/>
              <w:noProof/>
              <w:sz w:val="24"/>
              <w:szCs w:val="24"/>
            </w:rPr>
          </w:pPr>
          <w:hyperlink w:anchor="_Toc153368176" w:history="1">
            <w:r w:rsidR="003540A1" w:rsidRPr="003540A1">
              <w:rPr>
                <w:rStyle w:val="Hyperlink"/>
                <w:rFonts w:ascii="Times New Roman" w:hAnsi="Times New Roman" w:cs="Times New Roman"/>
                <w:noProof/>
                <w:sz w:val="24"/>
                <w:szCs w:val="24"/>
              </w:rPr>
              <w:t>a) Calculations of different types of ratios of Sweets Plc in 2021 and 2022:</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_Toc153368176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7</w:t>
            </w:r>
            <w:r w:rsidR="003540A1" w:rsidRPr="003540A1">
              <w:rPr>
                <w:rFonts w:ascii="Times New Roman" w:hAnsi="Times New Roman" w:cs="Times New Roman"/>
                <w:noProof/>
                <w:webHidden/>
                <w:sz w:val="24"/>
                <w:szCs w:val="24"/>
              </w:rPr>
              <w:fldChar w:fldCharType="end"/>
            </w:r>
          </w:hyperlink>
        </w:p>
        <w:p w14:paraId="6F03254B" w14:textId="60624343" w:rsidR="003540A1" w:rsidRPr="003540A1" w:rsidRDefault="00360B64" w:rsidP="003540A1">
          <w:pPr>
            <w:pStyle w:val="Cuprins2"/>
            <w:tabs>
              <w:tab w:val="right" w:leader="dot" w:pos="9350"/>
            </w:tabs>
            <w:spacing w:line="360" w:lineRule="auto"/>
            <w:jc w:val="both"/>
            <w:rPr>
              <w:rFonts w:ascii="Times New Roman" w:hAnsi="Times New Roman" w:cs="Times New Roman"/>
              <w:noProof/>
              <w:sz w:val="24"/>
              <w:szCs w:val="24"/>
            </w:rPr>
          </w:pPr>
          <w:hyperlink w:anchor="_Toc153368177" w:history="1">
            <w:r w:rsidR="003540A1" w:rsidRPr="003540A1">
              <w:rPr>
                <w:rStyle w:val="Hyperlink"/>
                <w:rFonts w:ascii="Times New Roman" w:hAnsi="Times New Roman" w:cs="Times New Roman"/>
                <w:noProof/>
                <w:sz w:val="24"/>
                <w:szCs w:val="24"/>
              </w:rPr>
              <w:t>b) discussion about the financial performance of Sweets Plc:</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_Toc153368177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9</w:t>
            </w:r>
            <w:r w:rsidR="003540A1" w:rsidRPr="003540A1">
              <w:rPr>
                <w:rFonts w:ascii="Times New Roman" w:hAnsi="Times New Roman" w:cs="Times New Roman"/>
                <w:noProof/>
                <w:webHidden/>
                <w:sz w:val="24"/>
                <w:szCs w:val="24"/>
              </w:rPr>
              <w:fldChar w:fldCharType="end"/>
            </w:r>
          </w:hyperlink>
        </w:p>
        <w:p w14:paraId="66BA90B3" w14:textId="7EC6F67A" w:rsidR="003540A1" w:rsidRPr="003540A1" w:rsidRDefault="00360B64" w:rsidP="003540A1">
          <w:pPr>
            <w:pStyle w:val="Cuprins1"/>
            <w:tabs>
              <w:tab w:val="right" w:leader="dot" w:pos="9350"/>
            </w:tabs>
            <w:spacing w:line="360" w:lineRule="auto"/>
            <w:jc w:val="both"/>
            <w:rPr>
              <w:rFonts w:ascii="Times New Roman" w:hAnsi="Times New Roman" w:cs="Times New Roman"/>
              <w:noProof/>
              <w:sz w:val="24"/>
              <w:szCs w:val="24"/>
            </w:rPr>
          </w:pPr>
          <w:hyperlink w:anchor="_Toc153368178" w:history="1">
            <w:r w:rsidR="003540A1" w:rsidRPr="003540A1">
              <w:rPr>
                <w:rStyle w:val="Hyperlink"/>
                <w:rFonts w:ascii="Times New Roman" w:hAnsi="Times New Roman" w:cs="Times New Roman"/>
                <w:noProof/>
                <w:sz w:val="24"/>
                <w:szCs w:val="24"/>
              </w:rPr>
              <w:t>Conclusion -</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_Toc153368178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11</w:t>
            </w:r>
            <w:r w:rsidR="003540A1" w:rsidRPr="003540A1">
              <w:rPr>
                <w:rFonts w:ascii="Times New Roman" w:hAnsi="Times New Roman" w:cs="Times New Roman"/>
                <w:noProof/>
                <w:webHidden/>
                <w:sz w:val="24"/>
                <w:szCs w:val="24"/>
              </w:rPr>
              <w:fldChar w:fldCharType="end"/>
            </w:r>
          </w:hyperlink>
        </w:p>
        <w:p w14:paraId="1E4E16F2" w14:textId="302F2353" w:rsidR="003540A1" w:rsidRPr="003540A1" w:rsidRDefault="00360B64" w:rsidP="003540A1">
          <w:pPr>
            <w:pStyle w:val="Cuprins1"/>
            <w:tabs>
              <w:tab w:val="right" w:leader="dot" w:pos="9350"/>
            </w:tabs>
            <w:spacing w:line="360" w:lineRule="auto"/>
            <w:jc w:val="both"/>
            <w:rPr>
              <w:rFonts w:ascii="Times New Roman" w:hAnsi="Times New Roman" w:cs="Times New Roman"/>
              <w:noProof/>
              <w:sz w:val="24"/>
              <w:szCs w:val="24"/>
            </w:rPr>
          </w:pPr>
          <w:hyperlink w:anchor="_Toc153368179" w:history="1">
            <w:r w:rsidR="003540A1" w:rsidRPr="003540A1">
              <w:rPr>
                <w:rStyle w:val="Hyperlink"/>
                <w:rFonts w:ascii="Times New Roman" w:hAnsi="Times New Roman" w:cs="Times New Roman"/>
                <w:noProof/>
                <w:sz w:val="24"/>
                <w:szCs w:val="24"/>
              </w:rPr>
              <w:t>References</w:t>
            </w:r>
            <w:r w:rsidR="003540A1" w:rsidRPr="003540A1">
              <w:rPr>
                <w:rFonts w:ascii="Times New Roman" w:hAnsi="Times New Roman" w:cs="Times New Roman"/>
                <w:noProof/>
                <w:webHidden/>
                <w:sz w:val="24"/>
                <w:szCs w:val="24"/>
              </w:rPr>
              <w:tab/>
            </w:r>
            <w:r w:rsidR="003540A1" w:rsidRPr="003540A1">
              <w:rPr>
                <w:rFonts w:ascii="Times New Roman" w:hAnsi="Times New Roman" w:cs="Times New Roman"/>
                <w:noProof/>
                <w:webHidden/>
                <w:sz w:val="24"/>
                <w:szCs w:val="24"/>
              </w:rPr>
              <w:fldChar w:fldCharType="begin"/>
            </w:r>
            <w:r w:rsidR="003540A1" w:rsidRPr="003540A1">
              <w:rPr>
                <w:rFonts w:ascii="Times New Roman" w:hAnsi="Times New Roman" w:cs="Times New Roman"/>
                <w:noProof/>
                <w:webHidden/>
                <w:sz w:val="24"/>
                <w:szCs w:val="24"/>
              </w:rPr>
              <w:instrText xml:space="preserve"> PAGEREF _Toc153368179 \h </w:instrText>
            </w:r>
            <w:r w:rsidR="003540A1" w:rsidRPr="003540A1">
              <w:rPr>
                <w:rFonts w:ascii="Times New Roman" w:hAnsi="Times New Roman" w:cs="Times New Roman"/>
                <w:noProof/>
                <w:webHidden/>
                <w:sz w:val="24"/>
                <w:szCs w:val="24"/>
              </w:rPr>
            </w:r>
            <w:r w:rsidR="003540A1" w:rsidRPr="003540A1">
              <w:rPr>
                <w:rFonts w:ascii="Times New Roman" w:hAnsi="Times New Roman" w:cs="Times New Roman"/>
                <w:noProof/>
                <w:webHidden/>
                <w:sz w:val="24"/>
                <w:szCs w:val="24"/>
              </w:rPr>
              <w:fldChar w:fldCharType="separate"/>
            </w:r>
            <w:r w:rsidR="003540A1" w:rsidRPr="003540A1">
              <w:rPr>
                <w:rFonts w:ascii="Times New Roman" w:hAnsi="Times New Roman" w:cs="Times New Roman"/>
                <w:noProof/>
                <w:webHidden/>
                <w:sz w:val="24"/>
                <w:szCs w:val="24"/>
              </w:rPr>
              <w:t>12</w:t>
            </w:r>
            <w:r w:rsidR="003540A1" w:rsidRPr="003540A1">
              <w:rPr>
                <w:rFonts w:ascii="Times New Roman" w:hAnsi="Times New Roman" w:cs="Times New Roman"/>
                <w:noProof/>
                <w:webHidden/>
                <w:sz w:val="24"/>
                <w:szCs w:val="24"/>
              </w:rPr>
              <w:fldChar w:fldCharType="end"/>
            </w:r>
          </w:hyperlink>
        </w:p>
        <w:p w14:paraId="5D453031" w14:textId="1B6AE712" w:rsidR="003540A1" w:rsidRPr="003540A1" w:rsidRDefault="003540A1" w:rsidP="003540A1">
          <w:pPr>
            <w:spacing w:line="360" w:lineRule="auto"/>
            <w:rPr>
              <w:rFonts w:ascii="Times New Roman" w:hAnsi="Times New Roman" w:cs="Times New Roman"/>
              <w:sz w:val="24"/>
              <w:szCs w:val="24"/>
            </w:rPr>
          </w:pPr>
          <w:r w:rsidRPr="003540A1">
            <w:rPr>
              <w:rFonts w:ascii="Times New Roman" w:hAnsi="Times New Roman" w:cs="Times New Roman"/>
              <w:b/>
              <w:bCs/>
              <w:noProof/>
              <w:sz w:val="24"/>
              <w:szCs w:val="24"/>
            </w:rPr>
            <w:fldChar w:fldCharType="end"/>
          </w:r>
        </w:p>
      </w:sdtContent>
    </w:sdt>
    <w:p w14:paraId="0835D1AE" w14:textId="4441C77B" w:rsidR="002F1A59" w:rsidRPr="003540A1" w:rsidRDefault="009167AE" w:rsidP="003540A1">
      <w:pPr>
        <w:spacing w:line="360" w:lineRule="auto"/>
        <w:rPr>
          <w:rFonts w:ascii="Times New Roman" w:eastAsia="Times New Roman" w:hAnsi="Times New Roman" w:cs="Times New Roman"/>
          <w:b/>
          <w:sz w:val="24"/>
          <w:szCs w:val="24"/>
        </w:rPr>
      </w:pPr>
      <w:r w:rsidRPr="003540A1">
        <w:rPr>
          <w:rFonts w:ascii="Times New Roman" w:hAnsi="Times New Roman" w:cs="Times New Roman"/>
          <w:sz w:val="24"/>
          <w:szCs w:val="24"/>
        </w:rPr>
        <w:br w:type="page"/>
      </w:r>
    </w:p>
    <w:p w14:paraId="13B9BFE7" w14:textId="77777777" w:rsidR="002F1A59" w:rsidRPr="003540A1" w:rsidRDefault="009167AE" w:rsidP="003540A1">
      <w:pPr>
        <w:pStyle w:val="Titlu1"/>
      </w:pPr>
      <w:bookmarkStart w:id="0" w:name="_mtvlg0ote7nn" w:colFirst="0" w:colLast="0"/>
      <w:bookmarkStart w:id="1" w:name="_Toc153368170"/>
      <w:bookmarkEnd w:id="0"/>
      <w:r w:rsidRPr="003540A1">
        <w:t>Introduction</w:t>
      </w:r>
      <w:bookmarkEnd w:id="1"/>
      <w:r w:rsidRPr="003540A1">
        <w:t xml:space="preserve"> </w:t>
      </w:r>
    </w:p>
    <w:p w14:paraId="5803C387"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This report aims to discuss different aspects of accounting fundamentals and the use of those fundamentals in the context of businesses. The objective is to conceptualise the principles and conventions of accounting to prepare the financial statements of the businesses and evaluate relevant accounting ratios. In question 1, some statements related to accounting principles have been provided whose authenticity will be analysed. In Question 2, the income statement and balance sheet of Wales Plc for the financial year 2022 will be produced using the information of the trial balance. In question 3, various accounting ratios will be derived using the information from the financial statements of Sweets Plc. On the basis of the analysis, the performance and positioning of the business will be compared for two different periods and will be provided some suggestions as well. </w:t>
      </w:r>
    </w:p>
    <w:p w14:paraId="2370FE3E"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The term ‘accounting fundamentals’ refers to a set of technical methods businesses use for recording, analysing, and producing financial reports, from which the external stakeholders of the businesses will assess the financial performance and position. Fundamentals also include the accounting conventions that are to be followed during the preparation of financial statements. The use of these conventions makes the financial reporting process transparent and accurate (Toms and Fleischman, 2015).  </w:t>
      </w:r>
    </w:p>
    <w:p w14:paraId="40D64F17" w14:textId="77777777" w:rsidR="002F1A59" w:rsidRPr="003540A1" w:rsidRDefault="009167AE" w:rsidP="003540A1">
      <w:pPr>
        <w:pStyle w:val="Titlu1"/>
      </w:pPr>
      <w:bookmarkStart w:id="2" w:name="_ani7ljb9zrd3" w:colFirst="0" w:colLast="0"/>
      <w:bookmarkStart w:id="3" w:name="_Toc153368171"/>
      <w:bookmarkEnd w:id="2"/>
      <w:r w:rsidRPr="003540A1">
        <w:t>Question 1</w:t>
      </w:r>
      <w:bookmarkEnd w:id="3"/>
    </w:p>
    <w:p w14:paraId="78A4F287"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Statement 1:</w:t>
      </w:r>
    </w:p>
    <w:p w14:paraId="6AF928B1"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The statement narrated in the brief is not justified as the cash flow operations are not projected through the balance sheet or statement of financial position of a firm. The cash inflows and outflows are showcased through the cash flow statement of the business. The statement shows only the cash transactions of the business. Transactions that will bring cash within the company such as cash sales, credit sales, capital, etc. are recorded under the cash inflows section and the outflows section includes cash expenses and current liabilities. Net cash flow is the difference between cash inflows and cash outflows. The balance sheet projects the available assets, liabilities, and company’s equity recorded on a particular date. The accounting equation often followed when preparing the balance sheet is Assets = Liabilities + Equity (McLaney and Atrill, 2020).   </w:t>
      </w:r>
    </w:p>
    <w:p w14:paraId="739AEDAF"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Statement 2:</w:t>
      </w:r>
    </w:p>
    <w:p w14:paraId="199D3542"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This statement does not interpret the characteristics of the non-current assets of a firm at all. Assets are the resources that a company purchases and then uses to receive economic benefits. There are two categories of assets held by a firm - current assets and non-current assets. Current assets are the ones that can be used only for a financial year. These current assets include cash in hand, inventories, trade receivables, etc. Non-current or fixed assets are the assets used for an extended period. If non-current assets are tangible such as plant &amp; machinery, equipment, buildings, etc. Plant and machinery, equipment, etc. can be physically moved. However, these assets depreciate over time (Coste </w:t>
      </w:r>
      <w:r w:rsidRPr="003540A1">
        <w:rPr>
          <w:rFonts w:ascii="Times New Roman" w:eastAsia="Times New Roman" w:hAnsi="Times New Roman" w:cs="Times New Roman"/>
          <w:i/>
          <w:sz w:val="24"/>
          <w:szCs w:val="24"/>
        </w:rPr>
        <w:t>et al</w:t>
      </w:r>
      <w:r w:rsidRPr="003540A1">
        <w:rPr>
          <w:rFonts w:ascii="Times New Roman" w:eastAsia="Times New Roman" w:hAnsi="Times New Roman" w:cs="Times New Roman"/>
          <w:sz w:val="24"/>
          <w:szCs w:val="24"/>
        </w:rPr>
        <w:t xml:space="preserve">. 2014). However, intangible fixed assets cannot be moved as they do not have any physical existence. A firm requires non-current assets to perform larger operations and enjoy improved efficiency and productivity within the organisation.    </w:t>
      </w:r>
    </w:p>
    <w:p w14:paraId="3F10E0FF"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Statement 3:</w:t>
      </w:r>
    </w:p>
    <w:p w14:paraId="05945D13"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This statement is also not true as there is no justification for providing the financial reports to current shareholders only. The accounting regulations and jurisdictions indicate that the financial information of a business should be fully disclosed to the public including current shareholders and potential shareholders as well. It is important to disclose the financial statements to be listed on the stock exchanges as public limited companies (Goldstein and Yang, 2017). All stakeholders of a business include shareholders, management and owners, customers, employees, creditors or financiers, suppliers, government agencies, financial analysts, and the general public as well. These stakeholders make accurate decisions by going through the financial information of the business. It protects the potential shareholders and makes the financial reporting of the business transparent and accurate. Also, the accountability of the businesses improves with this full disclosure of financial information. </w:t>
      </w:r>
    </w:p>
    <w:p w14:paraId="27C34B7D"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 xml:space="preserve">Statement 4: </w:t>
      </w:r>
    </w:p>
    <w:p w14:paraId="0A33CCFC"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Prepayments and accruals are two important financial tools of a business and these are to be included in the financial statements of the businesses. Prepayment is generally considered as the current asset and is included in the balance sheet of the firm. Prepayment refers to the transaction that a business has paid in advance to purchase any raw material or other asset that will be delivered later. On the other hand, accruals are the expenses that a firm has paid, however, they have not been recorded in the financial statements. This is considered a current liability and is considered in the liabilities section of the statement of financial position of a business (Kaplan, 2023). To assess the true profitability of a business during a specific financial period and the financial health a firm is in, prepayments and accruals are to be considered when preparing the financial statements.    </w:t>
      </w:r>
    </w:p>
    <w:p w14:paraId="004B9978"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Statement 5:</w:t>
      </w:r>
    </w:p>
    <w:p w14:paraId="6F4B53BA"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Regulation is an important part of accounting and financial reporting for a business, so the provided statement is wrong. The use of a regulatory framework makes the accounting and financial reporting process authentic and transparent. The regulation also helps the external stakeholders of the business to make decisions and form relationships with the business. Also, for consistency and comparing the financial statements, regulation is necessary. To reduce the risks of financial fraud, and market and credit risks, regulation in the accounting profession is used. It pushes the business to enforce ethical operations and technical standards within the organisation (</w:t>
      </w:r>
      <w:r w:rsidRPr="003540A1">
        <w:rPr>
          <w:rFonts w:ascii="Times New Roman" w:eastAsia="Times New Roman" w:hAnsi="Times New Roman" w:cs="Times New Roman"/>
          <w:sz w:val="24"/>
          <w:szCs w:val="24"/>
          <w:highlight w:val="white"/>
        </w:rPr>
        <w:t>Baudot, 2013)</w:t>
      </w:r>
      <w:r w:rsidRPr="003540A1">
        <w:rPr>
          <w:rFonts w:ascii="Times New Roman" w:eastAsia="Times New Roman" w:hAnsi="Times New Roman" w:cs="Times New Roman"/>
          <w:sz w:val="24"/>
          <w:szCs w:val="24"/>
        </w:rPr>
        <w:t xml:space="preserve">. Also, it makes the business perform activities that comply with the regulations and practices of the industry. The use of regulation maintains the efficiency of the financial markets. With the help of regulations, there comes a standardized interpretation of the financial statements so that all users of the accounting information can assess the financial performance and position of the business appropriately. </w:t>
      </w:r>
    </w:p>
    <w:p w14:paraId="37D7FD2F"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Statement 6:</w:t>
      </w:r>
    </w:p>
    <w:p w14:paraId="7418CA9D"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This statement is right as in accounting, to prepare the financial statements of a business, it is necessary to balance the ledger accounts and the trial balance as the accounting equation “Assets = Liabilities + Equity” is followed. All financial transactions of a business are recorded and listed in the ledger accounts. On the other hand, the debit and credit transactions of the business are showcased through the trial balance of the company. The balance between the debit entries and credit entries ensures that the double-entry accounting system of the business has not committed any mathematical error (Lumen Learning, 2023). Then, the financial information of these statements can be used to prepare the financial reports to project the financial performance and position to the external stakeholders of the business. If the trial balance is balanced, the statement of financial position or balance sheet will be in balance as well.                </w:t>
      </w:r>
    </w:p>
    <w:p w14:paraId="7621E15E" w14:textId="77777777" w:rsidR="002F1A59" w:rsidRPr="003540A1" w:rsidRDefault="009167AE" w:rsidP="003540A1">
      <w:pPr>
        <w:pStyle w:val="Titlu1"/>
      </w:pPr>
      <w:bookmarkStart w:id="4" w:name="_dntrnye5r7h8" w:colFirst="0" w:colLast="0"/>
      <w:bookmarkStart w:id="5" w:name="_Toc153368172"/>
      <w:bookmarkEnd w:id="4"/>
      <w:r w:rsidRPr="003540A1">
        <w:t>Question 2</w:t>
      </w:r>
      <w:bookmarkEnd w:id="5"/>
    </w:p>
    <w:p w14:paraId="0CCFC891" w14:textId="77777777" w:rsidR="002F1A59" w:rsidRPr="003540A1" w:rsidRDefault="009167AE" w:rsidP="003540A1">
      <w:pPr>
        <w:pStyle w:val="Titlu2"/>
      </w:pPr>
      <w:bookmarkStart w:id="6" w:name="_60620sgc0qrg" w:colFirst="0" w:colLast="0"/>
      <w:bookmarkStart w:id="7" w:name="_Toc153368173"/>
      <w:bookmarkEnd w:id="6"/>
      <w:r w:rsidRPr="003540A1">
        <w:t>What is an Income statement?</w:t>
      </w:r>
      <w:bookmarkEnd w:id="7"/>
    </w:p>
    <w:p w14:paraId="1A4E0811"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In financial accounting, the income statement is one of the financial accounting reports produced using the information of trial balance. To measure the financial performance or profitability of a business, the income statement is prepared. The statement shows the revenues generated from the sale of goods and services, manufacturing expenses such as labour costs, materials costs, and production overheads and the operating or fixed expenses such as utilities, salaries, advertising, office supplies, etc. (McLaney, 2005) The gross profit is the difference between total revenue and costs of manufacturing. Operating expenses are deducted from the gross profit to derive the operating profit. From the operating profit, interest and tax expenses are deducted to derive the net profit of the year. Based on the information in the income statement, investors and shareholders make decisions about whether to purchase new shares and invest in the following financial year or not. Also, the management sets the operating and pricing strategies accordingly.   </w:t>
      </w:r>
    </w:p>
    <w:p w14:paraId="3E984027" w14:textId="77777777" w:rsidR="002F1A59" w:rsidRPr="003540A1" w:rsidRDefault="009167AE" w:rsidP="003540A1">
      <w:pPr>
        <w:pStyle w:val="Titlu2"/>
      </w:pPr>
      <w:bookmarkStart w:id="8" w:name="_dlo311fre5to" w:colFirst="0" w:colLast="0"/>
      <w:bookmarkStart w:id="9" w:name="_Toc153368174"/>
      <w:bookmarkEnd w:id="8"/>
      <w:r w:rsidRPr="003540A1">
        <w:t>The Income Statement of Wales Plc</w:t>
      </w:r>
      <w:bookmarkEnd w:id="9"/>
    </w:p>
    <w:p w14:paraId="71E1F90C"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Following is the income statement of Wales Plc derived using the information of the given trial balance.</w:t>
      </w:r>
    </w:p>
    <w:tbl>
      <w:tblPr>
        <w:tblStyle w:val="a"/>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5835"/>
        <w:gridCol w:w="3495"/>
      </w:tblGrid>
      <w:tr w:rsidR="002F1A59" w:rsidRPr="003540A1" w14:paraId="273FEC2B" w14:textId="77777777" w:rsidTr="003540A1">
        <w:trPr>
          <w:trHeight w:val="315"/>
          <w:jc w:val="center"/>
        </w:trPr>
        <w:tc>
          <w:tcPr>
            <w:tcW w:w="9330" w:type="dxa"/>
            <w:gridSpan w:val="2"/>
            <w:tcBorders>
              <w:top w:val="single" w:sz="4" w:space="0" w:color="000000"/>
              <w:left w:val="single" w:sz="4" w:space="0" w:color="000000"/>
              <w:bottom w:val="single" w:sz="4" w:space="0" w:color="000000"/>
              <w:right w:val="single" w:sz="4" w:space="0" w:color="000000"/>
            </w:tcBorders>
            <w:shd w:val="clear" w:color="auto" w:fill="00FFFF"/>
            <w:tcMar>
              <w:top w:w="0" w:type="dxa"/>
              <w:left w:w="40" w:type="dxa"/>
              <w:bottom w:w="0" w:type="dxa"/>
              <w:right w:w="40" w:type="dxa"/>
            </w:tcMar>
            <w:vAlign w:val="center"/>
          </w:tcPr>
          <w:p w14:paraId="051C3C3F"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In the books of Wales plc</w:t>
            </w:r>
          </w:p>
        </w:tc>
      </w:tr>
      <w:tr w:rsidR="002F1A59" w:rsidRPr="003540A1" w14:paraId="6278C504" w14:textId="77777777" w:rsidTr="003540A1">
        <w:trPr>
          <w:trHeight w:val="315"/>
          <w:jc w:val="center"/>
        </w:trPr>
        <w:tc>
          <w:tcPr>
            <w:tcW w:w="9330" w:type="dxa"/>
            <w:gridSpan w:val="2"/>
            <w:tcBorders>
              <w:top w:val="single" w:sz="4" w:space="0" w:color="CCCCCC"/>
              <w:left w:val="single" w:sz="4" w:space="0" w:color="000000"/>
              <w:bottom w:val="single" w:sz="4" w:space="0" w:color="000000"/>
              <w:right w:val="single" w:sz="4" w:space="0" w:color="000000"/>
            </w:tcBorders>
            <w:shd w:val="clear" w:color="auto" w:fill="00FFFF"/>
            <w:tcMar>
              <w:top w:w="0" w:type="dxa"/>
              <w:left w:w="40" w:type="dxa"/>
              <w:bottom w:w="0" w:type="dxa"/>
              <w:right w:w="40" w:type="dxa"/>
            </w:tcMar>
            <w:vAlign w:val="center"/>
          </w:tcPr>
          <w:p w14:paraId="5A53F8B3"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For the year ended 31st December 2022</w:t>
            </w:r>
          </w:p>
        </w:tc>
      </w:tr>
      <w:tr w:rsidR="002F1A59" w:rsidRPr="003540A1" w14:paraId="642DD8F5" w14:textId="77777777" w:rsidTr="003540A1">
        <w:trPr>
          <w:trHeight w:val="300"/>
          <w:jc w:val="center"/>
        </w:trPr>
        <w:tc>
          <w:tcPr>
            <w:tcW w:w="9330" w:type="dxa"/>
            <w:gridSpan w:val="2"/>
            <w:tcBorders>
              <w:top w:val="single" w:sz="4" w:space="0" w:color="CCCCCC"/>
              <w:left w:val="single" w:sz="4" w:space="0" w:color="000000"/>
              <w:bottom w:val="single" w:sz="4" w:space="0" w:color="000000"/>
              <w:right w:val="single" w:sz="4" w:space="0" w:color="000000"/>
            </w:tcBorders>
            <w:shd w:val="clear" w:color="auto" w:fill="00FFFF"/>
            <w:tcMar>
              <w:top w:w="0" w:type="dxa"/>
              <w:left w:w="40" w:type="dxa"/>
              <w:bottom w:w="0" w:type="dxa"/>
              <w:right w:w="40" w:type="dxa"/>
            </w:tcMar>
            <w:vAlign w:val="center"/>
          </w:tcPr>
          <w:p w14:paraId="4E2B0A10"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Income Statement</w:t>
            </w:r>
          </w:p>
        </w:tc>
      </w:tr>
      <w:tr w:rsidR="002F1A59" w:rsidRPr="003540A1" w14:paraId="756DC457"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FF9900"/>
            <w:tcMar>
              <w:top w:w="0" w:type="dxa"/>
              <w:left w:w="40" w:type="dxa"/>
              <w:bottom w:w="0" w:type="dxa"/>
              <w:right w:w="40" w:type="dxa"/>
            </w:tcMar>
            <w:vAlign w:val="center"/>
          </w:tcPr>
          <w:p w14:paraId="4DE92457"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b/>
                <w:i/>
                <w:sz w:val="24"/>
                <w:szCs w:val="24"/>
              </w:rPr>
              <w:t>Particulars</w:t>
            </w:r>
          </w:p>
        </w:tc>
        <w:tc>
          <w:tcPr>
            <w:tcW w:w="3495" w:type="dxa"/>
            <w:tcBorders>
              <w:top w:val="single" w:sz="4" w:space="0" w:color="CCCCCC"/>
              <w:left w:val="single" w:sz="4" w:space="0" w:color="CCCCCC"/>
              <w:bottom w:val="single" w:sz="4" w:space="0" w:color="000000"/>
              <w:right w:val="single" w:sz="4" w:space="0" w:color="000000"/>
            </w:tcBorders>
            <w:shd w:val="clear" w:color="auto" w:fill="FF9900"/>
            <w:tcMar>
              <w:top w:w="0" w:type="dxa"/>
              <w:left w:w="40" w:type="dxa"/>
              <w:bottom w:w="0" w:type="dxa"/>
              <w:right w:w="40" w:type="dxa"/>
            </w:tcMar>
            <w:vAlign w:val="center"/>
          </w:tcPr>
          <w:p w14:paraId="042408AF"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b/>
                <w:i/>
                <w:sz w:val="24"/>
                <w:szCs w:val="24"/>
              </w:rPr>
              <w:t>£</w:t>
            </w:r>
          </w:p>
        </w:tc>
      </w:tr>
      <w:tr w:rsidR="002F1A59" w:rsidRPr="003540A1" w14:paraId="46048F82"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F12223D"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Sales revenue</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5B82F8A"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901,000</w:t>
            </w:r>
          </w:p>
        </w:tc>
      </w:tr>
      <w:tr w:rsidR="002F1A59" w:rsidRPr="003540A1" w14:paraId="3BF5DB71"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80247EB"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Cost of sales or purchases</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A8DC61B"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578,650</w:t>
            </w:r>
          </w:p>
        </w:tc>
      </w:tr>
      <w:tr w:rsidR="002F1A59" w:rsidRPr="003540A1" w14:paraId="2026A2EF"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61F04B86"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A8E4CD6"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0077A386"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CCC0D9"/>
            <w:tcMar>
              <w:top w:w="0" w:type="dxa"/>
              <w:left w:w="40" w:type="dxa"/>
              <w:bottom w:w="0" w:type="dxa"/>
              <w:right w:w="40" w:type="dxa"/>
            </w:tcMar>
            <w:vAlign w:val="bottom"/>
          </w:tcPr>
          <w:p w14:paraId="0545619A"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Gross profit</w:t>
            </w:r>
          </w:p>
        </w:tc>
        <w:tc>
          <w:tcPr>
            <w:tcW w:w="3495" w:type="dxa"/>
            <w:tcBorders>
              <w:top w:val="single" w:sz="4" w:space="0" w:color="CCCCCC"/>
              <w:left w:val="single" w:sz="4" w:space="0" w:color="CCCCCC"/>
              <w:bottom w:val="single" w:sz="4" w:space="0" w:color="000000"/>
              <w:right w:val="single" w:sz="4" w:space="0" w:color="000000"/>
            </w:tcBorders>
            <w:shd w:val="clear" w:color="auto" w:fill="CCC0D9"/>
            <w:tcMar>
              <w:top w:w="0" w:type="dxa"/>
              <w:left w:w="40" w:type="dxa"/>
              <w:bottom w:w="0" w:type="dxa"/>
              <w:right w:w="40" w:type="dxa"/>
            </w:tcMar>
            <w:vAlign w:val="bottom"/>
          </w:tcPr>
          <w:p w14:paraId="51BDFBF4"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322,350</w:t>
            </w:r>
          </w:p>
        </w:tc>
      </w:tr>
      <w:tr w:rsidR="002F1A59" w:rsidRPr="003540A1" w14:paraId="46BE59AD"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8C90408" w14:textId="77777777" w:rsidR="002F1A59" w:rsidRPr="003540A1" w:rsidRDefault="002F1A59" w:rsidP="003540A1">
            <w:pPr>
              <w:widowControl w:val="0"/>
              <w:spacing w:line="360" w:lineRule="auto"/>
              <w:jc w:val="both"/>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2AC4ACD"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4C3C1104"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F8310B7"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Administrative expenses</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3224E398"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170,000</w:t>
            </w:r>
          </w:p>
        </w:tc>
      </w:tr>
      <w:tr w:rsidR="002F1A59" w:rsidRPr="003540A1" w14:paraId="187CF8D6"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7659547"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Directors' remuneration</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F1CA1EE"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5,000</w:t>
            </w:r>
          </w:p>
        </w:tc>
      </w:tr>
      <w:tr w:rsidR="002F1A59" w:rsidRPr="003540A1" w14:paraId="336A0331"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D62E743"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Distribution costs</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64EADB0"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28,000</w:t>
            </w:r>
          </w:p>
        </w:tc>
      </w:tr>
      <w:tr w:rsidR="002F1A59" w:rsidRPr="003540A1" w14:paraId="55EEE74F"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50948DE"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Cost of debentures</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03D2CDC"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4,000</w:t>
            </w:r>
          </w:p>
        </w:tc>
      </w:tr>
      <w:tr w:rsidR="002F1A59" w:rsidRPr="003540A1" w14:paraId="34F76D8E"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492CB769"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Depreciation of equipment</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3851EB2"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65,000</w:t>
            </w:r>
          </w:p>
        </w:tc>
      </w:tr>
      <w:tr w:rsidR="002F1A59" w:rsidRPr="003540A1" w14:paraId="544684F5"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332A0BA"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Outstanding commission</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84CC5A2"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2,000</w:t>
            </w:r>
          </w:p>
        </w:tc>
      </w:tr>
      <w:tr w:rsidR="002F1A59" w:rsidRPr="003540A1" w14:paraId="464CF301"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067922E" w14:textId="77777777" w:rsidR="002F1A59" w:rsidRPr="003540A1" w:rsidRDefault="002F1A59" w:rsidP="003540A1">
            <w:pPr>
              <w:widowControl w:val="0"/>
              <w:spacing w:line="360" w:lineRule="auto"/>
              <w:jc w:val="both"/>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105FCD20"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2CAB1652"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111357EA"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Total operating expenses</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E206AB9"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274,000</w:t>
            </w:r>
          </w:p>
        </w:tc>
      </w:tr>
      <w:tr w:rsidR="002F1A59" w:rsidRPr="003540A1" w14:paraId="7EEB5847"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3A841CD5" w14:textId="77777777" w:rsidR="002F1A59" w:rsidRPr="003540A1" w:rsidRDefault="002F1A59" w:rsidP="003540A1">
            <w:pPr>
              <w:widowControl w:val="0"/>
              <w:spacing w:line="360" w:lineRule="auto"/>
              <w:jc w:val="both"/>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7952F76F"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2387E2CE" w14:textId="77777777" w:rsidTr="003540A1">
        <w:trPr>
          <w:trHeight w:val="45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CCC0D9"/>
            <w:tcMar>
              <w:top w:w="0" w:type="dxa"/>
              <w:left w:w="40" w:type="dxa"/>
              <w:bottom w:w="0" w:type="dxa"/>
              <w:right w:w="40" w:type="dxa"/>
            </w:tcMar>
            <w:vAlign w:val="bottom"/>
          </w:tcPr>
          <w:p w14:paraId="25A69ED8"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Operating profit/ Profit before tax and interests (EBIT)</w:t>
            </w:r>
          </w:p>
        </w:tc>
        <w:tc>
          <w:tcPr>
            <w:tcW w:w="3495" w:type="dxa"/>
            <w:tcBorders>
              <w:top w:val="single" w:sz="4" w:space="0" w:color="CCCCCC"/>
              <w:left w:val="single" w:sz="4" w:space="0" w:color="CCCCCC"/>
              <w:bottom w:val="single" w:sz="4" w:space="0" w:color="000000"/>
              <w:right w:val="single" w:sz="4" w:space="0" w:color="000000"/>
            </w:tcBorders>
            <w:shd w:val="clear" w:color="auto" w:fill="CCC0D9"/>
            <w:tcMar>
              <w:top w:w="0" w:type="dxa"/>
              <w:left w:w="40" w:type="dxa"/>
              <w:bottom w:w="0" w:type="dxa"/>
              <w:right w:w="40" w:type="dxa"/>
            </w:tcMar>
            <w:vAlign w:val="bottom"/>
          </w:tcPr>
          <w:p w14:paraId="04289279"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48,350</w:t>
            </w:r>
          </w:p>
        </w:tc>
      </w:tr>
      <w:tr w:rsidR="002F1A59" w:rsidRPr="003540A1" w14:paraId="1F4A69E5"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2F14D12E" w14:textId="77777777" w:rsidR="002F1A59" w:rsidRPr="003540A1" w:rsidRDefault="009167AE" w:rsidP="003540A1">
            <w:pPr>
              <w:widowControl w:val="0"/>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Interests paid</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4CA98B1B"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2,000</w:t>
            </w:r>
          </w:p>
        </w:tc>
      </w:tr>
      <w:tr w:rsidR="002F1A59" w:rsidRPr="003540A1" w14:paraId="34F2D109"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04CD3CED"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50A7158E"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65C84744"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FFD966"/>
            <w:tcMar>
              <w:top w:w="0" w:type="dxa"/>
              <w:left w:w="40" w:type="dxa"/>
              <w:bottom w:w="0" w:type="dxa"/>
              <w:right w:w="40" w:type="dxa"/>
            </w:tcMar>
            <w:vAlign w:val="bottom"/>
          </w:tcPr>
          <w:p w14:paraId="624A280D"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Profit before Tax (EBT)</w:t>
            </w:r>
          </w:p>
        </w:tc>
        <w:tc>
          <w:tcPr>
            <w:tcW w:w="3495" w:type="dxa"/>
            <w:tcBorders>
              <w:top w:val="single" w:sz="4" w:space="0" w:color="CCCCCC"/>
              <w:left w:val="single" w:sz="4" w:space="0" w:color="CCCCCC"/>
              <w:bottom w:val="single" w:sz="4" w:space="0" w:color="000000"/>
              <w:right w:val="single" w:sz="4" w:space="0" w:color="000000"/>
            </w:tcBorders>
            <w:shd w:val="clear" w:color="auto" w:fill="FFD966"/>
            <w:tcMar>
              <w:top w:w="0" w:type="dxa"/>
              <w:left w:w="40" w:type="dxa"/>
              <w:bottom w:w="0" w:type="dxa"/>
              <w:right w:w="40" w:type="dxa"/>
            </w:tcMar>
            <w:vAlign w:val="bottom"/>
          </w:tcPr>
          <w:p w14:paraId="51EF5622"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46,350</w:t>
            </w:r>
          </w:p>
        </w:tc>
      </w:tr>
      <w:tr w:rsidR="002F1A59" w:rsidRPr="003540A1" w14:paraId="34EFF303"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4F62F1A4"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Corporation Tax</w:t>
            </w: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21DCF6AC"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15,000</w:t>
            </w:r>
          </w:p>
        </w:tc>
      </w:tr>
      <w:tr w:rsidR="002F1A59" w:rsidRPr="003540A1" w14:paraId="6DF3BCC0" w14:textId="77777777" w:rsidTr="003540A1">
        <w:trPr>
          <w:trHeight w:val="285"/>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auto"/>
            <w:tcMar>
              <w:top w:w="0" w:type="dxa"/>
              <w:left w:w="40" w:type="dxa"/>
              <w:bottom w:w="0" w:type="dxa"/>
              <w:right w:w="40" w:type="dxa"/>
            </w:tcMar>
            <w:vAlign w:val="bottom"/>
          </w:tcPr>
          <w:p w14:paraId="744A7B59"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c>
          <w:tcPr>
            <w:tcW w:w="3495" w:type="dxa"/>
            <w:tcBorders>
              <w:top w:val="single" w:sz="4" w:space="0" w:color="CCCCCC"/>
              <w:left w:val="single" w:sz="4" w:space="0" w:color="CCCCCC"/>
              <w:bottom w:val="single" w:sz="4" w:space="0" w:color="000000"/>
              <w:right w:val="single" w:sz="4" w:space="0" w:color="000000"/>
            </w:tcBorders>
            <w:shd w:val="clear" w:color="auto" w:fill="auto"/>
            <w:tcMar>
              <w:top w:w="0" w:type="dxa"/>
              <w:left w:w="40" w:type="dxa"/>
              <w:bottom w:w="0" w:type="dxa"/>
              <w:right w:w="40" w:type="dxa"/>
            </w:tcMar>
            <w:vAlign w:val="bottom"/>
          </w:tcPr>
          <w:p w14:paraId="686B0D8D" w14:textId="77777777" w:rsidR="002F1A59" w:rsidRPr="003540A1" w:rsidRDefault="002F1A59" w:rsidP="003540A1">
            <w:pPr>
              <w:widowControl w:val="0"/>
              <w:spacing w:line="360" w:lineRule="auto"/>
              <w:rPr>
                <w:rFonts w:ascii="Times New Roman" w:eastAsia="Times New Roman" w:hAnsi="Times New Roman" w:cs="Times New Roman"/>
                <w:sz w:val="24"/>
                <w:szCs w:val="24"/>
              </w:rPr>
            </w:pPr>
          </w:p>
        </w:tc>
      </w:tr>
      <w:tr w:rsidR="002F1A59" w:rsidRPr="003540A1" w14:paraId="0866572E" w14:textId="77777777" w:rsidTr="003540A1">
        <w:trPr>
          <w:trHeight w:val="300"/>
          <w:jc w:val="center"/>
        </w:trPr>
        <w:tc>
          <w:tcPr>
            <w:tcW w:w="5835" w:type="dxa"/>
            <w:tcBorders>
              <w:top w:val="single" w:sz="4" w:space="0" w:color="CCCCCC"/>
              <w:left w:val="single" w:sz="4" w:space="0" w:color="000000"/>
              <w:bottom w:val="single" w:sz="4" w:space="0" w:color="000000"/>
              <w:right w:val="single" w:sz="4" w:space="0" w:color="000000"/>
            </w:tcBorders>
            <w:shd w:val="clear" w:color="auto" w:fill="FFE599"/>
            <w:tcMar>
              <w:top w:w="0" w:type="dxa"/>
              <w:left w:w="40" w:type="dxa"/>
              <w:bottom w:w="0" w:type="dxa"/>
              <w:right w:w="40" w:type="dxa"/>
            </w:tcMar>
            <w:vAlign w:val="bottom"/>
          </w:tcPr>
          <w:p w14:paraId="3A9D0C7C" w14:textId="77777777" w:rsidR="002F1A59" w:rsidRPr="003540A1" w:rsidRDefault="009167AE" w:rsidP="003540A1">
            <w:pPr>
              <w:widowControl w:val="0"/>
              <w:spacing w:line="360" w:lineRule="auto"/>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Net profit / Profit after Tax</w:t>
            </w:r>
          </w:p>
        </w:tc>
        <w:tc>
          <w:tcPr>
            <w:tcW w:w="3495" w:type="dxa"/>
            <w:tcBorders>
              <w:top w:val="single" w:sz="4" w:space="0" w:color="CCCCCC"/>
              <w:left w:val="single" w:sz="4" w:space="0" w:color="CCCCCC"/>
              <w:bottom w:val="single" w:sz="4" w:space="0" w:color="000000"/>
              <w:right w:val="single" w:sz="4" w:space="0" w:color="000000"/>
            </w:tcBorders>
            <w:shd w:val="clear" w:color="auto" w:fill="FFE599"/>
            <w:tcMar>
              <w:top w:w="0" w:type="dxa"/>
              <w:left w:w="40" w:type="dxa"/>
              <w:bottom w:w="0" w:type="dxa"/>
              <w:right w:w="40" w:type="dxa"/>
            </w:tcMar>
            <w:vAlign w:val="bottom"/>
          </w:tcPr>
          <w:p w14:paraId="35F4B8E7" w14:textId="77777777" w:rsidR="002F1A59" w:rsidRPr="003540A1" w:rsidRDefault="009167AE" w:rsidP="003540A1">
            <w:pPr>
              <w:widowControl w:val="0"/>
              <w:spacing w:line="360" w:lineRule="auto"/>
              <w:jc w:val="right"/>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31,350</w:t>
            </w:r>
          </w:p>
        </w:tc>
      </w:tr>
    </w:tbl>
    <w:p w14:paraId="592B2A58" w14:textId="77777777" w:rsidR="002F1A59" w:rsidRPr="003540A1" w:rsidRDefault="009167AE" w:rsidP="003540A1">
      <w:pPr>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Table 1: Income statement of Wales Plc</w:t>
      </w:r>
    </w:p>
    <w:p w14:paraId="6804595E" w14:textId="77777777" w:rsidR="002F1A59" w:rsidRPr="003540A1" w:rsidRDefault="009167AE" w:rsidP="003540A1">
      <w:pPr>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(Source: Self- prepared, 2023)</w:t>
      </w:r>
    </w:p>
    <w:p w14:paraId="09E55E77" w14:textId="77777777" w:rsidR="002F1A59" w:rsidRPr="003540A1" w:rsidRDefault="009167AE" w:rsidP="003540A1">
      <w:pPr>
        <w:spacing w:line="360" w:lineRule="auto"/>
        <w:jc w:val="both"/>
        <w:rPr>
          <w:rFonts w:ascii="Times New Roman" w:eastAsia="Times New Roman" w:hAnsi="Times New Roman" w:cs="Times New Roman"/>
          <w:b/>
          <w:i/>
          <w:sz w:val="24"/>
          <w:szCs w:val="24"/>
        </w:rPr>
      </w:pPr>
      <w:r w:rsidRPr="003540A1">
        <w:rPr>
          <w:rFonts w:ascii="Times New Roman" w:eastAsia="Times New Roman" w:hAnsi="Times New Roman" w:cs="Times New Roman"/>
          <w:b/>
          <w:i/>
          <w:sz w:val="24"/>
          <w:szCs w:val="24"/>
        </w:rPr>
        <w:t xml:space="preserve">Workings: </w:t>
      </w:r>
    </w:p>
    <w:p w14:paraId="3F65C39D"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i. Total sales revenue = Sales + credit sales = £900,000 + £1,000 = £901,000. </w:t>
      </w:r>
    </w:p>
    <w:p w14:paraId="3E0E2358"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ii. Gross profit = Total sales revenue – cost of sales = £901,000 - £578,650.</w:t>
      </w:r>
    </w:p>
    <w:p w14:paraId="3F6EC17C"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iii. Administrative expenses = £160,000 + December’s salaries payable  = £160,000 + £10,000 = £170,000. </w:t>
      </w:r>
    </w:p>
    <w:p w14:paraId="170175B6"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iv. Cost of debentures = 4% of £100,000 = £4,000. </w:t>
      </w:r>
    </w:p>
    <w:p w14:paraId="2E0D7B6B"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v. Depreciation expenses for the year = 10% of £650,000 through straight-line basis = £650,000*10% = £65,000. </w:t>
      </w:r>
    </w:p>
    <w:p w14:paraId="56448978"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vi. Operating profit = Gross profit – operating expenses = £322,350 - £274,000 = £48,350. </w:t>
      </w:r>
    </w:p>
    <w:p w14:paraId="1E5A9304"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vii. Profit before Tax (EBT) = Operating profit – interest expenses = £48,350 - £2,000 = £46,350. </w:t>
      </w:r>
    </w:p>
    <w:p w14:paraId="13C6D2CD"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viii. Net profit of Wales plc for the year = EBT – corporation tax = £46,350 - £15,000 = £31,350. </w:t>
      </w:r>
    </w:p>
    <w:p w14:paraId="4D91CDDA" w14:textId="77777777" w:rsidR="002F1A59" w:rsidRPr="003540A1" w:rsidRDefault="009167AE" w:rsidP="003540A1">
      <w:pPr>
        <w:pStyle w:val="Titlu1"/>
      </w:pPr>
      <w:bookmarkStart w:id="10" w:name="_wq2calj0au9z" w:colFirst="0" w:colLast="0"/>
      <w:bookmarkStart w:id="11" w:name="_Toc153368175"/>
      <w:bookmarkEnd w:id="10"/>
      <w:r w:rsidRPr="003540A1">
        <w:t>Question 3 -</w:t>
      </w:r>
      <w:bookmarkEnd w:id="11"/>
      <w:r w:rsidRPr="003540A1">
        <w:t xml:space="preserve"> </w:t>
      </w:r>
    </w:p>
    <w:p w14:paraId="6D92F3B1" w14:textId="77777777" w:rsidR="002F1A59" w:rsidRPr="003540A1" w:rsidRDefault="009167AE" w:rsidP="003540A1">
      <w:pPr>
        <w:pStyle w:val="Titlu2"/>
      </w:pPr>
      <w:bookmarkStart w:id="12" w:name="_ds6l9vzm6yq" w:colFirst="0" w:colLast="0"/>
      <w:bookmarkStart w:id="13" w:name="_Toc153368176"/>
      <w:bookmarkEnd w:id="12"/>
      <w:r w:rsidRPr="003540A1">
        <w:t>a) Calculations of different types of ratios of Sweets Plc in 2021 and 2022:</w:t>
      </w:r>
      <w:bookmarkEnd w:id="13"/>
    </w:p>
    <w:p w14:paraId="399BC2CA"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1. ROCE:</w:t>
      </w:r>
    </w:p>
    <w:tbl>
      <w:tblPr>
        <w:tblStyle w:val="a0"/>
        <w:tblW w:w="6255" w:type="dxa"/>
        <w:jc w:val="center"/>
        <w:tblBorders>
          <w:top w:val="nil"/>
          <w:left w:val="nil"/>
          <w:bottom w:val="nil"/>
          <w:right w:val="nil"/>
          <w:insideH w:val="nil"/>
          <w:insideV w:val="nil"/>
        </w:tblBorders>
        <w:tblLayout w:type="fixed"/>
        <w:tblLook w:val="0600" w:firstRow="0" w:lastRow="0" w:firstColumn="0" w:lastColumn="0" w:noHBand="1" w:noVBand="1"/>
      </w:tblPr>
      <w:tblGrid>
        <w:gridCol w:w="3285"/>
        <w:gridCol w:w="1485"/>
        <w:gridCol w:w="1485"/>
      </w:tblGrid>
      <w:tr w:rsidR="002F1A59" w:rsidRPr="003540A1" w14:paraId="56CAFDCB" w14:textId="77777777" w:rsidTr="003540A1">
        <w:trPr>
          <w:trHeight w:val="300"/>
          <w:jc w:val="center"/>
        </w:trPr>
        <w:tc>
          <w:tcPr>
            <w:tcW w:w="625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278C9208"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ROCE ratio</w:t>
            </w:r>
          </w:p>
        </w:tc>
      </w:tr>
      <w:tr w:rsidR="002F1A59" w:rsidRPr="003540A1" w14:paraId="327093C2" w14:textId="77777777" w:rsidTr="003540A1">
        <w:trPr>
          <w:trHeight w:val="300"/>
          <w:jc w:val="center"/>
        </w:trPr>
        <w:tc>
          <w:tcPr>
            <w:tcW w:w="328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44773A20"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CFDAE4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1B1291D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37854FDF" w14:textId="77777777" w:rsidTr="003540A1">
        <w:trPr>
          <w:trHeight w:val="300"/>
          <w:jc w:val="center"/>
        </w:trPr>
        <w:tc>
          <w:tcPr>
            <w:tcW w:w="328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3E13FFC"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13607D7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77BA0CA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566E5C4B"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055DDC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EBT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929E4D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539.00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73E271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620.00</w:t>
            </w:r>
          </w:p>
        </w:tc>
      </w:tr>
      <w:tr w:rsidR="002F1A59" w:rsidRPr="003540A1" w14:paraId="062AB70D"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62D7994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Interest payable</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41F8E6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181.00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9A626C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226.00</w:t>
            </w:r>
          </w:p>
        </w:tc>
      </w:tr>
      <w:tr w:rsidR="002F1A59" w:rsidRPr="003540A1" w14:paraId="5231A973"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2FBD32E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EBIT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855D4A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720.00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FCCE31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846.00</w:t>
            </w:r>
          </w:p>
        </w:tc>
      </w:tr>
      <w:tr w:rsidR="002F1A59" w:rsidRPr="003540A1" w14:paraId="18A60D72"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563E796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Capital Employed</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5C4D324"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7041.00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AE4DAA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7225.00</w:t>
            </w:r>
          </w:p>
        </w:tc>
      </w:tr>
      <w:tr w:rsidR="002F1A59" w:rsidRPr="003540A1" w14:paraId="20EC2F99"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355E85C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EBIT/Capital employed</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63F52C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6575F34"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12%</w:t>
            </w:r>
          </w:p>
        </w:tc>
      </w:tr>
    </w:tbl>
    <w:p w14:paraId="1FEAD507"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2. ROE:</w:t>
      </w:r>
    </w:p>
    <w:tbl>
      <w:tblPr>
        <w:tblStyle w:val="a1"/>
        <w:tblW w:w="6255" w:type="dxa"/>
        <w:jc w:val="center"/>
        <w:tblBorders>
          <w:top w:val="nil"/>
          <w:left w:val="nil"/>
          <w:bottom w:val="nil"/>
          <w:right w:val="nil"/>
          <w:insideH w:val="nil"/>
          <w:insideV w:val="nil"/>
        </w:tblBorders>
        <w:tblLayout w:type="fixed"/>
        <w:tblLook w:val="0600" w:firstRow="0" w:lastRow="0" w:firstColumn="0" w:lastColumn="0" w:noHBand="1" w:noVBand="1"/>
      </w:tblPr>
      <w:tblGrid>
        <w:gridCol w:w="3285"/>
        <w:gridCol w:w="1485"/>
        <w:gridCol w:w="1485"/>
      </w:tblGrid>
      <w:tr w:rsidR="002F1A59" w:rsidRPr="003540A1" w14:paraId="5741FF8B" w14:textId="77777777" w:rsidTr="003540A1">
        <w:trPr>
          <w:trHeight w:val="300"/>
          <w:jc w:val="center"/>
        </w:trPr>
        <w:tc>
          <w:tcPr>
            <w:tcW w:w="625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0EFB3C39"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ROE ratio</w:t>
            </w:r>
          </w:p>
        </w:tc>
      </w:tr>
      <w:tr w:rsidR="002F1A59" w:rsidRPr="003540A1" w14:paraId="078011D3" w14:textId="77777777" w:rsidTr="003540A1">
        <w:trPr>
          <w:trHeight w:val="300"/>
          <w:jc w:val="center"/>
        </w:trPr>
        <w:tc>
          <w:tcPr>
            <w:tcW w:w="328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19F5511D"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7335824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6D4A9B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4C3C0B6E" w14:textId="77777777" w:rsidTr="003540A1">
        <w:trPr>
          <w:trHeight w:val="300"/>
          <w:jc w:val="center"/>
        </w:trPr>
        <w:tc>
          <w:tcPr>
            <w:tcW w:w="328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738898B"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F0174A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5E6399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0BD0AE6E"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368F4FE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Net profit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2FA368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366.00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40B97F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431.00</w:t>
            </w:r>
          </w:p>
        </w:tc>
      </w:tr>
      <w:tr w:rsidR="002F1A59" w:rsidRPr="003540A1" w14:paraId="3B627D39" w14:textId="77777777" w:rsidTr="003540A1">
        <w:trPr>
          <w:trHeight w:val="315"/>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5FC0561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Total equity</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0B305D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2912.00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EF5163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3088.00</w:t>
            </w:r>
          </w:p>
        </w:tc>
      </w:tr>
      <w:tr w:rsidR="002F1A59" w:rsidRPr="003540A1" w14:paraId="2078965C" w14:textId="77777777" w:rsidTr="003540A1">
        <w:trPr>
          <w:trHeight w:val="315"/>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4C6AB87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Net profit/equity</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53489D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13%</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B9A108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14%</w:t>
            </w:r>
          </w:p>
        </w:tc>
      </w:tr>
    </w:tbl>
    <w:p w14:paraId="4D2D0B4E"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3: Earning per share:</w:t>
      </w:r>
    </w:p>
    <w:tbl>
      <w:tblPr>
        <w:tblStyle w:val="a2"/>
        <w:tblW w:w="6165" w:type="dxa"/>
        <w:jc w:val="center"/>
        <w:tblBorders>
          <w:top w:val="nil"/>
          <w:left w:val="nil"/>
          <w:bottom w:val="nil"/>
          <w:right w:val="nil"/>
          <w:insideH w:val="nil"/>
          <w:insideV w:val="nil"/>
        </w:tblBorders>
        <w:tblLayout w:type="fixed"/>
        <w:tblLook w:val="0600" w:firstRow="0" w:lastRow="0" w:firstColumn="0" w:lastColumn="0" w:noHBand="1" w:noVBand="1"/>
      </w:tblPr>
      <w:tblGrid>
        <w:gridCol w:w="3735"/>
        <w:gridCol w:w="1215"/>
        <w:gridCol w:w="1215"/>
      </w:tblGrid>
      <w:tr w:rsidR="002F1A59" w:rsidRPr="003540A1" w14:paraId="2937EF84" w14:textId="77777777" w:rsidTr="003540A1">
        <w:trPr>
          <w:trHeight w:val="300"/>
          <w:jc w:val="center"/>
        </w:trPr>
        <w:tc>
          <w:tcPr>
            <w:tcW w:w="616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54179EE7"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Earning per share</w:t>
            </w:r>
          </w:p>
        </w:tc>
      </w:tr>
      <w:tr w:rsidR="002F1A59" w:rsidRPr="003540A1" w14:paraId="2D50CA89" w14:textId="77777777" w:rsidTr="003540A1">
        <w:trPr>
          <w:trHeight w:val="300"/>
          <w:jc w:val="center"/>
        </w:trPr>
        <w:tc>
          <w:tcPr>
            <w:tcW w:w="373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61EC6E7F"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4657EC4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3610607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21BBA985" w14:textId="77777777" w:rsidTr="003540A1">
        <w:trPr>
          <w:trHeight w:val="570"/>
          <w:jc w:val="center"/>
        </w:trPr>
        <w:tc>
          <w:tcPr>
            <w:tcW w:w="373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F76AA70"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67534C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977531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0A78671E"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3763191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Net profit</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FC5CBD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366.00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22AAE9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431.00</w:t>
            </w:r>
          </w:p>
        </w:tc>
      </w:tr>
      <w:tr w:rsidR="002F1A59" w:rsidRPr="003540A1" w14:paraId="6E3A09D0"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4818AD5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Outstanding share</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5BE81F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300.00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88E17F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300.00</w:t>
            </w:r>
          </w:p>
        </w:tc>
      </w:tr>
      <w:tr w:rsidR="002F1A59" w:rsidRPr="003540A1" w14:paraId="4A5F196C"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43975B6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Net profit/outstanding share</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09AA5E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122%</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7DAA7A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144%</w:t>
            </w:r>
          </w:p>
        </w:tc>
      </w:tr>
    </w:tbl>
    <w:p w14:paraId="3D5F16F5"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4: Net profit margin:</w:t>
      </w:r>
    </w:p>
    <w:tbl>
      <w:tblPr>
        <w:tblStyle w:val="a3"/>
        <w:tblW w:w="7200" w:type="dxa"/>
        <w:jc w:val="center"/>
        <w:tblBorders>
          <w:top w:val="nil"/>
          <w:left w:val="nil"/>
          <w:bottom w:val="nil"/>
          <w:right w:val="nil"/>
          <w:insideH w:val="nil"/>
          <w:insideV w:val="nil"/>
        </w:tblBorders>
        <w:tblLayout w:type="fixed"/>
        <w:tblLook w:val="0600" w:firstRow="0" w:lastRow="0" w:firstColumn="0" w:lastColumn="0" w:noHBand="1" w:noVBand="1"/>
      </w:tblPr>
      <w:tblGrid>
        <w:gridCol w:w="4230"/>
        <w:gridCol w:w="1485"/>
        <w:gridCol w:w="1485"/>
      </w:tblGrid>
      <w:tr w:rsidR="002F1A59" w:rsidRPr="003540A1" w14:paraId="21C2E52E" w14:textId="77777777" w:rsidTr="003540A1">
        <w:trPr>
          <w:trHeight w:val="315"/>
          <w:jc w:val="center"/>
        </w:trPr>
        <w:tc>
          <w:tcPr>
            <w:tcW w:w="7200"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04007CD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Calculation for Net Profit Ratio</w:t>
            </w:r>
          </w:p>
        </w:tc>
      </w:tr>
      <w:tr w:rsidR="002F1A59" w:rsidRPr="003540A1" w14:paraId="09B8196E" w14:textId="77777777" w:rsidTr="003540A1">
        <w:trPr>
          <w:trHeight w:val="315"/>
          <w:jc w:val="center"/>
        </w:trPr>
        <w:tc>
          <w:tcPr>
            <w:tcW w:w="4230"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4CDEE6B5"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1E45952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E77EC7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3D0B0245" w14:textId="77777777" w:rsidTr="003540A1">
        <w:trPr>
          <w:trHeight w:val="315"/>
          <w:jc w:val="center"/>
        </w:trPr>
        <w:tc>
          <w:tcPr>
            <w:tcW w:w="4230"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76B4566B"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7F642F5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41783EB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55F7D552"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6A62DA5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Total Revenues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D5F548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6441.00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D3ADB3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6738.00</w:t>
            </w:r>
          </w:p>
        </w:tc>
      </w:tr>
      <w:tr w:rsidR="002F1A59" w:rsidRPr="003540A1" w14:paraId="6D4F12A2"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FBF81A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Net profit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0DCEB5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366.00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63D00A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431.00</w:t>
            </w:r>
          </w:p>
        </w:tc>
      </w:tr>
      <w:tr w:rsidR="002F1A59" w:rsidRPr="003540A1" w14:paraId="5BE72294"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0D8AB66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(Net profit / Revenue)</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D8385E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9B3A5A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w:t>
            </w:r>
          </w:p>
        </w:tc>
      </w:tr>
    </w:tbl>
    <w:p w14:paraId="4D266DF8"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5. Assets Turnover Ratio:</w:t>
      </w:r>
    </w:p>
    <w:tbl>
      <w:tblPr>
        <w:tblStyle w:val="a4"/>
        <w:tblW w:w="7200" w:type="dxa"/>
        <w:jc w:val="center"/>
        <w:tblBorders>
          <w:top w:val="nil"/>
          <w:left w:val="nil"/>
          <w:bottom w:val="nil"/>
          <w:right w:val="nil"/>
          <w:insideH w:val="nil"/>
          <w:insideV w:val="nil"/>
        </w:tblBorders>
        <w:tblLayout w:type="fixed"/>
        <w:tblLook w:val="0600" w:firstRow="0" w:lastRow="0" w:firstColumn="0" w:lastColumn="0" w:noHBand="1" w:noVBand="1"/>
      </w:tblPr>
      <w:tblGrid>
        <w:gridCol w:w="4230"/>
        <w:gridCol w:w="1485"/>
        <w:gridCol w:w="1485"/>
      </w:tblGrid>
      <w:tr w:rsidR="002F1A59" w:rsidRPr="003540A1" w14:paraId="2C0DDE89" w14:textId="77777777" w:rsidTr="003540A1">
        <w:trPr>
          <w:trHeight w:val="315"/>
          <w:jc w:val="center"/>
        </w:trPr>
        <w:tc>
          <w:tcPr>
            <w:tcW w:w="7200"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565593A4"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Calculation for Assets Turnover Ratio</w:t>
            </w:r>
          </w:p>
        </w:tc>
      </w:tr>
      <w:tr w:rsidR="002F1A59" w:rsidRPr="003540A1" w14:paraId="71C759DD" w14:textId="77777777" w:rsidTr="003540A1">
        <w:trPr>
          <w:trHeight w:val="315"/>
          <w:jc w:val="center"/>
        </w:trPr>
        <w:tc>
          <w:tcPr>
            <w:tcW w:w="4230"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2B1EED16"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C7A2B2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5D5451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636E3C50" w14:textId="77777777" w:rsidTr="003540A1">
        <w:trPr>
          <w:trHeight w:val="315"/>
          <w:jc w:val="center"/>
        </w:trPr>
        <w:tc>
          <w:tcPr>
            <w:tcW w:w="4230"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7CF7870"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3D4C0B9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966AFA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1B378EBE"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70CB94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Total Asset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E2DC2E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10087.00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C9BAC8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9736.00</w:t>
            </w:r>
          </w:p>
        </w:tc>
      </w:tr>
      <w:tr w:rsidR="002F1A59" w:rsidRPr="003540A1" w14:paraId="420DCB5D"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3D6BC99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Average total assets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B228DE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10087.00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7AA0EF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9911.50</w:t>
            </w:r>
          </w:p>
        </w:tc>
      </w:tr>
      <w:tr w:rsidR="002F1A59" w:rsidRPr="003540A1" w14:paraId="3F9DCD9A"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263F854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Net sales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DE7D99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6441.00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294556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6738.00</w:t>
            </w:r>
          </w:p>
        </w:tc>
      </w:tr>
      <w:tr w:rsidR="002F1A59" w:rsidRPr="003540A1" w14:paraId="59DAAD31" w14:textId="77777777" w:rsidTr="003540A1">
        <w:trPr>
          <w:trHeight w:val="315"/>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23E55DC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Net sales/ Average total assets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14C0E3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0.64</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DCA02C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0.68</w:t>
            </w:r>
          </w:p>
        </w:tc>
      </w:tr>
    </w:tbl>
    <w:p w14:paraId="35332384" w14:textId="77777777" w:rsidR="002F1A59" w:rsidRPr="003540A1" w:rsidRDefault="002F1A59" w:rsidP="003540A1">
      <w:pPr>
        <w:spacing w:line="360" w:lineRule="auto"/>
        <w:jc w:val="both"/>
        <w:rPr>
          <w:rFonts w:ascii="Times New Roman" w:eastAsia="Times New Roman" w:hAnsi="Times New Roman" w:cs="Times New Roman"/>
          <w:b/>
          <w:sz w:val="24"/>
          <w:szCs w:val="24"/>
        </w:rPr>
      </w:pPr>
    </w:p>
    <w:p w14:paraId="05E65C51"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6. Stock holding day:</w:t>
      </w:r>
    </w:p>
    <w:tbl>
      <w:tblPr>
        <w:tblStyle w:val="a5"/>
        <w:tblW w:w="6165" w:type="dxa"/>
        <w:jc w:val="center"/>
        <w:tblBorders>
          <w:top w:val="nil"/>
          <w:left w:val="nil"/>
          <w:bottom w:val="nil"/>
          <w:right w:val="nil"/>
          <w:insideH w:val="nil"/>
          <w:insideV w:val="nil"/>
        </w:tblBorders>
        <w:tblLayout w:type="fixed"/>
        <w:tblLook w:val="0600" w:firstRow="0" w:lastRow="0" w:firstColumn="0" w:lastColumn="0" w:noHBand="1" w:noVBand="1"/>
      </w:tblPr>
      <w:tblGrid>
        <w:gridCol w:w="3735"/>
        <w:gridCol w:w="1215"/>
        <w:gridCol w:w="1215"/>
      </w:tblGrid>
      <w:tr w:rsidR="002F1A59" w:rsidRPr="003540A1" w14:paraId="7CA0941E" w14:textId="77777777" w:rsidTr="003540A1">
        <w:trPr>
          <w:trHeight w:val="300"/>
          <w:jc w:val="center"/>
        </w:trPr>
        <w:tc>
          <w:tcPr>
            <w:tcW w:w="616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71704F56"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stockholding day</w:t>
            </w:r>
          </w:p>
        </w:tc>
      </w:tr>
      <w:tr w:rsidR="002F1A59" w:rsidRPr="003540A1" w14:paraId="54035538" w14:textId="77777777" w:rsidTr="003540A1">
        <w:trPr>
          <w:trHeight w:val="300"/>
          <w:jc w:val="center"/>
        </w:trPr>
        <w:tc>
          <w:tcPr>
            <w:tcW w:w="373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375F4919"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D8403D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C94656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71707EB0" w14:textId="77777777" w:rsidTr="003540A1">
        <w:trPr>
          <w:trHeight w:val="570"/>
          <w:jc w:val="center"/>
        </w:trPr>
        <w:tc>
          <w:tcPr>
            <w:tcW w:w="373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EE92AA6"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7215EBF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4E0A050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385C192B"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03B9244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Closing inventory</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0B1282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659.00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75D7B9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708.00</w:t>
            </w:r>
          </w:p>
        </w:tc>
      </w:tr>
      <w:tr w:rsidR="002F1A59" w:rsidRPr="003540A1" w14:paraId="4FC8B654"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403E460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Cost of goods sold</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010AE3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6441.00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AF7641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6738.00</w:t>
            </w:r>
          </w:p>
        </w:tc>
      </w:tr>
      <w:tr w:rsidR="002F1A59" w:rsidRPr="003540A1" w14:paraId="7F350F3A"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0" w:type="dxa"/>
              <w:bottom w:w="0" w:type="dxa"/>
              <w:right w:w="0" w:type="dxa"/>
            </w:tcMar>
            <w:vAlign w:val="center"/>
          </w:tcPr>
          <w:p w14:paraId="62078FC7" w14:textId="77777777" w:rsidR="002F1A59" w:rsidRPr="003540A1" w:rsidRDefault="009167AE" w:rsidP="003540A1">
            <w:pPr>
              <w:widowControl w:val="0"/>
              <w:spacing w:line="360" w:lineRule="auto"/>
              <w:ind w:left="-9360" w:right="-9360"/>
              <w:jc w:val="center"/>
              <w:rPr>
                <w:rFonts w:ascii="Times New Roman" w:hAnsi="Times New Roman" w:cs="Times New Roman"/>
                <w:sz w:val="24"/>
                <w:szCs w:val="24"/>
              </w:rPr>
            </w:pPr>
            <w:r w:rsidRPr="003540A1">
              <w:rPr>
                <w:rFonts w:ascii="Times New Roman" w:hAnsi="Times New Roman" w:cs="Times New Roman"/>
                <w:sz w:val="24"/>
                <w:szCs w:val="24"/>
              </w:rPr>
              <w:t>Closing inventory/ cost of goods sold</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5723A84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37</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DFB5D4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38</w:t>
            </w:r>
          </w:p>
        </w:tc>
      </w:tr>
    </w:tbl>
    <w:p w14:paraId="31962001"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7. Debtors collection period:</w:t>
      </w:r>
    </w:p>
    <w:tbl>
      <w:tblPr>
        <w:tblStyle w:val="a6"/>
        <w:tblW w:w="6255" w:type="dxa"/>
        <w:jc w:val="center"/>
        <w:tblBorders>
          <w:top w:val="nil"/>
          <w:left w:val="nil"/>
          <w:bottom w:val="nil"/>
          <w:right w:val="nil"/>
          <w:insideH w:val="nil"/>
          <w:insideV w:val="nil"/>
        </w:tblBorders>
        <w:tblLayout w:type="fixed"/>
        <w:tblLook w:val="0600" w:firstRow="0" w:lastRow="0" w:firstColumn="0" w:lastColumn="0" w:noHBand="1" w:noVBand="1"/>
      </w:tblPr>
      <w:tblGrid>
        <w:gridCol w:w="3285"/>
        <w:gridCol w:w="1485"/>
        <w:gridCol w:w="1485"/>
      </w:tblGrid>
      <w:tr w:rsidR="002F1A59" w:rsidRPr="003540A1" w14:paraId="7E10E1CE" w14:textId="77777777" w:rsidTr="003540A1">
        <w:trPr>
          <w:trHeight w:val="300"/>
          <w:jc w:val="center"/>
        </w:trPr>
        <w:tc>
          <w:tcPr>
            <w:tcW w:w="625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67568A9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Calculation for Debtor collection period</w:t>
            </w:r>
          </w:p>
        </w:tc>
      </w:tr>
      <w:tr w:rsidR="002F1A59" w:rsidRPr="003540A1" w14:paraId="38C799FB" w14:textId="77777777" w:rsidTr="003540A1">
        <w:trPr>
          <w:trHeight w:val="300"/>
          <w:jc w:val="center"/>
        </w:trPr>
        <w:tc>
          <w:tcPr>
            <w:tcW w:w="328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68B39930"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4D08C24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4129AC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5394254D" w14:textId="77777777" w:rsidTr="003540A1">
        <w:trPr>
          <w:trHeight w:val="300"/>
          <w:jc w:val="center"/>
        </w:trPr>
        <w:tc>
          <w:tcPr>
            <w:tcW w:w="328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C6B110B"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1279AB3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0A9224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158B259F"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7567E75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Total Debt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E22014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4129.00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9985F4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4137.00</w:t>
            </w:r>
          </w:p>
        </w:tc>
      </w:tr>
      <w:tr w:rsidR="002F1A59" w:rsidRPr="003540A1" w14:paraId="72A6ED61"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62EF28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Total assets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21B97A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10087.00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7960E1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9736.00</w:t>
            </w:r>
          </w:p>
        </w:tc>
      </w:tr>
      <w:tr w:rsidR="002F1A59" w:rsidRPr="003540A1" w14:paraId="33847125" w14:textId="77777777" w:rsidTr="003540A1">
        <w:trPr>
          <w:trHeight w:val="300"/>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08ED937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Total Debt / Total Assets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D3EB4A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149</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9A5AA5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155</w:t>
            </w:r>
          </w:p>
        </w:tc>
      </w:tr>
    </w:tbl>
    <w:p w14:paraId="7AF5725A"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8. Current ratio:</w:t>
      </w:r>
    </w:p>
    <w:tbl>
      <w:tblPr>
        <w:tblStyle w:val="a7"/>
        <w:tblW w:w="7200" w:type="dxa"/>
        <w:jc w:val="center"/>
        <w:tblBorders>
          <w:top w:val="nil"/>
          <w:left w:val="nil"/>
          <w:bottom w:val="nil"/>
          <w:right w:val="nil"/>
          <w:insideH w:val="nil"/>
          <w:insideV w:val="nil"/>
        </w:tblBorders>
        <w:tblLayout w:type="fixed"/>
        <w:tblLook w:val="0600" w:firstRow="0" w:lastRow="0" w:firstColumn="0" w:lastColumn="0" w:noHBand="1" w:noVBand="1"/>
      </w:tblPr>
      <w:tblGrid>
        <w:gridCol w:w="4230"/>
        <w:gridCol w:w="1485"/>
        <w:gridCol w:w="1485"/>
      </w:tblGrid>
      <w:tr w:rsidR="002F1A59" w:rsidRPr="003540A1" w14:paraId="2FE8D95F" w14:textId="77777777" w:rsidTr="003540A1">
        <w:trPr>
          <w:trHeight w:val="300"/>
          <w:jc w:val="center"/>
        </w:trPr>
        <w:tc>
          <w:tcPr>
            <w:tcW w:w="7200"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3530E5B3"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Current ratio</w:t>
            </w:r>
          </w:p>
        </w:tc>
      </w:tr>
      <w:tr w:rsidR="002F1A59" w:rsidRPr="003540A1" w14:paraId="5BC348CD" w14:textId="77777777" w:rsidTr="003540A1">
        <w:trPr>
          <w:trHeight w:val="300"/>
          <w:jc w:val="center"/>
        </w:trPr>
        <w:tc>
          <w:tcPr>
            <w:tcW w:w="4230"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12E7E715"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598D4B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332634C5"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591CA10B" w14:textId="77777777" w:rsidTr="003540A1">
        <w:trPr>
          <w:trHeight w:val="300"/>
          <w:jc w:val="center"/>
        </w:trPr>
        <w:tc>
          <w:tcPr>
            <w:tcW w:w="4230"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6DCCB524"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14E09A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09D55B4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0E66CD2F" w14:textId="77777777" w:rsidTr="003540A1">
        <w:trPr>
          <w:trHeight w:val="300"/>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3A5AF77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Current Assets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ED378B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2355.00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1CB46C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2303.00</w:t>
            </w:r>
          </w:p>
        </w:tc>
      </w:tr>
      <w:tr w:rsidR="002F1A59" w:rsidRPr="003540A1" w14:paraId="4C04527F" w14:textId="77777777" w:rsidTr="003540A1">
        <w:trPr>
          <w:trHeight w:val="300"/>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8DA40D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Current Liability</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7F65DD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3046.00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17B8E0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2511.00</w:t>
            </w:r>
          </w:p>
        </w:tc>
      </w:tr>
      <w:tr w:rsidR="002F1A59" w:rsidRPr="003540A1" w14:paraId="7213016F" w14:textId="77777777" w:rsidTr="003540A1">
        <w:trPr>
          <w:trHeight w:val="300"/>
          <w:jc w:val="center"/>
        </w:trPr>
        <w:tc>
          <w:tcPr>
            <w:tcW w:w="4230"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5CDDB591"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Current assets/ Current Liability</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408B56F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0.77</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C93182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0.92</w:t>
            </w:r>
          </w:p>
        </w:tc>
      </w:tr>
    </w:tbl>
    <w:p w14:paraId="5E2AFB08"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9. Gearing ratio:</w:t>
      </w:r>
    </w:p>
    <w:tbl>
      <w:tblPr>
        <w:tblStyle w:val="a8"/>
        <w:tblW w:w="6165" w:type="dxa"/>
        <w:jc w:val="center"/>
        <w:tblBorders>
          <w:top w:val="nil"/>
          <w:left w:val="nil"/>
          <w:bottom w:val="nil"/>
          <w:right w:val="nil"/>
          <w:insideH w:val="nil"/>
          <w:insideV w:val="nil"/>
        </w:tblBorders>
        <w:tblLayout w:type="fixed"/>
        <w:tblLook w:val="0600" w:firstRow="0" w:lastRow="0" w:firstColumn="0" w:lastColumn="0" w:noHBand="1" w:noVBand="1"/>
      </w:tblPr>
      <w:tblGrid>
        <w:gridCol w:w="3735"/>
        <w:gridCol w:w="1215"/>
        <w:gridCol w:w="1215"/>
      </w:tblGrid>
      <w:tr w:rsidR="002F1A59" w:rsidRPr="003540A1" w14:paraId="7478E74C" w14:textId="77777777" w:rsidTr="003540A1">
        <w:trPr>
          <w:trHeight w:val="300"/>
          <w:jc w:val="center"/>
        </w:trPr>
        <w:tc>
          <w:tcPr>
            <w:tcW w:w="616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31ED378D"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Gearing ratio</w:t>
            </w:r>
          </w:p>
        </w:tc>
      </w:tr>
      <w:tr w:rsidR="002F1A59" w:rsidRPr="003540A1" w14:paraId="00964FF7" w14:textId="77777777" w:rsidTr="003540A1">
        <w:trPr>
          <w:trHeight w:val="300"/>
          <w:jc w:val="center"/>
        </w:trPr>
        <w:tc>
          <w:tcPr>
            <w:tcW w:w="373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5D4E4EF6" w14:textId="77777777" w:rsidR="002F1A59" w:rsidRPr="003540A1" w:rsidRDefault="009167AE" w:rsidP="003540A1">
            <w:pPr>
              <w:widowControl w:val="0"/>
              <w:spacing w:line="360" w:lineRule="auto"/>
              <w:jc w:val="center"/>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Particulars</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038130E"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2021</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23FB1D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2022</w:t>
            </w:r>
          </w:p>
        </w:tc>
      </w:tr>
      <w:tr w:rsidR="002F1A59" w:rsidRPr="003540A1" w14:paraId="769C2A94" w14:textId="77777777" w:rsidTr="003540A1">
        <w:trPr>
          <w:trHeight w:val="570"/>
          <w:jc w:val="center"/>
        </w:trPr>
        <w:tc>
          <w:tcPr>
            <w:tcW w:w="373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1865574"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398908C0"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c>
          <w:tcPr>
            <w:tcW w:w="121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921894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b/>
                <w:sz w:val="24"/>
                <w:szCs w:val="24"/>
              </w:rPr>
              <w:t>Amount (£)</w:t>
            </w:r>
          </w:p>
        </w:tc>
      </w:tr>
      <w:tr w:rsidR="002F1A59" w:rsidRPr="003540A1" w14:paraId="488E3F66" w14:textId="77777777" w:rsidTr="003540A1">
        <w:trPr>
          <w:trHeight w:val="300"/>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601A5C0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Total debt</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E49B13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4129.00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C21678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4137.00</w:t>
            </w:r>
          </w:p>
        </w:tc>
      </w:tr>
      <w:tr w:rsidR="002F1A59" w:rsidRPr="003540A1" w14:paraId="1573F75D" w14:textId="77777777" w:rsidTr="003540A1">
        <w:trPr>
          <w:trHeight w:val="315"/>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4230838"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Total equity</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EFF0FD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2912.00</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A10114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3088.00</w:t>
            </w:r>
          </w:p>
        </w:tc>
      </w:tr>
      <w:tr w:rsidR="002F1A59" w:rsidRPr="003540A1" w14:paraId="060744D0" w14:textId="77777777" w:rsidTr="003540A1">
        <w:trPr>
          <w:trHeight w:val="315"/>
          <w:jc w:val="center"/>
        </w:trPr>
        <w:tc>
          <w:tcPr>
            <w:tcW w:w="373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CE55619"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Total debt/ total equity</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524B01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1.42</w:t>
            </w:r>
          </w:p>
        </w:tc>
        <w:tc>
          <w:tcPr>
            <w:tcW w:w="121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B84F06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1.34</w:t>
            </w:r>
          </w:p>
        </w:tc>
      </w:tr>
    </w:tbl>
    <w:p w14:paraId="5FE7852D"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eastAsia="Times New Roman" w:hAnsi="Times New Roman" w:cs="Times New Roman"/>
          <w:b/>
          <w:sz w:val="24"/>
          <w:szCs w:val="24"/>
        </w:rPr>
        <w:t>10. Interest cover:</w:t>
      </w:r>
    </w:p>
    <w:tbl>
      <w:tblPr>
        <w:tblStyle w:val="a9"/>
        <w:tblW w:w="6255" w:type="dxa"/>
        <w:jc w:val="center"/>
        <w:tblBorders>
          <w:top w:val="nil"/>
          <w:left w:val="nil"/>
          <w:bottom w:val="nil"/>
          <w:right w:val="nil"/>
          <w:insideH w:val="nil"/>
          <w:insideV w:val="nil"/>
        </w:tblBorders>
        <w:tblLayout w:type="fixed"/>
        <w:tblLook w:val="0600" w:firstRow="0" w:lastRow="0" w:firstColumn="0" w:lastColumn="0" w:noHBand="1" w:noVBand="1"/>
      </w:tblPr>
      <w:tblGrid>
        <w:gridCol w:w="3285"/>
        <w:gridCol w:w="1485"/>
        <w:gridCol w:w="1485"/>
      </w:tblGrid>
      <w:tr w:rsidR="002F1A59" w:rsidRPr="003540A1" w14:paraId="4FC8DBF4" w14:textId="77777777" w:rsidTr="003540A1">
        <w:trPr>
          <w:trHeight w:val="315"/>
          <w:jc w:val="center"/>
        </w:trPr>
        <w:tc>
          <w:tcPr>
            <w:tcW w:w="6255" w:type="dxa"/>
            <w:gridSpan w:val="3"/>
            <w:tcBorders>
              <w:top w:val="single" w:sz="5" w:space="0" w:color="000000"/>
              <w:left w:val="single" w:sz="5" w:space="0" w:color="000000"/>
              <w:bottom w:val="single" w:sz="5" w:space="0" w:color="000000"/>
              <w:right w:val="single" w:sz="5" w:space="0" w:color="000000"/>
            </w:tcBorders>
            <w:shd w:val="clear" w:color="auto" w:fill="FFFF00"/>
            <w:tcMar>
              <w:top w:w="0" w:type="dxa"/>
              <w:left w:w="40" w:type="dxa"/>
              <w:bottom w:w="0" w:type="dxa"/>
              <w:right w:w="40" w:type="dxa"/>
            </w:tcMar>
            <w:vAlign w:val="center"/>
          </w:tcPr>
          <w:p w14:paraId="4FECF03B" w14:textId="77777777" w:rsidR="002F1A59" w:rsidRPr="003540A1" w:rsidRDefault="009167AE" w:rsidP="003540A1">
            <w:pPr>
              <w:widowControl w:val="0"/>
              <w:spacing w:line="360" w:lineRule="auto"/>
              <w:jc w:val="center"/>
              <w:rPr>
                <w:rFonts w:ascii="Times New Roman" w:hAnsi="Times New Roman" w:cs="Times New Roman"/>
                <w:b/>
                <w:bCs/>
                <w:sz w:val="24"/>
                <w:szCs w:val="24"/>
              </w:rPr>
            </w:pPr>
            <w:r w:rsidRPr="003540A1">
              <w:rPr>
                <w:rFonts w:ascii="Times New Roman" w:hAnsi="Times New Roman" w:cs="Times New Roman"/>
                <w:b/>
                <w:bCs/>
                <w:sz w:val="24"/>
                <w:szCs w:val="24"/>
              </w:rPr>
              <w:t>Calculation for Interest coverage ratio</w:t>
            </w:r>
          </w:p>
        </w:tc>
      </w:tr>
      <w:tr w:rsidR="002F1A59" w:rsidRPr="003540A1" w14:paraId="1B1BA7A6" w14:textId="77777777" w:rsidTr="003540A1">
        <w:trPr>
          <w:trHeight w:val="315"/>
          <w:jc w:val="center"/>
        </w:trPr>
        <w:tc>
          <w:tcPr>
            <w:tcW w:w="3285" w:type="dxa"/>
            <w:vMerge w:val="restart"/>
            <w:tcBorders>
              <w:top w:val="single" w:sz="5" w:space="0" w:color="CCCCCC"/>
              <w:left w:val="single" w:sz="5" w:space="0" w:color="000000"/>
              <w:bottom w:val="single" w:sz="5" w:space="0" w:color="000000"/>
              <w:right w:val="single" w:sz="5" w:space="0" w:color="000000"/>
            </w:tcBorders>
            <w:shd w:val="clear" w:color="auto" w:fill="00B0F0"/>
            <w:tcMar>
              <w:top w:w="0" w:type="dxa"/>
              <w:left w:w="40" w:type="dxa"/>
              <w:bottom w:w="0" w:type="dxa"/>
              <w:right w:w="40" w:type="dxa"/>
            </w:tcMar>
            <w:vAlign w:val="center"/>
          </w:tcPr>
          <w:p w14:paraId="67AAF548" w14:textId="77777777" w:rsidR="002F1A59" w:rsidRPr="003540A1" w:rsidRDefault="009167AE" w:rsidP="003540A1">
            <w:pPr>
              <w:widowControl w:val="0"/>
              <w:spacing w:line="360" w:lineRule="auto"/>
              <w:jc w:val="center"/>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2490BC9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FA0139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2022</w:t>
            </w:r>
          </w:p>
        </w:tc>
      </w:tr>
      <w:tr w:rsidR="002F1A59" w:rsidRPr="003540A1" w14:paraId="2305C5CE" w14:textId="77777777" w:rsidTr="003540A1">
        <w:trPr>
          <w:trHeight w:val="315"/>
          <w:jc w:val="center"/>
        </w:trPr>
        <w:tc>
          <w:tcPr>
            <w:tcW w:w="3285"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EFB5C75" w14:textId="77777777" w:rsidR="002F1A59" w:rsidRPr="003540A1" w:rsidRDefault="002F1A59" w:rsidP="003540A1">
            <w:pPr>
              <w:widowControl w:val="0"/>
              <w:spacing w:line="360" w:lineRule="auto"/>
              <w:rPr>
                <w:rFonts w:ascii="Times New Roman" w:hAnsi="Times New Roman" w:cs="Times New Roman"/>
                <w:sz w:val="24"/>
                <w:szCs w:val="24"/>
              </w:rPr>
            </w:pP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5C169D1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Amount (£)</w:t>
            </w:r>
          </w:p>
        </w:tc>
        <w:tc>
          <w:tcPr>
            <w:tcW w:w="1485" w:type="dxa"/>
            <w:tcBorders>
              <w:top w:val="single" w:sz="5" w:space="0" w:color="CCCCCC"/>
              <w:left w:val="single" w:sz="5" w:space="0" w:color="CCCCCC"/>
              <w:bottom w:val="single" w:sz="5" w:space="0" w:color="000000"/>
              <w:right w:val="single" w:sz="5" w:space="0" w:color="000000"/>
            </w:tcBorders>
            <w:shd w:val="clear" w:color="auto" w:fill="00B0F0"/>
            <w:tcMar>
              <w:top w:w="0" w:type="dxa"/>
              <w:left w:w="40" w:type="dxa"/>
              <w:bottom w:w="0" w:type="dxa"/>
              <w:right w:w="40" w:type="dxa"/>
            </w:tcMar>
            <w:vAlign w:val="center"/>
          </w:tcPr>
          <w:p w14:paraId="6A964C9B"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eastAsia="Times New Roman" w:hAnsi="Times New Roman" w:cs="Times New Roman"/>
                <w:sz w:val="24"/>
                <w:szCs w:val="24"/>
              </w:rPr>
              <w:t>Amount (£)</w:t>
            </w:r>
          </w:p>
        </w:tc>
      </w:tr>
      <w:tr w:rsidR="002F1A59" w:rsidRPr="003540A1" w14:paraId="252B895D" w14:textId="77777777" w:rsidTr="003540A1">
        <w:trPr>
          <w:trHeight w:val="315"/>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2F822E1A"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Interest payable</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302F731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181.00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275FE6F2"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226.00</w:t>
            </w:r>
          </w:p>
        </w:tc>
      </w:tr>
      <w:tr w:rsidR="002F1A59" w:rsidRPr="003540A1" w14:paraId="195407F9" w14:textId="77777777" w:rsidTr="003540A1">
        <w:trPr>
          <w:trHeight w:val="315"/>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12417826"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EBIT</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74AB089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720.00</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6075914C"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846.00</w:t>
            </w:r>
          </w:p>
        </w:tc>
      </w:tr>
      <w:tr w:rsidR="002F1A59" w:rsidRPr="003540A1" w14:paraId="149672F9" w14:textId="77777777" w:rsidTr="003540A1">
        <w:trPr>
          <w:trHeight w:val="315"/>
          <w:jc w:val="center"/>
        </w:trPr>
        <w:tc>
          <w:tcPr>
            <w:tcW w:w="3285" w:type="dxa"/>
            <w:tcBorders>
              <w:top w:val="single" w:sz="5" w:space="0" w:color="CCCCCC"/>
              <w:left w:val="single" w:sz="5" w:space="0" w:color="000000"/>
              <w:bottom w:val="single" w:sz="5" w:space="0" w:color="000000"/>
              <w:right w:val="single" w:sz="5" w:space="0" w:color="000000"/>
            </w:tcBorders>
            <w:shd w:val="clear" w:color="auto" w:fill="D8D8D8"/>
            <w:tcMar>
              <w:top w:w="0" w:type="dxa"/>
              <w:left w:w="40" w:type="dxa"/>
              <w:bottom w:w="0" w:type="dxa"/>
              <w:right w:w="40" w:type="dxa"/>
            </w:tcMar>
            <w:vAlign w:val="center"/>
          </w:tcPr>
          <w:p w14:paraId="47C29C7F"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EBIT/interest expenses</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0FFA8117"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3.98</w:t>
            </w:r>
          </w:p>
        </w:tc>
        <w:tc>
          <w:tcPr>
            <w:tcW w:w="1485" w:type="dxa"/>
            <w:tcBorders>
              <w:top w:val="single" w:sz="5" w:space="0" w:color="CCCCCC"/>
              <w:left w:val="single" w:sz="5" w:space="0" w:color="CCCCCC"/>
              <w:bottom w:val="single" w:sz="5" w:space="0" w:color="000000"/>
              <w:right w:val="single" w:sz="5" w:space="0" w:color="000000"/>
            </w:tcBorders>
            <w:shd w:val="clear" w:color="auto" w:fill="D8D8D8"/>
            <w:tcMar>
              <w:top w:w="0" w:type="dxa"/>
              <w:left w:w="40" w:type="dxa"/>
              <w:bottom w:w="0" w:type="dxa"/>
              <w:right w:w="40" w:type="dxa"/>
            </w:tcMar>
            <w:vAlign w:val="center"/>
          </w:tcPr>
          <w:p w14:paraId="183717BD" w14:textId="77777777" w:rsidR="002F1A59" w:rsidRPr="003540A1" w:rsidRDefault="009167AE" w:rsidP="003540A1">
            <w:pPr>
              <w:widowControl w:val="0"/>
              <w:spacing w:line="360" w:lineRule="auto"/>
              <w:jc w:val="center"/>
              <w:rPr>
                <w:rFonts w:ascii="Times New Roman" w:hAnsi="Times New Roman" w:cs="Times New Roman"/>
                <w:sz w:val="24"/>
                <w:szCs w:val="24"/>
              </w:rPr>
            </w:pPr>
            <w:r w:rsidRPr="003540A1">
              <w:rPr>
                <w:rFonts w:ascii="Times New Roman" w:hAnsi="Times New Roman" w:cs="Times New Roman"/>
                <w:sz w:val="24"/>
                <w:szCs w:val="24"/>
              </w:rPr>
              <w:t>3.74</w:t>
            </w:r>
          </w:p>
        </w:tc>
      </w:tr>
    </w:tbl>
    <w:p w14:paraId="6AC56E9B" w14:textId="77777777" w:rsidR="002F1A59" w:rsidRPr="003540A1" w:rsidRDefault="009167AE" w:rsidP="003540A1">
      <w:pPr>
        <w:pStyle w:val="Titlu2"/>
      </w:pPr>
      <w:bookmarkStart w:id="14" w:name="_firj70qeg0ft" w:colFirst="0" w:colLast="0"/>
      <w:bookmarkStart w:id="15" w:name="_Toc153368177"/>
      <w:bookmarkEnd w:id="14"/>
      <w:r w:rsidRPr="003540A1">
        <w:t>b) discussion about the financial performance of Sweets Plc:</w:t>
      </w:r>
      <w:bookmarkEnd w:id="15"/>
    </w:p>
    <w:p w14:paraId="33311A55"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ROCE: </w:t>
      </w:r>
      <w:r w:rsidRPr="003540A1">
        <w:rPr>
          <w:rFonts w:ascii="Times New Roman" w:eastAsia="Times New Roman" w:hAnsi="Times New Roman" w:cs="Times New Roman"/>
          <w:sz w:val="24"/>
          <w:szCs w:val="24"/>
        </w:rPr>
        <w:t>Return on capital employed helps to determine the portion of the employees in the parts of earning ability of the business (</w:t>
      </w:r>
      <w:r w:rsidRPr="003540A1">
        <w:rPr>
          <w:rFonts w:ascii="Times New Roman" w:eastAsia="Times New Roman" w:hAnsi="Times New Roman" w:cs="Times New Roman"/>
          <w:sz w:val="24"/>
          <w:szCs w:val="24"/>
          <w:highlight w:val="white"/>
        </w:rPr>
        <w:t>ACCA, 2023)</w:t>
      </w:r>
      <w:r w:rsidRPr="003540A1">
        <w:rPr>
          <w:rFonts w:ascii="Times New Roman" w:eastAsia="Times New Roman" w:hAnsi="Times New Roman" w:cs="Times New Roman"/>
          <w:sz w:val="24"/>
          <w:szCs w:val="24"/>
        </w:rPr>
        <w:t>. In the year 2021, the ROCE is 10% and in 2022 the ROCE is 12%.  It reflects the increasing numbers of earnings of their employees from the  profit of Sweet Plc.</w:t>
      </w:r>
    </w:p>
    <w:p w14:paraId="7DCC099D"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ROE: </w:t>
      </w:r>
      <w:r w:rsidRPr="003540A1">
        <w:rPr>
          <w:rFonts w:ascii="Times New Roman" w:eastAsia="Times New Roman" w:hAnsi="Times New Roman" w:cs="Times New Roman"/>
          <w:sz w:val="24"/>
          <w:szCs w:val="24"/>
        </w:rPr>
        <w:t>The ROE ratio helps to determine the portion of shareholders found in the process of earnings (</w:t>
      </w:r>
      <w:r w:rsidRPr="003540A1">
        <w:rPr>
          <w:rFonts w:ascii="Times New Roman" w:hAnsi="Times New Roman" w:cs="Times New Roman"/>
          <w:color w:val="222222"/>
          <w:sz w:val="24"/>
          <w:szCs w:val="24"/>
          <w:highlight w:val="white"/>
        </w:rPr>
        <w:t>Equity, 2016)</w:t>
      </w:r>
      <w:r w:rsidRPr="003540A1">
        <w:rPr>
          <w:rFonts w:ascii="Times New Roman" w:eastAsia="Times New Roman" w:hAnsi="Times New Roman" w:cs="Times New Roman"/>
          <w:sz w:val="24"/>
          <w:szCs w:val="24"/>
        </w:rPr>
        <w:t>. Additionally, it reflects the profit-generating ability of investors from their operations. In 2021 ROE is 13% and in 2022 the ROE is 14%. This reflects the increasing numbers of earning ability of the shareholders.</w:t>
      </w:r>
    </w:p>
    <w:p w14:paraId="1799CAF7"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Earning per share: </w:t>
      </w:r>
      <w:r w:rsidRPr="003540A1">
        <w:rPr>
          <w:rFonts w:ascii="Times New Roman" w:eastAsia="Times New Roman" w:hAnsi="Times New Roman" w:cs="Times New Roman"/>
          <w:sz w:val="24"/>
          <w:szCs w:val="24"/>
        </w:rPr>
        <w:t>The calculations of the earning per share ratio help to determine how much the shareholders of the business are able to generate profits from one share (</w:t>
      </w:r>
      <w:r w:rsidRPr="003540A1">
        <w:rPr>
          <w:rFonts w:ascii="Times New Roman" w:eastAsia="Times New Roman" w:hAnsi="Times New Roman" w:cs="Times New Roman"/>
          <w:sz w:val="24"/>
          <w:szCs w:val="24"/>
          <w:highlight w:val="white"/>
        </w:rPr>
        <w:t>Wallstreetmojo, 2023)</w:t>
      </w:r>
      <w:r w:rsidRPr="003540A1">
        <w:rPr>
          <w:rFonts w:ascii="Times New Roman" w:eastAsia="Times New Roman" w:hAnsi="Times New Roman" w:cs="Times New Roman"/>
          <w:sz w:val="24"/>
          <w:szCs w:val="24"/>
        </w:rPr>
        <w:t>. In 2021 the earning per share of is 122% and in 2022 is 144%. Additionally, it reflects the increasing growth of shareholders' earnings per share.</w:t>
      </w:r>
    </w:p>
    <w:p w14:paraId="020C342F"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Net profit margin: </w:t>
      </w:r>
      <w:r w:rsidRPr="003540A1">
        <w:rPr>
          <w:rFonts w:ascii="Times New Roman" w:eastAsia="Times New Roman" w:hAnsi="Times New Roman" w:cs="Times New Roman"/>
          <w:sz w:val="24"/>
          <w:szCs w:val="24"/>
        </w:rPr>
        <w:t>Net profit margin helps to determine the portion of the business earnings from their revenue (</w:t>
      </w:r>
      <w:r w:rsidRPr="003540A1">
        <w:rPr>
          <w:rFonts w:ascii="Times New Roman" w:hAnsi="Times New Roman" w:cs="Times New Roman"/>
          <w:color w:val="222222"/>
          <w:sz w:val="24"/>
          <w:szCs w:val="24"/>
          <w:highlight w:val="white"/>
        </w:rPr>
        <w:t>Choiriyah, and Ulfa, 2020)</w:t>
      </w:r>
      <w:r w:rsidRPr="003540A1">
        <w:rPr>
          <w:rFonts w:ascii="Times New Roman" w:eastAsia="Times New Roman" w:hAnsi="Times New Roman" w:cs="Times New Roman"/>
          <w:sz w:val="24"/>
          <w:szCs w:val="24"/>
        </w:rPr>
        <w:t>. For that, in 2021 the net profit margin for Sweet Plc is 5.75 and in 2022 is 6.4%, For that the ability of the business to generate net profit from its earnings is increased.</w:t>
      </w:r>
    </w:p>
    <w:p w14:paraId="293AA95F"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Assets Turnover Ratio: </w:t>
      </w:r>
      <w:r w:rsidRPr="003540A1">
        <w:rPr>
          <w:rFonts w:ascii="Times New Roman" w:eastAsia="Times New Roman" w:hAnsi="Times New Roman" w:cs="Times New Roman"/>
          <w:sz w:val="24"/>
          <w:szCs w:val="24"/>
        </w:rPr>
        <w:t>the assets turnover ratio helps to determined the portion of the assets involved in the process of generating maximum of revenue. In 2021, this ratio for Sweet plc is 0.64 and in 2022 is 0.68. With the increasing proportion of their assets their revenue generating ability are also increased.</w:t>
      </w:r>
    </w:p>
    <w:p w14:paraId="4A806121"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Stock holding day: </w:t>
      </w:r>
      <w:r w:rsidRPr="003540A1">
        <w:rPr>
          <w:rFonts w:ascii="Times New Roman" w:eastAsia="Times New Roman" w:hAnsi="Times New Roman" w:cs="Times New Roman"/>
          <w:sz w:val="24"/>
          <w:szCs w:val="24"/>
        </w:rPr>
        <w:t>it reflects the number of days the business is held its inventories before making revenue from it (</w:t>
      </w:r>
      <w:r w:rsidRPr="003540A1">
        <w:rPr>
          <w:rFonts w:ascii="Times New Roman" w:eastAsia="Times New Roman" w:hAnsi="Times New Roman" w:cs="Times New Roman"/>
          <w:sz w:val="24"/>
          <w:szCs w:val="24"/>
          <w:highlight w:val="white"/>
        </w:rPr>
        <w:t>ACCA, 2023)</w:t>
      </w:r>
      <w:r w:rsidRPr="003540A1">
        <w:rPr>
          <w:rFonts w:ascii="Times New Roman" w:eastAsia="Times New Roman" w:hAnsi="Times New Roman" w:cs="Times New Roman"/>
          <w:sz w:val="24"/>
          <w:szCs w:val="24"/>
        </w:rPr>
        <w:t>. In 2021 this stok holding day for Sweet Plc is 37 and in 2022 is 38. For that the business hold their invenetoris for a long time then 2021 before selling it.</w:t>
      </w:r>
    </w:p>
    <w:p w14:paraId="3A1B01A3"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Debtors collection period: </w:t>
      </w:r>
      <w:r w:rsidRPr="003540A1">
        <w:rPr>
          <w:rFonts w:ascii="Times New Roman" w:eastAsia="Times New Roman" w:hAnsi="Times New Roman" w:cs="Times New Roman"/>
          <w:sz w:val="24"/>
          <w:szCs w:val="24"/>
        </w:rPr>
        <w:t>It helps to determine when the business needs to be collect their debts to increase their performance (</w:t>
      </w:r>
      <w:r w:rsidRPr="003540A1">
        <w:rPr>
          <w:rFonts w:ascii="Times New Roman" w:eastAsia="Times New Roman" w:hAnsi="Times New Roman" w:cs="Times New Roman"/>
          <w:sz w:val="24"/>
          <w:szCs w:val="24"/>
          <w:highlight w:val="white"/>
        </w:rPr>
        <w:t>CFI, 2023)</w:t>
      </w:r>
      <w:r w:rsidRPr="003540A1">
        <w:rPr>
          <w:rFonts w:ascii="Times New Roman" w:eastAsia="Times New Roman" w:hAnsi="Times New Roman" w:cs="Times New Roman"/>
          <w:sz w:val="24"/>
          <w:szCs w:val="24"/>
        </w:rPr>
        <w:t>. In 2021 the debt collection period for Sweet Plc is 149 which is increased continuously and reached 15 days in 2022.</w:t>
      </w:r>
    </w:p>
    <w:p w14:paraId="391A8B1A"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Current ratio: </w:t>
      </w:r>
      <w:r w:rsidRPr="003540A1">
        <w:rPr>
          <w:rFonts w:ascii="Times New Roman" w:eastAsia="Times New Roman" w:hAnsi="Times New Roman" w:cs="Times New Roman"/>
          <w:sz w:val="24"/>
          <w:szCs w:val="24"/>
        </w:rPr>
        <w:t>Current ratio helps to determined the ability of the business o settled their current liabilities by using its current assets. In 2021 the current ratio for Sweet plc is 0.77 and in 2022 is 0.92. It reflects the increasing ability of the business to settled their corrent liabilities by using their assets.</w:t>
      </w:r>
    </w:p>
    <w:p w14:paraId="4A5749D3"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Gearing ratio: </w:t>
      </w:r>
      <w:r w:rsidRPr="003540A1">
        <w:rPr>
          <w:rFonts w:ascii="Times New Roman" w:eastAsia="Times New Roman" w:hAnsi="Times New Roman" w:cs="Times New Roman"/>
          <w:sz w:val="24"/>
          <w:szCs w:val="24"/>
        </w:rPr>
        <w:t>The gearing ratio of the business helps to detriment the involvement of debts in the shareholder's equity  (</w:t>
      </w:r>
      <w:r w:rsidRPr="003540A1">
        <w:rPr>
          <w:rFonts w:ascii="Times New Roman" w:eastAsia="Times New Roman" w:hAnsi="Times New Roman" w:cs="Times New Roman"/>
          <w:sz w:val="24"/>
          <w:szCs w:val="24"/>
          <w:highlight w:val="white"/>
        </w:rPr>
        <w:t>ACCA, 2023)</w:t>
      </w:r>
      <w:r w:rsidRPr="003540A1">
        <w:rPr>
          <w:rFonts w:ascii="Times New Roman" w:eastAsia="Times New Roman" w:hAnsi="Times New Roman" w:cs="Times New Roman"/>
          <w:sz w:val="24"/>
          <w:szCs w:val="24"/>
        </w:rPr>
        <w:t xml:space="preserve">. In 2021 the ratio of gearing is 1.42 and 1.34. It reflects that the portion of debts in their equity has been decreased. Additionally, decreases the risks of investments. </w:t>
      </w:r>
    </w:p>
    <w:p w14:paraId="11B7F447"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b/>
          <w:sz w:val="24"/>
          <w:szCs w:val="24"/>
        </w:rPr>
        <w:t xml:space="preserve">Interest cover: </w:t>
      </w:r>
      <w:r w:rsidRPr="003540A1">
        <w:rPr>
          <w:rFonts w:ascii="Times New Roman" w:eastAsia="Times New Roman" w:hAnsi="Times New Roman" w:cs="Times New Roman"/>
          <w:sz w:val="24"/>
          <w:szCs w:val="24"/>
        </w:rPr>
        <w:t>This ratio helps to determine the periods when the earnings of the business can serve interest on it (</w:t>
      </w:r>
      <w:r w:rsidRPr="003540A1">
        <w:rPr>
          <w:rFonts w:ascii="Times New Roman" w:eastAsia="Times New Roman" w:hAnsi="Times New Roman" w:cs="Times New Roman"/>
          <w:sz w:val="24"/>
          <w:szCs w:val="24"/>
          <w:highlight w:val="white"/>
        </w:rPr>
        <w:t>CFI, 2023)</w:t>
      </w:r>
      <w:r w:rsidRPr="003540A1">
        <w:rPr>
          <w:rFonts w:ascii="Times New Roman" w:eastAsia="Times New Roman" w:hAnsi="Times New Roman" w:cs="Times New Roman"/>
          <w:sz w:val="24"/>
          <w:szCs w:val="24"/>
        </w:rPr>
        <w:t>. In 2021 the interest cover rate of the business was 3.98 and in 2022 it was 3.74. It reflects the decreasing ability to receive interest from their earnings.</w:t>
      </w:r>
    </w:p>
    <w:p w14:paraId="635C0529" w14:textId="77777777" w:rsidR="002F1A59" w:rsidRPr="003540A1" w:rsidRDefault="009167AE" w:rsidP="003540A1">
      <w:pPr>
        <w:pStyle w:val="Titlu1"/>
      </w:pPr>
      <w:bookmarkStart w:id="16" w:name="_9usxld100sw" w:colFirst="0" w:colLast="0"/>
      <w:bookmarkStart w:id="17" w:name="_Toc153368178"/>
      <w:bookmarkEnd w:id="16"/>
      <w:r w:rsidRPr="003540A1">
        <w:t>Conclusion -</w:t>
      </w:r>
      <w:bookmarkEnd w:id="17"/>
      <w:r w:rsidRPr="003540A1">
        <w:t xml:space="preserve"> </w:t>
      </w:r>
    </w:p>
    <w:p w14:paraId="5C3ED68D" w14:textId="77777777" w:rsidR="002F1A59" w:rsidRPr="003540A1" w:rsidRDefault="009167AE"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This report fulfilled its aims of discussing different aspects of accounting fundamentals and the use of those fundamentals in the context of businesses. It conceptualises the principles and conventions of accounting to prepare the financial statements of the businesses and evaluate relevant accounting ratios. In question 1, some statements related to accounting principles have been described. In Question 2, the income statement and balance sheet of Wales Plc for the financial year 2022 are produced using the information of the trial balance. In question 3, various accounting ratios will be derived using the information from the financial statements of Sweets Plc. Based on the analysis, the performance and positioning of the business are compared for two different periods. </w:t>
      </w:r>
    </w:p>
    <w:p w14:paraId="71B9C533" w14:textId="77777777" w:rsidR="002F1A59" w:rsidRPr="003540A1" w:rsidRDefault="009167AE" w:rsidP="003540A1">
      <w:pPr>
        <w:spacing w:line="360" w:lineRule="auto"/>
        <w:jc w:val="both"/>
        <w:rPr>
          <w:rFonts w:ascii="Times New Roman" w:eastAsia="Times New Roman" w:hAnsi="Times New Roman" w:cs="Times New Roman"/>
          <w:b/>
          <w:sz w:val="24"/>
          <w:szCs w:val="24"/>
        </w:rPr>
      </w:pPr>
      <w:r w:rsidRPr="003540A1">
        <w:rPr>
          <w:rFonts w:ascii="Times New Roman" w:hAnsi="Times New Roman" w:cs="Times New Roman"/>
          <w:sz w:val="24"/>
          <w:szCs w:val="24"/>
        </w:rPr>
        <w:br w:type="page"/>
      </w:r>
    </w:p>
    <w:p w14:paraId="7ECF1788" w14:textId="77777777" w:rsidR="002F1A59" w:rsidRPr="003540A1" w:rsidRDefault="009167AE" w:rsidP="003540A1">
      <w:pPr>
        <w:pStyle w:val="Titlu1"/>
      </w:pPr>
      <w:bookmarkStart w:id="18" w:name="_fvfo35kojvqi" w:colFirst="0" w:colLast="0"/>
      <w:bookmarkStart w:id="19" w:name="_Toc153368179"/>
      <w:bookmarkEnd w:id="18"/>
      <w:r w:rsidRPr="003540A1">
        <w:t>References</w:t>
      </w:r>
      <w:bookmarkEnd w:id="19"/>
    </w:p>
    <w:p w14:paraId="6CD5451F" w14:textId="77777777" w:rsidR="003540A1" w:rsidRPr="003540A1" w:rsidRDefault="003540A1" w:rsidP="003540A1">
      <w:pPr>
        <w:spacing w:before="240" w:after="240"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ACCA (2023) Ratio analysis, ACCA Qualification | Students | ACCA Global. Available at: https://www.accaglobal.com/gb/en/student/exam-support-resources/fundamentals-exams-study-resources/f2/technical-articles/ratio-analysis.html (Accessed: 13 December 2023). </w:t>
      </w:r>
    </w:p>
    <w:p w14:paraId="4CC99904" w14:textId="77777777" w:rsidR="003540A1" w:rsidRPr="003540A1" w:rsidRDefault="003540A1" w:rsidP="003540A1">
      <w:pPr>
        <w:spacing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Baudot, L., (2013). Perspectives on the role of and need for accounting regulation. In </w:t>
      </w:r>
      <w:r w:rsidRPr="003540A1">
        <w:rPr>
          <w:rFonts w:ascii="Times New Roman" w:eastAsia="Times New Roman" w:hAnsi="Times New Roman" w:cs="Times New Roman"/>
          <w:i/>
          <w:sz w:val="24"/>
          <w:szCs w:val="24"/>
          <w:highlight w:val="white"/>
        </w:rPr>
        <w:t>The Routledge Companion to Accounting, Reporting and Regulation</w:t>
      </w:r>
      <w:r w:rsidRPr="003540A1">
        <w:rPr>
          <w:rFonts w:ascii="Times New Roman" w:eastAsia="Times New Roman" w:hAnsi="Times New Roman" w:cs="Times New Roman"/>
          <w:sz w:val="24"/>
          <w:szCs w:val="24"/>
          <w:highlight w:val="white"/>
        </w:rPr>
        <w:t xml:space="preserve"> (pp. 207-227). Routledge. </w:t>
      </w:r>
      <w:hyperlink r:id="rId8" w:anchor="page=230">
        <w:r w:rsidRPr="003540A1">
          <w:rPr>
            <w:rFonts w:ascii="Times New Roman" w:eastAsia="Times New Roman" w:hAnsi="Times New Roman" w:cs="Times New Roman"/>
            <w:color w:val="1155CC"/>
            <w:sz w:val="24"/>
            <w:szCs w:val="24"/>
            <w:highlight w:val="white"/>
            <w:u w:val="single"/>
          </w:rPr>
          <w:t>http://ndl.ethernet.edu.et/bitstream/123456789/22231/1/56.pdf.pdf#page=230</w:t>
        </w:r>
      </w:hyperlink>
      <w:r w:rsidRPr="003540A1">
        <w:rPr>
          <w:rFonts w:ascii="Times New Roman" w:eastAsia="Times New Roman" w:hAnsi="Times New Roman" w:cs="Times New Roman"/>
          <w:sz w:val="24"/>
          <w:szCs w:val="24"/>
          <w:highlight w:val="white"/>
        </w:rPr>
        <w:t>.</w:t>
      </w:r>
    </w:p>
    <w:p w14:paraId="6D0017E0" w14:textId="77777777" w:rsidR="003540A1" w:rsidRPr="003540A1" w:rsidRDefault="003540A1" w:rsidP="003540A1">
      <w:pPr>
        <w:spacing w:before="240" w:after="240"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CFI (2023) Financial ratios, Corporate Finance Institute. Available at: https://corporatefinanceinstitute.com/resources/accounting/financial-ratios/ (Accessed: 13 December 2023). </w:t>
      </w:r>
    </w:p>
    <w:p w14:paraId="37A0DC05" w14:textId="7CD093D3" w:rsidR="003540A1" w:rsidRPr="003540A1" w:rsidRDefault="003540A1" w:rsidP="003540A1">
      <w:pPr>
        <w:spacing w:before="240" w:after="240"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Choiriyah, C., and Ulfa, U., </w:t>
      </w:r>
      <w:r>
        <w:rPr>
          <w:rFonts w:ascii="Times New Roman" w:eastAsia="Times New Roman" w:hAnsi="Times New Roman" w:cs="Times New Roman"/>
          <w:sz w:val="24"/>
          <w:szCs w:val="24"/>
          <w:highlight w:val="white"/>
        </w:rPr>
        <w:t>(</w:t>
      </w:r>
      <w:r w:rsidRPr="003540A1">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highlight w:val="white"/>
        </w:rPr>
        <w:t>)</w:t>
      </w:r>
      <w:r w:rsidRPr="003540A1">
        <w:rPr>
          <w:rFonts w:ascii="Times New Roman" w:eastAsia="Times New Roman" w:hAnsi="Times New Roman" w:cs="Times New Roman"/>
          <w:sz w:val="24"/>
          <w:szCs w:val="24"/>
          <w:highlight w:val="white"/>
        </w:rPr>
        <w:t xml:space="preserve">. The effect of return on assets, return on equity, net profit margin, earning per share, and operating profit margin on stock prices of banking companies in Indonesia Stock Exchange. International Journal of Finance Research, 1(2), pp.103-123.  Available at: </w:t>
      </w:r>
      <w:hyperlink r:id="rId9">
        <w:r w:rsidRPr="003540A1">
          <w:rPr>
            <w:rFonts w:ascii="Times New Roman" w:eastAsia="Times New Roman" w:hAnsi="Times New Roman" w:cs="Times New Roman"/>
            <w:color w:val="1155CC"/>
            <w:sz w:val="24"/>
            <w:szCs w:val="24"/>
            <w:highlight w:val="white"/>
            <w:u w:val="single"/>
          </w:rPr>
          <w:t>https://journal.jis-institute.org/index.php/ijfr/article/view/280</w:t>
        </w:r>
      </w:hyperlink>
    </w:p>
    <w:p w14:paraId="3125782B" w14:textId="77777777" w:rsidR="003540A1" w:rsidRPr="003540A1" w:rsidRDefault="003540A1"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Coste, A.I., Tudor, A.T. and Pali-Pista, S.F., (2014). Compliance of non-current assets with IFRS requirements concerning the information disclosure–case study. Procedia Economics and Finance, 15, pp.1391-1395.</w:t>
      </w:r>
      <w:r w:rsidRPr="003540A1">
        <w:rPr>
          <w:rFonts w:ascii="Times New Roman" w:eastAsia="Times New Roman" w:hAnsi="Times New Roman" w:cs="Times New Roman"/>
          <w:b/>
          <w:sz w:val="24"/>
          <w:szCs w:val="24"/>
        </w:rPr>
        <w:t xml:space="preserve"> </w:t>
      </w:r>
      <w:hyperlink r:id="rId10">
        <w:r w:rsidRPr="003540A1">
          <w:rPr>
            <w:rFonts w:ascii="Times New Roman" w:eastAsia="Times New Roman" w:hAnsi="Times New Roman" w:cs="Times New Roman"/>
            <w:color w:val="1155CC"/>
            <w:sz w:val="24"/>
            <w:szCs w:val="24"/>
            <w:u w:val="single"/>
          </w:rPr>
          <w:t>https://www.sciencedirect.com/science/article/pii/S2212567114006030</w:t>
        </w:r>
      </w:hyperlink>
      <w:r w:rsidRPr="003540A1">
        <w:rPr>
          <w:rFonts w:ascii="Times New Roman" w:eastAsia="Times New Roman" w:hAnsi="Times New Roman" w:cs="Times New Roman"/>
          <w:sz w:val="24"/>
          <w:szCs w:val="24"/>
        </w:rPr>
        <w:t>.</w:t>
      </w:r>
    </w:p>
    <w:p w14:paraId="057FE6FC" w14:textId="13CF8E40" w:rsidR="003540A1" w:rsidRPr="003540A1" w:rsidRDefault="003540A1" w:rsidP="003540A1">
      <w:pPr>
        <w:spacing w:before="240" w:after="240"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Equity, R.O., </w:t>
      </w:r>
      <w:r>
        <w:rPr>
          <w:rFonts w:ascii="Times New Roman" w:eastAsia="Times New Roman" w:hAnsi="Times New Roman" w:cs="Times New Roman"/>
          <w:sz w:val="24"/>
          <w:szCs w:val="24"/>
          <w:highlight w:val="white"/>
        </w:rPr>
        <w:t>(</w:t>
      </w:r>
      <w:r w:rsidRPr="003540A1">
        <w:rPr>
          <w:rFonts w:ascii="Times New Roman" w:eastAsia="Times New Roman" w:hAnsi="Times New Roman" w:cs="Times New Roman"/>
          <w:sz w:val="24"/>
          <w:szCs w:val="24"/>
          <w:highlight w:val="white"/>
        </w:rPr>
        <w:t>2016</w:t>
      </w:r>
      <w:r>
        <w:rPr>
          <w:rFonts w:ascii="Times New Roman" w:eastAsia="Times New Roman" w:hAnsi="Times New Roman" w:cs="Times New Roman"/>
          <w:sz w:val="24"/>
          <w:szCs w:val="24"/>
          <w:highlight w:val="white"/>
        </w:rPr>
        <w:t>)</w:t>
      </w:r>
      <w:r w:rsidRPr="003540A1">
        <w:rPr>
          <w:rFonts w:ascii="Times New Roman" w:eastAsia="Times New Roman" w:hAnsi="Times New Roman" w:cs="Times New Roman"/>
          <w:sz w:val="24"/>
          <w:szCs w:val="24"/>
          <w:highlight w:val="white"/>
        </w:rPr>
        <w:t xml:space="preserve">. Return on Equity. Health, 210, pp.22-2. Available at: </w:t>
      </w:r>
      <w:hyperlink r:id="rId11">
        <w:r w:rsidRPr="003540A1">
          <w:rPr>
            <w:rFonts w:ascii="Times New Roman" w:eastAsia="Times New Roman" w:hAnsi="Times New Roman" w:cs="Times New Roman"/>
            <w:color w:val="1155CC"/>
            <w:sz w:val="24"/>
            <w:szCs w:val="24"/>
            <w:highlight w:val="white"/>
            <w:u w:val="single"/>
          </w:rPr>
          <w:t>https://repository.widyatama.ac.id/server/api/core/bitstreams/33abfa6a-5e40-4f16-b1bd-1362d069d07b/content</w:t>
        </w:r>
      </w:hyperlink>
    </w:p>
    <w:p w14:paraId="16CD1177" w14:textId="77777777" w:rsidR="003540A1" w:rsidRPr="003540A1" w:rsidRDefault="003540A1"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Goldstein, I. and Yang, L., (2017). Information disclosure in financial markets. Annual Review of Financial Economics, 9, pp.101-125. </w:t>
      </w:r>
      <w:hyperlink r:id="rId12">
        <w:r w:rsidRPr="003540A1">
          <w:rPr>
            <w:rFonts w:ascii="Times New Roman" w:eastAsia="Times New Roman" w:hAnsi="Times New Roman" w:cs="Times New Roman"/>
            <w:color w:val="1155CC"/>
            <w:sz w:val="24"/>
            <w:szCs w:val="24"/>
            <w:u w:val="single"/>
          </w:rPr>
          <w:t>https://www.annualreviews.org/doi/full/10.1146/annurev-financial-110716-032355</w:t>
        </w:r>
      </w:hyperlink>
      <w:r w:rsidRPr="003540A1">
        <w:rPr>
          <w:rFonts w:ascii="Times New Roman" w:eastAsia="Times New Roman" w:hAnsi="Times New Roman" w:cs="Times New Roman"/>
          <w:sz w:val="24"/>
          <w:szCs w:val="24"/>
        </w:rPr>
        <w:t>.</w:t>
      </w:r>
    </w:p>
    <w:p w14:paraId="5423B362" w14:textId="77777777" w:rsidR="003540A1" w:rsidRPr="003540A1" w:rsidRDefault="003540A1" w:rsidP="003540A1">
      <w:pPr>
        <w:spacing w:after="240"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Kaplan. (2023). </w:t>
      </w:r>
      <w:r w:rsidRPr="003540A1">
        <w:rPr>
          <w:rFonts w:ascii="Times New Roman" w:eastAsia="Times New Roman" w:hAnsi="Times New Roman" w:cs="Times New Roman"/>
          <w:i/>
          <w:sz w:val="24"/>
          <w:szCs w:val="24"/>
        </w:rPr>
        <w:t>Chapter 6: Accruals and prepayments</w:t>
      </w:r>
      <w:r w:rsidRPr="003540A1">
        <w:rPr>
          <w:rFonts w:ascii="Times New Roman" w:eastAsia="Times New Roman" w:hAnsi="Times New Roman" w:cs="Times New Roman"/>
          <w:sz w:val="24"/>
          <w:szCs w:val="24"/>
        </w:rPr>
        <w:t>. [online] Available at: https://kfknowledgebank.kaplan.co.uk/acca/chapter-6-accruals-and-prepaymentsv2 [Accessed 13 Dec. 2023].</w:t>
      </w:r>
    </w:p>
    <w:p w14:paraId="78A5966F" w14:textId="77777777" w:rsidR="003540A1" w:rsidRPr="003540A1" w:rsidRDefault="003540A1" w:rsidP="003540A1">
      <w:pPr>
        <w:spacing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Lumen Learning. (2023). Preparing a Trial Balance | Financial Accounting. [online] Available at: https://courses.lumenlearning.com/suny-finaccounting/chapter/preparing-a-trial-balance/ [Accessed 27 Nov. 2023].</w:t>
      </w:r>
    </w:p>
    <w:p w14:paraId="03890661" w14:textId="77777777" w:rsidR="003540A1" w:rsidRPr="003540A1" w:rsidRDefault="003540A1"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highlight w:val="white"/>
        </w:rPr>
        <w:t xml:space="preserve">McLaney, E. (2005). </w:t>
      </w:r>
      <w:r w:rsidRPr="003540A1">
        <w:rPr>
          <w:rFonts w:ascii="Times New Roman" w:eastAsia="Times New Roman" w:hAnsi="Times New Roman" w:cs="Times New Roman"/>
          <w:i/>
          <w:sz w:val="24"/>
          <w:szCs w:val="24"/>
          <w:highlight w:val="white"/>
        </w:rPr>
        <w:t>Business finance: theory and practice</w:t>
      </w:r>
      <w:r w:rsidRPr="003540A1">
        <w:rPr>
          <w:rFonts w:ascii="Times New Roman" w:eastAsia="Times New Roman" w:hAnsi="Times New Roman" w:cs="Times New Roman"/>
          <w:sz w:val="24"/>
          <w:szCs w:val="24"/>
          <w:highlight w:val="white"/>
        </w:rPr>
        <w:t>. Pearson education.</w:t>
      </w:r>
      <w:r w:rsidRPr="003540A1">
        <w:rPr>
          <w:rFonts w:ascii="Times New Roman" w:eastAsia="Times New Roman" w:hAnsi="Times New Roman" w:cs="Times New Roman"/>
          <w:sz w:val="24"/>
          <w:szCs w:val="24"/>
        </w:rPr>
        <w:t xml:space="preserve"> </w:t>
      </w:r>
      <w:hyperlink r:id="rId13">
        <w:r w:rsidRPr="003540A1">
          <w:rPr>
            <w:rFonts w:ascii="Times New Roman" w:eastAsia="Times New Roman" w:hAnsi="Times New Roman" w:cs="Times New Roman"/>
            <w:color w:val="1155CC"/>
            <w:sz w:val="24"/>
            <w:szCs w:val="24"/>
            <w:u w:val="single"/>
          </w:rPr>
          <w:t>http://103.62.146.201:8081/xmlui/bitstream/handle/1/6074/business%20finance.pdf?sequence=1</w:t>
        </w:r>
      </w:hyperlink>
      <w:r w:rsidRPr="003540A1">
        <w:rPr>
          <w:rFonts w:ascii="Times New Roman" w:eastAsia="Times New Roman" w:hAnsi="Times New Roman" w:cs="Times New Roman"/>
          <w:sz w:val="24"/>
          <w:szCs w:val="24"/>
        </w:rPr>
        <w:t>.</w:t>
      </w:r>
    </w:p>
    <w:p w14:paraId="3AC67A00" w14:textId="77777777" w:rsidR="003540A1" w:rsidRPr="003540A1" w:rsidRDefault="003540A1"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McLaney, E. and Atrill, P., (2020). Accounting and finance: an introduction. Pearson. </w:t>
      </w:r>
      <w:hyperlink r:id="rId14">
        <w:r w:rsidRPr="003540A1">
          <w:rPr>
            <w:rFonts w:ascii="Times New Roman" w:eastAsia="Times New Roman" w:hAnsi="Times New Roman" w:cs="Times New Roman"/>
            <w:color w:val="1155CC"/>
            <w:sz w:val="24"/>
            <w:szCs w:val="24"/>
            <w:u w:val="single"/>
          </w:rPr>
          <w:t>http://ndl.ethernet.edu.et/bitstream/123456789/935/1/81.pdf.pdf</w:t>
        </w:r>
      </w:hyperlink>
      <w:r w:rsidRPr="003540A1">
        <w:rPr>
          <w:rFonts w:ascii="Times New Roman" w:eastAsia="Times New Roman" w:hAnsi="Times New Roman" w:cs="Times New Roman"/>
          <w:sz w:val="24"/>
          <w:szCs w:val="24"/>
        </w:rPr>
        <w:t>.</w:t>
      </w:r>
    </w:p>
    <w:p w14:paraId="6B4325C4" w14:textId="77777777" w:rsidR="003540A1" w:rsidRPr="003540A1" w:rsidRDefault="003540A1" w:rsidP="003540A1">
      <w:pPr>
        <w:spacing w:line="360" w:lineRule="auto"/>
        <w:jc w:val="both"/>
        <w:rPr>
          <w:rFonts w:ascii="Times New Roman" w:eastAsia="Times New Roman" w:hAnsi="Times New Roman" w:cs="Times New Roman"/>
          <w:sz w:val="24"/>
          <w:szCs w:val="24"/>
        </w:rPr>
      </w:pPr>
      <w:r w:rsidRPr="003540A1">
        <w:rPr>
          <w:rFonts w:ascii="Times New Roman" w:eastAsia="Times New Roman" w:hAnsi="Times New Roman" w:cs="Times New Roman"/>
          <w:sz w:val="24"/>
          <w:szCs w:val="24"/>
        </w:rPr>
        <w:t xml:space="preserve">Toms, S. and Fleischman, R.K., (2015). Accounting fundamentals and accounting change: Boulton &amp; Watt and the Springfield Armory. Accounting, organizations and Society, 41, pp.1-20. </w:t>
      </w:r>
      <w:hyperlink r:id="rId15">
        <w:r w:rsidRPr="003540A1">
          <w:rPr>
            <w:rFonts w:ascii="Times New Roman" w:eastAsia="Times New Roman" w:hAnsi="Times New Roman" w:cs="Times New Roman"/>
            <w:color w:val="1155CC"/>
            <w:sz w:val="24"/>
            <w:szCs w:val="24"/>
            <w:u w:val="single"/>
          </w:rPr>
          <w:t>https://akuntansi.uad.ac.id/wp-content/uploads/AOS-2015-41.pdf</w:t>
        </w:r>
      </w:hyperlink>
      <w:r w:rsidRPr="003540A1">
        <w:rPr>
          <w:rFonts w:ascii="Times New Roman" w:eastAsia="Times New Roman" w:hAnsi="Times New Roman" w:cs="Times New Roman"/>
          <w:sz w:val="24"/>
          <w:szCs w:val="24"/>
        </w:rPr>
        <w:t>.</w:t>
      </w:r>
    </w:p>
    <w:p w14:paraId="0A0CD342" w14:textId="77777777" w:rsidR="003540A1" w:rsidRPr="003540A1" w:rsidRDefault="003540A1" w:rsidP="003540A1">
      <w:pPr>
        <w:spacing w:before="240" w:after="240" w:line="360" w:lineRule="auto"/>
        <w:jc w:val="both"/>
        <w:rPr>
          <w:rFonts w:ascii="Times New Roman" w:eastAsia="Times New Roman" w:hAnsi="Times New Roman" w:cs="Times New Roman"/>
          <w:sz w:val="24"/>
          <w:szCs w:val="24"/>
          <w:highlight w:val="white"/>
        </w:rPr>
      </w:pPr>
      <w:r w:rsidRPr="003540A1">
        <w:rPr>
          <w:rFonts w:ascii="Times New Roman" w:eastAsia="Times New Roman" w:hAnsi="Times New Roman" w:cs="Times New Roman"/>
          <w:sz w:val="24"/>
          <w:szCs w:val="24"/>
          <w:highlight w:val="white"/>
        </w:rPr>
        <w:t xml:space="preserve">Wallstreetmojo (2023) Earnings per share (EPS) - meaning, formula, calculations - wallstreetmojo. Available at: https://www.wallstreetmojo.com/earnings-per-share-eps/ (Accessed: 13 December 2023). </w:t>
      </w:r>
    </w:p>
    <w:sectPr w:rsidR="003540A1" w:rsidRPr="003540A1" w:rsidSect="003540A1">
      <w:headerReference w:type="default"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33B61" w14:textId="77777777" w:rsidR="00DF3792" w:rsidRDefault="00DF3792">
      <w:pPr>
        <w:spacing w:line="240" w:lineRule="auto"/>
      </w:pPr>
      <w:r>
        <w:separator/>
      </w:r>
    </w:p>
  </w:endnote>
  <w:endnote w:type="continuationSeparator" w:id="0">
    <w:p w14:paraId="67AE5A29" w14:textId="77777777" w:rsidR="00DF3792" w:rsidRDefault="00DF37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7429430"/>
      <w:docPartObj>
        <w:docPartGallery w:val="Page Numbers (Bottom of Page)"/>
        <w:docPartUnique/>
      </w:docPartObj>
    </w:sdtPr>
    <w:sdtEndPr>
      <w:rPr>
        <w:noProof/>
      </w:rPr>
    </w:sdtEndPr>
    <w:sdtContent>
      <w:p w14:paraId="00425126" w14:textId="435574D5" w:rsidR="003540A1" w:rsidRDefault="003540A1">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D9939D5" w14:textId="77777777" w:rsidR="003540A1" w:rsidRDefault="003540A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91818" w14:textId="77777777" w:rsidR="00DF3792" w:rsidRDefault="00DF3792">
      <w:pPr>
        <w:spacing w:line="240" w:lineRule="auto"/>
      </w:pPr>
      <w:r>
        <w:separator/>
      </w:r>
    </w:p>
  </w:footnote>
  <w:footnote w:type="continuationSeparator" w:id="0">
    <w:p w14:paraId="3F755E55" w14:textId="77777777" w:rsidR="00DF3792" w:rsidRDefault="00DF37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967CA" w14:textId="77777777" w:rsidR="002F1A59" w:rsidRDefault="009167AE">
    <w:pPr>
      <w:jc w:val="right"/>
    </w:pPr>
    <w:r>
      <w:rPr>
        <w:noProof/>
      </w:rPr>
      <w:drawing>
        <wp:inline distT="114300" distB="114300" distL="114300" distR="114300" wp14:anchorId="1F398F1E" wp14:editId="7E342F56">
          <wp:extent cx="1438275" cy="5667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38275" cy="56673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A59"/>
    <w:rsid w:val="002F1A59"/>
    <w:rsid w:val="003540A1"/>
    <w:rsid w:val="00360B64"/>
    <w:rsid w:val="009167AE"/>
    <w:rsid w:val="00DF379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2C8C7"/>
  <w15:docId w15:val="{992B9DE6-4322-4700-879C-1E74B12A6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3540A1"/>
    <w:pPr>
      <w:tabs>
        <w:tab w:val="center" w:pos="4513"/>
        <w:tab w:val="right" w:pos="9026"/>
      </w:tabs>
      <w:spacing w:line="240" w:lineRule="auto"/>
    </w:pPr>
  </w:style>
  <w:style w:type="character" w:customStyle="1" w:styleId="AntetCaracter">
    <w:name w:val="Antet Caracter"/>
    <w:basedOn w:val="Fontdeparagrafimplicit"/>
    <w:link w:val="Antet"/>
    <w:uiPriority w:val="99"/>
    <w:rsid w:val="003540A1"/>
  </w:style>
  <w:style w:type="paragraph" w:styleId="Subsol">
    <w:name w:val="footer"/>
    <w:basedOn w:val="Normal"/>
    <w:link w:val="SubsolCaracter"/>
    <w:uiPriority w:val="99"/>
    <w:unhideWhenUsed/>
    <w:rsid w:val="003540A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540A1"/>
  </w:style>
  <w:style w:type="paragraph" w:styleId="Titlucuprins">
    <w:name w:val="TOC Heading"/>
    <w:basedOn w:val="Titlu1"/>
    <w:next w:val="Normal"/>
    <w:uiPriority w:val="39"/>
    <w:unhideWhenUsed/>
    <w:qFormat/>
    <w:rsid w:val="003540A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540A1"/>
    <w:pPr>
      <w:spacing w:after="100"/>
    </w:pPr>
  </w:style>
  <w:style w:type="paragraph" w:styleId="Cuprins2">
    <w:name w:val="toc 2"/>
    <w:basedOn w:val="Normal"/>
    <w:next w:val="Normal"/>
    <w:autoRedefine/>
    <w:uiPriority w:val="39"/>
    <w:unhideWhenUsed/>
    <w:rsid w:val="003540A1"/>
    <w:pPr>
      <w:spacing w:after="100"/>
      <w:ind w:left="220"/>
    </w:pPr>
  </w:style>
  <w:style w:type="character" w:styleId="Hyperlink">
    <w:name w:val="Hyperlink"/>
    <w:basedOn w:val="Fontdeparagrafimplicit"/>
    <w:uiPriority w:val="99"/>
    <w:unhideWhenUsed/>
    <w:rsid w:val="003540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ndl.ethernet.edu.et/bitstream/123456789/22231/1/56.pdf.pdf" TargetMode="External" /><Relationship Id="rId13" Type="http://schemas.openxmlformats.org/officeDocument/2006/relationships/hyperlink" Target="http://103.62.146.201:8081/xmlui/bitstream/handle/1/6074/business%20finance.pdf?sequence=1"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annualreviews.org/doi/full/10.1146/annurev-financial-110716-032355"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repository.widyatama.ac.id/server/api/core/bitstreams/33abfa6a-5e40-4f16-b1bd-1362d069d07b/content" TargetMode="External" /><Relationship Id="rId5" Type="http://schemas.openxmlformats.org/officeDocument/2006/relationships/footnotes" Target="footnotes.xml" /><Relationship Id="rId15" Type="http://schemas.openxmlformats.org/officeDocument/2006/relationships/hyperlink" Target="https://akuntansi.uad.ac.id/wp-content/uploads/AOS-2015-41.pdf" TargetMode="External" /><Relationship Id="rId10" Type="http://schemas.openxmlformats.org/officeDocument/2006/relationships/hyperlink" Target="https://www.sciencedirect.com/science/article/pii/S2212567114006030"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journal.jis-institute.org/index.php/ijfr/article/view/280" TargetMode="External" /><Relationship Id="rId14" Type="http://schemas.openxmlformats.org/officeDocument/2006/relationships/hyperlink" Target="http://ndl.ethernet.edu.et/bitstream/123456789/935/1/81.pdf.pdf"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93736-EE84-492E-AC26-0A6EFDB06D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3040</Words>
  <Characters>17633</Characters>
  <Application>Microsoft Office Word</Application>
  <DocSecurity>0</DocSecurity>
  <Lines>146</Lines>
  <Paragraphs>41</Paragraphs>
  <ScaleCrop>false</ScaleCrop>
  <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Valentin Tatulescu</cp:lastModifiedBy>
  <cp:revision>2</cp:revision>
  <dcterms:created xsi:type="dcterms:W3CDTF">2023-12-17T15:18:00Z</dcterms:created>
  <dcterms:modified xsi:type="dcterms:W3CDTF">2023-12-17T15:18:00Z</dcterms:modified>
</cp:coreProperties>
</file>