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FDBFE"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400AB267" w14:textId="49B065C6" w:rsidR="00274669" w:rsidRDefault="00274669" w:rsidP="00274669">
      <w:pPr>
        <w:spacing w:after="0" w:line="360" w:lineRule="auto"/>
        <w:rPr>
          <w:rFonts w:ascii="Arial" w:eastAsia="Times New Roman" w:hAnsi="Arial" w:cs="Arial"/>
          <w:color w:val="000000" w:themeColor="text1"/>
          <w:sz w:val="24"/>
          <w:szCs w:val="24"/>
          <w:lang w:eastAsia="en-GB"/>
        </w:rPr>
      </w:pPr>
    </w:p>
    <w:p w14:paraId="0F3D3CD7" w14:textId="3B53CAC3" w:rsidR="00274669" w:rsidRDefault="00274669" w:rsidP="00274669">
      <w:pPr>
        <w:spacing w:after="0" w:line="360" w:lineRule="auto"/>
        <w:rPr>
          <w:rFonts w:ascii="Arial" w:eastAsia="Times New Roman" w:hAnsi="Arial" w:cs="Arial"/>
          <w:color w:val="000000" w:themeColor="text1"/>
          <w:sz w:val="24"/>
          <w:szCs w:val="24"/>
          <w:lang w:eastAsia="en-GB"/>
        </w:rPr>
      </w:pPr>
    </w:p>
    <w:p w14:paraId="18967FB2" w14:textId="60AD95DF" w:rsidR="00274669" w:rsidRDefault="00274669" w:rsidP="00274669">
      <w:pPr>
        <w:spacing w:after="0" w:line="360" w:lineRule="auto"/>
        <w:rPr>
          <w:rFonts w:ascii="Arial" w:eastAsia="Times New Roman" w:hAnsi="Arial" w:cs="Arial"/>
          <w:color w:val="000000" w:themeColor="text1"/>
          <w:sz w:val="24"/>
          <w:szCs w:val="24"/>
          <w:lang w:eastAsia="en-GB"/>
        </w:rPr>
      </w:pPr>
    </w:p>
    <w:p w14:paraId="7E5B6D6A" w14:textId="148180CF" w:rsidR="00274669" w:rsidRDefault="00274669" w:rsidP="00274669">
      <w:pPr>
        <w:spacing w:after="0" w:line="360" w:lineRule="auto"/>
        <w:rPr>
          <w:rFonts w:ascii="Arial" w:eastAsia="Times New Roman" w:hAnsi="Arial" w:cs="Arial"/>
          <w:color w:val="000000" w:themeColor="text1"/>
          <w:sz w:val="24"/>
          <w:szCs w:val="24"/>
          <w:lang w:eastAsia="en-GB"/>
        </w:rPr>
      </w:pPr>
    </w:p>
    <w:p w14:paraId="47373E12" w14:textId="2D550D36" w:rsidR="00274669" w:rsidRDefault="00274669" w:rsidP="00274669">
      <w:pPr>
        <w:spacing w:after="0" w:line="360" w:lineRule="auto"/>
        <w:rPr>
          <w:rFonts w:ascii="Arial" w:eastAsia="Times New Roman" w:hAnsi="Arial" w:cs="Arial"/>
          <w:color w:val="000000" w:themeColor="text1"/>
          <w:sz w:val="24"/>
          <w:szCs w:val="24"/>
          <w:lang w:eastAsia="en-GB"/>
        </w:rPr>
      </w:pPr>
    </w:p>
    <w:p w14:paraId="32E88DD6" w14:textId="1E960D95" w:rsidR="00274669" w:rsidRDefault="00274669" w:rsidP="00274669">
      <w:pPr>
        <w:spacing w:after="0" w:line="360" w:lineRule="auto"/>
        <w:rPr>
          <w:rFonts w:ascii="Arial" w:eastAsia="Times New Roman" w:hAnsi="Arial" w:cs="Arial"/>
          <w:color w:val="000000" w:themeColor="text1"/>
          <w:sz w:val="24"/>
          <w:szCs w:val="24"/>
          <w:lang w:eastAsia="en-GB"/>
        </w:rPr>
      </w:pPr>
    </w:p>
    <w:p w14:paraId="74361F43" w14:textId="7E927B7E" w:rsidR="009F0A70" w:rsidRDefault="009F0A70" w:rsidP="009F0A70">
      <w:pPr>
        <w:pStyle w:val="Heading1"/>
        <w:jc w:val="center"/>
        <w:rPr>
          <w:rFonts w:eastAsia="Times New Roman"/>
          <w:lang w:eastAsia="en-GB"/>
        </w:rPr>
      </w:pPr>
      <w:r>
        <w:rPr>
          <w:rFonts w:eastAsia="Times New Roman"/>
          <w:lang w:eastAsia="en-GB"/>
        </w:rPr>
        <w:t>ISIS: An Analysis and Exploration.</w:t>
      </w:r>
    </w:p>
    <w:p w14:paraId="00705C8C" w14:textId="32214209" w:rsidR="00274669" w:rsidRPr="009F0A70" w:rsidRDefault="00274669" w:rsidP="009F0A70">
      <w:pPr>
        <w:pStyle w:val="Heading1"/>
        <w:jc w:val="center"/>
        <w:rPr>
          <w:rFonts w:eastAsia="Times New Roman"/>
          <w:lang w:eastAsia="en-GB"/>
        </w:rPr>
      </w:pPr>
      <w:r>
        <w:rPr>
          <w:rFonts w:eastAsia="Times New Roman"/>
          <w:lang w:eastAsia="en-GB"/>
        </w:rPr>
        <w:t>Sam Fletcher</w:t>
      </w:r>
    </w:p>
    <w:p w14:paraId="65821018" w14:textId="2D566D28" w:rsidR="00274669" w:rsidRPr="00274669" w:rsidRDefault="009F0A70" w:rsidP="009F0A70">
      <w:pPr>
        <w:pStyle w:val="Heading1"/>
        <w:jc w:val="center"/>
        <w:rPr>
          <w:lang w:eastAsia="en-GB"/>
        </w:rPr>
      </w:pPr>
      <w:r>
        <w:rPr>
          <w:lang w:eastAsia="en-GB"/>
        </w:rPr>
        <w:t>2107683</w:t>
      </w:r>
    </w:p>
    <w:p w14:paraId="1BAD2077"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68793F5F"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0A4305D0"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40938AE0"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75314CCA"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7FA2AF00"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3D15A229"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0C9935A8"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2451AC97"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5C577DF6"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37D56819"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64C1BC86"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43143DD0"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231DE793" w14:textId="27ADE592" w:rsidR="00274669" w:rsidRDefault="003E44BF" w:rsidP="00274669">
      <w:pPr>
        <w:spacing w:after="0" w:line="36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 </w:t>
      </w:r>
    </w:p>
    <w:p w14:paraId="1E02F3B0"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52288B8A"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150F5971"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23E0179C" w14:textId="77777777" w:rsidR="00274669" w:rsidRDefault="00274669" w:rsidP="00274669">
      <w:pPr>
        <w:spacing w:after="0" w:line="360" w:lineRule="auto"/>
        <w:rPr>
          <w:rFonts w:ascii="Arial" w:eastAsia="Times New Roman" w:hAnsi="Arial" w:cs="Arial"/>
          <w:color w:val="000000" w:themeColor="text1"/>
          <w:sz w:val="24"/>
          <w:szCs w:val="24"/>
          <w:lang w:eastAsia="en-GB"/>
        </w:rPr>
      </w:pPr>
    </w:p>
    <w:p w14:paraId="7F401653" w14:textId="5D7945EF" w:rsidR="00274669" w:rsidRDefault="00274669" w:rsidP="00274669">
      <w:pPr>
        <w:spacing w:after="0" w:line="360" w:lineRule="auto"/>
        <w:rPr>
          <w:rFonts w:ascii="Arial" w:eastAsia="Times New Roman" w:hAnsi="Arial" w:cs="Arial"/>
          <w:color w:val="000000" w:themeColor="text1"/>
          <w:sz w:val="24"/>
          <w:szCs w:val="24"/>
          <w:lang w:eastAsia="en-GB"/>
        </w:rPr>
      </w:pPr>
    </w:p>
    <w:p w14:paraId="2C3B1758" w14:textId="71FB44A9" w:rsidR="009F0A70" w:rsidRDefault="009F0A70" w:rsidP="00274669">
      <w:pPr>
        <w:spacing w:after="0" w:line="360" w:lineRule="auto"/>
        <w:rPr>
          <w:rFonts w:ascii="Arial" w:eastAsia="Times New Roman" w:hAnsi="Arial" w:cs="Arial"/>
          <w:color w:val="000000" w:themeColor="text1"/>
          <w:sz w:val="24"/>
          <w:szCs w:val="24"/>
          <w:lang w:eastAsia="en-GB"/>
        </w:rPr>
      </w:pPr>
    </w:p>
    <w:p w14:paraId="4F86025A" w14:textId="77777777" w:rsidR="009F0A70" w:rsidRDefault="009F0A70" w:rsidP="00274669">
      <w:pPr>
        <w:spacing w:after="0" w:line="360" w:lineRule="auto"/>
        <w:rPr>
          <w:rFonts w:ascii="Arial" w:eastAsia="Times New Roman" w:hAnsi="Arial" w:cs="Arial"/>
          <w:color w:val="000000" w:themeColor="text1"/>
          <w:sz w:val="24"/>
          <w:szCs w:val="24"/>
          <w:lang w:eastAsia="en-GB"/>
        </w:rPr>
      </w:pPr>
    </w:p>
    <w:p w14:paraId="0FD83BAB" w14:textId="151E13C3" w:rsidR="00274669" w:rsidRPr="00274669" w:rsidRDefault="00274669" w:rsidP="00274669">
      <w:pPr>
        <w:spacing w:after="0" w:line="360" w:lineRule="auto"/>
        <w:rPr>
          <w:rFonts w:ascii="Arial" w:eastAsia="Times New Roman" w:hAnsi="Arial" w:cs="Arial"/>
          <w:color w:val="000000" w:themeColor="text1"/>
          <w:sz w:val="24"/>
          <w:szCs w:val="24"/>
          <w:lang w:eastAsia="en-GB"/>
        </w:rPr>
      </w:pPr>
      <w:r w:rsidRPr="00274669">
        <w:rPr>
          <w:rFonts w:ascii="Arial" w:eastAsia="Times New Roman" w:hAnsi="Arial" w:cs="Arial"/>
          <w:color w:val="000000" w:themeColor="text1"/>
          <w:sz w:val="24"/>
          <w:szCs w:val="24"/>
          <w:lang w:eastAsia="en-GB"/>
        </w:rPr>
        <w:lastRenderedPageBreak/>
        <w:t xml:space="preserve">Terrorism is a millennia old tactic; the first terrorists are widely regarded as the Sicarii, Jewish peoples who rejected roman rule (Horsley, 1979, p.435). They used a campaign of intimidation and violent brutality against Roman military and Roman civilians </w:t>
      </w:r>
      <w:bookmarkStart w:id="0" w:name="_Hlk87620140"/>
      <w:r w:rsidRPr="00274669">
        <w:rPr>
          <w:rFonts w:ascii="Arial" w:eastAsia="Times New Roman" w:hAnsi="Arial" w:cs="Arial"/>
          <w:color w:val="000000" w:themeColor="text1"/>
          <w:sz w:val="24"/>
          <w:szCs w:val="24"/>
          <w:lang w:eastAsia="en-GB"/>
        </w:rPr>
        <w:t>(Horsley, 1979, p.439)</w:t>
      </w:r>
      <w:bookmarkEnd w:id="0"/>
      <w:r w:rsidRPr="00274669">
        <w:rPr>
          <w:rFonts w:ascii="Arial" w:eastAsia="Times New Roman" w:hAnsi="Arial" w:cs="Arial"/>
          <w:color w:val="000000" w:themeColor="text1"/>
          <w:sz w:val="24"/>
          <w:szCs w:val="24"/>
          <w:lang w:eastAsia="en-GB"/>
        </w:rPr>
        <w:t>. Additionally, they used word of mouth and psychological propaganda to gain support and increase notoriety of the organisation (Horsley, 1979, p</w:t>
      </w:r>
      <w:r w:rsidR="009A6A24">
        <w:rPr>
          <w:rFonts w:ascii="Arial" w:eastAsia="Times New Roman" w:hAnsi="Arial" w:cs="Arial"/>
          <w:color w:val="000000" w:themeColor="text1"/>
          <w:sz w:val="24"/>
          <w:szCs w:val="24"/>
          <w:lang w:eastAsia="en-GB"/>
        </w:rPr>
        <w:t>.</w:t>
      </w:r>
      <w:r w:rsidRPr="00274669">
        <w:rPr>
          <w:rFonts w:ascii="Arial" w:eastAsia="Times New Roman" w:hAnsi="Arial" w:cs="Arial"/>
          <w:color w:val="000000" w:themeColor="text1"/>
          <w:sz w:val="24"/>
          <w:szCs w:val="24"/>
          <w:lang w:eastAsia="en-GB"/>
        </w:rPr>
        <w:t>437). As well as political assassinations of outspoken supporters of the Romans, creating the illusion that the public support for the Sicarii was greater than it truly was (</w:t>
      </w:r>
      <w:bookmarkStart w:id="1" w:name="_Hlk87595764"/>
      <w:r w:rsidRPr="00274669">
        <w:rPr>
          <w:rFonts w:ascii="Arial" w:eastAsia="Times New Roman" w:hAnsi="Arial" w:cs="Arial"/>
          <w:color w:val="000000" w:themeColor="text1"/>
          <w:sz w:val="24"/>
          <w:szCs w:val="24"/>
          <w:lang w:eastAsia="en-GB"/>
        </w:rPr>
        <w:t>Horsley, 1979, p.439</w:t>
      </w:r>
      <w:bookmarkEnd w:id="1"/>
      <w:r w:rsidRPr="00274669">
        <w:rPr>
          <w:rFonts w:ascii="Arial" w:eastAsia="Times New Roman" w:hAnsi="Arial" w:cs="Arial"/>
          <w:color w:val="000000" w:themeColor="text1"/>
          <w:sz w:val="24"/>
          <w:szCs w:val="24"/>
          <w:lang w:eastAsia="en-GB"/>
        </w:rPr>
        <w:t>). The importance of highlighting the Sicarii is to underline that despite terrorism being thousands of years old and trans-nationally known as a threat to human life, with known tactics, there is no international consensus of what the definition of terrorism should be. The Crown Prosecution Service (2017) defines terrorism as:</w:t>
      </w:r>
    </w:p>
    <w:p w14:paraId="7575DBC5" w14:textId="77777777" w:rsidR="00274669" w:rsidRPr="00274669" w:rsidRDefault="00274669" w:rsidP="00274669">
      <w:pPr>
        <w:spacing w:after="0" w:line="360" w:lineRule="auto"/>
        <w:rPr>
          <w:rFonts w:ascii="Arial" w:eastAsia="Times New Roman" w:hAnsi="Arial" w:cs="Arial"/>
          <w:color w:val="000000" w:themeColor="text1"/>
          <w:sz w:val="24"/>
          <w:szCs w:val="24"/>
          <w:lang w:eastAsia="en-GB"/>
        </w:rPr>
      </w:pPr>
    </w:p>
    <w:p w14:paraId="457D0DCD" w14:textId="77777777" w:rsidR="00274669" w:rsidRPr="00274669" w:rsidRDefault="00274669" w:rsidP="00274669">
      <w:pPr>
        <w:spacing w:after="0" w:line="360" w:lineRule="auto"/>
        <w:jc w:val="center"/>
        <w:rPr>
          <w:rFonts w:ascii="Arial" w:eastAsia="Times New Roman" w:hAnsi="Arial" w:cs="Arial"/>
          <w:color w:val="000000" w:themeColor="text1"/>
          <w:sz w:val="24"/>
          <w:szCs w:val="24"/>
          <w:lang w:eastAsia="en-GB"/>
        </w:rPr>
      </w:pPr>
      <w:r w:rsidRPr="00274669">
        <w:rPr>
          <w:rFonts w:ascii="Arial" w:eastAsia="Times New Roman" w:hAnsi="Arial" w:cs="Arial"/>
          <w:color w:val="000000" w:themeColor="text1"/>
          <w:sz w:val="24"/>
          <w:szCs w:val="24"/>
          <w:lang w:eastAsia="en-GB"/>
        </w:rPr>
        <w:t>“The use or threat of action, both in and outside of the United Kingdom (UK), designed to influence any international government organisation or to intimidate the public.  It must also be for the purpose of advancing a political, religious, racial or ideological cause.”</w:t>
      </w:r>
    </w:p>
    <w:p w14:paraId="6987476A" w14:textId="77777777" w:rsidR="00274669" w:rsidRPr="00274669" w:rsidRDefault="00274669" w:rsidP="00274669">
      <w:pPr>
        <w:spacing w:after="0" w:line="360" w:lineRule="auto"/>
        <w:rPr>
          <w:rFonts w:ascii="Arial" w:eastAsia="Times New Roman" w:hAnsi="Arial" w:cs="Arial"/>
          <w:color w:val="000000" w:themeColor="text1"/>
          <w:sz w:val="24"/>
          <w:szCs w:val="24"/>
          <w:lang w:eastAsia="en-GB"/>
        </w:rPr>
      </w:pPr>
    </w:p>
    <w:p w14:paraId="05CB9477" w14:textId="42412FC0" w:rsidR="00274669" w:rsidRPr="00274669" w:rsidRDefault="00274669" w:rsidP="00274669">
      <w:pPr>
        <w:spacing w:after="0" w:line="360" w:lineRule="auto"/>
        <w:rPr>
          <w:rFonts w:ascii="Arial" w:eastAsia="Times New Roman" w:hAnsi="Arial" w:cs="Arial"/>
          <w:color w:val="000000" w:themeColor="text1"/>
          <w:sz w:val="24"/>
          <w:szCs w:val="24"/>
          <w:lang w:eastAsia="en-GB"/>
        </w:rPr>
      </w:pPr>
      <w:r w:rsidRPr="00274669">
        <w:rPr>
          <w:rFonts w:ascii="Arial" w:eastAsia="Times New Roman" w:hAnsi="Arial" w:cs="Arial"/>
          <w:color w:val="000000" w:themeColor="text1"/>
          <w:sz w:val="24"/>
          <w:szCs w:val="24"/>
          <w:lang w:eastAsia="en-GB"/>
        </w:rPr>
        <w:t xml:space="preserve">There are of course issues with this definition, “for one man’s terrorist is another man’s freedom fighter” and the Sicarii saw themselves as liberators of the Jewish people (Laqueur, 1987: 7, 302; Horsley, 1979, p.435). States define terrorism to criminalise certain actions that they deem unacceptable. For example, the British government branded the Islamic State of Iraq and Syria (ISIS) a terrorist organisation, the then Prime Minister labelling them “terrorist” while discussing ISIS attacks on security forces (HC Deb 26 September 2014). However, ISIS consider themselves at war (Kalyvas, 2015, p.42), and thus, attacking a security force would be seen as a legitimate war target from the perspective of ISIS. Therefore, an internationally agreed upon definition is needed, to differentiate legitimate actions of war from terrorist attacks. For the purpose of this assignment the definition used will be one set out by Ganor </w:t>
      </w:r>
      <w:bookmarkStart w:id="2" w:name="_Hlk87554252"/>
      <w:r w:rsidRPr="00274669">
        <w:rPr>
          <w:rFonts w:ascii="Arial" w:eastAsia="Times New Roman" w:hAnsi="Arial" w:cs="Arial"/>
          <w:color w:val="000000" w:themeColor="text1"/>
          <w:sz w:val="24"/>
          <w:szCs w:val="24"/>
          <w:lang w:eastAsia="en-GB"/>
        </w:rPr>
        <w:t>(2002, p.294-295)</w:t>
      </w:r>
      <w:bookmarkEnd w:id="2"/>
      <w:r w:rsidRPr="00274669">
        <w:rPr>
          <w:rFonts w:ascii="Arial" w:eastAsia="Times New Roman" w:hAnsi="Arial" w:cs="Arial"/>
          <w:color w:val="000000" w:themeColor="text1"/>
          <w:sz w:val="24"/>
          <w:szCs w:val="24"/>
          <w:lang w:eastAsia="en-GB"/>
        </w:rPr>
        <w:t xml:space="preserve">, his definition distinguishes between attacks on military targets as warfare, and attacks on civilian targets as terrorism. Furthermore, he also states that the attacks must have a political goal, and uses, or threatens to use, violence (Ganor, 2002, p.294-295). While it could be argued that attacking security forces were an act of war, rather than an act of terrorism. ISIS’s </w:t>
      </w:r>
      <w:r w:rsidRPr="00274669">
        <w:rPr>
          <w:rFonts w:ascii="Arial" w:eastAsia="Times New Roman" w:hAnsi="Arial" w:cs="Arial"/>
          <w:color w:val="000000" w:themeColor="text1"/>
          <w:sz w:val="24"/>
          <w:szCs w:val="24"/>
          <w:lang w:eastAsia="en-GB"/>
        </w:rPr>
        <w:lastRenderedPageBreak/>
        <w:t xml:space="preserve">attacks on civilian populations such as the Paris attacks, suggests that ISIS can be labelled as a terrorist organization (Cragin, 2017, p.212). </w:t>
      </w:r>
    </w:p>
    <w:p w14:paraId="6E0B3C5F" w14:textId="77777777" w:rsidR="00274669" w:rsidRPr="00274669" w:rsidRDefault="00274669" w:rsidP="00274669">
      <w:pPr>
        <w:spacing w:after="0" w:line="360" w:lineRule="auto"/>
        <w:rPr>
          <w:rFonts w:ascii="Arial" w:eastAsia="Times New Roman" w:hAnsi="Arial" w:cs="Arial"/>
          <w:color w:val="000000" w:themeColor="text1"/>
          <w:sz w:val="24"/>
          <w:szCs w:val="24"/>
          <w:lang w:eastAsia="en-GB"/>
        </w:rPr>
      </w:pPr>
    </w:p>
    <w:p w14:paraId="4017E99E" w14:textId="59D1A7F3" w:rsidR="00274669" w:rsidRPr="00274669" w:rsidRDefault="00274669" w:rsidP="00274669">
      <w:pPr>
        <w:spacing w:line="360" w:lineRule="auto"/>
        <w:rPr>
          <w:rFonts w:ascii="Arial" w:hAnsi="Arial" w:cs="Arial"/>
          <w:color w:val="000000" w:themeColor="text1"/>
          <w:sz w:val="24"/>
          <w:szCs w:val="24"/>
        </w:rPr>
      </w:pPr>
      <w:bookmarkStart w:id="3" w:name="_Hlk87300150"/>
      <w:r w:rsidRPr="00274669">
        <w:rPr>
          <w:rFonts w:ascii="Arial" w:hAnsi="Arial" w:cs="Arial"/>
          <w:color w:val="000000" w:themeColor="text1"/>
          <w:sz w:val="24"/>
          <w:szCs w:val="24"/>
        </w:rPr>
        <w:t xml:space="preserve">The recruitment strategies of terrorist groups are sophisticated, detailed and go through what Bloom (2016, p.605) calls “cycles of terrorist recruitment”. These recruitment cycles are not static, they evolve to suit the needs of the organisation. Once ISIS had taken control of significant amounts of Syria and Iraq and developed into a proto state, the needs of the organisation evolved. In achieving de facto statehood (Belanger-Mcmurdo, 2015, p.1), it had to provide its citizens with many of the same amenities as seen with de jure states, such as hospitals, schools and policing. The recruitment cycle that would be used to help provide these amenities would be different than that of the cycle for gaining </w:t>
      </w:r>
      <w:r w:rsidR="00884703" w:rsidRPr="00274669">
        <w:rPr>
          <w:rFonts w:ascii="Arial" w:hAnsi="Arial" w:cs="Arial"/>
          <w:color w:val="000000" w:themeColor="text1"/>
          <w:sz w:val="24"/>
          <w:szCs w:val="24"/>
        </w:rPr>
        <w:t>soldiers and</w:t>
      </w:r>
      <w:r w:rsidRPr="00274669">
        <w:rPr>
          <w:rFonts w:ascii="Arial" w:hAnsi="Arial" w:cs="Arial"/>
          <w:color w:val="000000" w:themeColor="text1"/>
          <w:sz w:val="24"/>
          <w:szCs w:val="24"/>
        </w:rPr>
        <w:t xml:space="preserve"> can be considered as the “expertise cycle vs manpower cycle” (Bloom, 2016, p.604)</w:t>
      </w:r>
      <w:r w:rsidR="0086033D">
        <w:rPr>
          <w:rFonts w:ascii="Arial" w:hAnsi="Arial" w:cs="Arial"/>
          <w:color w:val="000000" w:themeColor="text1"/>
          <w:sz w:val="24"/>
          <w:szCs w:val="24"/>
        </w:rPr>
        <w:t>.</w:t>
      </w:r>
      <w:r w:rsidRPr="00274669">
        <w:rPr>
          <w:rFonts w:ascii="Arial" w:hAnsi="Arial" w:cs="Arial"/>
          <w:color w:val="000000" w:themeColor="text1"/>
          <w:sz w:val="24"/>
          <w:szCs w:val="24"/>
        </w:rPr>
        <w:t xml:space="preserve"> </w:t>
      </w:r>
    </w:p>
    <w:p w14:paraId="706A3BD2" w14:textId="6C8A6693" w:rsidR="00274669" w:rsidRPr="00274669" w:rsidRDefault="00274669" w:rsidP="00274669">
      <w:pPr>
        <w:spacing w:line="360" w:lineRule="auto"/>
        <w:rPr>
          <w:rFonts w:ascii="Arial" w:hAnsi="Arial" w:cs="Arial"/>
          <w:color w:val="000000" w:themeColor="text1"/>
          <w:sz w:val="24"/>
          <w:szCs w:val="24"/>
        </w:rPr>
      </w:pPr>
      <w:r w:rsidRPr="00274669">
        <w:rPr>
          <w:rFonts w:ascii="Arial" w:hAnsi="Arial" w:cs="Arial"/>
          <w:color w:val="000000" w:themeColor="text1"/>
          <w:sz w:val="24"/>
          <w:szCs w:val="24"/>
        </w:rPr>
        <w:t xml:space="preserve">Recruits during the expertise cycle would be highly educated or trained and go through an extremely selective and thorough recruitment process (Bloom, 2017, p.617). However, those recruited during the manpower cycle would often be low educated or ex-prisoners, lured by propaganda displaying violent imagery and the excitement of war (Bloom, 2017, p.616). Yet, the propaganda for the highly educated would draw attention to the nobility of ISIS’s goals, and target those who want to be involved in a society whose main legal and societal system are based on Islamic fundamentals (Bloom, 2017, p.606). It can be acknowledged that both groups join the organisation to reach utopia (Osman, 2014 p.1). </w:t>
      </w:r>
    </w:p>
    <w:p w14:paraId="3685D6EF" w14:textId="460E81B6" w:rsidR="00274669" w:rsidRPr="00274669" w:rsidRDefault="00274669" w:rsidP="00274669">
      <w:pPr>
        <w:spacing w:line="360" w:lineRule="auto"/>
        <w:rPr>
          <w:rFonts w:ascii="Arial" w:hAnsi="Arial" w:cs="Arial"/>
          <w:color w:val="000000" w:themeColor="text1"/>
          <w:sz w:val="24"/>
          <w:szCs w:val="24"/>
        </w:rPr>
      </w:pPr>
      <w:r w:rsidRPr="00274669">
        <w:rPr>
          <w:rFonts w:ascii="Arial" w:hAnsi="Arial" w:cs="Arial"/>
          <w:color w:val="000000" w:themeColor="text1"/>
          <w:sz w:val="24"/>
          <w:szCs w:val="24"/>
        </w:rPr>
        <w:t xml:space="preserve">These cycles are an effective way of gaining manpower and expertise, however, they are an expensive process, particularly for ISIS </w:t>
      </w:r>
      <w:bookmarkStart w:id="4" w:name="_Hlk87556449"/>
      <w:r w:rsidRPr="00274669">
        <w:rPr>
          <w:rFonts w:ascii="Arial" w:hAnsi="Arial" w:cs="Arial"/>
          <w:color w:val="000000" w:themeColor="text1"/>
          <w:sz w:val="24"/>
          <w:szCs w:val="24"/>
        </w:rPr>
        <w:t>(Bloom, 2017, p.605)</w:t>
      </w:r>
      <w:bookmarkEnd w:id="4"/>
      <w:r w:rsidRPr="00274669">
        <w:rPr>
          <w:rFonts w:ascii="Arial" w:hAnsi="Arial" w:cs="Arial"/>
          <w:color w:val="000000" w:themeColor="text1"/>
          <w:sz w:val="24"/>
          <w:szCs w:val="24"/>
        </w:rPr>
        <w:t xml:space="preserve">. ISIS bans Iraqi members from fighting in Syria, and as such must import foreign fighters instead (Rueter, 2015). Furthermore, recruits during the manpower phase are not as seriously vetted as those during the expertise phase (Bloom, 2017, p.605). Therefore, it is possible for spies to infiltrate the organisation and provide intelligence on potential attacks, one such infiltrator helped prevent over 30 attacks (Shaffer, 2021, p.336). </w:t>
      </w:r>
    </w:p>
    <w:p w14:paraId="47935B2D" w14:textId="645DC4E5" w:rsidR="00274669" w:rsidRPr="00274669" w:rsidRDefault="00274669" w:rsidP="00274669">
      <w:pPr>
        <w:spacing w:line="360" w:lineRule="auto"/>
        <w:rPr>
          <w:rFonts w:ascii="Arial" w:hAnsi="Arial" w:cs="Arial"/>
          <w:color w:val="000000" w:themeColor="text1"/>
          <w:sz w:val="24"/>
          <w:szCs w:val="24"/>
        </w:rPr>
      </w:pPr>
      <w:r w:rsidRPr="00274669">
        <w:rPr>
          <w:rFonts w:ascii="Arial" w:hAnsi="Arial" w:cs="Arial"/>
          <w:color w:val="000000" w:themeColor="text1"/>
          <w:sz w:val="24"/>
          <w:szCs w:val="24"/>
        </w:rPr>
        <w:t xml:space="preserve">The organisation that is entrusted with ISIS intelligence recruitment is called the emni. They are a vital cog in the machine of ISIS, not only in charge of recruitment, </w:t>
      </w:r>
      <w:r w:rsidRPr="00274669">
        <w:rPr>
          <w:rFonts w:ascii="Arial" w:hAnsi="Arial" w:cs="Arial"/>
          <w:color w:val="000000" w:themeColor="text1"/>
          <w:sz w:val="24"/>
          <w:szCs w:val="24"/>
        </w:rPr>
        <w:lastRenderedPageBreak/>
        <w:t xml:space="preserve">but also responsible for intelligence operations, such as embedding spies in lands they intend to </w:t>
      </w:r>
      <w:r w:rsidR="00160101" w:rsidRPr="00274669">
        <w:rPr>
          <w:rFonts w:ascii="Arial" w:hAnsi="Arial" w:cs="Arial"/>
          <w:color w:val="000000" w:themeColor="text1"/>
          <w:sz w:val="24"/>
          <w:szCs w:val="24"/>
        </w:rPr>
        <w:t>invade or</w:t>
      </w:r>
      <w:r w:rsidRPr="00274669">
        <w:rPr>
          <w:rFonts w:ascii="Arial" w:hAnsi="Arial" w:cs="Arial"/>
          <w:color w:val="000000" w:themeColor="text1"/>
          <w:sz w:val="24"/>
          <w:szCs w:val="24"/>
        </w:rPr>
        <w:t xml:space="preserve"> being a major participant in the propaganda production of ISIS (</w:t>
      </w:r>
      <w:bookmarkStart w:id="5" w:name="_Hlk87599258"/>
      <w:r w:rsidRPr="00274669">
        <w:rPr>
          <w:rFonts w:ascii="Arial" w:hAnsi="Arial" w:cs="Arial"/>
          <w:color w:val="000000" w:themeColor="text1"/>
          <w:sz w:val="24"/>
          <w:szCs w:val="24"/>
        </w:rPr>
        <w:t>Speckhard and Yayla, 2017 p.3)</w:t>
      </w:r>
      <w:bookmarkEnd w:id="5"/>
      <w:r w:rsidRPr="00274669">
        <w:rPr>
          <w:rFonts w:ascii="Arial" w:hAnsi="Arial" w:cs="Arial"/>
          <w:color w:val="000000" w:themeColor="text1"/>
          <w:sz w:val="24"/>
          <w:szCs w:val="24"/>
        </w:rPr>
        <w:t>. Continuing, the emni are a vital source of social control, controlling information and silencing opinions (Speckhard and Yayla, 2017, p.3).</w:t>
      </w:r>
    </w:p>
    <w:p w14:paraId="7B1DAAB4" w14:textId="006E32CD" w:rsidR="00274669" w:rsidRPr="00274669" w:rsidRDefault="00274669" w:rsidP="00274669">
      <w:pPr>
        <w:spacing w:line="360" w:lineRule="auto"/>
        <w:rPr>
          <w:rFonts w:ascii="Arial" w:hAnsi="Arial" w:cs="Arial"/>
          <w:color w:val="000000" w:themeColor="text1"/>
          <w:sz w:val="24"/>
          <w:szCs w:val="24"/>
        </w:rPr>
      </w:pPr>
      <w:r w:rsidRPr="00274669">
        <w:rPr>
          <w:rFonts w:ascii="Arial" w:hAnsi="Arial" w:cs="Arial"/>
          <w:color w:val="000000" w:themeColor="text1"/>
          <w:sz w:val="24"/>
          <w:szCs w:val="24"/>
        </w:rPr>
        <w:t xml:space="preserve">Strategically placed informants would relay any dissenting opinions or doubters of the regime to command. Those who doubted the regime would be punished or killed (Speckhard and Yayla, 2017, p.7). While those who reported dissenters would be rewarded, the reason for reporting dissenters is part of the social control that emni enforce on its populace, this is called “denunciation” </w:t>
      </w:r>
      <w:bookmarkStart w:id="6" w:name="_Hlk87299717"/>
      <w:r w:rsidRPr="00274669">
        <w:rPr>
          <w:rFonts w:ascii="Arial" w:hAnsi="Arial" w:cs="Arial"/>
          <w:color w:val="000000" w:themeColor="text1"/>
          <w:sz w:val="24"/>
          <w:szCs w:val="24"/>
        </w:rPr>
        <w:t>(Bergemann, 2017, p.386</w:t>
      </w:r>
      <w:bookmarkEnd w:id="6"/>
      <w:r w:rsidRPr="00274669">
        <w:rPr>
          <w:rFonts w:ascii="Arial" w:hAnsi="Arial" w:cs="Arial"/>
          <w:color w:val="000000" w:themeColor="text1"/>
          <w:sz w:val="24"/>
          <w:szCs w:val="24"/>
        </w:rPr>
        <w:t>). Bergmann (2017, p.401), asserts that people denunciate because of incentives, these can be positive such as monetary rewards, or negatives such as threats of violence, he labels this the “coercion model”. This process is an effective way of controlling the populace and when denunciation is widespread, it acts as a legitimising factor for the state (Bergemann, 2017, p.400). In fear of being reported, many people publicly proclaim their admiration for the state and their ideologies, which creates belief that support for the state is widespread, when often this is not true (Bergemann, 2017, p.400). If private opinion is critical of a regime, it is the public lie that reinforces political power (Kuran 1995, p.18). Moreover, in it’s over reliance of violence against its populace as a form of social control and to encourage denunciation, ISIS created a situation where non-violent punishment is seen as weakness (Khatib, 2015, p.21). This caused punishments to become increasingly violent and in turn their population became disillusioned with them (Khatib, 2015, p.21). The use of censorship, the controlling of opinions and silencing of dissenters, are common methods for totalitarian regimes, and are often extremely effective, particularly when the populace supports the organisation (Bergemann, 2017, p.386). It was predominantly effective in the Soviet Union, when exploring how it was undermined by the West, and we can apply the same to ISIS.</w:t>
      </w:r>
    </w:p>
    <w:p w14:paraId="3C2AC808" w14:textId="6A9EC494" w:rsidR="00274669" w:rsidRPr="00274669" w:rsidRDefault="00274669" w:rsidP="00274669">
      <w:pPr>
        <w:spacing w:line="360" w:lineRule="auto"/>
        <w:rPr>
          <w:rFonts w:ascii="Arial" w:eastAsiaTheme="minorEastAsia" w:hAnsi="Arial" w:cs="Arial"/>
          <w:color w:val="000000" w:themeColor="text1"/>
          <w:sz w:val="24"/>
          <w:szCs w:val="24"/>
          <w:lang w:eastAsia="zh-CN"/>
        </w:rPr>
      </w:pPr>
      <w:bookmarkStart w:id="7" w:name="_Hlk87451249"/>
      <w:bookmarkEnd w:id="3"/>
      <w:r w:rsidRPr="00274669">
        <w:rPr>
          <w:rFonts w:ascii="Arial" w:eastAsiaTheme="minorEastAsia" w:hAnsi="Arial" w:cs="Arial"/>
          <w:color w:val="000000" w:themeColor="text1"/>
          <w:sz w:val="24"/>
          <w:szCs w:val="24"/>
          <w:lang w:eastAsia="zh-CN"/>
        </w:rPr>
        <w:t>The goal of ISIS is to create a purely Sunni Islamic state in the Middle East, what we discussed above is one way in which they try to achieve that goal. Like many totalitarian regimes before, in its nation building process and search for utopia, ISIS created a proto state based on ideals of fear, radical religious extremism and shame</w:t>
      </w:r>
      <w:r w:rsidRPr="00274669">
        <w:rPr>
          <w:rFonts w:ascii="Arial" w:hAnsi="Arial" w:cs="Arial"/>
          <w:color w:val="000000" w:themeColor="text1"/>
          <w:sz w:val="24"/>
          <w:szCs w:val="24"/>
        </w:rPr>
        <w:t xml:space="preserve"> (Belanger-Mcmurdo, 2015, p.1)</w:t>
      </w:r>
      <w:r w:rsidRPr="00274669">
        <w:rPr>
          <w:rFonts w:ascii="Arial" w:eastAsiaTheme="minorEastAsia" w:hAnsi="Arial" w:cs="Arial"/>
          <w:color w:val="000000" w:themeColor="text1"/>
          <w:sz w:val="24"/>
          <w:szCs w:val="24"/>
          <w:lang w:eastAsia="zh-CN"/>
        </w:rPr>
        <w:t xml:space="preserve">. In doing this, they created a solid base of operations </w:t>
      </w:r>
      <w:r w:rsidRPr="00274669">
        <w:rPr>
          <w:rFonts w:ascii="Arial" w:eastAsiaTheme="minorEastAsia" w:hAnsi="Arial" w:cs="Arial"/>
          <w:color w:val="000000" w:themeColor="text1"/>
          <w:sz w:val="24"/>
          <w:szCs w:val="24"/>
          <w:lang w:eastAsia="zh-CN"/>
        </w:rPr>
        <w:lastRenderedPageBreak/>
        <w:t xml:space="preserve">to advance their cause, providing them with a source of manpower from their population and a form of wealth and income, from oil reserves, slavery farming and taxation (Jaafar and Woertz, 2016, p.15). However, their pursuit of becoming a state may have also impacted on their decline as an organisation. At the peak of their power, ISIS held over 104,000 square kilometres of land in both Iraq and Syria (Dillion, 2017). While this can be viewed as a success, it was also a source of their decline. In order to become a caliphate, they needed land and a civilian population to govern, which created a tangible target for military action as it made them more visible. However, unlike in cases of the invasion of Afghanistan, there were no mass deployment of troops to aggressively pursue and target ISIS, rather like the Soviet Union before it, a policy of containment was used by anti-terrorist forces to counter their growth, and eventually force the organisation to retreat and evolve (Troy, 2020, p.386). </w:t>
      </w:r>
    </w:p>
    <w:p w14:paraId="5048B27F" w14:textId="5AEFB1AB"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 xml:space="preserve">A number of ISIS fighters and recruits were there for financial incentives. ISIS offered a much higher salary than other organisations, with a core fighting force of 30,000 members at their peak, this was an expensive policy (Oosterveld and Bloem, 2017, p.10). Much of these salaries were paid by using taxation, oil, and the fertile farmlands that ISIS strategically took control over </w:t>
      </w:r>
      <w:bookmarkStart w:id="8" w:name="_Hlk87622053"/>
      <w:r w:rsidRPr="00274669">
        <w:rPr>
          <w:rFonts w:ascii="Arial" w:eastAsiaTheme="minorEastAsia" w:hAnsi="Arial" w:cs="Arial"/>
          <w:color w:val="000000" w:themeColor="text1"/>
          <w:sz w:val="24"/>
          <w:szCs w:val="24"/>
          <w:lang w:eastAsia="zh-CN"/>
        </w:rPr>
        <w:t>(Jaafar and Woertz, 2016, p.23)</w:t>
      </w:r>
      <w:bookmarkEnd w:id="8"/>
      <w:r w:rsidRPr="00274669">
        <w:rPr>
          <w:rFonts w:ascii="Arial" w:eastAsiaTheme="minorEastAsia" w:hAnsi="Arial" w:cs="Arial"/>
          <w:color w:val="000000" w:themeColor="text1"/>
          <w:sz w:val="24"/>
          <w:szCs w:val="24"/>
          <w:lang w:eastAsia="zh-CN"/>
        </w:rPr>
        <w:t>. Its focus on acquiring food production stems from one of the major inspirations for the formation of ISIS, The management of savagery (Locatelli, 2015, p.44). However, the financial support of ISIS gradually deteriorated. ISIS had lost much of its access to Iraqi banks, missiles targeting liquid finance had been successful in their attacks, and counter attacks against ISIS controlled farmland (Jaafar and Woertz, 2016, p.15). The loss in revenue saw the salary of fighters cut in half, and many fighters abandoned the cause (Al-Tamimi, 2016), which stemmed recruitment. For example, 1440 foreign fighters from Turkey were crossing into to Syria in just under a month in 2015, and in 2018 this number was down to 100 (Yayla, 2021, p.1129-1130).</w:t>
      </w:r>
    </w:p>
    <w:p w14:paraId="0FF498F1" w14:textId="5F4D9362"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 xml:space="preserve">Many terrorist fighters and recruits are often perceived to be irrational actors; however, the opposite is true. ISIS as an organisation and many of its fighters are highly effective, and intelligent rational actors, they strategically made decisions based on a positive vs negative cost analysis. One such example is the control of farmland and the water supply of Syria and Iraq </w:t>
      </w:r>
      <w:bookmarkStart w:id="9" w:name="_Hlk87625155"/>
      <w:r w:rsidRPr="00274669">
        <w:rPr>
          <w:rFonts w:ascii="Arial" w:eastAsiaTheme="minorEastAsia" w:hAnsi="Arial" w:cs="Arial"/>
          <w:color w:val="000000" w:themeColor="text1"/>
          <w:sz w:val="24"/>
          <w:szCs w:val="24"/>
          <w:lang w:eastAsia="zh-CN"/>
        </w:rPr>
        <w:t xml:space="preserve">(Strategic Foresight Group, 2014, </w:t>
      </w:r>
      <w:r w:rsidRPr="00274669">
        <w:rPr>
          <w:rFonts w:ascii="Arial" w:eastAsiaTheme="minorEastAsia" w:hAnsi="Arial" w:cs="Arial"/>
          <w:color w:val="000000" w:themeColor="text1"/>
          <w:sz w:val="24"/>
          <w:szCs w:val="24"/>
          <w:lang w:eastAsia="zh-CN"/>
        </w:rPr>
        <w:lastRenderedPageBreak/>
        <w:t>p.19)</w:t>
      </w:r>
      <w:bookmarkEnd w:id="9"/>
      <w:r w:rsidRPr="00274669">
        <w:rPr>
          <w:rFonts w:ascii="Arial" w:eastAsiaTheme="minorEastAsia" w:hAnsi="Arial" w:cs="Arial"/>
          <w:color w:val="000000" w:themeColor="text1"/>
          <w:sz w:val="24"/>
          <w:szCs w:val="24"/>
          <w:lang w:eastAsia="zh-CN"/>
        </w:rPr>
        <w:t xml:space="preserve">. Following the ISIS invasion of Iraq and Syria, they made a tactical decision to invade and take control of a significant amount of farming land, water supplies and dams (Strategic Foresight Group, 2014, p.19). Each bringing their economical and infrastructure power to ISIS, which allowed ISIS to further enforce their political will on the people of Iraq and Syria, often gaining new fighters for their cause, using the water as blackmail </w:t>
      </w:r>
      <w:bookmarkStart w:id="10" w:name="_Hlk87620379"/>
      <w:r w:rsidRPr="00274669">
        <w:rPr>
          <w:rFonts w:ascii="Arial" w:eastAsiaTheme="minorEastAsia" w:hAnsi="Arial" w:cs="Arial"/>
          <w:color w:val="000000" w:themeColor="text1"/>
          <w:sz w:val="24"/>
          <w:szCs w:val="24"/>
          <w:lang w:eastAsia="zh-CN"/>
        </w:rPr>
        <w:t xml:space="preserve">(Strategic Foresight Group, 2014, p.19). </w:t>
      </w:r>
      <w:bookmarkEnd w:id="10"/>
    </w:p>
    <w:p w14:paraId="359C111F" w14:textId="1E73BC57"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Targeting water sources and farmlands is an extremely effective and powerful utilisation of the land they intended to control, especially in countries like Iraq and Syria where water is a valuable commodity (Abdel-Samad and Khoury, 2006, p</w:t>
      </w:r>
      <w:r w:rsidR="008B6E2D">
        <w:rPr>
          <w:rFonts w:ascii="Arial" w:eastAsiaTheme="minorEastAsia" w:hAnsi="Arial" w:cs="Arial"/>
          <w:color w:val="000000" w:themeColor="text1"/>
          <w:sz w:val="24"/>
          <w:szCs w:val="24"/>
          <w:lang w:eastAsia="zh-CN"/>
        </w:rPr>
        <w:t>.</w:t>
      </w:r>
      <w:r w:rsidRPr="00274669">
        <w:rPr>
          <w:rFonts w:ascii="Arial" w:eastAsiaTheme="minorEastAsia" w:hAnsi="Arial" w:cs="Arial"/>
          <w:color w:val="000000" w:themeColor="text1"/>
          <w:sz w:val="24"/>
          <w:szCs w:val="24"/>
          <w:lang w:eastAsia="zh-CN"/>
        </w:rPr>
        <w:t>60). Furthermore, by taking control of one of the few remaining dams in working order, ISIS forced the Syrian government to purchase electricity from them (Strategic Foresight Group, 2014, p.21). This act legitimises ISIS as an organisation, as well as increasing positive public perception of ISIS (Strategic Foresight Group, 2014, p.21). Under the Cairo declaration on Human rights of Islam (1990), article 3 states that destroying crops livestock, or civilian infrastructure is prohibited, indicating that the creation of the state is perhaps not about religious doctrines, but instead about the hoarding of power. Furthermore, ISIS proudly proclaims that all western ideals are evil, but uses western state building as a blueprint for the introduction and creation of a Sunni Muslim caliphate (Walt, 2015, p.42; Perry and Long, 2016, p.11). ISIS interprets Islamic scripture to suit their needs</w:t>
      </w:r>
      <w:bookmarkStart w:id="11" w:name="_Hlk87366554"/>
      <w:r w:rsidRPr="00274669">
        <w:rPr>
          <w:rFonts w:ascii="Arial" w:eastAsiaTheme="minorEastAsia" w:hAnsi="Arial" w:cs="Arial"/>
          <w:color w:val="000000" w:themeColor="text1"/>
          <w:sz w:val="24"/>
          <w:szCs w:val="24"/>
          <w:lang w:eastAsia="zh-CN"/>
        </w:rPr>
        <w:t>, the existence of Syria as a state is incongruous with the goals of building a Sunni Muslim caliphate in the region, yet they were willing to have an unofficial pact of non-hostility with the Syrian government, here is where we can find that start of the caliphate (Khatib, 2015, p.</w:t>
      </w:r>
      <w:bookmarkEnd w:id="11"/>
      <w:r w:rsidRPr="00274669">
        <w:rPr>
          <w:rFonts w:ascii="Arial" w:eastAsiaTheme="minorEastAsia" w:hAnsi="Arial" w:cs="Arial"/>
          <w:color w:val="000000" w:themeColor="text1"/>
          <w:sz w:val="24"/>
          <w:szCs w:val="24"/>
          <w:lang w:eastAsia="zh-CN"/>
        </w:rPr>
        <w:t>15).</w:t>
      </w:r>
    </w:p>
    <w:p w14:paraId="3F49953F" w14:textId="665E4290" w:rsidR="00274669" w:rsidRPr="00274669" w:rsidRDefault="00274669" w:rsidP="00274669">
      <w:pPr>
        <w:spacing w:after="0"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 xml:space="preserve">The strategic beginnings of ISIS were rooted in its non-hostility to the Syrian regime, and its active and strong police presence which ensured safety in ISIS territory, which encouraged immigration to these areas for safety purposes (Khatib, 2015, p.5). The Syrian regime avoided military conflicts with ISIS, and ISIS did the same. Syria avoided conflict as it hoped that ISIS would wipe out other rebel armies, the Syrian army would then destroy ISIS (Khatib, 2015, p.4). However, ISIS instead avoided conflict and focused on recruitment and creation of an operations base (Khatib, 2015, p.5).  Perhaps if the Syrian regime had targeted ISIS initially, instead of attempting to use them to further their political goals, then they would have been </w:t>
      </w:r>
      <w:r w:rsidRPr="00274669">
        <w:rPr>
          <w:rFonts w:ascii="Arial" w:eastAsiaTheme="minorEastAsia" w:hAnsi="Arial" w:cs="Arial"/>
          <w:color w:val="000000" w:themeColor="text1"/>
          <w:sz w:val="24"/>
          <w:szCs w:val="24"/>
          <w:lang w:eastAsia="zh-CN"/>
        </w:rPr>
        <w:lastRenderedPageBreak/>
        <w:t xml:space="preserve">significantly reduced in power, a strategy reminiscent of Chamberlin’s policy of appeasement to the Nazis in World War 2 (Monk, 2019, p.2). Additionally, both Iraq and Syria had serious discriminatory policies against the Sunni Muslims, ISIS being Sunni, established themselves in Sunni majority areas, like the PIRA and catholic majority areas in Northern Ireland (Brown, 2015, p.206; Murphy, 1993, p.230). </w:t>
      </w:r>
    </w:p>
    <w:p w14:paraId="04EF7A91" w14:textId="77777777" w:rsidR="00274669" w:rsidRPr="00274669" w:rsidRDefault="00274669" w:rsidP="00274669">
      <w:pPr>
        <w:spacing w:after="0" w:line="360" w:lineRule="auto"/>
        <w:rPr>
          <w:rFonts w:ascii="Arial" w:eastAsiaTheme="minorEastAsia" w:hAnsi="Arial" w:cs="Arial"/>
          <w:color w:val="000000" w:themeColor="text1"/>
          <w:sz w:val="24"/>
          <w:szCs w:val="24"/>
          <w:lang w:eastAsia="zh-CN"/>
        </w:rPr>
      </w:pPr>
    </w:p>
    <w:p w14:paraId="723DB6A2" w14:textId="6E7ED2D3" w:rsidR="00274669" w:rsidRPr="00274669" w:rsidRDefault="00274669" w:rsidP="00274669">
      <w:pPr>
        <w:spacing w:after="0"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However, while this was useful in their initial blitzkrieg across Syria and Iraq (Kadercan, 2018, p.98), with the populace of those areas being somewhat supportive of the regime, it proved to be unhelpful in their expansion outside Sunni majority areas (Brown, 2015, p.206). One aspect of ISIS’s quick blitzkrieg over Iraq and Syria is in their training methods. A heavy focus was put onto the ideology and indoctrination of their fighters, which meant that some were absolute in their beliefs (Hashim, 2019, p.23). This indoctrination included emphasizing the “other”</w:t>
      </w:r>
      <w:r w:rsidRPr="00274669">
        <w:rPr>
          <w:rFonts w:ascii="Arial" w:eastAsia="Times New Roman" w:hAnsi="Arial" w:cs="Arial"/>
          <w:color w:val="000000" w:themeColor="text1"/>
          <w:sz w:val="24"/>
          <w:szCs w:val="24"/>
          <w:lang w:eastAsia="en-GB"/>
        </w:rPr>
        <w:t xml:space="preserve"> </w:t>
      </w:r>
      <w:r w:rsidRPr="00274669">
        <w:rPr>
          <w:rFonts w:ascii="Arial" w:eastAsiaTheme="minorEastAsia" w:hAnsi="Arial" w:cs="Arial"/>
          <w:color w:val="000000" w:themeColor="text1"/>
          <w:sz w:val="24"/>
          <w:szCs w:val="24"/>
          <w:lang w:eastAsia="zh-CN"/>
        </w:rPr>
        <w:t xml:space="preserve">as an enemy to hate </w:t>
      </w:r>
      <w:r w:rsidRPr="00274669">
        <w:rPr>
          <w:rFonts w:ascii="Arial" w:eastAsia="Times New Roman" w:hAnsi="Arial" w:cs="Arial"/>
          <w:color w:val="000000" w:themeColor="text1"/>
          <w:sz w:val="24"/>
          <w:szCs w:val="24"/>
          <w:lang w:eastAsia="en-GB"/>
        </w:rPr>
        <w:t>(Triandafyllidou, 2010, p.593)</w:t>
      </w:r>
      <w:r w:rsidRPr="00274669">
        <w:rPr>
          <w:rFonts w:ascii="Arial" w:eastAsiaTheme="minorEastAsia" w:hAnsi="Arial" w:cs="Arial"/>
          <w:color w:val="000000" w:themeColor="text1"/>
          <w:sz w:val="24"/>
          <w:szCs w:val="24"/>
          <w:lang w:eastAsia="zh-CN"/>
        </w:rPr>
        <w:t xml:space="preserve">. Hatred as a doing tool is an effective way to create cohesion and brotherhood among fighters, especially among the commando units of ISIS </w:t>
      </w:r>
      <w:r w:rsidRPr="00274669">
        <w:rPr>
          <w:rFonts w:ascii="Arial" w:eastAsia="Times New Roman" w:hAnsi="Arial" w:cs="Arial"/>
          <w:color w:val="000000" w:themeColor="text1"/>
          <w:sz w:val="24"/>
          <w:szCs w:val="24"/>
          <w:lang w:eastAsia="en-GB"/>
        </w:rPr>
        <w:t>(Triandafyllidou, 2010, p.596)</w:t>
      </w:r>
      <w:r w:rsidRPr="00274669">
        <w:rPr>
          <w:rFonts w:ascii="Arial" w:eastAsiaTheme="minorEastAsia" w:hAnsi="Arial" w:cs="Arial"/>
          <w:color w:val="000000" w:themeColor="text1"/>
          <w:sz w:val="24"/>
          <w:szCs w:val="24"/>
          <w:lang w:eastAsia="zh-CN"/>
        </w:rPr>
        <w:t xml:space="preserve">. However, this focus on ideology over practical application of military training and discipline meant that significant casualties were taken, but these casualties were expertly played off by the leaders of regime, playing into to the hopes of many of its fighters in their effort to reach paradise (Perry and Long, 2016, p.11). </w:t>
      </w:r>
    </w:p>
    <w:p w14:paraId="44945A44" w14:textId="77777777" w:rsidR="00274669" w:rsidRPr="00274669" w:rsidRDefault="00274669" w:rsidP="00274669">
      <w:pPr>
        <w:spacing w:after="0" w:line="360" w:lineRule="auto"/>
        <w:rPr>
          <w:rFonts w:ascii="Arial" w:eastAsiaTheme="minorEastAsia" w:hAnsi="Arial" w:cs="Arial"/>
          <w:color w:val="000000" w:themeColor="text1"/>
          <w:sz w:val="24"/>
          <w:szCs w:val="24"/>
          <w:lang w:eastAsia="zh-CN"/>
        </w:rPr>
      </w:pPr>
    </w:p>
    <w:p w14:paraId="0A57AE76" w14:textId="333F7B29"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This training regime led to the establishment of the “the ingihimasi” (Hashim, 2019, p.27). These are highly trained commandos, who focused on using any means necessary warfare to achieve goals, as well as reconnaissance and more (Hashim, 2019, p.28). Alongside the commandos, ISIS established a standing ‘regular army’ (Hashim, 2019, p.27). The regular Army consisted of a mix of foreign and local fighters. Cohesion of these fighter’s was a serious issue faced by military command and became exasperated after the cut in their wages (Hashim, 2019, p.27). ISIS had become a quasi-state, and as such it formed a quasi-conventional military (Hashim, 2019, p.27).</w:t>
      </w:r>
    </w:p>
    <w:p w14:paraId="60CC8A7B" w14:textId="4BF14931"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 xml:space="preserve">A common tactic for both the standing army and the ingihimasi involved the use of “suicide vehicle-borne improvised explosive devices” (Knight and Mello, 2017, p.2). They tactically used them as a weakening tool prior to invasion of a territory, or in </w:t>
      </w:r>
      <w:r w:rsidRPr="00274669">
        <w:rPr>
          <w:rFonts w:ascii="Arial" w:eastAsiaTheme="minorEastAsia" w:hAnsi="Arial" w:cs="Arial"/>
          <w:color w:val="000000" w:themeColor="text1"/>
          <w:sz w:val="24"/>
          <w:szCs w:val="24"/>
          <w:lang w:eastAsia="zh-CN"/>
        </w:rPr>
        <w:lastRenderedPageBreak/>
        <w:t>defence of a territory. For example, in the defence of Mosul, over 30 of these suicide bombers were used to slow down the advancement of Iraqi forces (Knight and Mello, 2017, p.2). This allowed the defences of Mosul more time for preparation of an attack, but it also reduced the manpower of the defenders significantly (Knight and Mello, 2017, p.2). This is described as “all out tactics” (Khatib, 2015, p.18). Being willing to sacrifice significant casualties in pursuit of an objectives leads to more recruitment and intimidation, by proving that ISIS are the strongest Jihadist actor in the region (Khatib, 2015, p.19) Moreover, ISIS commonly used superior manoeuvrability with hit and run attacks against military personnel and to avoid missile attacks (Beccaro, 2017, p.211). Likewise, not only was ISIS propaganda used for recruitment, but it was also used in psychological warfare during battle (Khatib, 2015, p.12). Beheading members of captured enemies prior to battle reduced moral and greatly affected battle readiness (Khatib, 2015, p.12)</w:t>
      </w:r>
    </w:p>
    <w:p w14:paraId="21E97191" w14:textId="77777777"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Additionally, ISIS at their peak were unable to advance further due to the strong defensive capabilities of Israel, Turkey and Jordan. This is one reason ISIS changed from targeting the near enemy, to the “far enemy” (Djerejian, 2015, p.2).</w:t>
      </w:r>
    </w:p>
    <w:bookmarkEnd w:id="7"/>
    <w:p w14:paraId="13B69C33" w14:textId="5A0DC667" w:rsidR="00274669" w:rsidRPr="00274669" w:rsidRDefault="00274669" w:rsidP="00274669">
      <w:pPr>
        <w:spacing w:line="360" w:lineRule="auto"/>
        <w:rPr>
          <w:rFonts w:ascii="Arial" w:eastAsiaTheme="minorEastAsia" w:hAnsi="Arial" w:cs="Arial"/>
          <w:color w:val="000000" w:themeColor="text1"/>
          <w:sz w:val="24"/>
          <w:szCs w:val="24"/>
          <w:lang w:eastAsia="zh-CN"/>
        </w:rPr>
      </w:pPr>
      <w:r w:rsidRPr="00274669">
        <w:rPr>
          <w:rFonts w:ascii="Arial" w:eastAsiaTheme="minorEastAsia" w:hAnsi="Arial" w:cs="Arial"/>
          <w:color w:val="000000" w:themeColor="text1"/>
          <w:sz w:val="24"/>
          <w:szCs w:val="24"/>
          <w:lang w:eastAsia="zh-CN"/>
        </w:rPr>
        <w:t>In their attacks on the “far enemy” ISIS used their propaganda machine to target Muslims in western countries (Djerejian, 2015, p.2). Provocative and shocking content has been published on sites such as twitter, Facebook and YouTube (Speckhard et al. 2018, p.2). Initially the anonymity provided by these websites caused difficulty for Governments, tracking the activities of both the recruiter and potential recruit (Speckhard et al. 2018, p.2). Nevertheless, further lockdown on offensive content by social media sites has helped significantly reduce the amount of content that was being published by ISIS (Speckhard et al. 2018, p.2). Attacks on the “far enemy” such as the Paris attack began with the establishment of sleeper cells, post radicalisation of western born Muslims (Djerejian, 2015, p.2).</w:t>
      </w:r>
    </w:p>
    <w:p w14:paraId="5F92FFCE" w14:textId="5D9577A8" w:rsidR="00274669" w:rsidRPr="00274669" w:rsidRDefault="00274669" w:rsidP="00274669">
      <w:pPr>
        <w:spacing w:line="360" w:lineRule="auto"/>
        <w:rPr>
          <w:rFonts w:ascii="Arial" w:eastAsiaTheme="minorEastAsia" w:hAnsi="Arial" w:cs="Arial"/>
          <w:color w:val="000000" w:themeColor="text1"/>
          <w:sz w:val="24"/>
          <w:szCs w:val="24"/>
          <w:bdr w:val="none" w:sz="0" w:space="0" w:color="auto" w:frame="1"/>
          <w:lang w:eastAsia="zh-CN"/>
        </w:rPr>
      </w:pPr>
      <w:r w:rsidRPr="00274669">
        <w:rPr>
          <w:rFonts w:ascii="Arial" w:eastAsiaTheme="minorEastAsia" w:hAnsi="Arial" w:cs="Arial"/>
          <w:color w:val="000000" w:themeColor="text1"/>
          <w:sz w:val="24"/>
          <w:szCs w:val="24"/>
          <w:lang w:eastAsia="zh-CN"/>
        </w:rPr>
        <w:t>Radical western Muslims would travel to Syria for military training and for experience in the planning of terrorist attacks, but once returned to western countries, many were given free rein to plan attacks as they see fit (</w:t>
      </w:r>
      <w:r w:rsidRPr="00274669">
        <w:rPr>
          <w:rFonts w:ascii="Arial" w:eastAsiaTheme="minorEastAsia" w:hAnsi="Arial" w:cs="Arial"/>
          <w:color w:val="000000" w:themeColor="text1"/>
          <w:sz w:val="24"/>
          <w:szCs w:val="24"/>
          <w:bdr w:val="none" w:sz="0" w:space="0" w:color="auto" w:frame="1"/>
          <w:lang w:eastAsia="zh-CN"/>
        </w:rPr>
        <w:t>Spechard and Yayla, 2017).</w:t>
      </w:r>
      <w:r w:rsidRPr="00274669">
        <w:rPr>
          <w:rFonts w:ascii="Arial" w:eastAsiaTheme="minorEastAsia" w:hAnsi="Arial" w:cs="Arial"/>
          <w:color w:val="000000" w:themeColor="text1"/>
          <w:sz w:val="24"/>
          <w:szCs w:val="24"/>
          <w:lang w:eastAsia="zh-CN"/>
        </w:rPr>
        <w:t xml:space="preserve"> In their French magazine ISIS quoted the use of a German tactic called</w:t>
      </w:r>
      <w:r w:rsidRPr="00274669">
        <w:rPr>
          <w:rFonts w:ascii="Arial" w:eastAsiaTheme="minorEastAsia" w:hAnsi="Arial" w:cs="Arial"/>
          <w:i/>
          <w:iCs/>
          <w:color w:val="000000" w:themeColor="text1"/>
          <w:sz w:val="24"/>
          <w:szCs w:val="24"/>
          <w:lang w:eastAsia="zh-CN"/>
        </w:rPr>
        <w:t xml:space="preserve"> “</w:t>
      </w:r>
      <w:r w:rsidRPr="00274669">
        <w:rPr>
          <w:rFonts w:ascii="Arial" w:eastAsiaTheme="minorEastAsia" w:hAnsi="Arial" w:cs="Arial"/>
          <w:color w:val="000000" w:themeColor="text1"/>
          <w:sz w:val="24"/>
          <w:szCs w:val="24"/>
          <w:bdr w:val="none" w:sz="0" w:space="0" w:color="auto" w:frame="1"/>
          <w:lang w:eastAsia="zh-CN"/>
        </w:rPr>
        <w:t>auftragstaktik” from a security paper (</w:t>
      </w:r>
      <w:bookmarkStart w:id="12" w:name="_Hlk87620652"/>
      <w:r w:rsidRPr="00274669">
        <w:rPr>
          <w:rFonts w:ascii="Arial" w:eastAsiaTheme="minorEastAsia" w:hAnsi="Arial" w:cs="Arial"/>
          <w:color w:val="000000" w:themeColor="text1"/>
          <w:sz w:val="24"/>
          <w:szCs w:val="24"/>
          <w:bdr w:val="none" w:sz="0" w:space="0" w:color="auto" w:frame="1"/>
          <w:lang w:eastAsia="zh-CN"/>
        </w:rPr>
        <w:t>Spechard and Yayla, 2017, p.11</w:t>
      </w:r>
      <w:bookmarkEnd w:id="12"/>
      <w:r w:rsidRPr="00274669">
        <w:rPr>
          <w:rFonts w:ascii="Arial" w:eastAsiaTheme="minorEastAsia" w:hAnsi="Arial" w:cs="Arial"/>
          <w:color w:val="000000" w:themeColor="text1"/>
          <w:sz w:val="24"/>
          <w:szCs w:val="24"/>
          <w:bdr w:val="none" w:sz="0" w:space="0" w:color="auto" w:frame="1"/>
          <w:lang w:eastAsia="zh-CN"/>
        </w:rPr>
        <w:t xml:space="preserve">; Mas, 2016). This word translates to mission tactic, the Germans used this approach as it encouraged high </w:t>
      </w:r>
      <w:r w:rsidRPr="00274669">
        <w:rPr>
          <w:rFonts w:ascii="Arial" w:eastAsiaTheme="minorEastAsia" w:hAnsi="Arial" w:cs="Arial"/>
          <w:color w:val="000000" w:themeColor="text1"/>
          <w:sz w:val="24"/>
          <w:szCs w:val="24"/>
          <w:bdr w:val="none" w:sz="0" w:space="0" w:color="auto" w:frame="1"/>
          <w:lang w:eastAsia="zh-CN"/>
        </w:rPr>
        <w:lastRenderedPageBreak/>
        <w:t xml:space="preserve">flexibility and allowed those experienced in the area to plan the attack, rather than those in command from elsewhere who may not know the quirks of the area (Spechard and Yayla, 2017, p.11; Mas, 2016). The only instructions were that of a target and a timeframe to achieve it by, a tactic used in many cells or lone wolf attackers (Spechard and Yayla, 2017, p.11). The success of the operation relies entirely on the tactical genius and persistence of the cell or lone attacker. Many cells or lone attackers, however, do not have the experience or knowledge, despite training, such as the attempt made by Safiyaa Shaikh (White, 2020).  An exception to this is the Paris attacks, the perpetrators had support and tactics planned by various Islamist extremists throughout Europe and the middle east (Rapoport,2016, p.27). </w:t>
      </w:r>
    </w:p>
    <w:p w14:paraId="256C7348" w14:textId="12D20E73" w:rsidR="00274669" w:rsidRPr="00274669" w:rsidRDefault="00274669" w:rsidP="00274669">
      <w:pPr>
        <w:spacing w:line="360" w:lineRule="auto"/>
        <w:rPr>
          <w:rFonts w:ascii="Arial" w:eastAsiaTheme="minorEastAsia" w:hAnsi="Arial" w:cs="Arial"/>
          <w:color w:val="000000" w:themeColor="text1"/>
          <w:sz w:val="24"/>
          <w:szCs w:val="24"/>
          <w:bdr w:val="none" w:sz="0" w:space="0" w:color="auto" w:frame="1"/>
          <w:lang w:eastAsia="zh-CN"/>
        </w:rPr>
      </w:pPr>
      <w:r w:rsidRPr="00274669">
        <w:rPr>
          <w:rFonts w:ascii="Arial" w:eastAsiaTheme="minorEastAsia" w:hAnsi="Arial" w:cs="Arial"/>
          <w:color w:val="000000" w:themeColor="text1"/>
          <w:sz w:val="24"/>
          <w:szCs w:val="24"/>
          <w:bdr w:val="none" w:sz="0" w:space="0" w:color="auto" w:frame="1"/>
          <w:lang w:eastAsia="zh-CN"/>
        </w:rPr>
        <w:t>However, prior to the Paris attacks ISIS had begun to lose territory. So why would they target western powers? Inciting the power of the west while losing ground to Iraqi forces would surely seem, a poor tactical move. Despite this, Rapoprt (2016, p</w:t>
      </w:r>
      <w:r w:rsidR="00274467">
        <w:rPr>
          <w:rFonts w:ascii="Arial" w:eastAsiaTheme="minorEastAsia" w:hAnsi="Arial" w:cs="Arial"/>
          <w:color w:val="000000" w:themeColor="text1"/>
          <w:sz w:val="24"/>
          <w:szCs w:val="24"/>
          <w:bdr w:val="none" w:sz="0" w:space="0" w:color="auto" w:frame="1"/>
          <w:lang w:eastAsia="zh-CN"/>
        </w:rPr>
        <w:t>.</w:t>
      </w:r>
      <w:r w:rsidRPr="00274669">
        <w:rPr>
          <w:rFonts w:ascii="Arial" w:eastAsiaTheme="minorEastAsia" w:hAnsi="Arial" w:cs="Arial"/>
          <w:color w:val="000000" w:themeColor="text1"/>
          <w:sz w:val="24"/>
          <w:szCs w:val="24"/>
          <w:bdr w:val="none" w:sz="0" w:space="0" w:color="auto" w:frame="1"/>
          <w:lang w:eastAsia="zh-CN"/>
        </w:rPr>
        <w:t>28) asserts that the ISIS leadership believed that invoking the west would cause an invasion of Syria, like the one seen in Iraq in 2003. The overreaction of Western militaries in 2003 led to direct rise in recruitment and support for Al Qaeda, something that ISIS perhaps may have been trying to replicate, however a policy of containment was used instead (Rapoprt 2016, p</w:t>
      </w:r>
      <w:r w:rsidR="00274467">
        <w:rPr>
          <w:rFonts w:ascii="Arial" w:eastAsiaTheme="minorEastAsia" w:hAnsi="Arial" w:cs="Arial"/>
          <w:color w:val="000000" w:themeColor="text1"/>
          <w:sz w:val="24"/>
          <w:szCs w:val="24"/>
          <w:bdr w:val="none" w:sz="0" w:space="0" w:color="auto" w:frame="1"/>
          <w:lang w:eastAsia="zh-CN"/>
        </w:rPr>
        <w:t>.</w:t>
      </w:r>
      <w:r w:rsidRPr="00274669">
        <w:rPr>
          <w:rFonts w:ascii="Arial" w:eastAsiaTheme="minorEastAsia" w:hAnsi="Arial" w:cs="Arial"/>
          <w:color w:val="000000" w:themeColor="text1"/>
          <w:sz w:val="24"/>
          <w:szCs w:val="24"/>
          <w:bdr w:val="none" w:sz="0" w:space="0" w:color="auto" w:frame="1"/>
          <w:lang w:eastAsia="zh-CN"/>
        </w:rPr>
        <w:t>28). So, while ISIS was successful in their attempts to spread fear and intimidate, it failed to cause a significant military reaction from the west, who instead focused on long range missile barrages (Rapoprt 2016, p</w:t>
      </w:r>
      <w:r w:rsidR="00274467">
        <w:rPr>
          <w:rFonts w:ascii="Arial" w:eastAsiaTheme="minorEastAsia" w:hAnsi="Arial" w:cs="Arial"/>
          <w:color w:val="000000" w:themeColor="text1"/>
          <w:sz w:val="24"/>
          <w:szCs w:val="24"/>
          <w:bdr w:val="none" w:sz="0" w:space="0" w:color="auto" w:frame="1"/>
          <w:lang w:eastAsia="zh-CN"/>
        </w:rPr>
        <w:t>.</w:t>
      </w:r>
      <w:r w:rsidRPr="00274669">
        <w:rPr>
          <w:rFonts w:ascii="Arial" w:eastAsiaTheme="minorEastAsia" w:hAnsi="Arial" w:cs="Arial"/>
          <w:color w:val="000000" w:themeColor="text1"/>
          <w:sz w:val="24"/>
          <w:szCs w:val="24"/>
          <w:bdr w:val="none" w:sz="0" w:space="0" w:color="auto" w:frame="1"/>
          <w:lang w:eastAsia="zh-CN"/>
        </w:rPr>
        <w:t>29). However, learning from their past mistake with western missiles targeting liquid finance, ISIS moved many of its key infrastructure and arms underground (Khatib, 2015, p.21).</w:t>
      </w:r>
    </w:p>
    <w:p w14:paraId="4C8F44C8" w14:textId="33F29D71" w:rsidR="00274669" w:rsidRPr="00274669" w:rsidRDefault="00274669" w:rsidP="00274669">
      <w:pPr>
        <w:spacing w:line="360" w:lineRule="auto"/>
        <w:rPr>
          <w:rFonts w:ascii="Arial" w:eastAsiaTheme="minorEastAsia" w:hAnsi="Arial" w:cs="Arial"/>
          <w:color w:val="000000" w:themeColor="text1"/>
          <w:sz w:val="24"/>
          <w:szCs w:val="24"/>
          <w:bdr w:val="none" w:sz="0" w:space="0" w:color="auto" w:frame="1"/>
          <w:lang w:eastAsia="zh-CN"/>
        </w:rPr>
      </w:pPr>
      <w:r w:rsidRPr="00274669">
        <w:rPr>
          <w:rFonts w:ascii="Arial" w:eastAsiaTheme="minorEastAsia" w:hAnsi="Arial" w:cs="Arial"/>
          <w:color w:val="000000" w:themeColor="text1"/>
          <w:sz w:val="24"/>
          <w:szCs w:val="24"/>
          <w:bdr w:val="none" w:sz="0" w:space="0" w:color="auto" w:frame="1"/>
          <w:lang w:eastAsia="zh-CN"/>
        </w:rPr>
        <w:t xml:space="preserve">ISIS is a highly intelligent organisation, capitalized on the weaknesses of the Syrian and Iraqi government, exploited the environment and landscape that they had taken control over and used their civilian population as a launching off point to attack western states </w:t>
      </w:r>
      <w:r w:rsidRPr="00274669">
        <w:rPr>
          <w:rFonts w:ascii="Arial" w:eastAsiaTheme="minorEastAsia" w:hAnsi="Arial" w:cs="Arial"/>
          <w:color w:val="000000" w:themeColor="text1"/>
          <w:sz w:val="24"/>
          <w:szCs w:val="24"/>
          <w:lang w:eastAsia="zh-CN"/>
        </w:rPr>
        <w:t>(Khatib, 2015, p.4; Strategic Foresight Group, 2014, p.19)</w:t>
      </w:r>
      <w:r w:rsidRPr="00274669">
        <w:rPr>
          <w:rFonts w:ascii="Arial" w:eastAsiaTheme="minorEastAsia" w:hAnsi="Arial" w:cs="Arial"/>
          <w:color w:val="000000" w:themeColor="text1"/>
          <w:sz w:val="24"/>
          <w:szCs w:val="24"/>
          <w:bdr w:val="none" w:sz="0" w:space="0" w:color="auto" w:frame="1"/>
          <w:lang w:eastAsia="zh-CN"/>
        </w:rPr>
        <w:t xml:space="preserve">. The failure of the Syrian government in handling ISIS while the organisation was smaller, produced an environment which allowed for the creation of an ISIS caliphate; </w:t>
      </w:r>
      <w:r w:rsidR="00F30F09" w:rsidRPr="00274669">
        <w:rPr>
          <w:rFonts w:ascii="Arial" w:eastAsiaTheme="minorEastAsia" w:hAnsi="Arial" w:cs="Arial"/>
          <w:color w:val="000000" w:themeColor="text1"/>
          <w:sz w:val="24"/>
          <w:szCs w:val="24"/>
          <w:bdr w:val="none" w:sz="0" w:space="0" w:color="auto" w:frame="1"/>
          <w:lang w:eastAsia="zh-CN"/>
        </w:rPr>
        <w:t>however,</w:t>
      </w:r>
      <w:r w:rsidRPr="00274669">
        <w:rPr>
          <w:rFonts w:ascii="Arial" w:eastAsiaTheme="minorEastAsia" w:hAnsi="Arial" w:cs="Arial"/>
          <w:color w:val="000000" w:themeColor="text1"/>
          <w:sz w:val="24"/>
          <w:szCs w:val="24"/>
          <w:bdr w:val="none" w:sz="0" w:space="0" w:color="auto" w:frame="1"/>
          <w:lang w:eastAsia="zh-CN"/>
        </w:rPr>
        <w:t xml:space="preserve"> it was short lived </w:t>
      </w:r>
      <w:r w:rsidRPr="00274669">
        <w:rPr>
          <w:rFonts w:ascii="Arial" w:eastAsiaTheme="minorEastAsia" w:hAnsi="Arial" w:cs="Arial"/>
          <w:color w:val="000000" w:themeColor="text1"/>
          <w:sz w:val="24"/>
          <w:szCs w:val="24"/>
          <w:lang w:eastAsia="zh-CN"/>
        </w:rPr>
        <w:t>(Khatib, 2015, p.4</w:t>
      </w:r>
      <w:r w:rsidR="00274467">
        <w:rPr>
          <w:rFonts w:ascii="Arial" w:eastAsiaTheme="minorEastAsia" w:hAnsi="Arial" w:cs="Arial"/>
          <w:color w:val="000000" w:themeColor="text1"/>
          <w:sz w:val="24"/>
          <w:szCs w:val="24"/>
          <w:lang w:eastAsia="zh-CN"/>
        </w:rPr>
        <w:t>)</w:t>
      </w:r>
      <w:r w:rsidRPr="00274669">
        <w:rPr>
          <w:rFonts w:ascii="Arial" w:eastAsiaTheme="minorEastAsia" w:hAnsi="Arial" w:cs="Arial"/>
          <w:color w:val="000000" w:themeColor="text1"/>
          <w:sz w:val="24"/>
          <w:szCs w:val="24"/>
          <w:bdr w:val="none" w:sz="0" w:space="0" w:color="auto" w:frame="1"/>
          <w:lang w:eastAsia="zh-CN"/>
        </w:rPr>
        <w:t xml:space="preserve">. Many of the things that caused the massive and rapid expansion of ISIS were also major contributors in their downfall. ISIS today resembles more of a traditional terrorist outfit such as Al Qaeda, however, </w:t>
      </w:r>
      <w:r w:rsidRPr="00274669">
        <w:rPr>
          <w:rFonts w:ascii="Arial" w:eastAsiaTheme="minorEastAsia" w:hAnsi="Arial" w:cs="Arial"/>
          <w:color w:val="000000" w:themeColor="text1"/>
          <w:sz w:val="24"/>
          <w:szCs w:val="24"/>
          <w:bdr w:val="none" w:sz="0" w:space="0" w:color="auto" w:frame="1"/>
          <w:lang w:eastAsia="zh-CN"/>
        </w:rPr>
        <w:lastRenderedPageBreak/>
        <w:t>they still are an active and strong force in the Middle East. ISIS’s peak in 2015 emerged from many years of steady decline. Therefore, continuing action targeting ISIS forces is vital in preventing them from rising again.</w:t>
      </w:r>
    </w:p>
    <w:p w14:paraId="6D1B79B2" w14:textId="77777777" w:rsidR="00274669" w:rsidRDefault="00274669" w:rsidP="00274669">
      <w:pPr>
        <w:spacing w:line="360" w:lineRule="auto"/>
        <w:rPr>
          <w:rFonts w:ascii="Arial" w:eastAsia="Times New Roman" w:hAnsi="Arial" w:cs="Arial"/>
          <w:b/>
          <w:sz w:val="24"/>
          <w:szCs w:val="24"/>
          <w:u w:val="single"/>
          <w:lang w:eastAsia="en-GB"/>
        </w:rPr>
      </w:pPr>
    </w:p>
    <w:p w14:paraId="1517FE0F" w14:textId="77777777" w:rsidR="00274669" w:rsidRDefault="00274669" w:rsidP="00274669">
      <w:pPr>
        <w:spacing w:line="360" w:lineRule="auto"/>
        <w:rPr>
          <w:rFonts w:ascii="Arial" w:eastAsia="Times New Roman" w:hAnsi="Arial" w:cs="Arial"/>
          <w:b/>
          <w:sz w:val="24"/>
          <w:szCs w:val="24"/>
          <w:u w:val="single"/>
          <w:lang w:eastAsia="en-GB"/>
        </w:rPr>
      </w:pPr>
    </w:p>
    <w:p w14:paraId="6F59D41B" w14:textId="77777777" w:rsidR="00274669" w:rsidRDefault="00274669" w:rsidP="00274669">
      <w:pPr>
        <w:spacing w:line="360" w:lineRule="auto"/>
        <w:rPr>
          <w:rFonts w:ascii="Arial" w:eastAsia="Times New Roman" w:hAnsi="Arial" w:cs="Arial"/>
          <w:b/>
          <w:sz w:val="24"/>
          <w:szCs w:val="24"/>
          <w:u w:val="single"/>
          <w:lang w:eastAsia="en-GB"/>
        </w:rPr>
      </w:pPr>
    </w:p>
    <w:p w14:paraId="5EC5264B" w14:textId="77777777" w:rsidR="00274669" w:rsidRDefault="00274669" w:rsidP="00274669">
      <w:pPr>
        <w:spacing w:line="360" w:lineRule="auto"/>
        <w:rPr>
          <w:rFonts w:ascii="Arial" w:eastAsia="Times New Roman" w:hAnsi="Arial" w:cs="Arial"/>
          <w:b/>
          <w:sz w:val="24"/>
          <w:szCs w:val="24"/>
          <w:u w:val="single"/>
          <w:lang w:eastAsia="en-GB"/>
        </w:rPr>
      </w:pPr>
    </w:p>
    <w:p w14:paraId="56D3E600" w14:textId="77777777" w:rsidR="00274669" w:rsidRDefault="00274669" w:rsidP="00274669">
      <w:pPr>
        <w:spacing w:line="360" w:lineRule="auto"/>
        <w:rPr>
          <w:rFonts w:ascii="Arial" w:eastAsia="Times New Roman" w:hAnsi="Arial" w:cs="Arial"/>
          <w:b/>
          <w:sz w:val="24"/>
          <w:szCs w:val="24"/>
          <w:u w:val="single"/>
          <w:lang w:eastAsia="en-GB"/>
        </w:rPr>
      </w:pPr>
    </w:p>
    <w:p w14:paraId="0D07E29E" w14:textId="77777777" w:rsidR="00274669" w:rsidRDefault="00274669" w:rsidP="00274669">
      <w:pPr>
        <w:spacing w:line="360" w:lineRule="auto"/>
        <w:rPr>
          <w:rFonts w:ascii="Arial" w:eastAsia="Times New Roman" w:hAnsi="Arial" w:cs="Arial"/>
          <w:b/>
          <w:sz w:val="24"/>
          <w:szCs w:val="24"/>
          <w:u w:val="single"/>
          <w:lang w:eastAsia="en-GB"/>
        </w:rPr>
      </w:pPr>
    </w:p>
    <w:p w14:paraId="0B75B51B" w14:textId="77777777" w:rsidR="00274669" w:rsidRDefault="00274669" w:rsidP="00274669">
      <w:pPr>
        <w:spacing w:line="360" w:lineRule="auto"/>
        <w:rPr>
          <w:rFonts w:ascii="Arial" w:eastAsia="Times New Roman" w:hAnsi="Arial" w:cs="Arial"/>
          <w:b/>
          <w:sz w:val="24"/>
          <w:szCs w:val="24"/>
          <w:u w:val="single"/>
          <w:lang w:eastAsia="en-GB"/>
        </w:rPr>
      </w:pPr>
    </w:p>
    <w:p w14:paraId="60311B0D" w14:textId="72EC628E" w:rsidR="00274669" w:rsidRDefault="00274669" w:rsidP="00274669">
      <w:pPr>
        <w:spacing w:line="360" w:lineRule="auto"/>
        <w:rPr>
          <w:rFonts w:ascii="Arial" w:eastAsia="Times New Roman" w:hAnsi="Arial" w:cs="Arial"/>
          <w:b/>
          <w:sz w:val="24"/>
          <w:szCs w:val="24"/>
          <w:u w:val="single"/>
          <w:lang w:eastAsia="en-GB"/>
        </w:rPr>
      </w:pPr>
    </w:p>
    <w:p w14:paraId="718DD9FE" w14:textId="69F0E194" w:rsidR="00274669" w:rsidRDefault="00274669" w:rsidP="00274669">
      <w:pPr>
        <w:spacing w:line="360" w:lineRule="auto"/>
        <w:rPr>
          <w:rFonts w:ascii="Arial" w:eastAsia="Times New Roman" w:hAnsi="Arial" w:cs="Arial"/>
          <w:b/>
          <w:sz w:val="24"/>
          <w:szCs w:val="24"/>
          <w:u w:val="single"/>
          <w:lang w:eastAsia="en-GB"/>
        </w:rPr>
      </w:pPr>
    </w:p>
    <w:p w14:paraId="590AD1CA" w14:textId="0F1F2939" w:rsidR="00274669" w:rsidRDefault="00274669" w:rsidP="00274669">
      <w:pPr>
        <w:spacing w:line="360" w:lineRule="auto"/>
        <w:rPr>
          <w:rFonts w:ascii="Arial" w:eastAsia="Times New Roman" w:hAnsi="Arial" w:cs="Arial"/>
          <w:b/>
          <w:sz w:val="24"/>
          <w:szCs w:val="24"/>
          <w:u w:val="single"/>
          <w:lang w:eastAsia="en-GB"/>
        </w:rPr>
      </w:pPr>
    </w:p>
    <w:p w14:paraId="397D2655" w14:textId="11344E51" w:rsidR="00274669" w:rsidRDefault="00274669" w:rsidP="00274669">
      <w:pPr>
        <w:spacing w:line="360" w:lineRule="auto"/>
        <w:rPr>
          <w:rFonts w:ascii="Arial" w:eastAsia="Times New Roman" w:hAnsi="Arial" w:cs="Arial"/>
          <w:b/>
          <w:sz w:val="24"/>
          <w:szCs w:val="24"/>
          <w:u w:val="single"/>
          <w:lang w:eastAsia="en-GB"/>
        </w:rPr>
      </w:pPr>
    </w:p>
    <w:p w14:paraId="1EAD3F30" w14:textId="775DCC08" w:rsidR="00274669" w:rsidRDefault="00274669" w:rsidP="00274669">
      <w:pPr>
        <w:spacing w:line="360" w:lineRule="auto"/>
        <w:rPr>
          <w:rFonts w:ascii="Arial" w:eastAsia="Times New Roman" w:hAnsi="Arial" w:cs="Arial"/>
          <w:b/>
          <w:sz w:val="24"/>
          <w:szCs w:val="24"/>
          <w:u w:val="single"/>
          <w:lang w:eastAsia="en-GB"/>
        </w:rPr>
      </w:pPr>
    </w:p>
    <w:p w14:paraId="64694691" w14:textId="35C505AA" w:rsidR="00274669" w:rsidRDefault="00274669" w:rsidP="00274669">
      <w:pPr>
        <w:spacing w:line="360" w:lineRule="auto"/>
        <w:rPr>
          <w:rFonts w:ascii="Arial" w:eastAsia="Times New Roman" w:hAnsi="Arial" w:cs="Arial"/>
          <w:b/>
          <w:sz w:val="24"/>
          <w:szCs w:val="24"/>
          <w:u w:val="single"/>
          <w:lang w:eastAsia="en-GB"/>
        </w:rPr>
      </w:pPr>
    </w:p>
    <w:p w14:paraId="62770E31" w14:textId="0C6859ED" w:rsidR="00274669" w:rsidRDefault="00274669" w:rsidP="00274669">
      <w:pPr>
        <w:spacing w:line="360" w:lineRule="auto"/>
        <w:rPr>
          <w:rFonts w:ascii="Arial" w:eastAsia="Times New Roman" w:hAnsi="Arial" w:cs="Arial"/>
          <w:b/>
          <w:sz w:val="24"/>
          <w:szCs w:val="24"/>
          <w:u w:val="single"/>
          <w:lang w:eastAsia="en-GB"/>
        </w:rPr>
      </w:pPr>
    </w:p>
    <w:p w14:paraId="1A4E90B2" w14:textId="5311CDF6" w:rsidR="00274669" w:rsidRDefault="00274669" w:rsidP="00274669">
      <w:pPr>
        <w:spacing w:line="360" w:lineRule="auto"/>
        <w:rPr>
          <w:rFonts w:ascii="Arial" w:eastAsia="Times New Roman" w:hAnsi="Arial" w:cs="Arial"/>
          <w:b/>
          <w:sz w:val="24"/>
          <w:szCs w:val="24"/>
          <w:u w:val="single"/>
          <w:lang w:eastAsia="en-GB"/>
        </w:rPr>
      </w:pPr>
    </w:p>
    <w:p w14:paraId="6D173347" w14:textId="2E170DA0" w:rsidR="00274669" w:rsidRDefault="00274669" w:rsidP="00274669">
      <w:pPr>
        <w:spacing w:line="360" w:lineRule="auto"/>
        <w:rPr>
          <w:rFonts w:ascii="Arial" w:eastAsia="Times New Roman" w:hAnsi="Arial" w:cs="Arial"/>
          <w:b/>
          <w:sz w:val="24"/>
          <w:szCs w:val="24"/>
          <w:u w:val="single"/>
          <w:lang w:eastAsia="en-GB"/>
        </w:rPr>
      </w:pPr>
    </w:p>
    <w:p w14:paraId="45727D14" w14:textId="54354CD2" w:rsidR="00274669" w:rsidRDefault="00274669" w:rsidP="00274669">
      <w:pPr>
        <w:spacing w:line="360" w:lineRule="auto"/>
        <w:rPr>
          <w:rFonts w:ascii="Arial" w:eastAsia="Times New Roman" w:hAnsi="Arial" w:cs="Arial"/>
          <w:b/>
          <w:sz w:val="24"/>
          <w:szCs w:val="24"/>
          <w:u w:val="single"/>
          <w:lang w:eastAsia="en-GB"/>
        </w:rPr>
      </w:pPr>
    </w:p>
    <w:p w14:paraId="1BD0E4FD" w14:textId="37ED8970" w:rsidR="00274669" w:rsidRDefault="00274669" w:rsidP="00274669">
      <w:pPr>
        <w:spacing w:line="360" w:lineRule="auto"/>
        <w:rPr>
          <w:rFonts w:ascii="Arial" w:eastAsia="Times New Roman" w:hAnsi="Arial" w:cs="Arial"/>
          <w:b/>
          <w:sz w:val="24"/>
          <w:szCs w:val="24"/>
          <w:u w:val="single"/>
          <w:lang w:eastAsia="en-GB"/>
        </w:rPr>
      </w:pPr>
    </w:p>
    <w:p w14:paraId="2EBE6B20" w14:textId="5A207182" w:rsidR="00274669" w:rsidRDefault="00274669" w:rsidP="00274669">
      <w:pPr>
        <w:spacing w:line="360" w:lineRule="auto"/>
        <w:rPr>
          <w:rFonts w:ascii="Arial" w:eastAsia="Times New Roman" w:hAnsi="Arial" w:cs="Arial"/>
          <w:b/>
          <w:sz w:val="24"/>
          <w:szCs w:val="24"/>
          <w:u w:val="single"/>
          <w:lang w:eastAsia="en-GB"/>
        </w:rPr>
      </w:pPr>
    </w:p>
    <w:p w14:paraId="29AF5BA0" w14:textId="475AC2F8" w:rsidR="00274669" w:rsidRDefault="00274669" w:rsidP="00274669">
      <w:pPr>
        <w:spacing w:line="360" w:lineRule="auto"/>
        <w:rPr>
          <w:rFonts w:ascii="Arial" w:eastAsia="Times New Roman" w:hAnsi="Arial" w:cs="Arial"/>
          <w:b/>
          <w:sz w:val="24"/>
          <w:szCs w:val="24"/>
          <w:u w:val="single"/>
          <w:lang w:eastAsia="en-GB"/>
        </w:rPr>
      </w:pPr>
    </w:p>
    <w:p w14:paraId="7FF6869F" w14:textId="77777777" w:rsidR="00274669" w:rsidRDefault="00274669" w:rsidP="00274669">
      <w:pPr>
        <w:spacing w:line="360" w:lineRule="auto"/>
        <w:rPr>
          <w:rFonts w:ascii="Arial" w:eastAsia="Times New Roman" w:hAnsi="Arial" w:cs="Arial"/>
          <w:b/>
          <w:sz w:val="24"/>
          <w:szCs w:val="24"/>
          <w:u w:val="single"/>
          <w:lang w:eastAsia="en-GB"/>
        </w:rPr>
      </w:pPr>
    </w:p>
    <w:p w14:paraId="1024DF85" w14:textId="77777777" w:rsidR="00274669" w:rsidRDefault="00274669" w:rsidP="00274669">
      <w:pPr>
        <w:spacing w:line="360" w:lineRule="auto"/>
        <w:rPr>
          <w:rFonts w:ascii="Arial" w:eastAsia="Times New Roman" w:hAnsi="Arial" w:cs="Arial"/>
          <w:b/>
          <w:sz w:val="24"/>
          <w:szCs w:val="24"/>
          <w:u w:val="single"/>
          <w:lang w:eastAsia="en-GB"/>
        </w:rPr>
      </w:pPr>
    </w:p>
    <w:p w14:paraId="59A16F74" w14:textId="137E64C4" w:rsidR="00274669" w:rsidRPr="00274669" w:rsidRDefault="00274669" w:rsidP="00D61BE7">
      <w:pPr>
        <w:spacing w:line="360" w:lineRule="auto"/>
        <w:rPr>
          <w:rFonts w:ascii="Arial" w:eastAsiaTheme="minorEastAsia" w:hAnsi="Arial" w:cs="Arial"/>
          <w:sz w:val="24"/>
          <w:szCs w:val="24"/>
          <w:bdr w:val="none" w:sz="0" w:space="0" w:color="auto" w:frame="1"/>
          <w:lang w:eastAsia="zh-CN"/>
        </w:rPr>
      </w:pPr>
      <w:r w:rsidRPr="00274669">
        <w:rPr>
          <w:rFonts w:ascii="Arial" w:eastAsia="Times New Roman" w:hAnsi="Arial" w:cs="Arial"/>
          <w:b/>
          <w:sz w:val="24"/>
          <w:szCs w:val="24"/>
          <w:u w:val="single"/>
          <w:lang w:eastAsia="en-GB"/>
        </w:rPr>
        <w:lastRenderedPageBreak/>
        <w:t>Reference List</w:t>
      </w:r>
      <w:r>
        <w:rPr>
          <w:rFonts w:ascii="Arial" w:eastAsia="Times New Roman" w:hAnsi="Arial" w:cs="Arial"/>
          <w:b/>
          <w:sz w:val="24"/>
          <w:szCs w:val="24"/>
          <w:u w:val="single"/>
          <w:lang w:eastAsia="en-GB"/>
        </w:rPr>
        <w:t>.</w:t>
      </w:r>
    </w:p>
    <w:p w14:paraId="5E133681" w14:textId="77777777" w:rsidR="00274669" w:rsidRPr="00274669" w:rsidRDefault="00274669" w:rsidP="00D61BE7">
      <w:pPr>
        <w:spacing w:after="0" w:line="360" w:lineRule="auto"/>
        <w:rPr>
          <w:rFonts w:ascii="Arial" w:eastAsia="Times New Roman" w:hAnsi="Arial" w:cs="Arial"/>
          <w:color w:val="000000"/>
          <w:sz w:val="24"/>
          <w:szCs w:val="24"/>
          <w:shd w:val="clear" w:color="auto" w:fill="FFFFFF"/>
          <w:lang w:eastAsia="en-GB"/>
        </w:rPr>
      </w:pPr>
    </w:p>
    <w:p w14:paraId="221EEA3A" w14:textId="77777777" w:rsidR="00274669" w:rsidRPr="00274669" w:rsidRDefault="00274669" w:rsidP="00D61BE7">
      <w:pPr>
        <w:numPr>
          <w:ilvl w:val="0"/>
          <w:numId w:val="1"/>
        </w:numPr>
        <w:spacing w:after="0" w:line="360" w:lineRule="auto"/>
        <w:contextualSpacing/>
        <w:rPr>
          <w:rFonts w:ascii="Arial" w:eastAsia="Times New Roman" w:hAnsi="Arial" w:cs="Arial"/>
          <w:color w:val="000000" w:themeColor="text1"/>
          <w:sz w:val="24"/>
          <w:szCs w:val="24"/>
          <w:shd w:val="clear" w:color="auto" w:fill="FFFFFF"/>
          <w:lang w:eastAsia="en-GB"/>
        </w:rPr>
      </w:pPr>
      <w:r w:rsidRPr="00274669">
        <w:rPr>
          <w:rFonts w:ascii="Arial" w:eastAsia="Times New Roman" w:hAnsi="Arial" w:cs="Arial"/>
          <w:color w:val="000000" w:themeColor="text1"/>
          <w:sz w:val="24"/>
          <w:szCs w:val="24"/>
          <w:shd w:val="clear" w:color="auto" w:fill="FFFFFF"/>
          <w:lang w:eastAsia="en-GB"/>
        </w:rPr>
        <w:t>Abdel-Samad, M. and Khoury, A. (2006) ‘Water Scarcity in the Middle East: Balancing Conflict, Development, and Survival in Turkey, Syria and Iraq’, </w:t>
      </w:r>
      <w:r w:rsidRPr="00274669">
        <w:rPr>
          <w:rFonts w:ascii="Arial" w:eastAsia="Times New Roman" w:hAnsi="Arial" w:cs="Arial"/>
          <w:i/>
          <w:iCs/>
          <w:color w:val="000000" w:themeColor="text1"/>
          <w:sz w:val="24"/>
          <w:szCs w:val="24"/>
          <w:shd w:val="clear" w:color="auto" w:fill="FFFFFF"/>
          <w:lang w:eastAsia="en-GB"/>
        </w:rPr>
        <w:t>Journal of Peacebuilding &amp; Development</w:t>
      </w:r>
      <w:r w:rsidRPr="00274669">
        <w:rPr>
          <w:rFonts w:ascii="Arial" w:eastAsia="Times New Roman" w:hAnsi="Arial" w:cs="Arial"/>
          <w:color w:val="000000" w:themeColor="text1"/>
          <w:sz w:val="24"/>
          <w:szCs w:val="24"/>
          <w:shd w:val="clear" w:color="auto" w:fill="FFFFFF"/>
          <w:lang w:eastAsia="en-GB"/>
        </w:rPr>
        <w:t>, 3(1), pp. 63–74.</w:t>
      </w:r>
    </w:p>
    <w:p w14:paraId="170C741C" w14:textId="77777777" w:rsidR="00274669" w:rsidRPr="00274669" w:rsidRDefault="00274669" w:rsidP="00D61BE7">
      <w:pPr>
        <w:numPr>
          <w:ilvl w:val="0"/>
          <w:numId w:val="1"/>
        </w:numPr>
        <w:spacing w:after="0" w:line="360" w:lineRule="auto"/>
        <w:contextualSpacing/>
        <w:rPr>
          <w:rFonts w:ascii="Arial" w:eastAsia="Times New Roman" w:hAnsi="Arial" w:cs="Arial"/>
          <w:color w:val="333333"/>
          <w:sz w:val="24"/>
          <w:szCs w:val="24"/>
          <w:shd w:val="clear" w:color="auto" w:fill="FFFFFF"/>
          <w:lang w:eastAsia="en-GB"/>
        </w:rPr>
      </w:pPr>
      <w:r w:rsidRPr="00274669">
        <w:rPr>
          <w:rFonts w:ascii="Arial" w:eastAsia="Times New Roman" w:hAnsi="Arial" w:cs="Arial"/>
          <w:color w:val="333333"/>
          <w:sz w:val="24"/>
          <w:szCs w:val="24"/>
          <w:shd w:val="clear" w:color="auto" w:fill="FFFFFF"/>
          <w:lang w:eastAsia="en-GB"/>
        </w:rPr>
        <w:t>Beccaro, A (2018) ‘Modern Irregular Warfare: The ISIS Case Study,’ </w:t>
      </w:r>
      <w:r w:rsidRPr="00274669">
        <w:rPr>
          <w:rFonts w:ascii="Arial" w:eastAsia="Times New Roman" w:hAnsi="Arial" w:cs="Arial"/>
          <w:i/>
          <w:iCs/>
          <w:color w:val="333333"/>
          <w:sz w:val="24"/>
          <w:szCs w:val="24"/>
          <w:shd w:val="clear" w:color="auto" w:fill="FFFFFF"/>
          <w:lang w:eastAsia="en-GB"/>
        </w:rPr>
        <w:t>Small Wars &amp; Insurgencies</w:t>
      </w:r>
      <w:r w:rsidRPr="00274669">
        <w:rPr>
          <w:rFonts w:ascii="Arial" w:eastAsia="Times New Roman" w:hAnsi="Arial" w:cs="Arial"/>
          <w:color w:val="333333"/>
          <w:sz w:val="24"/>
          <w:szCs w:val="24"/>
          <w:shd w:val="clear" w:color="auto" w:fill="FFFFFF"/>
          <w:lang w:eastAsia="en-GB"/>
        </w:rPr>
        <w:t>, 29 (2), pp. 207-228,</w:t>
      </w:r>
    </w:p>
    <w:p w14:paraId="53CF231F"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Belanger- Mcmurdo, A. (2015) </w:t>
      </w:r>
      <w:r w:rsidRPr="00274669">
        <w:rPr>
          <w:rFonts w:ascii="Arial" w:eastAsia="Times New Roman" w:hAnsi="Arial" w:cs="Arial"/>
          <w:i/>
          <w:iCs/>
          <w:sz w:val="24"/>
          <w:szCs w:val="24"/>
          <w:lang w:eastAsia="en-GB"/>
        </w:rPr>
        <w:t>A Fight for Statehood? ISIS and Its Quest for Political Domination</w:t>
      </w:r>
      <w:r w:rsidRPr="00274669">
        <w:rPr>
          <w:rFonts w:ascii="Arial" w:eastAsia="Times New Roman" w:hAnsi="Arial" w:cs="Arial"/>
          <w:sz w:val="24"/>
          <w:szCs w:val="24"/>
          <w:lang w:eastAsia="en-GB"/>
        </w:rPr>
        <w:t>. Available at:</w:t>
      </w:r>
      <w:hyperlink r:id="rId7" w:history="1">
        <w:r w:rsidRPr="00274669">
          <w:rPr>
            <w:rFonts w:ascii="Arial" w:eastAsia="Times New Roman" w:hAnsi="Arial" w:cs="Arial"/>
            <w:color w:val="0000FF"/>
            <w:sz w:val="24"/>
            <w:szCs w:val="24"/>
            <w:lang w:eastAsia="en-GB"/>
          </w:rPr>
          <w:t>https://www.e-ir.info/2015/10/05/a-fight-for-statehood-isis-and-its-quest-for-political</w:t>
        </w:r>
        <w:r w:rsidRPr="00274669">
          <w:rPr>
            <w:rFonts w:ascii="Arial" w:eastAsia="Times New Roman" w:hAnsi="Arial" w:cs="Arial"/>
            <w:color w:val="0000FF"/>
            <w:sz w:val="24"/>
            <w:szCs w:val="24"/>
            <w:lang w:eastAsia="en-GB"/>
          </w:rPr>
          <w:t>-</w:t>
        </w:r>
        <w:r w:rsidRPr="00274669">
          <w:rPr>
            <w:rFonts w:ascii="Arial" w:eastAsia="Times New Roman" w:hAnsi="Arial" w:cs="Arial"/>
            <w:color w:val="0000FF"/>
            <w:sz w:val="24"/>
            <w:szCs w:val="24"/>
            <w:lang w:eastAsia="en-GB"/>
          </w:rPr>
          <w:t>domination/</w:t>
        </w:r>
      </w:hyperlink>
      <w:r w:rsidRPr="00274669">
        <w:rPr>
          <w:rFonts w:ascii="Arial" w:eastAsia="Times New Roman" w:hAnsi="Arial" w:cs="Arial"/>
          <w:sz w:val="24"/>
          <w:szCs w:val="24"/>
          <w:lang w:eastAsia="en-GB"/>
        </w:rPr>
        <w:t xml:space="preserve"> (Accessed: 09 November 2021).</w:t>
      </w:r>
    </w:p>
    <w:p w14:paraId="4C834B01" w14:textId="77777777" w:rsidR="00274669" w:rsidRPr="00274669" w:rsidRDefault="00274669" w:rsidP="00D61BE7">
      <w:pPr>
        <w:numPr>
          <w:ilvl w:val="0"/>
          <w:numId w:val="1"/>
        </w:numPr>
        <w:spacing w:after="0" w:line="360" w:lineRule="auto"/>
        <w:contextualSpacing/>
        <w:rPr>
          <w:rFonts w:ascii="Arial" w:eastAsia="Times New Roman" w:hAnsi="Arial" w:cs="Arial"/>
          <w:color w:val="000000" w:themeColor="text1"/>
          <w:sz w:val="24"/>
          <w:szCs w:val="24"/>
          <w:shd w:val="clear" w:color="auto" w:fill="FFFFFF"/>
          <w:lang w:eastAsia="en-GB"/>
        </w:rPr>
      </w:pPr>
      <w:r w:rsidRPr="00274669">
        <w:rPr>
          <w:rFonts w:ascii="Arial" w:eastAsia="Times New Roman" w:hAnsi="Arial" w:cs="Arial"/>
          <w:color w:val="000000" w:themeColor="text1"/>
          <w:sz w:val="24"/>
          <w:szCs w:val="24"/>
          <w:shd w:val="clear" w:color="auto" w:fill="FFFFFF"/>
          <w:lang w:eastAsia="en-GB"/>
        </w:rPr>
        <w:t>Bergemann, P. (2017) ‘Denunciation and Social Control’, </w:t>
      </w:r>
      <w:r w:rsidRPr="00274669">
        <w:rPr>
          <w:rFonts w:ascii="Arial" w:eastAsia="Times New Roman" w:hAnsi="Arial" w:cs="Arial"/>
          <w:i/>
          <w:iCs/>
          <w:color w:val="000000" w:themeColor="text1"/>
          <w:sz w:val="24"/>
          <w:szCs w:val="24"/>
          <w:shd w:val="clear" w:color="auto" w:fill="FFFFFF"/>
          <w:lang w:eastAsia="en-GB"/>
        </w:rPr>
        <w:t>American Sociological Review</w:t>
      </w:r>
      <w:r w:rsidRPr="00274669">
        <w:rPr>
          <w:rFonts w:ascii="Arial" w:eastAsia="Times New Roman" w:hAnsi="Arial" w:cs="Arial"/>
          <w:color w:val="000000" w:themeColor="text1"/>
          <w:sz w:val="24"/>
          <w:szCs w:val="24"/>
          <w:shd w:val="clear" w:color="auto" w:fill="FFFFFF"/>
          <w:lang w:eastAsia="en-GB"/>
        </w:rPr>
        <w:t>, 82(2), pp. 384–406. </w:t>
      </w:r>
    </w:p>
    <w:p w14:paraId="63E15109"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Bloom, M. (2017) ‘Constructing Expertise: Terrorist Recruitment and “Talent Spotting” in the PIRA, Al Qaeda, and ISIS’, </w:t>
      </w:r>
      <w:r w:rsidRPr="00274669">
        <w:rPr>
          <w:rFonts w:ascii="Arial" w:eastAsia="Times New Roman" w:hAnsi="Arial" w:cs="Arial"/>
          <w:i/>
          <w:iCs/>
          <w:sz w:val="24"/>
          <w:szCs w:val="24"/>
          <w:lang w:eastAsia="en-GB"/>
        </w:rPr>
        <w:t>Studies in Conflict &amp; Terrorism</w:t>
      </w:r>
      <w:r w:rsidRPr="00274669">
        <w:rPr>
          <w:rFonts w:ascii="Arial" w:eastAsia="Times New Roman" w:hAnsi="Arial" w:cs="Arial"/>
          <w:sz w:val="24"/>
          <w:szCs w:val="24"/>
          <w:lang w:eastAsia="en-GB"/>
        </w:rPr>
        <w:t xml:space="preserve">, 40(7), pp. 603-623. </w:t>
      </w:r>
    </w:p>
    <w:p w14:paraId="55EEA0C8" w14:textId="77777777" w:rsidR="00274669" w:rsidRPr="00274669" w:rsidRDefault="00274669" w:rsidP="00D61BE7">
      <w:pPr>
        <w:keepNext/>
        <w:keepLines/>
        <w:numPr>
          <w:ilvl w:val="0"/>
          <w:numId w:val="1"/>
        </w:numPr>
        <w:shd w:val="clear" w:color="auto" w:fill="FFFFFF"/>
        <w:spacing w:after="75" w:line="360" w:lineRule="auto"/>
        <w:outlineLvl w:val="0"/>
        <w:rPr>
          <w:rFonts w:ascii="Arial" w:eastAsia="Times New Roman" w:hAnsi="Arial" w:cs="Arial"/>
          <w:kern w:val="36"/>
          <w:sz w:val="24"/>
          <w:szCs w:val="24"/>
          <w:lang w:eastAsia="en-GB"/>
        </w:rPr>
      </w:pPr>
      <w:r w:rsidRPr="00274669">
        <w:rPr>
          <w:rFonts w:ascii="Arial" w:eastAsiaTheme="majorEastAsia" w:hAnsi="Arial" w:cs="Arial"/>
          <w:sz w:val="24"/>
          <w:szCs w:val="24"/>
          <w:lang w:eastAsia="en-GB"/>
        </w:rPr>
        <w:t>Brown, C. (2015) ‘</w:t>
      </w:r>
      <w:r w:rsidRPr="00274669">
        <w:rPr>
          <w:rFonts w:ascii="Arial" w:eastAsia="Times New Roman" w:hAnsi="Arial" w:cs="Arial"/>
          <w:kern w:val="36"/>
          <w:sz w:val="24"/>
          <w:szCs w:val="24"/>
          <w:lang w:eastAsia="en-GB"/>
        </w:rPr>
        <w:t xml:space="preserve">Mobilizing the Caliphate: ISIS and the Conflict in Iraq and Syria’, </w:t>
      </w:r>
      <w:r w:rsidRPr="00274669">
        <w:rPr>
          <w:rFonts w:ascii="Arial" w:eastAsia="Times New Roman" w:hAnsi="Arial" w:cs="Arial"/>
          <w:i/>
          <w:iCs/>
          <w:kern w:val="36"/>
          <w:sz w:val="24"/>
          <w:szCs w:val="24"/>
          <w:lang w:eastAsia="en-GB"/>
        </w:rPr>
        <w:t>Croation Political Science Review</w:t>
      </w:r>
      <w:r w:rsidRPr="00274669">
        <w:rPr>
          <w:rFonts w:ascii="Arial" w:eastAsia="Times New Roman" w:hAnsi="Arial" w:cs="Arial"/>
          <w:kern w:val="36"/>
          <w:sz w:val="24"/>
          <w:szCs w:val="24"/>
          <w:lang w:eastAsia="en-GB"/>
        </w:rPr>
        <w:t>, 4(5) pp. 203-214</w:t>
      </w:r>
      <w:r w:rsidRPr="00274669">
        <w:rPr>
          <w:rFonts w:ascii="Arial" w:eastAsia="Times New Roman" w:hAnsi="Arial" w:cs="Arial"/>
          <w:i/>
          <w:iCs/>
          <w:kern w:val="36"/>
          <w:sz w:val="24"/>
          <w:szCs w:val="24"/>
          <w:lang w:eastAsia="en-GB"/>
        </w:rPr>
        <w:t>.</w:t>
      </w:r>
    </w:p>
    <w:p w14:paraId="3E9B02AE"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Cragin, R. (2017) ‘The November 2015 Paris Attacks: The Impact of Foreign Fighter Returnees’, </w:t>
      </w:r>
      <w:r w:rsidRPr="00274669">
        <w:rPr>
          <w:rFonts w:ascii="Arial" w:eastAsia="Times New Roman" w:hAnsi="Arial" w:cs="Arial"/>
          <w:i/>
          <w:iCs/>
          <w:sz w:val="24"/>
          <w:szCs w:val="24"/>
          <w:lang w:eastAsia="en-GB"/>
        </w:rPr>
        <w:t>Orbis</w:t>
      </w:r>
      <w:r w:rsidRPr="00274669">
        <w:rPr>
          <w:rFonts w:ascii="Arial" w:eastAsia="Times New Roman" w:hAnsi="Arial" w:cs="Arial"/>
          <w:sz w:val="24"/>
          <w:szCs w:val="24"/>
          <w:lang w:eastAsia="en-GB"/>
        </w:rPr>
        <w:t>, 61(2), pp. 212-226.</w:t>
      </w:r>
    </w:p>
    <w:p w14:paraId="5BC2A7DF"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hyperlink r:id="rId8" w:history="1">
        <w:r w:rsidRPr="00274669">
          <w:rPr>
            <w:rFonts w:ascii="Arial" w:eastAsia="Times New Roman" w:hAnsi="Arial" w:cs="Arial"/>
            <w:color w:val="000000" w:themeColor="text1"/>
            <w:sz w:val="24"/>
            <w:szCs w:val="24"/>
            <w:lang w:eastAsia="en-GB"/>
          </w:rPr>
          <w:t>Crown</w:t>
        </w:r>
      </w:hyperlink>
      <w:r w:rsidRPr="00274669">
        <w:rPr>
          <w:rFonts w:ascii="Arial" w:eastAsia="Times New Roman" w:hAnsi="Arial" w:cs="Arial"/>
          <w:color w:val="000000" w:themeColor="text1"/>
          <w:sz w:val="24"/>
          <w:szCs w:val="24"/>
          <w:lang w:eastAsia="en-GB"/>
        </w:rPr>
        <w:t xml:space="preserve"> </w:t>
      </w:r>
      <w:r w:rsidRPr="00274669">
        <w:rPr>
          <w:rFonts w:ascii="Arial" w:eastAsia="Times New Roman" w:hAnsi="Arial" w:cs="Arial"/>
          <w:sz w:val="24"/>
          <w:szCs w:val="24"/>
          <w:lang w:eastAsia="en-GB"/>
        </w:rPr>
        <w:t xml:space="preserve">Prosecution Service. (2017) ‘Terrorism’. Available at: </w:t>
      </w:r>
      <w:hyperlink r:id="rId9" w:history="1">
        <w:r w:rsidRPr="00274669">
          <w:rPr>
            <w:rFonts w:ascii="Arial" w:eastAsia="Times New Roman" w:hAnsi="Arial" w:cs="Arial"/>
            <w:color w:val="0000FF"/>
            <w:sz w:val="24"/>
            <w:szCs w:val="24"/>
            <w:lang w:eastAsia="en-GB"/>
          </w:rPr>
          <w:t>https://www.cps.gov.uk/crime-info/terrorism</w:t>
        </w:r>
      </w:hyperlink>
      <w:r w:rsidRPr="00274669">
        <w:rPr>
          <w:rFonts w:ascii="Arial" w:eastAsia="Times New Roman" w:hAnsi="Arial" w:cs="Arial"/>
          <w:sz w:val="24"/>
          <w:szCs w:val="24"/>
          <w:lang w:eastAsia="en-GB"/>
        </w:rPr>
        <w:t xml:space="preserve"> (Accessed: 10 November 2021).</w:t>
      </w:r>
    </w:p>
    <w:p w14:paraId="55AF0DF9"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Dillion, C. (2017) Department of Defence Press Briefing (Speech transcript). Teleconference from Baghdad, Iraq, 28</w:t>
      </w:r>
      <w:r w:rsidRPr="00274669">
        <w:rPr>
          <w:rFonts w:ascii="Arial" w:eastAsia="Times New Roman" w:hAnsi="Arial" w:cs="Arial"/>
          <w:sz w:val="24"/>
          <w:szCs w:val="24"/>
          <w:vertAlign w:val="superscript"/>
          <w:lang w:eastAsia="en-GB"/>
        </w:rPr>
        <w:t>th</w:t>
      </w:r>
      <w:r w:rsidRPr="00274669">
        <w:rPr>
          <w:rFonts w:ascii="Arial" w:eastAsia="Times New Roman" w:hAnsi="Arial" w:cs="Arial"/>
          <w:sz w:val="24"/>
          <w:szCs w:val="24"/>
          <w:lang w:eastAsia="en-GB"/>
        </w:rPr>
        <w:t xml:space="preserve"> September.</w:t>
      </w:r>
    </w:p>
    <w:p w14:paraId="37B7DBE1"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Djerejian, E. (2015) ‘</w:t>
      </w:r>
      <w:r w:rsidRPr="00274669">
        <w:rPr>
          <w:rFonts w:ascii="Arial" w:hAnsi="Arial" w:cs="Arial"/>
          <w:sz w:val="24"/>
          <w:szCs w:val="24"/>
          <w:lang w:eastAsia="en-GB"/>
        </w:rPr>
        <w:t>A Strategy Toward Defeating ISIS</w:t>
      </w:r>
      <w:r w:rsidRPr="00274669">
        <w:rPr>
          <w:rFonts w:ascii="Arial" w:eastAsia="Times New Roman" w:hAnsi="Arial" w:cs="Arial"/>
          <w:sz w:val="24"/>
          <w:szCs w:val="24"/>
          <w:lang w:eastAsia="en-GB"/>
        </w:rPr>
        <w:t xml:space="preserve">’. Houston: Rice University Bakers institute for Public Policy. </w:t>
      </w:r>
    </w:p>
    <w:p w14:paraId="237B1916"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Ganor, B. </w:t>
      </w:r>
      <w:r w:rsidRPr="00274669">
        <w:rPr>
          <w:rFonts w:ascii="Arial" w:eastAsia="Times New Roman" w:hAnsi="Arial" w:cs="Arial"/>
          <w:color w:val="333333"/>
          <w:sz w:val="24"/>
          <w:szCs w:val="24"/>
          <w:shd w:val="clear" w:color="auto" w:fill="FFFFFF"/>
          <w:lang w:eastAsia="en-GB"/>
        </w:rPr>
        <w:t>(2002) ‘Defining Terrorism: Is One Man's Terrorist another Man's Freedom Fighter?’ </w:t>
      </w:r>
      <w:r w:rsidRPr="00274669">
        <w:rPr>
          <w:rFonts w:ascii="Arial" w:eastAsia="Times New Roman" w:hAnsi="Arial" w:cs="Arial"/>
          <w:i/>
          <w:iCs/>
          <w:color w:val="333333"/>
          <w:sz w:val="24"/>
          <w:szCs w:val="24"/>
          <w:shd w:val="clear" w:color="auto" w:fill="FFFFFF"/>
          <w:lang w:eastAsia="en-GB"/>
        </w:rPr>
        <w:t>Police Practice and Research</w:t>
      </w:r>
      <w:r w:rsidRPr="00274669">
        <w:rPr>
          <w:rFonts w:ascii="Arial" w:eastAsia="Times New Roman" w:hAnsi="Arial" w:cs="Arial"/>
          <w:color w:val="333333"/>
          <w:sz w:val="24"/>
          <w:szCs w:val="24"/>
          <w:shd w:val="clear" w:color="auto" w:fill="FFFFFF"/>
          <w:lang w:eastAsia="en-GB"/>
        </w:rPr>
        <w:t>, 3(4), pp. 287-304</w:t>
      </w:r>
    </w:p>
    <w:p w14:paraId="447E2C5F"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Hashim, A. S. (2019) ‘The Islamic State’s Way of War in Iraq and Syria: From its Origins to the Post Caliphate Era’. </w:t>
      </w:r>
      <w:r w:rsidRPr="00274669">
        <w:rPr>
          <w:rFonts w:ascii="Arial" w:eastAsia="Times New Roman" w:hAnsi="Arial" w:cs="Arial"/>
          <w:i/>
          <w:iCs/>
          <w:sz w:val="24"/>
          <w:szCs w:val="24"/>
          <w:lang w:eastAsia="en-GB"/>
        </w:rPr>
        <w:t>Perspectives on Terrorism</w:t>
      </w:r>
      <w:r w:rsidRPr="00274669">
        <w:rPr>
          <w:rFonts w:ascii="Arial" w:eastAsia="Times New Roman" w:hAnsi="Arial" w:cs="Arial"/>
          <w:sz w:val="24"/>
          <w:szCs w:val="24"/>
          <w:lang w:eastAsia="en-GB"/>
        </w:rPr>
        <w:t>, </w:t>
      </w:r>
      <w:r w:rsidRPr="00274669">
        <w:rPr>
          <w:rFonts w:ascii="Arial" w:eastAsia="Times New Roman" w:hAnsi="Arial" w:cs="Arial"/>
          <w:i/>
          <w:iCs/>
          <w:sz w:val="24"/>
          <w:szCs w:val="24"/>
          <w:lang w:eastAsia="en-GB"/>
        </w:rPr>
        <w:t>13</w:t>
      </w:r>
      <w:r w:rsidRPr="00274669">
        <w:rPr>
          <w:rFonts w:ascii="Arial" w:eastAsia="Times New Roman" w:hAnsi="Arial" w:cs="Arial"/>
          <w:sz w:val="24"/>
          <w:szCs w:val="24"/>
          <w:lang w:eastAsia="en-GB"/>
        </w:rPr>
        <w:t>(1), pp. 22–31.</w:t>
      </w:r>
    </w:p>
    <w:p w14:paraId="37790803"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bCs/>
          <w:sz w:val="24"/>
          <w:szCs w:val="24"/>
          <w:lang w:eastAsia="en-GB"/>
        </w:rPr>
        <w:lastRenderedPageBreak/>
        <w:t xml:space="preserve">HC Deb 26 September 2014, col 1255. Available at: </w:t>
      </w:r>
      <w:hyperlink r:id="rId10" w:history="1">
        <w:r w:rsidRPr="00274669">
          <w:rPr>
            <w:rFonts w:ascii="Arial" w:eastAsia="Times New Roman" w:hAnsi="Arial" w:cs="Arial"/>
            <w:bCs/>
            <w:color w:val="0000FF"/>
            <w:sz w:val="24"/>
            <w:szCs w:val="24"/>
            <w:u w:val="single"/>
            <w:lang w:eastAsia="en-GB"/>
          </w:rPr>
          <w:t>https://publications.parliament.uk/pa/cm201415/cmhansrd/cm140926/debtext/140926-0001.htm</w:t>
        </w:r>
      </w:hyperlink>
      <w:r w:rsidRPr="00274669">
        <w:rPr>
          <w:rFonts w:ascii="Arial" w:eastAsia="Times New Roman" w:hAnsi="Arial" w:cs="Arial"/>
          <w:bCs/>
          <w:sz w:val="24"/>
          <w:szCs w:val="24"/>
          <w:lang w:eastAsia="en-GB"/>
        </w:rPr>
        <w:t xml:space="preserve"> (Accessed: 12 November 2021)</w:t>
      </w:r>
    </w:p>
    <w:p w14:paraId="39352A37"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Horsley, R. (1979) The Sicarii: Ancient Jewish "Terrorists", </w:t>
      </w:r>
      <w:r w:rsidRPr="00274669">
        <w:rPr>
          <w:rFonts w:ascii="Arial" w:eastAsia="Times New Roman" w:hAnsi="Arial" w:cs="Arial"/>
          <w:i/>
          <w:iCs/>
          <w:sz w:val="24"/>
          <w:szCs w:val="24"/>
          <w:lang w:eastAsia="en-GB"/>
        </w:rPr>
        <w:t>The Journal of Religion</w:t>
      </w:r>
      <w:r w:rsidRPr="00274669">
        <w:rPr>
          <w:rFonts w:ascii="Arial" w:eastAsia="Times New Roman" w:hAnsi="Arial" w:cs="Arial"/>
          <w:sz w:val="24"/>
          <w:szCs w:val="24"/>
          <w:lang w:eastAsia="en-GB"/>
        </w:rPr>
        <w:t>, 59(4), pp. 430 – 452</w:t>
      </w:r>
    </w:p>
    <w:p w14:paraId="47A152A0"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Human Rights In Islam. (1990) THE CAIRO DECLARATION ON HUMAN RIGHTS IN ISLAM. Available at: </w:t>
      </w:r>
      <w:hyperlink r:id="rId11" w:history="1">
        <w:r w:rsidRPr="00274669">
          <w:rPr>
            <w:rFonts w:ascii="Arial" w:eastAsia="Times New Roman" w:hAnsi="Arial" w:cs="Arial"/>
            <w:color w:val="0000FF"/>
            <w:sz w:val="24"/>
            <w:szCs w:val="24"/>
            <w:lang w:eastAsia="en-GB"/>
          </w:rPr>
          <w:t>https://elearning.icrc.org/de</w:t>
        </w:r>
        <w:r w:rsidRPr="00274669">
          <w:rPr>
            <w:rFonts w:ascii="Arial" w:eastAsia="Times New Roman" w:hAnsi="Arial" w:cs="Arial"/>
            <w:color w:val="0000FF"/>
            <w:sz w:val="24"/>
            <w:szCs w:val="24"/>
            <w:lang w:eastAsia="en-GB"/>
          </w:rPr>
          <w:t>t</w:t>
        </w:r>
        <w:r w:rsidRPr="00274669">
          <w:rPr>
            <w:rFonts w:ascii="Arial" w:eastAsia="Times New Roman" w:hAnsi="Arial" w:cs="Arial"/>
            <w:color w:val="0000FF"/>
            <w:sz w:val="24"/>
            <w:szCs w:val="24"/>
            <w:lang w:eastAsia="en-GB"/>
          </w:rPr>
          <w:t>ention/en/story_content/external_files/Human%20Rights%20in%20Islam%20(1990).pdf</w:t>
        </w:r>
      </w:hyperlink>
      <w:r w:rsidRPr="00274669">
        <w:rPr>
          <w:rFonts w:ascii="Arial" w:eastAsia="Times New Roman" w:hAnsi="Arial" w:cs="Arial"/>
          <w:sz w:val="24"/>
          <w:szCs w:val="24"/>
          <w:lang w:eastAsia="en-GB"/>
        </w:rPr>
        <w:t xml:space="preserve"> (Accessed: 07 November 2021).</w:t>
      </w:r>
    </w:p>
    <w:p w14:paraId="12EBAB61" w14:textId="77777777" w:rsidR="00274669" w:rsidRPr="00274669" w:rsidRDefault="00274669" w:rsidP="00D61BE7">
      <w:pPr>
        <w:numPr>
          <w:ilvl w:val="0"/>
          <w:numId w:val="1"/>
        </w:numPr>
        <w:spacing w:after="0" w:line="360" w:lineRule="auto"/>
        <w:contextualSpacing/>
        <w:rPr>
          <w:rFonts w:ascii="Arial" w:eastAsia="Times New Roman" w:hAnsi="Arial" w:cs="Arial"/>
          <w:bCs/>
          <w:sz w:val="24"/>
          <w:szCs w:val="24"/>
          <w:lang w:eastAsia="en-GB"/>
        </w:rPr>
      </w:pPr>
      <w:r w:rsidRPr="00274669">
        <w:rPr>
          <w:rFonts w:ascii="Arial" w:eastAsia="Times New Roman" w:hAnsi="Arial" w:cs="Arial"/>
          <w:sz w:val="24"/>
          <w:szCs w:val="24"/>
          <w:lang w:eastAsia="en-GB"/>
        </w:rPr>
        <w:t>Jaafar</w:t>
      </w:r>
      <w:bookmarkStart w:id="13" w:name="bau010"/>
      <w:r w:rsidRPr="00274669">
        <w:rPr>
          <w:rFonts w:ascii="Arial" w:eastAsia="Times New Roman" w:hAnsi="Arial" w:cs="Arial"/>
          <w:sz w:val="24"/>
          <w:szCs w:val="24"/>
          <w:lang w:eastAsia="en-GB"/>
        </w:rPr>
        <w:t>, H and Woertz</w:t>
      </w:r>
      <w:bookmarkEnd w:id="13"/>
      <w:r w:rsidRPr="00274669">
        <w:rPr>
          <w:rFonts w:ascii="Arial" w:eastAsia="Times New Roman" w:hAnsi="Arial" w:cs="Arial"/>
          <w:sz w:val="24"/>
          <w:szCs w:val="24"/>
          <w:vertAlign w:val="superscript"/>
          <w:lang w:eastAsia="en-GB"/>
        </w:rPr>
        <w:t xml:space="preserve">, </w:t>
      </w:r>
      <w:r w:rsidRPr="00274669">
        <w:rPr>
          <w:rFonts w:ascii="Arial" w:eastAsia="Times New Roman" w:hAnsi="Arial" w:cs="Arial"/>
          <w:sz w:val="24"/>
          <w:szCs w:val="24"/>
          <w:lang w:eastAsia="en-GB"/>
        </w:rPr>
        <w:t>E. (2016) ‘</w:t>
      </w:r>
      <w:r w:rsidRPr="00274669">
        <w:rPr>
          <w:rFonts w:ascii="Arial" w:hAnsi="Arial" w:cs="Arial"/>
          <w:bCs/>
          <w:sz w:val="24"/>
          <w:szCs w:val="24"/>
          <w:lang w:eastAsia="en-GB"/>
        </w:rPr>
        <w:t>Agriculture as a funding source of ISIS: A GIS and remote sensing analysis</w:t>
      </w:r>
      <w:r w:rsidRPr="00274669">
        <w:rPr>
          <w:rFonts w:ascii="Arial" w:eastAsia="Times New Roman" w:hAnsi="Arial" w:cs="Arial"/>
          <w:bCs/>
          <w:sz w:val="24"/>
          <w:szCs w:val="24"/>
          <w:lang w:eastAsia="en-GB"/>
        </w:rPr>
        <w:t xml:space="preserve">’, </w:t>
      </w:r>
      <w:r w:rsidRPr="00274669">
        <w:rPr>
          <w:rFonts w:ascii="Arial" w:eastAsia="Times New Roman" w:hAnsi="Arial" w:cs="Arial"/>
          <w:bCs/>
          <w:i/>
          <w:iCs/>
          <w:sz w:val="24"/>
          <w:szCs w:val="24"/>
          <w:lang w:eastAsia="en-GB"/>
        </w:rPr>
        <w:t>Elsevier</w:t>
      </w:r>
      <w:r w:rsidRPr="00274669">
        <w:rPr>
          <w:rFonts w:ascii="Arial" w:eastAsia="Times New Roman" w:hAnsi="Arial" w:cs="Arial"/>
          <w:bCs/>
          <w:sz w:val="24"/>
          <w:szCs w:val="24"/>
          <w:lang w:eastAsia="en-GB"/>
        </w:rPr>
        <w:t>, 64(1), pp. 14-25</w:t>
      </w:r>
    </w:p>
    <w:p w14:paraId="761A6740" w14:textId="77777777" w:rsidR="00274669" w:rsidRPr="00274669" w:rsidRDefault="00274669" w:rsidP="00D61BE7">
      <w:pPr>
        <w:numPr>
          <w:ilvl w:val="0"/>
          <w:numId w:val="1"/>
        </w:numPr>
        <w:spacing w:after="0" w:line="360" w:lineRule="auto"/>
        <w:contextualSpacing/>
        <w:rPr>
          <w:rFonts w:ascii="Arial" w:eastAsia="Times New Roman" w:hAnsi="Arial" w:cs="Arial"/>
          <w:color w:val="333333"/>
          <w:sz w:val="24"/>
          <w:szCs w:val="24"/>
          <w:shd w:val="clear" w:color="auto" w:fill="FFFFFF"/>
          <w:lang w:eastAsia="en-GB"/>
        </w:rPr>
      </w:pPr>
      <w:r w:rsidRPr="00274669">
        <w:rPr>
          <w:rFonts w:ascii="Arial" w:eastAsia="Times New Roman" w:hAnsi="Arial" w:cs="Arial"/>
          <w:color w:val="333333"/>
          <w:sz w:val="24"/>
          <w:szCs w:val="24"/>
          <w:shd w:val="clear" w:color="auto" w:fill="FFFFFF"/>
          <w:lang w:eastAsia="en-GB"/>
        </w:rPr>
        <w:t>Kadercan, B. (2021) ‘Territorial logic of the Islamic State: an interdisciplinary approach’, </w:t>
      </w:r>
      <w:r w:rsidRPr="00274669">
        <w:rPr>
          <w:rFonts w:ascii="Arial" w:eastAsia="Times New Roman" w:hAnsi="Arial" w:cs="Arial"/>
          <w:i/>
          <w:iCs/>
          <w:color w:val="333333"/>
          <w:sz w:val="24"/>
          <w:szCs w:val="24"/>
          <w:shd w:val="clear" w:color="auto" w:fill="FFFFFF"/>
          <w:lang w:eastAsia="en-GB"/>
        </w:rPr>
        <w:t>Territory, Politics, Governance,</w:t>
      </w:r>
      <w:r w:rsidRPr="00274669">
        <w:rPr>
          <w:rFonts w:ascii="Arial" w:eastAsia="Times New Roman" w:hAnsi="Arial" w:cs="Arial"/>
          <w:color w:val="333333"/>
          <w:sz w:val="24"/>
          <w:szCs w:val="24"/>
          <w:shd w:val="clear" w:color="auto" w:fill="FFFFFF"/>
          <w:lang w:eastAsia="en-GB"/>
        </w:rPr>
        <w:t> 9 (1), pp. 94-110.</w:t>
      </w:r>
    </w:p>
    <w:p w14:paraId="6DF7F93C"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Kalyvas, S, N. (2015) ‘Is ISIS a Revolutionary Group and if Yes, What Are the Implications?’ </w:t>
      </w:r>
      <w:r w:rsidRPr="00274669">
        <w:rPr>
          <w:rFonts w:ascii="Arial" w:eastAsia="Times New Roman" w:hAnsi="Arial" w:cs="Arial"/>
          <w:i/>
          <w:iCs/>
          <w:sz w:val="24"/>
          <w:szCs w:val="24"/>
          <w:lang w:eastAsia="en-GB"/>
        </w:rPr>
        <w:t>Perspectives on Terrorism</w:t>
      </w:r>
      <w:r w:rsidRPr="00274669">
        <w:rPr>
          <w:rFonts w:ascii="Arial" w:eastAsia="Times New Roman" w:hAnsi="Arial" w:cs="Arial"/>
          <w:sz w:val="24"/>
          <w:szCs w:val="24"/>
          <w:lang w:eastAsia="en-GB"/>
        </w:rPr>
        <w:t>, </w:t>
      </w:r>
      <w:r w:rsidRPr="00274669">
        <w:rPr>
          <w:rFonts w:ascii="Arial" w:eastAsia="Times New Roman" w:hAnsi="Arial" w:cs="Arial"/>
          <w:i/>
          <w:iCs/>
          <w:sz w:val="24"/>
          <w:szCs w:val="24"/>
          <w:lang w:eastAsia="en-GB"/>
        </w:rPr>
        <w:t>9</w:t>
      </w:r>
      <w:r w:rsidRPr="00274669">
        <w:rPr>
          <w:rFonts w:ascii="Arial" w:eastAsia="Times New Roman" w:hAnsi="Arial" w:cs="Arial"/>
          <w:sz w:val="24"/>
          <w:szCs w:val="24"/>
          <w:lang w:eastAsia="en-GB"/>
        </w:rPr>
        <w:t>(4), pp. 42–47.</w:t>
      </w:r>
    </w:p>
    <w:p w14:paraId="5D215DB8"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Khatib, L. (2015) ‘</w:t>
      </w:r>
      <w:r w:rsidRPr="00274669">
        <w:rPr>
          <w:rFonts w:ascii="Arial" w:eastAsia="Times New Roman" w:hAnsi="Arial" w:cs="Arial"/>
          <w:i/>
          <w:iCs/>
          <w:sz w:val="24"/>
          <w:szCs w:val="24"/>
          <w:lang w:eastAsia="en-GB"/>
        </w:rPr>
        <w:t>The Islamic State’s strategy Lasting and Expanding’</w:t>
      </w:r>
      <w:r w:rsidRPr="00274669">
        <w:rPr>
          <w:rFonts w:ascii="Arial" w:eastAsia="Times New Roman" w:hAnsi="Arial" w:cs="Arial"/>
          <w:sz w:val="24"/>
          <w:szCs w:val="24"/>
          <w:lang w:eastAsia="en-GB"/>
        </w:rPr>
        <w:t xml:space="preserve">, Beirut: Carnegie Middle East Centre. </w:t>
      </w:r>
    </w:p>
    <w:p w14:paraId="64153D79"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Knight and Mello. (2017) ‘Defeat by Annihilation: Mobility and Attrition in the Islamic State’s Defense of Mosul’ </w:t>
      </w:r>
      <w:r w:rsidRPr="00274669">
        <w:rPr>
          <w:rFonts w:ascii="Arial" w:eastAsia="Times New Roman" w:hAnsi="Arial" w:cs="Arial"/>
          <w:i/>
          <w:iCs/>
          <w:sz w:val="24"/>
          <w:szCs w:val="24"/>
          <w:lang w:eastAsia="en-GB"/>
        </w:rPr>
        <w:t>CTC Sentinel</w:t>
      </w:r>
      <w:r w:rsidRPr="00274669">
        <w:rPr>
          <w:rFonts w:ascii="Arial" w:eastAsia="Times New Roman" w:hAnsi="Arial" w:cs="Arial"/>
          <w:sz w:val="24"/>
          <w:szCs w:val="24"/>
          <w:lang w:eastAsia="en-GB"/>
        </w:rPr>
        <w:t>, 10(4) pp. 1-7.</w:t>
      </w:r>
    </w:p>
    <w:p w14:paraId="1DE43ECC"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Kuran, T. (1995)</w:t>
      </w:r>
      <w:r w:rsidRPr="00274669">
        <w:rPr>
          <w:rFonts w:ascii="Arial" w:eastAsia="Times New Roman" w:hAnsi="Arial" w:cs="Arial"/>
          <w:bCs/>
          <w:color w:val="333333"/>
          <w:kern w:val="36"/>
          <w:sz w:val="24"/>
          <w:szCs w:val="24"/>
          <w:lang w:eastAsia="en-GB"/>
        </w:rPr>
        <w:t xml:space="preserve"> </w:t>
      </w:r>
      <w:r w:rsidRPr="00274669">
        <w:rPr>
          <w:rFonts w:ascii="Arial" w:hAnsi="Arial" w:cs="Arial"/>
          <w:bCs/>
          <w:i/>
          <w:iCs/>
          <w:sz w:val="24"/>
          <w:szCs w:val="24"/>
          <w:lang w:eastAsia="en-GB"/>
        </w:rPr>
        <w:t>Private Truths, Public Lies: </w:t>
      </w:r>
      <w:r w:rsidRPr="00274669">
        <w:rPr>
          <w:rFonts w:ascii="Arial" w:eastAsia="Times New Roman" w:hAnsi="Arial" w:cs="Arial"/>
          <w:i/>
          <w:iCs/>
          <w:sz w:val="24"/>
          <w:szCs w:val="24"/>
          <w:lang w:eastAsia="en-GB"/>
        </w:rPr>
        <w:t xml:space="preserve">The Social Consequences of </w:t>
      </w:r>
      <w:r w:rsidRPr="00274669">
        <w:rPr>
          <w:rFonts w:ascii="Arial" w:hAnsi="Arial" w:cs="Arial"/>
          <w:i/>
          <w:iCs/>
          <w:sz w:val="24"/>
          <w:szCs w:val="24"/>
          <w:lang w:eastAsia="en-GB"/>
        </w:rPr>
        <w:t>Preference Falsification</w:t>
      </w:r>
      <w:r w:rsidRPr="00274669">
        <w:rPr>
          <w:rFonts w:ascii="Arial" w:eastAsia="Times New Roman" w:hAnsi="Arial" w:cs="Arial"/>
          <w:sz w:val="24"/>
          <w:szCs w:val="24"/>
          <w:lang w:eastAsia="en-GB"/>
        </w:rPr>
        <w:t>. 1</w:t>
      </w:r>
      <w:r w:rsidRPr="00274669">
        <w:rPr>
          <w:rFonts w:ascii="Arial" w:eastAsia="Times New Roman" w:hAnsi="Arial" w:cs="Arial"/>
          <w:sz w:val="24"/>
          <w:szCs w:val="24"/>
          <w:vertAlign w:val="superscript"/>
          <w:lang w:eastAsia="en-GB"/>
        </w:rPr>
        <w:t>st</w:t>
      </w:r>
      <w:r w:rsidRPr="00274669">
        <w:rPr>
          <w:rFonts w:ascii="Arial" w:eastAsia="Times New Roman" w:hAnsi="Arial" w:cs="Arial"/>
          <w:sz w:val="24"/>
          <w:szCs w:val="24"/>
          <w:lang w:eastAsia="en-GB"/>
        </w:rPr>
        <w:t xml:space="preserve"> edn. London: Harvard University Press.</w:t>
      </w:r>
    </w:p>
    <w:p w14:paraId="5849EAE7"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Laqueur, W. (1987) </w:t>
      </w:r>
      <w:r w:rsidRPr="00274669">
        <w:rPr>
          <w:rFonts w:ascii="Arial" w:eastAsia="Times New Roman" w:hAnsi="Arial" w:cs="Arial"/>
          <w:i/>
          <w:iCs/>
          <w:sz w:val="24"/>
          <w:szCs w:val="24"/>
          <w:lang w:eastAsia="en-GB"/>
        </w:rPr>
        <w:t>The Age of Terrorism</w:t>
      </w:r>
      <w:r w:rsidRPr="00274669">
        <w:rPr>
          <w:rFonts w:ascii="Arial" w:eastAsia="Times New Roman" w:hAnsi="Arial" w:cs="Arial"/>
          <w:sz w:val="24"/>
          <w:szCs w:val="24"/>
          <w:lang w:eastAsia="en-GB"/>
        </w:rPr>
        <w:t>. New York: Little Brown &amp; Co.</w:t>
      </w:r>
    </w:p>
    <w:p w14:paraId="26C5951C"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Locatelli, O. (2015) ‘ISIS and management of savagery’. Available at: </w:t>
      </w:r>
      <w:hyperlink r:id="rId12" w:history="1">
        <w:r w:rsidRPr="00274669">
          <w:rPr>
            <w:rFonts w:ascii="Arial" w:eastAsia="Times New Roman" w:hAnsi="Arial" w:cs="Arial"/>
            <w:color w:val="0000FF"/>
            <w:sz w:val="24"/>
            <w:szCs w:val="24"/>
            <w:lang w:eastAsia="en-GB"/>
          </w:rPr>
          <w:t>http://cefadigital.edu.ar/bitstream/1847939/777/1/VC%2012-2015%20LOCATELLI.</w:t>
        </w:r>
        <w:r w:rsidRPr="00274669">
          <w:rPr>
            <w:rFonts w:ascii="Arial" w:eastAsia="Times New Roman" w:hAnsi="Arial" w:cs="Arial"/>
            <w:color w:val="0000FF"/>
            <w:sz w:val="24"/>
            <w:szCs w:val="24"/>
            <w:lang w:eastAsia="en-GB"/>
          </w:rPr>
          <w:t>p</w:t>
        </w:r>
        <w:r w:rsidRPr="00274669">
          <w:rPr>
            <w:rFonts w:ascii="Arial" w:eastAsia="Times New Roman" w:hAnsi="Arial" w:cs="Arial"/>
            <w:color w:val="0000FF"/>
            <w:sz w:val="24"/>
            <w:szCs w:val="24"/>
            <w:lang w:eastAsia="en-GB"/>
          </w:rPr>
          <w:t>df</w:t>
        </w:r>
      </w:hyperlink>
      <w:r w:rsidRPr="00274669">
        <w:rPr>
          <w:rFonts w:ascii="Arial" w:eastAsia="Times New Roman" w:hAnsi="Arial" w:cs="Arial"/>
          <w:sz w:val="24"/>
          <w:szCs w:val="24"/>
          <w:lang w:eastAsia="en-GB"/>
        </w:rPr>
        <w:t xml:space="preserve"> (Accessed: 04 November 2021).</w:t>
      </w:r>
    </w:p>
    <w:p w14:paraId="04F609F3"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Mas, C. (2016) ‘The</w:t>
      </w:r>
      <w:r w:rsidRPr="00274669">
        <w:rPr>
          <w:rFonts w:ascii="Arial" w:eastAsia="Times New Roman" w:hAnsi="Arial" w:cs="Arial"/>
          <w:i/>
          <w:iCs/>
          <w:sz w:val="24"/>
          <w:szCs w:val="24"/>
          <w:lang w:eastAsia="en-GB"/>
        </w:rPr>
        <w:t xml:space="preserve"> terrorist threat in France’ </w:t>
      </w:r>
      <w:r w:rsidRPr="00274669">
        <w:rPr>
          <w:rFonts w:ascii="Arial" w:eastAsia="Times New Roman" w:hAnsi="Arial" w:cs="Arial"/>
          <w:sz w:val="24"/>
          <w:szCs w:val="24"/>
          <w:lang w:eastAsia="en-GB"/>
        </w:rPr>
        <w:t xml:space="preserve">Available at: </w:t>
      </w:r>
      <w:hyperlink r:id="rId13" w:history="1">
        <w:r w:rsidRPr="00274669">
          <w:rPr>
            <w:rFonts w:ascii="Arial" w:eastAsia="Times New Roman" w:hAnsi="Arial" w:cs="Arial"/>
            <w:color w:val="0000FF"/>
            <w:sz w:val="24"/>
            <w:szCs w:val="24"/>
            <w:lang w:eastAsia="en-GB"/>
          </w:rPr>
          <w:t>https://kurultay.fr/blog/?p=619</w:t>
        </w:r>
      </w:hyperlink>
      <w:r w:rsidRPr="00274669">
        <w:rPr>
          <w:rFonts w:ascii="Arial" w:eastAsia="Times New Roman" w:hAnsi="Arial" w:cs="Arial"/>
          <w:sz w:val="24"/>
          <w:szCs w:val="24"/>
          <w:lang w:eastAsia="en-GB"/>
        </w:rPr>
        <w:t xml:space="preserve"> (Accessed: 10 November)</w:t>
      </w:r>
    </w:p>
    <w:p w14:paraId="6DE85A49" w14:textId="77777777" w:rsidR="00274669" w:rsidRPr="00274669" w:rsidRDefault="00274669" w:rsidP="00D61BE7">
      <w:pPr>
        <w:keepNext/>
        <w:keepLines/>
        <w:numPr>
          <w:ilvl w:val="0"/>
          <w:numId w:val="1"/>
        </w:numPr>
        <w:shd w:val="clear" w:color="auto" w:fill="FFFFFF"/>
        <w:spacing w:after="0" w:line="360" w:lineRule="auto"/>
        <w:outlineLvl w:val="0"/>
        <w:rPr>
          <w:rFonts w:ascii="Arial" w:eastAsia="Times New Roman" w:hAnsi="Arial" w:cs="Arial"/>
          <w:color w:val="333333"/>
          <w:kern w:val="36"/>
          <w:sz w:val="24"/>
          <w:szCs w:val="24"/>
          <w:lang w:eastAsia="en-GB"/>
        </w:rPr>
      </w:pPr>
      <w:r w:rsidRPr="00274669">
        <w:rPr>
          <w:rFonts w:ascii="Arial" w:eastAsiaTheme="majorEastAsia" w:hAnsi="Arial" w:cs="Arial"/>
          <w:color w:val="000000" w:themeColor="text1"/>
          <w:sz w:val="24"/>
          <w:szCs w:val="24"/>
          <w:shd w:val="clear" w:color="auto" w:fill="FFFFFF"/>
          <w:lang w:eastAsia="en-GB"/>
        </w:rPr>
        <w:t xml:space="preserve">Monk, D. (2019) </w:t>
      </w:r>
      <w:r w:rsidRPr="00274669">
        <w:rPr>
          <w:rFonts w:ascii="Arial" w:eastAsia="Times New Roman" w:hAnsi="Arial" w:cs="Arial"/>
          <w:i/>
          <w:iCs/>
          <w:color w:val="333333"/>
          <w:kern w:val="36"/>
          <w:sz w:val="24"/>
          <w:szCs w:val="24"/>
          <w:lang w:eastAsia="en-GB"/>
        </w:rPr>
        <w:t>Who’s Afraid of ISIS?”: Towards a Doxology of War</w:t>
      </w:r>
      <w:r w:rsidRPr="00274669">
        <w:rPr>
          <w:rFonts w:ascii="Arial" w:eastAsia="Times New Roman" w:hAnsi="Arial" w:cs="Arial"/>
          <w:color w:val="333333"/>
          <w:kern w:val="36"/>
          <w:sz w:val="24"/>
          <w:szCs w:val="24"/>
          <w:lang w:eastAsia="en-GB"/>
        </w:rPr>
        <w:t>. 1</w:t>
      </w:r>
      <w:r w:rsidRPr="00274669">
        <w:rPr>
          <w:rFonts w:ascii="Arial" w:eastAsia="Times New Roman" w:hAnsi="Arial" w:cs="Arial"/>
          <w:color w:val="333333"/>
          <w:kern w:val="36"/>
          <w:sz w:val="24"/>
          <w:szCs w:val="24"/>
          <w:vertAlign w:val="superscript"/>
          <w:lang w:eastAsia="en-GB"/>
        </w:rPr>
        <w:t>st</w:t>
      </w:r>
      <w:r w:rsidRPr="00274669">
        <w:rPr>
          <w:rFonts w:ascii="Arial" w:eastAsia="Times New Roman" w:hAnsi="Arial" w:cs="Arial"/>
          <w:color w:val="333333"/>
          <w:kern w:val="36"/>
          <w:sz w:val="24"/>
          <w:szCs w:val="24"/>
          <w:lang w:eastAsia="en-GB"/>
        </w:rPr>
        <w:t xml:space="preserve"> edn. New York: Routledge.</w:t>
      </w:r>
    </w:p>
    <w:p w14:paraId="05DC8667"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Murphy, S. (1993) ‘“I Don’t Support the Ira, but...” Semantic and Psychological Ambivalence.’</w:t>
      </w:r>
      <w:r w:rsidRPr="00274669">
        <w:rPr>
          <w:rFonts w:ascii="Arial" w:eastAsia="Times New Roman" w:hAnsi="Arial" w:cs="Arial"/>
          <w:i/>
          <w:iCs/>
          <w:sz w:val="24"/>
          <w:szCs w:val="24"/>
          <w:lang w:eastAsia="en-GB"/>
        </w:rPr>
        <w:t xml:space="preserve"> An Irish Quarterly Review</w:t>
      </w:r>
      <w:r w:rsidRPr="00274669">
        <w:rPr>
          <w:rFonts w:ascii="Arial" w:eastAsia="Times New Roman" w:hAnsi="Arial" w:cs="Arial"/>
          <w:sz w:val="24"/>
          <w:szCs w:val="24"/>
          <w:lang w:eastAsia="en-GB"/>
        </w:rPr>
        <w:t>, 82(327), pp. 276–286.</w:t>
      </w:r>
    </w:p>
    <w:p w14:paraId="781CD5D6"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lastRenderedPageBreak/>
        <w:t>Oosterveld, W and Bloem, W. (2017) ‘The Rise and Fall of ISIS: From Evitability to Inevitability’. The Hague: The Hague Centre for Strategic Studies.</w:t>
      </w:r>
    </w:p>
    <w:p w14:paraId="05446A55"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Osman, M. (2014) ‘ISIS's caliphate utopia’. </w:t>
      </w:r>
      <w:r w:rsidRPr="00274669">
        <w:rPr>
          <w:rFonts w:ascii="Arial" w:eastAsia="Times New Roman" w:hAnsi="Arial" w:cs="Arial"/>
          <w:i/>
          <w:iCs/>
          <w:sz w:val="24"/>
          <w:szCs w:val="24"/>
          <w:lang w:eastAsia="en-GB"/>
        </w:rPr>
        <w:t>RSIS Commentaries</w:t>
      </w:r>
      <w:r w:rsidRPr="00274669">
        <w:rPr>
          <w:rFonts w:ascii="Arial" w:eastAsia="Times New Roman" w:hAnsi="Arial" w:cs="Arial"/>
          <w:sz w:val="24"/>
          <w:szCs w:val="24"/>
          <w:lang w:eastAsia="en-GB"/>
        </w:rPr>
        <w:t>, 143(16), pp. 1.</w:t>
      </w:r>
    </w:p>
    <w:p w14:paraId="2CAFEE76" w14:textId="77777777" w:rsidR="00274669" w:rsidRPr="00274669" w:rsidRDefault="00274669" w:rsidP="00D61BE7">
      <w:pPr>
        <w:numPr>
          <w:ilvl w:val="0"/>
          <w:numId w:val="1"/>
        </w:numPr>
        <w:spacing w:after="0" w:line="360" w:lineRule="auto"/>
        <w:contextualSpacing/>
        <w:rPr>
          <w:rFonts w:ascii="Arial" w:eastAsia="Times New Roman" w:hAnsi="Arial" w:cs="Arial"/>
          <w:color w:val="000000" w:themeColor="text1"/>
          <w:sz w:val="24"/>
          <w:szCs w:val="24"/>
          <w:shd w:val="clear" w:color="auto" w:fill="FFFFFF"/>
          <w:lang w:eastAsia="en-GB"/>
        </w:rPr>
      </w:pPr>
      <w:r w:rsidRPr="00274669">
        <w:rPr>
          <w:rFonts w:ascii="Arial" w:eastAsia="Times New Roman" w:hAnsi="Arial" w:cs="Arial"/>
          <w:color w:val="333333"/>
          <w:sz w:val="24"/>
          <w:szCs w:val="24"/>
          <w:shd w:val="clear" w:color="auto" w:fill="FFFFFF"/>
          <w:lang w:eastAsia="en-GB"/>
        </w:rPr>
        <w:t>Perry, S,. and Long, J. (</w:t>
      </w:r>
      <w:r w:rsidRPr="00274669">
        <w:rPr>
          <w:rFonts w:ascii="Arial" w:eastAsia="Times New Roman" w:hAnsi="Arial" w:cs="Arial"/>
          <w:color w:val="000000" w:themeColor="text1"/>
          <w:sz w:val="24"/>
          <w:szCs w:val="24"/>
          <w:shd w:val="clear" w:color="auto" w:fill="FFFFFF"/>
          <w:lang w:eastAsia="en-GB"/>
        </w:rPr>
        <w:t>2016) ‘“Why Would Anyone Sell Paradise?”: The Islamic State in Iraq and the Making of a Martyr’, </w:t>
      </w:r>
      <w:r w:rsidRPr="00274669">
        <w:rPr>
          <w:rFonts w:ascii="Arial" w:eastAsia="Times New Roman" w:hAnsi="Arial" w:cs="Arial"/>
          <w:i/>
          <w:iCs/>
          <w:color w:val="000000" w:themeColor="text1"/>
          <w:sz w:val="24"/>
          <w:szCs w:val="24"/>
          <w:shd w:val="clear" w:color="auto" w:fill="FFFFFF"/>
          <w:lang w:eastAsia="en-GB"/>
        </w:rPr>
        <w:t>Southern Communication Journal</w:t>
      </w:r>
      <w:r w:rsidRPr="00274669">
        <w:rPr>
          <w:rFonts w:ascii="Arial" w:eastAsia="Times New Roman" w:hAnsi="Arial" w:cs="Arial"/>
          <w:color w:val="000000" w:themeColor="text1"/>
          <w:sz w:val="24"/>
          <w:szCs w:val="24"/>
          <w:shd w:val="clear" w:color="auto" w:fill="FFFFFF"/>
          <w:lang w:eastAsia="en-GB"/>
        </w:rPr>
        <w:t>, 81 (1), pp. 1-17.</w:t>
      </w:r>
    </w:p>
    <w:p w14:paraId="745BE574"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color w:val="000000" w:themeColor="text1"/>
          <w:sz w:val="24"/>
          <w:szCs w:val="24"/>
          <w:lang w:eastAsia="en-GB"/>
        </w:rPr>
        <w:t xml:space="preserve">Rapoport, D. (2016). Why Has The Islamic State Changed its Strategy and Mounted the Paris-Brussels </w:t>
      </w:r>
      <w:r w:rsidRPr="00274669">
        <w:rPr>
          <w:rFonts w:ascii="Arial" w:eastAsia="Times New Roman" w:hAnsi="Arial" w:cs="Arial"/>
          <w:sz w:val="24"/>
          <w:szCs w:val="24"/>
          <w:lang w:eastAsia="en-GB"/>
        </w:rPr>
        <w:t xml:space="preserve">Attacks?, </w:t>
      </w:r>
      <w:r w:rsidRPr="00274669">
        <w:rPr>
          <w:rFonts w:ascii="Arial" w:eastAsia="Times New Roman" w:hAnsi="Arial" w:cs="Arial"/>
          <w:i/>
          <w:iCs/>
          <w:sz w:val="24"/>
          <w:szCs w:val="24"/>
          <w:lang w:eastAsia="en-GB"/>
        </w:rPr>
        <w:t>Perspectives on Terrorism</w:t>
      </w:r>
      <w:r w:rsidRPr="00274669">
        <w:rPr>
          <w:rFonts w:ascii="Arial" w:eastAsia="Times New Roman" w:hAnsi="Arial" w:cs="Arial"/>
          <w:sz w:val="24"/>
          <w:szCs w:val="24"/>
          <w:lang w:eastAsia="en-GB"/>
        </w:rPr>
        <w:t>, 10(2), pp. 24-32.</w:t>
      </w:r>
    </w:p>
    <w:p w14:paraId="047E8303"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Reuter, C. (2105) ‘The Terror Strategist: Secret Files Reveal the Structure of Islamic State,’ </w:t>
      </w:r>
      <w:r w:rsidRPr="00274669">
        <w:rPr>
          <w:rFonts w:ascii="Arial" w:eastAsia="Times New Roman" w:hAnsi="Arial" w:cs="Arial"/>
          <w:i/>
          <w:iCs/>
          <w:sz w:val="24"/>
          <w:szCs w:val="24"/>
          <w:lang w:eastAsia="en-GB"/>
        </w:rPr>
        <w:t>Der Spiegel</w:t>
      </w:r>
      <w:r w:rsidRPr="00274669">
        <w:rPr>
          <w:rFonts w:ascii="Arial" w:eastAsia="Times New Roman" w:hAnsi="Arial" w:cs="Arial"/>
          <w:sz w:val="24"/>
          <w:szCs w:val="24"/>
          <w:lang w:eastAsia="en-GB"/>
        </w:rPr>
        <w:t>, 18 April 2015. Available at http://www.spiegel.de/international/world/islamic-state-files</w:t>
      </w:r>
      <w:r w:rsidRPr="00274669">
        <w:rPr>
          <w:rFonts w:ascii="Arial" w:eastAsia="Times New Roman" w:hAnsi="Arial" w:cs="Arial"/>
          <w:sz w:val="24"/>
          <w:szCs w:val="24"/>
          <w:lang w:eastAsia="en-GB"/>
        </w:rPr>
        <w:t>show-structure-of-islamist-terror-group-a-1029274.ht (Accessed: 10 Novemeber)</w:t>
      </w:r>
    </w:p>
    <w:p w14:paraId="0474C4EA"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Samad, A, M and Khoury A. (2006) ‘</w:t>
      </w:r>
      <w:r w:rsidRPr="00274669">
        <w:rPr>
          <w:rFonts w:ascii="Arial" w:eastAsia="Times New Roman" w:hAnsi="Arial" w:cs="Arial"/>
          <w:i/>
          <w:iCs/>
          <w:sz w:val="24"/>
          <w:szCs w:val="24"/>
          <w:lang w:eastAsia="en-GB"/>
        </w:rPr>
        <w:t>Water</w:t>
      </w:r>
      <w:r w:rsidRPr="00274669">
        <w:rPr>
          <w:rFonts w:ascii="Arial" w:eastAsia="Times New Roman" w:hAnsi="Arial" w:cs="Arial"/>
          <w:sz w:val="24"/>
          <w:szCs w:val="24"/>
          <w:lang w:eastAsia="en-GB"/>
        </w:rPr>
        <w:t xml:space="preserve"> Scarcity in the Middle East: Balancing Conflict, Development, and Survival in Turkey, Syria and Iraq’, </w:t>
      </w:r>
      <w:r w:rsidRPr="00274669">
        <w:rPr>
          <w:rFonts w:ascii="Arial" w:eastAsia="Times New Roman" w:hAnsi="Arial" w:cs="Arial"/>
          <w:i/>
          <w:iCs/>
          <w:sz w:val="24"/>
          <w:szCs w:val="24"/>
          <w:lang w:eastAsia="en-GB"/>
        </w:rPr>
        <w:t>Journal of Peacebuilding &amp; Development</w:t>
      </w:r>
      <w:r w:rsidRPr="00274669">
        <w:rPr>
          <w:rFonts w:ascii="Arial" w:eastAsia="Times New Roman" w:hAnsi="Arial" w:cs="Arial"/>
          <w:sz w:val="24"/>
          <w:szCs w:val="24"/>
          <w:lang w:eastAsia="en-GB"/>
        </w:rPr>
        <w:t>, 3(1), pp. 63-74.</w:t>
      </w:r>
    </w:p>
    <w:p w14:paraId="0EB2E8AD"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Shaffer, R. (2021) ‘The spymaster of Baghdad: a true story of bravery, family, and patriotism in the battle against ISIS’, Intelligence and National Security, 0(0), pp.336. </w:t>
      </w:r>
      <w:r w:rsidRPr="00274669">
        <w:rPr>
          <w:rFonts w:ascii="Arial" w:eastAsia="Times New Roman" w:hAnsi="Arial" w:cs="Arial"/>
          <w:color w:val="333333"/>
          <w:sz w:val="24"/>
          <w:szCs w:val="24"/>
          <w:shd w:val="clear" w:color="auto" w:fill="FFFFFF"/>
          <w:lang w:eastAsia="en-GB"/>
        </w:rPr>
        <w:t>DOI: </w:t>
      </w:r>
      <w:hyperlink r:id="rId14" w:history="1">
        <w:r w:rsidRPr="00274669">
          <w:rPr>
            <w:rFonts w:ascii="Arial" w:eastAsia="Times New Roman" w:hAnsi="Arial" w:cs="Arial"/>
            <w:color w:val="333333"/>
            <w:sz w:val="24"/>
            <w:szCs w:val="24"/>
            <w:shd w:val="clear" w:color="auto" w:fill="FFFFFF"/>
            <w:lang w:eastAsia="en-GB"/>
          </w:rPr>
          <w:t>10.1080/02684527.2021.1914892</w:t>
        </w:r>
      </w:hyperlink>
    </w:p>
    <w:p w14:paraId="0094FA03"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Speckhard, A., and Yayla, A. S. (2017) ‘The ISIS Emni: Origins and Inner Workings of ISIS’s Intelligence Apparatus.’ </w:t>
      </w:r>
      <w:r w:rsidRPr="00274669">
        <w:rPr>
          <w:rFonts w:ascii="Arial" w:eastAsia="Times New Roman" w:hAnsi="Arial" w:cs="Arial"/>
          <w:i/>
          <w:iCs/>
          <w:sz w:val="24"/>
          <w:szCs w:val="24"/>
          <w:lang w:eastAsia="en-GB"/>
        </w:rPr>
        <w:t>Perspectives on Terrorism</w:t>
      </w:r>
      <w:r w:rsidRPr="00274669">
        <w:rPr>
          <w:rFonts w:ascii="Arial" w:eastAsia="Times New Roman" w:hAnsi="Arial" w:cs="Arial"/>
          <w:sz w:val="24"/>
          <w:szCs w:val="24"/>
          <w:lang w:eastAsia="en-GB"/>
        </w:rPr>
        <w:t>, </w:t>
      </w:r>
      <w:r w:rsidRPr="00274669">
        <w:rPr>
          <w:rFonts w:ascii="Arial" w:eastAsia="Times New Roman" w:hAnsi="Arial" w:cs="Arial"/>
          <w:i/>
          <w:iCs/>
          <w:sz w:val="24"/>
          <w:szCs w:val="24"/>
          <w:lang w:eastAsia="en-GB"/>
        </w:rPr>
        <w:t>11</w:t>
      </w:r>
      <w:r w:rsidRPr="00274669">
        <w:rPr>
          <w:rFonts w:ascii="Arial" w:eastAsia="Times New Roman" w:hAnsi="Arial" w:cs="Arial"/>
          <w:sz w:val="24"/>
          <w:szCs w:val="24"/>
          <w:lang w:eastAsia="en-GB"/>
        </w:rPr>
        <w:t>(1), pp. 2–16.</w:t>
      </w:r>
    </w:p>
    <w:p w14:paraId="6E47EB4D" w14:textId="77777777" w:rsidR="00274669" w:rsidRPr="00274669" w:rsidRDefault="00274669" w:rsidP="00D61BE7">
      <w:pPr>
        <w:keepNext/>
        <w:keepLines/>
        <w:numPr>
          <w:ilvl w:val="0"/>
          <w:numId w:val="1"/>
        </w:numPr>
        <w:shd w:val="clear" w:color="auto" w:fill="FFFFFF"/>
        <w:spacing w:after="0" w:line="360" w:lineRule="auto"/>
        <w:textAlignment w:val="baseline"/>
        <w:outlineLvl w:val="0"/>
        <w:rPr>
          <w:rFonts w:ascii="Arial" w:eastAsia="Times New Roman" w:hAnsi="Arial" w:cs="Arial"/>
          <w:b/>
          <w:bCs/>
          <w:color w:val="222222"/>
          <w:kern w:val="36"/>
          <w:sz w:val="24"/>
          <w:szCs w:val="24"/>
          <w:lang w:eastAsia="en-GB"/>
        </w:rPr>
      </w:pPr>
      <w:r w:rsidRPr="00274669">
        <w:rPr>
          <w:rFonts w:ascii="Arial" w:eastAsiaTheme="majorEastAsia" w:hAnsi="Arial" w:cs="Arial"/>
          <w:color w:val="333333"/>
          <w:sz w:val="24"/>
          <w:szCs w:val="24"/>
          <w:shd w:val="clear" w:color="auto" w:fill="FFFFFF"/>
          <w:lang w:eastAsia="en-GB"/>
        </w:rPr>
        <w:t>Speckhard, A., Bodo, l., &amp; Fazliu, H. (2018) ‘B</w:t>
      </w:r>
      <w:r w:rsidRPr="00274669">
        <w:rPr>
          <w:rFonts w:ascii="Arial" w:eastAsia="Times New Roman" w:hAnsi="Arial" w:cs="Arial"/>
          <w:color w:val="222222"/>
          <w:kern w:val="36"/>
          <w:sz w:val="24"/>
          <w:szCs w:val="24"/>
          <w:lang w:eastAsia="en-GB"/>
        </w:rPr>
        <w:t>ringing Down the Digital Caliphate: A Breaking the ISIS Brand Counter-Narratives Intervention with Albanian Speaking Facebook Accounts’, Georgetown: International Centre for the Study of Violent Extremism.</w:t>
      </w:r>
    </w:p>
    <w:p w14:paraId="581ADB3D"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Strategic Foresight Group. (2014) ‘Water and Violence: Crisis of Survival in the Middle East’ Available at: </w:t>
      </w:r>
      <w:hyperlink r:id="rId15" w:history="1">
        <w:r w:rsidRPr="00274669">
          <w:rPr>
            <w:rFonts w:ascii="Arial" w:eastAsia="Times New Roman" w:hAnsi="Arial" w:cs="Arial"/>
            <w:color w:val="0000FF"/>
            <w:sz w:val="24"/>
            <w:szCs w:val="24"/>
            <w:lang w:eastAsia="en-GB"/>
          </w:rPr>
          <w:t>https://www.files.e</w:t>
        </w:r>
        <w:r w:rsidRPr="00274669">
          <w:rPr>
            <w:rFonts w:ascii="Arial" w:eastAsia="Times New Roman" w:hAnsi="Arial" w:cs="Arial"/>
            <w:color w:val="0000FF"/>
            <w:sz w:val="24"/>
            <w:szCs w:val="24"/>
            <w:lang w:eastAsia="en-GB"/>
          </w:rPr>
          <w:t>t</w:t>
        </w:r>
        <w:r w:rsidRPr="00274669">
          <w:rPr>
            <w:rFonts w:ascii="Arial" w:eastAsia="Times New Roman" w:hAnsi="Arial" w:cs="Arial"/>
            <w:color w:val="0000FF"/>
            <w:sz w:val="24"/>
            <w:szCs w:val="24"/>
            <w:lang w:eastAsia="en-GB"/>
          </w:rPr>
          <w:t>hz.ch/isn/188318/63948150123-web.pdf</w:t>
        </w:r>
      </w:hyperlink>
      <w:r w:rsidRPr="00274669">
        <w:rPr>
          <w:rFonts w:ascii="Arial" w:eastAsia="Times New Roman" w:hAnsi="Arial" w:cs="Arial"/>
          <w:sz w:val="24"/>
          <w:szCs w:val="24"/>
          <w:lang w:eastAsia="en-GB"/>
        </w:rPr>
        <w:t xml:space="preserve"> (Accessed: 08 November 2021).</w:t>
      </w:r>
    </w:p>
    <w:p w14:paraId="195998B1"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bCs/>
          <w:sz w:val="24"/>
          <w:szCs w:val="24"/>
          <w:lang w:eastAsia="en-GB"/>
        </w:rPr>
        <w:lastRenderedPageBreak/>
        <w:t>Tamimi, A. (2016) ‘</w:t>
      </w:r>
      <w:r w:rsidRPr="00274669">
        <w:rPr>
          <w:rFonts w:ascii="Arial" w:eastAsia="Times New Roman" w:hAnsi="Arial" w:cs="Arial"/>
          <w:i/>
          <w:iCs/>
          <w:sz w:val="24"/>
          <w:szCs w:val="24"/>
          <w:lang w:eastAsia="en-GB"/>
        </w:rPr>
        <w:t>Archive of Islamic State Administrative Documents’</w:t>
      </w:r>
      <w:r w:rsidRPr="00274669">
        <w:rPr>
          <w:rFonts w:ascii="Arial" w:eastAsia="Times New Roman" w:hAnsi="Arial" w:cs="Arial"/>
          <w:sz w:val="24"/>
          <w:szCs w:val="24"/>
          <w:lang w:eastAsia="en-GB"/>
        </w:rPr>
        <w:t xml:space="preserve">. Available at: </w:t>
      </w:r>
      <w:hyperlink r:id="rId16" w:history="1">
        <w:r w:rsidRPr="00274669">
          <w:rPr>
            <w:rFonts w:ascii="Arial" w:eastAsia="Times New Roman" w:hAnsi="Arial" w:cs="Arial"/>
            <w:color w:val="0000FF"/>
            <w:sz w:val="24"/>
            <w:szCs w:val="24"/>
            <w:lang w:eastAsia="en-GB"/>
          </w:rPr>
          <w:t>https://www.aymennjawad.org/2016/01/archive-of-islamic-state-administrative-documents-1</w:t>
        </w:r>
      </w:hyperlink>
      <w:r w:rsidRPr="00274669">
        <w:rPr>
          <w:rFonts w:ascii="Arial" w:eastAsia="Times New Roman" w:hAnsi="Arial" w:cs="Arial"/>
          <w:sz w:val="24"/>
          <w:szCs w:val="24"/>
          <w:lang w:eastAsia="en-GB"/>
        </w:rPr>
        <w:t xml:space="preserve"> (Accessed: 09 November 2021).</w:t>
      </w:r>
    </w:p>
    <w:p w14:paraId="1D437680"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Triandafyllidou, A. (1998) ‘National identity and the 'other', </w:t>
      </w:r>
      <w:r w:rsidRPr="00274669">
        <w:rPr>
          <w:rFonts w:ascii="Arial" w:eastAsia="Times New Roman" w:hAnsi="Arial" w:cs="Arial"/>
          <w:i/>
          <w:iCs/>
          <w:sz w:val="24"/>
          <w:szCs w:val="24"/>
          <w:lang w:eastAsia="en-GB"/>
        </w:rPr>
        <w:t>Ethnic and Racial Studies</w:t>
      </w:r>
      <w:r w:rsidRPr="00274669">
        <w:rPr>
          <w:rFonts w:ascii="Arial" w:eastAsia="Times New Roman" w:hAnsi="Arial" w:cs="Arial"/>
          <w:sz w:val="24"/>
          <w:szCs w:val="24"/>
          <w:lang w:eastAsia="en-GB"/>
        </w:rPr>
        <w:t>, 21(4), pp. 593-612.</w:t>
      </w:r>
    </w:p>
    <w:p w14:paraId="4025C8D1" w14:textId="77777777" w:rsidR="00274669" w:rsidRPr="00274669" w:rsidRDefault="00274669" w:rsidP="00D61BE7">
      <w:pPr>
        <w:numPr>
          <w:ilvl w:val="0"/>
          <w:numId w:val="1"/>
        </w:numPr>
        <w:spacing w:after="0" w:line="360" w:lineRule="auto"/>
        <w:contextualSpacing/>
        <w:rPr>
          <w:rFonts w:ascii="Arial" w:eastAsia="Times New Roman" w:hAnsi="Arial" w:cs="Arial"/>
          <w:bCs/>
          <w:sz w:val="24"/>
          <w:szCs w:val="24"/>
          <w:lang w:eastAsia="en-GB"/>
        </w:rPr>
      </w:pPr>
      <w:r w:rsidRPr="00274669">
        <w:rPr>
          <w:rFonts w:ascii="Arial" w:eastAsia="Times New Roman" w:hAnsi="Arial" w:cs="Arial"/>
          <w:sz w:val="24"/>
          <w:szCs w:val="24"/>
          <w:lang w:eastAsia="en-GB"/>
        </w:rPr>
        <w:t>Troy, J. (2020) ‘</w:t>
      </w:r>
      <w:r w:rsidRPr="00274669">
        <w:rPr>
          <w:rFonts w:ascii="Arial" w:eastAsia="Times New Roman" w:hAnsi="Arial" w:cs="Arial"/>
          <w:bCs/>
          <w:sz w:val="24"/>
          <w:szCs w:val="24"/>
          <w:lang w:eastAsia="en-GB"/>
        </w:rPr>
        <w:t xml:space="preserve">The containment of the Islamic State: A realist case to engage a hybrid actor’, </w:t>
      </w:r>
      <w:r w:rsidRPr="00274669">
        <w:rPr>
          <w:rFonts w:ascii="Arial" w:eastAsia="Times New Roman" w:hAnsi="Arial" w:cs="Arial"/>
          <w:bCs/>
          <w:i/>
          <w:iCs/>
          <w:sz w:val="24"/>
          <w:szCs w:val="24"/>
          <w:lang w:eastAsia="en-GB"/>
        </w:rPr>
        <w:t>Taylor and Francis</w:t>
      </w:r>
      <w:r w:rsidRPr="00274669">
        <w:rPr>
          <w:rFonts w:ascii="Arial" w:eastAsia="Times New Roman" w:hAnsi="Arial" w:cs="Arial"/>
          <w:bCs/>
          <w:sz w:val="24"/>
          <w:szCs w:val="24"/>
          <w:lang w:eastAsia="en-GB"/>
        </w:rPr>
        <w:t>, 41(3), pp. 385-406</w:t>
      </w:r>
    </w:p>
    <w:p w14:paraId="0495DC3C"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 xml:space="preserve">Walt, S. (2015). ISIS as Revolutionary State. Available at: </w:t>
      </w:r>
      <w:hyperlink r:id="rId17" w:history="1">
        <w:r w:rsidRPr="00274669">
          <w:rPr>
            <w:rFonts w:ascii="Arial" w:eastAsia="Times New Roman" w:hAnsi="Arial" w:cs="Arial"/>
            <w:color w:val="0000FF"/>
            <w:sz w:val="24"/>
            <w:szCs w:val="24"/>
            <w:lang w:eastAsia="en-GB"/>
          </w:rPr>
          <w:t>https://www.foreignaffairs.com/articles/mid</w:t>
        </w:r>
        <w:r w:rsidRPr="00274669">
          <w:rPr>
            <w:rFonts w:ascii="Arial" w:eastAsia="Times New Roman" w:hAnsi="Arial" w:cs="Arial"/>
            <w:color w:val="0000FF"/>
            <w:sz w:val="24"/>
            <w:szCs w:val="24"/>
            <w:lang w:eastAsia="en-GB"/>
          </w:rPr>
          <w:t>d</w:t>
        </w:r>
        <w:r w:rsidRPr="00274669">
          <w:rPr>
            <w:rFonts w:ascii="Arial" w:eastAsia="Times New Roman" w:hAnsi="Arial" w:cs="Arial"/>
            <w:color w:val="0000FF"/>
            <w:sz w:val="24"/>
            <w:szCs w:val="24"/>
            <w:lang w:eastAsia="en-GB"/>
          </w:rPr>
          <w:t>le-east/isis-revolutionary-state</w:t>
        </w:r>
      </w:hyperlink>
      <w:r w:rsidRPr="00274669">
        <w:rPr>
          <w:rFonts w:ascii="Arial" w:eastAsia="Times New Roman" w:hAnsi="Arial" w:cs="Arial"/>
          <w:sz w:val="24"/>
          <w:szCs w:val="24"/>
          <w:lang w:eastAsia="en-GB"/>
        </w:rPr>
        <w:t xml:space="preserve"> (Accessed: 07 November 2021).</w:t>
      </w:r>
    </w:p>
    <w:p w14:paraId="042EA944" w14:textId="77777777" w:rsidR="00274669" w:rsidRPr="00274669" w:rsidRDefault="00274669" w:rsidP="00D61BE7">
      <w:pPr>
        <w:numPr>
          <w:ilvl w:val="0"/>
          <w:numId w:val="1"/>
        </w:numPr>
        <w:spacing w:after="0" w:line="360" w:lineRule="auto"/>
        <w:contextualSpacing/>
        <w:rPr>
          <w:rFonts w:ascii="Arial" w:eastAsia="Times New Roman" w:hAnsi="Arial" w:cs="Arial"/>
          <w:color w:val="333333"/>
          <w:sz w:val="24"/>
          <w:szCs w:val="24"/>
          <w:shd w:val="clear" w:color="auto" w:fill="FFFFFF"/>
          <w:lang w:eastAsia="en-GB"/>
        </w:rPr>
      </w:pPr>
      <w:r w:rsidRPr="00274669">
        <w:rPr>
          <w:rFonts w:ascii="Arial" w:eastAsia="Times New Roman" w:hAnsi="Arial" w:cs="Arial"/>
          <w:color w:val="000000"/>
          <w:sz w:val="24"/>
          <w:szCs w:val="24"/>
          <w:shd w:val="clear" w:color="auto" w:fill="FFFFFF"/>
          <w:lang w:eastAsia="en-GB"/>
        </w:rPr>
        <w:t>White, M. (2020) </w:t>
      </w:r>
      <w:r w:rsidRPr="00274669">
        <w:rPr>
          <w:rFonts w:ascii="Arial" w:eastAsia="Times New Roman" w:hAnsi="Arial" w:cs="Arial"/>
          <w:i/>
          <w:iCs/>
          <w:color w:val="000000"/>
          <w:sz w:val="24"/>
          <w:szCs w:val="24"/>
          <w:shd w:val="clear" w:color="auto" w:fill="FFFFFF"/>
          <w:lang w:eastAsia="en-GB"/>
        </w:rPr>
        <w:t>Safiyya Shaikh: London IS supporter who planned to blow up St Paul's Cathedral jailed</w:t>
      </w:r>
      <w:r w:rsidRPr="00274669">
        <w:rPr>
          <w:rFonts w:ascii="Arial" w:eastAsia="Times New Roman" w:hAnsi="Arial" w:cs="Arial"/>
          <w:color w:val="000000"/>
          <w:sz w:val="24"/>
          <w:szCs w:val="24"/>
          <w:shd w:val="clear" w:color="auto" w:fill="FFFFFF"/>
          <w:lang w:eastAsia="en-GB"/>
        </w:rPr>
        <w:t>. [online] Sky News. Available at: &lt;https://news.sky.com/story/safiyya-shaikh-london-is-supporter-who-planned-to-blow-up-st-pauls-cathedral-jailed-12012373&gt; (Accessed 10 November 2021).</w:t>
      </w:r>
      <w:r w:rsidRPr="00274669">
        <w:rPr>
          <w:rFonts w:ascii="Arial" w:eastAsia="Times New Roman" w:hAnsi="Arial" w:cs="Arial"/>
          <w:color w:val="333333"/>
          <w:sz w:val="24"/>
          <w:szCs w:val="24"/>
          <w:shd w:val="clear" w:color="auto" w:fill="FFFFFF"/>
          <w:lang w:eastAsia="en-GB"/>
        </w:rPr>
        <w:t xml:space="preserve"> </w:t>
      </w:r>
    </w:p>
    <w:p w14:paraId="0D20436A" w14:textId="77777777" w:rsidR="00274669" w:rsidRPr="00274669" w:rsidRDefault="00274669" w:rsidP="00D61BE7">
      <w:pPr>
        <w:numPr>
          <w:ilvl w:val="0"/>
          <w:numId w:val="1"/>
        </w:numPr>
        <w:spacing w:after="0" w:line="360" w:lineRule="auto"/>
        <w:contextualSpacing/>
        <w:rPr>
          <w:rFonts w:ascii="Arial" w:eastAsia="Times New Roman" w:hAnsi="Arial" w:cs="Arial"/>
          <w:sz w:val="24"/>
          <w:szCs w:val="24"/>
          <w:lang w:eastAsia="en-GB"/>
        </w:rPr>
      </w:pPr>
      <w:r w:rsidRPr="00274669">
        <w:rPr>
          <w:rFonts w:ascii="Arial" w:eastAsia="Times New Roman" w:hAnsi="Arial" w:cs="Arial"/>
          <w:sz w:val="24"/>
          <w:szCs w:val="24"/>
          <w:lang w:eastAsia="en-GB"/>
        </w:rPr>
        <w:t>Yayla, A. (2021) ‘Turkish ISIS and AQ Foreign Fighters: Reconciling the Numbers and Perception of the Terrorism Threat’</w:t>
      </w:r>
      <w:r w:rsidRPr="00274669">
        <w:rPr>
          <w:rFonts w:ascii="Arial" w:eastAsia="Times New Roman" w:hAnsi="Arial" w:cs="Arial"/>
          <w:i/>
          <w:iCs/>
          <w:sz w:val="24"/>
          <w:szCs w:val="24"/>
          <w:lang w:eastAsia="en-GB"/>
        </w:rPr>
        <w:t>, Studies in Conflict &amp; Terrorism</w:t>
      </w:r>
      <w:r w:rsidRPr="00274669">
        <w:rPr>
          <w:rFonts w:ascii="Arial" w:eastAsia="Times New Roman" w:hAnsi="Arial" w:cs="Arial"/>
          <w:sz w:val="24"/>
          <w:szCs w:val="24"/>
          <w:lang w:eastAsia="en-GB"/>
        </w:rPr>
        <w:t>, 44(12), pp. 1125-1147</w:t>
      </w:r>
    </w:p>
    <w:p w14:paraId="285CCB36" w14:textId="77777777" w:rsidR="000656FC" w:rsidRDefault="000656FC" w:rsidP="00D61BE7">
      <w:pPr>
        <w:spacing w:line="360" w:lineRule="auto"/>
      </w:pPr>
    </w:p>
    <w:sectPr w:rsidR="000656F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98B6C" w14:textId="77777777" w:rsidR="00CB4395" w:rsidRDefault="00CB4395" w:rsidP="00274669">
      <w:pPr>
        <w:spacing w:after="0" w:line="240" w:lineRule="auto"/>
      </w:pPr>
      <w:r>
        <w:separator/>
      </w:r>
    </w:p>
  </w:endnote>
  <w:endnote w:type="continuationSeparator" w:id="0">
    <w:p w14:paraId="3241E80B" w14:textId="77777777" w:rsidR="00CB4395" w:rsidRDefault="00CB4395" w:rsidP="00274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333426"/>
      <w:docPartObj>
        <w:docPartGallery w:val="Page Numbers (Bottom of Page)"/>
        <w:docPartUnique/>
      </w:docPartObj>
    </w:sdtPr>
    <w:sdtEndPr>
      <w:rPr>
        <w:noProof/>
      </w:rPr>
    </w:sdtEndPr>
    <w:sdtContent>
      <w:p w14:paraId="5DEE97F8" w14:textId="79FBCD35" w:rsidR="00274669" w:rsidRDefault="002746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F0A632" w14:textId="77777777" w:rsidR="00274669" w:rsidRDefault="00274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45897" w14:textId="77777777" w:rsidR="00CB4395" w:rsidRDefault="00CB4395" w:rsidP="00274669">
      <w:pPr>
        <w:spacing w:after="0" w:line="240" w:lineRule="auto"/>
      </w:pPr>
      <w:r>
        <w:separator/>
      </w:r>
    </w:p>
  </w:footnote>
  <w:footnote w:type="continuationSeparator" w:id="0">
    <w:p w14:paraId="2AB64C18" w14:textId="77777777" w:rsidR="00CB4395" w:rsidRDefault="00CB4395" w:rsidP="002746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599"/>
    <w:multiLevelType w:val="hybridMultilevel"/>
    <w:tmpl w:val="8D20A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669"/>
    <w:rsid w:val="000656FC"/>
    <w:rsid w:val="00160101"/>
    <w:rsid w:val="00274467"/>
    <w:rsid w:val="00274669"/>
    <w:rsid w:val="003E44BF"/>
    <w:rsid w:val="0086033D"/>
    <w:rsid w:val="00884703"/>
    <w:rsid w:val="008B6E2D"/>
    <w:rsid w:val="009A6A24"/>
    <w:rsid w:val="009F0A70"/>
    <w:rsid w:val="00CB4395"/>
    <w:rsid w:val="00D61BE7"/>
    <w:rsid w:val="00F3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0E378"/>
  <w15:chartTrackingRefBased/>
  <w15:docId w15:val="{FCFB9403-0B0F-4375-89F4-806995FA6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6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669"/>
  </w:style>
  <w:style w:type="paragraph" w:styleId="Footer">
    <w:name w:val="footer"/>
    <w:basedOn w:val="Normal"/>
    <w:link w:val="FooterChar"/>
    <w:uiPriority w:val="99"/>
    <w:unhideWhenUsed/>
    <w:rsid w:val="00274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669"/>
  </w:style>
  <w:style w:type="character" w:customStyle="1" w:styleId="Heading1Char">
    <w:name w:val="Heading 1 Char"/>
    <w:basedOn w:val="DefaultParagraphFont"/>
    <w:link w:val="Heading1"/>
    <w:uiPriority w:val="9"/>
    <w:rsid w:val="0027466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crime-info/terrorism" TargetMode="External"/><Relationship Id="rId13" Type="http://schemas.openxmlformats.org/officeDocument/2006/relationships/hyperlink" Target="https://kurultay.fr/blog/?p=61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ir.info/2015/10/05/a-fight-for-statehood-isis-and-its-quest-for-political-domination/" TargetMode="External"/><Relationship Id="rId12" Type="http://schemas.openxmlformats.org/officeDocument/2006/relationships/hyperlink" Target="http://cefadigital.edu.ar/bitstream/1847939/777/1/VC%2012-2015%20LOCATELLI.pdf" TargetMode="External"/><Relationship Id="rId17" Type="http://schemas.openxmlformats.org/officeDocument/2006/relationships/hyperlink" Target="https://www.foreignaffairs.com/articles/middle-east/isis-revolutionary-state" TargetMode="External"/><Relationship Id="rId2" Type="http://schemas.openxmlformats.org/officeDocument/2006/relationships/styles" Target="styles.xml"/><Relationship Id="rId16" Type="http://schemas.openxmlformats.org/officeDocument/2006/relationships/hyperlink" Target="https://www.aymennjawad.org/2016/01/archive-of-islamic-state-administrative-documents-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earning.icrc.org/detention/en/story_content/external_files/Human%20Rights%20in%20Islam%20(1990).pdf" TargetMode="External"/><Relationship Id="rId5" Type="http://schemas.openxmlformats.org/officeDocument/2006/relationships/footnotes" Target="footnotes.xml"/><Relationship Id="rId15" Type="http://schemas.openxmlformats.org/officeDocument/2006/relationships/hyperlink" Target="https://www.files.ethz.ch/isn/188318/63948150123-web.pdf" TargetMode="External"/><Relationship Id="rId10" Type="http://schemas.openxmlformats.org/officeDocument/2006/relationships/hyperlink" Target="https://publications.parliament.uk/pa/cm201415/cmhansrd/cm140926/debtext/140926-0001.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ps.gov.uk/crime-info/terrorism" TargetMode="External"/><Relationship Id="rId14" Type="http://schemas.openxmlformats.org/officeDocument/2006/relationships/hyperlink" Target="https://doi.org/10.1080/02684527.2021.19148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14</Pages>
  <Words>4242</Words>
  <Characters>24184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Fletcher</dc:creator>
  <cp:keywords/>
  <dc:description/>
  <cp:lastModifiedBy>Samuel Fletcher</cp:lastModifiedBy>
  <cp:revision>10</cp:revision>
  <dcterms:created xsi:type="dcterms:W3CDTF">2021-11-12T16:02:00Z</dcterms:created>
  <dcterms:modified xsi:type="dcterms:W3CDTF">2021-11-12T16:26:00Z</dcterms:modified>
</cp:coreProperties>
</file>