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11E3" w:rsidRDefault="001F03B8" w:rsidP="003140E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Title: </w:t>
      </w:r>
      <w:r w:rsidR="00ED11E3" w:rsidRPr="0081044A">
        <w:rPr>
          <w:rFonts w:ascii="Times New Roman" w:hAnsi="Times New Roman" w:cs="Times New Roman"/>
          <w:b/>
          <w:sz w:val="24"/>
          <w:szCs w:val="24"/>
        </w:rPr>
        <w:t>Accounting fundamentals</w:t>
      </w:r>
    </w:p>
    <w:p w:rsidR="001F03B8" w:rsidRDefault="001F03B8" w:rsidP="003140E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Submitted by: </w:t>
      </w:r>
      <w:r w:rsidRPr="001F03B8">
        <w:rPr>
          <w:rFonts w:ascii="Times New Roman" w:hAnsi="Times New Roman" w:cs="Times New Roman"/>
          <w:b/>
          <w:sz w:val="24"/>
          <w:szCs w:val="24"/>
        </w:rPr>
        <w:t>MARIUS DINU</w:t>
      </w:r>
    </w:p>
    <w:p w:rsidR="00ED11E3" w:rsidRPr="0081044A" w:rsidRDefault="001F03B8" w:rsidP="00C727F5">
      <w:pPr>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Student ID: </w:t>
      </w:r>
      <w:r w:rsidR="00C727F5" w:rsidRPr="00C727F5">
        <w:rPr>
          <w:rFonts w:ascii="Times New Roman" w:hAnsi="Times New Roman" w:cs="Times New Roman"/>
          <w:b/>
          <w:sz w:val="24"/>
          <w:szCs w:val="24"/>
        </w:rPr>
        <w:t>2244847</w:t>
      </w:r>
      <w:bookmarkStart w:id="0" w:name="_GoBack"/>
      <w:bookmarkEnd w:id="0"/>
      <w:r w:rsidR="00ED11E3" w:rsidRPr="0081044A">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IN"/>
        </w:rPr>
        <w:id w:val="-405456317"/>
        <w:docPartObj>
          <w:docPartGallery w:val="Table of Contents"/>
          <w:docPartUnique/>
        </w:docPartObj>
      </w:sdtPr>
      <w:sdtEndPr>
        <w:rPr>
          <w:b/>
          <w:bCs/>
          <w:noProof/>
        </w:rPr>
      </w:sdtEndPr>
      <w:sdtContent>
        <w:p w:rsidR="003140EE" w:rsidRPr="0081044A" w:rsidRDefault="003140EE">
          <w:pPr>
            <w:pStyle w:val="TOCHeading"/>
            <w:rPr>
              <w:rFonts w:ascii="Times New Roman" w:hAnsi="Times New Roman" w:cs="Times New Roman"/>
            </w:rPr>
          </w:pPr>
          <w:r w:rsidRPr="0081044A">
            <w:rPr>
              <w:rFonts w:ascii="Times New Roman" w:hAnsi="Times New Roman" w:cs="Times New Roman"/>
            </w:rPr>
            <w:t>Contents</w:t>
          </w:r>
        </w:p>
        <w:p w:rsidR="003140EE" w:rsidRPr="0081044A" w:rsidRDefault="003140EE">
          <w:pPr>
            <w:pStyle w:val="TOC1"/>
            <w:tabs>
              <w:tab w:val="right" w:leader="dot" w:pos="9016"/>
            </w:tabs>
            <w:rPr>
              <w:rFonts w:ascii="Times New Roman" w:hAnsi="Times New Roman" w:cs="Times New Roman"/>
              <w:noProof/>
            </w:rPr>
          </w:pPr>
          <w:r w:rsidRPr="0081044A">
            <w:rPr>
              <w:rFonts w:ascii="Times New Roman" w:hAnsi="Times New Roman" w:cs="Times New Roman"/>
            </w:rPr>
            <w:fldChar w:fldCharType="begin"/>
          </w:r>
          <w:r w:rsidRPr="0081044A">
            <w:rPr>
              <w:rFonts w:ascii="Times New Roman" w:hAnsi="Times New Roman" w:cs="Times New Roman"/>
            </w:rPr>
            <w:instrText xml:space="preserve"> TOC \o "1-3" \h \z \u </w:instrText>
          </w:r>
          <w:r w:rsidRPr="0081044A">
            <w:rPr>
              <w:rFonts w:ascii="Times New Roman" w:hAnsi="Times New Roman" w:cs="Times New Roman"/>
            </w:rPr>
            <w:fldChar w:fldCharType="separate"/>
          </w:r>
          <w:hyperlink w:anchor="_Toc149509854" w:history="1">
            <w:r w:rsidRPr="0081044A">
              <w:rPr>
                <w:rStyle w:val="Hyperlink"/>
                <w:rFonts w:ascii="Times New Roman" w:hAnsi="Times New Roman" w:cs="Times New Roman"/>
                <w:b/>
                <w:noProof/>
              </w:rPr>
              <w:t>Task one</w:t>
            </w:r>
            <w:r w:rsidRPr="0081044A">
              <w:rPr>
                <w:rFonts w:ascii="Times New Roman" w:hAnsi="Times New Roman" w:cs="Times New Roman"/>
                <w:noProof/>
                <w:webHidden/>
              </w:rPr>
              <w:tab/>
            </w:r>
            <w:r w:rsidRPr="0081044A">
              <w:rPr>
                <w:rFonts w:ascii="Times New Roman" w:hAnsi="Times New Roman" w:cs="Times New Roman"/>
                <w:noProof/>
                <w:webHidden/>
              </w:rPr>
              <w:fldChar w:fldCharType="begin"/>
            </w:r>
            <w:r w:rsidRPr="0081044A">
              <w:rPr>
                <w:rFonts w:ascii="Times New Roman" w:hAnsi="Times New Roman" w:cs="Times New Roman"/>
                <w:noProof/>
                <w:webHidden/>
              </w:rPr>
              <w:instrText xml:space="preserve"> PAGEREF _Toc149509854 \h </w:instrText>
            </w:r>
            <w:r w:rsidRPr="0081044A">
              <w:rPr>
                <w:rFonts w:ascii="Times New Roman" w:hAnsi="Times New Roman" w:cs="Times New Roman"/>
                <w:noProof/>
                <w:webHidden/>
              </w:rPr>
            </w:r>
            <w:r w:rsidRPr="0081044A">
              <w:rPr>
                <w:rFonts w:ascii="Times New Roman" w:hAnsi="Times New Roman" w:cs="Times New Roman"/>
                <w:noProof/>
                <w:webHidden/>
              </w:rPr>
              <w:fldChar w:fldCharType="separate"/>
            </w:r>
            <w:r w:rsidRPr="0081044A">
              <w:rPr>
                <w:rFonts w:ascii="Times New Roman" w:hAnsi="Times New Roman" w:cs="Times New Roman"/>
                <w:noProof/>
                <w:webHidden/>
              </w:rPr>
              <w:t>3</w:t>
            </w:r>
            <w:r w:rsidRPr="0081044A">
              <w:rPr>
                <w:rFonts w:ascii="Times New Roman" w:hAnsi="Times New Roman" w:cs="Times New Roman"/>
                <w:noProof/>
                <w:webHidden/>
              </w:rPr>
              <w:fldChar w:fldCharType="end"/>
            </w:r>
          </w:hyperlink>
        </w:p>
        <w:p w:rsidR="003140EE" w:rsidRPr="0081044A" w:rsidRDefault="004145B7">
          <w:pPr>
            <w:pStyle w:val="TOC1"/>
            <w:tabs>
              <w:tab w:val="right" w:leader="dot" w:pos="9016"/>
            </w:tabs>
            <w:rPr>
              <w:rFonts w:ascii="Times New Roman" w:hAnsi="Times New Roman" w:cs="Times New Roman"/>
              <w:noProof/>
            </w:rPr>
          </w:pPr>
          <w:hyperlink w:anchor="_Toc149509855" w:history="1">
            <w:r w:rsidR="003140EE" w:rsidRPr="0081044A">
              <w:rPr>
                <w:rStyle w:val="Hyperlink"/>
                <w:rFonts w:ascii="Times New Roman" w:hAnsi="Times New Roman" w:cs="Times New Roman"/>
                <w:b/>
                <w:noProof/>
              </w:rPr>
              <w:t>Task two</w:t>
            </w:r>
            <w:r w:rsidR="003140EE" w:rsidRPr="0081044A">
              <w:rPr>
                <w:rFonts w:ascii="Times New Roman" w:hAnsi="Times New Roman" w:cs="Times New Roman"/>
                <w:noProof/>
                <w:webHidden/>
              </w:rPr>
              <w:tab/>
            </w:r>
            <w:r w:rsidR="003140EE" w:rsidRPr="0081044A">
              <w:rPr>
                <w:rFonts w:ascii="Times New Roman" w:hAnsi="Times New Roman" w:cs="Times New Roman"/>
                <w:noProof/>
                <w:webHidden/>
              </w:rPr>
              <w:fldChar w:fldCharType="begin"/>
            </w:r>
            <w:r w:rsidR="003140EE" w:rsidRPr="0081044A">
              <w:rPr>
                <w:rFonts w:ascii="Times New Roman" w:hAnsi="Times New Roman" w:cs="Times New Roman"/>
                <w:noProof/>
                <w:webHidden/>
              </w:rPr>
              <w:instrText xml:space="preserve"> PAGEREF _Toc149509855 \h </w:instrText>
            </w:r>
            <w:r w:rsidR="003140EE" w:rsidRPr="0081044A">
              <w:rPr>
                <w:rFonts w:ascii="Times New Roman" w:hAnsi="Times New Roman" w:cs="Times New Roman"/>
                <w:noProof/>
                <w:webHidden/>
              </w:rPr>
            </w:r>
            <w:r w:rsidR="003140EE" w:rsidRPr="0081044A">
              <w:rPr>
                <w:rFonts w:ascii="Times New Roman" w:hAnsi="Times New Roman" w:cs="Times New Roman"/>
                <w:noProof/>
                <w:webHidden/>
              </w:rPr>
              <w:fldChar w:fldCharType="separate"/>
            </w:r>
            <w:r w:rsidR="003140EE" w:rsidRPr="0081044A">
              <w:rPr>
                <w:rFonts w:ascii="Times New Roman" w:hAnsi="Times New Roman" w:cs="Times New Roman"/>
                <w:noProof/>
                <w:webHidden/>
              </w:rPr>
              <w:t>3</w:t>
            </w:r>
            <w:r w:rsidR="003140EE" w:rsidRPr="0081044A">
              <w:rPr>
                <w:rFonts w:ascii="Times New Roman" w:hAnsi="Times New Roman" w:cs="Times New Roman"/>
                <w:noProof/>
                <w:webHidden/>
              </w:rPr>
              <w:fldChar w:fldCharType="end"/>
            </w:r>
          </w:hyperlink>
        </w:p>
        <w:p w:rsidR="003140EE" w:rsidRPr="0081044A" w:rsidRDefault="004145B7">
          <w:pPr>
            <w:pStyle w:val="TOC1"/>
            <w:tabs>
              <w:tab w:val="right" w:leader="dot" w:pos="9016"/>
            </w:tabs>
            <w:rPr>
              <w:rFonts w:ascii="Times New Roman" w:hAnsi="Times New Roman" w:cs="Times New Roman"/>
              <w:noProof/>
            </w:rPr>
          </w:pPr>
          <w:hyperlink w:anchor="_Toc149509856" w:history="1">
            <w:r w:rsidR="003140EE" w:rsidRPr="0081044A">
              <w:rPr>
                <w:rStyle w:val="Hyperlink"/>
                <w:rFonts w:ascii="Times New Roman" w:hAnsi="Times New Roman" w:cs="Times New Roman"/>
                <w:b/>
                <w:noProof/>
              </w:rPr>
              <w:t>Task three</w:t>
            </w:r>
            <w:r w:rsidR="003140EE" w:rsidRPr="0081044A">
              <w:rPr>
                <w:rFonts w:ascii="Times New Roman" w:hAnsi="Times New Roman" w:cs="Times New Roman"/>
                <w:noProof/>
                <w:webHidden/>
              </w:rPr>
              <w:tab/>
            </w:r>
            <w:r w:rsidR="003140EE" w:rsidRPr="0081044A">
              <w:rPr>
                <w:rFonts w:ascii="Times New Roman" w:hAnsi="Times New Roman" w:cs="Times New Roman"/>
                <w:noProof/>
                <w:webHidden/>
              </w:rPr>
              <w:fldChar w:fldCharType="begin"/>
            </w:r>
            <w:r w:rsidR="003140EE" w:rsidRPr="0081044A">
              <w:rPr>
                <w:rFonts w:ascii="Times New Roman" w:hAnsi="Times New Roman" w:cs="Times New Roman"/>
                <w:noProof/>
                <w:webHidden/>
              </w:rPr>
              <w:instrText xml:space="preserve"> PAGEREF _Toc149509856 \h </w:instrText>
            </w:r>
            <w:r w:rsidR="003140EE" w:rsidRPr="0081044A">
              <w:rPr>
                <w:rFonts w:ascii="Times New Roman" w:hAnsi="Times New Roman" w:cs="Times New Roman"/>
                <w:noProof/>
                <w:webHidden/>
              </w:rPr>
            </w:r>
            <w:r w:rsidR="003140EE" w:rsidRPr="0081044A">
              <w:rPr>
                <w:rFonts w:ascii="Times New Roman" w:hAnsi="Times New Roman" w:cs="Times New Roman"/>
                <w:noProof/>
                <w:webHidden/>
              </w:rPr>
              <w:fldChar w:fldCharType="separate"/>
            </w:r>
            <w:r w:rsidR="003140EE" w:rsidRPr="0081044A">
              <w:rPr>
                <w:rFonts w:ascii="Times New Roman" w:hAnsi="Times New Roman" w:cs="Times New Roman"/>
                <w:noProof/>
                <w:webHidden/>
              </w:rPr>
              <w:t>5</w:t>
            </w:r>
            <w:r w:rsidR="003140EE" w:rsidRPr="0081044A">
              <w:rPr>
                <w:rFonts w:ascii="Times New Roman" w:hAnsi="Times New Roman" w:cs="Times New Roman"/>
                <w:noProof/>
                <w:webHidden/>
              </w:rPr>
              <w:fldChar w:fldCharType="end"/>
            </w:r>
          </w:hyperlink>
        </w:p>
        <w:p w:rsidR="003140EE" w:rsidRPr="0081044A" w:rsidRDefault="004145B7">
          <w:pPr>
            <w:pStyle w:val="TOC1"/>
            <w:tabs>
              <w:tab w:val="right" w:leader="dot" w:pos="9016"/>
            </w:tabs>
            <w:rPr>
              <w:rFonts w:ascii="Times New Roman" w:hAnsi="Times New Roman" w:cs="Times New Roman"/>
              <w:noProof/>
            </w:rPr>
          </w:pPr>
          <w:hyperlink w:anchor="_Toc149509857" w:history="1">
            <w:r w:rsidR="003140EE" w:rsidRPr="0081044A">
              <w:rPr>
                <w:rStyle w:val="Hyperlink"/>
                <w:rFonts w:ascii="Times New Roman" w:hAnsi="Times New Roman" w:cs="Times New Roman"/>
                <w:b/>
                <w:noProof/>
              </w:rPr>
              <w:t>References</w:t>
            </w:r>
            <w:r w:rsidR="003140EE" w:rsidRPr="0081044A">
              <w:rPr>
                <w:rFonts w:ascii="Times New Roman" w:hAnsi="Times New Roman" w:cs="Times New Roman"/>
                <w:noProof/>
                <w:webHidden/>
              </w:rPr>
              <w:tab/>
            </w:r>
            <w:r w:rsidR="003140EE" w:rsidRPr="0081044A">
              <w:rPr>
                <w:rFonts w:ascii="Times New Roman" w:hAnsi="Times New Roman" w:cs="Times New Roman"/>
                <w:noProof/>
                <w:webHidden/>
              </w:rPr>
              <w:fldChar w:fldCharType="begin"/>
            </w:r>
            <w:r w:rsidR="003140EE" w:rsidRPr="0081044A">
              <w:rPr>
                <w:rFonts w:ascii="Times New Roman" w:hAnsi="Times New Roman" w:cs="Times New Roman"/>
                <w:noProof/>
                <w:webHidden/>
              </w:rPr>
              <w:instrText xml:space="preserve"> PAGEREF _Toc149509857 \h </w:instrText>
            </w:r>
            <w:r w:rsidR="003140EE" w:rsidRPr="0081044A">
              <w:rPr>
                <w:rFonts w:ascii="Times New Roman" w:hAnsi="Times New Roman" w:cs="Times New Roman"/>
                <w:noProof/>
                <w:webHidden/>
              </w:rPr>
            </w:r>
            <w:r w:rsidR="003140EE" w:rsidRPr="0081044A">
              <w:rPr>
                <w:rFonts w:ascii="Times New Roman" w:hAnsi="Times New Roman" w:cs="Times New Roman"/>
                <w:noProof/>
                <w:webHidden/>
              </w:rPr>
              <w:fldChar w:fldCharType="separate"/>
            </w:r>
            <w:r w:rsidR="003140EE" w:rsidRPr="0081044A">
              <w:rPr>
                <w:rFonts w:ascii="Times New Roman" w:hAnsi="Times New Roman" w:cs="Times New Roman"/>
                <w:noProof/>
                <w:webHidden/>
              </w:rPr>
              <w:t>6</w:t>
            </w:r>
            <w:r w:rsidR="003140EE" w:rsidRPr="0081044A">
              <w:rPr>
                <w:rFonts w:ascii="Times New Roman" w:hAnsi="Times New Roman" w:cs="Times New Roman"/>
                <w:noProof/>
                <w:webHidden/>
              </w:rPr>
              <w:fldChar w:fldCharType="end"/>
            </w:r>
          </w:hyperlink>
        </w:p>
        <w:p w:rsidR="003140EE" w:rsidRPr="0081044A" w:rsidRDefault="003140EE">
          <w:pPr>
            <w:rPr>
              <w:rFonts w:ascii="Times New Roman" w:hAnsi="Times New Roman" w:cs="Times New Roman"/>
            </w:rPr>
          </w:pPr>
          <w:r w:rsidRPr="0081044A">
            <w:rPr>
              <w:rFonts w:ascii="Times New Roman" w:hAnsi="Times New Roman" w:cs="Times New Roman"/>
              <w:b/>
              <w:bCs/>
              <w:noProof/>
            </w:rPr>
            <w:fldChar w:fldCharType="end"/>
          </w:r>
        </w:p>
      </w:sdtContent>
    </w:sdt>
    <w:p w:rsidR="00ED11E3" w:rsidRPr="0081044A" w:rsidRDefault="00ED11E3" w:rsidP="00A80672">
      <w:p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br w:type="page"/>
      </w:r>
    </w:p>
    <w:p w:rsidR="00427CF3" w:rsidRPr="0081044A" w:rsidRDefault="00ED11E3" w:rsidP="00A80672">
      <w:pPr>
        <w:pStyle w:val="Heading1"/>
        <w:spacing w:line="360" w:lineRule="auto"/>
        <w:jc w:val="both"/>
        <w:rPr>
          <w:rFonts w:ascii="Times New Roman" w:hAnsi="Times New Roman" w:cs="Times New Roman"/>
          <w:b/>
          <w:sz w:val="24"/>
          <w:szCs w:val="24"/>
        </w:rPr>
      </w:pPr>
      <w:bookmarkStart w:id="1" w:name="_Toc149509854"/>
      <w:r w:rsidRPr="0081044A">
        <w:rPr>
          <w:rFonts w:ascii="Times New Roman" w:hAnsi="Times New Roman" w:cs="Times New Roman"/>
          <w:b/>
          <w:sz w:val="24"/>
          <w:szCs w:val="24"/>
        </w:rPr>
        <w:t>Task one</w:t>
      </w:r>
      <w:bookmarkEnd w:id="1"/>
    </w:p>
    <w:tbl>
      <w:tblPr>
        <w:tblW w:w="5820" w:type="dxa"/>
        <w:tblLook w:val="04A0" w:firstRow="1" w:lastRow="0" w:firstColumn="1" w:lastColumn="0" w:noHBand="0" w:noVBand="1"/>
      </w:tblPr>
      <w:tblGrid>
        <w:gridCol w:w="3572"/>
        <w:gridCol w:w="1124"/>
        <w:gridCol w:w="1124"/>
      </w:tblGrid>
      <w:tr w:rsidR="0081044A" w:rsidRPr="0081044A" w:rsidTr="0081044A">
        <w:trPr>
          <w:trHeight w:val="315"/>
        </w:trPr>
        <w:tc>
          <w:tcPr>
            <w:tcW w:w="58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Income Statement</w:t>
            </w:r>
          </w:p>
        </w:tc>
      </w:tr>
      <w:tr w:rsidR="0081044A" w:rsidRPr="0081044A" w:rsidTr="0081044A">
        <w:trPr>
          <w:trHeight w:val="315"/>
        </w:trPr>
        <w:tc>
          <w:tcPr>
            <w:tcW w:w="58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For the year ending 31st Aug 2023</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Amount</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Amount</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Sales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1,60,000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Returns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4,000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Discount Allowed</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700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Net Sales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1,55,300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COGS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Opening stock</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3,000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Add: Purchases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95,000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Returns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5,000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Discount Received</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Closing inventory</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90,800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Gross Profit</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xml:space="preserve">   64,500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Operating expenses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Rent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2,500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Less: Prepaid rent </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500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4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Salaries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28,000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Add: O/s Salary</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4,000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4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32,000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Electricity and gas expense</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1,500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Vehicle Maintenance</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Add: O/s Maintenance expenses</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3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double" w:sz="6"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1,000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3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Depreciation</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ind w:firstLineChars="100" w:firstLine="220"/>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Furniture</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1,800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ind w:firstLineChars="100" w:firstLine="220"/>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Vehicle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3,225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Provision for bad-debts</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1,110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42,635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Operating profit</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xml:space="preserve">   21,865 </w:t>
            </w:r>
          </w:p>
        </w:tc>
      </w:tr>
      <w:tr w:rsidR="0081044A" w:rsidRPr="0081044A" w:rsidTr="0081044A">
        <w:trPr>
          <w:trHeight w:val="300"/>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Interest</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1,000 </w:t>
            </w:r>
          </w:p>
        </w:tc>
      </w:tr>
      <w:tr w:rsidR="0081044A" w:rsidRPr="0081044A" w:rsidTr="0081044A">
        <w:trPr>
          <w:trHeight w:val="315"/>
        </w:trPr>
        <w:tc>
          <w:tcPr>
            <w:tcW w:w="3572"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Profit after interest before tax</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1124"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xml:space="preserve">   20,865 </w:t>
            </w:r>
          </w:p>
        </w:tc>
      </w:tr>
    </w:tbl>
    <w:p w:rsidR="00ED11E3" w:rsidRPr="0081044A" w:rsidRDefault="00ED11E3" w:rsidP="00A80672">
      <w:pPr>
        <w:spacing w:line="360" w:lineRule="auto"/>
        <w:jc w:val="both"/>
        <w:rPr>
          <w:rFonts w:ascii="Times New Roman" w:hAnsi="Times New Roman" w:cs="Times New Roman"/>
          <w:sz w:val="24"/>
          <w:szCs w:val="24"/>
        </w:rPr>
      </w:pPr>
    </w:p>
    <w:tbl>
      <w:tblPr>
        <w:tblW w:w="4820" w:type="dxa"/>
        <w:tblLook w:val="04A0" w:firstRow="1" w:lastRow="0" w:firstColumn="1" w:lastColumn="0" w:noHBand="0" w:noVBand="1"/>
      </w:tblPr>
      <w:tblGrid>
        <w:gridCol w:w="3820"/>
        <w:gridCol w:w="1057"/>
      </w:tblGrid>
      <w:tr w:rsidR="0081044A" w:rsidRPr="0081044A" w:rsidTr="0081044A">
        <w:trPr>
          <w:trHeight w:val="315"/>
        </w:trPr>
        <w:tc>
          <w:tcPr>
            <w:tcW w:w="382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Working note:</w:t>
            </w:r>
          </w:p>
        </w:tc>
        <w:tc>
          <w:tcPr>
            <w:tcW w:w="100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p>
        </w:tc>
      </w:tr>
      <w:tr w:rsidR="0081044A" w:rsidRPr="0081044A" w:rsidTr="0081044A">
        <w:trPr>
          <w:trHeight w:val="300"/>
        </w:trPr>
        <w:tc>
          <w:tcPr>
            <w:tcW w:w="382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Calculation of Depreciation</w:t>
            </w:r>
          </w:p>
        </w:tc>
        <w:tc>
          <w:tcPr>
            <w:tcW w:w="100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p>
        </w:tc>
      </w:tr>
      <w:tr w:rsidR="0081044A" w:rsidRPr="0081044A" w:rsidTr="0081044A">
        <w:trPr>
          <w:trHeight w:val="300"/>
        </w:trPr>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Furniture</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Dep on Furniture = 15,000 x 0.12 =</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1,800 </w:t>
            </w:r>
          </w:p>
        </w:tc>
      </w:tr>
      <w:tr w:rsidR="0081044A" w:rsidRPr="0081044A" w:rsidTr="0081044A">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Vehicle</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600"/>
        </w:trPr>
        <w:tc>
          <w:tcPr>
            <w:tcW w:w="3820" w:type="dxa"/>
            <w:tcBorders>
              <w:top w:val="nil"/>
              <w:left w:val="single" w:sz="4" w:space="0" w:color="auto"/>
              <w:bottom w:val="single" w:sz="4" w:space="0" w:color="auto"/>
              <w:right w:val="single" w:sz="4" w:space="0" w:color="auto"/>
            </w:tcBorders>
            <w:shd w:val="clear" w:color="auto" w:fill="auto"/>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Dep on Vehicle = (28,500 - 7,000) x 0.15 =</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3,225 </w:t>
            </w:r>
          </w:p>
        </w:tc>
      </w:tr>
      <w:tr w:rsidR="0081044A" w:rsidRPr="0081044A" w:rsidTr="0081044A">
        <w:trPr>
          <w:trHeight w:val="300"/>
        </w:trPr>
        <w:tc>
          <w:tcPr>
            <w:tcW w:w="382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p>
        </w:tc>
        <w:tc>
          <w:tcPr>
            <w:tcW w:w="100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sz w:val="20"/>
                <w:szCs w:val="20"/>
                <w:lang w:eastAsia="en-IN"/>
              </w:rPr>
            </w:pPr>
          </w:p>
        </w:tc>
      </w:tr>
      <w:tr w:rsidR="0081044A" w:rsidRPr="0081044A" w:rsidTr="0081044A">
        <w:trPr>
          <w:trHeight w:val="300"/>
        </w:trPr>
        <w:tc>
          <w:tcPr>
            <w:tcW w:w="382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sz w:val="20"/>
                <w:szCs w:val="20"/>
                <w:lang w:eastAsia="en-IN"/>
              </w:rPr>
            </w:pPr>
          </w:p>
        </w:tc>
        <w:tc>
          <w:tcPr>
            <w:tcW w:w="100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sz w:val="20"/>
                <w:szCs w:val="20"/>
                <w:lang w:eastAsia="en-IN"/>
              </w:rPr>
            </w:pPr>
          </w:p>
        </w:tc>
      </w:tr>
      <w:tr w:rsidR="0081044A" w:rsidRPr="0081044A" w:rsidTr="0081044A">
        <w:trPr>
          <w:trHeight w:val="300"/>
        </w:trPr>
        <w:tc>
          <w:tcPr>
            <w:tcW w:w="382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Provision for bad debts</w:t>
            </w:r>
          </w:p>
        </w:tc>
        <w:tc>
          <w:tcPr>
            <w:tcW w:w="1000" w:type="dxa"/>
            <w:tcBorders>
              <w:top w:val="nil"/>
              <w:left w:val="nil"/>
              <w:bottom w:val="nil"/>
              <w:right w:val="nil"/>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p>
        </w:tc>
      </w:tr>
      <w:tr w:rsidR="0081044A" w:rsidRPr="0081044A" w:rsidTr="0081044A">
        <w:trPr>
          <w:trHeight w:val="315"/>
        </w:trPr>
        <w:tc>
          <w:tcPr>
            <w:tcW w:w="3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Amount</w:t>
            </w:r>
          </w:p>
        </w:tc>
      </w:tr>
      <w:tr w:rsidR="0081044A" w:rsidRPr="0081044A" w:rsidTr="0081044A">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Bad-debts</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800 </w:t>
            </w:r>
          </w:p>
        </w:tc>
      </w:tr>
      <w:tr w:rsidR="0081044A" w:rsidRPr="0081044A" w:rsidTr="0081044A">
        <w:trPr>
          <w:trHeight w:val="600"/>
        </w:trPr>
        <w:tc>
          <w:tcPr>
            <w:tcW w:w="3820" w:type="dxa"/>
            <w:tcBorders>
              <w:top w:val="nil"/>
              <w:left w:val="single" w:sz="4" w:space="0" w:color="auto"/>
              <w:bottom w:val="single" w:sz="4" w:space="0" w:color="auto"/>
              <w:right w:val="single" w:sz="4" w:space="0" w:color="auto"/>
            </w:tcBorders>
            <w:shd w:val="clear" w:color="auto" w:fill="auto"/>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Add: New provision (17,000 - 800) @ 5%</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810 </w:t>
            </w:r>
          </w:p>
        </w:tc>
      </w:tr>
      <w:tr w:rsidR="0081044A" w:rsidRPr="0081044A" w:rsidTr="0081044A">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Old Provision</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500 </w:t>
            </w:r>
          </w:p>
        </w:tc>
      </w:tr>
      <w:tr w:rsidR="0081044A" w:rsidRPr="0081044A" w:rsidTr="0081044A">
        <w:trPr>
          <w:trHeight w:val="300"/>
        </w:trPr>
        <w:tc>
          <w:tcPr>
            <w:tcW w:w="3820"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1000"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1,110 </w:t>
            </w:r>
          </w:p>
        </w:tc>
      </w:tr>
    </w:tbl>
    <w:p w:rsidR="0081044A" w:rsidRPr="0081044A" w:rsidRDefault="0081044A" w:rsidP="00A80672">
      <w:pPr>
        <w:spacing w:line="360" w:lineRule="auto"/>
        <w:jc w:val="both"/>
        <w:rPr>
          <w:rFonts w:ascii="Times New Roman" w:hAnsi="Times New Roman" w:cs="Times New Roman"/>
          <w:sz w:val="24"/>
          <w:szCs w:val="24"/>
        </w:rPr>
      </w:pPr>
    </w:p>
    <w:tbl>
      <w:tblPr>
        <w:tblW w:w="5505" w:type="dxa"/>
        <w:tblLook w:val="04A0" w:firstRow="1" w:lastRow="0" w:firstColumn="1" w:lastColumn="0" w:noHBand="0" w:noVBand="1"/>
      </w:tblPr>
      <w:tblGrid>
        <w:gridCol w:w="2718"/>
        <w:gridCol w:w="929"/>
        <w:gridCol w:w="1057"/>
        <w:gridCol w:w="1057"/>
      </w:tblGrid>
      <w:tr w:rsidR="0081044A" w:rsidRPr="0081044A" w:rsidTr="0081044A">
        <w:trPr>
          <w:trHeight w:val="315"/>
        </w:trPr>
        <w:tc>
          <w:tcPr>
            <w:tcW w:w="550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Balance Sheet</w:t>
            </w:r>
          </w:p>
        </w:tc>
      </w:tr>
      <w:tr w:rsidR="0081044A" w:rsidRPr="0081044A" w:rsidTr="0081044A">
        <w:trPr>
          <w:trHeight w:val="315"/>
        </w:trPr>
        <w:tc>
          <w:tcPr>
            <w:tcW w:w="550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As on 31st Aug 2023</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Amount</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Amount</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ASSETS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Current Assets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Bank</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5,000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Inventory</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Prepaid rent</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500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Trade receivables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17,000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Bad debts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Provision (New)</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810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15,390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22,890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Non-current Assets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Furniture</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15,000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Accumulated Dep</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6,800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8,200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Vehicle</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28,500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Accumulated Dep</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10,225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18,275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26,475 </w:t>
            </w:r>
          </w:p>
        </w:tc>
      </w:tr>
      <w:tr w:rsidR="0081044A" w:rsidRPr="0081044A" w:rsidTr="0081044A">
        <w:trPr>
          <w:trHeight w:val="34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Total Assets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xml:space="preserve">  49,365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jc w:val="center"/>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EQUITY AND LIABILITIES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4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Current Liabilities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Trade payables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2,300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O/s Vehicle maintenance</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O/s Salaries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4,000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6,500 </w:t>
            </w:r>
          </w:p>
        </w:tc>
      </w:tr>
      <w:tr w:rsidR="0081044A" w:rsidRPr="0081044A" w:rsidTr="0081044A">
        <w:trPr>
          <w:trHeight w:val="33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3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Non-Current liabilities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Loan</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10,000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Total Liabilities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16,500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i/>
                <w:iCs/>
                <w:color w:val="000000"/>
                <w:sz w:val="24"/>
                <w:szCs w:val="24"/>
                <w:lang w:eastAsia="en-IN"/>
              </w:rPr>
            </w:pPr>
            <w:r w:rsidRPr="0081044A">
              <w:rPr>
                <w:rFonts w:ascii="Times New Roman" w:eastAsia="Times New Roman" w:hAnsi="Times New Roman" w:cs="Times New Roman"/>
                <w:i/>
                <w:iCs/>
                <w:color w:val="000000"/>
                <w:sz w:val="24"/>
                <w:szCs w:val="24"/>
                <w:lang w:eastAsia="en-IN"/>
              </w:rPr>
              <w:t>Equity</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Capital</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25,000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Less: Drawings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13,000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12,000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r>
      <w:tr w:rsidR="0081044A" w:rsidRPr="0081044A" w:rsidTr="0081044A">
        <w:trPr>
          <w:trHeight w:val="300"/>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Retained earnings</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20,865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color w:val="000000"/>
                <w:lang w:eastAsia="en-IN"/>
              </w:rPr>
            </w:pPr>
            <w:r w:rsidRPr="0081044A">
              <w:rPr>
                <w:rFonts w:ascii="Times New Roman" w:eastAsia="Times New Roman" w:hAnsi="Times New Roman" w:cs="Times New Roman"/>
                <w:color w:val="000000"/>
                <w:lang w:eastAsia="en-IN"/>
              </w:rPr>
              <w:t xml:space="preserve">     32,865 </w:t>
            </w:r>
          </w:p>
        </w:tc>
      </w:tr>
      <w:tr w:rsidR="0081044A" w:rsidRPr="0081044A" w:rsidTr="0081044A">
        <w:trPr>
          <w:trHeight w:val="315"/>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Total Equity and Liability</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w:t>
            </w:r>
          </w:p>
        </w:tc>
        <w:tc>
          <w:tcPr>
            <w:tcW w:w="929" w:type="dxa"/>
            <w:tcBorders>
              <w:top w:val="nil"/>
              <w:left w:val="nil"/>
              <w:bottom w:val="single" w:sz="4" w:space="0" w:color="auto"/>
              <w:right w:val="single" w:sz="4" w:space="0" w:color="auto"/>
            </w:tcBorders>
            <w:shd w:val="clear" w:color="auto" w:fill="auto"/>
            <w:noWrap/>
            <w:vAlign w:val="bottom"/>
            <w:hideMark/>
          </w:tcPr>
          <w:p w:rsidR="0081044A" w:rsidRPr="0081044A" w:rsidRDefault="0081044A" w:rsidP="0081044A">
            <w:pPr>
              <w:spacing w:after="0" w:line="240" w:lineRule="auto"/>
              <w:rPr>
                <w:rFonts w:ascii="Times New Roman" w:eastAsia="Times New Roman" w:hAnsi="Times New Roman" w:cs="Times New Roman"/>
                <w:b/>
                <w:bCs/>
                <w:color w:val="000000"/>
                <w:sz w:val="24"/>
                <w:szCs w:val="24"/>
                <w:lang w:eastAsia="en-IN"/>
              </w:rPr>
            </w:pPr>
            <w:r w:rsidRPr="0081044A">
              <w:rPr>
                <w:rFonts w:ascii="Times New Roman" w:eastAsia="Times New Roman" w:hAnsi="Times New Roman" w:cs="Times New Roman"/>
                <w:b/>
                <w:bCs/>
                <w:color w:val="000000"/>
                <w:sz w:val="24"/>
                <w:szCs w:val="24"/>
                <w:lang w:eastAsia="en-IN"/>
              </w:rPr>
              <w:t xml:space="preserve">  49,365 </w:t>
            </w:r>
          </w:p>
        </w:tc>
      </w:tr>
    </w:tbl>
    <w:p w:rsidR="0081044A" w:rsidRPr="0081044A" w:rsidRDefault="0081044A" w:rsidP="00A80672">
      <w:pPr>
        <w:spacing w:line="360" w:lineRule="auto"/>
        <w:jc w:val="both"/>
        <w:rPr>
          <w:rFonts w:ascii="Times New Roman" w:hAnsi="Times New Roman" w:cs="Times New Roman"/>
          <w:sz w:val="24"/>
          <w:szCs w:val="24"/>
        </w:rPr>
      </w:pPr>
    </w:p>
    <w:p w:rsidR="00ED11E3" w:rsidRPr="0081044A" w:rsidRDefault="00ED11E3" w:rsidP="00A80672">
      <w:pPr>
        <w:pStyle w:val="Heading1"/>
        <w:spacing w:line="360" w:lineRule="auto"/>
        <w:jc w:val="both"/>
        <w:rPr>
          <w:rFonts w:ascii="Times New Roman" w:hAnsi="Times New Roman" w:cs="Times New Roman"/>
          <w:b/>
          <w:sz w:val="24"/>
          <w:szCs w:val="24"/>
        </w:rPr>
      </w:pPr>
      <w:bookmarkStart w:id="2" w:name="_Toc149509855"/>
      <w:r w:rsidRPr="0081044A">
        <w:rPr>
          <w:rFonts w:ascii="Times New Roman" w:hAnsi="Times New Roman" w:cs="Times New Roman"/>
          <w:b/>
          <w:sz w:val="24"/>
          <w:szCs w:val="24"/>
        </w:rPr>
        <w:t>Task two</w:t>
      </w:r>
      <w:bookmarkEnd w:id="2"/>
    </w:p>
    <w:p w:rsidR="00ED11E3" w:rsidRPr="0081044A" w:rsidRDefault="00ED11E3" w:rsidP="00A80672">
      <w:pPr>
        <w:spacing w:line="360" w:lineRule="auto"/>
        <w:jc w:val="both"/>
        <w:rPr>
          <w:rFonts w:ascii="Times New Roman" w:hAnsi="Times New Roman" w:cs="Times New Roman"/>
          <w:b/>
          <w:sz w:val="24"/>
          <w:szCs w:val="24"/>
        </w:rPr>
      </w:pPr>
      <w:r w:rsidRPr="0081044A">
        <w:rPr>
          <w:rFonts w:ascii="Times New Roman" w:hAnsi="Times New Roman" w:cs="Times New Roman"/>
          <w:b/>
          <w:sz w:val="24"/>
          <w:szCs w:val="24"/>
        </w:rPr>
        <w:t>Ledger T account</w:t>
      </w:r>
    </w:p>
    <w:tbl>
      <w:tblPr>
        <w:tblW w:w="8620" w:type="dxa"/>
        <w:tblLook w:val="04A0" w:firstRow="1" w:lastRow="0" w:firstColumn="1" w:lastColumn="0" w:noHBand="0" w:noVBand="1"/>
      </w:tblPr>
      <w:tblGrid>
        <w:gridCol w:w="927"/>
        <w:gridCol w:w="2427"/>
        <w:gridCol w:w="993"/>
        <w:gridCol w:w="928"/>
        <w:gridCol w:w="2748"/>
        <w:gridCol w:w="993"/>
      </w:tblGrid>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Capital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20300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21000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02-Sep-23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Additional capital</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700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p>
        </w:tc>
        <w:tc>
          <w:tcPr>
            <w:tcW w:w="245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2781"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r>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Van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10000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27-Sep-23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Sale of van</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9000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p>
        </w:tc>
        <w:tc>
          <w:tcPr>
            <w:tcW w:w="245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2781"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r>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Bank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7000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07-Sep-23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Purchase products (cheque)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700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Deposit from van sale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6000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09-Sep-23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Receivable payment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Payment to supplier</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800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14500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p>
        </w:tc>
        <w:tc>
          <w:tcPr>
            <w:tcW w:w="245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2781"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r>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Cash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26-Sep-23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Advertisement payment (cash)</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500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1400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Personal cash withdrawal</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1200</w:t>
            </w:r>
          </w:p>
        </w:tc>
      </w:tr>
      <w:tr w:rsidR="00ED11E3" w:rsidRPr="0081044A" w:rsidTr="00ED11E3">
        <w:trPr>
          <w:trHeight w:val="300"/>
        </w:trPr>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p>
        </w:tc>
        <w:tc>
          <w:tcPr>
            <w:tcW w:w="245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2781"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r>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Receivables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5000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21-Sep-23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Invoiced new customer</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2400</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09-Sep-23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Receivable payment (bank)</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5600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p>
        </w:tc>
        <w:tc>
          <w:tcPr>
            <w:tcW w:w="245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937"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2781"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c>
          <w:tcPr>
            <w:tcW w:w="754" w:type="dxa"/>
            <w:tcBorders>
              <w:top w:val="nil"/>
              <w:left w:val="nil"/>
              <w:bottom w:val="nil"/>
              <w:right w:val="nil"/>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sz w:val="24"/>
                <w:szCs w:val="24"/>
                <w:lang w:eastAsia="en-IN"/>
              </w:rPr>
            </w:pPr>
          </w:p>
        </w:tc>
      </w:tr>
      <w:tr w:rsidR="00ED11E3" w:rsidRPr="0081044A" w:rsidTr="00ED11E3">
        <w:trPr>
          <w:trHeight w:val="300"/>
        </w:trPr>
        <w:tc>
          <w:tcPr>
            <w:tcW w:w="86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Payables Account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Debit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xml:space="preserve">Date </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Credit</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Amount</w:t>
            </w:r>
          </w:p>
        </w:tc>
      </w:tr>
      <w:tr w:rsidR="00ED11E3" w:rsidRPr="0081044A" w:rsidTr="00ED11E3">
        <w:trPr>
          <w:trHeight w:val="300"/>
        </w:trPr>
        <w:tc>
          <w:tcPr>
            <w:tcW w:w="937"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30-Sep-23</w:t>
            </w:r>
          </w:p>
        </w:tc>
        <w:tc>
          <w:tcPr>
            <w:tcW w:w="245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Closing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2000</w:t>
            </w:r>
          </w:p>
        </w:tc>
        <w:tc>
          <w:tcPr>
            <w:tcW w:w="937"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01-Sep-23</w:t>
            </w:r>
          </w:p>
        </w:tc>
        <w:tc>
          <w:tcPr>
            <w:tcW w:w="278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Opening balance</w:t>
            </w:r>
          </w:p>
        </w:tc>
        <w:tc>
          <w:tcPr>
            <w:tcW w:w="754"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2000</w:t>
            </w:r>
          </w:p>
        </w:tc>
      </w:tr>
    </w:tbl>
    <w:p w:rsidR="00ED11E3" w:rsidRPr="0081044A" w:rsidRDefault="00ED11E3" w:rsidP="00A80672">
      <w:pPr>
        <w:spacing w:line="360" w:lineRule="auto"/>
        <w:jc w:val="both"/>
        <w:rPr>
          <w:rFonts w:ascii="Times New Roman" w:hAnsi="Times New Roman" w:cs="Times New Roman"/>
          <w:sz w:val="24"/>
          <w:szCs w:val="24"/>
        </w:rPr>
      </w:pPr>
    </w:p>
    <w:tbl>
      <w:tblPr>
        <w:tblW w:w="4760" w:type="dxa"/>
        <w:tblLook w:val="04A0" w:firstRow="1" w:lastRow="0" w:firstColumn="1" w:lastColumn="0" w:noHBand="0" w:noVBand="1"/>
      </w:tblPr>
      <w:tblGrid>
        <w:gridCol w:w="2918"/>
        <w:gridCol w:w="921"/>
        <w:gridCol w:w="921"/>
      </w:tblGrid>
      <w:tr w:rsidR="00ED11E3" w:rsidRPr="0081044A" w:rsidTr="00ED11E3">
        <w:trPr>
          <w:trHeight w:val="300"/>
        </w:trPr>
        <w:tc>
          <w:tcPr>
            <w:tcW w:w="476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Trial balance</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DR</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CR</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Capital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24500</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Van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1000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Bank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14500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Cash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1400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Receivables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5600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Payables Account</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2000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w:t>
            </w:r>
          </w:p>
        </w:tc>
      </w:tr>
      <w:tr w:rsidR="00ED11E3" w:rsidRPr="0081044A" w:rsidTr="00ED11E3">
        <w:trPr>
          <w:trHeight w:val="300"/>
        </w:trPr>
        <w:tc>
          <w:tcPr>
            <w:tcW w:w="2918" w:type="dxa"/>
            <w:tcBorders>
              <w:top w:val="nil"/>
              <w:left w:val="single" w:sz="4" w:space="0" w:color="auto"/>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 Total</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24500</w:t>
            </w:r>
          </w:p>
        </w:tc>
        <w:tc>
          <w:tcPr>
            <w:tcW w:w="921" w:type="dxa"/>
            <w:tcBorders>
              <w:top w:val="nil"/>
              <w:left w:val="nil"/>
              <w:bottom w:val="single" w:sz="4" w:space="0" w:color="auto"/>
              <w:right w:val="single" w:sz="4" w:space="0" w:color="auto"/>
            </w:tcBorders>
            <w:shd w:val="clear" w:color="auto" w:fill="auto"/>
            <w:noWrap/>
            <w:vAlign w:val="bottom"/>
            <w:hideMark/>
          </w:tcPr>
          <w:p w:rsidR="00ED11E3" w:rsidRPr="0081044A" w:rsidRDefault="00ED11E3" w:rsidP="00A80672">
            <w:pPr>
              <w:spacing w:after="0" w:line="360" w:lineRule="auto"/>
              <w:jc w:val="both"/>
              <w:rPr>
                <w:rFonts w:ascii="Times New Roman" w:eastAsia="Times New Roman" w:hAnsi="Times New Roman" w:cs="Times New Roman"/>
                <w:color w:val="000000"/>
                <w:sz w:val="24"/>
                <w:szCs w:val="24"/>
                <w:lang w:eastAsia="en-IN"/>
              </w:rPr>
            </w:pPr>
            <w:r w:rsidRPr="0081044A">
              <w:rPr>
                <w:rFonts w:ascii="Times New Roman" w:eastAsia="Times New Roman" w:hAnsi="Times New Roman" w:cs="Times New Roman"/>
                <w:color w:val="000000"/>
                <w:sz w:val="24"/>
                <w:szCs w:val="24"/>
                <w:lang w:eastAsia="en-IN"/>
              </w:rPr>
              <w:t>24500</w:t>
            </w:r>
          </w:p>
        </w:tc>
      </w:tr>
    </w:tbl>
    <w:p w:rsidR="00ED11E3" w:rsidRPr="0081044A" w:rsidRDefault="00ED11E3" w:rsidP="00A80672">
      <w:pPr>
        <w:spacing w:line="360" w:lineRule="auto"/>
        <w:jc w:val="both"/>
        <w:rPr>
          <w:rFonts w:ascii="Times New Roman" w:hAnsi="Times New Roman" w:cs="Times New Roman"/>
          <w:sz w:val="24"/>
          <w:szCs w:val="24"/>
        </w:rPr>
      </w:pPr>
    </w:p>
    <w:p w:rsidR="00ED11E3" w:rsidRPr="0081044A" w:rsidRDefault="00ED11E3" w:rsidP="00A80672">
      <w:pPr>
        <w:pStyle w:val="Heading1"/>
        <w:spacing w:line="360" w:lineRule="auto"/>
        <w:jc w:val="both"/>
        <w:rPr>
          <w:rFonts w:ascii="Times New Roman" w:hAnsi="Times New Roman" w:cs="Times New Roman"/>
          <w:b/>
          <w:sz w:val="24"/>
          <w:szCs w:val="24"/>
        </w:rPr>
      </w:pPr>
      <w:bookmarkStart w:id="3" w:name="_Toc149509856"/>
      <w:r w:rsidRPr="0081044A">
        <w:rPr>
          <w:rFonts w:ascii="Times New Roman" w:hAnsi="Times New Roman" w:cs="Times New Roman"/>
          <w:b/>
          <w:sz w:val="24"/>
          <w:szCs w:val="24"/>
        </w:rPr>
        <w:t>Task three</w:t>
      </w:r>
      <w:bookmarkEnd w:id="3"/>
    </w:p>
    <w:p w:rsidR="00ED11E3" w:rsidRPr="0081044A" w:rsidRDefault="00ED11E3" w:rsidP="00A80672">
      <w:pPr>
        <w:spacing w:line="360" w:lineRule="auto"/>
        <w:jc w:val="both"/>
        <w:rPr>
          <w:rFonts w:ascii="Times New Roman" w:hAnsi="Times New Roman" w:cs="Times New Roman"/>
          <w:b/>
          <w:sz w:val="24"/>
          <w:szCs w:val="24"/>
        </w:rPr>
      </w:pPr>
      <w:r w:rsidRPr="0081044A">
        <w:rPr>
          <w:rFonts w:ascii="Times New Roman" w:hAnsi="Times New Roman" w:cs="Times New Roman"/>
          <w:b/>
          <w:sz w:val="24"/>
          <w:szCs w:val="24"/>
        </w:rPr>
        <w:t>Concept</w:t>
      </w:r>
    </w:p>
    <w:p w:rsidR="00ED11E3" w:rsidRPr="0081044A" w:rsidRDefault="00ED11E3" w:rsidP="00A80672">
      <w:p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t>The double entry accounting is a concept that is process of systematic way to record the financial transactions which assure that each entry has the two corresponding aspects including debit and credit. This is one of the key principles that shows the idea that for each action there is an equal and opposite reaction to assure an equal balance</w:t>
      </w:r>
      <w:r w:rsidR="009D6DA8" w:rsidRPr="0081044A">
        <w:rPr>
          <w:rFonts w:ascii="Times New Roman" w:hAnsi="Times New Roman" w:cs="Times New Roman"/>
          <w:sz w:val="24"/>
          <w:szCs w:val="24"/>
        </w:rPr>
        <w:t xml:space="preserve"> (</w:t>
      </w:r>
      <w:proofErr w:type="spellStart"/>
      <w:r w:rsidR="009D6DA8" w:rsidRPr="0081044A">
        <w:rPr>
          <w:rFonts w:ascii="Times New Roman" w:hAnsi="Times New Roman" w:cs="Times New Roman"/>
          <w:sz w:val="24"/>
          <w:szCs w:val="24"/>
        </w:rPr>
        <w:t>Faccia</w:t>
      </w:r>
      <w:proofErr w:type="spellEnd"/>
      <w:r w:rsidR="009D6DA8" w:rsidRPr="0081044A">
        <w:rPr>
          <w:rFonts w:ascii="Times New Roman" w:hAnsi="Times New Roman" w:cs="Times New Roman"/>
          <w:sz w:val="24"/>
          <w:szCs w:val="24"/>
        </w:rPr>
        <w:t xml:space="preserve">, and </w:t>
      </w:r>
      <w:proofErr w:type="spellStart"/>
      <w:r w:rsidR="009D6DA8" w:rsidRPr="0081044A">
        <w:rPr>
          <w:rFonts w:ascii="Times New Roman" w:hAnsi="Times New Roman" w:cs="Times New Roman"/>
          <w:sz w:val="24"/>
          <w:szCs w:val="24"/>
        </w:rPr>
        <w:t>Mosteanu</w:t>
      </w:r>
      <w:proofErr w:type="spellEnd"/>
      <w:r w:rsidR="009D6DA8" w:rsidRPr="0081044A">
        <w:rPr>
          <w:rFonts w:ascii="Times New Roman" w:hAnsi="Times New Roman" w:cs="Times New Roman"/>
          <w:sz w:val="24"/>
          <w:szCs w:val="24"/>
        </w:rPr>
        <w:t>, 2019)</w:t>
      </w:r>
      <w:r w:rsidRPr="0081044A">
        <w:rPr>
          <w:rFonts w:ascii="Times New Roman" w:hAnsi="Times New Roman" w:cs="Times New Roman"/>
          <w:sz w:val="24"/>
          <w:szCs w:val="24"/>
        </w:rPr>
        <w:t xml:space="preserve">. Under this method, each transaction affects to two accounts and sum of the debit needs to equal to the credit. </w:t>
      </w:r>
      <w:r w:rsidR="0028116D" w:rsidRPr="0081044A">
        <w:rPr>
          <w:rFonts w:ascii="Times New Roman" w:hAnsi="Times New Roman" w:cs="Times New Roman"/>
          <w:sz w:val="24"/>
          <w:szCs w:val="24"/>
        </w:rPr>
        <w:t xml:space="preserve">The accounting equation includes the foundation of the double entry accounting and detailed representation of the concept that expands in the complex and multi item presentation of the balance sheet. The balance sheet that is based on the double entry accounting system </w:t>
      </w:r>
      <w:r w:rsidR="001769C1" w:rsidRPr="0081044A">
        <w:rPr>
          <w:rFonts w:ascii="Times New Roman" w:hAnsi="Times New Roman" w:cs="Times New Roman"/>
          <w:sz w:val="24"/>
          <w:szCs w:val="24"/>
        </w:rPr>
        <w:t xml:space="preserve">should have total assets equal to the sum of the liabilities and equities. </w:t>
      </w:r>
    </w:p>
    <w:p w:rsidR="00ED11E3" w:rsidRPr="0081044A" w:rsidRDefault="00ED11E3" w:rsidP="00A80672">
      <w:pPr>
        <w:spacing w:line="360" w:lineRule="auto"/>
        <w:jc w:val="both"/>
        <w:rPr>
          <w:rFonts w:ascii="Times New Roman" w:hAnsi="Times New Roman" w:cs="Times New Roman"/>
          <w:b/>
          <w:sz w:val="24"/>
          <w:szCs w:val="24"/>
        </w:rPr>
      </w:pPr>
      <w:r w:rsidRPr="0081044A">
        <w:rPr>
          <w:rFonts w:ascii="Times New Roman" w:hAnsi="Times New Roman" w:cs="Times New Roman"/>
          <w:b/>
          <w:sz w:val="24"/>
          <w:szCs w:val="24"/>
        </w:rPr>
        <w:t>Application</w:t>
      </w:r>
    </w:p>
    <w:p w:rsidR="00990403" w:rsidRPr="0081044A" w:rsidRDefault="00990403" w:rsidP="00A80672">
      <w:p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t>The key purpose of this system is to assure that the accounts of the company remain balanced and can be applied to show an exact image of the current performance to the stakeholders</w:t>
      </w:r>
      <w:r w:rsidR="009D6DA8" w:rsidRPr="0081044A">
        <w:rPr>
          <w:rFonts w:ascii="Times New Roman" w:hAnsi="Times New Roman" w:cs="Times New Roman"/>
          <w:sz w:val="24"/>
          <w:szCs w:val="24"/>
        </w:rPr>
        <w:t xml:space="preserve"> (</w:t>
      </w:r>
      <w:proofErr w:type="spellStart"/>
      <w:r w:rsidR="009D6DA8" w:rsidRPr="0081044A">
        <w:rPr>
          <w:rFonts w:ascii="Times New Roman" w:hAnsi="Times New Roman" w:cs="Times New Roman"/>
          <w:sz w:val="24"/>
          <w:szCs w:val="24"/>
        </w:rPr>
        <w:t>Ovunda</w:t>
      </w:r>
      <w:proofErr w:type="spellEnd"/>
      <w:r w:rsidR="009D6DA8" w:rsidRPr="0081044A">
        <w:rPr>
          <w:rFonts w:ascii="Times New Roman" w:hAnsi="Times New Roman" w:cs="Times New Roman"/>
          <w:sz w:val="24"/>
          <w:szCs w:val="24"/>
        </w:rPr>
        <w:t>, 2015)</w:t>
      </w:r>
      <w:r w:rsidRPr="0081044A">
        <w:rPr>
          <w:rFonts w:ascii="Times New Roman" w:hAnsi="Times New Roman" w:cs="Times New Roman"/>
          <w:sz w:val="24"/>
          <w:szCs w:val="24"/>
        </w:rPr>
        <w:t xml:space="preserve">. </w:t>
      </w:r>
      <w:r w:rsidR="006352CE" w:rsidRPr="0081044A">
        <w:rPr>
          <w:rFonts w:ascii="Times New Roman" w:hAnsi="Times New Roman" w:cs="Times New Roman"/>
          <w:sz w:val="24"/>
          <w:szCs w:val="24"/>
        </w:rPr>
        <w:t>Below is the discussion of the application of this concept has been done:</w:t>
      </w:r>
    </w:p>
    <w:p w:rsidR="00BE3420" w:rsidRPr="0081044A" w:rsidRDefault="00BE3420" w:rsidP="00A80672">
      <w:pPr>
        <w:pStyle w:val="ListParagraph"/>
        <w:numPr>
          <w:ilvl w:val="0"/>
          <w:numId w:val="1"/>
        </w:num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t>Businesses: This is a base of the financial accounting and applied by the companies of all size to monitor and record the financial performance. This concept enables the companies to make corrective and reliable financial reports</w:t>
      </w:r>
      <w:r w:rsidR="009D6DA8" w:rsidRPr="0081044A">
        <w:rPr>
          <w:rFonts w:ascii="Times New Roman" w:hAnsi="Times New Roman" w:cs="Times New Roman"/>
          <w:sz w:val="24"/>
          <w:szCs w:val="24"/>
        </w:rPr>
        <w:t xml:space="preserve"> (Sangster, 2016)</w:t>
      </w:r>
      <w:r w:rsidRPr="0081044A">
        <w:rPr>
          <w:rFonts w:ascii="Times New Roman" w:hAnsi="Times New Roman" w:cs="Times New Roman"/>
          <w:sz w:val="24"/>
          <w:szCs w:val="24"/>
        </w:rPr>
        <w:t>.</w:t>
      </w:r>
    </w:p>
    <w:p w:rsidR="004B6BA2" w:rsidRPr="0081044A" w:rsidRDefault="00BE3420" w:rsidP="00A80672">
      <w:pPr>
        <w:pStyle w:val="ListParagraph"/>
        <w:numPr>
          <w:ilvl w:val="0"/>
          <w:numId w:val="1"/>
        </w:num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t>Government and NGOs: The public companies like the government entities use the double entry accounting to handle the transparency of the finances and public funds. It is important to assure the accountability.</w:t>
      </w:r>
    </w:p>
    <w:p w:rsidR="00BE3420" w:rsidRPr="0081044A" w:rsidRDefault="002A48EE" w:rsidP="00A80672">
      <w:pPr>
        <w:spacing w:line="360" w:lineRule="auto"/>
        <w:jc w:val="both"/>
        <w:rPr>
          <w:rFonts w:ascii="Times New Roman" w:hAnsi="Times New Roman" w:cs="Times New Roman"/>
          <w:b/>
          <w:sz w:val="24"/>
          <w:szCs w:val="24"/>
        </w:rPr>
      </w:pPr>
      <w:r w:rsidRPr="0081044A">
        <w:rPr>
          <w:rFonts w:ascii="Times New Roman" w:hAnsi="Times New Roman" w:cs="Times New Roman"/>
          <w:b/>
          <w:sz w:val="24"/>
          <w:szCs w:val="24"/>
        </w:rPr>
        <w:t xml:space="preserve">Evolution </w:t>
      </w:r>
    </w:p>
    <w:p w:rsidR="00ED11E3" w:rsidRPr="0081044A" w:rsidRDefault="001973BC" w:rsidP="00A80672">
      <w:pPr>
        <w:spacing w:line="360" w:lineRule="auto"/>
        <w:jc w:val="both"/>
        <w:rPr>
          <w:rFonts w:ascii="Times New Roman" w:hAnsi="Times New Roman" w:cs="Times New Roman"/>
          <w:sz w:val="24"/>
          <w:szCs w:val="24"/>
        </w:rPr>
      </w:pPr>
      <w:r w:rsidRPr="0081044A">
        <w:rPr>
          <w:rFonts w:ascii="Times New Roman" w:hAnsi="Times New Roman" w:cs="Times New Roman"/>
          <w:sz w:val="24"/>
          <w:szCs w:val="24"/>
        </w:rPr>
        <w:t xml:space="preserve">This concept has been used for at least hundreds of the years because the accounting played a key role in the companies and society. </w:t>
      </w:r>
      <w:r w:rsidR="002A48EE" w:rsidRPr="0081044A">
        <w:rPr>
          <w:rFonts w:ascii="Times New Roman" w:hAnsi="Times New Roman" w:cs="Times New Roman"/>
          <w:sz w:val="24"/>
          <w:szCs w:val="24"/>
        </w:rPr>
        <w:t>The modern double entry bookkeeping system can be seen to the 13</w:t>
      </w:r>
      <w:r w:rsidR="002A48EE" w:rsidRPr="0081044A">
        <w:rPr>
          <w:rFonts w:ascii="Times New Roman" w:hAnsi="Times New Roman" w:cs="Times New Roman"/>
          <w:sz w:val="24"/>
          <w:szCs w:val="24"/>
          <w:vertAlign w:val="superscript"/>
        </w:rPr>
        <w:t>th</w:t>
      </w:r>
      <w:r w:rsidR="002A48EE" w:rsidRPr="0081044A">
        <w:rPr>
          <w:rFonts w:ascii="Times New Roman" w:hAnsi="Times New Roman" w:cs="Times New Roman"/>
          <w:sz w:val="24"/>
          <w:szCs w:val="24"/>
        </w:rPr>
        <w:t xml:space="preserve"> to 14</w:t>
      </w:r>
      <w:r w:rsidR="002A48EE" w:rsidRPr="0081044A">
        <w:rPr>
          <w:rFonts w:ascii="Times New Roman" w:hAnsi="Times New Roman" w:cs="Times New Roman"/>
          <w:sz w:val="24"/>
          <w:szCs w:val="24"/>
          <w:vertAlign w:val="superscript"/>
        </w:rPr>
        <w:t>th</w:t>
      </w:r>
      <w:r w:rsidR="002A48EE" w:rsidRPr="0081044A">
        <w:rPr>
          <w:rFonts w:ascii="Times New Roman" w:hAnsi="Times New Roman" w:cs="Times New Roman"/>
          <w:sz w:val="24"/>
          <w:szCs w:val="24"/>
        </w:rPr>
        <w:t xml:space="preserve"> centuries when this began to use by Italian merchants</w:t>
      </w:r>
      <w:r w:rsidR="009D6DA8" w:rsidRPr="0081044A">
        <w:rPr>
          <w:rFonts w:ascii="Times New Roman" w:hAnsi="Times New Roman" w:cs="Times New Roman"/>
          <w:sz w:val="24"/>
          <w:szCs w:val="24"/>
        </w:rPr>
        <w:t xml:space="preserve"> (</w:t>
      </w:r>
      <w:proofErr w:type="spellStart"/>
      <w:r w:rsidR="009D6DA8" w:rsidRPr="0081044A">
        <w:rPr>
          <w:rFonts w:ascii="Times New Roman" w:hAnsi="Times New Roman" w:cs="Times New Roman"/>
          <w:sz w:val="24"/>
          <w:szCs w:val="24"/>
        </w:rPr>
        <w:t>Im</w:t>
      </w:r>
      <w:proofErr w:type="spellEnd"/>
      <w:r w:rsidR="009D6DA8" w:rsidRPr="0081044A">
        <w:rPr>
          <w:rFonts w:ascii="Times New Roman" w:hAnsi="Times New Roman" w:cs="Times New Roman"/>
          <w:sz w:val="24"/>
          <w:szCs w:val="24"/>
        </w:rPr>
        <w:t>, Lee, and Lim, 2018)</w:t>
      </w:r>
      <w:r w:rsidR="002A48EE" w:rsidRPr="0081044A">
        <w:rPr>
          <w:rFonts w:ascii="Times New Roman" w:hAnsi="Times New Roman" w:cs="Times New Roman"/>
          <w:sz w:val="24"/>
          <w:szCs w:val="24"/>
        </w:rPr>
        <w:t>. The 1</w:t>
      </w:r>
      <w:r w:rsidR="002A48EE" w:rsidRPr="0081044A">
        <w:rPr>
          <w:rFonts w:ascii="Times New Roman" w:hAnsi="Times New Roman" w:cs="Times New Roman"/>
          <w:sz w:val="24"/>
          <w:szCs w:val="24"/>
          <w:vertAlign w:val="superscript"/>
        </w:rPr>
        <w:t>st</w:t>
      </w:r>
      <w:r w:rsidR="002A48EE" w:rsidRPr="0081044A">
        <w:rPr>
          <w:rFonts w:ascii="Times New Roman" w:hAnsi="Times New Roman" w:cs="Times New Roman"/>
          <w:sz w:val="24"/>
          <w:szCs w:val="24"/>
        </w:rPr>
        <w:t xml:space="preserve"> known documentation of this system was firstly recorded in the year 1494 by Luca </w:t>
      </w:r>
      <w:proofErr w:type="spellStart"/>
      <w:r w:rsidR="002A48EE" w:rsidRPr="0081044A">
        <w:rPr>
          <w:rFonts w:ascii="Times New Roman" w:hAnsi="Times New Roman" w:cs="Times New Roman"/>
          <w:sz w:val="24"/>
          <w:szCs w:val="24"/>
        </w:rPr>
        <w:t>Pacioli</w:t>
      </w:r>
      <w:proofErr w:type="spellEnd"/>
      <w:r w:rsidR="002A48EE" w:rsidRPr="0081044A">
        <w:rPr>
          <w:rFonts w:ascii="Times New Roman" w:hAnsi="Times New Roman" w:cs="Times New Roman"/>
          <w:sz w:val="24"/>
          <w:szCs w:val="24"/>
        </w:rPr>
        <w:t xml:space="preserve"> who is known as the father of accounting because of the book published. </w:t>
      </w:r>
    </w:p>
    <w:p w:rsidR="00A80672" w:rsidRPr="0081044A" w:rsidRDefault="00A80672">
      <w:pPr>
        <w:rPr>
          <w:rFonts w:ascii="Times New Roman" w:eastAsiaTheme="majorEastAsia" w:hAnsi="Times New Roman" w:cs="Times New Roman"/>
          <w:color w:val="2F5496" w:themeColor="accent1" w:themeShade="BF"/>
          <w:sz w:val="24"/>
          <w:szCs w:val="24"/>
        </w:rPr>
      </w:pPr>
      <w:r w:rsidRPr="0081044A">
        <w:rPr>
          <w:rFonts w:ascii="Times New Roman" w:hAnsi="Times New Roman" w:cs="Times New Roman"/>
          <w:sz w:val="24"/>
          <w:szCs w:val="24"/>
        </w:rPr>
        <w:br w:type="page"/>
      </w:r>
    </w:p>
    <w:p w:rsidR="00575912" w:rsidRPr="0081044A" w:rsidRDefault="00FC1A21" w:rsidP="00A80672">
      <w:pPr>
        <w:pStyle w:val="Heading1"/>
        <w:spacing w:line="360" w:lineRule="auto"/>
        <w:jc w:val="both"/>
        <w:rPr>
          <w:rFonts w:ascii="Times New Roman" w:hAnsi="Times New Roman" w:cs="Times New Roman"/>
          <w:b/>
          <w:sz w:val="24"/>
          <w:szCs w:val="24"/>
        </w:rPr>
      </w:pPr>
      <w:bookmarkStart w:id="4" w:name="_Toc149509857"/>
      <w:r w:rsidRPr="0081044A">
        <w:rPr>
          <w:rFonts w:ascii="Times New Roman" w:hAnsi="Times New Roman" w:cs="Times New Roman"/>
          <w:b/>
          <w:sz w:val="24"/>
          <w:szCs w:val="24"/>
        </w:rPr>
        <w:t>References</w:t>
      </w:r>
      <w:bookmarkEnd w:id="4"/>
    </w:p>
    <w:p w:rsidR="00A80672" w:rsidRPr="0081044A" w:rsidRDefault="00A80672" w:rsidP="00A80672">
      <w:pPr>
        <w:spacing w:line="240" w:lineRule="auto"/>
        <w:jc w:val="both"/>
        <w:rPr>
          <w:rFonts w:ascii="Times New Roman" w:hAnsi="Times New Roman" w:cs="Times New Roman"/>
          <w:sz w:val="24"/>
          <w:szCs w:val="24"/>
        </w:rPr>
      </w:pPr>
      <w:proofErr w:type="spellStart"/>
      <w:r w:rsidRPr="0081044A">
        <w:rPr>
          <w:rFonts w:ascii="Times New Roman" w:hAnsi="Times New Roman" w:cs="Times New Roman"/>
          <w:sz w:val="24"/>
          <w:szCs w:val="24"/>
        </w:rPr>
        <w:t>Faccia</w:t>
      </w:r>
      <w:proofErr w:type="spellEnd"/>
      <w:r w:rsidRPr="0081044A">
        <w:rPr>
          <w:rFonts w:ascii="Times New Roman" w:hAnsi="Times New Roman" w:cs="Times New Roman"/>
          <w:sz w:val="24"/>
          <w:szCs w:val="24"/>
        </w:rPr>
        <w:t xml:space="preserve">, A. and </w:t>
      </w:r>
      <w:proofErr w:type="spellStart"/>
      <w:r w:rsidRPr="0081044A">
        <w:rPr>
          <w:rFonts w:ascii="Times New Roman" w:hAnsi="Times New Roman" w:cs="Times New Roman"/>
          <w:sz w:val="24"/>
          <w:szCs w:val="24"/>
        </w:rPr>
        <w:t>Mosteanu</w:t>
      </w:r>
      <w:proofErr w:type="spellEnd"/>
      <w:r w:rsidRPr="0081044A">
        <w:rPr>
          <w:rFonts w:ascii="Times New Roman" w:hAnsi="Times New Roman" w:cs="Times New Roman"/>
          <w:sz w:val="24"/>
          <w:szCs w:val="24"/>
        </w:rPr>
        <w:t>, N.R., 2019. Accounting and blockchain technology: from double-entry to triple-entry. The Business &amp; Management Review, 10(2), pp.108-116.</w:t>
      </w:r>
    </w:p>
    <w:p w:rsidR="00A80672" w:rsidRPr="0081044A" w:rsidRDefault="00A80672" w:rsidP="00A80672">
      <w:pPr>
        <w:spacing w:line="240" w:lineRule="auto"/>
        <w:jc w:val="both"/>
        <w:rPr>
          <w:rFonts w:ascii="Times New Roman" w:hAnsi="Times New Roman" w:cs="Times New Roman"/>
          <w:sz w:val="24"/>
          <w:szCs w:val="24"/>
        </w:rPr>
      </w:pPr>
      <w:proofErr w:type="spellStart"/>
      <w:r w:rsidRPr="0081044A">
        <w:rPr>
          <w:rFonts w:ascii="Times New Roman" w:hAnsi="Times New Roman" w:cs="Times New Roman"/>
          <w:sz w:val="24"/>
          <w:szCs w:val="24"/>
        </w:rPr>
        <w:t>Im</w:t>
      </w:r>
      <w:proofErr w:type="spellEnd"/>
      <w:r w:rsidRPr="0081044A">
        <w:rPr>
          <w:rFonts w:ascii="Times New Roman" w:hAnsi="Times New Roman" w:cs="Times New Roman"/>
          <w:sz w:val="24"/>
          <w:szCs w:val="24"/>
        </w:rPr>
        <w:t>, T., Lee, H. and Lim, D., 2018. Questionable Reform: The Adoption of the Double-Entry Bookkeeping and Accrual Basis Accounting System in Korea. Journal of Policy Studies, 33(1), pp.57-80.</w:t>
      </w:r>
    </w:p>
    <w:p w:rsidR="00A80672" w:rsidRPr="0081044A" w:rsidRDefault="00A80672" w:rsidP="00A80672">
      <w:pPr>
        <w:spacing w:line="240" w:lineRule="auto"/>
        <w:jc w:val="both"/>
        <w:rPr>
          <w:rFonts w:ascii="Times New Roman" w:hAnsi="Times New Roman" w:cs="Times New Roman"/>
          <w:sz w:val="24"/>
          <w:szCs w:val="24"/>
        </w:rPr>
      </w:pPr>
      <w:proofErr w:type="spellStart"/>
      <w:r w:rsidRPr="0081044A">
        <w:rPr>
          <w:rFonts w:ascii="Times New Roman" w:hAnsi="Times New Roman" w:cs="Times New Roman"/>
          <w:sz w:val="24"/>
          <w:szCs w:val="24"/>
        </w:rPr>
        <w:t>Ovunda</w:t>
      </w:r>
      <w:proofErr w:type="spellEnd"/>
      <w:r w:rsidRPr="0081044A">
        <w:rPr>
          <w:rFonts w:ascii="Times New Roman" w:hAnsi="Times New Roman" w:cs="Times New Roman"/>
          <w:sz w:val="24"/>
          <w:szCs w:val="24"/>
        </w:rPr>
        <w:t xml:space="preserve">, A.S., 2015. Luca </w:t>
      </w:r>
      <w:proofErr w:type="spellStart"/>
      <w:r w:rsidRPr="0081044A">
        <w:rPr>
          <w:rFonts w:ascii="Times New Roman" w:hAnsi="Times New Roman" w:cs="Times New Roman"/>
          <w:sz w:val="24"/>
          <w:szCs w:val="24"/>
        </w:rPr>
        <w:t>pacioli’s</w:t>
      </w:r>
      <w:proofErr w:type="spellEnd"/>
      <w:r w:rsidRPr="0081044A">
        <w:rPr>
          <w:rFonts w:ascii="Times New Roman" w:hAnsi="Times New Roman" w:cs="Times New Roman"/>
          <w:sz w:val="24"/>
          <w:szCs w:val="24"/>
        </w:rPr>
        <w:t xml:space="preserve"> double-entry system of accounting: A critique. Research Journal of Finance and Accounting, 6(18), pp.132-139.</w:t>
      </w:r>
    </w:p>
    <w:p w:rsidR="00A80672" w:rsidRPr="0081044A" w:rsidRDefault="00A80672" w:rsidP="00A80672">
      <w:pPr>
        <w:spacing w:line="240" w:lineRule="auto"/>
        <w:jc w:val="both"/>
        <w:rPr>
          <w:rFonts w:ascii="Times New Roman" w:hAnsi="Times New Roman" w:cs="Times New Roman"/>
          <w:sz w:val="24"/>
          <w:szCs w:val="24"/>
        </w:rPr>
      </w:pPr>
      <w:r w:rsidRPr="0081044A">
        <w:rPr>
          <w:rFonts w:ascii="Times New Roman" w:hAnsi="Times New Roman" w:cs="Times New Roman"/>
          <w:sz w:val="24"/>
          <w:szCs w:val="24"/>
        </w:rPr>
        <w:t>Sangster, A., 2016. The genesis of double entry bookkeeping. The Accounting Review, 91(1), pp.299-315.</w:t>
      </w:r>
    </w:p>
    <w:sectPr w:rsidR="00A80672" w:rsidRPr="0081044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45B7" w:rsidRDefault="004145B7" w:rsidP="00FC63D6">
      <w:pPr>
        <w:spacing w:after="0" w:line="240" w:lineRule="auto"/>
      </w:pPr>
      <w:r>
        <w:separator/>
      </w:r>
    </w:p>
  </w:endnote>
  <w:endnote w:type="continuationSeparator" w:id="0">
    <w:p w:rsidR="004145B7" w:rsidRDefault="004145B7" w:rsidP="00FC6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122681"/>
      <w:docPartObj>
        <w:docPartGallery w:val="Page Numbers (Bottom of Page)"/>
        <w:docPartUnique/>
      </w:docPartObj>
    </w:sdtPr>
    <w:sdtEndPr>
      <w:rPr>
        <w:noProof/>
      </w:rPr>
    </w:sdtEndPr>
    <w:sdtContent>
      <w:p w:rsidR="00FC63D6" w:rsidRDefault="00FC63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C63D6" w:rsidRDefault="00FC6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45B7" w:rsidRDefault="004145B7" w:rsidP="00FC63D6">
      <w:pPr>
        <w:spacing w:after="0" w:line="240" w:lineRule="auto"/>
      </w:pPr>
      <w:r>
        <w:separator/>
      </w:r>
    </w:p>
  </w:footnote>
  <w:footnote w:type="continuationSeparator" w:id="0">
    <w:p w:rsidR="004145B7" w:rsidRDefault="004145B7" w:rsidP="00FC6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8B4192"/>
    <w:multiLevelType w:val="hybridMultilevel"/>
    <w:tmpl w:val="A9E2E2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4F"/>
    <w:rsid w:val="001769C1"/>
    <w:rsid w:val="001973BC"/>
    <w:rsid w:val="001F03B8"/>
    <w:rsid w:val="0028116D"/>
    <w:rsid w:val="002A48EE"/>
    <w:rsid w:val="002D054F"/>
    <w:rsid w:val="003140EE"/>
    <w:rsid w:val="004145B7"/>
    <w:rsid w:val="00427CF3"/>
    <w:rsid w:val="004B0356"/>
    <w:rsid w:val="004B6BA2"/>
    <w:rsid w:val="00521F88"/>
    <w:rsid w:val="00575912"/>
    <w:rsid w:val="006352CE"/>
    <w:rsid w:val="0081044A"/>
    <w:rsid w:val="00990403"/>
    <w:rsid w:val="009C22FE"/>
    <w:rsid w:val="009D6DA8"/>
    <w:rsid w:val="00A22CC7"/>
    <w:rsid w:val="00A80672"/>
    <w:rsid w:val="00BE3420"/>
    <w:rsid w:val="00C727F5"/>
    <w:rsid w:val="00ED11E3"/>
    <w:rsid w:val="00FC1A21"/>
    <w:rsid w:val="00FC63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C116E6-FBC3-4532-8F2A-9F755896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1E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352CE"/>
    <w:pPr>
      <w:ind w:left="720"/>
      <w:contextualSpacing/>
    </w:pPr>
  </w:style>
  <w:style w:type="paragraph" w:styleId="TOCHeading">
    <w:name w:val="TOC Heading"/>
    <w:basedOn w:val="Heading1"/>
    <w:next w:val="Normal"/>
    <w:uiPriority w:val="39"/>
    <w:unhideWhenUsed/>
    <w:qFormat/>
    <w:rsid w:val="003140EE"/>
    <w:pPr>
      <w:outlineLvl w:val="9"/>
    </w:pPr>
    <w:rPr>
      <w:lang w:val="en-US"/>
    </w:rPr>
  </w:style>
  <w:style w:type="paragraph" w:styleId="TOC1">
    <w:name w:val="toc 1"/>
    <w:basedOn w:val="Normal"/>
    <w:next w:val="Normal"/>
    <w:autoRedefine/>
    <w:uiPriority w:val="39"/>
    <w:unhideWhenUsed/>
    <w:rsid w:val="003140EE"/>
    <w:pPr>
      <w:spacing w:after="100"/>
    </w:pPr>
  </w:style>
  <w:style w:type="character" w:styleId="Hyperlink">
    <w:name w:val="Hyperlink"/>
    <w:basedOn w:val="DefaultParagraphFont"/>
    <w:uiPriority w:val="99"/>
    <w:unhideWhenUsed/>
    <w:rsid w:val="003140EE"/>
    <w:rPr>
      <w:color w:val="0563C1" w:themeColor="hyperlink"/>
      <w:u w:val="single"/>
    </w:rPr>
  </w:style>
  <w:style w:type="paragraph" w:styleId="Header">
    <w:name w:val="header"/>
    <w:basedOn w:val="Normal"/>
    <w:link w:val="HeaderChar"/>
    <w:uiPriority w:val="99"/>
    <w:unhideWhenUsed/>
    <w:rsid w:val="00FC6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3D6"/>
  </w:style>
  <w:style w:type="paragraph" w:styleId="Footer">
    <w:name w:val="footer"/>
    <w:basedOn w:val="Normal"/>
    <w:link w:val="FooterChar"/>
    <w:uiPriority w:val="99"/>
    <w:unhideWhenUsed/>
    <w:rsid w:val="00FC6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729000">
      <w:bodyDiv w:val="1"/>
      <w:marLeft w:val="0"/>
      <w:marRight w:val="0"/>
      <w:marTop w:val="0"/>
      <w:marBottom w:val="0"/>
      <w:divBdr>
        <w:top w:val="none" w:sz="0" w:space="0" w:color="auto"/>
        <w:left w:val="none" w:sz="0" w:space="0" w:color="auto"/>
        <w:bottom w:val="none" w:sz="0" w:space="0" w:color="auto"/>
        <w:right w:val="none" w:sz="0" w:space="0" w:color="auto"/>
      </w:divBdr>
    </w:div>
    <w:div w:id="780421224">
      <w:bodyDiv w:val="1"/>
      <w:marLeft w:val="0"/>
      <w:marRight w:val="0"/>
      <w:marTop w:val="0"/>
      <w:marBottom w:val="0"/>
      <w:divBdr>
        <w:top w:val="none" w:sz="0" w:space="0" w:color="auto"/>
        <w:left w:val="none" w:sz="0" w:space="0" w:color="auto"/>
        <w:bottom w:val="none" w:sz="0" w:space="0" w:color="auto"/>
        <w:right w:val="none" w:sz="0" w:space="0" w:color="auto"/>
      </w:divBdr>
    </w:div>
    <w:div w:id="1167600017">
      <w:bodyDiv w:val="1"/>
      <w:marLeft w:val="0"/>
      <w:marRight w:val="0"/>
      <w:marTop w:val="0"/>
      <w:marBottom w:val="0"/>
      <w:divBdr>
        <w:top w:val="none" w:sz="0" w:space="0" w:color="auto"/>
        <w:left w:val="none" w:sz="0" w:space="0" w:color="auto"/>
        <w:bottom w:val="none" w:sz="0" w:space="0" w:color="auto"/>
        <w:right w:val="none" w:sz="0" w:space="0" w:color="auto"/>
      </w:divBdr>
    </w:div>
    <w:div w:id="1206068220">
      <w:bodyDiv w:val="1"/>
      <w:marLeft w:val="0"/>
      <w:marRight w:val="0"/>
      <w:marTop w:val="0"/>
      <w:marBottom w:val="0"/>
      <w:divBdr>
        <w:top w:val="none" w:sz="0" w:space="0" w:color="auto"/>
        <w:left w:val="none" w:sz="0" w:space="0" w:color="auto"/>
        <w:bottom w:val="none" w:sz="0" w:space="0" w:color="auto"/>
        <w:right w:val="none" w:sz="0" w:space="0" w:color="auto"/>
      </w:divBdr>
    </w:div>
    <w:div w:id="17430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CD8C6-0D5F-4ADF-97CB-901C1D3E7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1035</Words>
  <Characters>5906</Characters>
  <Application>Microsoft Office Word</Application>
  <DocSecurity>0</DocSecurity>
  <Lines>49</Lines>
  <Paragraphs>13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Task one</vt:lpstr>
      <vt:lpstr>Task two</vt:lpstr>
      <vt:lpstr>Task three</vt:lpstr>
    </vt:vector>
  </TitlesOfParts>
  <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17</cp:revision>
  <dcterms:created xsi:type="dcterms:W3CDTF">2023-10-29T16:04:00Z</dcterms:created>
  <dcterms:modified xsi:type="dcterms:W3CDTF">2023-10-31T13:29:00Z</dcterms:modified>
</cp:coreProperties>
</file>