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F18B7" w14:textId="77777777" w:rsidR="00F42334" w:rsidRPr="00A85BFE" w:rsidRDefault="00F42334" w:rsidP="00F42334">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3872" behindDoc="0" locked="0" layoutInCell="1" allowOverlap="1" wp14:anchorId="06E2A554" wp14:editId="3FED3C5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47B411BA" w14:textId="77777777" w:rsidR="00F42334" w:rsidRPr="00A406E5" w:rsidRDefault="00F42334" w:rsidP="00F42334">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42334" w:rsidRPr="00A406E5" w14:paraId="6F5AA6AD" w14:textId="77777777" w:rsidTr="00F42334">
        <w:tc>
          <w:tcPr>
            <w:tcW w:w="8624" w:type="dxa"/>
            <w:shd w:val="clear" w:color="auto" w:fill="C0C0C0"/>
          </w:tcPr>
          <w:p w14:paraId="6218E01D" w14:textId="77777777" w:rsidR="00F42334" w:rsidRPr="00A406E5" w:rsidRDefault="00F42334" w:rsidP="00F9338C">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03B93B81" w14:textId="77777777" w:rsidR="00F42334" w:rsidRPr="00A406E5" w:rsidRDefault="00F42334" w:rsidP="00F42334">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42334" w:rsidRPr="00A406E5" w14:paraId="001194DA" w14:textId="77777777" w:rsidTr="00F42334">
        <w:tc>
          <w:tcPr>
            <w:tcW w:w="2093" w:type="dxa"/>
            <w:shd w:val="pct15" w:color="auto" w:fill="auto"/>
          </w:tcPr>
          <w:p w14:paraId="742C72B1" w14:textId="77777777" w:rsidR="00F42334" w:rsidRPr="00A406E5" w:rsidRDefault="00F42334" w:rsidP="00F9338C">
            <w:pPr>
              <w:spacing w:before="120" w:after="120"/>
              <w:jc w:val="both"/>
              <w:rPr>
                <w:rFonts w:ascii="Arial" w:hAnsi="Arial" w:cs="Arial"/>
                <w:b/>
              </w:rPr>
            </w:pPr>
            <w:r w:rsidRPr="00A406E5">
              <w:rPr>
                <w:rFonts w:ascii="Arial" w:hAnsi="Arial" w:cs="Arial"/>
                <w:b/>
              </w:rPr>
              <w:t>Student name:</w:t>
            </w:r>
          </w:p>
        </w:tc>
        <w:tc>
          <w:tcPr>
            <w:tcW w:w="3293" w:type="dxa"/>
          </w:tcPr>
          <w:p w14:paraId="6838DE4B" w14:textId="522B4763" w:rsidR="00F42334" w:rsidRPr="00A406E5" w:rsidRDefault="00F42334" w:rsidP="00F9338C">
            <w:pPr>
              <w:spacing w:before="120" w:after="120"/>
              <w:jc w:val="both"/>
              <w:rPr>
                <w:rFonts w:ascii="Arial" w:hAnsi="Arial" w:cs="Arial"/>
                <w:b/>
              </w:rPr>
            </w:pPr>
            <w:r>
              <w:rPr>
                <w:rFonts w:ascii="Arial" w:hAnsi="Arial" w:cs="Arial"/>
                <w:b/>
              </w:rPr>
              <w:t>Tyler Lorraine Saunders</w:t>
            </w:r>
          </w:p>
        </w:tc>
        <w:tc>
          <w:tcPr>
            <w:tcW w:w="2268" w:type="dxa"/>
            <w:shd w:val="clear" w:color="auto" w:fill="D9D9D9"/>
          </w:tcPr>
          <w:p w14:paraId="68B4D5F6" w14:textId="77777777" w:rsidR="00F42334" w:rsidRPr="00A406E5" w:rsidRDefault="00F42334" w:rsidP="00F9338C">
            <w:pPr>
              <w:spacing w:before="120" w:after="120"/>
              <w:jc w:val="both"/>
              <w:rPr>
                <w:rFonts w:ascii="Arial" w:hAnsi="Arial" w:cs="Arial"/>
                <w:b/>
              </w:rPr>
            </w:pPr>
            <w:r w:rsidRPr="00A406E5">
              <w:rPr>
                <w:rFonts w:ascii="Arial" w:hAnsi="Arial" w:cs="Arial"/>
                <w:b/>
              </w:rPr>
              <w:t>Student ID number:</w:t>
            </w:r>
          </w:p>
        </w:tc>
        <w:tc>
          <w:tcPr>
            <w:tcW w:w="2268" w:type="dxa"/>
          </w:tcPr>
          <w:p w14:paraId="7C811BB9" w14:textId="37B17319" w:rsidR="00F42334" w:rsidRPr="00A406E5" w:rsidRDefault="00F42334" w:rsidP="00F9338C">
            <w:pPr>
              <w:spacing w:before="120" w:after="120"/>
              <w:jc w:val="both"/>
              <w:rPr>
                <w:rFonts w:ascii="Arial" w:hAnsi="Arial" w:cs="Arial"/>
                <w:b/>
              </w:rPr>
            </w:pPr>
            <w:r>
              <w:rPr>
                <w:rFonts w:ascii="Arial" w:hAnsi="Arial" w:cs="Arial"/>
                <w:b/>
              </w:rPr>
              <w:t>1806227</w:t>
            </w:r>
          </w:p>
        </w:tc>
      </w:tr>
      <w:tr w:rsidR="00F42334" w:rsidRPr="00A406E5" w14:paraId="756466D6" w14:textId="77777777" w:rsidTr="00F42334">
        <w:tc>
          <w:tcPr>
            <w:tcW w:w="2093" w:type="dxa"/>
            <w:shd w:val="pct15" w:color="auto" w:fill="auto"/>
          </w:tcPr>
          <w:p w14:paraId="3D88206C" w14:textId="77777777" w:rsidR="00F42334" w:rsidRPr="00A406E5" w:rsidRDefault="00F42334" w:rsidP="00F9338C">
            <w:pPr>
              <w:spacing w:before="120" w:after="120"/>
              <w:jc w:val="both"/>
              <w:rPr>
                <w:rFonts w:ascii="Arial" w:hAnsi="Arial" w:cs="Arial"/>
                <w:b/>
              </w:rPr>
            </w:pPr>
            <w:r w:rsidRPr="00A406E5">
              <w:rPr>
                <w:rFonts w:ascii="Arial" w:hAnsi="Arial" w:cs="Arial"/>
                <w:b/>
              </w:rPr>
              <w:t>Programme:</w:t>
            </w:r>
          </w:p>
        </w:tc>
        <w:tc>
          <w:tcPr>
            <w:tcW w:w="7829" w:type="dxa"/>
            <w:gridSpan w:val="3"/>
          </w:tcPr>
          <w:p w14:paraId="2A50B60A" w14:textId="77777777" w:rsidR="00F42334" w:rsidRPr="00A406E5" w:rsidRDefault="00F42334" w:rsidP="00F9338C">
            <w:pPr>
              <w:spacing w:before="120" w:after="120"/>
              <w:jc w:val="both"/>
              <w:rPr>
                <w:rFonts w:ascii="Arial" w:hAnsi="Arial" w:cs="Arial"/>
                <w:b/>
              </w:rPr>
            </w:pPr>
            <w:r>
              <w:rPr>
                <w:rFonts w:ascii="Arial" w:hAnsi="Arial" w:cs="Arial"/>
                <w:b/>
              </w:rPr>
              <w:t>Secondary PGCE</w:t>
            </w:r>
          </w:p>
        </w:tc>
      </w:tr>
      <w:tr w:rsidR="00F42334" w:rsidRPr="00A406E5" w14:paraId="2790C391" w14:textId="77777777" w:rsidTr="00F42334">
        <w:tc>
          <w:tcPr>
            <w:tcW w:w="2093" w:type="dxa"/>
            <w:shd w:val="pct15" w:color="auto" w:fill="auto"/>
          </w:tcPr>
          <w:p w14:paraId="27CA0B57" w14:textId="77777777" w:rsidR="00F42334" w:rsidRPr="00A406E5" w:rsidRDefault="00F42334" w:rsidP="00F9338C">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0D21DC27" w14:textId="77777777" w:rsidR="00F42334" w:rsidRPr="00F63C8B" w:rsidRDefault="00F42334" w:rsidP="00F9338C">
            <w:pPr>
              <w:pStyle w:val="NormalWeb"/>
              <w:rPr>
                <w:sz w:val="22"/>
                <w:szCs w:val="22"/>
              </w:rPr>
            </w:pPr>
            <w:r w:rsidRPr="00F63C8B">
              <w:rPr>
                <w:rFonts w:ascii="Arial" w:hAnsi="Arial" w:cs="Arial"/>
                <w:b/>
                <w:bCs/>
                <w:sz w:val="22"/>
                <w:szCs w:val="22"/>
              </w:rPr>
              <w:t xml:space="preserve">Curriculum Development and Enhancement </w:t>
            </w:r>
          </w:p>
          <w:p w14:paraId="67078BF2" w14:textId="77777777" w:rsidR="00F42334" w:rsidRPr="00F63C8B" w:rsidRDefault="00F42334" w:rsidP="00F9338C">
            <w:pPr>
              <w:spacing w:before="120" w:after="120"/>
              <w:jc w:val="both"/>
              <w:rPr>
                <w:rFonts w:ascii="Arial" w:hAnsi="Arial" w:cs="Arial"/>
                <w:b/>
              </w:rPr>
            </w:pPr>
          </w:p>
        </w:tc>
      </w:tr>
      <w:tr w:rsidR="00F42334" w:rsidRPr="00A406E5" w14:paraId="2ABA9B1D" w14:textId="77777777" w:rsidTr="00F42334">
        <w:tc>
          <w:tcPr>
            <w:tcW w:w="2093" w:type="dxa"/>
            <w:shd w:val="pct15" w:color="auto" w:fill="auto"/>
          </w:tcPr>
          <w:p w14:paraId="77AB66CB" w14:textId="77777777" w:rsidR="00F42334" w:rsidRPr="00A406E5" w:rsidRDefault="00F42334" w:rsidP="00F9338C">
            <w:pPr>
              <w:spacing w:before="120" w:after="120"/>
              <w:jc w:val="both"/>
              <w:rPr>
                <w:rFonts w:ascii="Arial" w:hAnsi="Arial" w:cs="Arial"/>
                <w:b/>
              </w:rPr>
            </w:pPr>
            <w:r w:rsidRPr="00A406E5">
              <w:rPr>
                <w:rFonts w:ascii="Arial" w:hAnsi="Arial" w:cs="Arial"/>
                <w:b/>
              </w:rPr>
              <w:t>Module code:</w:t>
            </w:r>
          </w:p>
        </w:tc>
        <w:tc>
          <w:tcPr>
            <w:tcW w:w="3293" w:type="dxa"/>
          </w:tcPr>
          <w:p w14:paraId="059360C7" w14:textId="77777777" w:rsidR="00F42334" w:rsidRPr="00A406E5" w:rsidRDefault="00F42334" w:rsidP="00F9338C">
            <w:pPr>
              <w:spacing w:before="120" w:after="120"/>
              <w:jc w:val="both"/>
              <w:rPr>
                <w:rFonts w:ascii="Arial" w:hAnsi="Arial" w:cs="Arial"/>
                <w:b/>
              </w:rPr>
            </w:pPr>
            <w:r>
              <w:rPr>
                <w:rFonts w:ascii="Arial" w:hAnsi="Arial" w:cs="Arial"/>
                <w:b/>
              </w:rPr>
              <w:t>ECSP7002</w:t>
            </w:r>
          </w:p>
        </w:tc>
        <w:tc>
          <w:tcPr>
            <w:tcW w:w="2268" w:type="dxa"/>
            <w:shd w:val="clear" w:color="auto" w:fill="D9D9D9"/>
          </w:tcPr>
          <w:p w14:paraId="01F45C7B" w14:textId="77777777" w:rsidR="00F42334" w:rsidRPr="004D5E9B" w:rsidRDefault="00F42334" w:rsidP="00F9338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8C9847" w14:textId="77777777" w:rsidR="00F42334" w:rsidRPr="00A406E5" w:rsidRDefault="00F42334" w:rsidP="00F9338C">
            <w:pPr>
              <w:spacing w:before="120" w:after="120"/>
              <w:jc w:val="both"/>
              <w:rPr>
                <w:rFonts w:ascii="Arial" w:hAnsi="Arial" w:cs="Arial"/>
                <w:b/>
              </w:rPr>
            </w:pPr>
            <w:r>
              <w:rPr>
                <w:rFonts w:ascii="Arial" w:hAnsi="Arial" w:cs="Arial"/>
                <w:b/>
              </w:rPr>
              <w:t>100%</w:t>
            </w:r>
          </w:p>
        </w:tc>
      </w:tr>
      <w:tr w:rsidR="00F42334" w:rsidRPr="00A406E5" w14:paraId="7531B540" w14:textId="77777777" w:rsidTr="00F42334">
        <w:tc>
          <w:tcPr>
            <w:tcW w:w="2093" w:type="dxa"/>
            <w:shd w:val="pct15" w:color="auto" w:fill="auto"/>
          </w:tcPr>
          <w:p w14:paraId="53DD5E4F" w14:textId="77777777" w:rsidR="00F42334" w:rsidRPr="00A406E5" w:rsidRDefault="00F42334" w:rsidP="00F9338C">
            <w:pPr>
              <w:spacing w:before="120" w:after="120"/>
              <w:jc w:val="both"/>
              <w:rPr>
                <w:rFonts w:ascii="Arial" w:hAnsi="Arial" w:cs="Arial"/>
                <w:b/>
              </w:rPr>
            </w:pPr>
            <w:r w:rsidRPr="00A406E5">
              <w:rPr>
                <w:rFonts w:ascii="Arial" w:hAnsi="Arial" w:cs="Arial"/>
                <w:b/>
              </w:rPr>
              <w:t>Lecturer:</w:t>
            </w:r>
          </w:p>
        </w:tc>
        <w:tc>
          <w:tcPr>
            <w:tcW w:w="3293" w:type="dxa"/>
          </w:tcPr>
          <w:p w14:paraId="6E77CE12" w14:textId="77777777" w:rsidR="00F42334" w:rsidRPr="00A406E5" w:rsidRDefault="00F42334" w:rsidP="00F9338C">
            <w:pPr>
              <w:spacing w:before="120" w:after="120"/>
              <w:jc w:val="both"/>
              <w:rPr>
                <w:rFonts w:ascii="Arial" w:hAnsi="Arial" w:cs="Arial"/>
                <w:b/>
              </w:rPr>
            </w:pPr>
            <w:r>
              <w:rPr>
                <w:rFonts w:ascii="Arial" w:hAnsi="Arial" w:cs="Arial"/>
                <w:b/>
              </w:rPr>
              <w:t>Helen Denny</w:t>
            </w:r>
          </w:p>
        </w:tc>
        <w:tc>
          <w:tcPr>
            <w:tcW w:w="2268" w:type="dxa"/>
            <w:shd w:val="clear" w:color="auto" w:fill="D9D9D9"/>
          </w:tcPr>
          <w:p w14:paraId="05296C6C" w14:textId="77777777" w:rsidR="00F42334" w:rsidRPr="00A406E5" w:rsidRDefault="00F42334" w:rsidP="00F9338C">
            <w:pPr>
              <w:spacing w:before="120" w:after="120"/>
              <w:jc w:val="both"/>
              <w:rPr>
                <w:rFonts w:ascii="Arial" w:hAnsi="Arial" w:cs="Arial"/>
                <w:b/>
              </w:rPr>
            </w:pPr>
            <w:r w:rsidRPr="00A406E5">
              <w:rPr>
                <w:rFonts w:ascii="Arial" w:hAnsi="Arial" w:cs="Arial"/>
                <w:b/>
              </w:rPr>
              <w:t>Internal Verifier:</w:t>
            </w:r>
          </w:p>
        </w:tc>
        <w:tc>
          <w:tcPr>
            <w:tcW w:w="2268" w:type="dxa"/>
          </w:tcPr>
          <w:p w14:paraId="213123A8" w14:textId="77777777" w:rsidR="00F42334" w:rsidRPr="00A406E5" w:rsidRDefault="00F42334" w:rsidP="00F9338C">
            <w:pPr>
              <w:spacing w:before="120" w:after="120"/>
              <w:jc w:val="both"/>
              <w:rPr>
                <w:rFonts w:ascii="Arial" w:hAnsi="Arial" w:cs="Arial"/>
                <w:b/>
              </w:rPr>
            </w:pPr>
          </w:p>
        </w:tc>
      </w:tr>
      <w:tr w:rsidR="00F42334" w:rsidRPr="00A406E5" w14:paraId="75BE9056" w14:textId="77777777" w:rsidTr="00F42334">
        <w:tc>
          <w:tcPr>
            <w:tcW w:w="2093" w:type="dxa"/>
            <w:shd w:val="pct15" w:color="auto" w:fill="auto"/>
          </w:tcPr>
          <w:p w14:paraId="0F03548F" w14:textId="77777777" w:rsidR="00F42334" w:rsidRPr="00A406E5" w:rsidRDefault="00F42334" w:rsidP="00F9338C">
            <w:pPr>
              <w:spacing w:before="120" w:after="120"/>
              <w:jc w:val="both"/>
              <w:rPr>
                <w:rFonts w:ascii="Arial" w:hAnsi="Arial" w:cs="Arial"/>
                <w:b/>
              </w:rPr>
            </w:pPr>
            <w:r w:rsidRPr="00A406E5">
              <w:rPr>
                <w:rFonts w:ascii="Arial" w:hAnsi="Arial" w:cs="Arial"/>
                <w:b/>
              </w:rPr>
              <w:t>Assignment Title:</w:t>
            </w:r>
          </w:p>
        </w:tc>
        <w:tc>
          <w:tcPr>
            <w:tcW w:w="3293" w:type="dxa"/>
          </w:tcPr>
          <w:p w14:paraId="0DCFB29E" w14:textId="77777777" w:rsidR="00F42334" w:rsidRDefault="00F42334" w:rsidP="00F9338C">
            <w:pPr>
              <w:pStyle w:val="NormalWeb"/>
            </w:pPr>
            <w:r>
              <w:rPr>
                <w:rFonts w:ascii="Arial" w:hAnsi="Arial" w:cs="Arial"/>
                <w:b/>
                <w:bCs/>
                <w:sz w:val="22"/>
                <w:szCs w:val="22"/>
              </w:rPr>
              <w:t xml:space="preserve">Research Study including Ethics Form </w:t>
            </w:r>
          </w:p>
          <w:p w14:paraId="74040181" w14:textId="77777777" w:rsidR="00F42334" w:rsidRPr="00A406E5" w:rsidRDefault="00F42334" w:rsidP="00F9338C">
            <w:pPr>
              <w:spacing w:before="120" w:after="120"/>
              <w:jc w:val="both"/>
              <w:rPr>
                <w:rFonts w:ascii="Arial" w:hAnsi="Arial" w:cs="Arial"/>
                <w:b/>
              </w:rPr>
            </w:pPr>
          </w:p>
        </w:tc>
        <w:tc>
          <w:tcPr>
            <w:tcW w:w="2268" w:type="dxa"/>
            <w:shd w:val="pct15" w:color="auto" w:fill="auto"/>
          </w:tcPr>
          <w:p w14:paraId="58BAB536" w14:textId="77777777" w:rsidR="00F42334" w:rsidRPr="00A406E5" w:rsidRDefault="00F42334" w:rsidP="00F9338C">
            <w:pPr>
              <w:spacing w:before="120" w:after="120"/>
              <w:jc w:val="both"/>
              <w:rPr>
                <w:rFonts w:ascii="Arial" w:hAnsi="Arial" w:cs="Arial"/>
                <w:b/>
              </w:rPr>
            </w:pPr>
            <w:r>
              <w:rPr>
                <w:rFonts w:ascii="Arial" w:hAnsi="Arial" w:cs="Arial"/>
                <w:b/>
              </w:rPr>
              <w:t>Word count (or equivalent):</w:t>
            </w:r>
          </w:p>
        </w:tc>
        <w:tc>
          <w:tcPr>
            <w:tcW w:w="2268" w:type="dxa"/>
          </w:tcPr>
          <w:p w14:paraId="0DC6C27F" w14:textId="77777777" w:rsidR="00F42334" w:rsidRDefault="00F42334" w:rsidP="00F9338C">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1D202881" w14:textId="77777777" w:rsidR="00F42334" w:rsidRPr="00A406E5" w:rsidRDefault="00F42334" w:rsidP="00F9338C">
            <w:pPr>
              <w:spacing w:before="120" w:after="120"/>
              <w:jc w:val="both"/>
              <w:rPr>
                <w:rFonts w:ascii="Arial" w:hAnsi="Arial" w:cs="Arial"/>
                <w:b/>
              </w:rPr>
            </w:pPr>
          </w:p>
        </w:tc>
      </w:tr>
      <w:tr w:rsidR="00F42334" w:rsidRPr="00A406E5" w14:paraId="7C69635A" w14:textId="77777777" w:rsidTr="00F42334">
        <w:tc>
          <w:tcPr>
            <w:tcW w:w="2093" w:type="dxa"/>
            <w:shd w:val="pct15" w:color="auto" w:fill="auto"/>
          </w:tcPr>
          <w:p w14:paraId="2AB42B47" w14:textId="77777777" w:rsidR="00F42334" w:rsidRPr="00A406E5" w:rsidRDefault="00F42334" w:rsidP="00F9338C">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5CED1C55" w14:textId="77777777" w:rsidR="00F42334" w:rsidRDefault="00F42334" w:rsidP="00F9338C">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0F64C50B" w14:textId="77777777" w:rsidR="00F42334" w:rsidRPr="00A406E5" w:rsidRDefault="00F42334" w:rsidP="00F9338C">
            <w:pPr>
              <w:spacing w:before="120" w:after="120"/>
              <w:jc w:val="both"/>
              <w:rPr>
                <w:rFonts w:ascii="Arial" w:hAnsi="Arial" w:cs="Arial"/>
                <w:b/>
              </w:rPr>
            </w:pPr>
          </w:p>
        </w:tc>
        <w:tc>
          <w:tcPr>
            <w:tcW w:w="2268" w:type="dxa"/>
            <w:shd w:val="pct15" w:color="auto" w:fill="auto"/>
          </w:tcPr>
          <w:p w14:paraId="27E7FA82" w14:textId="77777777" w:rsidR="00F42334" w:rsidRPr="00A406E5" w:rsidRDefault="00F42334" w:rsidP="00F9338C">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98219F5" w14:textId="77777777" w:rsidR="00F42334" w:rsidRDefault="00F42334" w:rsidP="00F9338C">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5F2A7F7A" w14:textId="77777777" w:rsidR="00F42334" w:rsidRPr="00A406E5" w:rsidRDefault="00F42334" w:rsidP="00F9338C">
            <w:pPr>
              <w:spacing w:before="120" w:after="120"/>
              <w:jc w:val="both"/>
              <w:rPr>
                <w:rFonts w:ascii="Arial" w:hAnsi="Arial" w:cs="Arial"/>
                <w:b/>
              </w:rPr>
            </w:pPr>
          </w:p>
        </w:tc>
      </w:tr>
      <w:tr w:rsidR="00F42334" w:rsidRPr="00A406E5" w14:paraId="2F07255A" w14:textId="77777777" w:rsidTr="00F42334">
        <w:tc>
          <w:tcPr>
            <w:tcW w:w="2093" w:type="dxa"/>
            <w:shd w:val="pct15" w:color="auto" w:fill="auto"/>
          </w:tcPr>
          <w:p w14:paraId="72157372" w14:textId="77777777" w:rsidR="00F42334" w:rsidRPr="00A406E5" w:rsidRDefault="00F42334" w:rsidP="00F9338C">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3BFAD114" w14:textId="77777777" w:rsidR="00F42334" w:rsidRPr="00A406E5" w:rsidRDefault="00F42334" w:rsidP="00F9338C">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33BF10" w14:textId="77777777" w:rsidR="00F42334" w:rsidRPr="00A406E5" w:rsidRDefault="00F42334" w:rsidP="00F9338C">
            <w:pPr>
              <w:spacing w:before="120" w:after="120"/>
              <w:jc w:val="both"/>
              <w:rPr>
                <w:rFonts w:ascii="Arial" w:hAnsi="Arial" w:cs="Arial"/>
                <w:b/>
              </w:rPr>
            </w:pPr>
            <w:r w:rsidRPr="00A406E5">
              <w:rPr>
                <w:rFonts w:ascii="Arial" w:hAnsi="Arial" w:cs="Arial"/>
                <w:b/>
              </w:rPr>
              <w:t xml:space="preserve">Alternative submission method (if applicable): </w:t>
            </w:r>
          </w:p>
          <w:p w14:paraId="7C3597A2" w14:textId="77777777" w:rsidR="00F42334" w:rsidRPr="00A406E5" w:rsidRDefault="00F42334" w:rsidP="00F9338C">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42334" w:rsidRPr="00A406E5" w14:paraId="0CDA08B0" w14:textId="77777777" w:rsidTr="00F42334">
        <w:tc>
          <w:tcPr>
            <w:tcW w:w="2093" w:type="dxa"/>
            <w:shd w:val="pct15" w:color="auto" w:fill="auto"/>
          </w:tcPr>
          <w:p w14:paraId="4030BF25" w14:textId="77777777" w:rsidR="00F42334" w:rsidRPr="00A406E5" w:rsidRDefault="00F42334" w:rsidP="00F9338C">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2921B2ED" w14:textId="77777777" w:rsidR="00F42334" w:rsidRPr="00A406E5" w:rsidRDefault="00F42334" w:rsidP="00F9338C">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238C1291" w14:textId="77777777" w:rsidR="00F42334" w:rsidRPr="00A406E5" w:rsidRDefault="00F42334" w:rsidP="00F42334">
      <w:pPr>
        <w:rPr>
          <w:rFonts w:ascii="Arial" w:hAnsi="Arial" w:cs="Arial"/>
          <w:sz w:val="32"/>
        </w:rPr>
      </w:pPr>
    </w:p>
    <w:p w14:paraId="53A4E846" w14:textId="2FEB11D5" w:rsidR="000964C0" w:rsidRPr="0073774D" w:rsidRDefault="000964C0" w:rsidP="0030329C">
      <w:pPr>
        <w:spacing w:line="360" w:lineRule="auto"/>
        <w:jc w:val="both"/>
        <w:rPr>
          <w:rFonts w:asciiTheme="minorBidi" w:hAnsiTheme="minorBidi"/>
          <w:sz w:val="24"/>
          <w:szCs w:val="24"/>
          <w:u w:val="single"/>
        </w:rPr>
      </w:pPr>
      <w:r w:rsidRPr="0073774D">
        <w:rPr>
          <w:rFonts w:asciiTheme="minorBidi" w:hAnsiTheme="minorBidi"/>
          <w:sz w:val="24"/>
          <w:szCs w:val="24"/>
          <w:u w:val="single"/>
        </w:rPr>
        <w:lastRenderedPageBreak/>
        <w:t xml:space="preserve">Introduction  </w:t>
      </w:r>
    </w:p>
    <w:p w14:paraId="786FB059" w14:textId="1167A82C"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The school I completed my research in is a mixed gender 11-18 comprehensive school with 1170 pupils in the Local Authority of Bridgend (My Local School, 2019). The class I chose to complete this research on is a top band year 7 class of 34 pupils, 19 girls and 15 boys. I selected this class because the majority of the pupils in this class are excited to learn and answer questions but, as in most classes, there are some pupils who are not so keen to put their hands up. The research I chose to explore is the extent to which random name generators improve the engagement of learners in RE lessons. This particular research topic came to mind after reading that random name generators are advantageous because there is no option to disengage as pupils have to prepare an answer in case they are selected and the teacher cannot subconsciously exclude any member of the class (Allison and </w:t>
      </w:r>
      <w:proofErr w:type="spellStart"/>
      <w:r w:rsidRPr="0073774D">
        <w:rPr>
          <w:rFonts w:asciiTheme="minorBidi" w:hAnsiTheme="minorBidi"/>
          <w:sz w:val="24"/>
          <w:szCs w:val="24"/>
        </w:rPr>
        <w:t>Tharby</w:t>
      </w:r>
      <w:proofErr w:type="spellEnd"/>
      <w:r w:rsidRPr="0073774D">
        <w:rPr>
          <w:rFonts w:asciiTheme="minorBidi" w:hAnsiTheme="minorBidi"/>
          <w:sz w:val="24"/>
          <w:szCs w:val="24"/>
        </w:rPr>
        <w:t xml:space="preserve">, 2015). Upon reading this, I wanted to compare the levels of engagement in my lessons when doing a lesson without a random name generator then one with one. </w:t>
      </w:r>
    </w:p>
    <w:p w14:paraId="6FCD4E40" w14:textId="77777777" w:rsidR="000964C0" w:rsidRPr="0073774D" w:rsidRDefault="000964C0" w:rsidP="0030329C">
      <w:pPr>
        <w:spacing w:line="360" w:lineRule="auto"/>
        <w:jc w:val="both"/>
        <w:rPr>
          <w:rFonts w:asciiTheme="minorBidi" w:hAnsiTheme="minorBidi"/>
          <w:sz w:val="24"/>
          <w:szCs w:val="24"/>
          <w:u w:val="single"/>
        </w:rPr>
      </w:pPr>
      <w:r w:rsidRPr="0073774D">
        <w:rPr>
          <w:rFonts w:asciiTheme="minorBidi" w:hAnsiTheme="minorBidi"/>
          <w:sz w:val="24"/>
          <w:szCs w:val="24"/>
          <w:u w:val="single"/>
        </w:rPr>
        <w:t>Literature Review</w:t>
      </w:r>
    </w:p>
    <w:p w14:paraId="323FDA46" w14:textId="21B55F05"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Upon hearing the word ‘assessment’</w:t>
      </w:r>
      <w:r w:rsidR="0079638D">
        <w:rPr>
          <w:rFonts w:asciiTheme="minorBidi" w:hAnsiTheme="minorBidi"/>
          <w:sz w:val="24"/>
          <w:szCs w:val="24"/>
        </w:rPr>
        <w:t>,</w:t>
      </w:r>
      <w:r w:rsidRPr="0073774D">
        <w:rPr>
          <w:rFonts w:asciiTheme="minorBidi" w:hAnsiTheme="minorBidi"/>
          <w:sz w:val="24"/>
          <w:szCs w:val="24"/>
        </w:rPr>
        <w:t xml:space="preserve"> images of high-stakes final exams such as the GCSEs and A-Levels are called to mind. For this reason, the concept of assessment can seem overwhelming to a trainee teacher, especially as much of the literature emphasises the importance so strongly. An example of this is Fautley and Savage (2008, p. 4) who claim that: “Good assessment practice is a key feature of effective teaching and learning in schools”. In a society where both schools and teachers are held accountable for their results, it is clear why assessment is a key aspect of school life. However, assessment is not always of this high-stakes nature, it can be broken down into two different forms</w:t>
      </w:r>
      <w:r w:rsidR="0079638D">
        <w:rPr>
          <w:rFonts w:asciiTheme="minorBidi" w:hAnsiTheme="minorBidi"/>
          <w:sz w:val="24"/>
          <w:szCs w:val="24"/>
        </w:rPr>
        <w:t xml:space="preserve"> –</w:t>
      </w:r>
      <w:r w:rsidRPr="0073774D">
        <w:rPr>
          <w:rFonts w:asciiTheme="minorBidi" w:hAnsiTheme="minorBidi"/>
          <w:sz w:val="24"/>
          <w:szCs w:val="24"/>
        </w:rPr>
        <w:t xml:space="preserve"> formative and summative. Formative and summative assessment are tools which teachers use to assess student learning of new material (Dixson and Worrell, 2016). These ‘tools’, when embedded into class teaching, are the key to pupil success. </w:t>
      </w:r>
    </w:p>
    <w:p w14:paraId="56A56DFE"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Jones and Tanner (2006, p. 20) explain the different types of assessment: “Formative assessment has been characterized as ‘assessment </w:t>
      </w:r>
      <w:r w:rsidRPr="0073774D">
        <w:rPr>
          <w:rFonts w:asciiTheme="minorBidi" w:hAnsiTheme="minorBidi"/>
          <w:i/>
          <w:sz w:val="24"/>
          <w:szCs w:val="24"/>
        </w:rPr>
        <w:t>for</w:t>
      </w:r>
      <w:r w:rsidRPr="0073774D">
        <w:rPr>
          <w:rFonts w:asciiTheme="minorBidi" w:hAnsiTheme="minorBidi"/>
          <w:sz w:val="24"/>
          <w:szCs w:val="24"/>
        </w:rPr>
        <w:t xml:space="preserve"> learning’ (AFL) in contrast to summative assessment which is described as ‘assessment </w:t>
      </w:r>
      <w:r w:rsidRPr="0073774D">
        <w:rPr>
          <w:rFonts w:asciiTheme="minorBidi" w:hAnsiTheme="minorBidi"/>
          <w:i/>
          <w:sz w:val="24"/>
          <w:szCs w:val="24"/>
        </w:rPr>
        <w:t>of</w:t>
      </w:r>
      <w:r w:rsidRPr="0073774D">
        <w:rPr>
          <w:rFonts w:asciiTheme="minorBidi" w:hAnsiTheme="minorBidi"/>
          <w:sz w:val="24"/>
          <w:szCs w:val="24"/>
        </w:rPr>
        <w:t xml:space="preserve"> learning’ (AOL)”. Summative assessment is ultimately final and provides students with a grade which can be used as evidence for what they have learnt. Grades are imperative for teachers </w:t>
      </w:r>
      <w:r w:rsidRPr="0073774D">
        <w:rPr>
          <w:rFonts w:asciiTheme="minorBidi" w:hAnsiTheme="minorBidi"/>
          <w:sz w:val="24"/>
          <w:szCs w:val="24"/>
        </w:rPr>
        <w:lastRenderedPageBreak/>
        <w:t xml:space="preserve">to be able to gather data, track progress and report to parents and to the school on pupil progress. The crucial nature of assessment is summed up in the following quote: “To fail to assess is to fail to teach” (Best, 1992 quoted in Somers, 2000, p. 107). </w:t>
      </w:r>
      <w:r w:rsidRPr="0073774D">
        <w:rPr>
          <w:rFonts w:asciiTheme="minorBidi" w:hAnsiTheme="minorBidi"/>
          <w:sz w:val="24"/>
          <w:szCs w:val="24"/>
        </w:rPr>
        <w:br/>
        <w:t xml:space="preserve">Now that the importance of assessment has been addressed, this essay will focus on assessment in the formative form and on specific AFL techniques. </w:t>
      </w:r>
    </w:p>
    <w:p w14:paraId="23799CD1"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shd w:val="clear" w:color="auto" w:fill="FFFFFF"/>
        </w:rPr>
        <w:t>According to Black and William (1998b, p. 2) “We use the general term assessment to refer to all those activities undertaken by teachers — and by their students in assessing themselves — that provide information to be used as feedback to modify teaching and learning activities”.</w:t>
      </w:r>
      <w:r w:rsidRPr="0073774D">
        <w:rPr>
          <w:rFonts w:asciiTheme="minorBidi" w:hAnsiTheme="minorBidi"/>
          <w:sz w:val="24"/>
          <w:szCs w:val="24"/>
        </w:rPr>
        <w:t xml:space="preserve"> </w:t>
      </w:r>
      <w:r w:rsidRPr="0073774D">
        <w:rPr>
          <w:rFonts w:asciiTheme="minorBidi" w:hAnsiTheme="minorBidi"/>
          <w:sz w:val="24"/>
          <w:szCs w:val="24"/>
          <w:shd w:val="clear" w:color="auto" w:fill="FFFFFF"/>
        </w:rPr>
        <w:t>This assessment becomes formative when the results are used to adapt the teaching to meet the needs of the students (Ibid., 1998). AFL</w:t>
      </w:r>
      <w:r w:rsidRPr="0073774D">
        <w:rPr>
          <w:rFonts w:asciiTheme="minorBidi" w:hAnsiTheme="minorBidi"/>
          <w:sz w:val="24"/>
          <w:szCs w:val="24"/>
        </w:rPr>
        <w:t xml:space="preserve"> is, therefore, a continuous process in which teachers use a variety of techniques to find where students are in their learning (Harrison, 2007). It becomes embedded into classroom practice and gives the teacher the opportunity to assess how much they have understood and change the lesson accordingly. </w:t>
      </w:r>
    </w:p>
    <w:p w14:paraId="0B81B4DA" w14:textId="19FB56BB"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Black and William (1998a) studied formative assessment in depth by surveying 681 pieces of research then narrowing it down to 250 pieces to be read in full. They concluded that there is evidence that improving formative assessment raises standards and that there is evidence about how to improve formative assessment (Black and William, 1998b). </w:t>
      </w:r>
      <w:r w:rsidR="00530029" w:rsidRPr="0073774D">
        <w:rPr>
          <w:rFonts w:asciiTheme="minorBidi" w:hAnsiTheme="minorBidi"/>
          <w:sz w:val="24"/>
          <w:szCs w:val="24"/>
        </w:rPr>
        <w:t>Furthermore, t</w:t>
      </w:r>
      <w:r w:rsidRPr="0073774D">
        <w:rPr>
          <w:rFonts w:asciiTheme="minorBidi" w:hAnsiTheme="minorBidi"/>
          <w:sz w:val="24"/>
          <w:szCs w:val="24"/>
        </w:rPr>
        <w:t>here is no simple quick fix and each teacher must find their own ways of incorporating formative assessment into their practice (Ibid., 1998). Consequently, I decided to research how certain AFL techniques effected engagement in my classroom.</w:t>
      </w:r>
    </w:p>
    <w:p w14:paraId="0A03C825"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Adaptability and ability to change the lesson based on AFL techniques is vital in ensuring pupil progress. For example, Haydn (2013, p. 418) states that: </w:t>
      </w:r>
    </w:p>
    <w:p w14:paraId="4E21E8B7" w14:textId="77777777" w:rsidR="000964C0" w:rsidRPr="0073774D" w:rsidRDefault="000964C0" w:rsidP="0030329C">
      <w:pPr>
        <w:spacing w:line="360" w:lineRule="auto"/>
        <w:ind w:left="720"/>
        <w:jc w:val="both"/>
        <w:rPr>
          <w:rFonts w:asciiTheme="minorBidi" w:hAnsiTheme="minorBidi"/>
          <w:sz w:val="24"/>
          <w:szCs w:val="24"/>
        </w:rPr>
      </w:pPr>
      <w:r w:rsidRPr="0073774D">
        <w:rPr>
          <w:rFonts w:asciiTheme="minorBidi" w:hAnsiTheme="minorBidi"/>
          <w:sz w:val="24"/>
          <w:szCs w:val="24"/>
        </w:rPr>
        <w:t>“Several research studies have shown that the use of assessment</w:t>
      </w:r>
      <w:r w:rsidRPr="0073774D">
        <w:rPr>
          <w:rFonts w:asciiTheme="minorBidi" w:hAnsiTheme="minorBidi"/>
          <w:i/>
          <w:sz w:val="24"/>
          <w:szCs w:val="24"/>
        </w:rPr>
        <w:t xml:space="preserve"> to develop pupils’ future learning</w:t>
      </w:r>
      <w:r w:rsidRPr="0073774D">
        <w:rPr>
          <w:rFonts w:asciiTheme="minorBidi" w:hAnsiTheme="minorBidi"/>
          <w:sz w:val="24"/>
          <w:szCs w:val="24"/>
        </w:rPr>
        <w:t xml:space="preserve"> makes a substantial difference, not just to pupils’ attainment, but to their attitude to learning, their engagement with school subjects and their motivation to do well in these subjects” </w:t>
      </w:r>
    </w:p>
    <w:p w14:paraId="05E993F1" w14:textId="7F52575A"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Using assessment to shape future learning, therefore, improves pupils in more ways than just their attainment. Engagement is not only when a class follow instructions but also when they are absorbed in challenge, making observable progress and enjoying learning (Griffith and Burns, 2012). In my lessons, I noticed varying levels of </w:t>
      </w:r>
      <w:r w:rsidRPr="0073774D">
        <w:rPr>
          <w:rFonts w:asciiTheme="minorBidi" w:hAnsiTheme="minorBidi"/>
          <w:sz w:val="24"/>
          <w:szCs w:val="24"/>
        </w:rPr>
        <w:lastRenderedPageBreak/>
        <w:t xml:space="preserve">engagement depending on the tasks designed and the content. With this particular class, most pupils are very excited to learn, have a lot to contribute and have a lot of questions. However, there are some pupils who may not contribute. For this reason, I decided to focus on </w:t>
      </w:r>
      <w:r w:rsidR="00F94717" w:rsidRPr="0073774D">
        <w:rPr>
          <w:rFonts w:asciiTheme="minorBidi" w:hAnsiTheme="minorBidi"/>
          <w:sz w:val="24"/>
          <w:szCs w:val="24"/>
        </w:rPr>
        <w:t>the</w:t>
      </w:r>
      <w:r w:rsidRPr="0073774D">
        <w:rPr>
          <w:rFonts w:asciiTheme="minorBidi" w:hAnsiTheme="minorBidi"/>
          <w:sz w:val="24"/>
          <w:szCs w:val="24"/>
        </w:rPr>
        <w:t xml:space="preserve"> engagement of </w:t>
      </w:r>
      <w:r w:rsidRPr="0073774D">
        <w:rPr>
          <w:rFonts w:asciiTheme="minorBidi" w:hAnsiTheme="minorBidi"/>
          <w:i/>
          <w:iCs/>
          <w:sz w:val="24"/>
          <w:szCs w:val="24"/>
        </w:rPr>
        <w:t xml:space="preserve">all </w:t>
      </w:r>
      <w:r w:rsidRPr="0073774D">
        <w:rPr>
          <w:rFonts w:asciiTheme="minorBidi" w:hAnsiTheme="minorBidi"/>
          <w:sz w:val="24"/>
          <w:szCs w:val="24"/>
        </w:rPr>
        <w:t>pupils in the classroom.</w:t>
      </w:r>
    </w:p>
    <w:p w14:paraId="6CDD47C2" w14:textId="3E2ACA43"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In the school, I observed a mixture of ‘hands-up’ and </w:t>
      </w:r>
      <w:r w:rsidR="008E270D" w:rsidRPr="0073774D">
        <w:rPr>
          <w:rFonts w:asciiTheme="minorBidi" w:hAnsiTheme="minorBidi"/>
          <w:sz w:val="24"/>
          <w:szCs w:val="24"/>
        </w:rPr>
        <w:t xml:space="preserve">‘no-hands up’ where teachers </w:t>
      </w:r>
      <w:r w:rsidRPr="0073774D">
        <w:rPr>
          <w:rFonts w:asciiTheme="minorBidi" w:hAnsiTheme="minorBidi"/>
          <w:sz w:val="24"/>
          <w:szCs w:val="24"/>
        </w:rPr>
        <w:t>select pupils to answer questions. Only asking for answers from pupils who put their hands up</w:t>
      </w:r>
      <w:r w:rsidR="003F012A" w:rsidRPr="0073774D">
        <w:rPr>
          <w:rFonts w:asciiTheme="minorBidi" w:hAnsiTheme="minorBidi"/>
          <w:sz w:val="24"/>
          <w:szCs w:val="24"/>
        </w:rPr>
        <w:t xml:space="preserve"> </w:t>
      </w:r>
      <w:r w:rsidRPr="0073774D">
        <w:rPr>
          <w:rFonts w:asciiTheme="minorBidi" w:hAnsiTheme="minorBidi"/>
          <w:sz w:val="24"/>
          <w:szCs w:val="24"/>
        </w:rPr>
        <w:t xml:space="preserve">has its advantages, the most evident being that the pupils who volunteer are often academic, articulate and have a lot to contribute (Allison and </w:t>
      </w:r>
      <w:proofErr w:type="spellStart"/>
      <w:r w:rsidRPr="0073774D">
        <w:rPr>
          <w:rFonts w:asciiTheme="minorBidi" w:hAnsiTheme="minorBidi"/>
          <w:sz w:val="24"/>
          <w:szCs w:val="24"/>
        </w:rPr>
        <w:t>Tharby</w:t>
      </w:r>
      <w:proofErr w:type="spellEnd"/>
      <w:r w:rsidRPr="0073774D">
        <w:rPr>
          <w:rFonts w:asciiTheme="minorBidi" w:hAnsiTheme="minorBidi"/>
          <w:sz w:val="24"/>
          <w:szCs w:val="24"/>
        </w:rPr>
        <w:t>, 2015). However, the pupils who never offer their answers or opinions are allowed to ‘coast’ through without being challenged. Furthermore, it is likely that these pupils have interesting contributions to make but perhaps lack the motivation or confidence to</w:t>
      </w:r>
      <w:r w:rsidR="00E32BCE" w:rsidRPr="0073774D">
        <w:rPr>
          <w:rFonts w:asciiTheme="minorBidi" w:hAnsiTheme="minorBidi"/>
          <w:sz w:val="24"/>
          <w:szCs w:val="24"/>
        </w:rPr>
        <w:t xml:space="preserve"> offer them</w:t>
      </w:r>
      <w:r w:rsidRPr="0073774D">
        <w:rPr>
          <w:rFonts w:asciiTheme="minorBidi" w:hAnsiTheme="minorBidi"/>
          <w:sz w:val="24"/>
          <w:szCs w:val="24"/>
        </w:rPr>
        <w:t xml:space="preserve">. This causes the two distinct camps of engaged and disengaged students to grow further and further apart (Ibid., 2015). I wanted to try and close this gap of engagement and encourage more pupils to contribute in class. </w:t>
      </w:r>
    </w:p>
    <w:p w14:paraId="0016DB10" w14:textId="45F94FDA"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One way to tackle this problem is to have a ‘no hands</w:t>
      </w:r>
      <w:r w:rsidR="00C62B5F" w:rsidRPr="0073774D">
        <w:rPr>
          <w:rFonts w:asciiTheme="minorBidi" w:hAnsiTheme="minorBidi"/>
          <w:sz w:val="24"/>
          <w:szCs w:val="24"/>
        </w:rPr>
        <w:t>-</w:t>
      </w:r>
      <w:r w:rsidRPr="0073774D">
        <w:rPr>
          <w:rFonts w:asciiTheme="minorBidi" w:hAnsiTheme="minorBidi"/>
          <w:sz w:val="24"/>
          <w:szCs w:val="24"/>
        </w:rPr>
        <w:t>up’ approach with ‘hands</w:t>
      </w:r>
      <w:r w:rsidR="00C62B5F" w:rsidRPr="0073774D">
        <w:rPr>
          <w:rFonts w:asciiTheme="minorBidi" w:hAnsiTheme="minorBidi"/>
          <w:sz w:val="24"/>
          <w:szCs w:val="24"/>
        </w:rPr>
        <w:t>-</w:t>
      </w:r>
      <w:r w:rsidRPr="0073774D">
        <w:rPr>
          <w:rFonts w:asciiTheme="minorBidi" w:hAnsiTheme="minorBidi"/>
          <w:sz w:val="24"/>
          <w:szCs w:val="24"/>
        </w:rPr>
        <w:t xml:space="preserve">up’ only to ask questions (Jones and Tanner, 2006). This allows the teacher to tailor questions for pupils based on their ability. It also enables the teacher to plan what questions they will ask what pupils. </w:t>
      </w:r>
      <w:r w:rsidR="008E0CAE" w:rsidRPr="0073774D">
        <w:rPr>
          <w:rFonts w:asciiTheme="minorBidi" w:hAnsiTheme="minorBidi"/>
          <w:sz w:val="24"/>
          <w:szCs w:val="24"/>
        </w:rPr>
        <w:t>However, w</w:t>
      </w:r>
      <w:r w:rsidRPr="0073774D">
        <w:rPr>
          <w:rFonts w:asciiTheme="minorBidi" w:hAnsiTheme="minorBidi"/>
          <w:sz w:val="24"/>
          <w:szCs w:val="24"/>
        </w:rPr>
        <w:t>hen addressing the class with a big question then selecting pupils to answer, this may leave out some pupils who may have interesting answers or opinions</w:t>
      </w:r>
      <w:r w:rsidR="0079638D">
        <w:rPr>
          <w:rFonts w:asciiTheme="minorBidi" w:hAnsiTheme="minorBidi"/>
          <w:sz w:val="24"/>
          <w:szCs w:val="24"/>
        </w:rPr>
        <w:t xml:space="preserve"> alt</w:t>
      </w:r>
      <w:r w:rsidRPr="0073774D">
        <w:rPr>
          <w:rFonts w:asciiTheme="minorBidi" w:hAnsiTheme="minorBidi"/>
          <w:sz w:val="24"/>
          <w:szCs w:val="24"/>
        </w:rPr>
        <w:t>hough it does encourage all pupils to engage even if it is just thinking of an answer in their head. A further danger with this method is that it could lead to teachers sub-consciously assuming</w:t>
      </w:r>
      <w:r w:rsidR="0079638D">
        <w:rPr>
          <w:rFonts w:asciiTheme="minorBidi" w:hAnsiTheme="minorBidi"/>
          <w:sz w:val="24"/>
          <w:szCs w:val="24"/>
        </w:rPr>
        <w:t xml:space="preserve"> the </w:t>
      </w:r>
      <w:r w:rsidRPr="0073774D">
        <w:rPr>
          <w:rFonts w:asciiTheme="minorBidi" w:hAnsiTheme="minorBidi"/>
          <w:sz w:val="24"/>
          <w:szCs w:val="24"/>
        </w:rPr>
        <w:t>ability</w:t>
      </w:r>
      <w:r w:rsidR="00BB42B4" w:rsidRPr="0073774D">
        <w:rPr>
          <w:rFonts w:asciiTheme="minorBidi" w:hAnsiTheme="minorBidi"/>
          <w:sz w:val="24"/>
          <w:szCs w:val="24"/>
        </w:rPr>
        <w:t xml:space="preserve"> of </w:t>
      </w:r>
      <w:r w:rsidR="002E7654" w:rsidRPr="0073774D">
        <w:rPr>
          <w:rFonts w:asciiTheme="minorBidi" w:hAnsiTheme="minorBidi"/>
          <w:sz w:val="24"/>
          <w:szCs w:val="24"/>
        </w:rPr>
        <w:t>each pupil</w:t>
      </w:r>
      <w:r w:rsidRPr="0073774D">
        <w:rPr>
          <w:rFonts w:asciiTheme="minorBidi" w:hAnsiTheme="minorBidi"/>
          <w:sz w:val="24"/>
          <w:szCs w:val="24"/>
        </w:rPr>
        <w:t xml:space="preserve"> and not challenging them enough. In order to avoid this, teachers need to know their pupils well and ensure they are distributing questions equally. Within the no-hands up approach, focussing on a couple of children to question per lesson seems to be the best solution for this. This research was only undertaken over two lessons so I chose not to focus on the no-hands up approach as this would need to be looked at over a series of lessons. </w:t>
      </w:r>
    </w:p>
    <w:p w14:paraId="07DE926A" w14:textId="08792648"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In order to combat these issues, a random name generator has been suggested. For example, The Welsh Assembly Government (2010) suggests using a random name generator when questioning in order to include all pupils. One advantage of using random name generators is that all pupils have the same possibility of being chosen </w:t>
      </w:r>
      <w:r w:rsidRPr="0073774D">
        <w:rPr>
          <w:rFonts w:asciiTheme="minorBidi" w:hAnsiTheme="minorBidi"/>
          <w:sz w:val="24"/>
          <w:szCs w:val="24"/>
        </w:rPr>
        <w:lastRenderedPageBreak/>
        <w:t>to answer questions, so every pupil needs to have an answer prepared. Allred and Swenson (2006, p. 16) state that “Because the method is random, students view this approach as an interesting probability problem rather than a situation where the instructor “picks on” or “favo</w:t>
      </w:r>
      <w:r w:rsidR="0079638D">
        <w:rPr>
          <w:rFonts w:asciiTheme="minorBidi" w:hAnsiTheme="minorBidi"/>
          <w:sz w:val="24"/>
          <w:szCs w:val="24"/>
        </w:rPr>
        <w:t>u</w:t>
      </w:r>
      <w:r w:rsidRPr="0073774D">
        <w:rPr>
          <w:rFonts w:asciiTheme="minorBidi" w:hAnsiTheme="minorBidi"/>
          <w:sz w:val="24"/>
          <w:szCs w:val="24"/>
        </w:rPr>
        <w:t xml:space="preserve">rs” particular students.”  I chose to research random name generators because I want to promote equality in my classroom. Furthermore, I had previously found that pupils were excited at the prospect of being chosen and it lifted the mood in the class. I decided to use a hands up approach in the first lesson and a random name selector in the second lesson and compare the engagement of pupils with each strategy. </w:t>
      </w:r>
    </w:p>
    <w:p w14:paraId="00A39653"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There are different ways in which you can use a random name generator within teaching. The typical teacher only waits for about a second before taking an answer to a question (</w:t>
      </w:r>
      <w:proofErr w:type="spellStart"/>
      <w:r w:rsidRPr="0073774D">
        <w:rPr>
          <w:rFonts w:asciiTheme="minorBidi" w:hAnsiTheme="minorBidi"/>
          <w:sz w:val="24"/>
          <w:szCs w:val="24"/>
        </w:rPr>
        <w:t>Lemov</w:t>
      </w:r>
      <w:proofErr w:type="spellEnd"/>
      <w:r w:rsidRPr="0073774D">
        <w:rPr>
          <w:rFonts w:asciiTheme="minorBidi" w:hAnsiTheme="minorBidi"/>
          <w:sz w:val="24"/>
          <w:szCs w:val="24"/>
        </w:rPr>
        <w:t xml:space="preserve">, 2015). Allowing pupils time to think discourages pupils from saying the first thing that comes to mind and encourages higher-quality initial answers (Ibid., 2015). Rowe (1974) found that giving pupils at least three seconds of ‘wait time’ after posing a question increased the length and correctness of the answers and encouraged more pupils to participate (Fautley and Savage, 2008). For this reason, I chose the strategy of asking the question, giving pupils wait time, using the name generator and then asking the chosen person for the answer. Upon reflection, it would have been more productive to make it explicit to pupils that it was thinking time to prevent wandering minds. Furthermore, it would have been more beneficial to ensure I gave the same amount of wait time in both lessons to ensure consistency. </w:t>
      </w:r>
    </w:p>
    <w:p w14:paraId="1ECA968F" w14:textId="16FE6879"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Another alternative could be to use lollipop sticks, one for each learner which are then picked randomly (Welsh Assembly Government, 2010). This could potentially be differentiated by colour coordinating the sticks so you know who are more able and talented and who has additional learning needs. However, this requires a lot of time and resources to prepare. Donaldson (2015) asserts that full participation in society demands high levels of digital competence therefore all teachers are responsible for the development of digital competences. The Welsh Government (2016a, p.4) describe digital competence as “</w:t>
      </w:r>
      <w:r w:rsidR="001C2C86" w:rsidRPr="0073774D">
        <w:rPr>
          <w:rFonts w:asciiTheme="minorBidi" w:hAnsiTheme="minorBidi"/>
          <w:sz w:val="24"/>
          <w:szCs w:val="24"/>
        </w:rPr>
        <w:t>T</w:t>
      </w:r>
      <w:r w:rsidRPr="0073774D">
        <w:rPr>
          <w:rFonts w:asciiTheme="minorBidi" w:hAnsiTheme="minorBidi"/>
          <w:sz w:val="24"/>
          <w:szCs w:val="24"/>
        </w:rPr>
        <w:t xml:space="preserve">he set of skills, knowledge and attitudes to enable the confident, creative and critical use of technologies and systems in an increasingly digital world.” Although the use is not explicitly teaching pupils digital competence, it is modelling the use of ICT to children and exposing them to it in the classroom. Due </w:t>
      </w:r>
      <w:r w:rsidRPr="0073774D">
        <w:rPr>
          <w:rFonts w:asciiTheme="minorBidi" w:hAnsiTheme="minorBidi"/>
          <w:sz w:val="24"/>
          <w:szCs w:val="24"/>
        </w:rPr>
        <w:lastRenderedPageBreak/>
        <w:t xml:space="preserve">to the digital nature of society, the prospect of using ICT in lessons excites and motivates pupils. </w:t>
      </w:r>
    </w:p>
    <w:p w14:paraId="5CFEBA45" w14:textId="10667C1F" w:rsidR="000964C0" w:rsidRPr="0073774D" w:rsidRDefault="000964C0" w:rsidP="0030329C">
      <w:pPr>
        <w:spacing w:line="360" w:lineRule="auto"/>
        <w:jc w:val="both"/>
        <w:rPr>
          <w:rStyle w:val="normaltextrun"/>
          <w:rFonts w:asciiTheme="minorBidi" w:hAnsiTheme="minorBidi"/>
          <w:sz w:val="24"/>
          <w:szCs w:val="24"/>
        </w:rPr>
      </w:pPr>
      <w:r w:rsidRPr="0073774D">
        <w:rPr>
          <w:rFonts w:asciiTheme="minorBidi" w:hAnsiTheme="minorBidi"/>
          <w:sz w:val="24"/>
          <w:szCs w:val="24"/>
        </w:rPr>
        <w:t xml:space="preserve">One thing which needs to be considered is </w:t>
      </w:r>
      <w:r w:rsidR="00C85D88" w:rsidRPr="0073774D">
        <w:rPr>
          <w:rFonts w:asciiTheme="minorBidi" w:hAnsiTheme="minorBidi"/>
          <w:sz w:val="24"/>
          <w:szCs w:val="24"/>
        </w:rPr>
        <w:t>the feelings pupils have about</w:t>
      </w:r>
      <w:r w:rsidRPr="0073774D">
        <w:rPr>
          <w:rFonts w:asciiTheme="minorBidi" w:hAnsiTheme="minorBidi"/>
          <w:sz w:val="24"/>
          <w:szCs w:val="24"/>
        </w:rPr>
        <w:t xml:space="preserve"> their own abilit</w:t>
      </w:r>
      <w:r w:rsidR="00A838F7">
        <w:rPr>
          <w:rFonts w:asciiTheme="minorBidi" w:hAnsiTheme="minorBidi"/>
          <w:sz w:val="24"/>
          <w:szCs w:val="24"/>
        </w:rPr>
        <w:t xml:space="preserve">y </w:t>
      </w:r>
      <w:r w:rsidRPr="0073774D">
        <w:rPr>
          <w:rFonts w:asciiTheme="minorBidi" w:hAnsiTheme="minorBidi"/>
          <w:sz w:val="24"/>
          <w:szCs w:val="24"/>
        </w:rPr>
        <w:t>to answer questions. The random name generator is likely to cause high levels of anxiety for those who would never raise their hands. The main way of combatting this is by ensuring pupils adapt a growth mindset rather than a fixed one (Dweck, 2012). A fixed mindset is the belief that your qualities are carved in stone whereas a growth mindset is the belief that your basic qualities are things you can cultivate through your efforts (Ibid., 2012). It is clear that the classroom climate needs to be a positive one in which pupils feel confident in making mistakes. “Just as a positive climate is necessary for learning at the macrocosmic level of the class, so too positive self-esteem and motivation are essential at the microcosmic level of the individual.” (Brooks, 2002, p. 44). With this in mind</w:t>
      </w:r>
      <w:r w:rsidRPr="0073774D">
        <w:rPr>
          <w:rStyle w:val="normaltextrun"/>
          <w:rFonts w:asciiTheme="minorBidi" w:hAnsiTheme="minorBidi"/>
          <w:color w:val="000000"/>
          <w:sz w:val="24"/>
          <w:szCs w:val="24"/>
          <w:shd w:val="clear" w:color="auto" w:fill="FFFFFF"/>
        </w:rPr>
        <w:t xml:space="preserve">, I wanted to ensure this enthusiasm for all pupils to be challenged was embedded in the ethos of my classroom. </w:t>
      </w:r>
    </w:p>
    <w:p w14:paraId="333CBF6C" w14:textId="77777777" w:rsidR="000964C0" w:rsidRPr="0073774D" w:rsidRDefault="000964C0" w:rsidP="0030329C">
      <w:pPr>
        <w:spacing w:line="360" w:lineRule="auto"/>
        <w:jc w:val="both"/>
        <w:rPr>
          <w:rFonts w:asciiTheme="minorBidi" w:hAnsiTheme="minorBidi"/>
          <w:sz w:val="24"/>
          <w:szCs w:val="24"/>
        </w:rPr>
      </w:pPr>
      <w:r w:rsidRPr="0073774D">
        <w:rPr>
          <w:rStyle w:val="normaltextrun"/>
          <w:rFonts w:asciiTheme="minorBidi" w:hAnsiTheme="minorBidi"/>
          <w:color w:val="000000"/>
          <w:sz w:val="24"/>
          <w:szCs w:val="24"/>
          <w:shd w:val="clear" w:color="auto" w:fill="FFFFFF"/>
        </w:rPr>
        <w:t xml:space="preserve">In contrast to this, it could be suggested that putting pressure on pupils to answer questions improves their answers and the quality of learning. Challenge is essential in causing pupils to think deeply and engage in a healthy struggle, just outside of their comfort zone (Allison and </w:t>
      </w:r>
      <w:proofErr w:type="spellStart"/>
      <w:r w:rsidRPr="0073774D">
        <w:rPr>
          <w:rStyle w:val="normaltextrun"/>
          <w:rFonts w:asciiTheme="minorBidi" w:hAnsiTheme="minorBidi"/>
          <w:color w:val="000000"/>
          <w:sz w:val="24"/>
          <w:szCs w:val="24"/>
          <w:shd w:val="clear" w:color="auto" w:fill="FFFFFF"/>
        </w:rPr>
        <w:t>Tharby</w:t>
      </w:r>
      <w:proofErr w:type="spellEnd"/>
      <w:r w:rsidRPr="0073774D">
        <w:rPr>
          <w:rStyle w:val="normaltextrun"/>
          <w:rFonts w:asciiTheme="minorBidi" w:hAnsiTheme="minorBidi"/>
          <w:color w:val="000000"/>
          <w:sz w:val="24"/>
          <w:szCs w:val="24"/>
          <w:shd w:val="clear" w:color="auto" w:fill="FFFFFF"/>
        </w:rPr>
        <w:t xml:space="preserve">, 2015). Petty (2009) demonstrates six different questioning strategies and their effectiveness in terms of student engagement, teacher feedback, student feedback, thinking time and student comfort. He found that in a Q&amp;A session, when volunteers answered, all aspects including student participation were poor apart from student comfort which was excellent (Ibid., 2009). Whereas, when pupils were nominated by the teacher to answer, participation rate was excellent, teacher and student feedback and thinking time were good and student comfort was poor (Ibid., 2009). The strategies which scored higher across all categories included group of pair work such as buzz groups (Ibid., 2009). Therefore, the anxiety that pupils may feel is outweighed by the benefits of engagement, learning and better feedback. </w:t>
      </w:r>
    </w:p>
    <w:p w14:paraId="3C886601" w14:textId="04BC957E"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Differentiating learning is essential in order to ensure all pupils can access the lesson and there are many different ways to do it. For example, questions can be directed to certain pupils or to the whole class (Coffey, 2007). Differentiation has been described as essential in challenging all learners to reach their potential (Boulton, 2011). One way to differentiate questions could be to click the random name generator then pitch </w:t>
      </w:r>
      <w:r w:rsidRPr="0073774D">
        <w:rPr>
          <w:rFonts w:asciiTheme="minorBidi" w:hAnsiTheme="minorBidi"/>
          <w:sz w:val="24"/>
          <w:szCs w:val="24"/>
        </w:rPr>
        <w:lastRenderedPageBreak/>
        <w:t xml:space="preserve">the question based on who it lands on. This may be an option with a mixed ability or lower band class. However, Allison and </w:t>
      </w:r>
      <w:proofErr w:type="spellStart"/>
      <w:r w:rsidRPr="0073774D">
        <w:rPr>
          <w:rFonts w:asciiTheme="minorBidi" w:hAnsiTheme="minorBidi"/>
          <w:sz w:val="24"/>
          <w:szCs w:val="24"/>
        </w:rPr>
        <w:t>Tharby</w:t>
      </w:r>
      <w:proofErr w:type="spellEnd"/>
      <w:r w:rsidRPr="0073774D">
        <w:rPr>
          <w:rFonts w:asciiTheme="minorBidi" w:hAnsiTheme="minorBidi"/>
          <w:sz w:val="24"/>
          <w:szCs w:val="24"/>
        </w:rPr>
        <w:t xml:space="preserve"> (2015) suggest that the bar of expectation should be set high for all pupils then we should respond to everyone differently. As this was a top band class, I decided to ask all pupils the same question so that all pupils are challenged</w:t>
      </w:r>
      <w:r w:rsidR="009C2F8A" w:rsidRPr="0073774D">
        <w:rPr>
          <w:rFonts w:asciiTheme="minorBidi" w:hAnsiTheme="minorBidi"/>
          <w:sz w:val="24"/>
          <w:szCs w:val="24"/>
        </w:rPr>
        <w:t xml:space="preserve"> on the same level</w:t>
      </w:r>
      <w:r w:rsidRPr="0073774D">
        <w:rPr>
          <w:rFonts w:asciiTheme="minorBidi" w:hAnsiTheme="minorBidi"/>
          <w:sz w:val="24"/>
          <w:szCs w:val="24"/>
        </w:rPr>
        <w:t xml:space="preserve"> and then I could respond as needed. </w:t>
      </w:r>
    </w:p>
    <w:p w14:paraId="57BE110C" w14:textId="7D53F7D2"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The importance of engaging with all learners through questioning is highlighted by Allison and </w:t>
      </w:r>
      <w:proofErr w:type="spellStart"/>
      <w:r w:rsidRPr="0073774D">
        <w:rPr>
          <w:rFonts w:asciiTheme="minorBidi" w:hAnsiTheme="minorBidi"/>
          <w:sz w:val="24"/>
          <w:szCs w:val="24"/>
        </w:rPr>
        <w:t>Tharby</w:t>
      </w:r>
      <w:proofErr w:type="spellEnd"/>
      <w:r w:rsidRPr="0073774D">
        <w:rPr>
          <w:rFonts w:asciiTheme="minorBidi" w:hAnsiTheme="minorBidi"/>
          <w:sz w:val="24"/>
          <w:szCs w:val="24"/>
        </w:rPr>
        <w:t xml:space="preserve"> (2015) who emphasise the need for teacher talk to be interactive. </w:t>
      </w:r>
      <w:proofErr w:type="spellStart"/>
      <w:r w:rsidRPr="0073774D">
        <w:rPr>
          <w:rFonts w:asciiTheme="minorBidi" w:hAnsiTheme="minorBidi"/>
          <w:sz w:val="24"/>
          <w:szCs w:val="24"/>
        </w:rPr>
        <w:t>Lemov</w:t>
      </w:r>
      <w:proofErr w:type="spellEnd"/>
      <w:r w:rsidRPr="0073774D">
        <w:rPr>
          <w:rFonts w:asciiTheme="minorBidi" w:hAnsiTheme="minorBidi"/>
          <w:sz w:val="24"/>
          <w:szCs w:val="24"/>
        </w:rPr>
        <w:t xml:space="preserve"> (2015) suggests that lessons require </w:t>
      </w:r>
      <w:r w:rsidRPr="0073774D">
        <w:rPr>
          <w:rFonts w:asciiTheme="minorBidi" w:hAnsiTheme="minorBidi"/>
          <w:iCs/>
          <w:sz w:val="24"/>
          <w:szCs w:val="24"/>
        </w:rPr>
        <w:t>ratio</w:t>
      </w:r>
      <w:r w:rsidRPr="0073774D">
        <w:rPr>
          <w:rFonts w:asciiTheme="minorBidi" w:hAnsiTheme="minorBidi"/>
          <w:sz w:val="24"/>
          <w:szCs w:val="24"/>
        </w:rPr>
        <w:t xml:space="preserve">, where pupils are on their toes and actively participating in their learning. Howard and </w:t>
      </w:r>
      <w:proofErr w:type="spellStart"/>
      <w:r w:rsidRPr="0073774D">
        <w:rPr>
          <w:rFonts w:asciiTheme="minorBidi" w:hAnsiTheme="minorBidi"/>
          <w:sz w:val="24"/>
          <w:szCs w:val="24"/>
        </w:rPr>
        <w:t>Henney</w:t>
      </w:r>
      <w:proofErr w:type="spellEnd"/>
      <w:r w:rsidRPr="0073774D">
        <w:rPr>
          <w:rFonts w:asciiTheme="minorBidi" w:hAnsiTheme="minorBidi"/>
          <w:sz w:val="24"/>
          <w:szCs w:val="24"/>
        </w:rPr>
        <w:t xml:space="preserve"> (1998, p. 400) note that “Students learn more when they take an active role in their learning</w:t>
      </w:r>
      <w:r w:rsidR="00A838F7">
        <w:rPr>
          <w:rFonts w:asciiTheme="minorBidi" w:hAnsiTheme="minorBidi"/>
          <w:sz w:val="24"/>
          <w:szCs w:val="24"/>
        </w:rPr>
        <w:t xml:space="preserve"> –</w:t>
      </w:r>
      <w:r w:rsidRPr="0073774D">
        <w:rPr>
          <w:rFonts w:asciiTheme="minorBidi" w:hAnsiTheme="minorBidi"/>
          <w:sz w:val="24"/>
          <w:szCs w:val="24"/>
        </w:rPr>
        <w:t xml:space="preserve"> seeing themselves as engaged participants in their education rather than passive recipients of knowledge from experts.” Although this study was on college students in America, this can be applied to learning universally. There has been a shift in the role of pupils from being passive recipients to active learners who take responsibility for and manage their own learning (Black and William, 2006). Because of this</w:t>
      </w:r>
      <w:r w:rsidR="00A838F7">
        <w:rPr>
          <w:rFonts w:asciiTheme="minorBidi" w:hAnsiTheme="minorBidi"/>
          <w:sz w:val="24"/>
          <w:szCs w:val="24"/>
        </w:rPr>
        <w:t>,</w:t>
      </w:r>
      <w:r w:rsidRPr="0073774D">
        <w:rPr>
          <w:rFonts w:asciiTheme="minorBidi" w:hAnsiTheme="minorBidi"/>
          <w:sz w:val="24"/>
          <w:szCs w:val="24"/>
        </w:rPr>
        <w:t xml:space="preserve"> I incorporated questions into the ‘teaching’ section and planned both lessons in sections to ensure learners were active and not passive. </w:t>
      </w:r>
    </w:p>
    <w:p w14:paraId="31A0EDA6"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Postman (1979) described asking questions as ‘our most important intellectual tool’ (Quoted in Morgan and Saxton, 1993, p. 18). Questioning can be used for a multitude of reasons such as establishing baselines, testing recall, reinforcing ideas, monitoring progress, challenging misconceptions and so on (Brooks, 2002). Questioning or further probing also allows pupils to deepen and develop their understanding of a topic (Allison and </w:t>
      </w:r>
      <w:proofErr w:type="spellStart"/>
      <w:r w:rsidRPr="0073774D">
        <w:rPr>
          <w:rFonts w:asciiTheme="minorBidi" w:hAnsiTheme="minorBidi"/>
          <w:sz w:val="24"/>
          <w:szCs w:val="24"/>
        </w:rPr>
        <w:t>Tharby</w:t>
      </w:r>
      <w:proofErr w:type="spellEnd"/>
      <w:r w:rsidRPr="0073774D">
        <w:rPr>
          <w:rFonts w:asciiTheme="minorBidi" w:hAnsiTheme="minorBidi"/>
          <w:sz w:val="24"/>
          <w:szCs w:val="24"/>
        </w:rPr>
        <w:t xml:space="preserve">, 2015). Jones and Tanner (2006, p. 25) highlight the importance of managing questioning effectively: “Questioning must be managed both to ensure classroom control and to gain adequate feedback from </w:t>
      </w:r>
      <w:r w:rsidRPr="0073774D">
        <w:rPr>
          <w:rFonts w:asciiTheme="minorBidi" w:hAnsiTheme="minorBidi"/>
          <w:i/>
          <w:sz w:val="24"/>
          <w:szCs w:val="24"/>
        </w:rPr>
        <w:t>all</w:t>
      </w:r>
      <w:r w:rsidRPr="0073774D">
        <w:rPr>
          <w:rFonts w:asciiTheme="minorBidi" w:hAnsiTheme="minorBidi"/>
          <w:sz w:val="24"/>
          <w:szCs w:val="24"/>
        </w:rPr>
        <w:t xml:space="preserve"> students.” Due to the versatility of the questioning tool, I decided to use open and closed questions across both lessons, testing pupils on the content, which therefore reinforced it and gave me the opportunity to challenge any misconceptions. It also gave me the opportunity to question pupils further on the concept or to provide feedback on their answers. </w:t>
      </w:r>
    </w:p>
    <w:p w14:paraId="05C9CF8D" w14:textId="3A86F92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Extensive research on different learning styles has been undertaken and it has been suggested that learning style is as individual as a signature (Dunn et al., 1989). I will not delve into the different learning styles but it is important to note that every pupil </w:t>
      </w:r>
      <w:r w:rsidRPr="0073774D">
        <w:rPr>
          <w:rFonts w:asciiTheme="minorBidi" w:hAnsiTheme="minorBidi"/>
          <w:sz w:val="24"/>
          <w:szCs w:val="24"/>
        </w:rPr>
        <w:lastRenderedPageBreak/>
        <w:t xml:space="preserve">learns in a different way. In order to encourage engagement of pupils in both lessons, I wanted to plan a range of tasks. </w:t>
      </w:r>
      <w:proofErr w:type="spellStart"/>
      <w:r w:rsidRPr="0073774D">
        <w:rPr>
          <w:rFonts w:asciiTheme="minorBidi" w:hAnsiTheme="minorBidi"/>
          <w:sz w:val="24"/>
          <w:szCs w:val="24"/>
        </w:rPr>
        <w:t>Ueltschy</w:t>
      </w:r>
      <w:proofErr w:type="spellEnd"/>
      <w:r w:rsidRPr="0073774D">
        <w:rPr>
          <w:rFonts w:asciiTheme="minorBidi" w:hAnsiTheme="minorBidi"/>
          <w:sz w:val="24"/>
          <w:szCs w:val="24"/>
        </w:rPr>
        <w:t xml:space="preserve"> (2001) suggests that “students should be participants, not merely observers, in the classroom.” Therefore, I planned a starter which consisted of images which pupils were required to study, a video with a fill in the gaps exercise, a teaching segment with questions and answers, a written task and a plenary. When designing the lessons</w:t>
      </w:r>
      <w:r w:rsidR="00F8785C">
        <w:rPr>
          <w:rFonts w:asciiTheme="minorBidi" w:hAnsiTheme="minorBidi"/>
          <w:sz w:val="24"/>
          <w:szCs w:val="24"/>
        </w:rPr>
        <w:t>,</w:t>
      </w:r>
      <w:r w:rsidRPr="0073774D">
        <w:rPr>
          <w:rFonts w:asciiTheme="minorBidi" w:hAnsiTheme="minorBidi"/>
          <w:sz w:val="24"/>
          <w:szCs w:val="24"/>
        </w:rPr>
        <w:t xml:space="preserve"> I kept the tasks consistent across both lessons in order to see the full effect of the random name generator.</w:t>
      </w:r>
    </w:p>
    <w:p w14:paraId="2A2C0A53" w14:textId="3F76473D" w:rsidR="000964C0" w:rsidRPr="0073774D" w:rsidRDefault="000964C0" w:rsidP="0030329C">
      <w:pPr>
        <w:spacing w:line="360" w:lineRule="auto"/>
        <w:jc w:val="both"/>
        <w:rPr>
          <w:rFonts w:asciiTheme="minorBidi" w:eastAsia="Arial" w:hAnsiTheme="minorBidi"/>
          <w:sz w:val="24"/>
          <w:szCs w:val="24"/>
        </w:rPr>
      </w:pPr>
      <w:r w:rsidRPr="0073774D">
        <w:rPr>
          <w:rFonts w:asciiTheme="minorBidi" w:eastAsia="Arial" w:hAnsiTheme="minorBidi"/>
          <w:sz w:val="24"/>
          <w:szCs w:val="24"/>
        </w:rPr>
        <w:t>Upon planning the research, the main method of measuring the engagement levels that came to mind was observation. Fischer (2001) believes that action research is a natural part of teaching, as a teacher you observe students and study classroom interactions to explore a variety of effective ways of teaching. As I was looking at engagement which is not easily measured, I chose to observe the pupils and how engaged they appeared. I undertook unstructured observation which, unlike a structured observation</w:t>
      </w:r>
      <w:r w:rsidR="001746DD" w:rsidRPr="0073774D">
        <w:rPr>
          <w:rFonts w:asciiTheme="minorBidi" w:eastAsia="Arial" w:hAnsiTheme="minorBidi"/>
          <w:sz w:val="24"/>
          <w:szCs w:val="24"/>
        </w:rPr>
        <w:t>,</w:t>
      </w:r>
      <w:r w:rsidRPr="0073774D">
        <w:rPr>
          <w:rFonts w:asciiTheme="minorBidi" w:eastAsia="Arial" w:hAnsiTheme="minorBidi"/>
          <w:sz w:val="24"/>
          <w:szCs w:val="24"/>
        </w:rPr>
        <w:t xml:space="preserve"> did not use any pre-determined categories and classifications but made observations in a more natural open-ended way (Punch and </w:t>
      </w:r>
      <w:proofErr w:type="spellStart"/>
      <w:r w:rsidRPr="0073774D">
        <w:rPr>
          <w:rFonts w:asciiTheme="minorBidi" w:eastAsia="Arial" w:hAnsiTheme="minorBidi"/>
          <w:sz w:val="24"/>
          <w:szCs w:val="24"/>
        </w:rPr>
        <w:t>Oancea</w:t>
      </w:r>
      <w:proofErr w:type="spellEnd"/>
      <w:r w:rsidRPr="0073774D">
        <w:rPr>
          <w:rFonts w:asciiTheme="minorBidi" w:eastAsia="Arial" w:hAnsiTheme="minorBidi"/>
          <w:sz w:val="24"/>
          <w:szCs w:val="24"/>
        </w:rPr>
        <w:t>, 2014). A disadvantage of observation is that the validity and reliability can be questioned as the observer may be sub-consciously selective in what they see (Cohen et al., 2000).  Furthermore, as observers we have our own focus and may ‘filter’ the material we obtain and impose our own interpretations on things (Bell, 2005). For this reason, I also asked the normal class teacher to observe the levels of engagement in the classroom. Cohen et al</w:t>
      </w:r>
      <w:r w:rsidR="00C36EB9">
        <w:rPr>
          <w:rFonts w:asciiTheme="minorBidi" w:eastAsia="Arial" w:hAnsiTheme="minorBidi"/>
          <w:sz w:val="24"/>
          <w:szCs w:val="24"/>
        </w:rPr>
        <w:t>.</w:t>
      </w:r>
      <w:r w:rsidRPr="0073774D">
        <w:rPr>
          <w:rFonts w:asciiTheme="minorBidi" w:eastAsia="Arial" w:hAnsiTheme="minorBidi"/>
          <w:sz w:val="24"/>
          <w:szCs w:val="24"/>
        </w:rPr>
        <w:t xml:space="preserve"> (2000) suggest that additional methods of gathering data should be employed to provide corroboration and triangulation and improve the reliability of the research. </w:t>
      </w:r>
    </w:p>
    <w:p w14:paraId="7694CB2B" w14:textId="6CE1FCD6" w:rsidR="000964C0" w:rsidRPr="0073774D" w:rsidRDefault="000964C0" w:rsidP="0030329C">
      <w:pPr>
        <w:spacing w:line="360" w:lineRule="auto"/>
        <w:jc w:val="both"/>
        <w:rPr>
          <w:rFonts w:asciiTheme="minorBidi" w:eastAsia="Arial" w:hAnsiTheme="minorBidi"/>
          <w:sz w:val="24"/>
          <w:szCs w:val="24"/>
        </w:rPr>
      </w:pPr>
      <w:r w:rsidRPr="0073774D">
        <w:rPr>
          <w:rFonts w:asciiTheme="minorBidi" w:eastAsia="Arial" w:hAnsiTheme="minorBidi"/>
          <w:sz w:val="24"/>
          <w:szCs w:val="24"/>
        </w:rPr>
        <w:t>Triangulation is “The conscious intersecting of multiple methods for data collection” (</w:t>
      </w:r>
      <w:proofErr w:type="spellStart"/>
      <w:r w:rsidRPr="0073774D">
        <w:rPr>
          <w:rFonts w:asciiTheme="minorBidi" w:eastAsia="Arial" w:hAnsiTheme="minorBidi"/>
          <w:sz w:val="24"/>
          <w:szCs w:val="24"/>
        </w:rPr>
        <w:t>Burnaford</w:t>
      </w:r>
      <w:proofErr w:type="spellEnd"/>
      <w:r w:rsidRPr="0073774D">
        <w:rPr>
          <w:rFonts w:asciiTheme="minorBidi" w:eastAsia="Arial" w:hAnsiTheme="minorBidi"/>
          <w:sz w:val="24"/>
          <w:szCs w:val="24"/>
        </w:rPr>
        <w:t>, 2001, p. 70). I wanted to ask pupils their opinion on how engaging each lesson was in order to get more than the teacher</w:t>
      </w:r>
      <w:r w:rsidR="0005732C">
        <w:rPr>
          <w:rFonts w:asciiTheme="minorBidi" w:eastAsia="Arial" w:hAnsiTheme="minorBidi"/>
          <w:sz w:val="24"/>
          <w:szCs w:val="24"/>
        </w:rPr>
        <w:t>’</w:t>
      </w:r>
      <w:r w:rsidRPr="0073774D">
        <w:rPr>
          <w:rFonts w:asciiTheme="minorBidi" w:eastAsia="Arial" w:hAnsiTheme="minorBidi"/>
          <w:sz w:val="24"/>
          <w:szCs w:val="24"/>
        </w:rPr>
        <w:t xml:space="preserve">s perspective. I decided against interviews and lengthy questionnaires due to ethical issues and the potential to lead pupils with the different types of questions (Cohen et al., 2000). However, I did ask them to rate how engaged they were and how much they enjoyed both lessons using smiley faces in the reflection box of their book. I chose to do this as rating their understanding of the lesson using a happy, normal or sad face is usual practice within the school. Therefore, I had three different viewpoints to consider when thinking about how the selection process affected engagement in the classroom. </w:t>
      </w:r>
    </w:p>
    <w:p w14:paraId="45433997" w14:textId="77777777" w:rsidR="000964C0" w:rsidRPr="0073774D" w:rsidRDefault="000964C0" w:rsidP="0030329C">
      <w:pPr>
        <w:pStyle w:val="paragraph"/>
        <w:spacing w:before="0" w:beforeAutospacing="0" w:after="0" w:afterAutospacing="0" w:line="360" w:lineRule="auto"/>
        <w:jc w:val="both"/>
        <w:textAlignment w:val="baseline"/>
        <w:rPr>
          <w:rFonts w:asciiTheme="minorBidi" w:hAnsiTheme="minorBidi" w:cstheme="minorBidi"/>
          <w:u w:val="single"/>
        </w:rPr>
      </w:pPr>
      <w:r w:rsidRPr="0073774D">
        <w:rPr>
          <w:rStyle w:val="normaltextrun"/>
          <w:rFonts w:asciiTheme="minorBidi" w:hAnsiTheme="minorBidi" w:cstheme="minorBidi"/>
          <w:u w:val="single"/>
        </w:rPr>
        <w:lastRenderedPageBreak/>
        <w:t xml:space="preserve">School policy and practice </w:t>
      </w:r>
    </w:p>
    <w:p w14:paraId="3F053132" w14:textId="469AC511" w:rsidR="000964C0" w:rsidRPr="0073774D" w:rsidRDefault="000964C0" w:rsidP="0030329C">
      <w:pPr>
        <w:spacing w:line="360" w:lineRule="auto"/>
        <w:jc w:val="both"/>
        <w:rPr>
          <w:rFonts w:asciiTheme="minorBidi" w:eastAsia="Arial" w:hAnsiTheme="minorBidi"/>
          <w:sz w:val="24"/>
          <w:szCs w:val="24"/>
        </w:rPr>
      </w:pPr>
      <w:r w:rsidRPr="0073774D">
        <w:rPr>
          <w:rFonts w:asciiTheme="minorBidi" w:eastAsia="Arial" w:hAnsiTheme="minorBidi"/>
          <w:sz w:val="24"/>
          <w:szCs w:val="24"/>
        </w:rPr>
        <w:t xml:space="preserve">The practice throughout the school varies depending on the style and preferences of each individual teacher. Allison and </w:t>
      </w:r>
      <w:proofErr w:type="spellStart"/>
      <w:r w:rsidRPr="0073774D">
        <w:rPr>
          <w:rFonts w:asciiTheme="minorBidi" w:eastAsia="Arial" w:hAnsiTheme="minorBidi"/>
          <w:sz w:val="24"/>
          <w:szCs w:val="24"/>
        </w:rPr>
        <w:t>Tharby</w:t>
      </w:r>
      <w:proofErr w:type="spellEnd"/>
      <w:r w:rsidRPr="0073774D">
        <w:rPr>
          <w:rFonts w:asciiTheme="minorBidi" w:eastAsia="Arial" w:hAnsiTheme="minorBidi"/>
          <w:sz w:val="24"/>
          <w:szCs w:val="24"/>
        </w:rPr>
        <w:t xml:space="preserve"> (2012) say that hands-up </w:t>
      </w:r>
      <w:r w:rsidR="00F55118" w:rsidRPr="0073774D">
        <w:rPr>
          <w:rFonts w:asciiTheme="minorBidi" w:eastAsia="Arial" w:hAnsiTheme="minorBidi"/>
          <w:sz w:val="24"/>
          <w:szCs w:val="24"/>
        </w:rPr>
        <w:t xml:space="preserve">is </w:t>
      </w:r>
      <w:r w:rsidRPr="0073774D">
        <w:rPr>
          <w:rFonts w:asciiTheme="minorBidi" w:eastAsia="Arial" w:hAnsiTheme="minorBidi"/>
          <w:sz w:val="24"/>
          <w:szCs w:val="24"/>
        </w:rPr>
        <w:t>the ‘traditional approach’. In school I mainly observed teachers using the ‘traditional’ hands-up method, with some teachers using the ‘no-hands-up’ method, selecting certain pupils to answer certain questions. As mentioned above, in order to improve levels of engagement, random name selectors have been suggested so that all students must be prepared to answer (</w:t>
      </w:r>
      <w:proofErr w:type="spellStart"/>
      <w:r w:rsidRPr="0073774D">
        <w:rPr>
          <w:rFonts w:asciiTheme="minorBidi" w:eastAsia="Arial" w:hAnsiTheme="minorBidi"/>
          <w:sz w:val="24"/>
          <w:szCs w:val="24"/>
        </w:rPr>
        <w:t>Jenkens</w:t>
      </w:r>
      <w:proofErr w:type="spellEnd"/>
      <w:r w:rsidRPr="0073774D">
        <w:rPr>
          <w:rFonts w:asciiTheme="minorBidi" w:eastAsia="Arial" w:hAnsiTheme="minorBidi"/>
          <w:sz w:val="24"/>
          <w:szCs w:val="24"/>
        </w:rPr>
        <w:t xml:space="preserve">, 2017). However, I did not see any random name selectors being during my observations. One successful method I observed was the use of mini white boards to engage all learners. </w:t>
      </w:r>
      <w:r w:rsidRPr="0073774D">
        <w:rPr>
          <w:rFonts w:asciiTheme="minorBidi" w:hAnsiTheme="minorBidi"/>
          <w:sz w:val="24"/>
          <w:szCs w:val="24"/>
        </w:rPr>
        <w:t>Mini white boards allow the efficient assessment of pupil learning and can be used to check understanding and adjust the lesson accordingly (</w:t>
      </w:r>
      <w:proofErr w:type="spellStart"/>
      <w:r w:rsidRPr="0073774D">
        <w:rPr>
          <w:rFonts w:asciiTheme="minorBidi" w:hAnsiTheme="minorBidi"/>
          <w:sz w:val="24"/>
          <w:szCs w:val="24"/>
        </w:rPr>
        <w:t>Wareing</w:t>
      </w:r>
      <w:proofErr w:type="spellEnd"/>
      <w:r w:rsidRPr="0073774D">
        <w:rPr>
          <w:rFonts w:asciiTheme="minorBidi" w:hAnsiTheme="minorBidi"/>
          <w:sz w:val="24"/>
          <w:szCs w:val="24"/>
        </w:rPr>
        <w:t xml:space="preserve">, 2012). </w:t>
      </w:r>
      <w:r w:rsidRPr="0073774D">
        <w:rPr>
          <w:rFonts w:asciiTheme="minorBidi" w:eastAsia="Arial" w:hAnsiTheme="minorBidi"/>
          <w:sz w:val="24"/>
          <w:szCs w:val="24"/>
        </w:rPr>
        <w:t xml:space="preserve">This was successful in engaging everyone in question and answer sessions, however, it did limit the questioning to closed questions which focused on recall.  </w:t>
      </w:r>
    </w:p>
    <w:p w14:paraId="453D0EC0" w14:textId="77777777" w:rsidR="000964C0" w:rsidRPr="0073774D" w:rsidRDefault="000964C0" w:rsidP="0030329C">
      <w:pPr>
        <w:spacing w:line="360" w:lineRule="auto"/>
        <w:jc w:val="both"/>
        <w:rPr>
          <w:rStyle w:val="eop"/>
          <w:rFonts w:asciiTheme="minorBidi" w:hAnsiTheme="minorBidi"/>
          <w:color w:val="000000"/>
          <w:sz w:val="24"/>
          <w:szCs w:val="24"/>
          <w:shd w:val="clear" w:color="auto" w:fill="FFFFFF"/>
        </w:rPr>
      </w:pPr>
      <w:r w:rsidRPr="0073774D">
        <w:rPr>
          <w:rFonts w:asciiTheme="minorBidi" w:eastAsia="Arial" w:hAnsiTheme="minorBidi"/>
          <w:sz w:val="24"/>
          <w:szCs w:val="24"/>
        </w:rPr>
        <w:t xml:space="preserve">Although school policy does not explicitly tell teachers to use random name selectors in their teaching, it does emphasise including all learners and keeping them engaged. School X states that all staff should maintain engagement, pace and challenge, have high expectations, employ a range of teacher strategies and make effective use of questioning (School X, Teaching and Learning Policy). As a school, a key priority is “To engage </w:t>
      </w:r>
      <w:r w:rsidRPr="0073774D">
        <w:rPr>
          <w:rFonts w:asciiTheme="minorBidi" w:eastAsia="Arial" w:hAnsiTheme="minorBidi"/>
          <w:i/>
          <w:iCs/>
          <w:sz w:val="24"/>
          <w:szCs w:val="24"/>
        </w:rPr>
        <w:t>all learners</w:t>
      </w:r>
      <w:r w:rsidRPr="0073774D">
        <w:rPr>
          <w:rFonts w:asciiTheme="minorBidi" w:eastAsia="Arial" w:hAnsiTheme="minorBidi"/>
          <w:sz w:val="24"/>
          <w:szCs w:val="24"/>
        </w:rPr>
        <w:t xml:space="preserve"> with an innovative and engaging curriculum at KS3 and learning pathways at KS4 which meet all pupils’ needs” (Appendix A). One way they aim to address this priority is: “</w:t>
      </w:r>
      <w:r w:rsidRPr="0073774D">
        <w:rPr>
          <w:rStyle w:val="normaltextrun"/>
          <w:rFonts w:asciiTheme="minorBidi" w:hAnsiTheme="minorBidi"/>
          <w:color w:val="000000"/>
          <w:sz w:val="24"/>
          <w:szCs w:val="24"/>
          <w:shd w:val="clear" w:color="auto" w:fill="FFFFFF"/>
        </w:rPr>
        <w:t>To plan and provide a wide range of experiences to ensure all pupils are digitally competent</w:t>
      </w:r>
      <w:r w:rsidRPr="0073774D">
        <w:rPr>
          <w:rStyle w:val="eop"/>
          <w:rFonts w:asciiTheme="minorBidi" w:hAnsiTheme="minorBidi"/>
          <w:color w:val="000000"/>
          <w:sz w:val="24"/>
          <w:szCs w:val="24"/>
          <w:shd w:val="clear" w:color="auto" w:fill="FFFFFF"/>
        </w:rPr>
        <w:t xml:space="preserve">” (Appendix A). However, I did not see this in place throughout my observations. As mentioned above, the use of a computerised random name generator models the use of ICT in the classroom to pupils and provides all pupils with the chance to contribute. </w:t>
      </w:r>
    </w:p>
    <w:p w14:paraId="526BAF72" w14:textId="425B7C70" w:rsidR="000964C0" w:rsidRPr="0073774D" w:rsidRDefault="000964C0" w:rsidP="0030329C">
      <w:pPr>
        <w:spacing w:line="360" w:lineRule="auto"/>
        <w:jc w:val="both"/>
        <w:rPr>
          <w:rFonts w:asciiTheme="minorBidi" w:hAnsiTheme="minorBidi"/>
          <w:sz w:val="24"/>
          <w:szCs w:val="24"/>
        </w:rPr>
      </w:pPr>
      <w:r w:rsidRPr="0073774D">
        <w:rPr>
          <w:rFonts w:asciiTheme="minorBidi" w:eastAsia="Arial" w:hAnsiTheme="minorBidi"/>
          <w:sz w:val="24"/>
          <w:szCs w:val="24"/>
        </w:rPr>
        <w:t>Inclusion is when all pupils have the same opportunities and when all pupils have an active involvement (Welsh Government, 2016b). The Headteacher emphasises the focus on equality: “</w:t>
      </w:r>
      <w:r w:rsidRPr="0073774D">
        <w:rPr>
          <w:rFonts w:asciiTheme="minorBidi" w:hAnsiTheme="minorBidi"/>
          <w:color w:val="000000"/>
          <w:sz w:val="24"/>
          <w:szCs w:val="24"/>
          <w:shd w:val="clear" w:color="auto" w:fill="FFFFFF"/>
        </w:rPr>
        <w:t>Today our work is founded on the comprehensive ideal – a belief that all children are of equal value and that it is our task to help develop the abilities and talents that all undoubtedly have. We value every pupil equally.” (School X, website).</w:t>
      </w:r>
      <w:r w:rsidRPr="0073774D">
        <w:rPr>
          <w:rFonts w:asciiTheme="minorBidi" w:eastAsia="Arial" w:hAnsiTheme="minorBidi"/>
          <w:sz w:val="24"/>
          <w:szCs w:val="24"/>
        </w:rPr>
        <w:t xml:space="preserve"> They also outline that “C</w:t>
      </w:r>
      <w:r w:rsidRPr="0073774D">
        <w:rPr>
          <w:rFonts w:asciiTheme="minorBidi" w:hAnsiTheme="minorBidi"/>
          <w:sz w:val="24"/>
          <w:szCs w:val="24"/>
        </w:rPr>
        <w:t xml:space="preserve">lassroom organisation should ensure that, when group work takes place, the composition of groups enables all students to participate </w:t>
      </w:r>
      <w:r w:rsidRPr="0073774D">
        <w:rPr>
          <w:rFonts w:asciiTheme="minorBidi" w:hAnsiTheme="minorBidi"/>
          <w:sz w:val="24"/>
          <w:szCs w:val="24"/>
        </w:rPr>
        <w:lastRenderedPageBreak/>
        <w:t>fully.” (School X, Equal Opportunities Policy). I did observe a strong focus on equality within the school. A main priority of the department is to “raise boys</w:t>
      </w:r>
      <w:r w:rsidR="00DA2E66">
        <w:rPr>
          <w:rFonts w:asciiTheme="minorBidi" w:hAnsiTheme="minorBidi"/>
          <w:sz w:val="24"/>
          <w:szCs w:val="24"/>
        </w:rPr>
        <w:t>’</w:t>
      </w:r>
      <w:r w:rsidRPr="0073774D">
        <w:rPr>
          <w:rFonts w:asciiTheme="minorBidi" w:hAnsiTheme="minorBidi"/>
          <w:sz w:val="24"/>
          <w:szCs w:val="24"/>
        </w:rPr>
        <w:t xml:space="preserve"> performance as L5/6+” (Appendix A). It could be suggested that the use of a random name selector across the school would contribute to ensuring these priorities are met as all pupils have an equal chance of contributing. </w:t>
      </w:r>
    </w:p>
    <w:p w14:paraId="08367E23" w14:textId="77777777" w:rsidR="000964C0" w:rsidRPr="0073774D" w:rsidRDefault="000964C0" w:rsidP="0030329C">
      <w:pPr>
        <w:spacing w:line="360" w:lineRule="auto"/>
        <w:jc w:val="both"/>
        <w:rPr>
          <w:rFonts w:asciiTheme="minorBidi" w:eastAsia="Arial" w:hAnsiTheme="minorBidi"/>
          <w:sz w:val="24"/>
          <w:szCs w:val="24"/>
          <w:u w:val="single"/>
        </w:rPr>
      </w:pPr>
      <w:r w:rsidRPr="0073774D">
        <w:rPr>
          <w:rFonts w:asciiTheme="minorBidi" w:eastAsia="Arial" w:hAnsiTheme="minorBidi"/>
          <w:sz w:val="24"/>
          <w:szCs w:val="24"/>
          <w:u w:val="single"/>
        </w:rPr>
        <w:t>Methodology</w:t>
      </w:r>
    </w:p>
    <w:p w14:paraId="32648880" w14:textId="77777777" w:rsidR="001F7993" w:rsidRPr="0073774D" w:rsidRDefault="000964C0" w:rsidP="0030329C">
      <w:pPr>
        <w:spacing w:line="360" w:lineRule="auto"/>
        <w:jc w:val="both"/>
        <w:rPr>
          <w:rStyle w:val="normaltextrun"/>
          <w:rFonts w:asciiTheme="minorBidi" w:hAnsiTheme="minorBidi"/>
          <w:color w:val="000000"/>
          <w:sz w:val="24"/>
          <w:szCs w:val="24"/>
          <w:shd w:val="clear" w:color="auto" w:fill="FFFFFF"/>
        </w:rPr>
      </w:pPr>
      <w:r w:rsidRPr="0073774D">
        <w:rPr>
          <w:rFonts w:asciiTheme="minorBidi" w:eastAsia="Arial" w:hAnsiTheme="minorBidi"/>
          <w:sz w:val="24"/>
          <w:szCs w:val="24"/>
        </w:rPr>
        <w:t>The research question for this is study is</w:t>
      </w:r>
      <w:r w:rsidRPr="0073774D">
        <w:rPr>
          <w:rStyle w:val="normaltextrun"/>
          <w:rFonts w:asciiTheme="minorBidi" w:hAnsiTheme="minorBidi"/>
          <w:color w:val="000000"/>
          <w:sz w:val="24"/>
          <w:szCs w:val="24"/>
          <w:shd w:val="clear" w:color="auto" w:fill="FFFFFF"/>
        </w:rPr>
        <w:t xml:space="preserve"> ‘To what extent do random name generators improve learners’ engagement in RE</w:t>
      </w:r>
      <w:r w:rsidR="001F7993" w:rsidRPr="0073774D">
        <w:rPr>
          <w:rStyle w:val="normaltextrun"/>
          <w:rFonts w:asciiTheme="minorBidi" w:hAnsiTheme="minorBidi"/>
          <w:color w:val="000000"/>
          <w:sz w:val="24"/>
          <w:szCs w:val="24"/>
          <w:shd w:val="clear" w:color="auto" w:fill="FFFFFF"/>
        </w:rPr>
        <w:t>?</w:t>
      </w:r>
    </w:p>
    <w:p w14:paraId="2D91B066" w14:textId="55D556DD" w:rsidR="000964C0" w:rsidRPr="0073774D" w:rsidRDefault="000964C0" w:rsidP="0030329C">
      <w:pPr>
        <w:spacing w:line="360" w:lineRule="auto"/>
        <w:jc w:val="both"/>
        <w:rPr>
          <w:rFonts w:asciiTheme="minorBidi" w:hAnsiTheme="minorBidi"/>
          <w:color w:val="000000"/>
          <w:sz w:val="24"/>
          <w:szCs w:val="24"/>
          <w:shd w:val="clear" w:color="auto" w:fill="FFFFFF"/>
        </w:rPr>
      </w:pPr>
      <w:r w:rsidRPr="0073774D">
        <w:rPr>
          <w:rFonts w:asciiTheme="minorBidi" w:hAnsiTheme="minorBidi"/>
          <w:sz w:val="24"/>
          <w:szCs w:val="24"/>
        </w:rPr>
        <w:t>My hypothesis is that using random name generation for AFL will improve engagement in RE lessons.</w:t>
      </w:r>
    </w:p>
    <w:p w14:paraId="49290EEC" w14:textId="77777777" w:rsidR="000964C0" w:rsidRPr="0073774D" w:rsidRDefault="000964C0" w:rsidP="0030329C">
      <w:pPr>
        <w:spacing w:line="360" w:lineRule="auto"/>
        <w:jc w:val="both"/>
        <w:rPr>
          <w:rFonts w:asciiTheme="minorBidi" w:eastAsia="Arial" w:hAnsiTheme="minorBidi"/>
          <w:sz w:val="24"/>
          <w:szCs w:val="24"/>
          <w:u w:val="single"/>
        </w:rPr>
      </w:pPr>
      <w:r w:rsidRPr="0073774D">
        <w:rPr>
          <w:rFonts w:asciiTheme="minorBidi" w:eastAsia="Arial" w:hAnsiTheme="minorBidi"/>
          <w:sz w:val="24"/>
          <w:szCs w:val="24"/>
          <w:u w:val="single"/>
        </w:rPr>
        <w:t>Design</w:t>
      </w:r>
    </w:p>
    <w:p w14:paraId="472E53B8" w14:textId="642F3BF1" w:rsidR="000964C0" w:rsidRPr="0073774D" w:rsidRDefault="000964C0" w:rsidP="0030329C">
      <w:pPr>
        <w:spacing w:line="360" w:lineRule="auto"/>
        <w:jc w:val="both"/>
        <w:rPr>
          <w:rFonts w:asciiTheme="minorBidi" w:hAnsiTheme="minorBidi"/>
          <w:sz w:val="24"/>
          <w:szCs w:val="24"/>
        </w:rPr>
      </w:pPr>
      <w:r w:rsidRPr="0073774D">
        <w:rPr>
          <w:rFonts w:asciiTheme="minorBidi" w:eastAsia="Arial" w:hAnsiTheme="minorBidi"/>
          <w:sz w:val="24"/>
          <w:szCs w:val="24"/>
        </w:rPr>
        <w:t>This is a repeated measures design which uses the same class in two different conditions. The</w:t>
      </w:r>
      <w:r w:rsidR="00F076DE" w:rsidRPr="0073774D">
        <w:rPr>
          <w:rFonts w:asciiTheme="minorBidi" w:eastAsia="Arial" w:hAnsiTheme="minorBidi"/>
          <w:sz w:val="24"/>
          <w:szCs w:val="24"/>
        </w:rPr>
        <w:t xml:space="preserve"> same</w:t>
      </w:r>
      <w:r w:rsidRPr="0073774D">
        <w:rPr>
          <w:rFonts w:asciiTheme="minorBidi" w:eastAsia="Arial" w:hAnsiTheme="minorBidi"/>
          <w:sz w:val="24"/>
          <w:szCs w:val="24"/>
        </w:rPr>
        <w:t xml:space="preserve"> participants take part in both conditions. The independent variable for this study the assessment for learning technique which is either the computerised name generator or the traditional “hand</w:t>
      </w:r>
      <w:r w:rsidR="00F076DE" w:rsidRPr="0073774D">
        <w:rPr>
          <w:rFonts w:asciiTheme="minorBidi" w:eastAsia="Arial" w:hAnsiTheme="minorBidi"/>
          <w:sz w:val="24"/>
          <w:szCs w:val="24"/>
        </w:rPr>
        <w:t>s</w:t>
      </w:r>
      <w:r w:rsidRPr="0073774D">
        <w:rPr>
          <w:rFonts w:asciiTheme="minorBidi" w:eastAsia="Arial" w:hAnsiTheme="minorBidi"/>
          <w:sz w:val="24"/>
          <w:szCs w:val="24"/>
        </w:rPr>
        <w:t xml:space="preserve">-up” method. The dependant variable in the study is engagement which is measured at the end of </w:t>
      </w:r>
      <w:r w:rsidR="00F076DE" w:rsidRPr="0073774D">
        <w:rPr>
          <w:rFonts w:asciiTheme="minorBidi" w:eastAsia="Arial" w:hAnsiTheme="minorBidi"/>
          <w:sz w:val="24"/>
          <w:szCs w:val="24"/>
        </w:rPr>
        <w:t>both</w:t>
      </w:r>
      <w:r w:rsidRPr="0073774D">
        <w:rPr>
          <w:rFonts w:asciiTheme="minorBidi" w:eastAsia="Arial" w:hAnsiTheme="minorBidi"/>
          <w:sz w:val="24"/>
          <w:szCs w:val="24"/>
        </w:rPr>
        <w:t xml:space="preserve"> lesson</w:t>
      </w:r>
      <w:r w:rsidR="00F076DE" w:rsidRPr="0073774D">
        <w:rPr>
          <w:rFonts w:asciiTheme="minorBidi" w:eastAsia="Arial" w:hAnsiTheme="minorBidi"/>
          <w:sz w:val="24"/>
          <w:szCs w:val="24"/>
        </w:rPr>
        <w:t>s</w:t>
      </w:r>
      <w:r w:rsidRPr="0073774D">
        <w:rPr>
          <w:rFonts w:asciiTheme="minorBidi" w:eastAsia="Arial" w:hAnsiTheme="minorBidi"/>
          <w:sz w:val="24"/>
          <w:szCs w:val="24"/>
        </w:rPr>
        <w:t xml:space="preserve"> using a 3-point Likert scale (smiley faces). In light of the literature on AFL techniques, school policy and the observation of practice within school, I chose to explore my research question through a repeated sample in two different conditions. I decided to stick to the normal school practice of using ‘hands-up’ for lesson 1 and then I used a computerised random name generator for lesson 2. </w:t>
      </w:r>
    </w:p>
    <w:p w14:paraId="574E8778" w14:textId="77777777" w:rsidR="000964C0" w:rsidRPr="0073774D" w:rsidRDefault="000964C0" w:rsidP="0030329C">
      <w:pPr>
        <w:spacing w:line="360" w:lineRule="auto"/>
        <w:jc w:val="both"/>
        <w:rPr>
          <w:rFonts w:asciiTheme="minorBidi" w:eastAsia="Arial" w:hAnsiTheme="minorBidi"/>
          <w:sz w:val="24"/>
          <w:szCs w:val="24"/>
          <w:u w:val="single"/>
        </w:rPr>
      </w:pPr>
      <w:r w:rsidRPr="0073774D">
        <w:rPr>
          <w:rFonts w:asciiTheme="minorBidi" w:eastAsia="Arial" w:hAnsiTheme="minorBidi"/>
          <w:sz w:val="24"/>
          <w:szCs w:val="24"/>
          <w:u w:val="single"/>
        </w:rPr>
        <w:t>Participants</w:t>
      </w:r>
    </w:p>
    <w:p w14:paraId="7AAFE753" w14:textId="77777777" w:rsidR="000964C0" w:rsidRPr="0073774D" w:rsidRDefault="000964C0" w:rsidP="0030329C">
      <w:pPr>
        <w:spacing w:line="360" w:lineRule="auto"/>
        <w:jc w:val="both"/>
        <w:rPr>
          <w:rFonts w:asciiTheme="minorBidi" w:eastAsia="Arial" w:hAnsiTheme="minorBidi"/>
          <w:sz w:val="24"/>
          <w:szCs w:val="24"/>
        </w:rPr>
      </w:pPr>
      <w:r w:rsidRPr="0073774D">
        <w:rPr>
          <w:rFonts w:asciiTheme="minorBidi" w:eastAsia="Arial" w:hAnsiTheme="minorBidi"/>
          <w:sz w:val="24"/>
          <w:szCs w:val="24"/>
        </w:rPr>
        <w:t>The sample I used for this research was a convenience sample, a type of non-probability sampling as I selected a class from my timetable (Winterbottom, 2013). This study was conducted on 34 participants. Not all participants completed the study and therefore only 18 (7 boys and 11 girls) will be used in the results and findings. The reason only 18 out of the 34 pupils participated was because some pupils were absent from one or both lessons. Furthermore, some pupils did not fill out all aspects of the feedback correctly so data has only been gathered from those who gave their feedback on engagement and enjoyment for both lessons.</w:t>
      </w:r>
    </w:p>
    <w:p w14:paraId="494A4819" w14:textId="77777777" w:rsidR="000964C0" w:rsidRPr="0073774D" w:rsidRDefault="000964C0" w:rsidP="0030329C">
      <w:pPr>
        <w:spacing w:line="360" w:lineRule="auto"/>
        <w:jc w:val="both"/>
        <w:rPr>
          <w:rFonts w:asciiTheme="minorBidi" w:eastAsia="Arial" w:hAnsiTheme="minorBidi"/>
          <w:sz w:val="24"/>
          <w:szCs w:val="24"/>
          <w:u w:val="single"/>
        </w:rPr>
      </w:pPr>
      <w:r w:rsidRPr="0073774D">
        <w:rPr>
          <w:rFonts w:asciiTheme="minorBidi" w:eastAsia="Arial" w:hAnsiTheme="minorBidi"/>
          <w:sz w:val="24"/>
          <w:szCs w:val="24"/>
          <w:u w:val="single"/>
        </w:rPr>
        <w:lastRenderedPageBreak/>
        <w:t>Procedure</w:t>
      </w:r>
    </w:p>
    <w:p w14:paraId="41BCC51E" w14:textId="6BDD9239" w:rsidR="000964C0" w:rsidRPr="0073774D" w:rsidRDefault="000964C0" w:rsidP="0030329C">
      <w:pPr>
        <w:spacing w:line="360" w:lineRule="auto"/>
        <w:jc w:val="both"/>
        <w:rPr>
          <w:rFonts w:asciiTheme="minorBidi" w:eastAsia="Arial" w:hAnsiTheme="minorBidi"/>
          <w:sz w:val="24"/>
          <w:szCs w:val="24"/>
        </w:rPr>
      </w:pPr>
      <w:r w:rsidRPr="0073774D">
        <w:rPr>
          <w:rFonts w:asciiTheme="minorBidi" w:eastAsia="Arial" w:hAnsiTheme="minorBidi"/>
          <w:sz w:val="24"/>
          <w:szCs w:val="24"/>
        </w:rPr>
        <w:t>The pupils arrived at the lesson as per their timetable. They were informed they would be taking part in research and that they could withdraw at any time. I taught a lesson on Sikhism which followed the usual scheme of work. I used the usual hands-up method and then asked pupils to rate the how much they enjoyed and to rate their engagement in the lesson using a 3-point Likert scale using smiley faces and to write something they have learnt from the lesson. In their following lesson</w:t>
      </w:r>
      <w:r w:rsidR="00E47F34">
        <w:rPr>
          <w:rFonts w:asciiTheme="minorBidi" w:eastAsia="Arial" w:hAnsiTheme="minorBidi"/>
          <w:sz w:val="24"/>
          <w:szCs w:val="24"/>
        </w:rPr>
        <w:t>,</w:t>
      </w:r>
      <w:r w:rsidRPr="0073774D">
        <w:rPr>
          <w:rFonts w:asciiTheme="minorBidi" w:eastAsia="Arial" w:hAnsiTheme="minorBidi"/>
          <w:sz w:val="24"/>
          <w:szCs w:val="24"/>
        </w:rPr>
        <w:t xml:space="preserve"> they were informed they were taking part in research again</w:t>
      </w:r>
      <w:r w:rsidR="00E47F34">
        <w:rPr>
          <w:rFonts w:asciiTheme="minorBidi" w:eastAsia="Arial" w:hAnsiTheme="minorBidi"/>
          <w:sz w:val="24"/>
          <w:szCs w:val="24"/>
        </w:rPr>
        <w:t>.</w:t>
      </w:r>
      <w:r w:rsidRPr="0073774D">
        <w:rPr>
          <w:rFonts w:asciiTheme="minorBidi" w:eastAsia="Arial" w:hAnsiTheme="minorBidi"/>
          <w:sz w:val="24"/>
          <w:szCs w:val="24"/>
        </w:rPr>
        <w:t xml:space="preserve"> I taught another lesson on Sikhism but this time I used a computerised name generator in order to engage pupils in the lesson. Pupils were again asked to rate their enjoyment and engagement on the same 3-point Likert scale and to write something they had learnt. </w:t>
      </w:r>
    </w:p>
    <w:p w14:paraId="01E2E82B" w14:textId="79252A71"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I kept both lessons consistent by planning similar tasks within each. Both lessons contained an image starter where pupils had to use their inference skills and provide their opinions. This encouraged pupils to figure out what they could about the topic without knowing anything about it. Both lessons also contained a media clip filmed from the perspective of Sikhs and a fill in the gaps exercise based on the clip. I then taught pupils and asked questions on what I had taught. Then I set a written task and went through the answers together, followed by the pupil rating of the engagement and enjoyment of each lesson.  </w:t>
      </w:r>
    </w:p>
    <w:p w14:paraId="78F16C0B"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u w:val="single"/>
        </w:rPr>
        <w:t>Ethics</w:t>
      </w:r>
    </w:p>
    <w:p w14:paraId="60CAEB91" w14:textId="101C6FE6" w:rsidR="000964C0" w:rsidRPr="0073774D" w:rsidRDefault="000964C0" w:rsidP="0030329C">
      <w:pPr>
        <w:spacing w:after="0" w:line="360" w:lineRule="auto"/>
        <w:jc w:val="both"/>
        <w:textAlignment w:val="baseline"/>
        <w:rPr>
          <w:rFonts w:asciiTheme="minorBidi" w:eastAsia="Times New Roman" w:hAnsiTheme="minorBidi"/>
          <w:sz w:val="24"/>
          <w:szCs w:val="24"/>
          <w:lang w:eastAsia="ja-JP"/>
        </w:rPr>
      </w:pPr>
      <w:r w:rsidRPr="0073774D">
        <w:rPr>
          <w:rFonts w:asciiTheme="minorBidi" w:hAnsiTheme="minorBidi"/>
          <w:sz w:val="24"/>
          <w:szCs w:val="24"/>
        </w:rPr>
        <w:t>Partnership schools were informed about the ethical procedures for the research and were asked to inform parents and guardians of it. At the beginning of each lesson</w:t>
      </w:r>
      <w:r w:rsidR="00D227F1">
        <w:rPr>
          <w:rFonts w:asciiTheme="minorBidi" w:hAnsiTheme="minorBidi"/>
          <w:sz w:val="24"/>
          <w:szCs w:val="24"/>
        </w:rPr>
        <w:t>,</w:t>
      </w:r>
      <w:r w:rsidRPr="0073774D">
        <w:rPr>
          <w:rFonts w:asciiTheme="minorBidi" w:hAnsiTheme="minorBidi"/>
          <w:sz w:val="24"/>
          <w:szCs w:val="24"/>
        </w:rPr>
        <w:t xml:space="preserve"> pupils were informed of the research and told they have a right to withdraw at any point but that they would still have to attend the lesson due to it being part of their normal work. There was no deception involved as pupils were told about the study before it happened. P</w:t>
      </w:r>
      <w:r w:rsidRPr="0073774D">
        <w:rPr>
          <w:rFonts w:asciiTheme="minorBidi" w:eastAsia="Times New Roman" w:hAnsiTheme="minorBidi"/>
          <w:sz w:val="24"/>
          <w:szCs w:val="24"/>
          <w:lang w:eastAsia="ja-JP"/>
        </w:rPr>
        <w:t>articipants were kept confidential through the use of pseudonyms such as Pupil 1 and class B making the participants anonymous in the write up of the research. All raw data was only accessible by the researcher and was destroyed after transcription.</w:t>
      </w:r>
    </w:p>
    <w:p w14:paraId="63BBF71C" w14:textId="77777777" w:rsidR="000964C0" w:rsidRPr="0073774D" w:rsidRDefault="000964C0" w:rsidP="0030329C">
      <w:pPr>
        <w:spacing w:after="0" w:line="360" w:lineRule="auto"/>
        <w:jc w:val="both"/>
        <w:textAlignment w:val="baseline"/>
        <w:rPr>
          <w:rFonts w:asciiTheme="minorBidi" w:eastAsia="Times New Roman" w:hAnsiTheme="minorBidi"/>
          <w:sz w:val="24"/>
          <w:szCs w:val="24"/>
          <w:lang w:eastAsia="ja-JP"/>
        </w:rPr>
      </w:pPr>
      <w:r w:rsidRPr="0073774D">
        <w:rPr>
          <w:rFonts w:asciiTheme="minorBidi" w:hAnsiTheme="minorBidi"/>
          <w:color w:val="000000" w:themeColor="text1"/>
          <w:sz w:val="24"/>
          <w:szCs w:val="24"/>
          <w:u w:val="single"/>
        </w:rPr>
        <w:t>Results and Findings</w:t>
      </w:r>
    </w:p>
    <w:tbl>
      <w:tblPr>
        <w:tblStyle w:val="TableGrid"/>
        <w:tblW w:w="9180" w:type="dxa"/>
        <w:tblLook w:val="04A0" w:firstRow="1" w:lastRow="0" w:firstColumn="1" w:lastColumn="0" w:noHBand="0" w:noVBand="1"/>
      </w:tblPr>
      <w:tblGrid>
        <w:gridCol w:w="2295"/>
        <w:gridCol w:w="2295"/>
        <w:gridCol w:w="2295"/>
        <w:gridCol w:w="2295"/>
      </w:tblGrid>
      <w:tr w:rsidR="000964C0" w:rsidRPr="0073774D" w14:paraId="5415E1B7" w14:textId="77777777" w:rsidTr="002245C8">
        <w:trPr>
          <w:trHeight w:val="1990"/>
        </w:trPr>
        <w:tc>
          <w:tcPr>
            <w:tcW w:w="2295" w:type="dxa"/>
          </w:tcPr>
          <w:p w14:paraId="3D03DA6B" w14:textId="77777777" w:rsidR="000964C0" w:rsidRPr="0073774D" w:rsidRDefault="000964C0" w:rsidP="0030329C">
            <w:pPr>
              <w:spacing w:line="360" w:lineRule="auto"/>
              <w:jc w:val="both"/>
              <w:rPr>
                <w:rFonts w:asciiTheme="minorBidi" w:hAnsiTheme="minorBidi"/>
                <w:sz w:val="24"/>
                <w:szCs w:val="24"/>
              </w:rPr>
            </w:pPr>
          </w:p>
        </w:tc>
        <w:tc>
          <w:tcPr>
            <w:tcW w:w="2295" w:type="dxa"/>
          </w:tcPr>
          <w:p w14:paraId="57DF0E44"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noProof/>
                <w:sz w:val="24"/>
                <w:szCs w:val="24"/>
                <w:lang w:eastAsia="en-GB"/>
              </w:rPr>
              <w:drawing>
                <wp:anchor distT="0" distB="0" distL="114300" distR="114300" simplePos="0" relativeHeight="251654656" behindDoc="1" locked="0" layoutInCell="1" allowOverlap="1" wp14:anchorId="3783B578" wp14:editId="52D58A25">
                  <wp:simplePos x="0" y="0"/>
                  <wp:positionH relativeFrom="column">
                    <wp:posOffset>148532</wp:posOffset>
                  </wp:positionH>
                  <wp:positionV relativeFrom="paragraph">
                    <wp:posOffset>229437</wp:posOffset>
                  </wp:positionV>
                  <wp:extent cx="842357" cy="826453"/>
                  <wp:effectExtent l="0" t="0" r="0" b="0"/>
                  <wp:wrapTight wrapText="bothSides">
                    <wp:wrapPolygon edited="0">
                      <wp:start x="0" y="0"/>
                      <wp:lineTo x="0" y="20919"/>
                      <wp:lineTo x="21014" y="20919"/>
                      <wp:lineTo x="210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2357" cy="826453"/>
                          </a:xfrm>
                          <a:prstGeom prst="rect">
                            <a:avLst/>
                          </a:prstGeom>
                          <a:noFill/>
                        </pic:spPr>
                      </pic:pic>
                    </a:graphicData>
                  </a:graphic>
                  <wp14:sizeRelH relativeFrom="margin">
                    <wp14:pctWidth>0</wp14:pctWidth>
                  </wp14:sizeRelH>
                  <wp14:sizeRelV relativeFrom="margin">
                    <wp14:pctHeight>0</wp14:pctHeight>
                  </wp14:sizeRelV>
                </wp:anchor>
              </w:drawing>
            </w:r>
          </w:p>
        </w:tc>
        <w:tc>
          <w:tcPr>
            <w:tcW w:w="2295" w:type="dxa"/>
          </w:tcPr>
          <w:p w14:paraId="233326EA"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noProof/>
                <w:sz w:val="24"/>
                <w:szCs w:val="24"/>
                <w:lang w:eastAsia="en-GB"/>
              </w:rPr>
              <w:drawing>
                <wp:anchor distT="0" distB="0" distL="114300" distR="114300" simplePos="0" relativeHeight="251662848" behindDoc="1" locked="0" layoutInCell="1" allowOverlap="1" wp14:anchorId="65218734" wp14:editId="524CC6F5">
                  <wp:simplePos x="0" y="0"/>
                  <wp:positionH relativeFrom="column">
                    <wp:posOffset>147147</wp:posOffset>
                  </wp:positionH>
                  <wp:positionV relativeFrom="paragraph">
                    <wp:posOffset>247794</wp:posOffset>
                  </wp:positionV>
                  <wp:extent cx="842357" cy="837421"/>
                  <wp:effectExtent l="0" t="0" r="0" b="1270"/>
                  <wp:wrapTight wrapText="bothSides">
                    <wp:wrapPolygon edited="0">
                      <wp:start x="0" y="0"/>
                      <wp:lineTo x="0" y="21141"/>
                      <wp:lineTo x="21014" y="21141"/>
                      <wp:lineTo x="210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2357" cy="837421"/>
                          </a:xfrm>
                          <a:prstGeom prst="rect">
                            <a:avLst/>
                          </a:prstGeom>
                          <a:noFill/>
                        </pic:spPr>
                      </pic:pic>
                    </a:graphicData>
                  </a:graphic>
                  <wp14:sizeRelH relativeFrom="margin">
                    <wp14:pctWidth>0</wp14:pctWidth>
                  </wp14:sizeRelH>
                  <wp14:sizeRelV relativeFrom="margin">
                    <wp14:pctHeight>0</wp14:pctHeight>
                  </wp14:sizeRelV>
                </wp:anchor>
              </w:drawing>
            </w:r>
          </w:p>
        </w:tc>
        <w:tc>
          <w:tcPr>
            <w:tcW w:w="2295" w:type="dxa"/>
          </w:tcPr>
          <w:p w14:paraId="7C689B2C"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noProof/>
                <w:sz w:val="24"/>
                <w:szCs w:val="24"/>
                <w:lang w:eastAsia="en-GB"/>
              </w:rPr>
              <w:drawing>
                <wp:anchor distT="0" distB="0" distL="114300" distR="114300" simplePos="0" relativeHeight="251658752" behindDoc="1" locked="0" layoutInCell="1" allowOverlap="1" wp14:anchorId="66798283" wp14:editId="5E90CFCD">
                  <wp:simplePos x="0" y="0"/>
                  <wp:positionH relativeFrom="column">
                    <wp:posOffset>151303</wp:posOffset>
                  </wp:positionH>
                  <wp:positionV relativeFrom="paragraph">
                    <wp:posOffset>275503</wp:posOffset>
                  </wp:positionV>
                  <wp:extent cx="842357" cy="837421"/>
                  <wp:effectExtent l="0" t="0" r="0" b="1270"/>
                  <wp:wrapTight wrapText="bothSides">
                    <wp:wrapPolygon edited="0">
                      <wp:start x="0" y="0"/>
                      <wp:lineTo x="0" y="21141"/>
                      <wp:lineTo x="21014" y="21141"/>
                      <wp:lineTo x="2101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2357" cy="837421"/>
                          </a:xfrm>
                          <a:prstGeom prst="rect">
                            <a:avLst/>
                          </a:prstGeom>
                          <a:noFill/>
                        </pic:spPr>
                      </pic:pic>
                    </a:graphicData>
                  </a:graphic>
                  <wp14:sizeRelH relativeFrom="margin">
                    <wp14:pctWidth>0</wp14:pctWidth>
                  </wp14:sizeRelH>
                  <wp14:sizeRelV relativeFrom="margin">
                    <wp14:pctHeight>0</wp14:pctHeight>
                  </wp14:sizeRelV>
                </wp:anchor>
              </w:drawing>
            </w:r>
          </w:p>
        </w:tc>
      </w:tr>
      <w:tr w:rsidR="000964C0" w:rsidRPr="0073774D" w14:paraId="0622E27A" w14:textId="77777777" w:rsidTr="002245C8">
        <w:trPr>
          <w:trHeight w:val="540"/>
        </w:trPr>
        <w:tc>
          <w:tcPr>
            <w:tcW w:w="2295" w:type="dxa"/>
          </w:tcPr>
          <w:p w14:paraId="668117B3"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Lesson 1</w:t>
            </w:r>
          </w:p>
        </w:tc>
        <w:tc>
          <w:tcPr>
            <w:tcW w:w="2295" w:type="dxa"/>
          </w:tcPr>
          <w:p w14:paraId="01770F4A"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18</w:t>
            </w:r>
          </w:p>
        </w:tc>
        <w:tc>
          <w:tcPr>
            <w:tcW w:w="2295" w:type="dxa"/>
          </w:tcPr>
          <w:p w14:paraId="4F923484"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0</w:t>
            </w:r>
          </w:p>
        </w:tc>
        <w:tc>
          <w:tcPr>
            <w:tcW w:w="2295" w:type="dxa"/>
          </w:tcPr>
          <w:p w14:paraId="36F5935B"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0</w:t>
            </w:r>
          </w:p>
        </w:tc>
      </w:tr>
      <w:tr w:rsidR="000964C0" w:rsidRPr="0073774D" w14:paraId="17C2E1B7" w14:textId="77777777" w:rsidTr="002245C8">
        <w:trPr>
          <w:trHeight w:val="492"/>
        </w:trPr>
        <w:tc>
          <w:tcPr>
            <w:tcW w:w="2295" w:type="dxa"/>
          </w:tcPr>
          <w:p w14:paraId="035722B0"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Lesson 2</w:t>
            </w:r>
          </w:p>
        </w:tc>
        <w:tc>
          <w:tcPr>
            <w:tcW w:w="2295" w:type="dxa"/>
          </w:tcPr>
          <w:p w14:paraId="40DA6E8A"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18</w:t>
            </w:r>
          </w:p>
        </w:tc>
        <w:tc>
          <w:tcPr>
            <w:tcW w:w="2295" w:type="dxa"/>
          </w:tcPr>
          <w:p w14:paraId="16CF6B3E"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0</w:t>
            </w:r>
          </w:p>
        </w:tc>
        <w:tc>
          <w:tcPr>
            <w:tcW w:w="2295" w:type="dxa"/>
          </w:tcPr>
          <w:p w14:paraId="2E51EB76"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0</w:t>
            </w:r>
          </w:p>
        </w:tc>
      </w:tr>
    </w:tbl>
    <w:p w14:paraId="2A59E6C6"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Table 1: This table shows no difference in the engagement students felt through differing name selection methods. </w:t>
      </w:r>
    </w:p>
    <w:p w14:paraId="55F703BC" w14:textId="7693267A" w:rsidR="000964C0" w:rsidRPr="0073774D" w:rsidRDefault="000964C0" w:rsidP="0030329C">
      <w:pPr>
        <w:spacing w:line="360" w:lineRule="auto"/>
        <w:jc w:val="both"/>
        <w:rPr>
          <w:rFonts w:asciiTheme="minorBidi" w:hAnsiTheme="minorBidi"/>
          <w:sz w:val="24"/>
          <w:szCs w:val="24"/>
          <w:highlight w:val="yellow"/>
        </w:rPr>
      </w:pPr>
      <w:r w:rsidRPr="0073774D">
        <w:rPr>
          <w:rFonts w:asciiTheme="minorBidi" w:hAnsiTheme="minorBidi"/>
          <w:sz w:val="24"/>
          <w:szCs w:val="24"/>
        </w:rPr>
        <w:t>In both lessons all 18 pupils rated their levels of engagement and enjoyment with a happy face. Students reported that they enjoyed both lessons (e.g. “I enjoyed the lesson -</w:t>
      </w:r>
      <w:r w:rsidR="00367D91" w:rsidRPr="0073774D">
        <w:rPr>
          <w:rFonts w:asciiTheme="minorBidi" w:hAnsiTheme="minorBidi"/>
          <w:sz w:val="24"/>
          <w:szCs w:val="24"/>
        </w:rPr>
        <w:t xml:space="preserve"> </w:t>
      </w:r>
      <w:r w:rsidRPr="0073774D">
        <w:rPr>
          <w:rFonts w:asciiTheme="minorBidi" w:hAnsiTheme="minorBidi"/>
          <w:sz w:val="24"/>
          <w:szCs w:val="24"/>
        </w:rPr>
        <w:sym w:font="Wingdings" w:char="F04A"/>
      </w:r>
      <w:r w:rsidRPr="0073774D">
        <w:rPr>
          <w:rFonts w:asciiTheme="minorBidi" w:hAnsiTheme="minorBidi"/>
          <w:sz w:val="24"/>
          <w:szCs w:val="24"/>
        </w:rPr>
        <w:t xml:space="preserve">”) and could all state something that they learnt, thus meaning that there was no clear difference in engagement between the lessons that was observed and measured. </w:t>
      </w:r>
    </w:p>
    <w:p w14:paraId="005719EB" w14:textId="6BC5D549"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This could suggest that the way in which pupils are selected has no impact on their engagement in the lesson. However, both myself and the normal class teacher observed that they </w:t>
      </w:r>
      <w:r w:rsidR="001B17F8" w:rsidRPr="0073774D">
        <w:rPr>
          <w:rFonts w:asciiTheme="minorBidi" w:hAnsiTheme="minorBidi"/>
          <w:sz w:val="24"/>
          <w:szCs w:val="24"/>
        </w:rPr>
        <w:t xml:space="preserve">were </w:t>
      </w:r>
      <w:r w:rsidRPr="0073774D">
        <w:rPr>
          <w:rFonts w:asciiTheme="minorBidi" w:hAnsiTheme="minorBidi"/>
          <w:sz w:val="24"/>
          <w:szCs w:val="24"/>
        </w:rPr>
        <w:t xml:space="preserve">more engaged with the random name selector tool. </w:t>
      </w:r>
      <w:r w:rsidRPr="0073774D">
        <w:rPr>
          <w:rFonts w:asciiTheme="minorBidi" w:hAnsiTheme="minorBidi"/>
          <w:sz w:val="24"/>
          <w:szCs w:val="24"/>
        </w:rPr>
        <w:br/>
        <w:t xml:space="preserve">These results do not support the hypothesis that using a random name generator would increase engagement of pupils during a religious studies lesson. </w:t>
      </w:r>
    </w:p>
    <w:p w14:paraId="63D3D070" w14:textId="28FA7ADE" w:rsidR="000964C0" w:rsidRPr="0073774D" w:rsidRDefault="000964C0" w:rsidP="0030329C">
      <w:pPr>
        <w:spacing w:after="0" w:line="360" w:lineRule="auto"/>
        <w:jc w:val="both"/>
        <w:textAlignment w:val="baseline"/>
        <w:rPr>
          <w:rFonts w:asciiTheme="minorBidi" w:eastAsia="Times New Roman" w:hAnsiTheme="minorBidi"/>
          <w:bCs/>
          <w:sz w:val="24"/>
          <w:szCs w:val="24"/>
          <w:lang w:eastAsia="en-GB"/>
        </w:rPr>
      </w:pPr>
      <w:r w:rsidRPr="0073774D">
        <w:rPr>
          <w:rFonts w:asciiTheme="minorBidi" w:eastAsia="Times New Roman" w:hAnsiTheme="minorBidi"/>
          <w:bCs/>
          <w:sz w:val="24"/>
          <w:szCs w:val="24"/>
          <w:u w:val="single"/>
          <w:lang w:eastAsia="en-GB"/>
        </w:rPr>
        <w:t xml:space="preserve">Evaluation </w:t>
      </w:r>
    </w:p>
    <w:p w14:paraId="4FF03C6B" w14:textId="77777777" w:rsidR="000964C0" w:rsidRPr="0073774D" w:rsidRDefault="000964C0" w:rsidP="0030329C">
      <w:pPr>
        <w:spacing w:line="360" w:lineRule="auto"/>
        <w:jc w:val="both"/>
        <w:rPr>
          <w:rFonts w:asciiTheme="minorBidi" w:eastAsia="Arial" w:hAnsiTheme="minorBidi"/>
          <w:sz w:val="24"/>
          <w:szCs w:val="24"/>
          <w:u w:val="single"/>
        </w:rPr>
      </w:pPr>
      <w:r w:rsidRPr="0073774D">
        <w:rPr>
          <w:rFonts w:asciiTheme="minorBidi" w:eastAsia="Arial" w:hAnsiTheme="minorBidi"/>
          <w:sz w:val="24"/>
          <w:szCs w:val="24"/>
          <w:u w:val="single"/>
        </w:rPr>
        <w:t>Practical implications</w:t>
      </w:r>
    </w:p>
    <w:p w14:paraId="4E4AA5A5" w14:textId="77777777" w:rsidR="000964C0" w:rsidRPr="0073774D" w:rsidRDefault="000964C0" w:rsidP="0030329C">
      <w:pPr>
        <w:spacing w:line="360" w:lineRule="auto"/>
        <w:jc w:val="both"/>
        <w:rPr>
          <w:rFonts w:asciiTheme="minorBidi" w:eastAsia="Arial" w:hAnsiTheme="minorBidi"/>
          <w:sz w:val="24"/>
          <w:szCs w:val="24"/>
          <w:u w:val="single"/>
        </w:rPr>
      </w:pPr>
      <w:r w:rsidRPr="0073774D">
        <w:rPr>
          <w:rFonts w:asciiTheme="minorBidi" w:eastAsia="Arial" w:hAnsiTheme="minorBidi"/>
          <w:sz w:val="24"/>
          <w:szCs w:val="24"/>
        </w:rPr>
        <w:t xml:space="preserve">As identified in the literature, it is clear that pupil engagement is important so that pupils are not just learning but also enjoying themselves in lessons (Griffith and Burns, 2012). There are some pupils who are easily missed due to being “quiet” and not wanting to contribute and consequently have the opportunity to disengage if not questioned. It is important to make all pupils feel valued and to ensure that all pupils are engaged and making the most of lesson time. If the methodological flaws could be addressed and this study could be carried out on a larger scale it could address a need in the classroom. It is important to find a method that includes all pupils in the classroom to provide the best learning experience for all pupils. </w:t>
      </w:r>
    </w:p>
    <w:p w14:paraId="20C17D71" w14:textId="77777777" w:rsidR="000964C0" w:rsidRPr="0073774D" w:rsidRDefault="000964C0" w:rsidP="0030329C">
      <w:pPr>
        <w:spacing w:line="360" w:lineRule="auto"/>
        <w:jc w:val="both"/>
        <w:rPr>
          <w:rFonts w:asciiTheme="minorBidi" w:hAnsiTheme="minorBidi"/>
          <w:sz w:val="24"/>
          <w:szCs w:val="24"/>
          <w:u w:val="single"/>
        </w:rPr>
      </w:pPr>
      <w:r w:rsidRPr="0073774D">
        <w:rPr>
          <w:rFonts w:asciiTheme="minorBidi" w:hAnsiTheme="minorBidi"/>
          <w:sz w:val="24"/>
          <w:szCs w:val="24"/>
          <w:u w:val="single"/>
        </w:rPr>
        <w:t>Research design</w:t>
      </w:r>
    </w:p>
    <w:p w14:paraId="39F60B01" w14:textId="70DE8A51"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lastRenderedPageBreak/>
        <w:t>There are many strengths and limitations of using different approaches as outlined in the literature. I decided to undertake a mixed-methods approach where I recorded qualitative data through the observation and quantitative data through the feedback from pupils (Wilson, 2013). This enabled me to gain multiple perspectives on engagement levels. Due to the time constraints and curriculum demands</w:t>
      </w:r>
      <w:r w:rsidR="00D227F1">
        <w:rPr>
          <w:rFonts w:asciiTheme="minorBidi" w:hAnsiTheme="minorBidi"/>
          <w:sz w:val="24"/>
          <w:szCs w:val="24"/>
        </w:rPr>
        <w:t>,</w:t>
      </w:r>
      <w:r w:rsidRPr="0073774D">
        <w:rPr>
          <w:rFonts w:asciiTheme="minorBidi" w:hAnsiTheme="minorBidi"/>
          <w:sz w:val="24"/>
          <w:szCs w:val="24"/>
        </w:rPr>
        <w:t xml:space="preserve"> I decided to undertake this research over the space of two lessons. Pre and post-tests </w:t>
      </w:r>
      <w:r w:rsidR="0094363B">
        <w:rPr>
          <w:rFonts w:asciiTheme="minorBidi" w:hAnsiTheme="minorBidi"/>
          <w:sz w:val="24"/>
          <w:szCs w:val="24"/>
        </w:rPr>
        <w:t xml:space="preserve">are </w:t>
      </w:r>
      <w:r w:rsidRPr="0073774D">
        <w:rPr>
          <w:rFonts w:asciiTheme="minorBidi" w:hAnsiTheme="minorBidi"/>
          <w:sz w:val="24"/>
          <w:szCs w:val="24"/>
        </w:rPr>
        <w:t>used to measure the effectiveness of teaching strategies by administering a pre-test, teaching pupils</w:t>
      </w:r>
      <w:r w:rsidR="00BC6194">
        <w:rPr>
          <w:rFonts w:asciiTheme="minorBidi" w:hAnsiTheme="minorBidi"/>
          <w:sz w:val="24"/>
          <w:szCs w:val="24"/>
        </w:rPr>
        <w:t>,</w:t>
      </w:r>
      <w:r w:rsidRPr="0073774D">
        <w:rPr>
          <w:rFonts w:asciiTheme="minorBidi" w:hAnsiTheme="minorBidi"/>
          <w:sz w:val="24"/>
          <w:szCs w:val="24"/>
        </w:rPr>
        <w:t xml:space="preserve"> then administering a post-test (Henning et al., 2009). However, due to the nature of what I wanted to measure, I decided to take a different approach. Repeated measures is when the same participants take part in each condition of the independent variable (McLeod, 2017). This enabled me to look at the</w:t>
      </w:r>
      <w:r w:rsidR="00BC6194">
        <w:rPr>
          <w:rFonts w:asciiTheme="minorBidi" w:hAnsiTheme="minorBidi"/>
          <w:sz w:val="24"/>
          <w:szCs w:val="24"/>
        </w:rPr>
        <w:t xml:space="preserve"> effect of the</w:t>
      </w:r>
      <w:r w:rsidRPr="0073774D">
        <w:rPr>
          <w:rFonts w:asciiTheme="minorBidi" w:hAnsiTheme="minorBidi"/>
          <w:sz w:val="24"/>
          <w:szCs w:val="24"/>
        </w:rPr>
        <w:t xml:space="preserve"> two different selection processes on the same group of pupils. </w:t>
      </w:r>
    </w:p>
    <w:p w14:paraId="37525FA3" w14:textId="3AC24E99" w:rsidR="000964C0" w:rsidRPr="0073774D" w:rsidRDefault="000964C0" w:rsidP="009924E4">
      <w:pPr>
        <w:spacing w:line="360" w:lineRule="auto"/>
        <w:jc w:val="both"/>
        <w:rPr>
          <w:rFonts w:asciiTheme="minorBidi" w:hAnsiTheme="minorBidi"/>
          <w:sz w:val="24"/>
          <w:szCs w:val="24"/>
        </w:rPr>
      </w:pPr>
      <w:r w:rsidRPr="0073774D">
        <w:rPr>
          <w:rFonts w:asciiTheme="minorBidi" w:hAnsiTheme="minorBidi"/>
          <w:sz w:val="24"/>
          <w:szCs w:val="24"/>
        </w:rPr>
        <w:t>The tasks I designed for the lessons were based on literature, reflecting on previous experience and discussions with colleagues on good pedagogy. The content of the lessons and a guideline on what to teach was outlined in the scheme of work but I had freedom on how to teach the subjects. I therefore decided to incorporate a range of tasks on the same topic which would solidify the information for pupils. Leask (2013, p. 348) states that “Meaningful, or deep, learning (Entwistle, 1990) requires people to engage in an active reconstruction of information, make links and test old ones, to resolve contradictions and to identify underlying principles</w:t>
      </w:r>
      <w:r w:rsidR="00F61074">
        <w:rPr>
          <w:rFonts w:asciiTheme="minorBidi" w:hAnsiTheme="minorBidi"/>
          <w:sz w:val="24"/>
          <w:szCs w:val="24"/>
        </w:rPr>
        <w:t>.</w:t>
      </w:r>
      <w:r w:rsidRPr="0073774D">
        <w:rPr>
          <w:rFonts w:asciiTheme="minorBidi" w:hAnsiTheme="minorBidi"/>
          <w:sz w:val="24"/>
          <w:szCs w:val="24"/>
        </w:rPr>
        <w:t>” With this in mind, I designed the tasks for both lessons. An example of making links is when teaching pupils about the Amrit ceremony</w:t>
      </w:r>
      <w:r w:rsidR="00FD0858">
        <w:rPr>
          <w:rFonts w:asciiTheme="minorBidi" w:hAnsiTheme="minorBidi"/>
          <w:sz w:val="24"/>
          <w:szCs w:val="24"/>
        </w:rPr>
        <w:t>.</w:t>
      </w:r>
      <w:r w:rsidRPr="0073774D">
        <w:rPr>
          <w:rFonts w:asciiTheme="minorBidi" w:hAnsiTheme="minorBidi"/>
          <w:sz w:val="24"/>
          <w:szCs w:val="24"/>
        </w:rPr>
        <w:t xml:space="preserve"> I asked pupils to think of any clubs they were members of and if they had to go through a ceremony in order to join. Pupils were able to make links to other religious initiation ceremonies and non-religious ceremonies such as scouts. Furthermore, with the lesson on the Sikh holy book, pupils were given opportunities to compare how they treat the book with how they would treat a human guru which we had previously studied. </w:t>
      </w:r>
    </w:p>
    <w:p w14:paraId="6E2BBBD1" w14:textId="4B4E0718"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The multimedia principle is the idea that people learn better from graphics and words than words alone (Clark and Lyons, 2004). Due to the value of images and the different ways pupils can interpret them</w:t>
      </w:r>
      <w:r w:rsidR="00FD0858">
        <w:rPr>
          <w:rFonts w:asciiTheme="minorBidi" w:hAnsiTheme="minorBidi"/>
          <w:sz w:val="24"/>
          <w:szCs w:val="24"/>
        </w:rPr>
        <w:t>,</w:t>
      </w:r>
      <w:r w:rsidRPr="0073774D">
        <w:rPr>
          <w:rFonts w:asciiTheme="minorBidi" w:hAnsiTheme="minorBidi"/>
          <w:sz w:val="24"/>
          <w:szCs w:val="24"/>
        </w:rPr>
        <w:t xml:space="preserve"> I decided to first display a slide of images based on the lesson ahead. I then asked pupils to look at the pictures, study them and use their inference skills to try and figure out what the lesson is about. I then used their educated guesses in order to expand on the topic we would be studying. This element of </w:t>
      </w:r>
      <w:r w:rsidRPr="0073774D">
        <w:rPr>
          <w:rFonts w:asciiTheme="minorBidi" w:hAnsiTheme="minorBidi"/>
          <w:sz w:val="24"/>
          <w:szCs w:val="24"/>
        </w:rPr>
        <w:lastRenderedPageBreak/>
        <w:t xml:space="preserve">challenge is effective as instead of being ‘spoon-fed’ the information, pupils are active in their learning. Pupils did not need me to tell them that Sikhs treat the holy book like a guru because they were presented with images of it being treated with such reverence and they figured it out themselves.  </w:t>
      </w:r>
    </w:p>
    <w:p w14:paraId="1ED12555" w14:textId="1492C0E0"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Pupils also reconstructed information throughout each lesson by completing tasks on the information they had learnt. </w:t>
      </w:r>
      <w:r w:rsidR="00724F5B">
        <w:rPr>
          <w:rFonts w:asciiTheme="minorBidi" w:hAnsiTheme="minorBidi"/>
          <w:sz w:val="24"/>
          <w:szCs w:val="24"/>
        </w:rPr>
        <w:t>V</w:t>
      </w:r>
      <w:r w:rsidRPr="0073774D">
        <w:rPr>
          <w:rFonts w:asciiTheme="minorBidi" w:hAnsiTheme="minorBidi"/>
          <w:sz w:val="24"/>
          <w:szCs w:val="24"/>
        </w:rPr>
        <w:t xml:space="preserve">ideos </w:t>
      </w:r>
      <w:r w:rsidR="00724F5B">
        <w:rPr>
          <w:rFonts w:asciiTheme="minorBidi" w:hAnsiTheme="minorBidi"/>
          <w:sz w:val="24"/>
          <w:szCs w:val="24"/>
        </w:rPr>
        <w:t xml:space="preserve">can </w:t>
      </w:r>
      <w:r w:rsidRPr="0073774D">
        <w:rPr>
          <w:rFonts w:asciiTheme="minorBidi" w:hAnsiTheme="minorBidi"/>
          <w:sz w:val="24"/>
          <w:szCs w:val="24"/>
        </w:rPr>
        <w:t xml:space="preserve">complement class work to </w:t>
      </w:r>
      <w:r w:rsidR="00724F5B">
        <w:rPr>
          <w:rFonts w:asciiTheme="minorBidi" w:hAnsiTheme="minorBidi"/>
          <w:sz w:val="24"/>
          <w:szCs w:val="24"/>
        </w:rPr>
        <w:t>stimulate</w:t>
      </w:r>
      <w:r w:rsidRPr="0073774D">
        <w:rPr>
          <w:rFonts w:asciiTheme="minorBidi" w:hAnsiTheme="minorBidi"/>
          <w:sz w:val="24"/>
          <w:szCs w:val="24"/>
        </w:rPr>
        <w:t xml:space="preserve"> interest, drive inquiry, motivate exploration and problem solving, expand on concepts</w:t>
      </w:r>
      <w:r w:rsidR="00724F5B">
        <w:rPr>
          <w:rFonts w:asciiTheme="minorBidi" w:hAnsiTheme="minorBidi"/>
          <w:sz w:val="24"/>
          <w:szCs w:val="24"/>
        </w:rPr>
        <w:t xml:space="preserve"> and</w:t>
      </w:r>
      <w:r w:rsidRPr="0073774D">
        <w:rPr>
          <w:rFonts w:asciiTheme="minorBidi" w:hAnsiTheme="minorBidi"/>
          <w:sz w:val="24"/>
          <w:szCs w:val="24"/>
        </w:rPr>
        <w:t xml:space="preserve"> offer alternative explanation</w:t>
      </w:r>
      <w:r w:rsidR="00724F5B">
        <w:rPr>
          <w:rFonts w:asciiTheme="minorBidi" w:hAnsiTheme="minorBidi"/>
          <w:sz w:val="24"/>
          <w:szCs w:val="24"/>
        </w:rPr>
        <w:t>s (Tucker, 2013)</w:t>
      </w:r>
      <w:r w:rsidRPr="0073774D">
        <w:rPr>
          <w:rFonts w:asciiTheme="minorBidi" w:hAnsiTheme="minorBidi"/>
          <w:sz w:val="24"/>
          <w:szCs w:val="24"/>
        </w:rPr>
        <w:t xml:space="preserve">. For this reason, instead of teaching the class, I showed them a clip to introduce the topic so that they could gain some insight from the perspective of a Sikh. I also gave pupils a fill in the gaps exercise based on the clip so they could not watch in a passive way. </w:t>
      </w:r>
    </w:p>
    <w:p w14:paraId="5891F0A4" w14:textId="16EC9B6C"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Wray (2001, p. 12) states that “Literacy is the ability to read and use written information and to write appropriately for a range of purposes. It also involves the integration of speaking, listening and critical thinking…” Therefore, as well as using visual images and media clips, I wanted pupils to listen to some teaching and have the opportunity to ask questions on different practices. Therefore, I incorporated a ‘teaching’ segment where pupils had to focus on the literacy skill of listening and try to retain the information ready to be questioned</w:t>
      </w:r>
      <w:r w:rsidR="005C6582">
        <w:rPr>
          <w:rFonts w:asciiTheme="minorBidi" w:hAnsiTheme="minorBidi"/>
          <w:sz w:val="24"/>
          <w:szCs w:val="24"/>
        </w:rPr>
        <w:t xml:space="preserve"> and complete a task</w:t>
      </w:r>
      <w:r w:rsidRPr="0073774D">
        <w:rPr>
          <w:rFonts w:asciiTheme="minorBidi" w:hAnsiTheme="minorBidi"/>
          <w:sz w:val="24"/>
          <w:szCs w:val="24"/>
        </w:rPr>
        <w:t xml:space="preserve">. </w:t>
      </w:r>
    </w:p>
    <w:p w14:paraId="71C99758" w14:textId="77777777" w:rsidR="000964C0" w:rsidRPr="0073774D" w:rsidRDefault="000964C0" w:rsidP="0030329C">
      <w:pPr>
        <w:spacing w:line="360" w:lineRule="auto"/>
        <w:jc w:val="both"/>
        <w:rPr>
          <w:rFonts w:asciiTheme="minorBidi" w:hAnsiTheme="minorBidi"/>
          <w:sz w:val="24"/>
          <w:szCs w:val="24"/>
          <w:u w:val="single"/>
        </w:rPr>
      </w:pPr>
      <w:r w:rsidRPr="0073774D">
        <w:rPr>
          <w:rFonts w:asciiTheme="minorBidi" w:hAnsiTheme="minorBidi"/>
          <w:sz w:val="24"/>
          <w:szCs w:val="24"/>
          <w:u w:val="single"/>
        </w:rPr>
        <w:t xml:space="preserve">Sampling and generalisability </w:t>
      </w:r>
    </w:p>
    <w:p w14:paraId="5DC00E04" w14:textId="75925F78"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As this study used a year 7 class of a higher ability, the generalisability can be questioned. </w:t>
      </w:r>
      <w:r w:rsidRPr="0073774D">
        <w:rPr>
          <w:rFonts w:asciiTheme="minorBidi" w:eastAsia="Arial" w:hAnsiTheme="minorBidi"/>
          <w:sz w:val="24"/>
          <w:szCs w:val="24"/>
        </w:rPr>
        <w:t>This study used convenience sampling. An advantage of using this sampling method is that it uses the sample that is most easily available and therefore is the most cost effective (</w:t>
      </w:r>
      <w:proofErr w:type="spellStart"/>
      <w:r w:rsidRPr="0073774D">
        <w:rPr>
          <w:rFonts w:asciiTheme="minorBidi" w:eastAsia="Arial" w:hAnsiTheme="minorBidi"/>
          <w:sz w:val="24"/>
          <w:szCs w:val="24"/>
        </w:rPr>
        <w:t>Mujis</w:t>
      </w:r>
      <w:proofErr w:type="spellEnd"/>
      <w:r w:rsidRPr="0073774D">
        <w:rPr>
          <w:rFonts w:asciiTheme="minorBidi" w:eastAsia="Arial" w:hAnsiTheme="minorBidi"/>
          <w:sz w:val="24"/>
          <w:szCs w:val="24"/>
        </w:rPr>
        <w:t>, 2012).</w:t>
      </w:r>
      <w:r w:rsidRPr="0073774D">
        <w:rPr>
          <w:rFonts w:asciiTheme="minorBidi" w:hAnsiTheme="minorBidi"/>
          <w:sz w:val="24"/>
          <w:szCs w:val="24"/>
        </w:rPr>
        <w:t xml:space="preserve"> It could be suggested that it is limited </w:t>
      </w:r>
      <w:r w:rsidR="0095787F">
        <w:rPr>
          <w:rFonts w:asciiTheme="minorBidi" w:hAnsiTheme="minorBidi"/>
          <w:sz w:val="24"/>
          <w:szCs w:val="24"/>
        </w:rPr>
        <w:t>as it is</w:t>
      </w:r>
      <w:r w:rsidRPr="0073774D">
        <w:rPr>
          <w:rFonts w:asciiTheme="minorBidi" w:hAnsiTheme="minorBidi"/>
          <w:sz w:val="24"/>
          <w:szCs w:val="24"/>
        </w:rPr>
        <w:t xml:space="preserve"> </w:t>
      </w:r>
      <w:r w:rsidR="00717D86">
        <w:rPr>
          <w:rFonts w:asciiTheme="minorBidi" w:hAnsiTheme="minorBidi"/>
          <w:sz w:val="24"/>
          <w:szCs w:val="24"/>
        </w:rPr>
        <w:t xml:space="preserve">only </w:t>
      </w:r>
      <w:r w:rsidRPr="0073774D">
        <w:rPr>
          <w:rFonts w:asciiTheme="minorBidi" w:hAnsiTheme="minorBidi"/>
          <w:sz w:val="24"/>
          <w:szCs w:val="24"/>
        </w:rPr>
        <w:t>generalis</w:t>
      </w:r>
      <w:r w:rsidR="0095787F">
        <w:rPr>
          <w:rFonts w:asciiTheme="minorBidi" w:hAnsiTheme="minorBidi"/>
          <w:sz w:val="24"/>
          <w:szCs w:val="24"/>
        </w:rPr>
        <w:t>able</w:t>
      </w:r>
      <w:r w:rsidRPr="0073774D">
        <w:rPr>
          <w:rFonts w:asciiTheme="minorBidi" w:hAnsiTheme="minorBidi"/>
          <w:sz w:val="24"/>
          <w:szCs w:val="24"/>
        </w:rPr>
        <w:t xml:space="preserve"> to classes of similar ages and abilities</w:t>
      </w:r>
      <w:r w:rsidRPr="0073774D">
        <w:rPr>
          <w:rFonts w:asciiTheme="minorBidi" w:eastAsia="Arial" w:hAnsiTheme="minorBidi"/>
          <w:sz w:val="24"/>
          <w:szCs w:val="24"/>
        </w:rPr>
        <w:t xml:space="preserve"> (Cohen et al., 2000)</w:t>
      </w:r>
      <w:r w:rsidRPr="0073774D">
        <w:rPr>
          <w:rFonts w:asciiTheme="minorBidi" w:hAnsiTheme="minorBidi"/>
          <w:sz w:val="24"/>
          <w:szCs w:val="24"/>
        </w:rPr>
        <w:t xml:space="preserve">. </w:t>
      </w:r>
      <w:r w:rsidRPr="0073774D">
        <w:rPr>
          <w:rFonts w:asciiTheme="minorBidi" w:eastAsia="Arial" w:hAnsiTheme="minorBidi"/>
          <w:sz w:val="24"/>
          <w:szCs w:val="24"/>
        </w:rPr>
        <w:t>In order to combat this issue, another sampling method could have been used, had there been more time and funds. An example of a more reliable and valid sampling method could be random sampling (</w:t>
      </w:r>
      <w:proofErr w:type="spellStart"/>
      <w:r w:rsidRPr="0073774D">
        <w:rPr>
          <w:rFonts w:asciiTheme="minorBidi" w:eastAsia="Arial" w:hAnsiTheme="minorBidi"/>
          <w:sz w:val="24"/>
          <w:szCs w:val="24"/>
        </w:rPr>
        <w:t>Mujis</w:t>
      </w:r>
      <w:proofErr w:type="spellEnd"/>
      <w:r w:rsidRPr="0073774D">
        <w:rPr>
          <w:rFonts w:asciiTheme="minorBidi" w:eastAsia="Arial" w:hAnsiTheme="minorBidi"/>
          <w:sz w:val="24"/>
          <w:szCs w:val="24"/>
        </w:rPr>
        <w:t>, 2012).</w:t>
      </w:r>
      <w:r w:rsidRPr="0073774D">
        <w:rPr>
          <w:rFonts w:asciiTheme="minorBidi" w:hAnsiTheme="minorBidi"/>
          <w:sz w:val="24"/>
          <w:szCs w:val="24"/>
        </w:rPr>
        <w:t xml:space="preserve"> </w:t>
      </w:r>
      <w:r w:rsidRPr="0073774D">
        <w:rPr>
          <w:rFonts w:asciiTheme="minorBidi" w:eastAsia="Arial" w:hAnsiTheme="minorBidi"/>
          <w:sz w:val="24"/>
          <w:szCs w:val="24"/>
        </w:rPr>
        <w:t>Although there may be logistical issues, a random sample would be the most ideal sample as it gives everyone an equal chance of taking part and therefore would include a more generalizable sample to the whole year. Despite this, it could be counter argued as being low in ecological validity as K</w:t>
      </w:r>
      <w:r w:rsidR="00CF4E33">
        <w:rPr>
          <w:rFonts w:asciiTheme="minorBidi" w:eastAsia="Arial" w:hAnsiTheme="minorBidi"/>
          <w:sz w:val="24"/>
          <w:szCs w:val="24"/>
        </w:rPr>
        <w:t>ey Stage 3</w:t>
      </w:r>
      <w:r w:rsidRPr="0073774D">
        <w:rPr>
          <w:rFonts w:asciiTheme="minorBidi" w:eastAsia="Arial" w:hAnsiTheme="minorBidi"/>
          <w:sz w:val="24"/>
          <w:szCs w:val="24"/>
        </w:rPr>
        <w:t xml:space="preserve"> are </w:t>
      </w:r>
      <w:r w:rsidR="00CF4E33">
        <w:rPr>
          <w:rFonts w:asciiTheme="minorBidi" w:eastAsia="Arial" w:hAnsiTheme="minorBidi"/>
          <w:sz w:val="24"/>
          <w:szCs w:val="24"/>
        </w:rPr>
        <w:t>banded</w:t>
      </w:r>
      <w:r w:rsidRPr="0073774D">
        <w:rPr>
          <w:rFonts w:asciiTheme="minorBidi" w:eastAsia="Arial" w:hAnsiTheme="minorBidi"/>
          <w:sz w:val="24"/>
          <w:szCs w:val="24"/>
        </w:rPr>
        <w:t xml:space="preserve"> for their studies in some schools and mixed in others. </w:t>
      </w:r>
      <w:r w:rsidRPr="0073774D">
        <w:rPr>
          <w:rFonts w:asciiTheme="minorBidi" w:hAnsiTheme="minorBidi"/>
          <w:sz w:val="24"/>
          <w:szCs w:val="24"/>
        </w:rPr>
        <w:t xml:space="preserve">However, this was </w:t>
      </w:r>
      <w:r w:rsidR="00F8026F">
        <w:rPr>
          <w:rFonts w:asciiTheme="minorBidi" w:hAnsiTheme="minorBidi"/>
          <w:sz w:val="24"/>
          <w:szCs w:val="24"/>
        </w:rPr>
        <w:t xml:space="preserve">only </w:t>
      </w:r>
      <w:r w:rsidRPr="0073774D">
        <w:rPr>
          <w:rFonts w:asciiTheme="minorBidi" w:hAnsiTheme="minorBidi"/>
          <w:sz w:val="24"/>
          <w:szCs w:val="24"/>
        </w:rPr>
        <w:t xml:space="preserve">a small-scale study which could be expanded with more resources to gain a more </w:t>
      </w:r>
      <w:r w:rsidRPr="0073774D">
        <w:rPr>
          <w:rFonts w:asciiTheme="minorBidi" w:hAnsiTheme="minorBidi"/>
          <w:sz w:val="24"/>
          <w:szCs w:val="24"/>
        </w:rPr>
        <w:lastRenderedPageBreak/>
        <w:t xml:space="preserve">accurate picture of engagement and could include a larger sample to increase generalisability. </w:t>
      </w:r>
    </w:p>
    <w:p w14:paraId="2BE6A3D1" w14:textId="77777777" w:rsidR="000964C0" w:rsidRPr="0073774D" w:rsidRDefault="000964C0" w:rsidP="0030329C">
      <w:pPr>
        <w:spacing w:line="360" w:lineRule="auto"/>
        <w:jc w:val="both"/>
        <w:rPr>
          <w:rFonts w:asciiTheme="minorBidi" w:hAnsiTheme="minorBidi"/>
          <w:sz w:val="24"/>
          <w:szCs w:val="24"/>
          <w:u w:val="single"/>
        </w:rPr>
      </w:pPr>
      <w:r w:rsidRPr="0073774D">
        <w:rPr>
          <w:rFonts w:asciiTheme="minorBidi" w:hAnsiTheme="minorBidi"/>
          <w:sz w:val="24"/>
          <w:szCs w:val="24"/>
          <w:u w:val="single"/>
        </w:rPr>
        <w:t xml:space="preserve">Alternative explanations </w:t>
      </w:r>
    </w:p>
    <w:p w14:paraId="4A276623" w14:textId="72CB8578"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There are many alternate explanations for why the pupils rated their engagement as high in both lessons. The behaviourist approach suggests that learners are motivated by an expected reward such as praise or satisfied curiosity (Petty, 2009). It could be suggested that random name generation ensures that more pupils are engaged as all pupils prepare an answer and pupils feel satisfied when they are praised. However, pupils may also feel motivation due to other influences. For example, Petty (2009) says that when a teacher sets short, achievable tasks pupils can experience successful completion frequently (Ibid., 2009). This is something I planned to do across both lessons, breaking the lesson down into a starter, </w:t>
      </w:r>
      <w:r w:rsidR="0021056F">
        <w:rPr>
          <w:rFonts w:asciiTheme="minorBidi" w:hAnsiTheme="minorBidi"/>
          <w:sz w:val="24"/>
          <w:szCs w:val="24"/>
        </w:rPr>
        <w:t>a couple of main tasks and a plenary. When w</w:t>
      </w:r>
      <w:r w:rsidRPr="0073774D">
        <w:rPr>
          <w:rFonts w:asciiTheme="minorBidi" w:hAnsiTheme="minorBidi"/>
          <w:sz w:val="24"/>
          <w:szCs w:val="24"/>
        </w:rPr>
        <w:t>e went through the answers</w:t>
      </w:r>
      <w:r w:rsidR="00231F3C">
        <w:rPr>
          <w:rFonts w:asciiTheme="minorBidi" w:hAnsiTheme="minorBidi"/>
          <w:sz w:val="24"/>
          <w:szCs w:val="24"/>
        </w:rPr>
        <w:t>,</w:t>
      </w:r>
      <w:r w:rsidRPr="0073774D">
        <w:rPr>
          <w:rFonts w:asciiTheme="minorBidi" w:hAnsiTheme="minorBidi"/>
          <w:sz w:val="24"/>
          <w:szCs w:val="24"/>
        </w:rPr>
        <w:t xml:space="preserve"> pupils were able to self-mark their work. This immediate satisfaction gained through self or peer marking is part of the routine in this class therefore pupil motivation could come from this. </w:t>
      </w:r>
    </w:p>
    <w:p w14:paraId="6486250E" w14:textId="11EB29F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Classroom climate is the mood or atmosphere in the classroom through the rules, the way the teacher interacts with pupils and the way the physical environment is set out (</w:t>
      </w:r>
      <w:proofErr w:type="spellStart"/>
      <w:r w:rsidRPr="0073774D">
        <w:rPr>
          <w:rFonts w:asciiTheme="minorBidi" w:hAnsiTheme="minorBidi"/>
          <w:sz w:val="24"/>
          <w:szCs w:val="24"/>
        </w:rPr>
        <w:t>Mujis</w:t>
      </w:r>
      <w:proofErr w:type="spellEnd"/>
      <w:r w:rsidRPr="0073774D">
        <w:rPr>
          <w:rFonts w:asciiTheme="minorBidi" w:hAnsiTheme="minorBidi"/>
          <w:sz w:val="24"/>
          <w:szCs w:val="24"/>
        </w:rPr>
        <w:t xml:space="preserve"> and Reynolds, 2003). A positive classroom climate is extremely important in terms of pupil achievement, students’ self-esteem and participation in lessons (Ibid., 2003). The encouraging climate in my classroom and the high expectations of pupils could be another factor as to why pupils were engaged in both lessons. Schmuck and Schmuck (1979) describe a class as: “</w:t>
      </w:r>
      <w:r w:rsidR="00D33013">
        <w:rPr>
          <w:rFonts w:asciiTheme="minorBidi" w:hAnsiTheme="minorBidi"/>
          <w:sz w:val="24"/>
          <w:szCs w:val="24"/>
        </w:rPr>
        <w:t>A</w:t>
      </w:r>
      <w:r w:rsidRPr="0073774D">
        <w:rPr>
          <w:rFonts w:asciiTheme="minorBidi" w:hAnsiTheme="minorBidi"/>
          <w:sz w:val="24"/>
          <w:szCs w:val="24"/>
        </w:rPr>
        <w:t xml:space="preserve"> </w:t>
      </w:r>
      <w:r w:rsidRPr="0073774D">
        <w:rPr>
          <w:rFonts w:asciiTheme="minorBidi" w:hAnsiTheme="minorBidi"/>
          <w:sz w:val="24"/>
          <w:szCs w:val="24"/>
          <w:shd w:val="clear" w:color="auto" w:fill="FFFFFF"/>
        </w:rPr>
        <w:t>collection of interdependent, interacting individuals with reciprocal influence over one another.” The group in the classroom spend the majority of their school life together, therefore, pupils will already be in their roles</w:t>
      </w:r>
      <w:r w:rsidR="0039764A">
        <w:rPr>
          <w:rFonts w:asciiTheme="minorBidi" w:hAnsiTheme="minorBidi"/>
          <w:sz w:val="24"/>
          <w:szCs w:val="24"/>
          <w:shd w:val="clear" w:color="auto" w:fill="FFFFFF"/>
        </w:rPr>
        <w:t>.</w:t>
      </w:r>
      <w:r w:rsidRPr="0073774D">
        <w:rPr>
          <w:rFonts w:asciiTheme="minorBidi" w:hAnsiTheme="minorBidi"/>
          <w:sz w:val="24"/>
          <w:szCs w:val="24"/>
          <w:shd w:val="clear" w:color="auto" w:fill="FFFFFF"/>
        </w:rPr>
        <w:t xml:space="preserve"> </w:t>
      </w:r>
      <w:r w:rsidR="0039764A">
        <w:rPr>
          <w:rFonts w:asciiTheme="minorBidi" w:hAnsiTheme="minorBidi"/>
          <w:sz w:val="24"/>
          <w:szCs w:val="24"/>
          <w:shd w:val="clear" w:color="auto" w:fill="FFFFFF"/>
        </w:rPr>
        <w:t>F</w:t>
      </w:r>
      <w:r w:rsidRPr="0073774D">
        <w:rPr>
          <w:rFonts w:asciiTheme="minorBidi" w:hAnsiTheme="minorBidi"/>
          <w:sz w:val="24"/>
          <w:szCs w:val="24"/>
          <w:shd w:val="clear" w:color="auto" w:fill="FFFFFF"/>
        </w:rPr>
        <w:t>or example</w:t>
      </w:r>
      <w:r w:rsidR="002D58EC">
        <w:rPr>
          <w:rFonts w:asciiTheme="minorBidi" w:hAnsiTheme="minorBidi"/>
          <w:sz w:val="24"/>
          <w:szCs w:val="24"/>
          <w:shd w:val="clear" w:color="auto" w:fill="FFFFFF"/>
        </w:rPr>
        <w:t xml:space="preserve">, there are </w:t>
      </w:r>
      <w:r w:rsidRPr="0073774D">
        <w:rPr>
          <w:rFonts w:asciiTheme="minorBidi" w:hAnsiTheme="minorBidi"/>
          <w:sz w:val="24"/>
          <w:szCs w:val="24"/>
          <w:shd w:val="clear" w:color="auto" w:fill="FFFFFF"/>
        </w:rPr>
        <w:t xml:space="preserve">the pupils who always answer questions and the ‘quiet’ pupils who never offer their opinions. </w:t>
      </w:r>
      <w:r w:rsidRPr="0073774D">
        <w:rPr>
          <w:rFonts w:asciiTheme="minorBidi" w:hAnsiTheme="minorBidi"/>
          <w:sz w:val="24"/>
          <w:szCs w:val="24"/>
        </w:rPr>
        <w:t xml:space="preserve">It could therefore be suggested that due to the dynamic in the class, the pupils who do not usually contribute by putting their hands up have learnt how to engage in lessons without this contribution. </w:t>
      </w:r>
    </w:p>
    <w:p w14:paraId="094869D9"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Another explanation is that the content of the lesson meant pupils were engaged. Griffith and Burns (2012) state that high levels of engagement occur when lessons flow. Flow occurs when the following six foundations are in place; tasks are challenging, teacher input is minimal, classes have necessary learning skills, goals </w:t>
      </w:r>
      <w:r w:rsidRPr="0073774D">
        <w:rPr>
          <w:rFonts w:asciiTheme="minorBidi" w:hAnsiTheme="minorBidi"/>
          <w:sz w:val="24"/>
          <w:szCs w:val="24"/>
        </w:rPr>
        <w:lastRenderedPageBreak/>
        <w:t xml:space="preserve">are clear and worthwhile feedback is immediate and tasks are intrinsically motivating (Ibid., 2012). In both lessons, there was a variety of tasks which were challenging, pupils knew the learning goals as outlined in the learning objectives, teacher input was minimal and feedback is always available from the teacher or from peers. Furthermore, as they are top set, pupils in this class are extremely enthusiastic to learn so they are intrinsically motivated and they have the necessary learning skills. It could be argued, therefore, that the content of the lesson and the way it was taught had a more significant effect on engagement than the way pupils were selected to answer questions. </w:t>
      </w:r>
    </w:p>
    <w:p w14:paraId="3A11628E" w14:textId="48817A18"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The pace of both lessons was also planned carefully in order to keep pupils engaged. Initially</w:t>
      </w:r>
      <w:r w:rsidR="00E35BCE">
        <w:rPr>
          <w:rFonts w:asciiTheme="minorBidi" w:hAnsiTheme="minorBidi"/>
          <w:sz w:val="24"/>
          <w:szCs w:val="24"/>
        </w:rPr>
        <w:t>,</w:t>
      </w:r>
      <w:r w:rsidRPr="0073774D">
        <w:rPr>
          <w:rFonts w:asciiTheme="minorBidi" w:hAnsiTheme="minorBidi"/>
          <w:sz w:val="24"/>
          <w:szCs w:val="24"/>
        </w:rPr>
        <w:t xml:space="preserve"> researchers suggested that lessons need to be fast paced, however, it has been suggested that for more demanding content pacing needs to be slower to allow pupils time to process the content (</w:t>
      </w:r>
      <w:proofErr w:type="spellStart"/>
      <w:r w:rsidRPr="0073774D">
        <w:rPr>
          <w:rFonts w:asciiTheme="minorBidi" w:hAnsiTheme="minorBidi"/>
          <w:sz w:val="24"/>
          <w:szCs w:val="24"/>
        </w:rPr>
        <w:t>Mujis</w:t>
      </w:r>
      <w:proofErr w:type="spellEnd"/>
      <w:r w:rsidRPr="0073774D">
        <w:rPr>
          <w:rFonts w:asciiTheme="minorBidi" w:hAnsiTheme="minorBidi"/>
          <w:sz w:val="24"/>
          <w:szCs w:val="24"/>
        </w:rPr>
        <w:t xml:space="preserve"> and Reynolds, 2003). Due to pupils learning about Sikhism, a difficult topic, </w:t>
      </w:r>
      <w:r w:rsidR="00637571">
        <w:rPr>
          <w:rFonts w:asciiTheme="minorBidi" w:hAnsiTheme="minorBidi"/>
          <w:sz w:val="24"/>
          <w:szCs w:val="24"/>
        </w:rPr>
        <w:t>a fast</w:t>
      </w:r>
      <w:r w:rsidRPr="0073774D">
        <w:rPr>
          <w:rFonts w:asciiTheme="minorBidi" w:hAnsiTheme="minorBidi"/>
          <w:sz w:val="24"/>
          <w:szCs w:val="24"/>
        </w:rPr>
        <w:t xml:space="preserve"> pace was planned </w:t>
      </w:r>
      <w:r w:rsidR="00637571">
        <w:rPr>
          <w:rFonts w:asciiTheme="minorBidi" w:hAnsiTheme="minorBidi"/>
          <w:sz w:val="24"/>
          <w:szCs w:val="24"/>
        </w:rPr>
        <w:t>for both lessons but pupils revisited the topic from different perspectives</w:t>
      </w:r>
      <w:r w:rsidRPr="0073774D">
        <w:rPr>
          <w:rFonts w:asciiTheme="minorBidi" w:hAnsiTheme="minorBidi"/>
          <w:sz w:val="24"/>
          <w:szCs w:val="24"/>
        </w:rPr>
        <w:t xml:space="preserve">. </w:t>
      </w:r>
    </w:p>
    <w:p w14:paraId="47FEA851" w14:textId="49AC654D" w:rsidR="000964C0" w:rsidRPr="0073774D" w:rsidRDefault="000964C0" w:rsidP="0030329C">
      <w:pPr>
        <w:pStyle w:val="paragraph"/>
        <w:spacing w:before="0" w:beforeAutospacing="0" w:after="0" w:afterAutospacing="0" w:line="360" w:lineRule="auto"/>
        <w:jc w:val="both"/>
        <w:textAlignment w:val="baseline"/>
        <w:rPr>
          <w:rFonts w:asciiTheme="minorBidi" w:hAnsiTheme="minorBidi" w:cstheme="minorBidi"/>
          <w:u w:val="single"/>
        </w:rPr>
      </w:pPr>
      <w:r w:rsidRPr="0073774D">
        <w:rPr>
          <w:rStyle w:val="normaltextrun"/>
          <w:rFonts w:asciiTheme="minorBidi" w:hAnsiTheme="minorBidi" w:cstheme="minorBidi"/>
          <w:u w:val="single"/>
        </w:rPr>
        <w:t>Conclusion</w:t>
      </w:r>
      <w:r w:rsidR="00D86573">
        <w:rPr>
          <w:rStyle w:val="normaltextrun"/>
          <w:rFonts w:asciiTheme="minorBidi" w:hAnsiTheme="minorBidi" w:cstheme="minorBidi"/>
          <w:u w:val="single"/>
        </w:rPr>
        <w:t>s</w:t>
      </w:r>
    </w:p>
    <w:p w14:paraId="13C212C3" w14:textId="0E58255F" w:rsidR="00A63519" w:rsidRDefault="00E22E7A" w:rsidP="00A63519">
      <w:pPr>
        <w:pStyle w:val="paragraph"/>
        <w:spacing w:before="0" w:beforeAutospacing="0" w:after="0" w:afterAutospacing="0" w:line="360" w:lineRule="auto"/>
        <w:jc w:val="both"/>
        <w:textAlignment w:val="baseline"/>
        <w:rPr>
          <w:rFonts w:asciiTheme="minorBidi" w:hAnsiTheme="minorBidi"/>
        </w:rPr>
      </w:pPr>
      <w:r>
        <w:rPr>
          <w:rStyle w:val="eop"/>
          <w:rFonts w:asciiTheme="minorBidi" w:hAnsiTheme="minorBidi" w:cstheme="minorBidi"/>
        </w:rPr>
        <w:t>To conclude, the findings of this study did not</w:t>
      </w:r>
      <w:r w:rsidR="00AC4712">
        <w:rPr>
          <w:rStyle w:val="eop"/>
          <w:rFonts w:asciiTheme="minorBidi" w:hAnsiTheme="minorBidi" w:cstheme="minorBidi"/>
        </w:rPr>
        <w:t xml:space="preserve"> </w:t>
      </w:r>
      <w:r w:rsidR="005A1C73">
        <w:rPr>
          <w:rStyle w:val="eop"/>
          <w:rFonts w:asciiTheme="minorBidi" w:hAnsiTheme="minorBidi" w:cstheme="minorBidi"/>
        </w:rPr>
        <w:t>prove that random name selectors ensure that all pupils are more engaged in</w:t>
      </w:r>
      <w:r w:rsidR="00F90425">
        <w:rPr>
          <w:rStyle w:val="eop"/>
          <w:rFonts w:asciiTheme="minorBidi" w:hAnsiTheme="minorBidi" w:cstheme="minorBidi"/>
        </w:rPr>
        <w:t xml:space="preserve"> RE</w:t>
      </w:r>
      <w:r w:rsidR="005A1C73">
        <w:rPr>
          <w:rStyle w:val="eop"/>
          <w:rFonts w:asciiTheme="minorBidi" w:hAnsiTheme="minorBidi" w:cstheme="minorBidi"/>
        </w:rPr>
        <w:t xml:space="preserve"> lessons. </w:t>
      </w:r>
      <w:r w:rsidR="003D7D0E">
        <w:rPr>
          <w:rStyle w:val="eop"/>
          <w:rFonts w:asciiTheme="minorBidi" w:hAnsiTheme="minorBidi" w:cstheme="minorBidi"/>
        </w:rPr>
        <w:t>This is due to pupils rating their engagement as high in both the lessons</w:t>
      </w:r>
      <w:r w:rsidR="000F26C2">
        <w:rPr>
          <w:rStyle w:val="eop"/>
          <w:rFonts w:asciiTheme="minorBidi" w:hAnsiTheme="minorBidi" w:cstheme="minorBidi"/>
        </w:rPr>
        <w:t xml:space="preserve"> which could be down to many different reasons.</w:t>
      </w:r>
      <w:r w:rsidR="007D5CCC">
        <w:rPr>
          <w:rStyle w:val="eop"/>
          <w:rFonts w:asciiTheme="minorBidi" w:hAnsiTheme="minorBidi" w:cstheme="minorBidi"/>
        </w:rPr>
        <w:t xml:space="preserve"> </w:t>
      </w:r>
      <w:r w:rsidR="007D5CCC">
        <w:rPr>
          <w:rFonts w:asciiTheme="minorBidi" w:hAnsiTheme="minorBidi"/>
        </w:rPr>
        <w:t>The way in which the teacher selects pupils does have an impact on how they engage with the tasks,</w:t>
      </w:r>
      <w:r w:rsidR="002341B1">
        <w:rPr>
          <w:rFonts w:asciiTheme="minorBidi" w:hAnsiTheme="minorBidi"/>
        </w:rPr>
        <w:t xml:space="preserve"> as evidenced by the literature review and the </w:t>
      </w:r>
      <w:r w:rsidR="00A63519">
        <w:rPr>
          <w:rFonts w:asciiTheme="minorBidi" w:hAnsiTheme="minorBidi"/>
        </w:rPr>
        <w:t>observations of pupils. H</w:t>
      </w:r>
      <w:r w:rsidR="007D5CCC">
        <w:rPr>
          <w:rFonts w:asciiTheme="minorBidi" w:hAnsiTheme="minorBidi"/>
        </w:rPr>
        <w:t xml:space="preserve">owever, it </w:t>
      </w:r>
      <w:r w:rsidR="00D61CCE">
        <w:rPr>
          <w:rFonts w:asciiTheme="minorBidi" w:hAnsiTheme="minorBidi"/>
        </w:rPr>
        <w:t xml:space="preserve">is not a quick fix to engaging all pupils. </w:t>
      </w:r>
      <w:r w:rsidR="00B762F5">
        <w:rPr>
          <w:rStyle w:val="eop"/>
          <w:rFonts w:asciiTheme="minorBidi" w:hAnsiTheme="minorBidi" w:cstheme="minorBidi"/>
        </w:rPr>
        <w:t xml:space="preserve">The classroom is a complicated place with many different </w:t>
      </w:r>
      <w:r w:rsidR="003143AC">
        <w:rPr>
          <w:rStyle w:val="eop"/>
          <w:rFonts w:asciiTheme="minorBidi" w:hAnsiTheme="minorBidi" w:cstheme="minorBidi"/>
        </w:rPr>
        <w:t>things</w:t>
      </w:r>
      <w:r w:rsidR="00DF63C2">
        <w:rPr>
          <w:rStyle w:val="eop"/>
          <w:rFonts w:asciiTheme="minorBidi" w:hAnsiTheme="minorBidi" w:cstheme="minorBidi"/>
        </w:rPr>
        <w:t xml:space="preserve"> impacting on </w:t>
      </w:r>
      <w:r w:rsidR="003143AC">
        <w:rPr>
          <w:rStyle w:val="eop"/>
          <w:rFonts w:asciiTheme="minorBidi" w:hAnsiTheme="minorBidi" w:cstheme="minorBidi"/>
        </w:rPr>
        <w:t xml:space="preserve">pupil </w:t>
      </w:r>
      <w:r w:rsidR="00DF63C2">
        <w:rPr>
          <w:rStyle w:val="eop"/>
          <w:rFonts w:asciiTheme="minorBidi" w:hAnsiTheme="minorBidi" w:cstheme="minorBidi"/>
        </w:rPr>
        <w:t xml:space="preserve">engagement. </w:t>
      </w:r>
      <w:r w:rsidR="009477E6">
        <w:rPr>
          <w:rFonts w:asciiTheme="minorBidi" w:hAnsiTheme="minorBidi"/>
        </w:rPr>
        <w:t>There are many other things a teacher needs to ensure in order to engage pupils such as the climate of the classroom, the tasks planned</w:t>
      </w:r>
      <w:r w:rsidR="00BE2897">
        <w:rPr>
          <w:rFonts w:asciiTheme="minorBidi" w:hAnsiTheme="minorBidi"/>
        </w:rPr>
        <w:t xml:space="preserve"> and the appropriate level of challenge for </w:t>
      </w:r>
      <w:r w:rsidR="006500E7">
        <w:rPr>
          <w:rFonts w:asciiTheme="minorBidi" w:hAnsiTheme="minorBidi"/>
        </w:rPr>
        <w:t>the abilities of pupils.</w:t>
      </w:r>
      <w:r w:rsidR="00BE2897">
        <w:rPr>
          <w:rFonts w:asciiTheme="minorBidi" w:hAnsiTheme="minorBidi"/>
        </w:rPr>
        <w:t xml:space="preserve"> There are also things a teacher cannot </w:t>
      </w:r>
      <w:r w:rsidR="00665707">
        <w:rPr>
          <w:rFonts w:asciiTheme="minorBidi" w:hAnsiTheme="minorBidi"/>
        </w:rPr>
        <w:t xml:space="preserve">change such as the </w:t>
      </w:r>
      <w:r w:rsidR="00E94F86">
        <w:rPr>
          <w:rFonts w:asciiTheme="minorBidi" w:hAnsiTheme="minorBidi"/>
        </w:rPr>
        <w:t>dif</w:t>
      </w:r>
      <w:r w:rsidR="002A443A">
        <w:rPr>
          <w:rFonts w:asciiTheme="minorBidi" w:hAnsiTheme="minorBidi"/>
        </w:rPr>
        <w:t xml:space="preserve">ferent backgrounds and homelives of each individual child. </w:t>
      </w:r>
    </w:p>
    <w:p w14:paraId="4824A72D" w14:textId="77777777" w:rsidR="00A63519" w:rsidRDefault="00A63519" w:rsidP="00A63519">
      <w:pPr>
        <w:pStyle w:val="paragraph"/>
        <w:spacing w:before="0" w:beforeAutospacing="0" w:after="0" w:afterAutospacing="0" w:line="360" w:lineRule="auto"/>
        <w:jc w:val="both"/>
        <w:textAlignment w:val="baseline"/>
        <w:rPr>
          <w:rFonts w:asciiTheme="minorBidi" w:hAnsiTheme="minorBidi"/>
        </w:rPr>
      </w:pPr>
    </w:p>
    <w:p w14:paraId="34D5DA3D" w14:textId="30CD3702" w:rsidR="00330D08" w:rsidRDefault="00935950" w:rsidP="008A712F">
      <w:pPr>
        <w:pStyle w:val="paragraph"/>
        <w:spacing w:before="0" w:beforeAutospacing="0" w:after="0" w:afterAutospacing="0" w:line="360" w:lineRule="auto"/>
        <w:jc w:val="both"/>
        <w:textAlignment w:val="baseline"/>
        <w:rPr>
          <w:rFonts w:asciiTheme="minorBidi" w:hAnsiTheme="minorBidi"/>
        </w:rPr>
      </w:pPr>
      <w:r>
        <w:rPr>
          <w:rStyle w:val="eop"/>
          <w:rFonts w:asciiTheme="minorBidi" w:hAnsiTheme="minorBidi" w:cstheme="minorBidi"/>
        </w:rPr>
        <w:t>T</w:t>
      </w:r>
      <w:r w:rsidR="000F26C2">
        <w:rPr>
          <w:rStyle w:val="eop"/>
          <w:rFonts w:asciiTheme="minorBidi" w:hAnsiTheme="minorBidi" w:cstheme="minorBidi"/>
        </w:rPr>
        <w:t xml:space="preserve">his study can be used as </w:t>
      </w:r>
      <w:r w:rsidR="00CA5791">
        <w:rPr>
          <w:rStyle w:val="eop"/>
          <w:rFonts w:asciiTheme="minorBidi" w:hAnsiTheme="minorBidi" w:cstheme="minorBidi"/>
        </w:rPr>
        <w:t xml:space="preserve">a foundation for future studies on this increasingly important matter. </w:t>
      </w:r>
      <w:r w:rsidR="003D7D0E">
        <w:rPr>
          <w:rStyle w:val="eop"/>
          <w:rFonts w:asciiTheme="minorBidi" w:hAnsiTheme="minorBidi" w:cstheme="minorBidi"/>
        </w:rPr>
        <w:t>T</w:t>
      </w:r>
      <w:r w:rsidR="00822F86">
        <w:rPr>
          <w:rStyle w:val="eop"/>
          <w:rFonts w:asciiTheme="minorBidi" w:hAnsiTheme="minorBidi" w:cstheme="minorBidi"/>
        </w:rPr>
        <w:t xml:space="preserve">he way in which this research was conducted could be </w:t>
      </w:r>
      <w:r w:rsidR="003D7D0E">
        <w:rPr>
          <w:rStyle w:val="eop"/>
          <w:rFonts w:asciiTheme="minorBidi" w:hAnsiTheme="minorBidi" w:cstheme="minorBidi"/>
        </w:rPr>
        <w:t xml:space="preserve">scrutinized and improved in order to ensure </w:t>
      </w:r>
      <w:r w:rsidR="00B6743F">
        <w:rPr>
          <w:rStyle w:val="eop"/>
          <w:rFonts w:asciiTheme="minorBidi" w:hAnsiTheme="minorBidi" w:cstheme="minorBidi"/>
        </w:rPr>
        <w:t xml:space="preserve">more reliable results are produced. </w:t>
      </w:r>
      <w:r w:rsidR="000E5F4D">
        <w:rPr>
          <w:rStyle w:val="eop"/>
          <w:rFonts w:asciiTheme="minorBidi" w:hAnsiTheme="minorBidi" w:cstheme="minorBidi"/>
        </w:rPr>
        <w:t>The positive aspects of the study such as the consistency across the lessons and the variety of tasks could be taken forward to the next study.</w:t>
      </w:r>
      <w:r w:rsidR="004A0A7B">
        <w:rPr>
          <w:rStyle w:val="eop"/>
          <w:rFonts w:asciiTheme="minorBidi" w:hAnsiTheme="minorBidi" w:cstheme="minorBidi"/>
        </w:rPr>
        <w:t xml:space="preserve"> Further research considerations will be discussed </w:t>
      </w:r>
      <w:r w:rsidR="008A712F">
        <w:rPr>
          <w:rStyle w:val="eop"/>
          <w:rFonts w:asciiTheme="minorBidi" w:hAnsiTheme="minorBidi" w:cstheme="minorBidi"/>
        </w:rPr>
        <w:lastRenderedPageBreak/>
        <w:t>in more detail. However, the main improvements I would suggest is to change t</w:t>
      </w:r>
      <w:r w:rsidR="00910509">
        <w:rPr>
          <w:rStyle w:val="eop"/>
          <w:rFonts w:asciiTheme="minorBidi" w:hAnsiTheme="minorBidi" w:cstheme="minorBidi"/>
        </w:rPr>
        <w:t>he way in which engagement is measured</w:t>
      </w:r>
      <w:r w:rsidR="00FB25B2">
        <w:rPr>
          <w:rStyle w:val="eop"/>
          <w:rFonts w:asciiTheme="minorBidi" w:hAnsiTheme="minorBidi" w:cstheme="minorBidi"/>
        </w:rPr>
        <w:t xml:space="preserve"> </w:t>
      </w:r>
      <w:r w:rsidR="008A712F">
        <w:rPr>
          <w:rStyle w:val="eop"/>
          <w:rFonts w:asciiTheme="minorBidi" w:hAnsiTheme="minorBidi" w:cstheme="minorBidi"/>
        </w:rPr>
        <w:t>and</w:t>
      </w:r>
      <w:r w:rsidR="00FB25B2">
        <w:rPr>
          <w:rStyle w:val="eop"/>
          <w:rFonts w:asciiTheme="minorBidi" w:hAnsiTheme="minorBidi" w:cstheme="minorBidi"/>
        </w:rPr>
        <w:t xml:space="preserve"> t</w:t>
      </w:r>
      <w:r w:rsidR="00910509">
        <w:rPr>
          <w:rStyle w:val="eop"/>
          <w:rFonts w:asciiTheme="minorBidi" w:hAnsiTheme="minorBidi" w:cstheme="minorBidi"/>
        </w:rPr>
        <w:t xml:space="preserve">he sampling method. </w:t>
      </w:r>
      <w:r w:rsidR="00330D08">
        <w:rPr>
          <w:rFonts w:asciiTheme="minorBidi" w:hAnsiTheme="minorBidi"/>
        </w:rPr>
        <w:t>The results to this study would be more reliable and could also be generalized more. However, it is important to note that it is not possible to control every single variable and that each individual classroom is different.</w:t>
      </w:r>
    </w:p>
    <w:p w14:paraId="4BC40AB6" w14:textId="77777777" w:rsidR="007E4935" w:rsidRDefault="007E4935" w:rsidP="008A712F">
      <w:pPr>
        <w:pStyle w:val="paragraph"/>
        <w:spacing w:before="0" w:beforeAutospacing="0" w:after="0" w:afterAutospacing="0" w:line="360" w:lineRule="auto"/>
        <w:jc w:val="both"/>
        <w:textAlignment w:val="baseline"/>
        <w:rPr>
          <w:rStyle w:val="eop"/>
          <w:rFonts w:asciiTheme="minorBidi" w:hAnsiTheme="minorBidi" w:cstheme="minorBidi"/>
        </w:rPr>
      </w:pPr>
    </w:p>
    <w:p w14:paraId="0E672907" w14:textId="77777777" w:rsidR="000964C0" w:rsidRPr="0073774D" w:rsidRDefault="000964C0" w:rsidP="0030329C">
      <w:pPr>
        <w:pStyle w:val="paragraph"/>
        <w:spacing w:before="0" w:beforeAutospacing="0" w:after="0" w:afterAutospacing="0" w:line="360" w:lineRule="auto"/>
        <w:jc w:val="both"/>
        <w:textAlignment w:val="baseline"/>
        <w:rPr>
          <w:rFonts w:asciiTheme="minorBidi" w:hAnsiTheme="minorBidi" w:cstheme="minorBidi"/>
          <w:u w:val="single"/>
        </w:rPr>
      </w:pPr>
      <w:r w:rsidRPr="0073774D">
        <w:rPr>
          <w:rStyle w:val="normaltextrun"/>
          <w:rFonts w:asciiTheme="minorBidi" w:hAnsiTheme="minorBidi" w:cstheme="minorBidi"/>
          <w:u w:val="single"/>
        </w:rPr>
        <w:t xml:space="preserve">Limitations and future development </w:t>
      </w:r>
    </w:p>
    <w:p w14:paraId="269DA698" w14:textId="77777777" w:rsidR="000964C0" w:rsidRPr="0073774D" w:rsidRDefault="000964C0" w:rsidP="0030329C">
      <w:pPr>
        <w:spacing w:line="360" w:lineRule="auto"/>
        <w:jc w:val="both"/>
        <w:rPr>
          <w:rFonts w:asciiTheme="minorBidi" w:hAnsiTheme="minorBidi"/>
          <w:sz w:val="24"/>
          <w:szCs w:val="24"/>
          <w:u w:val="single"/>
        </w:rPr>
      </w:pPr>
      <w:r w:rsidRPr="0073774D">
        <w:rPr>
          <w:rFonts w:asciiTheme="minorBidi" w:hAnsiTheme="minorBidi"/>
          <w:sz w:val="24"/>
          <w:szCs w:val="24"/>
          <w:u w:val="single"/>
        </w:rPr>
        <w:t xml:space="preserve">Methodological flaws </w:t>
      </w:r>
    </w:p>
    <w:p w14:paraId="090CDFC7" w14:textId="11F47589"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There are many methodological flaws with this study which </w:t>
      </w:r>
      <w:r w:rsidR="007E4935">
        <w:rPr>
          <w:rFonts w:asciiTheme="minorBidi" w:hAnsiTheme="minorBidi"/>
          <w:sz w:val="24"/>
          <w:szCs w:val="24"/>
        </w:rPr>
        <w:t>a</w:t>
      </w:r>
      <w:r w:rsidRPr="0073774D">
        <w:rPr>
          <w:rFonts w:asciiTheme="minorBidi" w:hAnsiTheme="minorBidi"/>
          <w:sz w:val="24"/>
          <w:szCs w:val="24"/>
        </w:rPr>
        <w:t xml:space="preserve">ffected the results. Pupils are influenced by a plethora of different things which </w:t>
      </w:r>
      <w:r w:rsidR="007E4935">
        <w:rPr>
          <w:rFonts w:asciiTheme="minorBidi" w:hAnsiTheme="minorBidi"/>
          <w:sz w:val="24"/>
          <w:szCs w:val="24"/>
        </w:rPr>
        <w:t>a</w:t>
      </w:r>
      <w:r w:rsidRPr="0073774D">
        <w:rPr>
          <w:rFonts w:asciiTheme="minorBidi" w:hAnsiTheme="minorBidi"/>
          <w:sz w:val="24"/>
          <w:szCs w:val="24"/>
        </w:rPr>
        <w:t>ffect their engagement and learning. Pupil engagement may be affected by extraneous variables, for example, the time and day of the lesson, the point in term, what is going on in the playground or even the weather outside. Originally, I had planned to undertake this research in the same week at similar times of day. However, due to a consultation I had to teach the first lesson on Wednesday 3</w:t>
      </w:r>
      <w:r w:rsidRPr="0073774D">
        <w:rPr>
          <w:rFonts w:asciiTheme="minorBidi" w:hAnsiTheme="minorBidi"/>
          <w:sz w:val="24"/>
          <w:szCs w:val="24"/>
          <w:vertAlign w:val="superscript"/>
        </w:rPr>
        <w:t>rd</w:t>
      </w:r>
      <w:r w:rsidRPr="0073774D">
        <w:rPr>
          <w:rFonts w:asciiTheme="minorBidi" w:hAnsiTheme="minorBidi"/>
          <w:sz w:val="24"/>
          <w:szCs w:val="24"/>
        </w:rPr>
        <w:t xml:space="preserve"> lesson and the second lesson the following Wednesday 5</w:t>
      </w:r>
      <w:r w:rsidRPr="0073774D">
        <w:rPr>
          <w:rFonts w:asciiTheme="minorBidi" w:hAnsiTheme="minorBidi"/>
          <w:sz w:val="24"/>
          <w:szCs w:val="24"/>
          <w:vertAlign w:val="superscript"/>
        </w:rPr>
        <w:t>th</w:t>
      </w:r>
      <w:r w:rsidRPr="0073774D">
        <w:rPr>
          <w:rFonts w:asciiTheme="minorBidi" w:hAnsiTheme="minorBidi"/>
          <w:sz w:val="24"/>
          <w:szCs w:val="24"/>
        </w:rPr>
        <w:t xml:space="preserve"> lesson. This left a week in between the two lessons and a big difference between the times of the day. The final research lesson was also my final lesson with the class and the last RE lesson before half term. Therefore, it is clear that there are many things that c</w:t>
      </w:r>
      <w:r w:rsidR="008E0CC9">
        <w:rPr>
          <w:rFonts w:asciiTheme="minorBidi" w:hAnsiTheme="minorBidi"/>
          <w:sz w:val="24"/>
          <w:szCs w:val="24"/>
        </w:rPr>
        <w:t>ould have</w:t>
      </w:r>
      <w:r w:rsidRPr="0073774D">
        <w:rPr>
          <w:rFonts w:asciiTheme="minorBidi" w:hAnsiTheme="minorBidi"/>
          <w:sz w:val="24"/>
          <w:szCs w:val="24"/>
        </w:rPr>
        <w:t xml:space="preserve"> affect</w:t>
      </w:r>
      <w:r w:rsidR="008E0CC9">
        <w:rPr>
          <w:rFonts w:asciiTheme="minorBidi" w:hAnsiTheme="minorBidi"/>
          <w:sz w:val="24"/>
          <w:szCs w:val="24"/>
        </w:rPr>
        <w:t>ed</w:t>
      </w:r>
      <w:r w:rsidRPr="0073774D">
        <w:rPr>
          <w:rFonts w:asciiTheme="minorBidi" w:hAnsiTheme="minorBidi"/>
          <w:sz w:val="24"/>
          <w:szCs w:val="24"/>
        </w:rPr>
        <w:t xml:space="preserve"> engagement other than the way in which pupils </w:t>
      </w:r>
      <w:r w:rsidR="00B6692C">
        <w:rPr>
          <w:rFonts w:asciiTheme="minorBidi" w:hAnsiTheme="minorBidi"/>
          <w:sz w:val="24"/>
          <w:szCs w:val="24"/>
        </w:rPr>
        <w:t xml:space="preserve">were </w:t>
      </w:r>
      <w:r w:rsidRPr="0073774D">
        <w:rPr>
          <w:rFonts w:asciiTheme="minorBidi" w:hAnsiTheme="minorBidi"/>
          <w:sz w:val="24"/>
          <w:szCs w:val="24"/>
        </w:rPr>
        <w:t xml:space="preserve">selected to answer questions. </w:t>
      </w:r>
    </w:p>
    <w:p w14:paraId="4DF17E81" w14:textId="6A4DCDC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A further flaw is that when asking pupils to rate their levels of engagement it was assumed that they would all understand the definition of the word. It could be argued, therefore, that when the pupils were rating their levels of engagement, they did not have a full understanding what I was asking them to do. It could</w:t>
      </w:r>
      <w:r w:rsidR="00B6692C">
        <w:rPr>
          <w:rFonts w:asciiTheme="minorBidi" w:hAnsiTheme="minorBidi"/>
          <w:sz w:val="24"/>
          <w:szCs w:val="24"/>
        </w:rPr>
        <w:t xml:space="preserve"> also</w:t>
      </w:r>
      <w:r w:rsidRPr="0073774D">
        <w:rPr>
          <w:rFonts w:asciiTheme="minorBidi" w:hAnsiTheme="minorBidi"/>
          <w:sz w:val="24"/>
          <w:szCs w:val="24"/>
        </w:rPr>
        <w:t xml:space="preserve"> be suggested that the 18 pupils who filled out the survey correctly may have been more engaged as they followed the instructions correctly, even if they did not fully understand the definition of engagement. </w:t>
      </w:r>
      <w:r w:rsidR="0073367E">
        <w:rPr>
          <w:rFonts w:asciiTheme="minorBidi" w:hAnsiTheme="minorBidi"/>
          <w:sz w:val="24"/>
          <w:szCs w:val="24"/>
        </w:rPr>
        <w:t>This leaves the problem of not</w:t>
      </w:r>
      <w:r w:rsidRPr="0073774D">
        <w:rPr>
          <w:rFonts w:asciiTheme="minorBidi" w:hAnsiTheme="minorBidi"/>
          <w:sz w:val="24"/>
          <w:szCs w:val="24"/>
        </w:rPr>
        <w:t xml:space="preserve"> know</w:t>
      </w:r>
      <w:r w:rsidR="0073367E">
        <w:rPr>
          <w:rFonts w:asciiTheme="minorBidi" w:hAnsiTheme="minorBidi"/>
          <w:sz w:val="24"/>
          <w:szCs w:val="24"/>
        </w:rPr>
        <w:t>ing</w:t>
      </w:r>
      <w:r w:rsidRPr="0073774D">
        <w:rPr>
          <w:rFonts w:asciiTheme="minorBidi" w:hAnsiTheme="minorBidi"/>
          <w:sz w:val="24"/>
          <w:szCs w:val="24"/>
        </w:rPr>
        <w:t xml:space="preserve"> why the 16 pupils did not fill out the feedback. Some pupils were absent from one or both lessons but there were some who </w:t>
      </w:r>
      <w:r w:rsidR="007623AC">
        <w:rPr>
          <w:rFonts w:asciiTheme="minorBidi" w:hAnsiTheme="minorBidi"/>
          <w:sz w:val="24"/>
          <w:szCs w:val="24"/>
        </w:rPr>
        <w:t xml:space="preserve">simply </w:t>
      </w:r>
      <w:r w:rsidRPr="0073774D">
        <w:rPr>
          <w:rFonts w:asciiTheme="minorBidi" w:hAnsiTheme="minorBidi"/>
          <w:sz w:val="24"/>
          <w:szCs w:val="24"/>
        </w:rPr>
        <w:t xml:space="preserve">did not fill both in properly despite me explaining the importance of the task. It could be suggested that these were lacking motivation and were no longer engaged, however, this remains unknown. One way to improve this for future studies could be to make sure the surveys were as simple as possible, printed out and then </w:t>
      </w:r>
      <w:r w:rsidR="007623AC">
        <w:rPr>
          <w:rFonts w:asciiTheme="minorBidi" w:hAnsiTheme="minorBidi"/>
          <w:sz w:val="24"/>
          <w:szCs w:val="24"/>
        </w:rPr>
        <w:t>make sure</w:t>
      </w:r>
      <w:r w:rsidRPr="0073774D">
        <w:rPr>
          <w:rFonts w:asciiTheme="minorBidi" w:hAnsiTheme="minorBidi"/>
          <w:sz w:val="24"/>
          <w:szCs w:val="24"/>
        </w:rPr>
        <w:t xml:space="preserve"> all</w:t>
      </w:r>
      <w:r w:rsidR="007623AC">
        <w:rPr>
          <w:rFonts w:asciiTheme="minorBidi" w:hAnsiTheme="minorBidi"/>
          <w:sz w:val="24"/>
          <w:szCs w:val="24"/>
        </w:rPr>
        <w:t xml:space="preserve"> participants</w:t>
      </w:r>
      <w:r w:rsidRPr="0073774D">
        <w:rPr>
          <w:rFonts w:asciiTheme="minorBidi" w:hAnsiTheme="minorBidi"/>
          <w:sz w:val="24"/>
          <w:szCs w:val="24"/>
        </w:rPr>
        <w:t xml:space="preserve"> complete them fully before collecting them in.  </w:t>
      </w:r>
    </w:p>
    <w:p w14:paraId="448EF0F5" w14:textId="5A936988"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lastRenderedPageBreak/>
        <w:t>Another methodological flaw and potential explanation for the pupils rating of both lessons as highly engaging could be that they felt they had to put that in order to please the teacher/researcher this is also known as the Hawthorne Effect (Wickström and Bendix, 2000). As this research was conducted by a student teacher it is possible that the students felt the need to reflect positively on the lesson in order to paint the student teacher in good light</w:t>
      </w:r>
      <w:r w:rsidR="008F233D">
        <w:rPr>
          <w:rFonts w:asciiTheme="minorBidi" w:hAnsiTheme="minorBidi"/>
          <w:sz w:val="24"/>
          <w:szCs w:val="24"/>
        </w:rPr>
        <w:t xml:space="preserve">. They did this </w:t>
      </w:r>
      <w:r w:rsidRPr="0073774D">
        <w:rPr>
          <w:rFonts w:asciiTheme="minorBidi" w:hAnsiTheme="minorBidi"/>
          <w:sz w:val="24"/>
          <w:szCs w:val="24"/>
        </w:rPr>
        <w:t xml:space="preserve">despite being informed that their honest answers would </w:t>
      </w:r>
      <w:r w:rsidR="009B56E3">
        <w:rPr>
          <w:rFonts w:asciiTheme="minorBidi" w:hAnsiTheme="minorBidi"/>
          <w:sz w:val="24"/>
          <w:szCs w:val="24"/>
        </w:rPr>
        <w:t>not impact their</w:t>
      </w:r>
      <w:r w:rsidRPr="0073774D">
        <w:rPr>
          <w:rFonts w:asciiTheme="minorBidi" w:hAnsiTheme="minorBidi"/>
          <w:sz w:val="24"/>
          <w:szCs w:val="24"/>
        </w:rPr>
        <w:t xml:space="preserve"> marks or the performance of the student teacher. In addition, creating an extra level of anonymity of the feedback from students may encourage more truthful results by using separate feedback forms which had no identifiable information on as opposed to using their lesson books.</w:t>
      </w:r>
    </w:p>
    <w:p w14:paraId="3ABEB588" w14:textId="45DC304C"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A further flaw is that as a researcher who knows the aim of the research there is a chance of researcher bias to subconsciously interpret results or behaviour during the lessons which can influence the outcome. Despite efforts to remain reflexive during research</w:t>
      </w:r>
      <w:r w:rsidR="007E4935">
        <w:rPr>
          <w:rFonts w:asciiTheme="minorBidi" w:hAnsiTheme="minorBidi"/>
          <w:sz w:val="24"/>
          <w:szCs w:val="24"/>
        </w:rPr>
        <w:t>,</w:t>
      </w:r>
      <w:r w:rsidRPr="0073774D">
        <w:rPr>
          <w:rFonts w:asciiTheme="minorBidi" w:hAnsiTheme="minorBidi"/>
          <w:sz w:val="24"/>
          <w:szCs w:val="24"/>
        </w:rPr>
        <w:t xml:space="preserve"> a more reliable methodology could be to use a double-blind design so that neither the researcher nor participants know the aim of the study. For example, if the main researcher could ask other teachers to complete the lesson that they have designed but incorporating the differing name generating techniques and not informing them of the independent variable. Furthermore, as I had to teach the content of the lessons, it would be better suited if there was a more objective method to measuring engagement for the pupils. There are many possibilities but an extra observer to measure the amount of input students gave during the lesson through the frequency of hands raised per pupil in the class. This would create a more structured method for data collection that could be cross examined with the feedback from students. </w:t>
      </w:r>
    </w:p>
    <w:p w14:paraId="5798F8FA" w14:textId="77777777" w:rsidR="000964C0" w:rsidRPr="0073774D" w:rsidRDefault="000964C0" w:rsidP="0030329C">
      <w:pPr>
        <w:spacing w:line="360" w:lineRule="auto"/>
        <w:jc w:val="both"/>
        <w:rPr>
          <w:rFonts w:asciiTheme="minorBidi" w:hAnsiTheme="minorBidi"/>
          <w:sz w:val="24"/>
          <w:szCs w:val="24"/>
          <w:u w:val="single"/>
        </w:rPr>
      </w:pPr>
      <w:r w:rsidRPr="0073774D">
        <w:rPr>
          <w:rFonts w:asciiTheme="minorBidi" w:hAnsiTheme="minorBidi"/>
          <w:sz w:val="24"/>
          <w:szCs w:val="24"/>
          <w:u w:val="single"/>
        </w:rPr>
        <w:t>Further research considerations</w:t>
      </w:r>
    </w:p>
    <w:p w14:paraId="22947134" w14:textId="6ED6A74B"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If this study was to be carried out again, further research should use a more detailed Likert scale. “</w:t>
      </w:r>
      <w:r w:rsidRPr="0073774D">
        <w:rPr>
          <w:rFonts w:asciiTheme="minorBidi" w:hAnsiTheme="minorBidi"/>
          <w:i/>
          <w:sz w:val="24"/>
          <w:szCs w:val="24"/>
        </w:rPr>
        <w:t>Likert scales</w:t>
      </w:r>
      <w:r w:rsidRPr="0073774D">
        <w:rPr>
          <w:rFonts w:asciiTheme="minorBidi" w:hAnsiTheme="minorBidi"/>
          <w:sz w:val="24"/>
          <w:szCs w:val="24"/>
        </w:rPr>
        <w:t xml:space="preserve"> ask respondents to indicate, usually by circling a number rank order of agreement or disagreement with a statement” (Bell and </w:t>
      </w:r>
      <w:proofErr w:type="spellStart"/>
      <w:r w:rsidRPr="0073774D">
        <w:rPr>
          <w:rFonts w:asciiTheme="minorBidi" w:hAnsiTheme="minorBidi"/>
          <w:sz w:val="24"/>
          <w:szCs w:val="24"/>
        </w:rPr>
        <w:t>Woolner</w:t>
      </w:r>
      <w:proofErr w:type="spellEnd"/>
      <w:r w:rsidRPr="0073774D">
        <w:rPr>
          <w:rFonts w:asciiTheme="minorBidi" w:hAnsiTheme="minorBidi"/>
          <w:sz w:val="24"/>
          <w:szCs w:val="24"/>
        </w:rPr>
        <w:t>, 2012, p. 273). Rather than using smiley faces I would suggest a 5 or 7-point Likert scale with written descriptions and clear instructions to help students understand where they are rating engagement. This means that an average can be generated for each AFL technique</w:t>
      </w:r>
      <w:r w:rsidR="00C72F36">
        <w:rPr>
          <w:rFonts w:asciiTheme="minorBidi" w:hAnsiTheme="minorBidi"/>
          <w:sz w:val="24"/>
          <w:szCs w:val="24"/>
        </w:rPr>
        <w:t xml:space="preserve">. </w:t>
      </w:r>
      <w:r w:rsidRPr="0073774D">
        <w:rPr>
          <w:rFonts w:asciiTheme="minorBidi" w:hAnsiTheme="minorBidi"/>
          <w:sz w:val="24"/>
          <w:szCs w:val="24"/>
        </w:rPr>
        <w:t xml:space="preserve">This would provide a more externally valid results which can be further </w:t>
      </w:r>
      <w:r w:rsidRPr="0073774D">
        <w:rPr>
          <w:rFonts w:asciiTheme="minorBidi" w:hAnsiTheme="minorBidi"/>
          <w:sz w:val="24"/>
          <w:szCs w:val="24"/>
        </w:rPr>
        <w:lastRenderedPageBreak/>
        <w:t>generalised to a larger population to improve understanding about pupils</w:t>
      </w:r>
      <w:r w:rsidR="00CD61CF">
        <w:rPr>
          <w:rFonts w:asciiTheme="minorBidi" w:hAnsiTheme="minorBidi"/>
          <w:sz w:val="24"/>
          <w:szCs w:val="24"/>
        </w:rPr>
        <w:t>’</w:t>
      </w:r>
      <w:r w:rsidRPr="0073774D">
        <w:rPr>
          <w:rFonts w:asciiTheme="minorBidi" w:hAnsiTheme="minorBidi"/>
          <w:sz w:val="24"/>
          <w:szCs w:val="24"/>
        </w:rPr>
        <w:t xml:space="preserve"> engagement during lessons.</w:t>
      </w:r>
    </w:p>
    <w:p w14:paraId="33C79E53" w14:textId="3F26B065"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The term engagement is difficult for pupils to grasp as it is an abstract concept and therefore a standardised definition should be established so that they fully understand what they are being asked to give feedback on when answering the questions at the end. Alternatively, if the methodological flaws can be addressed, it would be beneficial to conduct the research over multiple lessons so that each method can be used for a variety of topics as some pupils may naturally enjoy and engage in some topics more than others. In addition, this should also include a cross section of the classes so that a reliable dataset is collected and therefore a more ecological</w:t>
      </w:r>
      <w:r w:rsidR="004C443B">
        <w:rPr>
          <w:rFonts w:asciiTheme="minorBidi" w:hAnsiTheme="minorBidi"/>
          <w:sz w:val="24"/>
          <w:szCs w:val="24"/>
        </w:rPr>
        <w:t>ly</w:t>
      </w:r>
      <w:r w:rsidRPr="0073774D">
        <w:rPr>
          <w:rFonts w:asciiTheme="minorBidi" w:hAnsiTheme="minorBidi"/>
          <w:sz w:val="24"/>
          <w:szCs w:val="24"/>
        </w:rPr>
        <w:t xml:space="preserve"> valid picture of engagement can be seen and understood. </w:t>
      </w:r>
    </w:p>
    <w:p w14:paraId="0C11A61B" w14:textId="1FA5CB87" w:rsidR="000964C0" w:rsidRPr="0073774D" w:rsidRDefault="000964C0" w:rsidP="00A843B6">
      <w:pPr>
        <w:spacing w:line="360" w:lineRule="auto"/>
        <w:jc w:val="both"/>
        <w:rPr>
          <w:rFonts w:asciiTheme="minorBidi" w:hAnsiTheme="minorBidi"/>
          <w:sz w:val="24"/>
          <w:szCs w:val="24"/>
        </w:rPr>
      </w:pPr>
      <w:r w:rsidRPr="0073774D">
        <w:rPr>
          <w:rFonts w:asciiTheme="minorBidi" w:hAnsiTheme="minorBidi"/>
          <w:sz w:val="24"/>
          <w:szCs w:val="24"/>
        </w:rPr>
        <w:t xml:space="preserve">Furthermore, the research may be more beneficial if the pupils do not know the teacher or researcher as they would feel </w:t>
      </w:r>
      <w:r w:rsidR="00B64171">
        <w:rPr>
          <w:rFonts w:asciiTheme="minorBidi" w:hAnsiTheme="minorBidi"/>
          <w:sz w:val="24"/>
          <w:szCs w:val="24"/>
        </w:rPr>
        <w:t>less</w:t>
      </w:r>
      <w:r w:rsidRPr="0073774D">
        <w:rPr>
          <w:rFonts w:asciiTheme="minorBidi" w:hAnsiTheme="minorBidi"/>
          <w:sz w:val="24"/>
          <w:szCs w:val="24"/>
        </w:rPr>
        <w:t xml:space="preserve"> pressure when rating the engagement levels. In order to increase the validity of the study, external observers should </w:t>
      </w:r>
      <w:r w:rsidR="00B64171">
        <w:rPr>
          <w:rFonts w:asciiTheme="minorBidi" w:hAnsiTheme="minorBidi"/>
          <w:sz w:val="24"/>
          <w:szCs w:val="24"/>
        </w:rPr>
        <w:t xml:space="preserve">also </w:t>
      </w:r>
      <w:r w:rsidRPr="0073774D">
        <w:rPr>
          <w:rFonts w:asciiTheme="minorBidi" w:hAnsiTheme="minorBidi"/>
          <w:sz w:val="24"/>
          <w:szCs w:val="24"/>
        </w:rPr>
        <w:t xml:space="preserve">be present in order to watch pupils and how engaged in the material they seem. A further consideration could be to test pupils on the content in the hands-up lesson and the random name generator lesson to see how much material is obtained. This could then be used to see if there is a correlation between how much pupils obtain and the engagement based on the name selection technique. </w:t>
      </w:r>
    </w:p>
    <w:p w14:paraId="1C1E0605" w14:textId="6B0C708F" w:rsidR="000964C0" w:rsidRDefault="000964C0" w:rsidP="00A843B6">
      <w:pPr>
        <w:spacing w:line="360" w:lineRule="auto"/>
        <w:jc w:val="both"/>
        <w:rPr>
          <w:rFonts w:asciiTheme="minorBidi" w:hAnsiTheme="minorBidi"/>
          <w:sz w:val="24"/>
          <w:szCs w:val="24"/>
        </w:rPr>
      </w:pPr>
      <w:r w:rsidRPr="0073774D">
        <w:rPr>
          <w:rFonts w:asciiTheme="minorBidi" w:hAnsiTheme="minorBidi"/>
          <w:sz w:val="24"/>
          <w:szCs w:val="24"/>
        </w:rPr>
        <w:t xml:space="preserve">Where possible, all the research lessons should be undertaken under similar conditions so that there are less potential confounding variables to influence engagement levels. For example, conducting the lessons at the same time of day such as first thing in the morning rather than just after lunch where pupils are excited. The structure and content of the lessons and the tasks should also be similar so that the main thing that is impacting engagement is the way in which pupils are selected to answer questions.  </w:t>
      </w:r>
    </w:p>
    <w:p w14:paraId="7C44BAB8" w14:textId="30363714" w:rsidR="00277DFD" w:rsidRPr="00330D08" w:rsidRDefault="00330D08" w:rsidP="00330D08">
      <w:pPr>
        <w:pStyle w:val="paragraph"/>
        <w:spacing w:before="0" w:beforeAutospacing="0" w:after="0" w:afterAutospacing="0" w:line="360" w:lineRule="auto"/>
        <w:jc w:val="both"/>
        <w:textAlignment w:val="baseline"/>
        <w:rPr>
          <w:rFonts w:asciiTheme="minorBidi" w:hAnsiTheme="minorBidi" w:cstheme="minorBidi"/>
        </w:rPr>
      </w:pPr>
      <w:r w:rsidRPr="0073774D">
        <w:rPr>
          <w:rStyle w:val="normaltextrun"/>
          <w:rFonts w:asciiTheme="minorBidi" w:hAnsiTheme="minorBidi" w:cstheme="minorBidi"/>
        </w:rPr>
        <w:t xml:space="preserve">Despite the limitations discussed above, this study is a starting point to action research and can be used in order to develop more valid research in the future. </w:t>
      </w:r>
    </w:p>
    <w:p w14:paraId="4932AFF4" w14:textId="38950233" w:rsidR="00330D08" w:rsidRDefault="00330D08" w:rsidP="00A843B6">
      <w:pPr>
        <w:spacing w:line="360" w:lineRule="auto"/>
        <w:jc w:val="both"/>
        <w:rPr>
          <w:rFonts w:asciiTheme="minorBidi" w:hAnsiTheme="minorBidi"/>
          <w:sz w:val="24"/>
          <w:szCs w:val="24"/>
        </w:rPr>
      </w:pPr>
    </w:p>
    <w:p w14:paraId="47824135" w14:textId="77777777" w:rsidR="00330D08" w:rsidRPr="0073774D" w:rsidRDefault="00330D08" w:rsidP="00A843B6">
      <w:pPr>
        <w:spacing w:line="360" w:lineRule="auto"/>
        <w:jc w:val="both"/>
        <w:rPr>
          <w:rFonts w:asciiTheme="minorBidi" w:hAnsiTheme="minorBidi"/>
          <w:sz w:val="24"/>
          <w:szCs w:val="24"/>
        </w:rPr>
      </w:pPr>
    </w:p>
    <w:p w14:paraId="45A39522" w14:textId="77777777" w:rsidR="000964C0" w:rsidRPr="0073774D" w:rsidRDefault="000964C0" w:rsidP="0030329C">
      <w:pPr>
        <w:spacing w:line="360" w:lineRule="auto"/>
        <w:jc w:val="both"/>
        <w:rPr>
          <w:rFonts w:asciiTheme="minorBidi" w:hAnsiTheme="minorBidi"/>
          <w:sz w:val="24"/>
          <w:szCs w:val="24"/>
        </w:rPr>
      </w:pPr>
    </w:p>
    <w:p w14:paraId="2F9D19A3" w14:textId="77777777" w:rsidR="000964C0" w:rsidRPr="0073774D" w:rsidRDefault="000964C0" w:rsidP="0030329C">
      <w:pPr>
        <w:spacing w:line="360" w:lineRule="auto"/>
        <w:jc w:val="both"/>
        <w:rPr>
          <w:rFonts w:asciiTheme="minorBidi" w:hAnsiTheme="minorBidi"/>
          <w:sz w:val="24"/>
          <w:szCs w:val="24"/>
          <w:u w:val="single"/>
        </w:rPr>
      </w:pPr>
      <w:r w:rsidRPr="0073774D">
        <w:rPr>
          <w:rFonts w:asciiTheme="minorBidi" w:hAnsiTheme="minorBidi"/>
          <w:sz w:val="24"/>
          <w:szCs w:val="24"/>
          <w:u w:val="single"/>
        </w:rPr>
        <w:lastRenderedPageBreak/>
        <w:t>Reference List</w:t>
      </w:r>
    </w:p>
    <w:p w14:paraId="38ED455A" w14:textId="77777777" w:rsidR="000964C0" w:rsidRPr="0073774D" w:rsidRDefault="000964C0" w:rsidP="0030329C">
      <w:pPr>
        <w:spacing w:line="360" w:lineRule="auto"/>
        <w:jc w:val="both"/>
        <w:rPr>
          <w:rStyle w:val="eop"/>
          <w:rFonts w:asciiTheme="minorBidi" w:hAnsiTheme="minorBidi"/>
          <w:sz w:val="24"/>
          <w:szCs w:val="24"/>
        </w:rPr>
      </w:pPr>
      <w:r w:rsidRPr="0073774D">
        <w:rPr>
          <w:rStyle w:val="normaltextrun"/>
          <w:rFonts w:asciiTheme="minorBidi" w:hAnsiTheme="minorBidi"/>
          <w:sz w:val="24"/>
          <w:szCs w:val="24"/>
          <w:shd w:val="clear" w:color="auto" w:fill="FFFFFF"/>
        </w:rPr>
        <w:t>Allison, S. and </w:t>
      </w:r>
      <w:proofErr w:type="spellStart"/>
      <w:r w:rsidRPr="0073774D">
        <w:rPr>
          <w:rStyle w:val="spellingerror"/>
          <w:rFonts w:asciiTheme="minorBidi" w:hAnsiTheme="minorBidi"/>
          <w:sz w:val="24"/>
          <w:szCs w:val="24"/>
          <w:shd w:val="clear" w:color="auto" w:fill="FFFFFF"/>
        </w:rPr>
        <w:t>Tharby</w:t>
      </w:r>
      <w:proofErr w:type="spellEnd"/>
      <w:r w:rsidRPr="0073774D">
        <w:rPr>
          <w:rStyle w:val="normaltextrun"/>
          <w:rFonts w:asciiTheme="minorBidi" w:hAnsiTheme="minorBidi"/>
          <w:sz w:val="24"/>
          <w:szCs w:val="24"/>
          <w:shd w:val="clear" w:color="auto" w:fill="FFFFFF"/>
        </w:rPr>
        <w:t>, A., 2015. </w:t>
      </w:r>
      <w:r w:rsidRPr="0073774D">
        <w:rPr>
          <w:rStyle w:val="normaltextrun"/>
          <w:rFonts w:asciiTheme="minorBidi" w:hAnsiTheme="minorBidi"/>
          <w:i/>
          <w:iCs/>
          <w:sz w:val="24"/>
          <w:szCs w:val="24"/>
          <w:shd w:val="clear" w:color="auto" w:fill="FFFFFF"/>
        </w:rPr>
        <w:t>Making Every Lesson Count, six principles to support great teaching and learning. </w:t>
      </w:r>
      <w:r w:rsidRPr="0073774D">
        <w:rPr>
          <w:rStyle w:val="normaltextrun"/>
          <w:rFonts w:asciiTheme="minorBidi" w:hAnsiTheme="minorBidi"/>
          <w:sz w:val="24"/>
          <w:szCs w:val="24"/>
          <w:shd w:val="clear" w:color="auto" w:fill="FFFFFF"/>
        </w:rPr>
        <w:t>Carmarthen: Crown House Publishing LTD. </w:t>
      </w:r>
      <w:r w:rsidRPr="0073774D">
        <w:rPr>
          <w:rStyle w:val="eop"/>
          <w:rFonts w:asciiTheme="minorBidi" w:hAnsiTheme="minorBidi"/>
          <w:sz w:val="24"/>
          <w:szCs w:val="24"/>
          <w:shd w:val="clear" w:color="auto" w:fill="FFFFFF"/>
        </w:rPr>
        <w:t> </w:t>
      </w:r>
    </w:p>
    <w:p w14:paraId="018A5DF3"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Allred, C. and Swenson, J., 2006. </w:t>
      </w:r>
      <w:r w:rsidRPr="0073774D">
        <w:rPr>
          <w:rFonts w:asciiTheme="minorBidi" w:hAnsiTheme="minorBidi"/>
          <w:i/>
          <w:sz w:val="24"/>
          <w:szCs w:val="24"/>
        </w:rPr>
        <w:t xml:space="preserve">Using Technology to Increase Student Preparation for And Participation in Marketing Courses: The Random Selector Model. </w:t>
      </w:r>
      <w:r w:rsidRPr="0073774D">
        <w:rPr>
          <w:rFonts w:asciiTheme="minorBidi" w:hAnsiTheme="minorBidi"/>
          <w:sz w:val="24"/>
          <w:szCs w:val="24"/>
        </w:rPr>
        <w:t xml:space="preserve">Available from: </w:t>
      </w:r>
      <w:r w:rsidRPr="0073774D">
        <w:rPr>
          <w:rFonts w:asciiTheme="minorBidi" w:hAnsiTheme="minorBidi"/>
          <w:i/>
          <w:sz w:val="24"/>
          <w:szCs w:val="24"/>
        </w:rPr>
        <w:t>&lt;</w:t>
      </w:r>
      <w:hyperlink r:id="rId11" w:history="1">
        <w:r w:rsidRPr="0073774D">
          <w:rPr>
            <w:rStyle w:val="Hyperlink"/>
            <w:rFonts w:asciiTheme="minorBidi" w:hAnsiTheme="minorBidi"/>
            <w:sz w:val="24"/>
            <w:szCs w:val="24"/>
          </w:rPr>
          <w:t>https://web-a-ebscohost-com.ezproxy.uwtsd.ac.uk/ehost/pdfviewer/pdfviewer?vid=1&amp;sid=9c42d005-b93b-4e08-89d0-1769f9a49aca%40sdc-v-sessmgr02</w:t>
        </w:r>
      </w:hyperlink>
      <w:r w:rsidRPr="0073774D">
        <w:rPr>
          <w:rFonts w:asciiTheme="minorBidi" w:hAnsiTheme="minorBidi"/>
          <w:sz w:val="24"/>
          <w:szCs w:val="24"/>
        </w:rPr>
        <w:t>&gt; [Accessed 18/04/2019].</w:t>
      </w:r>
    </w:p>
    <w:p w14:paraId="3442D4FF"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Bell, J., 2005. </w:t>
      </w:r>
      <w:r w:rsidRPr="0073774D">
        <w:rPr>
          <w:rFonts w:asciiTheme="minorBidi" w:hAnsiTheme="minorBidi"/>
          <w:i/>
          <w:iCs/>
          <w:sz w:val="24"/>
          <w:szCs w:val="24"/>
        </w:rPr>
        <w:t xml:space="preserve">Doing Your Research Project, A guide for first-time researchers in education, health and social science. </w:t>
      </w:r>
      <w:r w:rsidRPr="0073774D">
        <w:rPr>
          <w:rFonts w:asciiTheme="minorBidi" w:hAnsiTheme="minorBidi"/>
          <w:sz w:val="24"/>
          <w:szCs w:val="24"/>
        </w:rPr>
        <w:t>4</w:t>
      </w:r>
      <w:r w:rsidRPr="0073774D">
        <w:rPr>
          <w:rFonts w:asciiTheme="minorBidi" w:hAnsiTheme="minorBidi"/>
          <w:sz w:val="24"/>
          <w:szCs w:val="24"/>
          <w:vertAlign w:val="superscript"/>
        </w:rPr>
        <w:t>th</w:t>
      </w:r>
      <w:r w:rsidRPr="0073774D">
        <w:rPr>
          <w:rFonts w:asciiTheme="minorBidi" w:hAnsiTheme="minorBidi"/>
          <w:sz w:val="24"/>
          <w:szCs w:val="24"/>
        </w:rPr>
        <w:t xml:space="preserve"> ed.</w:t>
      </w:r>
      <w:r w:rsidRPr="0073774D">
        <w:rPr>
          <w:rFonts w:asciiTheme="minorBidi" w:hAnsiTheme="minorBidi"/>
          <w:i/>
          <w:iCs/>
          <w:sz w:val="24"/>
          <w:szCs w:val="24"/>
        </w:rPr>
        <w:t xml:space="preserve"> </w:t>
      </w:r>
      <w:r w:rsidRPr="0073774D">
        <w:rPr>
          <w:rFonts w:asciiTheme="minorBidi" w:hAnsiTheme="minorBidi"/>
          <w:sz w:val="24"/>
          <w:szCs w:val="24"/>
        </w:rPr>
        <w:t xml:space="preserve">England: Open University Press. </w:t>
      </w:r>
    </w:p>
    <w:p w14:paraId="02F20A71"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eop"/>
          <w:rFonts w:asciiTheme="minorBidi" w:hAnsiTheme="minorBidi"/>
          <w:sz w:val="24"/>
          <w:szCs w:val="24"/>
        </w:rPr>
        <w:t xml:space="preserve">Bell, J. and </w:t>
      </w:r>
      <w:proofErr w:type="spellStart"/>
      <w:r w:rsidRPr="0073774D">
        <w:rPr>
          <w:rStyle w:val="eop"/>
          <w:rFonts w:asciiTheme="minorBidi" w:hAnsiTheme="minorBidi"/>
          <w:sz w:val="24"/>
          <w:szCs w:val="24"/>
        </w:rPr>
        <w:t>Woolner</w:t>
      </w:r>
      <w:proofErr w:type="spellEnd"/>
      <w:r w:rsidRPr="0073774D">
        <w:rPr>
          <w:rStyle w:val="eop"/>
          <w:rFonts w:asciiTheme="minorBidi" w:hAnsiTheme="minorBidi"/>
          <w:sz w:val="24"/>
          <w:szCs w:val="24"/>
        </w:rPr>
        <w:t xml:space="preserve">, P., 2012. Developing and Using Questionnaires. </w:t>
      </w:r>
      <w:r w:rsidRPr="0073774D">
        <w:rPr>
          <w:rStyle w:val="eop"/>
          <w:rFonts w:asciiTheme="minorBidi" w:hAnsiTheme="minorBidi"/>
          <w:sz w:val="24"/>
          <w:szCs w:val="24"/>
          <w:shd w:val="clear" w:color="auto" w:fill="FFFFFF"/>
        </w:rPr>
        <w:t xml:space="preserve">In: A. Briggs, M. Coleman and M. Morrison eds., 2012. </w:t>
      </w:r>
      <w:r w:rsidRPr="0073774D">
        <w:rPr>
          <w:rStyle w:val="eop"/>
          <w:rFonts w:asciiTheme="minorBidi" w:hAnsiTheme="minorBidi"/>
          <w:i/>
          <w:sz w:val="24"/>
          <w:szCs w:val="24"/>
          <w:shd w:val="clear" w:color="auto" w:fill="FFFFFF"/>
        </w:rPr>
        <w:t>Research Methods in Educational Leadership &amp; Management.</w:t>
      </w:r>
      <w:r w:rsidRPr="0073774D">
        <w:rPr>
          <w:rStyle w:val="eop"/>
          <w:rFonts w:asciiTheme="minorBidi" w:hAnsiTheme="minorBidi"/>
          <w:sz w:val="24"/>
          <w:szCs w:val="24"/>
          <w:shd w:val="clear" w:color="auto" w:fill="FFFFFF"/>
        </w:rPr>
        <w:t xml:space="preserve"> London: Sage Publications Ltd. Ch. 18. </w:t>
      </w:r>
    </w:p>
    <w:p w14:paraId="1A873AD3" w14:textId="77777777" w:rsidR="000964C0" w:rsidRPr="0073774D" w:rsidRDefault="000964C0" w:rsidP="0030329C">
      <w:pPr>
        <w:spacing w:line="360" w:lineRule="auto"/>
        <w:jc w:val="both"/>
        <w:rPr>
          <w:rFonts w:asciiTheme="minorBidi" w:hAnsiTheme="minorBidi"/>
          <w:sz w:val="24"/>
          <w:szCs w:val="24"/>
        </w:rPr>
      </w:pPr>
      <w:r w:rsidRPr="0073774D">
        <w:rPr>
          <w:rStyle w:val="eop"/>
          <w:rFonts w:asciiTheme="minorBidi" w:hAnsiTheme="minorBidi"/>
          <w:sz w:val="24"/>
          <w:szCs w:val="24"/>
          <w:shd w:val="clear" w:color="auto" w:fill="FFFFFF"/>
        </w:rPr>
        <w:t xml:space="preserve">Black, P. and William, D., 1998a. </w:t>
      </w:r>
      <w:r w:rsidRPr="0073774D">
        <w:rPr>
          <w:rStyle w:val="eop"/>
          <w:rFonts w:asciiTheme="minorBidi" w:hAnsiTheme="minorBidi"/>
          <w:i/>
          <w:sz w:val="24"/>
          <w:szCs w:val="24"/>
          <w:shd w:val="clear" w:color="auto" w:fill="FFFFFF"/>
        </w:rPr>
        <w:t xml:space="preserve">Assessment in Education: Principles, Policy and Practice. </w:t>
      </w:r>
      <w:r w:rsidRPr="0073774D">
        <w:rPr>
          <w:rStyle w:val="eop"/>
          <w:rFonts w:asciiTheme="minorBidi" w:hAnsiTheme="minorBidi"/>
          <w:sz w:val="24"/>
          <w:szCs w:val="24"/>
          <w:shd w:val="clear" w:color="auto" w:fill="FFFFFF"/>
        </w:rPr>
        <w:t>Routledge, Volume 5, 7-74. Available from: &lt;</w:t>
      </w:r>
      <w:hyperlink r:id="rId12" w:history="1">
        <w:r w:rsidRPr="0073774D">
          <w:rPr>
            <w:rStyle w:val="Hyperlink"/>
            <w:rFonts w:asciiTheme="minorBidi" w:hAnsiTheme="minorBidi"/>
            <w:sz w:val="24"/>
            <w:szCs w:val="24"/>
          </w:rPr>
          <w:t>https://doi.org/10.1080/0969595980050102</w:t>
        </w:r>
      </w:hyperlink>
      <w:r w:rsidRPr="0073774D">
        <w:rPr>
          <w:rStyle w:val="Hyperlink"/>
          <w:rFonts w:asciiTheme="minorBidi" w:hAnsiTheme="minorBidi"/>
          <w:sz w:val="24"/>
          <w:szCs w:val="24"/>
        </w:rPr>
        <w:t>&gt;</w:t>
      </w:r>
      <w:r w:rsidRPr="0073774D">
        <w:rPr>
          <w:rFonts w:asciiTheme="minorBidi" w:hAnsiTheme="minorBidi"/>
          <w:sz w:val="24"/>
          <w:szCs w:val="24"/>
        </w:rPr>
        <w:t xml:space="preserve"> [Accessed 16/04/2019]</w:t>
      </w:r>
    </w:p>
    <w:p w14:paraId="50E88177" w14:textId="77777777" w:rsidR="000964C0" w:rsidRPr="0073774D" w:rsidRDefault="000964C0" w:rsidP="0030329C">
      <w:pPr>
        <w:spacing w:line="360" w:lineRule="auto"/>
        <w:jc w:val="both"/>
        <w:rPr>
          <w:rFonts w:asciiTheme="minorBidi" w:hAnsiTheme="minorBidi"/>
          <w:sz w:val="24"/>
          <w:szCs w:val="24"/>
        </w:rPr>
      </w:pPr>
      <w:r w:rsidRPr="0073774D">
        <w:rPr>
          <w:rStyle w:val="eop"/>
          <w:rFonts w:asciiTheme="minorBidi" w:hAnsiTheme="minorBidi"/>
          <w:sz w:val="24"/>
          <w:szCs w:val="24"/>
          <w:shd w:val="clear" w:color="auto" w:fill="FFFFFF"/>
        </w:rPr>
        <w:t>Black, P. and William, D., 1998b</w:t>
      </w:r>
      <w:r w:rsidRPr="0073774D">
        <w:rPr>
          <w:rStyle w:val="eop"/>
          <w:rFonts w:asciiTheme="minorBidi" w:hAnsiTheme="minorBidi"/>
          <w:i/>
          <w:sz w:val="24"/>
          <w:szCs w:val="24"/>
          <w:shd w:val="clear" w:color="auto" w:fill="FFFFFF"/>
        </w:rPr>
        <w:t>. Inside the Black Box: Raising Standards through Classroom Assessment.</w:t>
      </w:r>
      <w:r w:rsidRPr="0073774D">
        <w:rPr>
          <w:rStyle w:val="eop"/>
          <w:rFonts w:asciiTheme="minorBidi" w:hAnsiTheme="minorBidi"/>
          <w:sz w:val="24"/>
          <w:szCs w:val="24"/>
          <w:shd w:val="clear" w:color="auto" w:fill="FFFFFF"/>
        </w:rPr>
        <w:t xml:space="preserve"> Phi Delta </w:t>
      </w:r>
      <w:proofErr w:type="spellStart"/>
      <w:r w:rsidRPr="0073774D">
        <w:rPr>
          <w:rStyle w:val="eop"/>
          <w:rFonts w:asciiTheme="minorBidi" w:hAnsiTheme="minorBidi"/>
          <w:sz w:val="24"/>
          <w:szCs w:val="24"/>
          <w:shd w:val="clear" w:color="auto" w:fill="FFFFFF"/>
        </w:rPr>
        <w:t>Kappan</w:t>
      </w:r>
      <w:proofErr w:type="spellEnd"/>
      <w:r w:rsidRPr="0073774D">
        <w:rPr>
          <w:rStyle w:val="eop"/>
          <w:rFonts w:asciiTheme="minorBidi" w:hAnsiTheme="minorBidi"/>
          <w:sz w:val="24"/>
          <w:szCs w:val="24"/>
          <w:shd w:val="clear" w:color="auto" w:fill="FFFFFF"/>
        </w:rPr>
        <w:t>, Volume 92, 81-90.</w:t>
      </w:r>
      <w:r w:rsidRPr="0073774D">
        <w:rPr>
          <w:rStyle w:val="eop"/>
          <w:rFonts w:asciiTheme="minorBidi" w:hAnsiTheme="minorBidi"/>
          <w:i/>
          <w:sz w:val="24"/>
          <w:szCs w:val="24"/>
          <w:shd w:val="clear" w:color="auto" w:fill="FFFFFF"/>
        </w:rPr>
        <w:t xml:space="preserve"> </w:t>
      </w:r>
      <w:r w:rsidRPr="0073774D">
        <w:rPr>
          <w:rStyle w:val="eop"/>
          <w:rFonts w:asciiTheme="minorBidi" w:hAnsiTheme="minorBidi"/>
          <w:sz w:val="24"/>
          <w:szCs w:val="24"/>
          <w:shd w:val="clear" w:color="auto" w:fill="FFFFFF"/>
        </w:rPr>
        <w:t>Available from: &lt;</w:t>
      </w:r>
      <w:hyperlink r:id="rId13" w:history="1">
        <w:r w:rsidRPr="0073774D">
          <w:rPr>
            <w:rStyle w:val="Hyperlink"/>
            <w:rFonts w:asciiTheme="minorBidi" w:hAnsiTheme="minorBidi"/>
            <w:sz w:val="24"/>
            <w:szCs w:val="24"/>
          </w:rPr>
          <w:t>https://www.rdc.udel.edu/wp-content/uploads/2015/04/InsideBlackBox.pdf</w:t>
        </w:r>
      </w:hyperlink>
      <w:r w:rsidRPr="0073774D">
        <w:rPr>
          <w:rStyle w:val="Hyperlink"/>
          <w:rFonts w:asciiTheme="minorBidi" w:hAnsiTheme="minorBidi"/>
          <w:sz w:val="24"/>
          <w:szCs w:val="24"/>
        </w:rPr>
        <w:t>&gt;</w:t>
      </w:r>
      <w:r w:rsidRPr="0073774D">
        <w:rPr>
          <w:rFonts w:asciiTheme="minorBidi" w:hAnsiTheme="minorBidi"/>
          <w:sz w:val="24"/>
          <w:szCs w:val="24"/>
        </w:rPr>
        <w:t xml:space="preserve"> [Accessed: 5</w:t>
      </w:r>
      <w:r w:rsidRPr="0073774D">
        <w:rPr>
          <w:rFonts w:asciiTheme="minorBidi" w:hAnsiTheme="minorBidi"/>
          <w:sz w:val="24"/>
          <w:szCs w:val="24"/>
          <w:vertAlign w:val="superscript"/>
        </w:rPr>
        <w:t>th</w:t>
      </w:r>
      <w:r w:rsidRPr="0073774D">
        <w:rPr>
          <w:rFonts w:asciiTheme="minorBidi" w:hAnsiTheme="minorBidi"/>
          <w:sz w:val="24"/>
          <w:szCs w:val="24"/>
        </w:rPr>
        <w:t xml:space="preserve"> April 2019]</w:t>
      </w:r>
    </w:p>
    <w:p w14:paraId="02BB8C09" w14:textId="77777777" w:rsidR="000964C0" w:rsidRPr="0073774D" w:rsidRDefault="000964C0" w:rsidP="0030329C">
      <w:pPr>
        <w:spacing w:line="360" w:lineRule="auto"/>
        <w:jc w:val="both"/>
        <w:rPr>
          <w:rFonts w:asciiTheme="minorBidi" w:hAnsiTheme="minorBidi"/>
          <w:sz w:val="24"/>
          <w:szCs w:val="24"/>
          <w:shd w:val="clear" w:color="auto" w:fill="FFFFFF"/>
        </w:rPr>
      </w:pPr>
      <w:r w:rsidRPr="0073774D">
        <w:rPr>
          <w:rStyle w:val="eop"/>
          <w:rFonts w:asciiTheme="minorBidi" w:hAnsiTheme="minorBidi"/>
          <w:sz w:val="24"/>
          <w:szCs w:val="24"/>
          <w:shd w:val="clear" w:color="auto" w:fill="FFFFFF"/>
        </w:rPr>
        <w:t xml:space="preserve">Black, P. and William, D., 2006. Developing a Theory of Formative Assessment. In: J. Gardner, ed. 2006. </w:t>
      </w:r>
      <w:r w:rsidRPr="0073774D">
        <w:rPr>
          <w:rStyle w:val="eop"/>
          <w:rFonts w:asciiTheme="minorBidi" w:hAnsiTheme="minorBidi"/>
          <w:i/>
          <w:sz w:val="24"/>
          <w:szCs w:val="24"/>
          <w:shd w:val="clear" w:color="auto" w:fill="FFFFFF"/>
        </w:rPr>
        <w:t xml:space="preserve">Assessment and Learning. </w:t>
      </w:r>
      <w:r w:rsidRPr="0073774D">
        <w:rPr>
          <w:rStyle w:val="eop"/>
          <w:rFonts w:asciiTheme="minorBidi" w:hAnsiTheme="minorBidi"/>
          <w:sz w:val="24"/>
          <w:szCs w:val="24"/>
          <w:shd w:val="clear" w:color="auto" w:fill="FFFFFF"/>
        </w:rPr>
        <w:t xml:space="preserve">London: Sage Publications. Ch. 5. </w:t>
      </w:r>
    </w:p>
    <w:p w14:paraId="6FF7F04F"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Boulton, H., 2011. Individual Needs. In: A. </w:t>
      </w:r>
      <w:proofErr w:type="spellStart"/>
      <w:r w:rsidRPr="0073774D">
        <w:rPr>
          <w:rFonts w:asciiTheme="minorBidi" w:hAnsiTheme="minorBidi"/>
          <w:sz w:val="24"/>
          <w:szCs w:val="24"/>
        </w:rPr>
        <w:t>Hramiak</w:t>
      </w:r>
      <w:proofErr w:type="spellEnd"/>
      <w:r w:rsidRPr="0073774D">
        <w:rPr>
          <w:rFonts w:asciiTheme="minorBidi" w:hAnsiTheme="minorBidi"/>
          <w:sz w:val="24"/>
          <w:szCs w:val="24"/>
        </w:rPr>
        <w:t xml:space="preserve"> and T. Hudson, ed.  2011. </w:t>
      </w:r>
      <w:r w:rsidRPr="0073774D">
        <w:rPr>
          <w:rFonts w:asciiTheme="minorBidi" w:hAnsiTheme="minorBidi"/>
          <w:i/>
          <w:sz w:val="24"/>
          <w:szCs w:val="24"/>
        </w:rPr>
        <w:t xml:space="preserve">Understanding Learning and Teaching in Secondary Schools. </w:t>
      </w:r>
      <w:r w:rsidRPr="0073774D">
        <w:rPr>
          <w:rFonts w:asciiTheme="minorBidi" w:hAnsiTheme="minorBidi"/>
          <w:sz w:val="24"/>
          <w:szCs w:val="24"/>
        </w:rPr>
        <w:t>England:</w:t>
      </w:r>
      <w:r w:rsidRPr="0073774D">
        <w:rPr>
          <w:rFonts w:asciiTheme="minorBidi" w:hAnsiTheme="minorBidi"/>
          <w:i/>
          <w:sz w:val="24"/>
          <w:szCs w:val="24"/>
        </w:rPr>
        <w:t xml:space="preserve"> </w:t>
      </w:r>
      <w:r w:rsidRPr="0073774D">
        <w:rPr>
          <w:rFonts w:asciiTheme="minorBidi" w:hAnsiTheme="minorBidi"/>
          <w:sz w:val="24"/>
          <w:szCs w:val="24"/>
        </w:rPr>
        <w:t xml:space="preserve">Pearson Education Limited. Ch. 6. </w:t>
      </w:r>
    </w:p>
    <w:p w14:paraId="15CB0C00"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Brooks, V., 2002. </w:t>
      </w:r>
      <w:r w:rsidRPr="0073774D">
        <w:rPr>
          <w:rFonts w:asciiTheme="minorBidi" w:hAnsiTheme="minorBidi"/>
          <w:i/>
          <w:sz w:val="24"/>
          <w:szCs w:val="24"/>
        </w:rPr>
        <w:t xml:space="preserve">Assessment in Secondary Schools: The new teacher’s guide to monitoring, assessment, recording, reporting and accountability. </w:t>
      </w:r>
      <w:r w:rsidRPr="0073774D">
        <w:rPr>
          <w:rFonts w:asciiTheme="minorBidi" w:hAnsiTheme="minorBidi"/>
          <w:sz w:val="24"/>
          <w:szCs w:val="24"/>
        </w:rPr>
        <w:t>Birmingham:</w:t>
      </w:r>
      <w:r w:rsidRPr="0073774D">
        <w:rPr>
          <w:rFonts w:asciiTheme="minorBidi" w:hAnsiTheme="minorBidi"/>
          <w:i/>
          <w:sz w:val="24"/>
          <w:szCs w:val="24"/>
        </w:rPr>
        <w:t xml:space="preserve"> </w:t>
      </w:r>
      <w:r w:rsidRPr="0073774D">
        <w:rPr>
          <w:rFonts w:asciiTheme="minorBidi" w:hAnsiTheme="minorBidi"/>
          <w:sz w:val="24"/>
          <w:szCs w:val="24"/>
        </w:rPr>
        <w:t xml:space="preserve">Open University Press. </w:t>
      </w:r>
    </w:p>
    <w:p w14:paraId="29982BCD"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proofErr w:type="spellStart"/>
      <w:r w:rsidRPr="0073774D">
        <w:rPr>
          <w:rFonts w:asciiTheme="minorBidi" w:hAnsiTheme="minorBidi"/>
          <w:sz w:val="24"/>
          <w:szCs w:val="24"/>
        </w:rPr>
        <w:lastRenderedPageBreak/>
        <w:t>Burnaford</w:t>
      </w:r>
      <w:proofErr w:type="spellEnd"/>
      <w:r w:rsidRPr="0073774D">
        <w:rPr>
          <w:rFonts w:asciiTheme="minorBidi" w:hAnsiTheme="minorBidi"/>
          <w:sz w:val="24"/>
          <w:szCs w:val="24"/>
        </w:rPr>
        <w:t xml:space="preserve">, G., </w:t>
      </w:r>
      <w:r w:rsidRPr="0073774D">
        <w:rPr>
          <w:rStyle w:val="eop"/>
          <w:rFonts w:asciiTheme="minorBidi" w:hAnsiTheme="minorBidi"/>
          <w:sz w:val="24"/>
          <w:szCs w:val="24"/>
          <w:shd w:val="clear" w:color="auto" w:fill="FFFFFF"/>
        </w:rPr>
        <w:t xml:space="preserve">2001. Teachers’ Work: Methods for Researching Teaching. In: G. </w:t>
      </w:r>
      <w:proofErr w:type="spellStart"/>
      <w:r w:rsidRPr="0073774D">
        <w:rPr>
          <w:rStyle w:val="eop"/>
          <w:rFonts w:asciiTheme="minorBidi" w:hAnsiTheme="minorBidi"/>
          <w:sz w:val="24"/>
          <w:szCs w:val="24"/>
          <w:shd w:val="clear" w:color="auto" w:fill="FFFFFF"/>
        </w:rPr>
        <w:t>Burnaford</w:t>
      </w:r>
      <w:proofErr w:type="spellEnd"/>
      <w:r w:rsidRPr="0073774D">
        <w:rPr>
          <w:rStyle w:val="eop"/>
          <w:rFonts w:asciiTheme="minorBidi" w:hAnsiTheme="minorBidi"/>
          <w:sz w:val="24"/>
          <w:szCs w:val="24"/>
          <w:shd w:val="clear" w:color="auto" w:fill="FFFFFF"/>
        </w:rPr>
        <w:t xml:space="preserve">, J. Fischer and D. Hobson ed., </w:t>
      </w:r>
      <w:r w:rsidRPr="0073774D">
        <w:rPr>
          <w:rStyle w:val="eop"/>
          <w:rFonts w:asciiTheme="minorBidi" w:hAnsiTheme="minorBidi"/>
          <w:i/>
          <w:iCs/>
          <w:sz w:val="24"/>
          <w:szCs w:val="24"/>
          <w:shd w:val="clear" w:color="auto" w:fill="FFFFFF"/>
        </w:rPr>
        <w:t xml:space="preserve">Teachers Doing Research, </w:t>
      </w:r>
      <w:r w:rsidRPr="0073774D">
        <w:rPr>
          <w:rStyle w:val="eop"/>
          <w:rFonts w:asciiTheme="minorBidi" w:hAnsiTheme="minorBidi"/>
          <w:sz w:val="24"/>
          <w:szCs w:val="24"/>
          <w:shd w:val="clear" w:color="auto" w:fill="FFFFFF"/>
        </w:rPr>
        <w:t>2</w:t>
      </w:r>
      <w:r w:rsidRPr="0073774D">
        <w:rPr>
          <w:rStyle w:val="eop"/>
          <w:rFonts w:asciiTheme="minorBidi" w:hAnsiTheme="minorBidi"/>
          <w:sz w:val="24"/>
          <w:szCs w:val="24"/>
          <w:shd w:val="clear" w:color="auto" w:fill="FFFFFF"/>
          <w:vertAlign w:val="superscript"/>
        </w:rPr>
        <w:t>nd</w:t>
      </w:r>
      <w:r w:rsidRPr="0073774D">
        <w:rPr>
          <w:rStyle w:val="eop"/>
          <w:rFonts w:asciiTheme="minorBidi" w:hAnsiTheme="minorBidi"/>
          <w:sz w:val="24"/>
          <w:szCs w:val="24"/>
          <w:shd w:val="clear" w:color="auto" w:fill="FFFFFF"/>
        </w:rPr>
        <w:t xml:space="preserve"> ed. New Jersey: Lawrence Erlbaum Associates, Inc. pp. 49-82.</w:t>
      </w:r>
    </w:p>
    <w:p w14:paraId="4DD51C1B" w14:textId="77777777" w:rsidR="000964C0" w:rsidRPr="0073774D" w:rsidRDefault="000964C0" w:rsidP="0030329C">
      <w:pPr>
        <w:spacing w:line="360" w:lineRule="auto"/>
        <w:jc w:val="both"/>
        <w:rPr>
          <w:rFonts w:asciiTheme="minorBidi" w:hAnsiTheme="minorBidi"/>
          <w:i/>
          <w:sz w:val="24"/>
          <w:szCs w:val="24"/>
          <w:shd w:val="clear" w:color="auto" w:fill="FFFFFF"/>
        </w:rPr>
      </w:pPr>
      <w:r w:rsidRPr="0073774D">
        <w:rPr>
          <w:rStyle w:val="Emphasis"/>
          <w:rFonts w:asciiTheme="minorBidi" w:hAnsiTheme="minorBidi"/>
          <w:sz w:val="24"/>
          <w:szCs w:val="24"/>
          <w:bdr w:val="none" w:sz="0" w:space="0" w:color="auto" w:frame="1"/>
        </w:rPr>
        <w:t>Clark, R. and Lyons, C., 2011. Graphics for Learning, Proven Guidelines for Planning, Designing, and Evaluating Visuals in Training Materials, 2</w:t>
      </w:r>
      <w:r w:rsidRPr="0073774D">
        <w:rPr>
          <w:rStyle w:val="Emphasis"/>
          <w:rFonts w:asciiTheme="minorBidi" w:hAnsiTheme="minorBidi"/>
          <w:sz w:val="24"/>
          <w:szCs w:val="24"/>
          <w:bdr w:val="none" w:sz="0" w:space="0" w:color="auto" w:frame="1"/>
          <w:vertAlign w:val="superscript"/>
        </w:rPr>
        <w:t>nd</w:t>
      </w:r>
      <w:r w:rsidRPr="0073774D">
        <w:rPr>
          <w:rStyle w:val="Emphasis"/>
          <w:rFonts w:asciiTheme="minorBidi" w:hAnsiTheme="minorBidi"/>
          <w:sz w:val="24"/>
          <w:szCs w:val="24"/>
          <w:bdr w:val="none" w:sz="0" w:space="0" w:color="auto" w:frame="1"/>
        </w:rPr>
        <w:t xml:space="preserve"> ed. CA: Pfeiffer.</w:t>
      </w:r>
    </w:p>
    <w:p w14:paraId="03A42056"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eop"/>
          <w:rFonts w:asciiTheme="minorBidi" w:hAnsiTheme="minorBidi"/>
          <w:sz w:val="24"/>
          <w:szCs w:val="24"/>
          <w:shd w:val="clear" w:color="auto" w:fill="FFFFFF"/>
        </w:rPr>
        <w:t xml:space="preserve">Coffey, 2007. Differentiation in theory and practice. In: J. Dillon and M. Maguire, ed. 2007. </w:t>
      </w:r>
      <w:r w:rsidRPr="0073774D">
        <w:rPr>
          <w:rStyle w:val="eop"/>
          <w:rFonts w:asciiTheme="minorBidi" w:hAnsiTheme="minorBidi"/>
          <w:i/>
          <w:sz w:val="24"/>
          <w:szCs w:val="24"/>
          <w:shd w:val="clear" w:color="auto" w:fill="FFFFFF"/>
        </w:rPr>
        <w:t xml:space="preserve">Becoming a Teacher, Issues in Secondary Teaching. </w:t>
      </w:r>
      <w:r w:rsidRPr="0073774D">
        <w:rPr>
          <w:rStyle w:val="eop"/>
          <w:rFonts w:asciiTheme="minorBidi" w:hAnsiTheme="minorBidi"/>
          <w:sz w:val="24"/>
          <w:szCs w:val="24"/>
          <w:shd w:val="clear" w:color="auto" w:fill="FFFFFF"/>
        </w:rPr>
        <w:t>3</w:t>
      </w:r>
      <w:r w:rsidRPr="0073774D">
        <w:rPr>
          <w:rStyle w:val="eop"/>
          <w:rFonts w:asciiTheme="minorBidi" w:hAnsiTheme="minorBidi"/>
          <w:sz w:val="24"/>
          <w:szCs w:val="24"/>
          <w:shd w:val="clear" w:color="auto" w:fill="FFFFFF"/>
          <w:vertAlign w:val="superscript"/>
        </w:rPr>
        <w:t>rd</w:t>
      </w:r>
      <w:r w:rsidRPr="0073774D">
        <w:rPr>
          <w:rStyle w:val="eop"/>
          <w:rFonts w:asciiTheme="minorBidi" w:hAnsiTheme="minorBidi"/>
          <w:sz w:val="24"/>
          <w:szCs w:val="24"/>
          <w:shd w:val="clear" w:color="auto" w:fill="FFFFFF"/>
        </w:rPr>
        <w:t xml:space="preserve"> ed. England: Open University Press. </w:t>
      </w:r>
    </w:p>
    <w:p w14:paraId="4A7945A1"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eop"/>
          <w:rFonts w:asciiTheme="minorBidi" w:hAnsiTheme="minorBidi"/>
          <w:sz w:val="24"/>
          <w:szCs w:val="24"/>
          <w:shd w:val="clear" w:color="auto" w:fill="FFFFFF"/>
        </w:rPr>
        <w:t xml:space="preserve">Cohen, L., Manion, L. and Morrison, K., 2000. </w:t>
      </w:r>
      <w:r w:rsidRPr="0073774D">
        <w:rPr>
          <w:rStyle w:val="eop"/>
          <w:rFonts w:asciiTheme="minorBidi" w:hAnsiTheme="minorBidi"/>
          <w:i/>
          <w:sz w:val="24"/>
          <w:szCs w:val="24"/>
          <w:shd w:val="clear" w:color="auto" w:fill="FFFFFF"/>
        </w:rPr>
        <w:t>Research Methods in Education</w:t>
      </w:r>
      <w:r w:rsidRPr="0073774D">
        <w:rPr>
          <w:rStyle w:val="eop"/>
          <w:rFonts w:asciiTheme="minorBidi" w:hAnsiTheme="minorBidi"/>
          <w:sz w:val="24"/>
          <w:szCs w:val="24"/>
          <w:shd w:val="clear" w:color="auto" w:fill="FFFFFF"/>
        </w:rPr>
        <w:t>. 5</w:t>
      </w:r>
      <w:r w:rsidRPr="0073774D">
        <w:rPr>
          <w:rStyle w:val="eop"/>
          <w:rFonts w:asciiTheme="minorBidi" w:hAnsiTheme="minorBidi"/>
          <w:sz w:val="24"/>
          <w:szCs w:val="24"/>
          <w:shd w:val="clear" w:color="auto" w:fill="FFFFFF"/>
          <w:vertAlign w:val="superscript"/>
        </w:rPr>
        <w:t>th</w:t>
      </w:r>
      <w:r w:rsidRPr="0073774D">
        <w:rPr>
          <w:rStyle w:val="eop"/>
          <w:rFonts w:asciiTheme="minorBidi" w:hAnsiTheme="minorBidi"/>
          <w:sz w:val="24"/>
          <w:szCs w:val="24"/>
          <w:shd w:val="clear" w:color="auto" w:fill="FFFFFF"/>
        </w:rPr>
        <w:t xml:space="preserve"> ed. London: </w:t>
      </w:r>
      <w:proofErr w:type="spellStart"/>
      <w:r w:rsidRPr="0073774D">
        <w:rPr>
          <w:rStyle w:val="eop"/>
          <w:rFonts w:asciiTheme="minorBidi" w:hAnsiTheme="minorBidi"/>
          <w:sz w:val="24"/>
          <w:szCs w:val="24"/>
          <w:shd w:val="clear" w:color="auto" w:fill="FFFFFF"/>
        </w:rPr>
        <w:t>RoutledgeFalmer</w:t>
      </w:r>
      <w:proofErr w:type="spellEnd"/>
      <w:r w:rsidRPr="0073774D">
        <w:rPr>
          <w:rStyle w:val="eop"/>
          <w:rFonts w:asciiTheme="minorBidi" w:hAnsiTheme="minorBidi"/>
          <w:sz w:val="24"/>
          <w:szCs w:val="24"/>
          <w:shd w:val="clear" w:color="auto" w:fill="FFFFFF"/>
        </w:rPr>
        <w:t xml:space="preserve">. </w:t>
      </w:r>
    </w:p>
    <w:p w14:paraId="297108C8"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eop"/>
          <w:rFonts w:asciiTheme="minorBidi" w:hAnsiTheme="minorBidi"/>
          <w:sz w:val="24"/>
          <w:szCs w:val="24"/>
          <w:shd w:val="clear" w:color="auto" w:fill="FFFFFF"/>
        </w:rPr>
        <w:t xml:space="preserve">Dixson, D. and Worrell, F., 2016. </w:t>
      </w:r>
      <w:r w:rsidRPr="0073774D">
        <w:rPr>
          <w:rStyle w:val="eop"/>
          <w:rFonts w:asciiTheme="minorBidi" w:hAnsiTheme="minorBidi"/>
          <w:i/>
          <w:sz w:val="24"/>
          <w:szCs w:val="24"/>
          <w:shd w:val="clear" w:color="auto" w:fill="FFFFFF"/>
        </w:rPr>
        <w:t>Formative and Summative Assessment in the Classroom</w:t>
      </w:r>
      <w:r w:rsidRPr="0073774D">
        <w:rPr>
          <w:rStyle w:val="eop"/>
          <w:rFonts w:asciiTheme="minorBidi" w:hAnsiTheme="minorBidi"/>
          <w:sz w:val="24"/>
          <w:szCs w:val="24"/>
          <w:shd w:val="clear" w:color="auto" w:fill="FFFFFF"/>
        </w:rPr>
        <w:t>. Theory into Practice. Volume 55, pp. 153-159. Available at: &lt;</w:t>
      </w:r>
      <w:hyperlink r:id="rId14" w:history="1">
        <w:r w:rsidRPr="0073774D">
          <w:rPr>
            <w:rStyle w:val="Hyperlink"/>
            <w:rFonts w:asciiTheme="minorBidi" w:hAnsiTheme="minorBidi"/>
            <w:sz w:val="24"/>
            <w:szCs w:val="24"/>
            <w:lang w:val="en"/>
          </w:rPr>
          <w:t>https://doi.org/10.1080/00405841.2016.1148989</w:t>
        </w:r>
      </w:hyperlink>
      <w:r w:rsidRPr="0073774D">
        <w:rPr>
          <w:rStyle w:val="Hyperlink"/>
          <w:rFonts w:asciiTheme="minorBidi" w:hAnsiTheme="minorBidi"/>
          <w:sz w:val="24"/>
          <w:szCs w:val="24"/>
          <w:lang w:val="en"/>
        </w:rPr>
        <w:t>&gt;</w:t>
      </w:r>
      <w:r w:rsidRPr="0073774D">
        <w:rPr>
          <w:rFonts w:asciiTheme="minorBidi" w:hAnsiTheme="minorBidi"/>
          <w:sz w:val="24"/>
          <w:szCs w:val="24"/>
        </w:rPr>
        <w:t xml:space="preserve"> [Accessed: 5</w:t>
      </w:r>
      <w:r w:rsidRPr="0073774D">
        <w:rPr>
          <w:rFonts w:asciiTheme="minorBidi" w:hAnsiTheme="minorBidi"/>
          <w:sz w:val="24"/>
          <w:szCs w:val="24"/>
          <w:vertAlign w:val="superscript"/>
        </w:rPr>
        <w:t>th</w:t>
      </w:r>
      <w:r w:rsidRPr="0073774D">
        <w:rPr>
          <w:rFonts w:asciiTheme="minorBidi" w:hAnsiTheme="minorBidi"/>
          <w:sz w:val="24"/>
          <w:szCs w:val="24"/>
        </w:rPr>
        <w:t xml:space="preserve"> April 2019]</w:t>
      </w:r>
      <w:r w:rsidRPr="0073774D">
        <w:rPr>
          <w:rStyle w:val="eop"/>
          <w:rFonts w:asciiTheme="minorBidi" w:hAnsiTheme="minorBidi"/>
          <w:sz w:val="24"/>
          <w:szCs w:val="24"/>
          <w:shd w:val="clear" w:color="auto" w:fill="FFFFFF"/>
        </w:rPr>
        <w:t>.</w:t>
      </w:r>
    </w:p>
    <w:p w14:paraId="706AAB95" w14:textId="77777777" w:rsidR="000964C0" w:rsidRPr="0073774D" w:rsidRDefault="000964C0" w:rsidP="0030329C">
      <w:pPr>
        <w:spacing w:line="360" w:lineRule="auto"/>
        <w:jc w:val="both"/>
        <w:rPr>
          <w:rStyle w:val="eop"/>
          <w:rFonts w:asciiTheme="minorBidi" w:hAnsiTheme="minorBidi"/>
          <w:color w:val="000000"/>
          <w:sz w:val="24"/>
          <w:szCs w:val="24"/>
          <w:shd w:val="clear" w:color="auto" w:fill="FFFFFF"/>
        </w:rPr>
      </w:pPr>
      <w:r w:rsidRPr="0073774D">
        <w:rPr>
          <w:rStyle w:val="normaltextrun"/>
          <w:rFonts w:asciiTheme="minorBidi" w:hAnsiTheme="minorBidi"/>
          <w:color w:val="000000"/>
          <w:sz w:val="24"/>
          <w:szCs w:val="24"/>
          <w:shd w:val="clear" w:color="auto" w:fill="FFFFFF"/>
        </w:rPr>
        <w:t>Donaldson, G., 2015. Successful Futures, Independent Review of Curriculum and Assessment Arrangements in Wales </w:t>
      </w:r>
      <w:hyperlink r:id="rId15" w:tgtFrame="_blank" w:history="1">
        <w:r w:rsidRPr="0073774D">
          <w:rPr>
            <w:rStyle w:val="normaltextrun"/>
            <w:rFonts w:asciiTheme="minorBidi" w:hAnsiTheme="minorBidi"/>
            <w:color w:val="0563C1"/>
            <w:sz w:val="24"/>
            <w:szCs w:val="24"/>
            <w:u w:val="single"/>
            <w:shd w:val="clear" w:color="auto" w:fill="FFFFFF"/>
          </w:rPr>
          <w:t>https://gov.wales/docs/dcells/publications/150225-successful-futures-en.pdf</w:t>
        </w:r>
      </w:hyperlink>
      <w:r w:rsidRPr="0073774D">
        <w:rPr>
          <w:rStyle w:val="normaltextrun"/>
          <w:rFonts w:asciiTheme="minorBidi" w:hAnsiTheme="minorBidi"/>
          <w:color w:val="000000"/>
          <w:sz w:val="24"/>
          <w:szCs w:val="24"/>
          <w:shd w:val="clear" w:color="auto" w:fill="FFFFFF"/>
        </w:rPr>
        <w:t> [Accessed: 19/04/2019).</w:t>
      </w:r>
      <w:r w:rsidRPr="0073774D">
        <w:rPr>
          <w:rStyle w:val="eop"/>
          <w:rFonts w:asciiTheme="minorBidi" w:hAnsiTheme="minorBidi"/>
          <w:color w:val="000000"/>
          <w:sz w:val="24"/>
          <w:szCs w:val="24"/>
          <w:shd w:val="clear" w:color="auto" w:fill="FFFFFF"/>
        </w:rPr>
        <w:t> </w:t>
      </w:r>
    </w:p>
    <w:p w14:paraId="4745658B"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eop"/>
          <w:rFonts w:asciiTheme="minorBidi" w:hAnsiTheme="minorBidi"/>
          <w:color w:val="000000"/>
          <w:sz w:val="24"/>
          <w:szCs w:val="24"/>
          <w:shd w:val="clear" w:color="auto" w:fill="FFFFFF"/>
        </w:rPr>
        <w:t xml:space="preserve">Dunn, R., Beaudry, J. and </w:t>
      </w:r>
      <w:proofErr w:type="spellStart"/>
      <w:r w:rsidRPr="0073774D">
        <w:rPr>
          <w:rStyle w:val="eop"/>
          <w:rFonts w:asciiTheme="minorBidi" w:hAnsiTheme="minorBidi"/>
          <w:color w:val="000000"/>
          <w:sz w:val="24"/>
          <w:szCs w:val="24"/>
          <w:shd w:val="clear" w:color="auto" w:fill="FFFFFF"/>
        </w:rPr>
        <w:t>Klavas</w:t>
      </w:r>
      <w:proofErr w:type="spellEnd"/>
      <w:r w:rsidRPr="0073774D">
        <w:rPr>
          <w:rStyle w:val="eop"/>
          <w:rFonts w:asciiTheme="minorBidi" w:hAnsiTheme="minorBidi"/>
          <w:color w:val="000000"/>
          <w:sz w:val="24"/>
          <w:szCs w:val="24"/>
          <w:shd w:val="clear" w:color="auto" w:fill="FFFFFF"/>
        </w:rPr>
        <w:t xml:space="preserve">, A., 1989. Survey of Research on Learning Styles; in </w:t>
      </w:r>
      <w:r w:rsidRPr="0073774D">
        <w:rPr>
          <w:rStyle w:val="eop"/>
          <w:rFonts w:asciiTheme="minorBidi" w:hAnsiTheme="minorBidi"/>
          <w:i/>
          <w:iCs/>
          <w:color w:val="000000"/>
          <w:sz w:val="24"/>
          <w:szCs w:val="24"/>
          <w:shd w:val="clear" w:color="auto" w:fill="FFFFFF"/>
        </w:rPr>
        <w:t>Educational Leadership</w:t>
      </w:r>
      <w:r w:rsidRPr="0073774D">
        <w:rPr>
          <w:rStyle w:val="eop"/>
          <w:rFonts w:asciiTheme="minorBidi" w:hAnsiTheme="minorBidi"/>
          <w:color w:val="000000"/>
          <w:sz w:val="24"/>
          <w:szCs w:val="24"/>
          <w:shd w:val="clear" w:color="auto" w:fill="FFFFFF"/>
        </w:rPr>
        <w:t>, Volume 46, pp. 50-58. Available at: &lt;</w:t>
      </w:r>
      <w:hyperlink r:id="rId16" w:history="1">
        <w:r w:rsidRPr="0073774D">
          <w:rPr>
            <w:rStyle w:val="Hyperlink"/>
            <w:rFonts w:asciiTheme="minorBidi" w:hAnsiTheme="minorBidi"/>
            <w:sz w:val="24"/>
            <w:szCs w:val="24"/>
          </w:rPr>
          <w:t>https://pdfs.semanticscholar.org/a0b1/f13e1c86bb369220b73653c28b72553f5c50.pdf</w:t>
        </w:r>
      </w:hyperlink>
      <w:r w:rsidRPr="0073774D">
        <w:rPr>
          <w:rFonts w:asciiTheme="minorBidi" w:hAnsiTheme="minorBidi"/>
          <w:sz w:val="24"/>
          <w:szCs w:val="24"/>
        </w:rPr>
        <w:t>&gt; [Accessed 19/04/2019].</w:t>
      </w:r>
    </w:p>
    <w:p w14:paraId="4C556D6C" w14:textId="77777777" w:rsidR="000964C0" w:rsidRPr="0073774D" w:rsidRDefault="000964C0" w:rsidP="0030329C">
      <w:pPr>
        <w:spacing w:line="360" w:lineRule="auto"/>
        <w:jc w:val="both"/>
        <w:rPr>
          <w:rStyle w:val="eop"/>
          <w:rFonts w:asciiTheme="minorBidi" w:hAnsiTheme="minorBidi"/>
          <w:color w:val="000000"/>
          <w:sz w:val="24"/>
          <w:szCs w:val="24"/>
          <w:shd w:val="clear" w:color="auto" w:fill="FFFFFF"/>
        </w:rPr>
      </w:pPr>
      <w:r w:rsidRPr="0073774D">
        <w:rPr>
          <w:rStyle w:val="normaltextrun"/>
          <w:rFonts w:asciiTheme="minorBidi" w:hAnsiTheme="minorBidi"/>
          <w:color w:val="000000"/>
          <w:sz w:val="24"/>
          <w:szCs w:val="24"/>
          <w:shd w:val="clear" w:color="auto" w:fill="FFFFFF"/>
        </w:rPr>
        <w:t>Dweck, C., 2012. </w:t>
      </w:r>
      <w:r w:rsidRPr="0073774D">
        <w:rPr>
          <w:rStyle w:val="normaltextrun"/>
          <w:rFonts w:asciiTheme="minorBidi" w:hAnsiTheme="minorBidi"/>
          <w:i/>
          <w:iCs/>
          <w:color w:val="000000"/>
          <w:sz w:val="24"/>
          <w:szCs w:val="24"/>
          <w:shd w:val="clear" w:color="auto" w:fill="FFFFFF"/>
        </w:rPr>
        <w:t>Mindset, How You Can Fulfil Your Potential. </w:t>
      </w:r>
      <w:r w:rsidRPr="0073774D">
        <w:rPr>
          <w:rStyle w:val="normaltextrun"/>
          <w:rFonts w:asciiTheme="minorBidi" w:hAnsiTheme="minorBidi"/>
          <w:color w:val="000000"/>
          <w:sz w:val="24"/>
          <w:szCs w:val="24"/>
          <w:shd w:val="clear" w:color="auto" w:fill="FFFFFF"/>
        </w:rPr>
        <w:t>London: Constable &amp; Robinson Ltd. </w:t>
      </w:r>
      <w:r w:rsidRPr="0073774D">
        <w:rPr>
          <w:rStyle w:val="eop"/>
          <w:rFonts w:asciiTheme="minorBidi" w:hAnsiTheme="minorBidi"/>
          <w:color w:val="000000"/>
          <w:sz w:val="24"/>
          <w:szCs w:val="24"/>
          <w:shd w:val="clear" w:color="auto" w:fill="FFFFFF"/>
        </w:rPr>
        <w:t> </w:t>
      </w:r>
    </w:p>
    <w:p w14:paraId="04539F9B" w14:textId="77777777" w:rsidR="000964C0" w:rsidRPr="0073774D" w:rsidRDefault="000964C0" w:rsidP="0030329C">
      <w:pPr>
        <w:spacing w:line="360" w:lineRule="auto"/>
        <w:jc w:val="both"/>
        <w:rPr>
          <w:rStyle w:val="eop"/>
          <w:rFonts w:asciiTheme="minorBidi" w:hAnsiTheme="minorBidi"/>
          <w:color w:val="000000"/>
          <w:sz w:val="24"/>
          <w:szCs w:val="24"/>
          <w:shd w:val="clear" w:color="auto" w:fill="FFFFFF"/>
        </w:rPr>
      </w:pPr>
      <w:r w:rsidRPr="0073774D">
        <w:rPr>
          <w:rStyle w:val="eop"/>
          <w:rFonts w:asciiTheme="minorBidi" w:hAnsiTheme="minorBidi"/>
          <w:color w:val="000000"/>
          <w:sz w:val="24"/>
          <w:szCs w:val="24"/>
          <w:shd w:val="clear" w:color="auto" w:fill="FFFFFF"/>
        </w:rPr>
        <w:t xml:space="preserve">Entwistle, N., 1990. </w:t>
      </w:r>
      <w:r w:rsidRPr="0073774D">
        <w:rPr>
          <w:rStyle w:val="eop"/>
          <w:rFonts w:asciiTheme="minorBidi" w:hAnsiTheme="minorBidi"/>
          <w:i/>
          <w:color w:val="000000"/>
          <w:sz w:val="24"/>
          <w:szCs w:val="24"/>
          <w:shd w:val="clear" w:color="auto" w:fill="FFFFFF"/>
        </w:rPr>
        <w:t xml:space="preserve">Handbook of Educational Ideas and Practices. </w:t>
      </w:r>
      <w:r w:rsidRPr="0073774D">
        <w:rPr>
          <w:rStyle w:val="eop"/>
          <w:rFonts w:asciiTheme="minorBidi" w:hAnsiTheme="minorBidi"/>
          <w:color w:val="000000"/>
          <w:sz w:val="24"/>
          <w:szCs w:val="24"/>
          <w:shd w:val="clear" w:color="auto" w:fill="FFFFFF"/>
        </w:rPr>
        <w:t xml:space="preserve">London: Routledge. </w:t>
      </w:r>
    </w:p>
    <w:p w14:paraId="171EA8D8"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eop"/>
          <w:rFonts w:asciiTheme="minorBidi" w:hAnsiTheme="minorBidi"/>
          <w:sz w:val="24"/>
          <w:szCs w:val="24"/>
          <w:shd w:val="clear" w:color="auto" w:fill="FFFFFF"/>
        </w:rPr>
        <w:t xml:space="preserve">Fautley, M. and Savage, J., 2008. </w:t>
      </w:r>
      <w:r w:rsidRPr="0073774D">
        <w:rPr>
          <w:rStyle w:val="eop"/>
          <w:rFonts w:asciiTheme="minorBidi" w:hAnsiTheme="minorBidi"/>
          <w:i/>
          <w:sz w:val="24"/>
          <w:szCs w:val="24"/>
          <w:shd w:val="clear" w:color="auto" w:fill="FFFFFF"/>
        </w:rPr>
        <w:t xml:space="preserve">Assessment for Learning and Teaching in Secondary Schools. </w:t>
      </w:r>
      <w:r w:rsidRPr="0073774D">
        <w:rPr>
          <w:rStyle w:val="eop"/>
          <w:rFonts w:asciiTheme="minorBidi" w:hAnsiTheme="minorBidi"/>
          <w:sz w:val="24"/>
          <w:szCs w:val="24"/>
          <w:shd w:val="clear" w:color="auto" w:fill="FFFFFF"/>
        </w:rPr>
        <w:t>Exeter: Learning Matters Ltd.</w:t>
      </w:r>
    </w:p>
    <w:p w14:paraId="0E402E67"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eop"/>
          <w:rFonts w:asciiTheme="minorBidi" w:hAnsiTheme="minorBidi"/>
          <w:sz w:val="24"/>
          <w:szCs w:val="24"/>
          <w:shd w:val="clear" w:color="auto" w:fill="FFFFFF"/>
        </w:rPr>
        <w:t xml:space="preserve">Fischer, J., 2001. Action Research Rationale and Planning: Developing a Framework for Teacher Inquiry. In: G. </w:t>
      </w:r>
      <w:proofErr w:type="spellStart"/>
      <w:r w:rsidRPr="0073774D">
        <w:rPr>
          <w:rStyle w:val="eop"/>
          <w:rFonts w:asciiTheme="minorBidi" w:hAnsiTheme="minorBidi"/>
          <w:sz w:val="24"/>
          <w:szCs w:val="24"/>
          <w:shd w:val="clear" w:color="auto" w:fill="FFFFFF"/>
        </w:rPr>
        <w:t>Burnaford</w:t>
      </w:r>
      <w:proofErr w:type="spellEnd"/>
      <w:r w:rsidRPr="0073774D">
        <w:rPr>
          <w:rStyle w:val="eop"/>
          <w:rFonts w:asciiTheme="minorBidi" w:hAnsiTheme="minorBidi"/>
          <w:sz w:val="24"/>
          <w:szCs w:val="24"/>
          <w:shd w:val="clear" w:color="auto" w:fill="FFFFFF"/>
        </w:rPr>
        <w:t xml:space="preserve">, J. Fischer and D. Hobson ed., </w:t>
      </w:r>
      <w:r w:rsidRPr="0073774D">
        <w:rPr>
          <w:rStyle w:val="eop"/>
          <w:rFonts w:asciiTheme="minorBidi" w:hAnsiTheme="minorBidi"/>
          <w:i/>
          <w:iCs/>
          <w:sz w:val="24"/>
          <w:szCs w:val="24"/>
          <w:shd w:val="clear" w:color="auto" w:fill="FFFFFF"/>
        </w:rPr>
        <w:t xml:space="preserve">Teachers Doing Research, </w:t>
      </w:r>
      <w:r w:rsidRPr="0073774D">
        <w:rPr>
          <w:rStyle w:val="eop"/>
          <w:rFonts w:asciiTheme="minorBidi" w:hAnsiTheme="minorBidi"/>
          <w:sz w:val="24"/>
          <w:szCs w:val="24"/>
          <w:shd w:val="clear" w:color="auto" w:fill="FFFFFF"/>
        </w:rPr>
        <w:t>2</w:t>
      </w:r>
      <w:r w:rsidRPr="0073774D">
        <w:rPr>
          <w:rStyle w:val="eop"/>
          <w:rFonts w:asciiTheme="minorBidi" w:hAnsiTheme="minorBidi"/>
          <w:sz w:val="24"/>
          <w:szCs w:val="24"/>
          <w:shd w:val="clear" w:color="auto" w:fill="FFFFFF"/>
          <w:vertAlign w:val="superscript"/>
        </w:rPr>
        <w:t>nd</w:t>
      </w:r>
      <w:r w:rsidRPr="0073774D">
        <w:rPr>
          <w:rStyle w:val="eop"/>
          <w:rFonts w:asciiTheme="minorBidi" w:hAnsiTheme="minorBidi"/>
          <w:sz w:val="24"/>
          <w:szCs w:val="24"/>
          <w:shd w:val="clear" w:color="auto" w:fill="FFFFFF"/>
        </w:rPr>
        <w:t xml:space="preserve"> ed. New Jersey: Lawrence Erlbaum Associates, Inc. pp. 29-48.</w:t>
      </w:r>
    </w:p>
    <w:p w14:paraId="4F40E748"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eop"/>
          <w:rFonts w:asciiTheme="minorBidi" w:hAnsiTheme="minorBidi"/>
          <w:sz w:val="24"/>
          <w:szCs w:val="24"/>
          <w:shd w:val="clear" w:color="auto" w:fill="FFFFFF"/>
        </w:rPr>
        <w:lastRenderedPageBreak/>
        <w:t xml:space="preserve">Griffith, A. and Burns, M., 2012. </w:t>
      </w:r>
      <w:r w:rsidRPr="0073774D">
        <w:rPr>
          <w:rStyle w:val="eop"/>
          <w:rFonts w:asciiTheme="minorBidi" w:hAnsiTheme="minorBidi"/>
          <w:i/>
          <w:sz w:val="24"/>
          <w:szCs w:val="24"/>
          <w:shd w:val="clear" w:color="auto" w:fill="FFFFFF"/>
        </w:rPr>
        <w:t xml:space="preserve">Engaging Learners. </w:t>
      </w:r>
      <w:r w:rsidRPr="0073774D">
        <w:rPr>
          <w:rStyle w:val="eop"/>
          <w:rFonts w:asciiTheme="minorBidi" w:hAnsiTheme="minorBidi"/>
          <w:sz w:val="24"/>
          <w:szCs w:val="24"/>
          <w:shd w:val="clear" w:color="auto" w:fill="FFFFFF"/>
        </w:rPr>
        <w:t xml:space="preserve">Carmarthen: Crown House Publishing. </w:t>
      </w:r>
    </w:p>
    <w:p w14:paraId="07F58209"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eop"/>
          <w:rFonts w:asciiTheme="minorBidi" w:hAnsiTheme="minorBidi"/>
          <w:sz w:val="24"/>
          <w:szCs w:val="24"/>
          <w:shd w:val="clear" w:color="auto" w:fill="FFFFFF"/>
        </w:rPr>
        <w:t xml:space="preserve">Harrison, C., 2007. Making assessment work in the classroom. In: J. Dillon and M. Maguire, ed., </w:t>
      </w:r>
      <w:r w:rsidRPr="0073774D">
        <w:rPr>
          <w:rStyle w:val="eop"/>
          <w:rFonts w:asciiTheme="minorBidi" w:hAnsiTheme="minorBidi"/>
          <w:i/>
          <w:sz w:val="24"/>
          <w:szCs w:val="24"/>
          <w:shd w:val="clear" w:color="auto" w:fill="FFFFFF"/>
        </w:rPr>
        <w:t xml:space="preserve">Becoming a Teacher: Issues in Secondary Teaching, </w:t>
      </w:r>
      <w:r w:rsidRPr="0073774D">
        <w:rPr>
          <w:rStyle w:val="eop"/>
          <w:rFonts w:asciiTheme="minorBidi" w:hAnsiTheme="minorBidi"/>
          <w:sz w:val="24"/>
          <w:szCs w:val="24"/>
          <w:shd w:val="clear" w:color="auto" w:fill="FFFFFF"/>
        </w:rPr>
        <w:t xml:space="preserve">3rd ed. Berkshire: Open University Press, pp. 213-223. </w:t>
      </w:r>
    </w:p>
    <w:p w14:paraId="708A54AE"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Haydn, T., 2013. ‘First do no harm’: assessment, pupil motivation and learning. In: Capel, S., Leask, M. and Turner, T. (eds) </w:t>
      </w:r>
      <w:r w:rsidRPr="0073774D">
        <w:rPr>
          <w:rFonts w:asciiTheme="minorBidi" w:hAnsiTheme="minorBidi"/>
          <w:i/>
          <w:sz w:val="24"/>
          <w:szCs w:val="24"/>
        </w:rPr>
        <w:t xml:space="preserve">Learning to Teach in the Secondary School a companion to school experience, </w:t>
      </w:r>
      <w:r w:rsidRPr="0073774D">
        <w:rPr>
          <w:rFonts w:asciiTheme="minorBidi" w:hAnsiTheme="minorBidi"/>
          <w:sz w:val="24"/>
          <w:szCs w:val="24"/>
        </w:rPr>
        <w:t>6</w:t>
      </w:r>
      <w:r w:rsidRPr="0073774D">
        <w:rPr>
          <w:rFonts w:asciiTheme="minorBidi" w:hAnsiTheme="minorBidi"/>
          <w:sz w:val="24"/>
          <w:szCs w:val="24"/>
          <w:vertAlign w:val="superscript"/>
        </w:rPr>
        <w:t>th</w:t>
      </w:r>
      <w:r w:rsidRPr="0073774D">
        <w:rPr>
          <w:rFonts w:asciiTheme="minorBidi" w:hAnsiTheme="minorBidi"/>
          <w:sz w:val="24"/>
          <w:szCs w:val="24"/>
        </w:rPr>
        <w:t xml:space="preserve"> ed. Oxon: Routledge, pp. 417-438. </w:t>
      </w:r>
    </w:p>
    <w:p w14:paraId="05DF8702"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Henning, J., Stone, J. and Kelly, J., 2009. </w:t>
      </w:r>
      <w:r w:rsidRPr="0073774D">
        <w:rPr>
          <w:rFonts w:asciiTheme="minorBidi" w:hAnsiTheme="minorBidi"/>
          <w:i/>
          <w:sz w:val="24"/>
          <w:szCs w:val="24"/>
        </w:rPr>
        <w:t xml:space="preserve">Using Action Research to Improve Instruction, An interactive guide for teachers. </w:t>
      </w:r>
      <w:r w:rsidRPr="0073774D">
        <w:rPr>
          <w:rFonts w:asciiTheme="minorBidi" w:hAnsiTheme="minorBidi"/>
          <w:sz w:val="24"/>
          <w:szCs w:val="24"/>
        </w:rPr>
        <w:t xml:space="preserve">New York: Routledge. </w:t>
      </w:r>
    </w:p>
    <w:p w14:paraId="6B4B0B80"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Howard, J. and A. </w:t>
      </w:r>
      <w:proofErr w:type="spellStart"/>
      <w:r w:rsidRPr="0073774D">
        <w:rPr>
          <w:rFonts w:asciiTheme="minorBidi" w:hAnsiTheme="minorBidi"/>
          <w:sz w:val="24"/>
          <w:szCs w:val="24"/>
        </w:rPr>
        <w:t>Henney</w:t>
      </w:r>
      <w:proofErr w:type="spellEnd"/>
      <w:r w:rsidRPr="0073774D">
        <w:rPr>
          <w:rFonts w:asciiTheme="minorBidi" w:hAnsiTheme="minorBidi"/>
          <w:sz w:val="24"/>
          <w:szCs w:val="24"/>
        </w:rPr>
        <w:t>, 1998. Student Participation and Instructor Gender in Mixed-Age College Classroom</w:t>
      </w:r>
      <w:r w:rsidRPr="0073774D">
        <w:rPr>
          <w:rFonts w:asciiTheme="minorBidi" w:hAnsiTheme="minorBidi"/>
          <w:i/>
          <w:sz w:val="24"/>
          <w:szCs w:val="24"/>
        </w:rPr>
        <w:t>, Journal of Higher Education</w:t>
      </w:r>
      <w:r w:rsidRPr="0073774D">
        <w:rPr>
          <w:rFonts w:asciiTheme="minorBidi" w:hAnsiTheme="minorBidi"/>
          <w:sz w:val="24"/>
          <w:szCs w:val="24"/>
        </w:rPr>
        <w:t>, 69, pp. 384-405.</w:t>
      </w:r>
    </w:p>
    <w:p w14:paraId="39051B0C" w14:textId="77777777" w:rsidR="000964C0" w:rsidRPr="0073774D" w:rsidRDefault="000964C0" w:rsidP="0030329C">
      <w:pPr>
        <w:spacing w:line="360" w:lineRule="auto"/>
        <w:jc w:val="both"/>
        <w:rPr>
          <w:rFonts w:asciiTheme="minorBidi" w:hAnsiTheme="minorBidi"/>
          <w:sz w:val="24"/>
          <w:szCs w:val="24"/>
        </w:rPr>
      </w:pPr>
      <w:proofErr w:type="spellStart"/>
      <w:r w:rsidRPr="0073774D">
        <w:rPr>
          <w:rFonts w:asciiTheme="minorBidi" w:hAnsiTheme="minorBidi"/>
          <w:sz w:val="24"/>
          <w:szCs w:val="24"/>
        </w:rPr>
        <w:t>Jenkens</w:t>
      </w:r>
      <w:proofErr w:type="spellEnd"/>
      <w:r w:rsidRPr="0073774D">
        <w:rPr>
          <w:rFonts w:asciiTheme="minorBidi" w:hAnsiTheme="minorBidi"/>
          <w:sz w:val="24"/>
          <w:szCs w:val="24"/>
        </w:rPr>
        <w:t xml:space="preserve">, K., 2017.  Engagement: Not Just Hands-On but Minds-On, </w:t>
      </w:r>
      <w:r w:rsidRPr="0073774D">
        <w:rPr>
          <w:rFonts w:asciiTheme="minorBidi" w:hAnsiTheme="minorBidi"/>
          <w:i/>
          <w:iCs/>
          <w:sz w:val="24"/>
          <w:szCs w:val="24"/>
        </w:rPr>
        <w:t xml:space="preserve">Delta Kappa Gamma </w:t>
      </w:r>
      <w:proofErr w:type="spellStart"/>
      <w:r w:rsidRPr="0073774D">
        <w:rPr>
          <w:rFonts w:asciiTheme="minorBidi" w:hAnsiTheme="minorBidi"/>
          <w:i/>
          <w:iCs/>
          <w:sz w:val="24"/>
          <w:szCs w:val="24"/>
        </w:rPr>
        <w:t>Buletin</w:t>
      </w:r>
      <w:proofErr w:type="spellEnd"/>
      <w:r w:rsidRPr="0073774D">
        <w:rPr>
          <w:rFonts w:asciiTheme="minorBidi" w:hAnsiTheme="minorBidi"/>
          <w:i/>
          <w:iCs/>
          <w:sz w:val="24"/>
          <w:szCs w:val="24"/>
        </w:rPr>
        <w:t>,</w:t>
      </w:r>
      <w:r w:rsidRPr="0073774D">
        <w:rPr>
          <w:rFonts w:asciiTheme="minorBidi" w:hAnsiTheme="minorBidi"/>
          <w:sz w:val="24"/>
          <w:szCs w:val="24"/>
        </w:rPr>
        <w:t xml:space="preserve"> 84 (2), pp. 16-18. </w:t>
      </w:r>
    </w:p>
    <w:p w14:paraId="13EB646B"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Jones, S. and Tanner, H., 2006. </w:t>
      </w:r>
      <w:r w:rsidRPr="0073774D">
        <w:rPr>
          <w:rFonts w:asciiTheme="minorBidi" w:hAnsiTheme="minorBidi"/>
          <w:i/>
          <w:sz w:val="24"/>
          <w:szCs w:val="24"/>
        </w:rPr>
        <w:t xml:space="preserve">Assessment: A Practical Guide for Secondary Teachers. </w:t>
      </w:r>
      <w:r w:rsidRPr="0073774D">
        <w:rPr>
          <w:rFonts w:asciiTheme="minorBidi" w:hAnsiTheme="minorBidi"/>
          <w:sz w:val="24"/>
          <w:szCs w:val="24"/>
        </w:rPr>
        <w:t>London: Continuum.</w:t>
      </w:r>
    </w:p>
    <w:p w14:paraId="4878142B"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Leask, M., 2013. Teaching Styles. In: Capel, S., Leask, M. and Turner, T. (eds) </w:t>
      </w:r>
      <w:r w:rsidRPr="0073774D">
        <w:rPr>
          <w:rFonts w:asciiTheme="minorBidi" w:hAnsiTheme="minorBidi"/>
          <w:i/>
          <w:sz w:val="24"/>
          <w:szCs w:val="24"/>
        </w:rPr>
        <w:t xml:space="preserve">Learning to Teach in the Secondary School a companion to school experience, </w:t>
      </w:r>
      <w:r w:rsidRPr="0073774D">
        <w:rPr>
          <w:rFonts w:asciiTheme="minorBidi" w:hAnsiTheme="minorBidi"/>
          <w:sz w:val="24"/>
          <w:szCs w:val="24"/>
        </w:rPr>
        <w:t>6</w:t>
      </w:r>
      <w:r w:rsidRPr="0073774D">
        <w:rPr>
          <w:rFonts w:asciiTheme="minorBidi" w:hAnsiTheme="minorBidi"/>
          <w:sz w:val="24"/>
          <w:szCs w:val="24"/>
          <w:vertAlign w:val="superscript"/>
        </w:rPr>
        <w:t>th</w:t>
      </w:r>
      <w:r w:rsidRPr="0073774D">
        <w:rPr>
          <w:rFonts w:asciiTheme="minorBidi" w:hAnsiTheme="minorBidi"/>
          <w:sz w:val="24"/>
          <w:szCs w:val="24"/>
        </w:rPr>
        <w:t xml:space="preserve"> ed. Oxon: Routledge, pp. 345-359.</w:t>
      </w:r>
    </w:p>
    <w:p w14:paraId="41AA9169" w14:textId="77777777" w:rsidR="000964C0" w:rsidRPr="0073774D" w:rsidRDefault="000964C0" w:rsidP="0030329C">
      <w:pPr>
        <w:spacing w:line="360" w:lineRule="auto"/>
        <w:jc w:val="both"/>
        <w:rPr>
          <w:rStyle w:val="eop"/>
          <w:rFonts w:asciiTheme="minorBidi" w:hAnsiTheme="minorBidi"/>
          <w:sz w:val="24"/>
          <w:szCs w:val="24"/>
        </w:rPr>
      </w:pPr>
      <w:proofErr w:type="spellStart"/>
      <w:r w:rsidRPr="0073774D">
        <w:rPr>
          <w:rStyle w:val="eop"/>
          <w:rFonts w:asciiTheme="minorBidi" w:hAnsiTheme="minorBidi"/>
          <w:sz w:val="24"/>
          <w:szCs w:val="24"/>
        </w:rPr>
        <w:t>Lemov</w:t>
      </w:r>
      <w:proofErr w:type="spellEnd"/>
      <w:r w:rsidRPr="0073774D">
        <w:rPr>
          <w:rStyle w:val="eop"/>
          <w:rFonts w:asciiTheme="minorBidi" w:hAnsiTheme="minorBidi"/>
          <w:sz w:val="24"/>
          <w:szCs w:val="24"/>
        </w:rPr>
        <w:t xml:space="preserve">, D., 2015. </w:t>
      </w:r>
      <w:r w:rsidRPr="0073774D">
        <w:rPr>
          <w:rStyle w:val="eop"/>
          <w:rFonts w:asciiTheme="minorBidi" w:hAnsiTheme="minorBidi"/>
          <w:i/>
          <w:sz w:val="24"/>
          <w:szCs w:val="24"/>
        </w:rPr>
        <w:t xml:space="preserve">Teach Like a Champion 2.0, 62 Techniques that Put Students on the Path to College. </w:t>
      </w:r>
      <w:r w:rsidRPr="0073774D">
        <w:rPr>
          <w:rStyle w:val="eop"/>
          <w:rFonts w:asciiTheme="minorBidi" w:hAnsiTheme="minorBidi"/>
          <w:sz w:val="24"/>
          <w:szCs w:val="24"/>
        </w:rPr>
        <w:t xml:space="preserve">San Francisco: Jossey-Bass A Wiley Brand. </w:t>
      </w:r>
    </w:p>
    <w:p w14:paraId="4799302D" w14:textId="77777777" w:rsidR="000964C0" w:rsidRPr="0073774D" w:rsidRDefault="000964C0" w:rsidP="0030329C">
      <w:pPr>
        <w:spacing w:line="360" w:lineRule="auto"/>
        <w:jc w:val="both"/>
        <w:rPr>
          <w:rStyle w:val="eop"/>
          <w:rFonts w:asciiTheme="minorBidi" w:hAnsiTheme="minorBidi"/>
          <w:sz w:val="24"/>
          <w:szCs w:val="24"/>
        </w:rPr>
      </w:pPr>
      <w:r w:rsidRPr="0073774D">
        <w:rPr>
          <w:rStyle w:val="eop"/>
          <w:rFonts w:asciiTheme="minorBidi" w:hAnsiTheme="minorBidi"/>
          <w:sz w:val="24"/>
          <w:szCs w:val="24"/>
        </w:rPr>
        <w:t xml:space="preserve">McLeod, S., 2017. </w:t>
      </w:r>
      <w:r w:rsidRPr="0073774D">
        <w:rPr>
          <w:rStyle w:val="eop"/>
          <w:rFonts w:asciiTheme="minorBidi" w:hAnsiTheme="minorBidi"/>
          <w:i/>
          <w:sz w:val="24"/>
          <w:szCs w:val="24"/>
        </w:rPr>
        <w:t>Experimental Design, Simply Psychology</w:t>
      </w:r>
      <w:r w:rsidRPr="0073774D">
        <w:rPr>
          <w:rStyle w:val="eop"/>
          <w:rFonts w:asciiTheme="minorBidi" w:hAnsiTheme="minorBidi"/>
          <w:sz w:val="24"/>
          <w:szCs w:val="24"/>
        </w:rPr>
        <w:t>. [online] Available at: &lt;</w:t>
      </w:r>
      <w:hyperlink r:id="rId17" w:history="1">
        <w:r w:rsidRPr="0073774D">
          <w:rPr>
            <w:rStyle w:val="Hyperlink"/>
            <w:rFonts w:asciiTheme="minorBidi" w:hAnsiTheme="minorBidi"/>
            <w:sz w:val="24"/>
            <w:szCs w:val="24"/>
          </w:rPr>
          <w:t>https://www.simplypsychology.org/experimental-designs.html</w:t>
        </w:r>
      </w:hyperlink>
      <w:r w:rsidRPr="0073774D">
        <w:rPr>
          <w:rFonts w:asciiTheme="minorBidi" w:hAnsiTheme="minorBidi"/>
          <w:sz w:val="24"/>
          <w:szCs w:val="24"/>
        </w:rPr>
        <w:t>&gt; [Accessed: 26/04/2019]</w:t>
      </w:r>
    </w:p>
    <w:p w14:paraId="5ADA0FAE"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normaltextrun"/>
          <w:rFonts w:asciiTheme="minorBidi" w:hAnsiTheme="minorBidi"/>
          <w:sz w:val="24"/>
          <w:szCs w:val="24"/>
          <w:shd w:val="clear" w:color="auto" w:fill="FFFFFF"/>
        </w:rPr>
        <w:t>My Local School. Available at:</w:t>
      </w:r>
      <w:r w:rsidRPr="0073774D">
        <w:rPr>
          <w:rStyle w:val="eop"/>
          <w:rFonts w:asciiTheme="minorBidi" w:hAnsiTheme="minorBidi"/>
          <w:sz w:val="24"/>
          <w:szCs w:val="24"/>
          <w:shd w:val="clear" w:color="auto" w:fill="FFFFFF"/>
        </w:rPr>
        <w:t> &lt;</w:t>
      </w:r>
      <w:r w:rsidRPr="0073774D">
        <w:rPr>
          <w:rStyle w:val="Hyperlink"/>
          <w:rFonts w:asciiTheme="minorBidi" w:hAnsiTheme="minorBidi"/>
          <w:color w:val="auto"/>
          <w:sz w:val="24"/>
          <w:szCs w:val="24"/>
        </w:rPr>
        <w:t>http://mylocalschool.gov.wales/?lang=en</w:t>
      </w:r>
      <w:r w:rsidRPr="0073774D">
        <w:rPr>
          <w:rFonts w:asciiTheme="minorBidi" w:hAnsiTheme="minorBidi"/>
          <w:sz w:val="24"/>
          <w:szCs w:val="24"/>
        </w:rPr>
        <w:t xml:space="preserve">&gt; </w:t>
      </w:r>
      <w:r w:rsidRPr="0073774D">
        <w:rPr>
          <w:rStyle w:val="normaltextrun"/>
          <w:rFonts w:asciiTheme="minorBidi" w:hAnsiTheme="minorBidi"/>
          <w:sz w:val="24"/>
          <w:szCs w:val="24"/>
          <w:shd w:val="clear" w:color="auto" w:fill="FFFFFF"/>
        </w:rPr>
        <w:t>[Accessed: 05/04/2019].</w:t>
      </w:r>
      <w:r w:rsidRPr="0073774D">
        <w:rPr>
          <w:rStyle w:val="eop"/>
          <w:rFonts w:asciiTheme="minorBidi" w:hAnsiTheme="minorBidi"/>
          <w:sz w:val="24"/>
          <w:szCs w:val="24"/>
          <w:shd w:val="clear" w:color="auto" w:fill="FFFFFF"/>
        </w:rPr>
        <w:t> </w:t>
      </w:r>
    </w:p>
    <w:p w14:paraId="7A985E2C"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eop"/>
          <w:rFonts w:asciiTheme="minorBidi" w:hAnsiTheme="minorBidi"/>
          <w:sz w:val="24"/>
          <w:szCs w:val="24"/>
          <w:shd w:val="clear" w:color="auto" w:fill="FFFFFF"/>
        </w:rPr>
        <w:t xml:space="preserve">Morgan, N. and Saxton, J., 2006. </w:t>
      </w:r>
      <w:r w:rsidRPr="0073774D">
        <w:rPr>
          <w:rStyle w:val="eop"/>
          <w:rFonts w:asciiTheme="minorBidi" w:hAnsiTheme="minorBidi"/>
          <w:i/>
          <w:iCs/>
          <w:sz w:val="24"/>
          <w:szCs w:val="24"/>
          <w:shd w:val="clear" w:color="auto" w:fill="FFFFFF"/>
        </w:rPr>
        <w:t xml:space="preserve">Asking Better Questions. </w:t>
      </w:r>
      <w:r w:rsidRPr="0073774D">
        <w:rPr>
          <w:rStyle w:val="eop"/>
          <w:rFonts w:asciiTheme="minorBidi" w:hAnsiTheme="minorBidi"/>
          <w:sz w:val="24"/>
          <w:szCs w:val="24"/>
          <w:shd w:val="clear" w:color="auto" w:fill="FFFFFF"/>
        </w:rPr>
        <w:t>2</w:t>
      </w:r>
      <w:r w:rsidRPr="0073774D">
        <w:rPr>
          <w:rStyle w:val="eop"/>
          <w:rFonts w:asciiTheme="minorBidi" w:hAnsiTheme="minorBidi"/>
          <w:sz w:val="24"/>
          <w:szCs w:val="24"/>
          <w:shd w:val="clear" w:color="auto" w:fill="FFFFFF"/>
          <w:vertAlign w:val="superscript"/>
        </w:rPr>
        <w:t>nd</w:t>
      </w:r>
      <w:r w:rsidRPr="0073774D">
        <w:rPr>
          <w:rStyle w:val="eop"/>
          <w:rFonts w:asciiTheme="minorBidi" w:hAnsiTheme="minorBidi"/>
          <w:sz w:val="24"/>
          <w:szCs w:val="24"/>
          <w:shd w:val="clear" w:color="auto" w:fill="FFFFFF"/>
        </w:rPr>
        <w:t xml:space="preserve"> ed. Ontario: Pembroke Publishers. </w:t>
      </w:r>
    </w:p>
    <w:p w14:paraId="4261C7A1"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proofErr w:type="spellStart"/>
      <w:r w:rsidRPr="0073774D">
        <w:rPr>
          <w:rStyle w:val="eop"/>
          <w:rFonts w:asciiTheme="minorBidi" w:hAnsiTheme="minorBidi"/>
          <w:sz w:val="24"/>
          <w:szCs w:val="24"/>
          <w:shd w:val="clear" w:color="auto" w:fill="FFFFFF"/>
        </w:rPr>
        <w:lastRenderedPageBreak/>
        <w:t>Mujis</w:t>
      </w:r>
      <w:proofErr w:type="spellEnd"/>
      <w:r w:rsidRPr="0073774D">
        <w:rPr>
          <w:rStyle w:val="eop"/>
          <w:rFonts w:asciiTheme="minorBidi" w:hAnsiTheme="minorBidi"/>
          <w:sz w:val="24"/>
          <w:szCs w:val="24"/>
          <w:shd w:val="clear" w:color="auto" w:fill="FFFFFF"/>
        </w:rPr>
        <w:t xml:space="preserve">, D. and Reynolds, D., 2013. </w:t>
      </w:r>
      <w:r w:rsidRPr="0073774D">
        <w:rPr>
          <w:rStyle w:val="eop"/>
          <w:rFonts w:asciiTheme="minorBidi" w:hAnsiTheme="minorBidi"/>
          <w:i/>
          <w:sz w:val="24"/>
          <w:szCs w:val="24"/>
          <w:shd w:val="clear" w:color="auto" w:fill="FFFFFF"/>
        </w:rPr>
        <w:t xml:space="preserve">Effective Teaching, Evidence and Practice. </w:t>
      </w:r>
      <w:r w:rsidRPr="0073774D">
        <w:rPr>
          <w:rStyle w:val="eop"/>
          <w:rFonts w:asciiTheme="minorBidi" w:hAnsiTheme="minorBidi"/>
          <w:sz w:val="24"/>
          <w:szCs w:val="24"/>
          <w:shd w:val="clear" w:color="auto" w:fill="FFFFFF"/>
        </w:rPr>
        <w:t xml:space="preserve">London: Paul Chapman Publishing, A SAGE Publications Company. </w:t>
      </w:r>
    </w:p>
    <w:p w14:paraId="3C3438E4"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proofErr w:type="spellStart"/>
      <w:r w:rsidRPr="0073774D">
        <w:rPr>
          <w:rStyle w:val="eop"/>
          <w:rFonts w:asciiTheme="minorBidi" w:hAnsiTheme="minorBidi"/>
          <w:sz w:val="24"/>
          <w:szCs w:val="24"/>
          <w:shd w:val="clear" w:color="auto" w:fill="FFFFFF"/>
        </w:rPr>
        <w:t>Mujis</w:t>
      </w:r>
      <w:proofErr w:type="spellEnd"/>
      <w:r w:rsidRPr="0073774D">
        <w:rPr>
          <w:rStyle w:val="eop"/>
          <w:rFonts w:asciiTheme="minorBidi" w:hAnsiTheme="minorBidi"/>
          <w:sz w:val="24"/>
          <w:szCs w:val="24"/>
          <w:shd w:val="clear" w:color="auto" w:fill="FFFFFF"/>
        </w:rPr>
        <w:t xml:space="preserve">, D., 2012. Surveys and Sampling. In: A. Briggs, M. Coleman and M. Morrison eds., 2012. </w:t>
      </w:r>
      <w:r w:rsidRPr="0073774D">
        <w:rPr>
          <w:rStyle w:val="eop"/>
          <w:rFonts w:asciiTheme="minorBidi" w:hAnsiTheme="minorBidi"/>
          <w:i/>
          <w:sz w:val="24"/>
          <w:szCs w:val="24"/>
          <w:shd w:val="clear" w:color="auto" w:fill="FFFFFF"/>
        </w:rPr>
        <w:t>Research Methods in Educational Leadership &amp; Management.</w:t>
      </w:r>
      <w:r w:rsidRPr="0073774D">
        <w:rPr>
          <w:rStyle w:val="eop"/>
          <w:rFonts w:asciiTheme="minorBidi" w:hAnsiTheme="minorBidi"/>
          <w:sz w:val="24"/>
          <w:szCs w:val="24"/>
          <w:shd w:val="clear" w:color="auto" w:fill="FFFFFF"/>
        </w:rPr>
        <w:t xml:space="preserve"> London: Sage Publications Ltd. Ch. 10. </w:t>
      </w:r>
    </w:p>
    <w:p w14:paraId="3A774EA8" w14:textId="77777777" w:rsidR="000964C0" w:rsidRPr="0073774D" w:rsidRDefault="000964C0" w:rsidP="0030329C">
      <w:pPr>
        <w:spacing w:line="360" w:lineRule="auto"/>
        <w:jc w:val="both"/>
        <w:rPr>
          <w:rStyle w:val="eop"/>
          <w:rFonts w:asciiTheme="minorBidi" w:hAnsiTheme="minorBidi"/>
          <w:i/>
          <w:sz w:val="24"/>
          <w:szCs w:val="24"/>
          <w:shd w:val="clear" w:color="auto" w:fill="FFFFFF"/>
        </w:rPr>
      </w:pPr>
      <w:r w:rsidRPr="0073774D">
        <w:rPr>
          <w:rStyle w:val="eop"/>
          <w:rFonts w:asciiTheme="minorBidi" w:hAnsiTheme="minorBidi"/>
          <w:sz w:val="24"/>
          <w:szCs w:val="24"/>
          <w:shd w:val="clear" w:color="auto" w:fill="FFFFFF"/>
        </w:rPr>
        <w:t xml:space="preserve">Petty, G., 2009. </w:t>
      </w:r>
      <w:r w:rsidRPr="0073774D">
        <w:rPr>
          <w:rStyle w:val="eop"/>
          <w:rFonts w:asciiTheme="minorBidi" w:hAnsiTheme="minorBidi"/>
          <w:i/>
          <w:sz w:val="24"/>
          <w:szCs w:val="24"/>
          <w:shd w:val="clear" w:color="auto" w:fill="FFFFFF"/>
        </w:rPr>
        <w:t>Teaching Today, A Practical Guide.</w:t>
      </w:r>
      <w:r w:rsidRPr="0073774D">
        <w:rPr>
          <w:rStyle w:val="eop"/>
          <w:rFonts w:asciiTheme="minorBidi" w:hAnsiTheme="minorBidi"/>
          <w:sz w:val="24"/>
          <w:szCs w:val="24"/>
          <w:shd w:val="clear" w:color="auto" w:fill="FFFFFF"/>
        </w:rPr>
        <w:t xml:space="preserve"> </w:t>
      </w:r>
      <w:r w:rsidRPr="0073774D">
        <w:rPr>
          <w:rStyle w:val="eop"/>
          <w:rFonts w:asciiTheme="minorBidi" w:hAnsiTheme="minorBidi"/>
          <w:i/>
          <w:sz w:val="24"/>
          <w:szCs w:val="24"/>
          <w:shd w:val="clear" w:color="auto" w:fill="FFFFFF"/>
        </w:rPr>
        <w:t>4</w:t>
      </w:r>
      <w:r w:rsidRPr="0073774D">
        <w:rPr>
          <w:rStyle w:val="eop"/>
          <w:rFonts w:asciiTheme="minorBidi" w:hAnsiTheme="minorBidi"/>
          <w:i/>
          <w:sz w:val="24"/>
          <w:szCs w:val="24"/>
          <w:shd w:val="clear" w:color="auto" w:fill="FFFFFF"/>
          <w:vertAlign w:val="superscript"/>
        </w:rPr>
        <w:t>th</w:t>
      </w:r>
      <w:r w:rsidRPr="0073774D">
        <w:rPr>
          <w:rStyle w:val="eop"/>
          <w:rFonts w:asciiTheme="minorBidi" w:hAnsiTheme="minorBidi"/>
          <w:i/>
          <w:sz w:val="24"/>
          <w:szCs w:val="24"/>
          <w:shd w:val="clear" w:color="auto" w:fill="FFFFFF"/>
        </w:rPr>
        <w:t xml:space="preserve"> ed. </w:t>
      </w:r>
      <w:r w:rsidRPr="0073774D">
        <w:rPr>
          <w:rStyle w:val="eop"/>
          <w:rFonts w:asciiTheme="minorBidi" w:hAnsiTheme="minorBidi"/>
          <w:sz w:val="24"/>
          <w:szCs w:val="24"/>
          <w:shd w:val="clear" w:color="auto" w:fill="FFFFFF"/>
        </w:rPr>
        <w:t>Cheltenham:</w:t>
      </w:r>
      <w:r w:rsidRPr="0073774D">
        <w:rPr>
          <w:rStyle w:val="eop"/>
          <w:rFonts w:asciiTheme="minorBidi" w:hAnsiTheme="minorBidi"/>
          <w:i/>
          <w:sz w:val="24"/>
          <w:szCs w:val="24"/>
          <w:shd w:val="clear" w:color="auto" w:fill="FFFFFF"/>
        </w:rPr>
        <w:t xml:space="preserve"> </w:t>
      </w:r>
      <w:r w:rsidRPr="0073774D">
        <w:rPr>
          <w:rStyle w:val="eop"/>
          <w:rFonts w:asciiTheme="minorBidi" w:hAnsiTheme="minorBidi"/>
          <w:sz w:val="24"/>
          <w:szCs w:val="24"/>
          <w:shd w:val="clear" w:color="auto" w:fill="FFFFFF"/>
        </w:rPr>
        <w:t>Nelson Thornes.</w:t>
      </w:r>
      <w:r w:rsidRPr="0073774D">
        <w:rPr>
          <w:rStyle w:val="eop"/>
          <w:rFonts w:asciiTheme="minorBidi" w:hAnsiTheme="minorBidi"/>
          <w:i/>
          <w:sz w:val="24"/>
          <w:szCs w:val="24"/>
          <w:shd w:val="clear" w:color="auto" w:fill="FFFFFF"/>
        </w:rPr>
        <w:t xml:space="preserve"> </w:t>
      </w:r>
    </w:p>
    <w:p w14:paraId="0E1155FB"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eop"/>
          <w:rFonts w:asciiTheme="minorBidi" w:hAnsiTheme="minorBidi"/>
          <w:sz w:val="24"/>
          <w:szCs w:val="24"/>
          <w:shd w:val="clear" w:color="auto" w:fill="FFFFFF"/>
        </w:rPr>
        <w:t xml:space="preserve">Punch, K. and </w:t>
      </w:r>
      <w:proofErr w:type="spellStart"/>
      <w:r w:rsidRPr="0073774D">
        <w:rPr>
          <w:rStyle w:val="eop"/>
          <w:rFonts w:asciiTheme="minorBidi" w:hAnsiTheme="minorBidi"/>
          <w:sz w:val="24"/>
          <w:szCs w:val="24"/>
          <w:shd w:val="clear" w:color="auto" w:fill="FFFFFF"/>
        </w:rPr>
        <w:t>Oancea</w:t>
      </w:r>
      <w:proofErr w:type="spellEnd"/>
      <w:r w:rsidRPr="0073774D">
        <w:rPr>
          <w:rStyle w:val="eop"/>
          <w:rFonts w:asciiTheme="minorBidi" w:hAnsiTheme="minorBidi"/>
          <w:sz w:val="24"/>
          <w:szCs w:val="24"/>
          <w:shd w:val="clear" w:color="auto" w:fill="FFFFFF"/>
        </w:rPr>
        <w:t xml:space="preserve">, A., 2014. </w:t>
      </w:r>
      <w:r w:rsidRPr="0073774D">
        <w:rPr>
          <w:rStyle w:val="eop"/>
          <w:rFonts w:asciiTheme="minorBidi" w:hAnsiTheme="minorBidi"/>
          <w:i/>
          <w:sz w:val="24"/>
          <w:szCs w:val="24"/>
          <w:shd w:val="clear" w:color="auto" w:fill="FFFFFF"/>
        </w:rPr>
        <w:t xml:space="preserve">Introduction to Research Methods in Education. </w:t>
      </w:r>
      <w:r w:rsidRPr="0073774D">
        <w:rPr>
          <w:rStyle w:val="eop"/>
          <w:rFonts w:asciiTheme="minorBidi" w:hAnsiTheme="minorBidi"/>
          <w:sz w:val="24"/>
          <w:szCs w:val="24"/>
          <w:shd w:val="clear" w:color="auto" w:fill="FFFFFF"/>
        </w:rPr>
        <w:t>2</w:t>
      </w:r>
      <w:r w:rsidRPr="0073774D">
        <w:rPr>
          <w:rStyle w:val="eop"/>
          <w:rFonts w:asciiTheme="minorBidi" w:hAnsiTheme="minorBidi"/>
          <w:sz w:val="24"/>
          <w:szCs w:val="24"/>
          <w:shd w:val="clear" w:color="auto" w:fill="FFFFFF"/>
          <w:vertAlign w:val="superscript"/>
        </w:rPr>
        <w:t>nd</w:t>
      </w:r>
      <w:r w:rsidRPr="0073774D">
        <w:rPr>
          <w:rStyle w:val="eop"/>
          <w:rFonts w:asciiTheme="minorBidi" w:hAnsiTheme="minorBidi"/>
          <w:sz w:val="24"/>
          <w:szCs w:val="24"/>
          <w:shd w:val="clear" w:color="auto" w:fill="FFFFFF"/>
        </w:rPr>
        <w:t xml:space="preserve"> ed. London: Sage Publications Ltd. </w:t>
      </w:r>
    </w:p>
    <w:p w14:paraId="4A1C3495"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eop"/>
          <w:rFonts w:asciiTheme="minorBidi" w:hAnsiTheme="minorBidi"/>
          <w:sz w:val="24"/>
          <w:szCs w:val="24"/>
          <w:shd w:val="clear" w:color="auto" w:fill="FFFFFF"/>
        </w:rPr>
        <w:t xml:space="preserve">Schmuck, R. and Schmuck, P, 1979. </w:t>
      </w:r>
      <w:r w:rsidRPr="0073774D">
        <w:rPr>
          <w:rStyle w:val="eop"/>
          <w:rFonts w:asciiTheme="minorBidi" w:hAnsiTheme="minorBidi"/>
          <w:i/>
          <w:sz w:val="24"/>
          <w:szCs w:val="24"/>
          <w:shd w:val="clear" w:color="auto" w:fill="FFFFFF"/>
        </w:rPr>
        <w:t>Group Processes in the classroom, Education Encyclopaedia</w:t>
      </w:r>
      <w:r w:rsidRPr="0073774D">
        <w:rPr>
          <w:rStyle w:val="eop"/>
          <w:rFonts w:asciiTheme="minorBidi" w:hAnsiTheme="minorBidi"/>
          <w:sz w:val="24"/>
          <w:szCs w:val="24"/>
          <w:shd w:val="clear" w:color="auto" w:fill="FFFFFF"/>
        </w:rPr>
        <w:t xml:space="preserve"> [Online] Available at:  &lt;</w:t>
      </w:r>
      <w:hyperlink r:id="rId18" w:history="1">
        <w:r w:rsidRPr="0073774D">
          <w:rPr>
            <w:rStyle w:val="Hyperlink"/>
            <w:rFonts w:asciiTheme="minorBidi" w:hAnsiTheme="minorBidi"/>
            <w:sz w:val="24"/>
            <w:szCs w:val="24"/>
          </w:rPr>
          <w:t>https://education.stateuniversity.com/pages/2022/Group-Processes-in-Classroom.html</w:t>
        </w:r>
      </w:hyperlink>
      <w:r w:rsidRPr="0073774D">
        <w:rPr>
          <w:rFonts w:asciiTheme="minorBidi" w:hAnsiTheme="minorBidi"/>
          <w:sz w:val="24"/>
          <w:szCs w:val="24"/>
        </w:rPr>
        <w:t>&gt; [Accessed 25/04/2019]</w:t>
      </w:r>
    </w:p>
    <w:p w14:paraId="371A0D06" w14:textId="77777777" w:rsidR="000964C0" w:rsidRPr="0073774D" w:rsidRDefault="000964C0" w:rsidP="0030329C">
      <w:pPr>
        <w:spacing w:line="360" w:lineRule="auto"/>
        <w:jc w:val="both"/>
        <w:rPr>
          <w:rStyle w:val="eop"/>
          <w:rFonts w:asciiTheme="minorBidi" w:hAnsiTheme="minorBidi"/>
          <w:iCs/>
          <w:sz w:val="24"/>
          <w:szCs w:val="24"/>
          <w:shd w:val="clear" w:color="auto" w:fill="FFFFFF"/>
        </w:rPr>
      </w:pPr>
      <w:r w:rsidRPr="0073774D">
        <w:rPr>
          <w:rStyle w:val="eop"/>
          <w:rFonts w:asciiTheme="minorBidi" w:hAnsiTheme="minorBidi"/>
          <w:iCs/>
          <w:sz w:val="24"/>
          <w:szCs w:val="24"/>
          <w:shd w:val="clear" w:color="auto" w:fill="FFFFFF"/>
        </w:rPr>
        <w:t>School X, Equal Opportunities Policy [Accessed 23/04/2019].</w:t>
      </w:r>
    </w:p>
    <w:p w14:paraId="7D72714C" w14:textId="77777777" w:rsidR="000964C0" w:rsidRPr="0073774D" w:rsidRDefault="000964C0" w:rsidP="0030329C">
      <w:pPr>
        <w:spacing w:line="360" w:lineRule="auto"/>
        <w:jc w:val="both"/>
        <w:rPr>
          <w:rStyle w:val="eop"/>
          <w:rFonts w:asciiTheme="minorBidi" w:hAnsiTheme="minorBidi"/>
          <w:iCs/>
          <w:sz w:val="24"/>
          <w:szCs w:val="24"/>
          <w:shd w:val="clear" w:color="auto" w:fill="FFFFFF"/>
        </w:rPr>
      </w:pPr>
      <w:r w:rsidRPr="0073774D">
        <w:rPr>
          <w:rStyle w:val="eop"/>
          <w:rFonts w:asciiTheme="minorBidi" w:hAnsiTheme="minorBidi"/>
          <w:iCs/>
          <w:sz w:val="24"/>
          <w:szCs w:val="24"/>
          <w:shd w:val="clear" w:color="auto" w:fill="FFFFFF"/>
        </w:rPr>
        <w:t>School X, Teaching and Learning Policy [Accessed 23/04/2019].</w:t>
      </w:r>
    </w:p>
    <w:p w14:paraId="2A7173CF" w14:textId="77777777" w:rsidR="000964C0" w:rsidRPr="0073774D" w:rsidRDefault="000964C0" w:rsidP="0030329C">
      <w:pPr>
        <w:spacing w:line="360" w:lineRule="auto"/>
        <w:jc w:val="both"/>
        <w:rPr>
          <w:rStyle w:val="eop"/>
          <w:rFonts w:asciiTheme="minorBidi" w:hAnsiTheme="minorBidi"/>
          <w:iCs/>
          <w:sz w:val="24"/>
          <w:szCs w:val="24"/>
          <w:shd w:val="clear" w:color="auto" w:fill="FFFFFF"/>
        </w:rPr>
      </w:pPr>
      <w:r w:rsidRPr="0073774D">
        <w:rPr>
          <w:rStyle w:val="eop"/>
          <w:rFonts w:asciiTheme="minorBidi" w:hAnsiTheme="minorBidi"/>
          <w:iCs/>
          <w:sz w:val="24"/>
          <w:szCs w:val="24"/>
          <w:shd w:val="clear" w:color="auto" w:fill="FFFFFF"/>
        </w:rPr>
        <w:t>School X, Website Home Page [Accessed 23/04/2019].</w:t>
      </w:r>
    </w:p>
    <w:p w14:paraId="5D74A822"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eop"/>
          <w:rFonts w:asciiTheme="minorBidi" w:hAnsiTheme="minorBidi"/>
          <w:sz w:val="24"/>
          <w:szCs w:val="24"/>
          <w:shd w:val="clear" w:color="auto" w:fill="FFFFFF"/>
        </w:rPr>
        <w:t xml:space="preserve">Somers, J., 2000. ‘Knowing the shadow or knowing the bird’, in: J. Sefton-Green and R. Sinker eds., 2000. </w:t>
      </w:r>
      <w:r w:rsidRPr="0073774D">
        <w:rPr>
          <w:rStyle w:val="eop"/>
          <w:rFonts w:asciiTheme="minorBidi" w:hAnsiTheme="minorBidi"/>
          <w:i/>
          <w:sz w:val="24"/>
          <w:szCs w:val="24"/>
          <w:shd w:val="clear" w:color="auto" w:fill="FFFFFF"/>
        </w:rPr>
        <w:t xml:space="preserve">Evaluating Creativity. </w:t>
      </w:r>
      <w:r w:rsidRPr="0073774D">
        <w:rPr>
          <w:rStyle w:val="eop"/>
          <w:rFonts w:asciiTheme="minorBidi" w:hAnsiTheme="minorBidi"/>
          <w:sz w:val="24"/>
          <w:szCs w:val="24"/>
          <w:shd w:val="clear" w:color="auto" w:fill="FFFFFF"/>
        </w:rPr>
        <w:t xml:space="preserve">London: Routledge. </w:t>
      </w:r>
    </w:p>
    <w:p w14:paraId="5F631BAF" w14:textId="77777777" w:rsidR="000964C0" w:rsidRPr="0073774D" w:rsidRDefault="000964C0" w:rsidP="0030329C">
      <w:pPr>
        <w:spacing w:line="360" w:lineRule="auto"/>
        <w:jc w:val="both"/>
        <w:rPr>
          <w:rStyle w:val="eop"/>
          <w:rFonts w:asciiTheme="minorBidi" w:hAnsiTheme="minorBidi"/>
          <w:sz w:val="24"/>
          <w:szCs w:val="24"/>
          <w:shd w:val="clear" w:color="auto" w:fill="FFFFFF"/>
        </w:rPr>
      </w:pPr>
      <w:r w:rsidRPr="0073774D">
        <w:rPr>
          <w:rStyle w:val="eop"/>
          <w:rFonts w:asciiTheme="minorBidi" w:hAnsiTheme="minorBidi"/>
          <w:sz w:val="24"/>
          <w:szCs w:val="24"/>
          <w:shd w:val="clear" w:color="auto" w:fill="FFFFFF"/>
        </w:rPr>
        <w:t>Tucker, C., 2013. Teachers’ Guide to Using Videos, Mindshift. [pdf] &lt;</w:t>
      </w:r>
      <w:hyperlink r:id="rId19" w:history="1">
        <w:r w:rsidRPr="0073774D">
          <w:rPr>
            <w:rStyle w:val="Hyperlink"/>
            <w:rFonts w:asciiTheme="minorBidi" w:hAnsiTheme="minorBidi"/>
            <w:sz w:val="24"/>
            <w:szCs w:val="24"/>
          </w:rPr>
          <w:t>https://d1e2bohyu2u2w9.cloudfront.net/sites/default/files/tlr-asset/mindshift-guide-to-videos.pdf</w:t>
        </w:r>
      </w:hyperlink>
      <w:r w:rsidRPr="0073774D">
        <w:rPr>
          <w:rFonts w:asciiTheme="minorBidi" w:hAnsiTheme="minorBidi"/>
          <w:sz w:val="24"/>
          <w:szCs w:val="24"/>
        </w:rPr>
        <w:t>&gt; [Accessed: 26/04/2019].</w:t>
      </w:r>
    </w:p>
    <w:p w14:paraId="7829E1A9" w14:textId="77777777" w:rsidR="000964C0" w:rsidRPr="0073774D" w:rsidRDefault="000964C0" w:rsidP="0030329C">
      <w:pPr>
        <w:spacing w:line="360" w:lineRule="auto"/>
        <w:jc w:val="both"/>
        <w:rPr>
          <w:rFonts w:asciiTheme="minorBidi" w:hAnsiTheme="minorBidi"/>
          <w:sz w:val="24"/>
          <w:szCs w:val="24"/>
        </w:rPr>
      </w:pPr>
      <w:proofErr w:type="spellStart"/>
      <w:r w:rsidRPr="0073774D">
        <w:rPr>
          <w:rFonts w:asciiTheme="minorBidi" w:hAnsiTheme="minorBidi"/>
          <w:sz w:val="24"/>
          <w:szCs w:val="24"/>
        </w:rPr>
        <w:t>Ueltschy</w:t>
      </w:r>
      <w:proofErr w:type="spellEnd"/>
      <w:r w:rsidRPr="0073774D">
        <w:rPr>
          <w:rFonts w:asciiTheme="minorBidi" w:hAnsiTheme="minorBidi"/>
          <w:sz w:val="24"/>
          <w:szCs w:val="24"/>
        </w:rPr>
        <w:t>, Linda C., 2001, “An Exploratory Study of Integrating Interactive Technology into the Marketing Curriculum,” Journal of Marketing Education, 23 (April), 63-72.</w:t>
      </w:r>
    </w:p>
    <w:p w14:paraId="79C30F78" w14:textId="77777777" w:rsidR="000964C0" w:rsidRPr="0073774D" w:rsidRDefault="000964C0" w:rsidP="0030329C">
      <w:pPr>
        <w:spacing w:line="360" w:lineRule="auto"/>
        <w:jc w:val="both"/>
        <w:rPr>
          <w:rFonts w:asciiTheme="minorBidi" w:hAnsiTheme="minorBidi"/>
          <w:sz w:val="24"/>
          <w:szCs w:val="24"/>
        </w:rPr>
      </w:pPr>
      <w:proofErr w:type="spellStart"/>
      <w:r w:rsidRPr="0073774D">
        <w:rPr>
          <w:rFonts w:asciiTheme="minorBidi" w:hAnsiTheme="minorBidi"/>
          <w:sz w:val="24"/>
          <w:szCs w:val="24"/>
        </w:rPr>
        <w:t>Wareing</w:t>
      </w:r>
      <w:proofErr w:type="spellEnd"/>
      <w:r w:rsidRPr="0073774D">
        <w:rPr>
          <w:rFonts w:asciiTheme="minorBidi" w:hAnsiTheme="minorBidi"/>
          <w:sz w:val="24"/>
          <w:szCs w:val="24"/>
        </w:rPr>
        <w:t>, R., 2012. Assessment for Learning (AFL).</w:t>
      </w:r>
      <w:r w:rsidRPr="0073774D">
        <w:rPr>
          <w:rFonts w:asciiTheme="minorBidi" w:hAnsiTheme="minorBidi"/>
          <w:i/>
          <w:iCs/>
          <w:sz w:val="24"/>
          <w:szCs w:val="24"/>
        </w:rPr>
        <w:t xml:space="preserve">Teaching Business &amp; Economics, </w:t>
      </w:r>
      <w:r w:rsidRPr="0073774D">
        <w:rPr>
          <w:rFonts w:asciiTheme="minorBidi" w:hAnsiTheme="minorBidi"/>
          <w:sz w:val="24"/>
          <w:szCs w:val="24"/>
        </w:rPr>
        <w:t>16(2), pp. 8-10. [Accessed 23/04/2019].</w:t>
      </w:r>
    </w:p>
    <w:p w14:paraId="4B357132"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Welsh Assembly Government, 2010. </w:t>
      </w:r>
      <w:r w:rsidRPr="0073774D">
        <w:rPr>
          <w:rFonts w:asciiTheme="minorBidi" w:hAnsiTheme="minorBidi"/>
          <w:i/>
          <w:sz w:val="24"/>
          <w:szCs w:val="24"/>
        </w:rPr>
        <w:t>How to develop thinking and assessment for learning in the classroom.</w:t>
      </w:r>
      <w:r w:rsidRPr="0073774D">
        <w:rPr>
          <w:rFonts w:asciiTheme="minorBidi" w:hAnsiTheme="minorBidi"/>
          <w:sz w:val="24"/>
          <w:szCs w:val="24"/>
        </w:rPr>
        <w:t xml:space="preserve"> [pdf] Wales: Crown Copyright &lt;</w:t>
      </w:r>
      <w:hyperlink r:id="rId20" w:history="1">
        <w:r w:rsidRPr="0073774D">
          <w:rPr>
            <w:rStyle w:val="Hyperlink"/>
            <w:rFonts w:asciiTheme="minorBidi" w:hAnsiTheme="minorBidi"/>
            <w:sz w:val="24"/>
            <w:szCs w:val="24"/>
          </w:rPr>
          <w:t>https://learning.gov.wales/docs/learningwales/publications/130429how-to-develop-thinking-en.pdf</w:t>
        </w:r>
      </w:hyperlink>
      <w:r w:rsidRPr="0073774D">
        <w:rPr>
          <w:rFonts w:asciiTheme="minorBidi" w:hAnsiTheme="minorBidi"/>
          <w:sz w:val="24"/>
          <w:szCs w:val="24"/>
        </w:rPr>
        <w:t>&gt; [Accessed: 16/04/2019].</w:t>
      </w:r>
    </w:p>
    <w:p w14:paraId="5C4455B7"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lastRenderedPageBreak/>
        <w:t xml:space="preserve">Welsh Government, 2016a. </w:t>
      </w:r>
      <w:r w:rsidRPr="0073774D">
        <w:rPr>
          <w:rFonts w:asciiTheme="minorBidi" w:hAnsiTheme="minorBidi"/>
          <w:i/>
          <w:iCs/>
          <w:sz w:val="24"/>
          <w:szCs w:val="24"/>
        </w:rPr>
        <w:t xml:space="preserve">Digital Competence Framework, Your questions answered. </w:t>
      </w:r>
      <w:r w:rsidRPr="0073774D">
        <w:rPr>
          <w:rFonts w:asciiTheme="minorBidi" w:hAnsiTheme="minorBidi"/>
          <w:sz w:val="24"/>
          <w:szCs w:val="24"/>
        </w:rPr>
        <w:t>[pdf] Wales: Crown Copyright &lt;</w:t>
      </w:r>
      <w:hyperlink r:id="rId21" w:history="1">
        <w:r w:rsidRPr="0073774D">
          <w:rPr>
            <w:rStyle w:val="Hyperlink"/>
            <w:rFonts w:asciiTheme="minorBidi" w:hAnsiTheme="minorBidi"/>
            <w:sz w:val="24"/>
            <w:szCs w:val="24"/>
          </w:rPr>
          <w:t>https://learning.gov.wales/docs/learningwales/publications/160831-dcf-your-questions-answered-en.pdf</w:t>
        </w:r>
      </w:hyperlink>
      <w:r w:rsidRPr="0073774D">
        <w:rPr>
          <w:rFonts w:asciiTheme="minorBidi" w:hAnsiTheme="minorBidi"/>
          <w:sz w:val="24"/>
          <w:szCs w:val="24"/>
        </w:rPr>
        <w:t xml:space="preserve">&gt; [Accessed: 19/04/2019]. </w:t>
      </w:r>
    </w:p>
    <w:p w14:paraId="4499436B"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Welsh Government, 2016b. </w:t>
      </w:r>
      <w:r w:rsidRPr="0073774D">
        <w:rPr>
          <w:rFonts w:asciiTheme="minorBidi" w:hAnsiTheme="minorBidi"/>
          <w:i/>
          <w:iCs/>
          <w:sz w:val="24"/>
          <w:szCs w:val="24"/>
        </w:rPr>
        <w:t>Inclusion and Support</w:t>
      </w:r>
      <w:r w:rsidRPr="0073774D">
        <w:rPr>
          <w:rFonts w:asciiTheme="minorBidi" w:hAnsiTheme="minorBidi"/>
          <w:sz w:val="24"/>
          <w:szCs w:val="24"/>
        </w:rPr>
        <w:t xml:space="preserve">. [pdf] Wales: Crown Copyright &lt; </w:t>
      </w:r>
      <w:hyperlink r:id="rId22" w:history="1">
        <w:r w:rsidRPr="0073774D">
          <w:rPr>
            <w:rStyle w:val="Hyperlink"/>
            <w:rFonts w:asciiTheme="minorBidi" w:hAnsiTheme="minorBidi"/>
            <w:sz w:val="24"/>
            <w:szCs w:val="24"/>
          </w:rPr>
          <w:t>https://gov.wales/sites/default/files/publications/2018-05/guidance-inclusion-and-pupil-support_0.pdf</w:t>
        </w:r>
      </w:hyperlink>
      <w:r w:rsidRPr="0073774D">
        <w:rPr>
          <w:rFonts w:asciiTheme="minorBidi" w:hAnsiTheme="minorBidi"/>
          <w:sz w:val="24"/>
          <w:szCs w:val="24"/>
        </w:rPr>
        <w:t>&gt; [Accessed: 23/04/2019]</w:t>
      </w:r>
    </w:p>
    <w:p w14:paraId="46BC35F7"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Wickström, G. and Bendix, T., 2000. The “Hawthorne effect” – what did the original Hawthorne studies actually show? In: </w:t>
      </w:r>
      <w:r w:rsidRPr="0073774D">
        <w:rPr>
          <w:rFonts w:asciiTheme="minorBidi" w:hAnsiTheme="minorBidi"/>
          <w:i/>
          <w:sz w:val="24"/>
          <w:szCs w:val="24"/>
        </w:rPr>
        <w:t>Scandinavian Journal of Work, Environment &amp; Health</w:t>
      </w:r>
      <w:r w:rsidRPr="0073774D">
        <w:rPr>
          <w:rFonts w:asciiTheme="minorBidi" w:hAnsiTheme="minorBidi"/>
          <w:sz w:val="24"/>
          <w:szCs w:val="24"/>
        </w:rPr>
        <w:t>. 2000, 26(4), pp. 363-367. Available at: &lt;</w:t>
      </w:r>
      <w:hyperlink r:id="rId23" w:history="1">
        <w:r w:rsidRPr="0073774D">
          <w:rPr>
            <w:rStyle w:val="Hyperlink"/>
            <w:rFonts w:asciiTheme="minorBidi" w:hAnsiTheme="minorBidi"/>
            <w:sz w:val="24"/>
            <w:szCs w:val="24"/>
          </w:rPr>
          <w:t>http://citeseerx.ist.psu.edu/viewdoc/download?doi=10.1.1.301.7433&amp;rep=rep1&amp;type=pdf</w:t>
        </w:r>
      </w:hyperlink>
      <w:r w:rsidRPr="0073774D">
        <w:rPr>
          <w:rFonts w:asciiTheme="minorBidi" w:hAnsiTheme="minorBidi"/>
          <w:sz w:val="24"/>
          <w:szCs w:val="24"/>
        </w:rPr>
        <w:t>&gt; [Accessed 26/04/2019].</w:t>
      </w:r>
    </w:p>
    <w:p w14:paraId="3D6F1341"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Wilson, E., 2013. Research Design. In: E. Wilson, ed. 2013. </w:t>
      </w:r>
      <w:r w:rsidRPr="0073774D">
        <w:rPr>
          <w:rFonts w:asciiTheme="minorBidi" w:hAnsiTheme="minorBidi"/>
          <w:i/>
          <w:sz w:val="24"/>
          <w:szCs w:val="24"/>
        </w:rPr>
        <w:t xml:space="preserve">School-Based Research, A guide for education students </w:t>
      </w:r>
      <w:r w:rsidRPr="0073774D">
        <w:rPr>
          <w:rFonts w:asciiTheme="minorBidi" w:hAnsiTheme="minorBidi"/>
          <w:sz w:val="24"/>
          <w:szCs w:val="24"/>
        </w:rPr>
        <w:t>2</w:t>
      </w:r>
      <w:r w:rsidRPr="0073774D">
        <w:rPr>
          <w:rFonts w:asciiTheme="minorBidi" w:hAnsiTheme="minorBidi"/>
          <w:sz w:val="24"/>
          <w:szCs w:val="24"/>
          <w:vertAlign w:val="superscript"/>
        </w:rPr>
        <w:t>nd</w:t>
      </w:r>
      <w:r w:rsidRPr="0073774D">
        <w:rPr>
          <w:rFonts w:asciiTheme="minorBidi" w:hAnsiTheme="minorBidi"/>
          <w:sz w:val="24"/>
          <w:szCs w:val="24"/>
        </w:rPr>
        <w:t xml:space="preserve"> ed</w:t>
      </w:r>
      <w:r w:rsidRPr="0073774D">
        <w:rPr>
          <w:rFonts w:asciiTheme="minorBidi" w:hAnsiTheme="minorBidi"/>
          <w:i/>
          <w:sz w:val="24"/>
          <w:szCs w:val="24"/>
        </w:rPr>
        <w:t xml:space="preserve">. </w:t>
      </w:r>
      <w:r w:rsidRPr="0073774D">
        <w:rPr>
          <w:rFonts w:asciiTheme="minorBidi" w:hAnsiTheme="minorBidi"/>
          <w:sz w:val="24"/>
          <w:szCs w:val="24"/>
        </w:rPr>
        <w:t>London: Sage Publications Ltd. Ch. 5.</w:t>
      </w:r>
    </w:p>
    <w:p w14:paraId="69428C3D"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Winterbottom, M, 2013. Taking a Quantitative approach. In: E. Wilson, ed. 2013. </w:t>
      </w:r>
      <w:r w:rsidRPr="0073774D">
        <w:rPr>
          <w:rFonts w:asciiTheme="minorBidi" w:hAnsiTheme="minorBidi"/>
          <w:i/>
          <w:sz w:val="24"/>
          <w:szCs w:val="24"/>
        </w:rPr>
        <w:t xml:space="preserve">School-Based Research, A guide for education students. </w:t>
      </w:r>
      <w:r w:rsidRPr="0073774D">
        <w:rPr>
          <w:rFonts w:asciiTheme="minorBidi" w:hAnsiTheme="minorBidi"/>
          <w:sz w:val="24"/>
          <w:szCs w:val="24"/>
        </w:rPr>
        <w:t>2</w:t>
      </w:r>
      <w:r w:rsidRPr="0073774D">
        <w:rPr>
          <w:rFonts w:asciiTheme="minorBidi" w:hAnsiTheme="minorBidi"/>
          <w:sz w:val="24"/>
          <w:szCs w:val="24"/>
          <w:vertAlign w:val="superscript"/>
        </w:rPr>
        <w:t>nd</w:t>
      </w:r>
      <w:r w:rsidRPr="0073774D">
        <w:rPr>
          <w:rFonts w:asciiTheme="minorBidi" w:hAnsiTheme="minorBidi"/>
          <w:sz w:val="24"/>
          <w:szCs w:val="24"/>
        </w:rPr>
        <w:t xml:space="preserve"> ed</w:t>
      </w:r>
      <w:r w:rsidRPr="0073774D">
        <w:rPr>
          <w:rFonts w:asciiTheme="minorBidi" w:hAnsiTheme="minorBidi"/>
          <w:i/>
          <w:sz w:val="24"/>
          <w:szCs w:val="24"/>
        </w:rPr>
        <w:t xml:space="preserve">. </w:t>
      </w:r>
      <w:r w:rsidRPr="0073774D">
        <w:rPr>
          <w:rFonts w:asciiTheme="minorBidi" w:hAnsiTheme="minorBidi"/>
          <w:sz w:val="24"/>
          <w:szCs w:val="24"/>
        </w:rPr>
        <w:t>London: Sage Publications Ltd. Ch. 11.</w:t>
      </w:r>
    </w:p>
    <w:p w14:paraId="390AE204" w14:textId="77777777" w:rsidR="000964C0" w:rsidRPr="0073774D" w:rsidRDefault="000964C0" w:rsidP="0030329C">
      <w:pPr>
        <w:spacing w:line="360" w:lineRule="auto"/>
        <w:jc w:val="both"/>
        <w:rPr>
          <w:rFonts w:asciiTheme="minorBidi" w:hAnsiTheme="minorBidi"/>
          <w:sz w:val="24"/>
          <w:szCs w:val="24"/>
        </w:rPr>
      </w:pPr>
      <w:r w:rsidRPr="0073774D">
        <w:rPr>
          <w:rFonts w:asciiTheme="minorBidi" w:hAnsiTheme="minorBidi"/>
          <w:sz w:val="24"/>
          <w:szCs w:val="24"/>
        </w:rPr>
        <w:t xml:space="preserve">Wray, D., 2001. Literacy in Secondary School. In: </w:t>
      </w:r>
      <w:r w:rsidRPr="0073774D">
        <w:rPr>
          <w:rFonts w:asciiTheme="minorBidi" w:hAnsiTheme="minorBidi"/>
          <w:i/>
          <w:sz w:val="24"/>
          <w:szCs w:val="24"/>
        </w:rPr>
        <w:t>Reading.</w:t>
      </w:r>
      <w:r w:rsidRPr="0073774D">
        <w:rPr>
          <w:rFonts w:asciiTheme="minorBidi" w:hAnsiTheme="minorBidi"/>
          <w:sz w:val="24"/>
          <w:szCs w:val="24"/>
        </w:rPr>
        <w:t xml:space="preserve">  2001, 35, pp. 12-17. &lt;</w:t>
      </w:r>
      <w:hyperlink r:id="rId24" w:history="1">
        <w:r w:rsidRPr="0073774D">
          <w:rPr>
            <w:rStyle w:val="Hyperlink"/>
            <w:rFonts w:asciiTheme="minorBidi" w:hAnsiTheme="minorBidi"/>
            <w:sz w:val="24"/>
            <w:szCs w:val="24"/>
          </w:rPr>
          <w:t>https://onlinelibrary.wiley.com/doi/epdf/10.1111/1467-9345.00154</w:t>
        </w:r>
      </w:hyperlink>
      <w:r w:rsidRPr="0073774D">
        <w:rPr>
          <w:rFonts w:asciiTheme="minorBidi" w:hAnsiTheme="minorBidi"/>
          <w:sz w:val="24"/>
          <w:szCs w:val="24"/>
        </w:rPr>
        <w:t>&gt; [Accessed: 26/04/2019]</w:t>
      </w:r>
    </w:p>
    <w:p w14:paraId="718D95D5" w14:textId="77777777" w:rsidR="000964C0" w:rsidRPr="0073774D" w:rsidRDefault="000964C0" w:rsidP="0030329C">
      <w:pPr>
        <w:spacing w:line="360" w:lineRule="auto"/>
        <w:jc w:val="both"/>
        <w:rPr>
          <w:rFonts w:asciiTheme="minorBidi" w:hAnsiTheme="minorBidi"/>
          <w:sz w:val="24"/>
          <w:szCs w:val="24"/>
        </w:rPr>
      </w:pPr>
    </w:p>
    <w:p w14:paraId="5FB9F92C" w14:textId="7E991AA6" w:rsidR="000964C0" w:rsidRDefault="000964C0" w:rsidP="0030329C">
      <w:pPr>
        <w:spacing w:line="360" w:lineRule="auto"/>
        <w:jc w:val="both"/>
        <w:rPr>
          <w:rFonts w:asciiTheme="minorBidi" w:hAnsiTheme="minorBidi"/>
          <w:sz w:val="24"/>
          <w:szCs w:val="24"/>
        </w:rPr>
      </w:pPr>
    </w:p>
    <w:p w14:paraId="52A03EA6" w14:textId="68905951" w:rsidR="00784A70" w:rsidRDefault="00784A70" w:rsidP="0030329C">
      <w:pPr>
        <w:spacing w:line="360" w:lineRule="auto"/>
        <w:jc w:val="both"/>
        <w:rPr>
          <w:rFonts w:asciiTheme="minorBidi" w:hAnsiTheme="minorBidi"/>
          <w:sz w:val="24"/>
          <w:szCs w:val="24"/>
        </w:rPr>
      </w:pPr>
    </w:p>
    <w:p w14:paraId="04BF71AA" w14:textId="3F783630" w:rsidR="00784A70" w:rsidRDefault="00784A70" w:rsidP="0030329C">
      <w:pPr>
        <w:spacing w:line="360" w:lineRule="auto"/>
        <w:jc w:val="both"/>
        <w:rPr>
          <w:rFonts w:asciiTheme="minorBidi" w:hAnsiTheme="minorBidi"/>
          <w:sz w:val="24"/>
          <w:szCs w:val="24"/>
        </w:rPr>
      </w:pPr>
    </w:p>
    <w:p w14:paraId="01C3A875" w14:textId="4A223BE3" w:rsidR="00784A70" w:rsidRDefault="00784A70" w:rsidP="0030329C">
      <w:pPr>
        <w:spacing w:line="360" w:lineRule="auto"/>
        <w:jc w:val="both"/>
        <w:rPr>
          <w:rFonts w:asciiTheme="minorBidi" w:hAnsiTheme="minorBidi"/>
          <w:sz w:val="24"/>
          <w:szCs w:val="24"/>
        </w:rPr>
      </w:pPr>
    </w:p>
    <w:p w14:paraId="1E6053D4" w14:textId="707CA6C2" w:rsidR="00784A70" w:rsidRDefault="00784A70" w:rsidP="0030329C">
      <w:pPr>
        <w:spacing w:line="360" w:lineRule="auto"/>
        <w:jc w:val="both"/>
        <w:rPr>
          <w:rFonts w:asciiTheme="minorBidi" w:hAnsiTheme="minorBidi"/>
          <w:sz w:val="24"/>
          <w:szCs w:val="24"/>
        </w:rPr>
      </w:pPr>
    </w:p>
    <w:p w14:paraId="791649E6" w14:textId="671DEC45" w:rsidR="00784A70" w:rsidRDefault="00784A70" w:rsidP="0030329C">
      <w:pPr>
        <w:spacing w:line="360" w:lineRule="auto"/>
        <w:jc w:val="both"/>
        <w:rPr>
          <w:rFonts w:asciiTheme="minorBidi" w:hAnsiTheme="minorBidi"/>
          <w:sz w:val="24"/>
          <w:szCs w:val="24"/>
        </w:rPr>
      </w:pPr>
    </w:p>
    <w:p w14:paraId="01FE0CAE" w14:textId="77777777" w:rsidR="00784A70" w:rsidRPr="0073774D" w:rsidRDefault="00784A70" w:rsidP="0030329C">
      <w:pPr>
        <w:spacing w:line="360" w:lineRule="auto"/>
        <w:jc w:val="both"/>
        <w:rPr>
          <w:rFonts w:asciiTheme="minorBidi" w:hAnsiTheme="minorBidi"/>
          <w:sz w:val="24"/>
          <w:szCs w:val="24"/>
        </w:rPr>
      </w:pPr>
      <w:bookmarkStart w:id="0" w:name="_GoBack"/>
      <w:bookmarkEnd w:id="0"/>
    </w:p>
    <w:p w14:paraId="7C99034B" w14:textId="77777777" w:rsidR="000964C0" w:rsidRPr="0073774D" w:rsidRDefault="000964C0" w:rsidP="0030329C">
      <w:pPr>
        <w:spacing w:line="360" w:lineRule="auto"/>
        <w:jc w:val="both"/>
        <w:rPr>
          <w:rFonts w:asciiTheme="minorBidi" w:hAnsiTheme="minorBidi"/>
          <w:sz w:val="24"/>
          <w:szCs w:val="24"/>
          <w:u w:val="single"/>
        </w:rPr>
      </w:pPr>
      <w:r w:rsidRPr="0073774D">
        <w:rPr>
          <w:rFonts w:asciiTheme="minorBidi" w:hAnsiTheme="minorBidi"/>
          <w:sz w:val="24"/>
          <w:szCs w:val="24"/>
          <w:u w:val="single"/>
        </w:rPr>
        <w:lastRenderedPageBreak/>
        <w:t xml:space="preserve">Appendices </w:t>
      </w:r>
    </w:p>
    <w:p w14:paraId="15204D2F" w14:textId="77777777" w:rsidR="000964C0" w:rsidRPr="0073774D" w:rsidRDefault="000964C0" w:rsidP="0030329C">
      <w:pPr>
        <w:spacing w:line="360" w:lineRule="auto"/>
        <w:jc w:val="both"/>
        <w:rPr>
          <w:rFonts w:asciiTheme="minorBidi" w:hAnsiTheme="minorBidi"/>
          <w:sz w:val="24"/>
          <w:szCs w:val="24"/>
          <w:u w:val="single"/>
        </w:rPr>
      </w:pPr>
      <w:r w:rsidRPr="0073774D">
        <w:rPr>
          <w:rFonts w:asciiTheme="minorBidi" w:hAnsiTheme="minorBidi"/>
          <w:sz w:val="24"/>
          <w:szCs w:val="24"/>
          <w:u w:val="single"/>
        </w:rPr>
        <w:t>A – Department Improvement Plan</w:t>
      </w:r>
    </w:p>
    <w:p w14:paraId="133DBE26" w14:textId="77777777" w:rsidR="00F22B99" w:rsidRPr="0073774D" w:rsidRDefault="00F22B99" w:rsidP="0030329C">
      <w:pPr>
        <w:spacing w:line="360" w:lineRule="auto"/>
        <w:jc w:val="both"/>
        <w:rPr>
          <w:rFonts w:asciiTheme="minorBidi" w:hAnsiTheme="minorBidi"/>
          <w:sz w:val="24"/>
          <w:szCs w:val="24"/>
        </w:rPr>
      </w:pPr>
    </w:p>
    <w:sectPr w:rsidR="00F22B99" w:rsidRPr="0073774D">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647DC" w14:textId="77777777" w:rsidR="002077C1" w:rsidRDefault="002077C1">
      <w:pPr>
        <w:spacing w:after="0" w:line="240" w:lineRule="auto"/>
      </w:pPr>
      <w:r>
        <w:separator/>
      </w:r>
    </w:p>
  </w:endnote>
  <w:endnote w:type="continuationSeparator" w:id="0">
    <w:p w14:paraId="259811BB" w14:textId="77777777" w:rsidR="002077C1" w:rsidRDefault="00207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4BB0E306" w14:paraId="0F2F2E0B" w14:textId="77777777" w:rsidTr="4BB0E306">
      <w:tc>
        <w:tcPr>
          <w:tcW w:w="3009" w:type="dxa"/>
        </w:tcPr>
        <w:p w14:paraId="54FA9DBB" w14:textId="77777777" w:rsidR="4BB0E306" w:rsidRDefault="002077C1" w:rsidP="4BB0E306">
          <w:pPr>
            <w:pStyle w:val="Header"/>
            <w:ind w:left="-115"/>
          </w:pPr>
        </w:p>
      </w:tc>
      <w:tc>
        <w:tcPr>
          <w:tcW w:w="3009" w:type="dxa"/>
        </w:tcPr>
        <w:p w14:paraId="2D81EA59" w14:textId="77777777" w:rsidR="4BB0E306" w:rsidRDefault="002077C1" w:rsidP="4BB0E306">
          <w:pPr>
            <w:pStyle w:val="Header"/>
            <w:jc w:val="center"/>
          </w:pPr>
        </w:p>
      </w:tc>
      <w:tc>
        <w:tcPr>
          <w:tcW w:w="3009" w:type="dxa"/>
        </w:tcPr>
        <w:p w14:paraId="6C0822E2" w14:textId="77777777" w:rsidR="4BB0E306" w:rsidRDefault="002077C1" w:rsidP="4BB0E306">
          <w:pPr>
            <w:pStyle w:val="Header"/>
            <w:ind w:right="-115"/>
            <w:jc w:val="right"/>
          </w:pPr>
        </w:p>
      </w:tc>
    </w:tr>
  </w:tbl>
  <w:p w14:paraId="20060BE1" w14:textId="77777777" w:rsidR="4BB0E306" w:rsidRDefault="002077C1" w:rsidP="4BB0E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8291D" w14:textId="77777777" w:rsidR="002077C1" w:rsidRDefault="002077C1">
      <w:pPr>
        <w:spacing w:after="0" w:line="240" w:lineRule="auto"/>
      </w:pPr>
      <w:r>
        <w:separator/>
      </w:r>
    </w:p>
  </w:footnote>
  <w:footnote w:type="continuationSeparator" w:id="0">
    <w:p w14:paraId="2323C9CA" w14:textId="77777777" w:rsidR="002077C1" w:rsidRDefault="002077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4BB0E306" w14:paraId="5F62B142" w14:textId="77777777" w:rsidTr="4BB0E306">
      <w:tc>
        <w:tcPr>
          <w:tcW w:w="3009" w:type="dxa"/>
        </w:tcPr>
        <w:p w14:paraId="7480E11B" w14:textId="77777777" w:rsidR="4BB0E306" w:rsidRDefault="002077C1" w:rsidP="4BB0E306">
          <w:pPr>
            <w:pStyle w:val="Header"/>
            <w:ind w:left="-115"/>
          </w:pPr>
        </w:p>
      </w:tc>
      <w:tc>
        <w:tcPr>
          <w:tcW w:w="3009" w:type="dxa"/>
        </w:tcPr>
        <w:p w14:paraId="0F48CFC2" w14:textId="77777777" w:rsidR="4BB0E306" w:rsidRDefault="002077C1" w:rsidP="4BB0E306">
          <w:pPr>
            <w:pStyle w:val="Header"/>
            <w:jc w:val="center"/>
          </w:pPr>
        </w:p>
      </w:tc>
      <w:tc>
        <w:tcPr>
          <w:tcW w:w="3009" w:type="dxa"/>
        </w:tcPr>
        <w:p w14:paraId="7756FE32" w14:textId="77777777" w:rsidR="4BB0E306" w:rsidRDefault="002077C1" w:rsidP="4BB0E306">
          <w:pPr>
            <w:pStyle w:val="Header"/>
            <w:ind w:right="-115"/>
            <w:jc w:val="right"/>
          </w:pPr>
        </w:p>
      </w:tc>
    </w:tr>
  </w:tbl>
  <w:p w14:paraId="68371CCC" w14:textId="77777777" w:rsidR="4BB0E306" w:rsidRDefault="002077C1" w:rsidP="4BB0E3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4C0"/>
    <w:rsid w:val="00005EAE"/>
    <w:rsid w:val="00011815"/>
    <w:rsid w:val="00031E77"/>
    <w:rsid w:val="0005732C"/>
    <w:rsid w:val="000964C0"/>
    <w:rsid w:val="00097225"/>
    <w:rsid w:val="000E18A6"/>
    <w:rsid w:val="000E5F4D"/>
    <w:rsid w:val="000F26C2"/>
    <w:rsid w:val="00101F0A"/>
    <w:rsid w:val="001236EA"/>
    <w:rsid w:val="00154F39"/>
    <w:rsid w:val="00165FC0"/>
    <w:rsid w:val="001746DD"/>
    <w:rsid w:val="001B17F8"/>
    <w:rsid w:val="001C2C86"/>
    <w:rsid w:val="001C45C8"/>
    <w:rsid w:val="001F7993"/>
    <w:rsid w:val="002077C1"/>
    <w:rsid w:val="0021056F"/>
    <w:rsid w:val="00210DA1"/>
    <w:rsid w:val="00231F3C"/>
    <w:rsid w:val="002341B1"/>
    <w:rsid w:val="00277DFD"/>
    <w:rsid w:val="002A443A"/>
    <w:rsid w:val="002C2BAE"/>
    <w:rsid w:val="002D58EC"/>
    <w:rsid w:val="002D7FB4"/>
    <w:rsid w:val="002E7654"/>
    <w:rsid w:val="0030329C"/>
    <w:rsid w:val="003143AC"/>
    <w:rsid w:val="0031528C"/>
    <w:rsid w:val="00330D08"/>
    <w:rsid w:val="00367D91"/>
    <w:rsid w:val="0039764A"/>
    <w:rsid w:val="003D7D0E"/>
    <w:rsid w:val="003F012A"/>
    <w:rsid w:val="0042395B"/>
    <w:rsid w:val="00460BE0"/>
    <w:rsid w:val="004A0A7B"/>
    <w:rsid w:val="004C443B"/>
    <w:rsid w:val="00506803"/>
    <w:rsid w:val="00530029"/>
    <w:rsid w:val="005A1C73"/>
    <w:rsid w:val="005C6582"/>
    <w:rsid w:val="005E7ADD"/>
    <w:rsid w:val="00637571"/>
    <w:rsid w:val="00645848"/>
    <w:rsid w:val="006500E7"/>
    <w:rsid w:val="00665707"/>
    <w:rsid w:val="00694F75"/>
    <w:rsid w:val="006E4ACF"/>
    <w:rsid w:val="00717D86"/>
    <w:rsid w:val="00724F5B"/>
    <w:rsid w:val="0073367E"/>
    <w:rsid w:val="0073774D"/>
    <w:rsid w:val="007623AC"/>
    <w:rsid w:val="00784A70"/>
    <w:rsid w:val="0079638D"/>
    <w:rsid w:val="007B5564"/>
    <w:rsid w:val="007D5CCC"/>
    <w:rsid w:val="007E4935"/>
    <w:rsid w:val="007F34A0"/>
    <w:rsid w:val="00822F86"/>
    <w:rsid w:val="00864856"/>
    <w:rsid w:val="008A712F"/>
    <w:rsid w:val="008E0CAE"/>
    <w:rsid w:val="008E0CC9"/>
    <w:rsid w:val="008E270D"/>
    <w:rsid w:val="008F233D"/>
    <w:rsid w:val="00910509"/>
    <w:rsid w:val="00935950"/>
    <w:rsid w:val="0094363B"/>
    <w:rsid w:val="009477E6"/>
    <w:rsid w:val="00950A5F"/>
    <w:rsid w:val="0095787F"/>
    <w:rsid w:val="00974604"/>
    <w:rsid w:val="009924E4"/>
    <w:rsid w:val="009B56E3"/>
    <w:rsid w:val="009C2F8A"/>
    <w:rsid w:val="00A63519"/>
    <w:rsid w:val="00A838F7"/>
    <w:rsid w:val="00A843B6"/>
    <w:rsid w:val="00AC4712"/>
    <w:rsid w:val="00AE4529"/>
    <w:rsid w:val="00B64171"/>
    <w:rsid w:val="00B6692C"/>
    <w:rsid w:val="00B6743F"/>
    <w:rsid w:val="00B762F5"/>
    <w:rsid w:val="00BB42B4"/>
    <w:rsid w:val="00BC6194"/>
    <w:rsid w:val="00BE2897"/>
    <w:rsid w:val="00C13901"/>
    <w:rsid w:val="00C36EB9"/>
    <w:rsid w:val="00C41FCD"/>
    <w:rsid w:val="00C62B5F"/>
    <w:rsid w:val="00C72F36"/>
    <w:rsid w:val="00C85D88"/>
    <w:rsid w:val="00CA5791"/>
    <w:rsid w:val="00CD61CF"/>
    <w:rsid w:val="00CE527B"/>
    <w:rsid w:val="00CF4E33"/>
    <w:rsid w:val="00CF72BF"/>
    <w:rsid w:val="00D227F1"/>
    <w:rsid w:val="00D33013"/>
    <w:rsid w:val="00D61CCE"/>
    <w:rsid w:val="00D86573"/>
    <w:rsid w:val="00D95B38"/>
    <w:rsid w:val="00DA2E66"/>
    <w:rsid w:val="00DF63C2"/>
    <w:rsid w:val="00E22E7A"/>
    <w:rsid w:val="00E32BCE"/>
    <w:rsid w:val="00E34A00"/>
    <w:rsid w:val="00E35BCE"/>
    <w:rsid w:val="00E47F34"/>
    <w:rsid w:val="00E94F86"/>
    <w:rsid w:val="00F076DE"/>
    <w:rsid w:val="00F22B99"/>
    <w:rsid w:val="00F42334"/>
    <w:rsid w:val="00F55118"/>
    <w:rsid w:val="00F61074"/>
    <w:rsid w:val="00F701AE"/>
    <w:rsid w:val="00F8026F"/>
    <w:rsid w:val="00F8785C"/>
    <w:rsid w:val="00F90425"/>
    <w:rsid w:val="00F94717"/>
    <w:rsid w:val="00FB25B2"/>
    <w:rsid w:val="00FB60B8"/>
    <w:rsid w:val="00FD085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83DC5"/>
  <w15:chartTrackingRefBased/>
  <w15:docId w15:val="{D7613860-E471-47F2-8673-D56039F0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4C0"/>
    <w:rPr>
      <w:rFonts w:eastAsiaTheme="minorHAnsi"/>
      <w:lang w:eastAsia="en-US"/>
    </w:rPr>
  </w:style>
  <w:style w:type="paragraph" w:styleId="Heading2">
    <w:name w:val="heading 2"/>
    <w:basedOn w:val="Normal"/>
    <w:next w:val="Normal"/>
    <w:link w:val="Heading2Char"/>
    <w:qFormat/>
    <w:rsid w:val="00F42334"/>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F42334"/>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0964C0"/>
  </w:style>
  <w:style w:type="character" w:customStyle="1" w:styleId="eop">
    <w:name w:val="eop"/>
    <w:basedOn w:val="DefaultParagraphFont"/>
    <w:rsid w:val="000964C0"/>
  </w:style>
  <w:style w:type="character" w:customStyle="1" w:styleId="spellingerror">
    <w:name w:val="spellingerror"/>
    <w:basedOn w:val="DefaultParagraphFont"/>
    <w:rsid w:val="000964C0"/>
  </w:style>
  <w:style w:type="character" w:styleId="Hyperlink">
    <w:name w:val="Hyperlink"/>
    <w:basedOn w:val="DefaultParagraphFont"/>
    <w:uiPriority w:val="99"/>
    <w:unhideWhenUsed/>
    <w:rsid w:val="000964C0"/>
    <w:rPr>
      <w:color w:val="0000FF"/>
      <w:u w:val="single"/>
    </w:rPr>
  </w:style>
  <w:style w:type="paragraph" w:styleId="Header">
    <w:name w:val="header"/>
    <w:basedOn w:val="Normal"/>
    <w:link w:val="HeaderChar"/>
    <w:unhideWhenUsed/>
    <w:rsid w:val="000964C0"/>
    <w:pPr>
      <w:tabs>
        <w:tab w:val="center" w:pos="4513"/>
        <w:tab w:val="right" w:pos="9026"/>
      </w:tabs>
      <w:spacing w:after="0" w:line="240" w:lineRule="auto"/>
    </w:pPr>
  </w:style>
  <w:style w:type="character" w:customStyle="1" w:styleId="HeaderChar">
    <w:name w:val="Header Char"/>
    <w:basedOn w:val="DefaultParagraphFont"/>
    <w:link w:val="Header"/>
    <w:rsid w:val="000964C0"/>
    <w:rPr>
      <w:rFonts w:eastAsiaTheme="minorHAnsi"/>
      <w:lang w:eastAsia="en-US"/>
    </w:rPr>
  </w:style>
  <w:style w:type="paragraph" w:styleId="Footer">
    <w:name w:val="footer"/>
    <w:basedOn w:val="Normal"/>
    <w:link w:val="FooterChar"/>
    <w:uiPriority w:val="99"/>
    <w:unhideWhenUsed/>
    <w:rsid w:val="000964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4C0"/>
    <w:rPr>
      <w:rFonts w:eastAsiaTheme="minorHAnsi"/>
      <w:lang w:eastAsia="en-US"/>
    </w:rPr>
  </w:style>
  <w:style w:type="paragraph" w:customStyle="1" w:styleId="paragraph">
    <w:name w:val="paragraph"/>
    <w:basedOn w:val="Normal"/>
    <w:rsid w:val="000964C0"/>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contextualspellingandgrammarerror">
    <w:name w:val="contextualspellingandgrammarerror"/>
    <w:basedOn w:val="DefaultParagraphFont"/>
    <w:rsid w:val="000964C0"/>
  </w:style>
  <w:style w:type="table" w:styleId="TableGrid">
    <w:name w:val="Table Grid"/>
    <w:basedOn w:val="TableNormal"/>
    <w:uiPriority w:val="39"/>
    <w:rsid w:val="000964C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964C0"/>
    <w:rPr>
      <w:i/>
      <w:iCs/>
    </w:rPr>
  </w:style>
  <w:style w:type="character" w:customStyle="1" w:styleId="Heading2Char">
    <w:name w:val="Heading 2 Char"/>
    <w:basedOn w:val="DefaultParagraphFont"/>
    <w:link w:val="Heading2"/>
    <w:rsid w:val="00F4233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42334"/>
    <w:rPr>
      <w:rFonts w:ascii="Times New Roman" w:eastAsia="Times New Roman" w:hAnsi="Times New Roman" w:cs="Times New Roman"/>
      <w:sz w:val="40"/>
      <w:szCs w:val="20"/>
      <w:lang w:eastAsia="en-GB"/>
    </w:rPr>
  </w:style>
  <w:style w:type="paragraph" w:styleId="NormalWeb">
    <w:name w:val="Normal (Web)"/>
    <w:basedOn w:val="Normal"/>
    <w:uiPriority w:val="99"/>
    <w:rsid w:val="00F42334"/>
    <w:pPr>
      <w:spacing w:before="100" w:after="10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dc.udel.edu/wp-content/uploads/2015/04/InsideBlackBox.pdf" TargetMode="External"/><Relationship Id="rId18" Type="http://schemas.openxmlformats.org/officeDocument/2006/relationships/hyperlink" Target="https://education.stateuniversity.com/pages/2022/Group-Processes-in-Classroom.html"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learning.gov.wales/docs/learningwales/publications/160831-dcf-your-questions-answered-en.pdf" TargetMode="External"/><Relationship Id="rId7" Type="http://schemas.openxmlformats.org/officeDocument/2006/relationships/image" Target="cid:image001.png@01D0EA4A.2BD679A0" TargetMode="External"/><Relationship Id="rId12" Type="http://schemas.openxmlformats.org/officeDocument/2006/relationships/hyperlink" Target="https://doi.org/10.1080/0969595980050102" TargetMode="External"/><Relationship Id="rId17" Type="http://schemas.openxmlformats.org/officeDocument/2006/relationships/hyperlink" Target="https://www.simplypsychology.org/experimental-designs.html"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pdfs.semanticscholar.org/a0b1/f13e1c86bb369220b73653c28b72553f5c50.pdf" TargetMode="External"/><Relationship Id="rId20" Type="http://schemas.openxmlformats.org/officeDocument/2006/relationships/hyperlink" Target="https://learning.gov.wales/docs/learningwales/publications/130429how-to-develop-thinking-en.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eb-a-ebscohost-com.ezproxy.uwtsd.ac.uk/ehost/pdfviewer/pdfviewer?vid=1&amp;sid=9c42d005-b93b-4e08-89d0-1769f9a49aca%40sdc-v-sessmgr02" TargetMode="External"/><Relationship Id="rId24" Type="http://schemas.openxmlformats.org/officeDocument/2006/relationships/hyperlink" Target="https://onlinelibrary.wiley.com/doi/epdf/10.1111/1467-9345.00154" TargetMode="External"/><Relationship Id="rId5" Type="http://schemas.openxmlformats.org/officeDocument/2006/relationships/endnotes" Target="endnotes.xml"/><Relationship Id="rId15" Type="http://schemas.openxmlformats.org/officeDocument/2006/relationships/hyperlink" Target="https://gov.wales/docs/dcells/publications/150225-successful-futures-en.pdf" TargetMode="External"/><Relationship Id="rId23" Type="http://schemas.openxmlformats.org/officeDocument/2006/relationships/hyperlink" Target="http://citeseerx.ist.psu.edu/viewdoc/download?doi=10.1.1.301.7433&amp;rep=rep1&amp;type=pdf"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1e2bohyu2u2w9.cloudfront.net/sites/default/files/tlr-asset/mindshift-guide-to-videos.pdf"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doi.org/10.1080/00405841.2016.1148989" TargetMode="External"/><Relationship Id="rId22" Type="http://schemas.openxmlformats.org/officeDocument/2006/relationships/hyperlink" Target="https://gov.wales/sites/default/files/publications/2018-05/guidance-inclusion-and-pupil-support_0.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8312</Words>
  <Characters>47383</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higgins</dc:creator>
  <cp:keywords/>
  <dc:description/>
  <cp:lastModifiedBy>tyler higgins</cp:lastModifiedBy>
  <cp:revision>2</cp:revision>
  <dcterms:created xsi:type="dcterms:W3CDTF">2019-05-12T19:16:00Z</dcterms:created>
  <dcterms:modified xsi:type="dcterms:W3CDTF">2019-05-12T19:16:00Z</dcterms:modified>
</cp:coreProperties>
</file>