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FA17B" w14:textId="53846C74" w:rsidR="00E11123" w:rsidRDefault="00E11123"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A01E2C9" w:rsidR="7908378C" w:rsidRDefault="7908378C" w:rsidP="33572C6E">
            <w:pPr>
              <w:ind w:right="237"/>
              <w:rPr>
                <w:b/>
                <w:bCs/>
                <w:color w:val="auto"/>
                <w:sz w:val="32"/>
                <w:szCs w:val="32"/>
              </w:rPr>
            </w:pPr>
            <w:r w:rsidRPr="33572C6E">
              <w:rPr>
                <w:b/>
                <w:bCs/>
                <w:color w:val="auto"/>
                <w:sz w:val="32"/>
                <w:szCs w:val="32"/>
              </w:rPr>
              <w:t xml:space="preserve">Learner name: </w:t>
            </w:r>
            <w:r w:rsidR="00A33D35">
              <w:rPr>
                <w:b/>
                <w:bCs/>
                <w:color w:val="auto"/>
                <w:sz w:val="32"/>
                <w:szCs w:val="32"/>
              </w:rPr>
              <w:t>Verity Wilson</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250E183" w:rsidR="7908378C" w:rsidRDefault="00A33D35" w:rsidP="33572C6E">
            <w:pPr>
              <w:ind w:right="237"/>
              <w:rPr>
                <w:b/>
                <w:bCs/>
                <w:color w:val="auto"/>
                <w:sz w:val="32"/>
                <w:szCs w:val="32"/>
              </w:rPr>
            </w:pPr>
            <w:r>
              <w:rPr>
                <w:b/>
                <w:bCs/>
                <w:color w:val="auto"/>
                <w:sz w:val="32"/>
                <w:szCs w:val="32"/>
              </w:rPr>
              <w:t>2023985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2ED655BA" w14:textId="77777777" w:rsidR="00E11123" w:rsidRDefault="00190913" w:rsidP="00E11123">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BMPP6001D</w:t>
      </w:r>
    </w:p>
    <w:p w14:paraId="7156A3DB" w14:textId="7EBBF074" w:rsidR="004B600B" w:rsidRPr="00E11123" w:rsidRDefault="004B600B" w:rsidP="00E11123">
      <w:pPr>
        <w:ind w:right="237"/>
        <w:rPr>
          <w:b/>
          <w:sz w:val="24"/>
          <w:szCs w:val="24"/>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55885AA0" w14:textId="4B29B7CD" w:rsidR="008B28E7" w:rsidRPr="00E11123" w:rsidRDefault="008B28E7" w:rsidP="00E11123">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69E86038" w14:textId="12C03843" w:rsidR="00E11123" w:rsidRDefault="00E11123" w:rsidP="00E11123">
      <w:pPr>
        <w:ind w:right="237"/>
        <w:jc w:val="both"/>
        <w:rPr>
          <w:rFonts w:eastAsia="Arial"/>
          <w:sz w:val="24"/>
          <w:szCs w:val="24"/>
        </w:rPr>
      </w:pPr>
    </w:p>
    <w:p w14:paraId="733B15BD" w14:textId="3CBDE4BA" w:rsidR="00E11123" w:rsidRDefault="00E11123" w:rsidP="00E11123">
      <w:pPr>
        <w:ind w:right="237"/>
        <w:jc w:val="both"/>
        <w:rPr>
          <w:rFonts w:eastAsia="Arial"/>
          <w:sz w:val="24"/>
          <w:szCs w:val="24"/>
        </w:rPr>
      </w:pPr>
    </w:p>
    <w:p w14:paraId="5BFC9128" w14:textId="0359805B" w:rsidR="00E11123" w:rsidRDefault="00E11123" w:rsidP="00E11123">
      <w:pPr>
        <w:ind w:right="237"/>
        <w:jc w:val="both"/>
        <w:rPr>
          <w:rFonts w:eastAsia="Arial"/>
          <w:sz w:val="24"/>
          <w:szCs w:val="24"/>
        </w:rPr>
      </w:pPr>
    </w:p>
    <w:p w14:paraId="56F8649D"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Vulnerability is a word that can be deemed as ambiguous with regards to its definition. The College of Policing defines vulnerability and a person who is vulnerable, as someone who, because of their situation or circumstances, are unable to care or protect themselves or others from any harm or exploitation (College of Policing, 2021).  Modern day policing deals daily with members of the public who fall under the categorical definition of ‘vulnerable’. Vulnerability is considered by every Police Officer when dealing with a missing person. Policing and its response to reports of missing persons is one of the largest demands on resources (Fyfe, Stevenson &amp; Woolnough, 2015, p. 409). This essay will examine an incident which I attended regarding a teenage male who was reported as missing after making significant comments in relation to his mental health. To critically evaluate and assess the incident, Gibbs Model of Reflection (1988) will be adopted and applied whilst exploring the social and legislative contexts in relation to the incident. </w:t>
      </w:r>
    </w:p>
    <w:p w14:paraId="1238C357" w14:textId="77777777" w:rsidR="006F15D2" w:rsidRDefault="006F15D2" w:rsidP="006F15D2">
      <w:pPr>
        <w:rPr>
          <w:rFonts w:asciiTheme="minorHAnsi" w:hAnsiTheme="minorHAnsi" w:cstheme="minorHAnsi"/>
          <w:sz w:val="24"/>
          <w:szCs w:val="24"/>
        </w:rPr>
      </w:pPr>
    </w:p>
    <w:p w14:paraId="26AA8E17"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A call was received into the Force Control Room by a mother of a teenage male who was severely concerned. The male had left their home address stating that he wanted to die, and she had been unable to locate him. Due to the severity of the comments made, an emergency response was required by Police Officers to assess the risk. I initially responded to the incident and carried out the necessary enquiries. A missing person’s report was completed with the male’s mother where various questions were asked surrounding the details of the male’s disappearance and focusing on key aspects such as his mood and any comments that were made. It came to light during the initial response that the male had contacted his friends saying goodbye and that he loved them. An extensive search was conducted of the house along with the outer buildings to ensure that the male had not returned. The search allowed for evidence to be gathered to provide further indication of </w:t>
      </w:r>
      <w:r>
        <w:rPr>
          <w:rFonts w:asciiTheme="minorHAnsi" w:hAnsiTheme="minorHAnsi" w:cstheme="minorHAnsi"/>
          <w:sz w:val="24"/>
          <w:szCs w:val="24"/>
        </w:rPr>
        <w:lastRenderedPageBreak/>
        <w:t>the male’s intentions along with any locations that he may frequent. Whilst searching the male’s room, sheet music with depressive lyrics were located. The lyrics focused on heartbreak and depression and how death was the answer to all these problems. I knew that the male required help. I photographed the sheet music as evidence, I did not yet seize them. After the initial enquiries, it was time for a risk assessment to be conducted. Missing Persons and risk are assessed to choose the necessary police response and actions required.  Due to the comments made and the actions taken by the male, I graded him as ‘High Risk’. A ‘High Risk’ missing person means that there is a risk of serious harm to the individual or public, and an immediate deployment of police resources is required (College of Policing, 2022).</w:t>
      </w:r>
    </w:p>
    <w:p w14:paraId="7819C5A5" w14:textId="77777777" w:rsidR="006F15D2" w:rsidRDefault="006F15D2" w:rsidP="006F15D2">
      <w:pPr>
        <w:rPr>
          <w:rFonts w:asciiTheme="minorHAnsi" w:hAnsiTheme="minorHAnsi" w:cstheme="minorHAnsi"/>
          <w:sz w:val="24"/>
          <w:szCs w:val="24"/>
        </w:rPr>
      </w:pPr>
    </w:p>
    <w:p w14:paraId="0FC03B1D"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Due to the grading of the male being ‘High Risk’, a wide area search needed to be conducted by local response officers along with the Roads Policing Specialist Operations (RPSO) officers. The description of the male was given over the radio and the local council were informed so that they could monitor CCTV. Once this was conducted, then other options could have be considered such as the allocation of a Police Search Adviser (POLSA) who specialises in missing person investigations. </w:t>
      </w:r>
    </w:p>
    <w:p w14:paraId="5CA877DD" w14:textId="77777777" w:rsidR="006F15D2" w:rsidRDefault="006F15D2" w:rsidP="006F15D2">
      <w:pPr>
        <w:rPr>
          <w:rFonts w:asciiTheme="minorHAnsi" w:hAnsiTheme="minorHAnsi" w:cstheme="minorHAnsi"/>
          <w:sz w:val="24"/>
          <w:szCs w:val="24"/>
        </w:rPr>
      </w:pPr>
    </w:p>
    <w:p w14:paraId="460B3931"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Within an hour, the male was located by RPSO officers. The male was making his way to a wooded area where he had planned to take his own life. He was brought back to the safety of the local station so that he could be spoken to in a safe environment. As I was the Officer in Case for the investigation, I sat with the male to talk to him about the comments he had made and how he was feeling. As I was doing this, his mother was informed that he had been located and he was safe with us. At first, the male refused to open up or speak to myself. From conducting a search of his home address, I had gathered information concerning his interests and hobbies, so I brought up the topic of music. This piqued his interest whereby we discussed different genres of music and what we both liked to listen to. I could see he was more comfortable and so I decided to ask him about the lyrics I had uncovered in his bedroom. The male expressed his difficulty in having recently experienced a relationship breakdown which had worsened his depressive and suicidal thoughts. He sought to express these in lyrics which he hoped would have helped, however, he still felt suicidal. He began to get emotional whilst explaining this and then became quiet stating that he is a man who should not be crying over this. As soon as this comment was made, I knew that there were societal issues present which were preventing this male from seeking help. </w:t>
      </w:r>
    </w:p>
    <w:p w14:paraId="379DF9D3" w14:textId="77777777" w:rsidR="006F15D2" w:rsidRDefault="006F15D2" w:rsidP="006F15D2">
      <w:pPr>
        <w:rPr>
          <w:rFonts w:asciiTheme="minorHAnsi" w:hAnsiTheme="minorHAnsi" w:cstheme="minorHAnsi"/>
          <w:sz w:val="24"/>
          <w:szCs w:val="24"/>
        </w:rPr>
      </w:pPr>
    </w:p>
    <w:p w14:paraId="4285D225"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Gender theory relating to the perception of men conforming to the expectations of society is of importance with regards to this incident. Society has undoubtedly created the notions of what it means to be a man and how masculinity should be portrayed and adopted.  From birth, regardless of being intentional or not, gender stereotypes are forced and integrated upon us.  According to Kohlberg, 1966, positive reinforcement is created whereby children believe that by conforming to their gender roles, they will be rewarded for doing so (Bussey &amp; Bandura, 1999, p. 677). Therefore, this encourages gender conformity.  It has also been postulated that adolescents perceive these notions of what it means to be a man or a woman as important in their day-to-day life (Milot, 2014, p. 4). The core aspect to be taken from these notions is concerning the masculinity of men. Masculinity is defined as the characteristics that are traditionally thought to be typical of or suitable to men (Cambridge </w:t>
      </w:r>
      <w:r>
        <w:rPr>
          <w:rFonts w:asciiTheme="minorHAnsi" w:hAnsiTheme="minorHAnsi" w:cstheme="minorHAnsi"/>
          <w:sz w:val="24"/>
          <w:szCs w:val="24"/>
        </w:rPr>
        <w:lastRenderedPageBreak/>
        <w:t xml:space="preserve">Dictionary). These characteristics all relate and primarily focus on the internalization of one’s emotions and the ability to maintain strong (Biglan et al, 2019, p. 1790). Thus, adopting these characteristics fails to expose any weaknesses and presents the imagery of a strong male. As a result of these perceptions existing of masculinity and the ‘ideal’ male, problems have arisen concerning men and mental health. It can be conjectured that these conformities of gender have created a stigma surrounding men and mental health. The present societal issues surrounding men and mental health, led this teenage male to believe that he could not express his feelings and that he was not entitled to. This unfortunately, led to him refusing to seek help and speak to others about his mental health in fear of being portrayed as less masculine. Bearing this in mind, I sought to rectify this and explain to the male that despite these perceptions, society is changing on a day-to-day basis, whereby it is accepted by most that men also suffer with mental health. I reassured the male that he was no less masculine for expressing his feelings and that in fact he would be showing strength by seeking help. By engaging with the male and talking to him, he became more at ease and was confiding in how he was feeling, the simple task of listening enabled him to feel supported and that he was important. From listening to the male, I established the circumstances surrounding his disappearance and his intentions and the reasoning behind his actions. This effectively allowed me, by using the National Decision Model to establish what course of action was appropriate and more suitable in this incident. </w:t>
      </w:r>
    </w:p>
    <w:p w14:paraId="22DB9BA7" w14:textId="77777777" w:rsidR="006F15D2" w:rsidRDefault="006F15D2" w:rsidP="006F15D2">
      <w:pPr>
        <w:rPr>
          <w:rFonts w:asciiTheme="minorHAnsi" w:hAnsiTheme="minorHAnsi" w:cstheme="minorHAnsi"/>
          <w:sz w:val="24"/>
          <w:szCs w:val="24"/>
        </w:rPr>
      </w:pPr>
    </w:p>
    <w:p w14:paraId="5DEF10B6"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In incidents surrounding mental health, there are a variety approaches that can be taken by a Police Officer to provide support and manage the current situation. Within the role of a Police Officer, there exists an obligation and duty to provide support to those who are most vulnerable and at risk in society. This incident required an approach to be taken in the form of enabling the male to seek the help he required. The male needed to be seen by health care professionals as he had planned to take his own life. The male could not be left to return home as there was a high risk of him causing harm to himself and he was in a vulnerable position. To liaise with the NHS and mental health services, I requested for the Approved Mental Health Professional (AMHP) to contact me. An AMPH is an individual who works alongside services such as the Police to provide help and guidance in situations surrounding mental health. The AMPH has received special training and can assess whether a person needs to be detained or not under the Mental Health Act 1983(NHS, 2019). </w:t>
      </w:r>
    </w:p>
    <w:p w14:paraId="3760F50D" w14:textId="77777777" w:rsidR="006F15D2" w:rsidRDefault="006F15D2" w:rsidP="006F15D2">
      <w:pPr>
        <w:rPr>
          <w:rFonts w:asciiTheme="minorHAnsi" w:hAnsiTheme="minorHAnsi" w:cstheme="minorHAnsi"/>
          <w:sz w:val="24"/>
          <w:szCs w:val="24"/>
        </w:rPr>
      </w:pPr>
    </w:p>
    <w:p w14:paraId="1DA5D2E2"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The AMPH was provided the circumstances and he recommended the male attending the hospital voluntarily. As a result of this, I turned to the male and asked if he was willing to attend a hospital and be assessed on a voluntary basis. He stated that he would and that he was sure his mother would attend. With this new information, the AMPH phoned ahead to the local hospital to arrange for an assessment to take place so that the male could receive the appropriate support via the NHS. </w:t>
      </w:r>
    </w:p>
    <w:p w14:paraId="7D97F5CC" w14:textId="77777777" w:rsidR="006F15D2" w:rsidRDefault="006F15D2" w:rsidP="006F15D2">
      <w:pPr>
        <w:rPr>
          <w:rFonts w:asciiTheme="minorHAnsi" w:hAnsiTheme="minorHAnsi" w:cstheme="minorHAnsi"/>
          <w:sz w:val="24"/>
          <w:szCs w:val="24"/>
        </w:rPr>
      </w:pPr>
    </w:p>
    <w:p w14:paraId="49BDA12C"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If the male had refused engagement and was in a public place throughout the incident, then I would have considered the approach of detaining the male under s.136 of the Mental Health Act 1983. This would have allowed me to have the power to transport the male to a place of safety where an assessment could occur. Often, the place of safety is a dedicated mental health suite. However, Costen and Milne (1999, p. 123) identified various issues with the process of sectioning a person under s.136.  One of these issues is that often, during the assessment, there is no social worker present, this means that the aftercare in terms of </w:t>
      </w:r>
      <w:r>
        <w:rPr>
          <w:rFonts w:asciiTheme="minorHAnsi" w:hAnsiTheme="minorHAnsi" w:cstheme="minorHAnsi"/>
          <w:sz w:val="24"/>
          <w:szCs w:val="24"/>
        </w:rPr>
        <w:lastRenderedPageBreak/>
        <w:t>support for the detainee may be overlooked (Costen and Milne, 1999 p. 123). Additionally, there are issues surrounding the initial assessment, where it is believed that when conducted out of hours, the individual is more likely to be seen by a young and inexperienced doctor which can lead to the admission being denied (Costen and Milne, 1999, p. 124). This report is outdated as it was created in 1999.  Mental health services have improved and now Public Protection Notification Reports (PPNs) are submitted after each sectioning and sent to social services. This enables a liaison to occur and for the appropriate support to be arranged when the individual is released from the place of safety.</w:t>
      </w:r>
    </w:p>
    <w:p w14:paraId="0ADCFDD0" w14:textId="77777777" w:rsidR="006F15D2" w:rsidRDefault="006F15D2" w:rsidP="006F15D2">
      <w:pPr>
        <w:rPr>
          <w:rFonts w:asciiTheme="minorHAnsi" w:hAnsiTheme="minorHAnsi" w:cstheme="minorHAnsi"/>
          <w:sz w:val="24"/>
          <w:szCs w:val="24"/>
        </w:rPr>
      </w:pPr>
    </w:p>
    <w:p w14:paraId="5B01CC75"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Due to the nature of the missing person report, a PPN was submitted to social services. Within this PPN I highlighted the view that the male had surrounding society and masculinity concerning mental health. I also emphasised the importance of the male being referred to the Child and Adolescent Mental Health Services (CAMHS) by his GP and provide the appropriate support, whether that be through Counselling or interacting with others. This referral was necessary in starting the support for the male who was vulnerable and in need of support from other services. This support would also prevent further incidents from happening like this again.</w:t>
      </w:r>
    </w:p>
    <w:p w14:paraId="6F0D91AC" w14:textId="77777777" w:rsidR="006F15D2" w:rsidRDefault="006F15D2" w:rsidP="006F15D2">
      <w:pPr>
        <w:rPr>
          <w:rFonts w:asciiTheme="minorHAnsi" w:hAnsiTheme="minorHAnsi" w:cstheme="minorHAnsi"/>
          <w:sz w:val="24"/>
          <w:szCs w:val="24"/>
        </w:rPr>
      </w:pPr>
    </w:p>
    <w:p w14:paraId="769A6646"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Using Gibbs Model of Reflection, it is evident that an incident such as this one can have an impact on yourself. Mental health is a subject that is sensitive and difficult to talk about, and it is something that almost every single individual experience in their lifetime. At the beginning of the incident, I felt a sense of worry and major concern that the male may have potentially taken his life. Whilst this was a negative thought to have, it was something that I could not remove. However, I ensured that I acted rationally and proportionate during the incident to ensure that the investigation was conducted to a professional standard. Those who are vulnerable are more prone to harm and mental health is a factor of vulnerability. However, being able to provide the support that the male required was empowering. Further to this, it reminded me of why I became a Police Officer in the first place. Although a challenging career, it is one that at times can be rewarding. In this case, I was able to provide support to a vulnerable individual who was in need. </w:t>
      </w:r>
    </w:p>
    <w:p w14:paraId="1C526FC3" w14:textId="77777777" w:rsidR="006F15D2" w:rsidRDefault="006F15D2" w:rsidP="006F15D2">
      <w:pPr>
        <w:rPr>
          <w:rFonts w:asciiTheme="minorHAnsi" w:hAnsiTheme="minorHAnsi" w:cstheme="minorHAnsi"/>
          <w:sz w:val="24"/>
          <w:szCs w:val="24"/>
        </w:rPr>
      </w:pPr>
    </w:p>
    <w:p w14:paraId="219647B6" w14:textId="77777777"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In hindsight, there is nothing that I would have changed with how I responded to the incident. I acted accordingly and ensured that the right support was provided. Although mental health calls are challenging and can often be distressing, this was one that proved to be rewarding. Whilst no criminal incident occurred, these calls occur on a weekly basis. Throughout the incident, I believe I played a significant role in providing and protecting a vulnerable person from harm. My understanding of mental health and failure to accept gender conforming concerning masculinity, allowed the male to open up and feel supported and listened to. Through my response to the incident, the male received the necessary support for his mental health. By providing support there have been no further incidents with the male concerning his mental health. </w:t>
      </w:r>
    </w:p>
    <w:p w14:paraId="76061AC2" w14:textId="1C345BD9" w:rsidR="006F15D2" w:rsidRDefault="006F15D2" w:rsidP="5CE196A1">
      <w:pPr>
        <w:ind w:right="237"/>
        <w:jc w:val="both"/>
        <w:rPr>
          <w:rFonts w:asciiTheme="minorHAnsi" w:hAnsiTheme="minorHAnsi" w:cstheme="minorHAnsi"/>
          <w:sz w:val="24"/>
          <w:szCs w:val="24"/>
        </w:rPr>
      </w:pPr>
    </w:p>
    <w:p w14:paraId="1FB45D6A" w14:textId="77777777" w:rsidR="00A33D35" w:rsidRDefault="00A33D35" w:rsidP="5CE196A1">
      <w:pPr>
        <w:ind w:right="237"/>
        <w:jc w:val="both"/>
        <w:rPr>
          <w:color w:val="000000" w:themeColor="text1"/>
          <w:sz w:val="24"/>
          <w:szCs w:val="24"/>
        </w:rPr>
      </w:pPr>
    </w:p>
    <w:p w14:paraId="49BEBCE4" w14:textId="35615CE2" w:rsidR="006F15D2" w:rsidRDefault="006F15D2" w:rsidP="5CE196A1">
      <w:pPr>
        <w:ind w:right="237"/>
        <w:jc w:val="both"/>
        <w:rPr>
          <w:color w:val="000000" w:themeColor="text1"/>
          <w:sz w:val="24"/>
          <w:szCs w:val="24"/>
        </w:rPr>
      </w:pPr>
    </w:p>
    <w:p w14:paraId="73350CB6" w14:textId="55358E50" w:rsidR="006F15D2" w:rsidRDefault="006F15D2" w:rsidP="5CE196A1">
      <w:pPr>
        <w:ind w:right="237"/>
        <w:jc w:val="both"/>
        <w:rPr>
          <w:color w:val="000000" w:themeColor="text1"/>
          <w:sz w:val="24"/>
          <w:szCs w:val="24"/>
        </w:rPr>
      </w:pPr>
    </w:p>
    <w:p w14:paraId="48211E59" w14:textId="77777777" w:rsidR="006F15D2" w:rsidRDefault="006F15D2" w:rsidP="5CE196A1">
      <w:pPr>
        <w:ind w:right="237"/>
        <w:jc w:val="both"/>
        <w:rPr>
          <w:color w:val="000000" w:themeColor="text1"/>
          <w:sz w:val="24"/>
          <w:szCs w:val="24"/>
        </w:rPr>
      </w:pPr>
    </w:p>
    <w:p w14:paraId="189E9BB5" w14:textId="77777777" w:rsidR="006F15D2" w:rsidRDefault="006F15D2" w:rsidP="5CE196A1">
      <w:pPr>
        <w:ind w:right="237"/>
        <w:jc w:val="center"/>
        <w:rPr>
          <w:b/>
          <w:bCs/>
          <w:color w:val="000000" w:themeColor="text1"/>
          <w:sz w:val="28"/>
          <w:szCs w:val="28"/>
          <w:u w:val="single"/>
        </w:rPr>
      </w:pPr>
    </w:p>
    <w:p w14:paraId="3C996846" w14:textId="051F30C5"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71DA2D8E"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Domestic Abuse can be defined as abusive behaviour towards an individual who you are personally connected to (Domestic Abuse Act 2021). The behaviour of an individual can be construed as abusive if it consists of physical or sexual abuse; violent or threatening behaviour; controlling or coercive behaviour; economic abuse; and psychological, emotional, or other forms of abuse (Domestic Abuse Act, 2021). The Police attend domestic abuse incidents on a regular basis, with each incident varying between the degree of harm and abuse that has occurred. Sometimes, the incidents do not contain any forms of physical abuse, but an argument has occurred where a considerable amount of emotional distress has been experienced. Between April 2021 and March 2022, 909,504 domestic abuse related offences were recorded by the Police, of these, 722,723 were offences concerning violence against the person (Office for National Statistics, 2022). Domestic abuse incidents create several challenges for officers upon attendance and during the investigation. Within this essay, I will reflect upon a Domestic Abuse incident I attended, and how these challenges were addressed via strategies that are developed and taught to officers for such situations. </w:t>
      </w:r>
    </w:p>
    <w:p w14:paraId="5A12A55C" w14:textId="77777777" w:rsidR="006F15D2" w:rsidRPr="006F15D2" w:rsidRDefault="006F15D2" w:rsidP="006F15D2">
      <w:pPr>
        <w:rPr>
          <w:rFonts w:asciiTheme="minorHAnsi" w:hAnsiTheme="minorHAnsi" w:cstheme="minorHAnsi"/>
          <w:sz w:val="24"/>
          <w:szCs w:val="24"/>
        </w:rPr>
      </w:pPr>
    </w:p>
    <w:p w14:paraId="185E8F2B" w14:textId="783ECE56"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During one of my tour of duties, I attended a domestic abuse incident which was of a complex nature. I had been alerted by the Force Control Room that an emergency response was required for an abandoned 999 call whereby shouting and screaming between a male and female could be heard in the background. Prior to my attendance, I requested for an </w:t>
      </w:r>
      <w:r w:rsidRPr="006F15D2">
        <w:rPr>
          <w:rFonts w:asciiTheme="minorHAnsi" w:hAnsiTheme="minorHAnsi" w:cstheme="minorHAnsi"/>
          <w:sz w:val="24"/>
          <w:szCs w:val="24"/>
        </w:rPr>
        <w:lastRenderedPageBreak/>
        <w:t>address check to be conducted to see if there had been any previous incidents of a similar nature. There had not. Due to the potential of this being a domestic incident, I requested another officer to attend as a safety precaution. As per Gwent Police’s Domestic Abuse Policy, our priority was to ensure the safety of the victim and any other persons present at the incident (Gwent Police, 2020).</w:t>
      </w:r>
    </w:p>
    <w:p w14:paraId="1C7EA298" w14:textId="77777777" w:rsidR="006F15D2" w:rsidRPr="006F15D2" w:rsidRDefault="006F15D2" w:rsidP="006F15D2">
      <w:pPr>
        <w:rPr>
          <w:rFonts w:asciiTheme="minorHAnsi" w:hAnsiTheme="minorHAnsi" w:cstheme="minorHAnsi"/>
          <w:sz w:val="24"/>
          <w:szCs w:val="24"/>
        </w:rPr>
      </w:pPr>
    </w:p>
    <w:p w14:paraId="7EA728CD" w14:textId="77777777" w:rsidR="006F15D2" w:rsidRPr="006F15D2" w:rsidRDefault="006F15D2" w:rsidP="006F15D2">
      <w:pPr>
        <w:rPr>
          <w:rFonts w:asciiTheme="minorHAnsi" w:hAnsiTheme="minorHAnsi" w:cstheme="minorHAnsi"/>
          <w:b/>
          <w:bCs/>
          <w:sz w:val="24"/>
          <w:szCs w:val="24"/>
        </w:rPr>
      </w:pPr>
      <w:r w:rsidRPr="006F15D2">
        <w:rPr>
          <w:rFonts w:asciiTheme="minorHAnsi" w:hAnsiTheme="minorHAnsi" w:cstheme="minorHAnsi"/>
          <w:sz w:val="24"/>
          <w:szCs w:val="24"/>
        </w:rPr>
        <w:t xml:space="preserve">We attended the address and our Bodyworn video was activated at first instance. A male answered the door, and we entered the property. No powers of entry were used during this incident as we were given permission to enter. As I entered the address, I noticed that there was smashed glass on the floor and damage had been caused to a log burner situated in the living room. There was a female sitting on the sofa in distress and crying. One of the challenges that often arise from domestic incidents is trying to speak to those involved separately, if this is not achievable, there is the issue of potential coercion occurring whereby the victim is forced to not tell the truth. It is because of this challenge, that preferably two officers are required to attend domestic abuse incidents. To overcome this challenge, each officer allocates themselves to an individual and the parties are separated to enquire about the circumstances. I remained with the female, and she disclosed that her and her husband had been drinking and gotten into an argument, the argument escalated, and the husband had pushed the female down the stairs. Following this act of violence, he had proceeded to drag her by her arms and throw her onto the sofa. The male then went on to smashing items in the house, which provided an explanation for the glass on the floor. The nature of the argument was concerning the husband wanting to leave the home address to purchase more alcohol and the female had challenged him, stating that he had had enough to drink. It is believed that conflict between partners often surround issues concerning money, children, housekeeping, sex, jealousy, authority etc. (Dobash &amp; Dobash, 2007, p 332). In this instance, I believe that the male felt his masculinity being challenged by the female and has resorted to an act of violence to ascertain his dominance in the relationship. </w:t>
      </w:r>
    </w:p>
    <w:p w14:paraId="6DD54BE9" w14:textId="77777777" w:rsidR="006F15D2" w:rsidRPr="006F15D2" w:rsidRDefault="006F15D2" w:rsidP="006F15D2">
      <w:pPr>
        <w:rPr>
          <w:rFonts w:asciiTheme="minorHAnsi" w:hAnsiTheme="minorHAnsi" w:cstheme="minorHAnsi"/>
          <w:sz w:val="24"/>
          <w:szCs w:val="24"/>
        </w:rPr>
      </w:pPr>
    </w:p>
    <w:p w14:paraId="2ACE2B32"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One area in which the Police have faced scrutiny concerning domestic abuse is the reluctance of arrest. Whereby, Police have been criticised for enforcing a form of mediation between the two parties, rather than arresting the perpetrator, which has created the perception that arrest is not a priority. (Hilder, 2016, p. 38). Unfortunately, I have borne witness to this myself, whereby an officer has not arrested despite the disclosure made and separated the parties for a day instead. Adopting the mindset that the perpetrator can be dealt with via means of a voluntary interview. This mindset is often influenced by whether the victim is willing to provide a statement or not. Failing to adhere to this mindset, I proceeded to the room where my colleague and the husband were situated. I informed the male that there had been an allegation of assault and due to this he was under arrest on suspicion of common assault. I requested for another unit to assist due to the ‘Golden Hour’ enquiries that needed to be conducted for the investigation.  </w:t>
      </w:r>
    </w:p>
    <w:p w14:paraId="425BF940" w14:textId="77777777" w:rsidR="006F15D2" w:rsidRPr="006F15D2" w:rsidRDefault="006F15D2" w:rsidP="006F15D2">
      <w:pPr>
        <w:rPr>
          <w:rFonts w:asciiTheme="minorHAnsi" w:hAnsiTheme="minorHAnsi" w:cstheme="minorHAnsi"/>
          <w:sz w:val="24"/>
          <w:szCs w:val="24"/>
        </w:rPr>
      </w:pPr>
    </w:p>
    <w:p w14:paraId="5D75EF27"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As the male was conveyed to custody, I carried out the required enquiries in preparation for the interview. From the beginning of these enquiries, it became increasingly apparent that the victim was not willing to provide a positive statement or attend court. This was the first challenge in the investigation and one that is often present in domestic abuse incidents. As the female had declined the opportunity to give a statement straight away without an </w:t>
      </w:r>
      <w:r w:rsidRPr="006F15D2">
        <w:rPr>
          <w:rFonts w:asciiTheme="minorHAnsi" w:hAnsiTheme="minorHAnsi" w:cstheme="minorHAnsi"/>
          <w:sz w:val="24"/>
          <w:szCs w:val="24"/>
        </w:rPr>
        <w:lastRenderedPageBreak/>
        <w:t xml:space="preserve">explanation of the process, I decided to do this. I explained the processes involved in the investigation and if, it was to go to court then she may be expected to give her testimony. During this, I explained the possibility of using Special Measures. Special Measures are provisions provided in court to assist those vulnerable or intimidated to give their testimony to lessen the stress and pressure (CPS, 2021). These provisions are provided in a variety of ways such as providing your testimony via a live link or behind a screen. The female declined and stated that she had been a victim of domestic abuse for most of her life and that it was normal to her. In cases of domestic abuse where the individuals are of an older age, there is a form of normalization surrounding the ‘chastisement’ of a wife. This normalization stems from old Common Law where there was a ruling that a husband was within his right to chastise his wife moderately as long as he used a ‘switch no larger than his thumb’ (Stedman, 1917, pp. 241-243). Although outdated and with recent legislation disseminating the ruling under Common Law, there still maintains this believe in some relationships. In this incident, this was the case and was a further challenge that needed to be addressed. </w:t>
      </w:r>
    </w:p>
    <w:p w14:paraId="1064A262" w14:textId="77777777" w:rsidR="006F15D2" w:rsidRPr="006F15D2" w:rsidRDefault="006F15D2" w:rsidP="006F15D2">
      <w:pPr>
        <w:rPr>
          <w:rFonts w:asciiTheme="minorHAnsi" w:hAnsiTheme="minorHAnsi" w:cstheme="minorHAnsi"/>
          <w:sz w:val="24"/>
          <w:szCs w:val="24"/>
        </w:rPr>
      </w:pPr>
    </w:p>
    <w:p w14:paraId="7FB63CB3"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Although the female refused to provide a positive statement, she was willing to provide a negative statement, which clearly indicated that she did not support a prosecution but allowed for detail to be given regarding her abuse. Within the statement, there was an extensive history of abuse and elements of control were evident, however, the evidence to prove its existence was nil. After the statement was taken, I photographed the injuries she had sustained from the incident with her permission. I asked if she would allow me to convey her to a hospital for treatment, however, this was declined. Despite the negative statement provided, I informed the female that there was a chance that this could lead to a victimless prosecution. </w:t>
      </w:r>
    </w:p>
    <w:p w14:paraId="0D439A96" w14:textId="77777777" w:rsidR="006F15D2" w:rsidRPr="006F15D2" w:rsidRDefault="006F15D2" w:rsidP="006F15D2">
      <w:pPr>
        <w:rPr>
          <w:rFonts w:asciiTheme="minorHAnsi" w:hAnsiTheme="minorHAnsi" w:cstheme="minorHAnsi"/>
          <w:sz w:val="24"/>
          <w:szCs w:val="24"/>
        </w:rPr>
      </w:pPr>
    </w:p>
    <w:p w14:paraId="758E3432"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Progressing an investigation with a victimless prosecution is a process that is difficult. First adopted in the United States, victimless prosecutions primarily focus on evidence led prosecutions (Ellison, 2002, p.840). This process was eventually adopted in the United Kingdom, eradicating the previous process whereby if a victim did not wish to proceed then this marked the end of a case (Hoyle, 1998) This new process has led to investigations being based primarily on enhanced evidence gathering. Failure to provide a statement means that evidence must be gathered elsewhere to support the allegation made. Concerning this incident, there was evidence readily available in terms of the 999 recording, Bodyworn video and the photos of the injuries sustained. In relation to the injuries, this was again a challenge as the female was refusing to seek medical attention which meant there would be no medical evidence. Adhering to my training, I ensured that I conducted reasonable lines of enquiries and maintained the ‘Golden Hour’ principles. Neighbours were spoken to, to establish if they had heard or seen anything and whether any statements could be obtained. Unfortunately, the neighbour who had heard the commotion, did not wish to provide a statement due to the fear of repercussions. This consequently meant that the investigation was to be based solely on the evidence that had been gathered. </w:t>
      </w:r>
    </w:p>
    <w:p w14:paraId="6B755BD8" w14:textId="77777777" w:rsidR="006F15D2" w:rsidRPr="006F15D2" w:rsidRDefault="006F15D2" w:rsidP="006F15D2">
      <w:pPr>
        <w:rPr>
          <w:rFonts w:asciiTheme="minorHAnsi" w:hAnsiTheme="minorHAnsi" w:cstheme="minorHAnsi"/>
          <w:sz w:val="24"/>
          <w:szCs w:val="24"/>
        </w:rPr>
      </w:pPr>
    </w:p>
    <w:p w14:paraId="10516D13"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Although a victimless prosecution in domestic abuse is challenging, it is achievable at times. The collection of all of the evidence potentially provides enough evidence for the CPS to make a decision regarding the ‘Evidential Test’.  However, this was not the only obstacle to a prosecution. According to Ellison, several cases are terminated by the CPS as it is not in the public interest to prosecute (Ellison, p. 835). When deciding whether a charge is sufficient, a </w:t>
      </w:r>
      <w:r w:rsidRPr="006F15D2">
        <w:rPr>
          <w:rFonts w:asciiTheme="minorHAnsi" w:hAnsiTheme="minorHAnsi" w:cstheme="minorHAnsi"/>
          <w:sz w:val="24"/>
          <w:szCs w:val="24"/>
        </w:rPr>
        <w:lastRenderedPageBreak/>
        <w:t xml:space="preserve">prosecutor considers a range of questions to identify and determine whether the case has relevant factors in the public interest concerning a prosecution (CPS, 2018).  If the answer to these questions is not sufficient, then a charge is not agreed, and the offender is released with no further action. These decisions can at times be made by the sergeants present in custody. Due to this being a possibility, I ensured that all available evidence had been collected and compiled prior to the offender’s interview. </w:t>
      </w:r>
    </w:p>
    <w:p w14:paraId="1ED23245" w14:textId="77777777" w:rsidR="006F15D2" w:rsidRPr="006F15D2" w:rsidRDefault="006F15D2" w:rsidP="006F15D2">
      <w:pPr>
        <w:rPr>
          <w:rFonts w:asciiTheme="minorHAnsi" w:hAnsiTheme="minorHAnsi" w:cstheme="minorHAnsi"/>
          <w:sz w:val="24"/>
          <w:szCs w:val="24"/>
        </w:rPr>
      </w:pPr>
    </w:p>
    <w:p w14:paraId="00DF35AC"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Once all the evidence was gathered, I transported the victim to a safe place which she stated that she was going to remain for the foreseeable. I informed her of what would happen next and that her husband was to be interviewed for the alleged offence and that I would contact her after the interview. </w:t>
      </w:r>
    </w:p>
    <w:p w14:paraId="0E1AA83B" w14:textId="77777777" w:rsidR="006F15D2" w:rsidRPr="006F15D2" w:rsidRDefault="006F15D2" w:rsidP="006F15D2">
      <w:pPr>
        <w:rPr>
          <w:rFonts w:asciiTheme="minorHAnsi" w:hAnsiTheme="minorHAnsi" w:cstheme="minorHAnsi"/>
          <w:sz w:val="24"/>
          <w:szCs w:val="24"/>
        </w:rPr>
      </w:pPr>
    </w:p>
    <w:p w14:paraId="2FB4A15F"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The offender was interview for the offence that he allegedly committed. Within interview he provided ‘No Comment’ to all questions that were put to him and did not provide his side of the story. After interview, I consulted with the custody sergeant and provided all of the evidence that was available. Due to the lack of a positive statement and no statement from the neighbour, it was decided that there would be no further action taken as it was not in the public interest for a prosecution. Although a frustrating decision to myself, I understood the reasoning behind the decision. Despite this decision, I had requested whether a Domestic Violence Protection Notice (DVPN) would be sufficient to provide some form of protection to the victim, as there were no bail conditions being imposed. A DVPN is a civil order which provides protective measures to a victim of domestic violence in the immediate aftermath of an incident (Home Office, 2020). This request was denied as the victim had moved to a safe place and was not in any danger of further violence occurring. I had undoubtedly done everything that I could have with regards to this investigation and therefore contacted the victim to inform her of the outcome. </w:t>
      </w:r>
    </w:p>
    <w:p w14:paraId="3F9F98DC" w14:textId="77777777" w:rsidR="006F15D2" w:rsidRPr="006F15D2" w:rsidRDefault="006F15D2" w:rsidP="006F15D2">
      <w:pPr>
        <w:rPr>
          <w:rFonts w:asciiTheme="minorHAnsi" w:hAnsiTheme="minorHAnsi" w:cstheme="minorHAnsi"/>
          <w:sz w:val="24"/>
          <w:szCs w:val="24"/>
        </w:rPr>
      </w:pPr>
    </w:p>
    <w:p w14:paraId="68B7FBDC" w14:textId="1553C1F8"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Overall, this domestic incident that I had attended posed numerous challenges. This is not uncommon when providing an emergency response to any domestic abuse incident. Despite these challenges, I had adopted an effective means of policing in providing support to the victim and considering alternative options to prosecution in terms of a DVPN. One of the main challenges that is often associated with domestic abuse cases is that of an unwillingness of the provision of a statement by the victim. It is difficult to ascertain with each individual incident as to why a statement is not provided, but often this is either out of fear of the offender or that the incident was the final straw leading to permanent relationship/marital separation. In this case, I believe it was the latter and the victim had finally procured the strength to leave the offender and therefore did not wish to live in the past anymore in terms of proceeding with a prosecution. Despite the other evidence that was available, there was not enough in terms of meeting the ‘public interest’ stage of the Full Code Test. Consequently, no further action was decided to be taken against the offender. Although this often means the end of the investigation, I had decided to investigate the possibility of a DVPN for protection of the victim. This was one of the strategies that I adopted to ensure effective policing was present, however, this request was denied. </w:t>
      </w:r>
    </w:p>
    <w:p w14:paraId="49450788" w14:textId="77777777" w:rsidR="006F15D2" w:rsidRPr="006F15D2" w:rsidRDefault="006F15D2" w:rsidP="006F15D2">
      <w:pPr>
        <w:rPr>
          <w:rFonts w:asciiTheme="minorHAnsi" w:hAnsiTheme="minorHAnsi" w:cstheme="minorHAnsi"/>
          <w:sz w:val="24"/>
          <w:szCs w:val="24"/>
        </w:rPr>
      </w:pPr>
    </w:p>
    <w:p w14:paraId="75461776"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In conclusion, domestic abuse incidents are dealt with daily by police officers. Our response and reactions to these situations are vital, especially with the challenges that are often </w:t>
      </w:r>
      <w:r w:rsidRPr="006F15D2">
        <w:rPr>
          <w:rFonts w:asciiTheme="minorHAnsi" w:hAnsiTheme="minorHAnsi" w:cstheme="minorHAnsi"/>
          <w:sz w:val="24"/>
          <w:szCs w:val="24"/>
        </w:rPr>
        <w:lastRenderedPageBreak/>
        <w:t>encountered. Providing effective policing by engaging with certain strategies that are available can provide protection for the victim and allow them to feel that they have been heard. Although at times, no charges are authorised, the way in which an officer reacts and dealt with the incident has a lasting effect on the victim.</w:t>
      </w:r>
    </w:p>
    <w:p w14:paraId="1CFF0354" w14:textId="77777777" w:rsidR="006F15D2" w:rsidRPr="006F15D2" w:rsidRDefault="006F15D2" w:rsidP="006F15D2">
      <w:pPr>
        <w:rPr>
          <w:rFonts w:asciiTheme="minorHAnsi" w:hAnsiTheme="minorHAnsi" w:cstheme="minorHAnsi"/>
          <w:sz w:val="24"/>
          <w:szCs w:val="24"/>
        </w:rPr>
      </w:pPr>
    </w:p>
    <w:p w14:paraId="7E2F71EC" w14:textId="77777777" w:rsidR="006F15D2" w:rsidRPr="006F15D2" w:rsidRDefault="006F15D2" w:rsidP="006F15D2">
      <w:pPr>
        <w:rPr>
          <w:rFonts w:asciiTheme="minorHAnsi" w:hAnsiTheme="minorHAnsi" w:cstheme="minorHAnsi"/>
          <w:sz w:val="24"/>
          <w:szCs w:val="24"/>
        </w:rPr>
      </w:pPr>
    </w:p>
    <w:p w14:paraId="7D3264B7" w14:textId="77777777" w:rsidR="006F15D2" w:rsidRPr="006F15D2" w:rsidRDefault="006F15D2" w:rsidP="006F15D2">
      <w:pPr>
        <w:rPr>
          <w:rFonts w:asciiTheme="minorHAnsi" w:hAnsiTheme="minorHAnsi" w:cstheme="minorHAnsi"/>
          <w:sz w:val="24"/>
          <w:szCs w:val="24"/>
        </w:rPr>
      </w:pPr>
    </w:p>
    <w:p w14:paraId="114EB599" w14:textId="77777777" w:rsidR="006F15D2" w:rsidRPr="006F15D2" w:rsidRDefault="006F15D2" w:rsidP="006F15D2">
      <w:pPr>
        <w:rPr>
          <w:rFonts w:asciiTheme="minorHAnsi" w:hAnsiTheme="minorHAnsi" w:cstheme="minorHAnsi"/>
          <w:sz w:val="24"/>
          <w:szCs w:val="24"/>
        </w:rPr>
      </w:pPr>
    </w:p>
    <w:p w14:paraId="13995E77" w14:textId="77777777" w:rsidR="006F15D2" w:rsidRPr="006F15D2" w:rsidRDefault="006F15D2" w:rsidP="006F15D2">
      <w:pPr>
        <w:rPr>
          <w:rFonts w:asciiTheme="minorHAnsi" w:hAnsiTheme="minorHAnsi" w:cstheme="minorHAnsi"/>
          <w:sz w:val="24"/>
          <w:szCs w:val="24"/>
        </w:rPr>
      </w:pPr>
    </w:p>
    <w:p w14:paraId="7DC9B153"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Word Count: 2197</w:t>
      </w:r>
    </w:p>
    <w:p w14:paraId="3DA4C2E6" w14:textId="77777777" w:rsidR="006F15D2" w:rsidRPr="006F15D2" w:rsidRDefault="006F15D2" w:rsidP="006F15D2">
      <w:pPr>
        <w:rPr>
          <w:rFonts w:asciiTheme="minorHAnsi" w:hAnsiTheme="minorHAnsi" w:cstheme="minorHAnsi"/>
          <w:sz w:val="24"/>
          <w:szCs w:val="24"/>
        </w:rPr>
      </w:pPr>
    </w:p>
    <w:p w14:paraId="74D5D43B" w14:textId="77777777" w:rsidR="006F15D2" w:rsidRPr="006F15D2" w:rsidRDefault="006F15D2" w:rsidP="006F15D2">
      <w:pPr>
        <w:rPr>
          <w:rFonts w:asciiTheme="minorHAnsi" w:hAnsiTheme="minorHAnsi" w:cstheme="minorHAnsi"/>
          <w:sz w:val="24"/>
          <w:szCs w:val="24"/>
        </w:rPr>
      </w:pPr>
    </w:p>
    <w:p w14:paraId="5E21EEB1" w14:textId="7B5D82A9" w:rsidR="006F15D2" w:rsidRDefault="006F15D2" w:rsidP="006F15D2">
      <w:pPr>
        <w:rPr>
          <w:rFonts w:asciiTheme="minorHAnsi" w:hAnsiTheme="minorHAnsi" w:cstheme="minorHAnsi"/>
          <w:sz w:val="24"/>
          <w:szCs w:val="24"/>
        </w:rPr>
      </w:pPr>
    </w:p>
    <w:p w14:paraId="4D6A7EE9" w14:textId="099391AE" w:rsidR="00A33D35" w:rsidRDefault="00A33D35" w:rsidP="006F15D2">
      <w:pPr>
        <w:rPr>
          <w:rFonts w:asciiTheme="minorHAnsi" w:hAnsiTheme="minorHAnsi" w:cstheme="minorHAnsi"/>
          <w:sz w:val="24"/>
          <w:szCs w:val="24"/>
        </w:rPr>
      </w:pPr>
    </w:p>
    <w:p w14:paraId="7D487C4D" w14:textId="60D589BC" w:rsidR="00A33D35" w:rsidRDefault="00A33D35" w:rsidP="006F15D2">
      <w:pPr>
        <w:rPr>
          <w:rFonts w:asciiTheme="minorHAnsi" w:hAnsiTheme="minorHAnsi" w:cstheme="minorHAnsi"/>
          <w:sz w:val="24"/>
          <w:szCs w:val="24"/>
        </w:rPr>
      </w:pPr>
    </w:p>
    <w:p w14:paraId="7B11E38F" w14:textId="7853E539" w:rsidR="00A33D35" w:rsidRDefault="00A33D35" w:rsidP="006F15D2">
      <w:pPr>
        <w:rPr>
          <w:rFonts w:asciiTheme="minorHAnsi" w:hAnsiTheme="minorHAnsi" w:cstheme="minorHAnsi"/>
          <w:sz w:val="24"/>
          <w:szCs w:val="24"/>
        </w:rPr>
      </w:pPr>
    </w:p>
    <w:p w14:paraId="458DBAB6" w14:textId="6940AD75" w:rsidR="00A33D35" w:rsidRDefault="00A33D35" w:rsidP="006F15D2">
      <w:pPr>
        <w:rPr>
          <w:rFonts w:asciiTheme="minorHAnsi" w:hAnsiTheme="minorHAnsi" w:cstheme="minorHAnsi"/>
          <w:sz w:val="24"/>
          <w:szCs w:val="24"/>
        </w:rPr>
      </w:pPr>
    </w:p>
    <w:p w14:paraId="714B5D6F" w14:textId="734C55CB" w:rsidR="00A33D35" w:rsidRDefault="00A33D35" w:rsidP="006F15D2">
      <w:pPr>
        <w:rPr>
          <w:rFonts w:asciiTheme="minorHAnsi" w:hAnsiTheme="minorHAnsi" w:cstheme="minorHAnsi"/>
          <w:sz w:val="24"/>
          <w:szCs w:val="24"/>
        </w:rPr>
      </w:pPr>
    </w:p>
    <w:p w14:paraId="5284514B" w14:textId="392F9086" w:rsidR="00A33D35" w:rsidRDefault="00A33D35" w:rsidP="006F15D2">
      <w:pPr>
        <w:rPr>
          <w:rFonts w:asciiTheme="minorHAnsi" w:hAnsiTheme="minorHAnsi" w:cstheme="minorHAnsi"/>
          <w:sz w:val="24"/>
          <w:szCs w:val="24"/>
        </w:rPr>
      </w:pPr>
    </w:p>
    <w:p w14:paraId="70C83C31" w14:textId="4CBA29FF" w:rsidR="00A33D35" w:rsidRDefault="00A33D35" w:rsidP="006F15D2">
      <w:pPr>
        <w:rPr>
          <w:rFonts w:asciiTheme="minorHAnsi" w:hAnsiTheme="minorHAnsi" w:cstheme="minorHAnsi"/>
          <w:sz w:val="24"/>
          <w:szCs w:val="24"/>
        </w:rPr>
      </w:pPr>
    </w:p>
    <w:p w14:paraId="1CEA01C4" w14:textId="77777777" w:rsidR="00A33D35" w:rsidRPr="006F15D2" w:rsidRDefault="00A33D35" w:rsidP="006F15D2">
      <w:pPr>
        <w:rPr>
          <w:rFonts w:asciiTheme="minorHAnsi" w:hAnsiTheme="minorHAnsi" w:cstheme="minorHAnsi"/>
          <w:sz w:val="24"/>
          <w:szCs w:val="24"/>
        </w:rPr>
      </w:pPr>
    </w:p>
    <w:p w14:paraId="56CEE93F" w14:textId="77777777" w:rsidR="006F15D2" w:rsidRPr="006F15D2" w:rsidRDefault="006F15D2" w:rsidP="006F15D2">
      <w:pPr>
        <w:rPr>
          <w:rFonts w:asciiTheme="minorHAnsi" w:hAnsiTheme="minorHAnsi" w:cstheme="minorHAnsi"/>
          <w:sz w:val="24"/>
          <w:szCs w:val="24"/>
        </w:rPr>
      </w:pPr>
    </w:p>
    <w:p w14:paraId="5AD6F3C5" w14:textId="77777777" w:rsidR="006F15D2" w:rsidRPr="006F15D2" w:rsidRDefault="006F15D2" w:rsidP="006F15D2">
      <w:pPr>
        <w:ind w:right="237"/>
        <w:jc w:val="both"/>
        <w:rPr>
          <w:rFonts w:asciiTheme="minorHAnsi" w:eastAsia="Arial" w:hAnsiTheme="minorHAnsi" w:cstheme="minorHAnsi"/>
          <w:sz w:val="24"/>
          <w:szCs w:val="24"/>
        </w:rPr>
      </w:pPr>
    </w:p>
    <w:p w14:paraId="0352BD43" w14:textId="77777777" w:rsidR="006F15D2" w:rsidRPr="006F15D2" w:rsidRDefault="006F15D2" w:rsidP="006F15D2">
      <w:pPr>
        <w:ind w:right="237"/>
        <w:jc w:val="both"/>
        <w:rPr>
          <w:rFonts w:asciiTheme="minorHAnsi" w:eastAsia="Arial" w:hAnsiTheme="minorHAnsi" w:cstheme="minorHAnsi"/>
          <w:sz w:val="24"/>
          <w:szCs w:val="24"/>
        </w:rPr>
      </w:pPr>
    </w:p>
    <w:p w14:paraId="18336E03" w14:textId="77777777" w:rsidR="006F15D2" w:rsidRPr="006F15D2" w:rsidRDefault="006F15D2" w:rsidP="006F15D2">
      <w:pPr>
        <w:ind w:right="237"/>
        <w:jc w:val="both"/>
        <w:rPr>
          <w:rFonts w:asciiTheme="minorHAnsi" w:eastAsia="Arial" w:hAnsiTheme="minorHAnsi" w:cstheme="minorHAnsi"/>
          <w:sz w:val="24"/>
          <w:szCs w:val="24"/>
        </w:rPr>
      </w:pPr>
    </w:p>
    <w:p w14:paraId="08102530" w14:textId="77777777" w:rsidR="006F15D2" w:rsidRPr="006F15D2" w:rsidRDefault="006F15D2" w:rsidP="006F15D2">
      <w:pPr>
        <w:ind w:right="237"/>
        <w:jc w:val="both"/>
        <w:rPr>
          <w:rFonts w:asciiTheme="minorHAnsi" w:eastAsia="Arial" w:hAnsiTheme="minorHAnsi" w:cstheme="minorHAnsi"/>
          <w:sz w:val="24"/>
          <w:szCs w:val="24"/>
        </w:rPr>
      </w:pPr>
    </w:p>
    <w:p w14:paraId="6E6F607A" w14:textId="77777777" w:rsidR="006F15D2" w:rsidRPr="006F15D2" w:rsidRDefault="006F15D2" w:rsidP="006F15D2">
      <w:pPr>
        <w:ind w:right="237"/>
        <w:jc w:val="both"/>
        <w:rPr>
          <w:rFonts w:asciiTheme="minorHAnsi" w:eastAsia="Arial" w:hAnsiTheme="minorHAnsi" w:cstheme="minorHAnsi"/>
          <w:sz w:val="24"/>
          <w:szCs w:val="24"/>
        </w:rPr>
      </w:pPr>
    </w:p>
    <w:p w14:paraId="41D51172" w14:textId="77777777" w:rsidR="006F15D2" w:rsidRPr="006F15D2" w:rsidRDefault="006F15D2" w:rsidP="006F15D2">
      <w:pPr>
        <w:ind w:right="237"/>
        <w:jc w:val="both"/>
        <w:rPr>
          <w:rFonts w:asciiTheme="minorHAnsi" w:eastAsia="Arial" w:hAnsiTheme="minorHAnsi" w:cstheme="minorHAnsi"/>
          <w:sz w:val="24"/>
          <w:szCs w:val="24"/>
        </w:rPr>
      </w:pPr>
    </w:p>
    <w:p w14:paraId="260B1643" w14:textId="77777777" w:rsidR="006F15D2" w:rsidRPr="006F15D2" w:rsidRDefault="006F15D2" w:rsidP="006F15D2">
      <w:pPr>
        <w:ind w:right="237"/>
        <w:jc w:val="both"/>
        <w:rPr>
          <w:rFonts w:asciiTheme="minorHAnsi" w:eastAsia="Arial" w:hAnsiTheme="minorHAnsi" w:cstheme="minorHAnsi"/>
          <w:sz w:val="24"/>
          <w:szCs w:val="24"/>
        </w:rPr>
      </w:pPr>
    </w:p>
    <w:p w14:paraId="1261C5A2" w14:textId="77777777" w:rsidR="006F15D2" w:rsidRPr="006F15D2" w:rsidRDefault="006F15D2" w:rsidP="006F15D2">
      <w:pPr>
        <w:ind w:right="237"/>
        <w:jc w:val="both"/>
        <w:rPr>
          <w:rFonts w:asciiTheme="minorHAnsi" w:eastAsia="Arial" w:hAnsiTheme="minorHAnsi" w:cstheme="minorHAnsi"/>
          <w:sz w:val="24"/>
          <w:szCs w:val="24"/>
        </w:rPr>
      </w:pPr>
    </w:p>
    <w:p w14:paraId="4BE7A1A8" w14:textId="77777777" w:rsidR="006F15D2" w:rsidRPr="006F15D2" w:rsidRDefault="006F15D2" w:rsidP="006F15D2">
      <w:pPr>
        <w:ind w:right="237"/>
        <w:jc w:val="both"/>
        <w:rPr>
          <w:rFonts w:asciiTheme="minorHAnsi" w:eastAsia="Arial" w:hAnsiTheme="minorHAnsi" w:cstheme="minorHAnsi"/>
          <w:sz w:val="24"/>
          <w:szCs w:val="24"/>
        </w:rPr>
      </w:pPr>
    </w:p>
    <w:p w14:paraId="103180A7" w14:textId="77777777" w:rsidR="006F15D2" w:rsidRPr="006F15D2" w:rsidRDefault="006F15D2" w:rsidP="006F15D2">
      <w:pPr>
        <w:ind w:right="237"/>
        <w:jc w:val="both"/>
        <w:rPr>
          <w:rFonts w:asciiTheme="minorHAnsi" w:eastAsia="Arial" w:hAnsiTheme="minorHAnsi" w:cstheme="minorHAnsi"/>
          <w:sz w:val="24"/>
          <w:szCs w:val="24"/>
        </w:rPr>
      </w:pPr>
    </w:p>
    <w:p w14:paraId="5621393E" w14:textId="77777777" w:rsidR="006F15D2" w:rsidRPr="006F15D2" w:rsidRDefault="006F15D2" w:rsidP="006F15D2">
      <w:pPr>
        <w:ind w:right="237"/>
        <w:jc w:val="both"/>
        <w:rPr>
          <w:rFonts w:asciiTheme="minorHAnsi" w:eastAsia="Arial" w:hAnsiTheme="minorHAnsi" w:cstheme="minorHAnsi"/>
          <w:sz w:val="24"/>
          <w:szCs w:val="24"/>
        </w:rPr>
      </w:pPr>
    </w:p>
    <w:p w14:paraId="539DF0AA" w14:textId="77777777" w:rsidR="006F15D2" w:rsidRDefault="006F15D2" w:rsidP="006F15D2">
      <w:pPr>
        <w:ind w:right="237"/>
        <w:jc w:val="both"/>
        <w:rPr>
          <w:rFonts w:eastAsia="Arial"/>
          <w:sz w:val="24"/>
          <w:szCs w:val="24"/>
        </w:rPr>
      </w:pPr>
    </w:p>
    <w:p w14:paraId="6D268E3C" w14:textId="77777777" w:rsidR="006F15D2" w:rsidRDefault="006F15D2" w:rsidP="006F15D2">
      <w:pPr>
        <w:ind w:right="237"/>
        <w:jc w:val="both"/>
        <w:rPr>
          <w:rFonts w:eastAsia="Arial"/>
          <w:sz w:val="24"/>
          <w:szCs w:val="24"/>
        </w:rPr>
      </w:pPr>
    </w:p>
    <w:p w14:paraId="7B2B83E3" w14:textId="77777777" w:rsidR="006F15D2" w:rsidRDefault="006F15D2" w:rsidP="006F15D2">
      <w:pPr>
        <w:ind w:right="237"/>
        <w:jc w:val="both"/>
        <w:rPr>
          <w:rFonts w:eastAsia="Arial"/>
          <w:sz w:val="24"/>
          <w:szCs w:val="24"/>
        </w:rPr>
      </w:pPr>
    </w:p>
    <w:p w14:paraId="4F6F917A" w14:textId="77777777" w:rsidR="006F15D2" w:rsidRDefault="006F15D2" w:rsidP="006F15D2">
      <w:pPr>
        <w:ind w:right="237"/>
        <w:jc w:val="both"/>
        <w:rPr>
          <w:rFonts w:eastAsia="Arial"/>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869AE7F" w:rsidR="0FF883D4" w:rsidRDefault="5CE196A1" w:rsidP="5CE196A1">
      <w:r w:rsidRPr="5CE196A1">
        <w:rPr>
          <w:rFonts w:eastAsia="Arial"/>
          <w:b/>
          <w:bCs/>
          <w:color w:val="000000" w:themeColor="text1"/>
          <w:sz w:val="24"/>
          <w:szCs w:val="24"/>
        </w:rPr>
        <w:t xml:space="preserve">Signed: </w:t>
      </w:r>
      <w:r w:rsidR="00A33D35">
        <w:rPr>
          <w:rFonts w:eastAsia="Arial"/>
          <w:b/>
          <w:bCs/>
          <w:color w:val="000000" w:themeColor="text1"/>
          <w:sz w:val="24"/>
          <w:szCs w:val="24"/>
        </w:rPr>
        <w:t>V. Wilson</w:t>
      </w:r>
    </w:p>
    <w:p w14:paraId="563192E7" w14:textId="65942772" w:rsidR="0FF883D4" w:rsidRDefault="5CE196A1" w:rsidP="5CE196A1">
      <w:r w:rsidRPr="5CE196A1">
        <w:rPr>
          <w:rFonts w:eastAsia="Arial"/>
          <w:b/>
          <w:bCs/>
          <w:color w:val="000000" w:themeColor="text1"/>
          <w:sz w:val="24"/>
          <w:szCs w:val="24"/>
        </w:rPr>
        <w:t xml:space="preserve"> </w:t>
      </w:r>
    </w:p>
    <w:p w14:paraId="22DBB0E5" w14:textId="7FBA3DB1" w:rsidR="0FF883D4" w:rsidRDefault="00A33D35" w:rsidP="5CE196A1">
      <w:r w:rsidRPr="00A33D35">
        <w:rPr>
          <w:b/>
          <w:bCs/>
          <w:noProof/>
          <w:sz w:val="24"/>
          <w:szCs w:val="24"/>
          <w:lang w:eastAsia="zh-TW"/>
        </w:rPr>
        <mc:AlternateContent>
          <mc:Choice Requires="wps">
            <w:drawing>
              <wp:anchor distT="45720" distB="45720" distL="114300" distR="114300" simplePos="0" relativeHeight="251659264" behindDoc="0" locked="0" layoutInCell="1" allowOverlap="1" wp14:anchorId="3B366526" wp14:editId="3B7E5D26">
                <wp:simplePos x="0" y="0"/>
                <wp:positionH relativeFrom="column">
                  <wp:posOffset>510540</wp:posOffset>
                </wp:positionH>
                <wp:positionV relativeFrom="paragraph">
                  <wp:posOffset>3810</wp:posOffset>
                </wp:positionV>
                <wp:extent cx="1484630" cy="281940"/>
                <wp:effectExtent l="0" t="0" r="2032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630" cy="281940"/>
                        </a:xfrm>
                        <a:prstGeom prst="rect">
                          <a:avLst/>
                        </a:prstGeom>
                        <a:solidFill>
                          <a:srgbClr val="FFFFFF"/>
                        </a:solidFill>
                        <a:ln w="9525">
                          <a:solidFill>
                            <a:schemeClr val="bg1"/>
                          </a:solidFill>
                          <a:miter lim="800000"/>
                          <a:headEnd/>
                          <a:tailEnd/>
                        </a:ln>
                      </wps:spPr>
                      <wps:txbx>
                        <w:txbxContent>
                          <w:p w14:paraId="2F32ED63" w14:textId="3363080C" w:rsidR="00A33D35" w:rsidRPr="00A33D35" w:rsidRDefault="00A33D35">
                            <w:pPr>
                              <w:rPr>
                                <w:b/>
                                <w:bCs/>
                                <w:sz w:val="24"/>
                                <w:szCs w:val="24"/>
                              </w:rPr>
                            </w:pPr>
                            <w:r w:rsidRPr="00A33D35">
                              <w:rPr>
                                <w:b/>
                                <w:bCs/>
                                <w:sz w:val="24"/>
                                <w:szCs w:val="24"/>
                              </w:rPr>
                              <w:t>14/10/2022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366526" id="_x0000_t202" coordsize="21600,21600" o:spt="202" path="m,l,21600r21600,l21600,xe">
                <v:stroke joinstyle="miter"/>
                <v:path gradientshapeok="t" o:connecttype="rect"/>
              </v:shapetype>
              <v:shape id="Text Box 2" o:spid="_x0000_s1026" type="#_x0000_t202" style="position:absolute;margin-left:40.2pt;margin-top:.3pt;width:116.9pt;height:22.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" strokecolor="white [3212]">
                <v:textbox>
                  <w:txbxContent>
                    <w:p w14:paraId="2F32ED63" w14:textId="3363080C" w:rsidR="00A33D35" w:rsidRPr="00A33D35" w:rsidRDefault="00A33D35">
                      <w:pPr>
                        <w:rPr>
                          <w:b/>
                          <w:bCs/>
                          <w:sz w:val="24"/>
                          <w:szCs w:val="24"/>
                        </w:rPr>
                      </w:pPr>
                      <w:r w:rsidRPr="00A33D35">
                        <w:rPr>
                          <w:b/>
                          <w:bCs/>
                          <w:sz w:val="24"/>
                          <w:szCs w:val="24"/>
                        </w:rPr>
                        <w:t>14/10/2022</w:t>
                      </w:r>
                    </w:p>
                  </w:txbxContent>
                </v:textbox>
                <w10:wrap type="square"/>
              </v:shape>
            </w:pict>
          </mc:Fallback>
        </mc:AlternateContent>
      </w:r>
      <w:r w:rsidR="5CE196A1" w:rsidRPr="5CE196A1">
        <w:rPr>
          <w:rFonts w:eastAsia="Arial"/>
          <w:b/>
          <w:bCs/>
          <w:color w:val="000000" w:themeColor="text1"/>
          <w:sz w:val="24"/>
          <w:szCs w:val="24"/>
        </w:rPr>
        <w:t>Date:</w:t>
      </w:r>
    </w:p>
    <w:p w14:paraId="482B2B3A" w14:textId="34CF2A12" w:rsidR="0FF883D4" w:rsidRDefault="0FF883D4" w:rsidP="5CE196A1">
      <w:pPr>
        <w:ind w:left="2880" w:right="225" w:firstLine="720"/>
        <w:rPr>
          <w:b/>
          <w:bCs/>
          <w:sz w:val="24"/>
          <w:szCs w:val="24"/>
          <w:lang w:eastAsia="zh-TW"/>
        </w:rPr>
        <w:sectPr w:rsidR="0FF883D4"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p>
    <w:p w14:paraId="675E47AA" w14:textId="77777777" w:rsidR="006F15D2" w:rsidRDefault="004923DA" w:rsidP="006F15D2">
      <w:pPr>
        <w:keepNext/>
        <w:spacing w:before="240" w:after="60"/>
        <w:ind w:right="237"/>
        <w:jc w:val="both"/>
        <w:rPr>
          <w:b/>
          <w:sz w:val="24"/>
          <w:szCs w:val="24"/>
        </w:rPr>
      </w:pPr>
      <w:r w:rsidRPr="00E676F7">
        <w:rPr>
          <w:b/>
          <w:sz w:val="24"/>
          <w:szCs w:val="24"/>
        </w:rPr>
        <w:lastRenderedPageBreak/>
        <w:t>Bibliography</w:t>
      </w:r>
    </w:p>
    <w:p w14:paraId="34A5E643" w14:textId="737840E3" w:rsidR="006F15D2" w:rsidRPr="006F15D2" w:rsidRDefault="006F15D2" w:rsidP="006F15D2">
      <w:pPr>
        <w:keepNext/>
        <w:spacing w:before="240" w:after="60"/>
        <w:ind w:right="237"/>
        <w:jc w:val="both"/>
        <w:rPr>
          <w:b/>
          <w:sz w:val="24"/>
          <w:szCs w:val="24"/>
        </w:rPr>
      </w:pPr>
      <w:r>
        <w:rPr>
          <w:rFonts w:ascii="Noto Sans" w:hAnsi="Noto Sans" w:cs="Noto Sans"/>
          <w:color w:val="181817"/>
          <w:shd w:val="clear" w:color="auto" w:fill="FFFFFF"/>
        </w:rPr>
        <w:t xml:space="preserve">Biglan, A., Van Ryzin, M. J., Moore, K. J., Mauricci, M. and Mannan, I. (2019) “The socialization of boys and men in the modern era: An </w:t>
      </w:r>
      <w:r w:rsidRPr="00D62F85">
        <w:rPr>
          <w:rFonts w:ascii="Noto Sans" w:hAnsi="Noto Sans" w:cs="Noto Sans"/>
          <w:color w:val="181817"/>
          <w:shd w:val="clear" w:color="auto" w:fill="FFFFFF"/>
        </w:rPr>
        <w:t>evolutionary mismatch,” </w:t>
      </w:r>
      <w:r w:rsidRPr="00D62F85">
        <w:rPr>
          <w:rFonts w:ascii="Noto Sans" w:hAnsi="Noto Sans" w:cs="Noto Sans"/>
          <w:i/>
          <w:iCs/>
          <w:color w:val="181817"/>
          <w:bdr w:val="none" w:sz="0" w:space="0" w:color="auto" w:frame="1"/>
          <w:shd w:val="clear" w:color="auto" w:fill="FFFFFF"/>
        </w:rPr>
        <w:t>Development and Psychopathology</w:t>
      </w:r>
      <w:r w:rsidRPr="00D62F85">
        <w:rPr>
          <w:rFonts w:ascii="Noto Sans" w:hAnsi="Noto Sans" w:cs="Noto Sans"/>
          <w:color w:val="181817"/>
          <w:shd w:val="clear" w:color="auto" w:fill="FFFFFF"/>
        </w:rPr>
        <w:t xml:space="preserve">. </w:t>
      </w:r>
    </w:p>
    <w:p w14:paraId="652321A1" w14:textId="77777777" w:rsidR="006F15D2" w:rsidRDefault="006F15D2" w:rsidP="006F15D2">
      <w:pPr>
        <w:rPr>
          <w:rFonts w:asciiTheme="minorHAnsi" w:hAnsiTheme="minorHAnsi" w:cstheme="minorHAnsi"/>
          <w:sz w:val="24"/>
          <w:szCs w:val="24"/>
        </w:rPr>
      </w:pPr>
    </w:p>
    <w:p w14:paraId="5B7F5DB9" w14:textId="59E73962"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Bussey, K., and Bandura, A., (1999) ‘Social Cognitive theory of gender development and differentiation’, </w:t>
      </w:r>
      <w:r>
        <w:rPr>
          <w:rFonts w:asciiTheme="minorHAnsi" w:hAnsiTheme="minorHAnsi" w:cstheme="minorHAnsi"/>
          <w:i/>
          <w:iCs/>
          <w:sz w:val="24"/>
          <w:szCs w:val="24"/>
        </w:rPr>
        <w:t xml:space="preserve">Psychological Review, </w:t>
      </w:r>
      <w:r>
        <w:rPr>
          <w:rFonts w:asciiTheme="minorHAnsi" w:hAnsiTheme="minorHAnsi" w:cstheme="minorHAnsi"/>
          <w:sz w:val="24"/>
          <w:szCs w:val="24"/>
        </w:rPr>
        <w:t xml:space="preserve">106(4), pp. 676-713. </w:t>
      </w:r>
    </w:p>
    <w:p w14:paraId="0A865211" w14:textId="77777777" w:rsidR="006F15D2" w:rsidRDefault="006F15D2" w:rsidP="006F15D2">
      <w:pPr>
        <w:rPr>
          <w:rFonts w:ascii="Noto Sans" w:hAnsi="Noto Sans" w:cs="Noto Sans"/>
          <w:color w:val="181817"/>
          <w:shd w:val="clear" w:color="auto" w:fill="FFFFFF"/>
        </w:rPr>
      </w:pPr>
    </w:p>
    <w:p w14:paraId="416C3CD7" w14:textId="39649C45" w:rsidR="006F15D2" w:rsidRDefault="006F15D2" w:rsidP="006F15D2">
      <w:pPr>
        <w:rPr>
          <w:rFonts w:ascii="Noto Sans" w:hAnsi="Noto Sans" w:cs="Noto Sans"/>
          <w:color w:val="181817"/>
          <w:shd w:val="clear" w:color="auto" w:fill="FFFFFF"/>
        </w:rPr>
      </w:pPr>
      <w:r>
        <w:rPr>
          <w:rFonts w:asciiTheme="minorHAnsi" w:hAnsiTheme="minorHAnsi" w:cstheme="minorHAnsi"/>
          <w:sz w:val="24"/>
          <w:szCs w:val="24"/>
        </w:rPr>
        <w:t xml:space="preserve">Cambridge University Press, </w:t>
      </w:r>
      <w:r w:rsidRPr="00377E54">
        <w:rPr>
          <w:rFonts w:asciiTheme="minorHAnsi" w:hAnsiTheme="minorHAnsi" w:cstheme="minorHAnsi"/>
          <w:i/>
          <w:iCs/>
          <w:sz w:val="24"/>
          <w:szCs w:val="24"/>
        </w:rPr>
        <w:t>Definition of Masculinity</w:t>
      </w:r>
      <w:r>
        <w:rPr>
          <w:rFonts w:asciiTheme="minorHAnsi" w:hAnsiTheme="minorHAnsi" w:cstheme="minorHAnsi"/>
          <w:sz w:val="24"/>
          <w:szCs w:val="24"/>
        </w:rPr>
        <w:t xml:space="preserve">. Available at </w:t>
      </w:r>
      <w:hyperlink r:id="rId18" w:history="1">
        <w:r w:rsidRPr="00C7293C">
          <w:rPr>
            <w:rStyle w:val="Hyperlink"/>
            <w:rFonts w:asciiTheme="minorHAnsi" w:hAnsiTheme="minorHAnsi" w:cstheme="minorHAnsi"/>
            <w:sz w:val="24"/>
            <w:szCs w:val="24"/>
          </w:rPr>
          <w:t>https://dictionary.cambridge.org/dictionary/english/masculinity</w:t>
        </w:r>
      </w:hyperlink>
      <w:r>
        <w:rPr>
          <w:rFonts w:asciiTheme="minorHAnsi" w:hAnsiTheme="minorHAnsi" w:cstheme="minorHAnsi"/>
          <w:sz w:val="24"/>
          <w:szCs w:val="24"/>
        </w:rPr>
        <w:t xml:space="preserve"> </w:t>
      </w:r>
      <w:r>
        <w:rPr>
          <w:rFonts w:ascii="Noto Sans" w:hAnsi="Noto Sans" w:cs="Noto Sans"/>
          <w:color w:val="181817"/>
          <w:shd w:val="clear" w:color="auto" w:fill="FFFFFF"/>
        </w:rPr>
        <w:t>(Accessed 7</w:t>
      </w:r>
      <w:r w:rsidRPr="006F15D2">
        <w:rPr>
          <w:rFonts w:ascii="Noto Sans" w:hAnsi="Noto Sans" w:cs="Noto Sans"/>
          <w:color w:val="181817"/>
          <w:shd w:val="clear" w:color="auto" w:fill="FFFFFF"/>
          <w:vertAlign w:val="superscript"/>
        </w:rPr>
        <w:t>th</w:t>
      </w:r>
      <w:r>
        <w:rPr>
          <w:rFonts w:ascii="Noto Sans" w:hAnsi="Noto Sans" w:cs="Noto Sans"/>
          <w:color w:val="181817"/>
          <w:shd w:val="clear" w:color="auto" w:fill="FFFFFF"/>
        </w:rPr>
        <w:t xml:space="preserve"> September 2022)</w:t>
      </w:r>
    </w:p>
    <w:p w14:paraId="63CBD915" w14:textId="77777777" w:rsidR="00A33D35" w:rsidRDefault="00A33D35" w:rsidP="006F15D2">
      <w:pPr>
        <w:rPr>
          <w:rFonts w:asciiTheme="minorHAnsi" w:hAnsiTheme="minorHAnsi" w:cstheme="minorHAnsi"/>
          <w:sz w:val="24"/>
          <w:szCs w:val="24"/>
        </w:rPr>
      </w:pPr>
    </w:p>
    <w:p w14:paraId="7066DF24" w14:textId="1E53E88D" w:rsidR="006F15D2" w:rsidRDefault="006F15D2" w:rsidP="006F15D2">
      <w:pPr>
        <w:rPr>
          <w:rFonts w:ascii="Noto Sans" w:hAnsi="Noto Sans" w:cs="Noto Sans"/>
          <w:color w:val="181817"/>
          <w:shd w:val="clear" w:color="auto" w:fill="FFFFFF"/>
        </w:rPr>
      </w:pPr>
      <w:r>
        <w:rPr>
          <w:rFonts w:asciiTheme="minorHAnsi" w:hAnsiTheme="minorHAnsi" w:cstheme="minorHAnsi"/>
          <w:sz w:val="24"/>
          <w:szCs w:val="24"/>
        </w:rPr>
        <w:t xml:space="preserve">College of Policing (2021), </w:t>
      </w:r>
      <w:r w:rsidRPr="00377E54">
        <w:rPr>
          <w:rFonts w:asciiTheme="minorHAnsi" w:hAnsiTheme="minorHAnsi" w:cstheme="minorHAnsi"/>
          <w:i/>
          <w:iCs/>
          <w:sz w:val="24"/>
          <w:szCs w:val="24"/>
        </w:rPr>
        <w:t>Introduction to vulnerability-related risk.</w:t>
      </w:r>
      <w:r>
        <w:rPr>
          <w:rFonts w:asciiTheme="minorHAnsi" w:hAnsiTheme="minorHAnsi" w:cstheme="minorHAnsi"/>
          <w:sz w:val="24"/>
          <w:szCs w:val="24"/>
        </w:rPr>
        <w:t xml:space="preserve"> Available at: </w:t>
      </w:r>
      <w:hyperlink r:id="rId19" w:history="1">
        <w:r w:rsidRPr="00C7293C">
          <w:rPr>
            <w:rStyle w:val="Hyperlink"/>
            <w:rFonts w:asciiTheme="minorHAnsi" w:hAnsiTheme="minorHAnsi" w:cstheme="minorHAnsi"/>
            <w:sz w:val="24"/>
            <w:szCs w:val="24"/>
          </w:rPr>
          <w:t>https://www.college.police.uk/guidance/vulnerability-related-risks/introduction-vulnerability-related-risk</w:t>
        </w:r>
      </w:hyperlink>
      <w:r>
        <w:rPr>
          <w:rStyle w:val="Hyperlink"/>
          <w:rFonts w:asciiTheme="minorHAnsi" w:hAnsiTheme="minorHAnsi" w:cstheme="minorHAnsi"/>
          <w:sz w:val="24"/>
          <w:szCs w:val="24"/>
        </w:rPr>
        <w:t xml:space="preserve"> </w:t>
      </w:r>
      <w:r>
        <w:rPr>
          <w:rFonts w:ascii="Noto Sans" w:hAnsi="Noto Sans" w:cs="Noto Sans"/>
          <w:color w:val="181817"/>
          <w:shd w:val="clear" w:color="auto" w:fill="FFFFFF"/>
        </w:rPr>
        <w:t>(Accessed 7</w:t>
      </w:r>
      <w:r w:rsidRPr="006F15D2">
        <w:rPr>
          <w:rFonts w:ascii="Noto Sans" w:hAnsi="Noto Sans" w:cs="Noto Sans"/>
          <w:color w:val="181817"/>
          <w:shd w:val="clear" w:color="auto" w:fill="FFFFFF"/>
          <w:vertAlign w:val="superscript"/>
        </w:rPr>
        <w:t>th</w:t>
      </w:r>
      <w:r>
        <w:rPr>
          <w:rFonts w:ascii="Noto Sans" w:hAnsi="Noto Sans" w:cs="Noto Sans"/>
          <w:color w:val="181817"/>
          <w:shd w:val="clear" w:color="auto" w:fill="FFFFFF"/>
        </w:rPr>
        <w:t xml:space="preserve"> September 2022)</w:t>
      </w:r>
    </w:p>
    <w:p w14:paraId="140D2E9C" w14:textId="77777777" w:rsidR="00A33D35" w:rsidRDefault="00A33D35" w:rsidP="006F15D2">
      <w:pPr>
        <w:rPr>
          <w:rStyle w:val="Hyperlink"/>
          <w:rFonts w:asciiTheme="minorHAnsi" w:hAnsiTheme="minorHAnsi" w:cstheme="minorHAnsi"/>
          <w:sz w:val="24"/>
          <w:szCs w:val="24"/>
        </w:rPr>
      </w:pPr>
    </w:p>
    <w:p w14:paraId="358B5C85" w14:textId="58C1D1CA" w:rsidR="006F15D2" w:rsidRDefault="006F15D2" w:rsidP="006F15D2">
      <w:pPr>
        <w:rPr>
          <w:rFonts w:ascii="Noto Sans" w:hAnsi="Noto Sans" w:cs="Noto Sans"/>
          <w:color w:val="181817"/>
          <w:shd w:val="clear" w:color="auto" w:fill="FFFFFF"/>
        </w:rPr>
      </w:pPr>
      <w:r>
        <w:rPr>
          <w:rFonts w:asciiTheme="minorHAnsi" w:hAnsiTheme="minorHAnsi" w:cstheme="minorHAnsi"/>
          <w:sz w:val="24"/>
          <w:szCs w:val="24"/>
        </w:rPr>
        <w:t xml:space="preserve">College of Policing (2022), </w:t>
      </w:r>
      <w:r w:rsidRPr="00377E54">
        <w:rPr>
          <w:rFonts w:asciiTheme="minorHAnsi" w:hAnsiTheme="minorHAnsi" w:cstheme="minorHAnsi"/>
          <w:i/>
          <w:iCs/>
          <w:sz w:val="24"/>
          <w:szCs w:val="24"/>
        </w:rPr>
        <w:t>Missing Persons.</w:t>
      </w:r>
      <w:r>
        <w:rPr>
          <w:rFonts w:asciiTheme="minorHAnsi" w:hAnsiTheme="minorHAnsi" w:cstheme="minorHAnsi"/>
          <w:sz w:val="24"/>
          <w:szCs w:val="24"/>
        </w:rPr>
        <w:t xml:space="preserve"> Available at: </w:t>
      </w:r>
      <w:hyperlink r:id="rId20" w:history="1">
        <w:r w:rsidRPr="00C7293C">
          <w:rPr>
            <w:rStyle w:val="Hyperlink"/>
            <w:rFonts w:asciiTheme="minorHAnsi" w:hAnsiTheme="minorHAnsi" w:cstheme="minorHAnsi"/>
            <w:sz w:val="24"/>
            <w:szCs w:val="24"/>
          </w:rPr>
          <w:t>https://www.college.police.uk/app/major-investigation-and-public-protection/missing-persons/missing-persons</w:t>
        </w:r>
      </w:hyperlink>
      <w:r>
        <w:rPr>
          <w:rFonts w:asciiTheme="minorHAnsi" w:hAnsiTheme="minorHAnsi" w:cstheme="minorHAnsi"/>
          <w:sz w:val="24"/>
          <w:szCs w:val="24"/>
        </w:rPr>
        <w:t xml:space="preserve">  </w:t>
      </w:r>
      <w:r>
        <w:rPr>
          <w:rFonts w:ascii="Noto Sans" w:hAnsi="Noto Sans" w:cs="Noto Sans"/>
          <w:color w:val="181817"/>
          <w:shd w:val="clear" w:color="auto" w:fill="FFFFFF"/>
        </w:rPr>
        <w:t>(Accessed 7</w:t>
      </w:r>
      <w:r w:rsidRPr="006F15D2">
        <w:rPr>
          <w:rFonts w:ascii="Noto Sans" w:hAnsi="Noto Sans" w:cs="Noto Sans"/>
          <w:color w:val="181817"/>
          <w:shd w:val="clear" w:color="auto" w:fill="FFFFFF"/>
          <w:vertAlign w:val="superscript"/>
        </w:rPr>
        <w:t>th</w:t>
      </w:r>
      <w:r>
        <w:rPr>
          <w:rFonts w:ascii="Noto Sans" w:hAnsi="Noto Sans" w:cs="Noto Sans"/>
          <w:color w:val="181817"/>
          <w:shd w:val="clear" w:color="auto" w:fill="FFFFFF"/>
        </w:rPr>
        <w:t xml:space="preserve"> September 2022)</w:t>
      </w:r>
    </w:p>
    <w:p w14:paraId="1E9A184A" w14:textId="77777777" w:rsidR="00A33D35" w:rsidRDefault="00A33D35" w:rsidP="006F15D2">
      <w:pPr>
        <w:rPr>
          <w:rFonts w:asciiTheme="minorHAnsi" w:hAnsiTheme="minorHAnsi" w:cstheme="minorHAnsi"/>
          <w:sz w:val="24"/>
          <w:szCs w:val="24"/>
        </w:rPr>
      </w:pPr>
    </w:p>
    <w:p w14:paraId="3E691848" w14:textId="18A2838F"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Crown Prosecution Service (CPS) (2018), </w:t>
      </w:r>
      <w:r w:rsidRPr="006F15D2">
        <w:rPr>
          <w:rFonts w:asciiTheme="minorHAnsi" w:hAnsiTheme="minorHAnsi" w:cstheme="minorHAnsi"/>
          <w:i/>
          <w:iCs/>
          <w:sz w:val="24"/>
          <w:szCs w:val="24"/>
        </w:rPr>
        <w:t>The Code for Crown Prosecutors</w:t>
      </w:r>
      <w:r w:rsidRPr="006F15D2">
        <w:rPr>
          <w:rFonts w:asciiTheme="minorHAnsi" w:hAnsiTheme="minorHAnsi" w:cstheme="minorHAnsi"/>
          <w:sz w:val="24"/>
          <w:szCs w:val="24"/>
        </w:rPr>
        <w:t xml:space="preserve">. Available at: </w:t>
      </w:r>
      <w:hyperlink r:id="rId21" w:history="1">
        <w:r w:rsidRPr="006F15D2">
          <w:rPr>
            <w:rStyle w:val="Hyperlink"/>
            <w:rFonts w:asciiTheme="minorHAnsi" w:hAnsiTheme="minorHAnsi" w:cstheme="minorHAnsi"/>
            <w:sz w:val="24"/>
            <w:szCs w:val="24"/>
          </w:rPr>
          <w:t>https://www.cps.gov.uk/publication/code-crown-prosecutors</w:t>
        </w:r>
      </w:hyperlink>
      <w:r w:rsidRPr="006F15D2">
        <w:rPr>
          <w:rFonts w:asciiTheme="minorHAnsi" w:hAnsiTheme="minorHAnsi" w:cstheme="minorHAnsi"/>
          <w:sz w:val="24"/>
          <w:szCs w:val="24"/>
        </w:rPr>
        <w:t xml:space="preserve"> (Accessed 6th September 2022)</w:t>
      </w:r>
    </w:p>
    <w:p w14:paraId="2D9DD307" w14:textId="77777777" w:rsidR="00A33D35" w:rsidRPr="006F15D2" w:rsidRDefault="00A33D35" w:rsidP="006F15D2">
      <w:pPr>
        <w:rPr>
          <w:rFonts w:asciiTheme="minorHAnsi" w:hAnsiTheme="minorHAnsi" w:cstheme="minorHAnsi"/>
          <w:b/>
          <w:bCs/>
          <w:sz w:val="24"/>
          <w:szCs w:val="24"/>
          <w:u w:val="single"/>
        </w:rPr>
      </w:pPr>
    </w:p>
    <w:p w14:paraId="60D56450" w14:textId="1AB5715D"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Crown Prosecution Service (CPS) (2021), </w:t>
      </w:r>
      <w:r w:rsidRPr="006F15D2">
        <w:rPr>
          <w:rFonts w:asciiTheme="minorHAnsi" w:hAnsiTheme="minorHAnsi" w:cstheme="minorHAnsi"/>
          <w:i/>
          <w:iCs/>
          <w:sz w:val="24"/>
          <w:szCs w:val="24"/>
        </w:rPr>
        <w:t>Special Measures</w:t>
      </w:r>
      <w:r w:rsidRPr="006F15D2">
        <w:rPr>
          <w:rFonts w:asciiTheme="minorHAnsi" w:hAnsiTheme="minorHAnsi" w:cstheme="minorHAnsi"/>
          <w:sz w:val="24"/>
          <w:szCs w:val="24"/>
        </w:rPr>
        <w:t xml:space="preserve">. Available at </w:t>
      </w:r>
      <w:hyperlink r:id="rId22" w:history="1">
        <w:r w:rsidRPr="006F15D2">
          <w:rPr>
            <w:rStyle w:val="Hyperlink"/>
            <w:rFonts w:asciiTheme="minorHAnsi" w:hAnsiTheme="minorHAnsi" w:cstheme="minorHAnsi"/>
            <w:sz w:val="24"/>
            <w:szCs w:val="24"/>
          </w:rPr>
          <w:t>https://www.cps.gov.uk/legal-guidance/special-measures</w:t>
        </w:r>
      </w:hyperlink>
      <w:r w:rsidRPr="006F15D2">
        <w:rPr>
          <w:rFonts w:asciiTheme="minorHAnsi" w:hAnsiTheme="minorHAnsi" w:cstheme="minorHAnsi"/>
          <w:sz w:val="24"/>
          <w:szCs w:val="24"/>
        </w:rPr>
        <w:t xml:space="preserve"> (Accessed 6th September 2022)</w:t>
      </w:r>
    </w:p>
    <w:p w14:paraId="3DCAAAA4" w14:textId="77777777" w:rsidR="00A33D35" w:rsidRPr="006F15D2" w:rsidRDefault="00A33D35" w:rsidP="006F15D2">
      <w:pPr>
        <w:rPr>
          <w:rFonts w:asciiTheme="minorHAnsi" w:hAnsiTheme="minorHAnsi" w:cstheme="minorHAnsi"/>
          <w:sz w:val="24"/>
          <w:szCs w:val="24"/>
        </w:rPr>
      </w:pPr>
    </w:p>
    <w:p w14:paraId="757628F3" w14:textId="230135B7"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Dobash, R. E, &amp; R. P. Dobash (2007), ‘Lethal and Nonlethal Violence Against an Intimate Female Partner: Comparing Male Murderers to Nonlethal Abusers’, </w:t>
      </w:r>
      <w:r w:rsidRPr="006F15D2">
        <w:rPr>
          <w:rFonts w:asciiTheme="minorHAnsi" w:hAnsiTheme="minorHAnsi" w:cstheme="minorHAnsi"/>
          <w:i/>
          <w:iCs/>
          <w:sz w:val="24"/>
          <w:szCs w:val="24"/>
        </w:rPr>
        <w:t>Violence Against Women</w:t>
      </w:r>
      <w:r w:rsidRPr="006F15D2">
        <w:rPr>
          <w:rFonts w:asciiTheme="minorHAnsi" w:hAnsiTheme="minorHAnsi" w:cstheme="minorHAnsi"/>
          <w:sz w:val="24"/>
          <w:szCs w:val="24"/>
        </w:rPr>
        <w:t xml:space="preserve">, 13(4), pp. 329-353. </w:t>
      </w:r>
    </w:p>
    <w:p w14:paraId="007662AF" w14:textId="77777777" w:rsidR="00A33D35" w:rsidRPr="006F15D2" w:rsidRDefault="00A33D35" w:rsidP="006F15D2">
      <w:pPr>
        <w:rPr>
          <w:rFonts w:asciiTheme="minorHAnsi" w:hAnsiTheme="minorHAnsi" w:cstheme="minorHAnsi"/>
          <w:sz w:val="24"/>
          <w:szCs w:val="24"/>
        </w:rPr>
      </w:pPr>
    </w:p>
    <w:p w14:paraId="510DF4F4" w14:textId="58B485B3" w:rsidR="006F15D2" w:rsidRDefault="006F15D2" w:rsidP="006F15D2">
      <w:pPr>
        <w:rPr>
          <w:rFonts w:asciiTheme="minorHAnsi" w:hAnsiTheme="minorHAnsi" w:cstheme="minorHAnsi"/>
          <w:sz w:val="24"/>
          <w:szCs w:val="24"/>
        </w:rPr>
      </w:pPr>
      <w:r w:rsidRPr="006F15D2">
        <w:rPr>
          <w:rFonts w:asciiTheme="minorHAnsi" w:hAnsiTheme="minorHAnsi" w:cstheme="minorHAnsi"/>
          <w:i/>
          <w:iCs/>
          <w:sz w:val="24"/>
          <w:szCs w:val="24"/>
        </w:rPr>
        <w:t>Domestic Abuse Act</w:t>
      </w:r>
      <w:r w:rsidRPr="006F15D2">
        <w:rPr>
          <w:rFonts w:asciiTheme="minorHAnsi" w:hAnsiTheme="minorHAnsi" w:cstheme="minorHAnsi"/>
          <w:sz w:val="24"/>
          <w:szCs w:val="24"/>
        </w:rPr>
        <w:t xml:space="preserve">, </w:t>
      </w:r>
      <w:r w:rsidRPr="006F15D2">
        <w:rPr>
          <w:rFonts w:asciiTheme="minorHAnsi" w:hAnsiTheme="minorHAnsi" w:cstheme="minorHAnsi"/>
          <w:i/>
          <w:iCs/>
          <w:sz w:val="24"/>
          <w:szCs w:val="24"/>
        </w:rPr>
        <w:t>2021.</w:t>
      </w:r>
      <w:r w:rsidRPr="006F15D2">
        <w:rPr>
          <w:rFonts w:asciiTheme="minorHAnsi" w:hAnsiTheme="minorHAnsi" w:cstheme="minorHAnsi"/>
          <w:sz w:val="24"/>
          <w:szCs w:val="24"/>
        </w:rPr>
        <w:t xml:space="preserve"> Available at: </w:t>
      </w:r>
      <w:hyperlink r:id="rId23" w:history="1">
        <w:r w:rsidRPr="006F15D2">
          <w:rPr>
            <w:rStyle w:val="Hyperlink"/>
            <w:rFonts w:asciiTheme="minorHAnsi" w:hAnsiTheme="minorHAnsi" w:cstheme="minorHAnsi"/>
            <w:sz w:val="24"/>
            <w:szCs w:val="24"/>
          </w:rPr>
          <w:t>https://www.legislation.gov.uk/ukpga/2021/17/contents/enacted</w:t>
        </w:r>
      </w:hyperlink>
      <w:r w:rsidRPr="006F15D2">
        <w:rPr>
          <w:rFonts w:asciiTheme="minorHAnsi" w:hAnsiTheme="minorHAnsi" w:cstheme="minorHAnsi"/>
          <w:sz w:val="24"/>
          <w:szCs w:val="24"/>
        </w:rPr>
        <w:t xml:space="preserve"> (Accessed 6th September 2022)</w:t>
      </w:r>
    </w:p>
    <w:p w14:paraId="207A11BA" w14:textId="77777777" w:rsidR="00A33D35" w:rsidRPr="006F15D2" w:rsidRDefault="00A33D35" w:rsidP="006F15D2">
      <w:pPr>
        <w:rPr>
          <w:rFonts w:asciiTheme="minorHAnsi" w:hAnsiTheme="minorHAnsi" w:cstheme="minorHAnsi"/>
          <w:sz w:val="24"/>
          <w:szCs w:val="24"/>
        </w:rPr>
      </w:pPr>
    </w:p>
    <w:p w14:paraId="1F7B0617" w14:textId="0606C884"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Ellison, Louise. (2002) ‘Prosecuting Domestic Violence without Victim Participation’, </w:t>
      </w:r>
      <w:r w:rsidRPr="006F15D2">
        <w:rPr>
          <w:rFonts w:asciiTheme="minorHAnsi" w:hAnsiTheme="minorHAnsi" w:cstheme="minorHAnsi"/>
          <w:i/>
          <w:iCs/>
          <w:sz w:val="24"/>
          <w:szCs w:val="24"/>
        </w:rPr>
        <w:t xml:space="preserve">Modern Law Review, </w:t>
      </w:r>
      <w:r w:rsidRPr="006F15D2">
        <w:rPr>
          <w:rFonts w:asciiTheme="minorHAnsi" w:hAnsiTheme="minorHAnsi" w:cstheme="minorHAnsi"/>
          <w:sz w:val="24"/>
          <w:szCs w:val="24"/>
        </w:rPr>
        <w:t>65(6), pp. 834-858.</w:t>
      </w:r>
    </w:p>
    <w:p w14:paraId="4D472F6B" w14:textId="77777777" w:rsidR="00A33D35" w:rsidRPr="006F15D2" w:rsidRDefault="00A33D35" w:rsidP="006F15D2">
      <w:pPr>
        <w:rPr>
          <w:rFonts w:asciiTheme="minorHAnsi" w:hAnsiTheme="minorHAnsi" w:cstheme="minorHAnsi"/>
          <w:sz w:val="24"/>
          <w:szCs w:val="24"/>
        </w:rPr>
      </w:pPr>
    </w:p>
    <w:p w14:paraId="4DA564D7" w14:textId="3EF2EFF1" w:rsidR="006F15D2" w:rsidRDefault="006F15D2" w:rsidP="006F15D2">
      <w:pPr>
        <w:rPr>
          <w:rFonts w:asciiTheme="minorHAnsi" w:hAnsiTheme="minorHAnsi" w:cstheme="minorHAnsi"/>
          <w:sz w:val="24"/>
          <w:szCs w:val="24"/>
        </w:rPr>
      </w:pPr>
      <w:r>
        <w:rPr>
          <w:rFonts w:asciiTheme="minorHAnsi" w:hAnsiTheme="minorHAnsi" w:cstheme="minorHAnsi"/>
          <w:sz w:val="24"/>
          <w:szCs w:val="24"/>
        </w:rPr>
        <w:t xml:space="preserve">Fyfe, Nicholas R., Stevenson, Olivia, &amp; Woolnough, Penny, (2015) ‘Missing Persons: the processes and challenges of police investigation’, </w:t>
      </w:r>
      <w:r>
        <w:rPr>
          <w:rFonts w:asciiTheme="minorHAnsi" w:hAnsiTheme="minorHAnsi" w:cstheme="minorHAnsi"/>
          <w:i/>
          <w:iCs/>
          <w:sz w:val="24"/>
          <w:szCs w:val="24"/>
        </w:rPr>
        <w:t xml:space="preserve">Policing and Society, </w:t>
      </w:r>
      <w:r>
        <w:rPr>
          <w:rFonts w:asciiTheme="minorHAnsi" w:hAnsiTheme="minorHAnsi" w:cstheme="minorHAnsi"/>
          <w:sz w:val="24"/>
          <w:szCs w:val="24"/>
        </w:rPr>
        <w:t>25(4), pp. 409-425.</w:t>
      </w:r>
    </w:p>
    <w:p w14:paraId="08EBC2C0" w14:textId="77777777" w:rsidR="00A33D35" w:rsidRDefault="00A33D35" w:rsidP="006F15D2">
      <w:pPr>
        <w:rPr>
          <w:rFonts w:asciiTheme="minorHAnsi" w:hAnsiTheme="minorHAnsi" w:cstheme="minorHAnsi"/>
          <w:sz w:val="24"/>
          <w:szCs w:val="24"/>
        </w:rPr>
      </w:pPr>
    </w:p>
    <w:p w14:paraId="5D1A66B1" w14:textId="579AFD31"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Gwent Police, ‘Domestic Abuse- Initial Attendance and Investigation’, 2020</w:t>
      </w:r>
    </w:p>
    <w:p w14:paraId="6FF0188A" w14:textId="77777777" w:rsidR="00A33D35" w:rsidRPr="006F15D2" w:rsidRDefault="00A33D35" w:rsidP="006F15D2">
      <w:pPr>
        <w:rPr>
          <w:rFonts w:asciiTheme="minorHAnsi" w:hAnsiTheme="minorHAnsi" w:cstheme="minorHAnsi"/>
          <w:sz w:val="24"/>
          <w:szCs w:val="24"/>
        </w:rPr>
      </w:pPr>
    </w:p>
    <w:p w14:paraId="58E2854B" w14:textId="68EA5ADE"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Hilder, S. (2016) </w:t>
      </w:r>
      <w:r w:rsidRPr="006F15D2">
        <w:rPr>
          <w:rFonts w:asciiTheme="minorHAnsi" w:hAnsiTheme="minorHAnsi" w:cstheme="minorHAnsi"/>
          <w:i/>
          <w:iCs/>
          <w:sz w:val="24"/>
          <w:szCs w:val="24"/>
        </w:rPr>
        <w:t xml:space="preserve">Domestic Violence: Interdisciplinary perspectives, </w:t>
      </w:r>
      <w:r w:rsidRPr="006F15D2">
        <w:rPr>
          <w:rFonts w:asciiTheme="minorHAnsi" w:hAnsiTheme="minorHAnsi" w:cstheme="minorHAnsi"/>
          <w:sz w:val="24"/>
          <w:szCs w:val="24"/>
        </w:rPr>
        <w:t>(London: Palgrave MacMillan)</w:t>
      </w:r>
    </w:p>
    <w:p w14:paraId="01ACF6DB" w14:textId="77777777" w:rsidR="00A33D35" w:rsidRPr="006F15D2" w:rsidRDefault="00A33D35" w:rsidP="006F15D2">
      <w:pPr>
        <w:rPr>
          <w:rFonts w:asciiTheme="minorHAnsi" w:hAnsiTheme="minorHAnsi" w:cstheme="minorHAnsi"/>
          <w:sz w:val="24"/>
          <w:szCs w:val="24"/>
        </w:rPr>
      </w:pPr>
    </w:p>
    <w:p w14:paraId="052064CB" w14:textId="6386DADE"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lastRenderedPageBreak/>
        <w:t xml:space="preserve">Home Office (2020), </w:t>
      </w:r>
      <w:r w:rsidRPr="006F15D2">
        <w:rPr>
          <w:rFonts w:asciiTheme="minorHAnsi" w:hAnsiTheme="minorHAnsi" w:cstheme="minorHAnsi"/>
          <w:i/>
          <w:iCs/>
          <w:sz w:val="24"/>
          <w:szCs w:val="24"/>
        </w:rPr>
        <w:t>Domestic Violence Protection Notices (DVPNs) and Domestic Violence Protection Orders (DVPOs) guidance</w:t>
      </w:r>
      <w:r w:rsidRPr="006F15D2">
        <w:rPr>
          <w:rFonts w:asciiTheme="minorHAnsi" w:hAnsiTheme="minorHAnsi" w:cstheme="minorHAnsi"/>
          <w:sz w:val="24"/>
          <w:szCs w:val="24"/>
        </w:rPr>
        <w:t xml:space="preserve">, Available at: </w:t>
      </w:r>
      <w:hyperlink r:id="rId24" w:history="1">
        <w:r w:rsidRPr="006F15D2">
          <w:rPr>
            <w:rStyle w:val="Hyperlink"/>
            <w:rFonts w:asciiTheme="minorHAnsi" w:hAnsiTheme="minorHAnsi" w:cstheme="minorHAnsi"/>
            <w:sz w:val="24"/>
            <w:szCs w:val="24"/>
          </w:rPr>
          <w:t>https://www.gov.uk/government/publications/domestic-violence-protection-orders/domestic-violence-protection-notices-dvpns-and-domestic-violence-protection-orders-dvpos-guidance-sections-24-33-crime-and-security-act-2010</w:t>
        </w:r>
      </w:hyperlink>
      <w:r w:rsidRPr="006F15D2">
        <w:rPr>
          <w:rFonts w:asciiTheme="minorHAnsi" w:hAnsiTheme="minorHAnsi" w:cstheme="minorHAnsi"/>
          <w:sz w:val="24"/>
          <w:szCs w:val="24"/>
        </w:rPr>
        <w:t xml:space="preserve"> (Accessed 6th September 2022)</w:t>
      </w:r>
    </w:p>
    <w:p w14:paraId="4787500A" w14:textId="77777777" w:rsidR="00A33D35" w:rsidRPr="006F15D2" w:rsidRDefault="00A33D35" w:rsidP="006F15D2">
      <w:pPr>
        <w:rPr>
          <w:rFonts w:asciiTheme="minorHAnsi" w:hAnsiTheme="minorHAnsi" w:cstheme="minorHAnsi"/>
          <w:sz w:val="24"/>
          <w:szCs w:val="24"/>
        </w:rPr>
      </w:pPr>
    </w:p>
    <w:p w14:paraId="46C76B5B" w14:textId="2D1674DD"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Hoyle, C. (1998) </w:t>
      </w:r>
      <w:r w:rsidRPr="006F15D2">
        <w:rPr>
          <w:rFonts w:asciiTheme="minorHAnsi" w:hAnsiTheme="minorHAnsi" w:cstheme="minorHAnsi"/>
          <w:i/>
          <w:iCs/>
          <w:sz w:val="24"/>
          <w:szCs w:val="24"/>
        </w:rPr>
        <w:t xml:space="preserve">Negotiating Domestic Violence </w:t>
      </w:r>
      <w:r w:rsidRPr="006F15D2">
        <w:rPr>
          <w:rFonts w:asciiTheme="minorHAnsi" w:hAnsiTheme="minorHAnsi" w:cstheme="minorHAnsi"/>
          <w:sz w:val="24"/>
          <w:szCs w:val="24"/>
        </w:rPr>
        <w:t xml:space="preserve">(Oxford: Calrendon Press) cited in Ellison, Louise. (2002) ‘Prosecuting Domestic Violence without Victim Participation’, </w:t>
      </w:r>
      <w:r w:rsidRPr="006F15D2">
        <w:rPr>
          <w:rFonts w:asciiTheme="minorHAnsi" w:hAnsiTheme="minorHAnsi" w:cstheme="minorHAnsi"/>
          <w:i/>
          <w:iCs/>
          <w:sz w:val="24"/>
          <w:szCs w:val="24"/>
        </w:rPr>
        <w:t xml:space="preserve">Modern Law Review, </w:t>
      </w:r>
      <w:r w:rsidRPr="006F15D2">
        <w:rPr>
          <w:rFonts w:asciiTheme="minorHAnsi" w:hAnsiTheme="minorHAnsi" w:cstheme="minorHAnsi"/>
          <w:sz w:val="24"/>
          <w:szCs w:val="24"/>
        </w:rPr>
        <w:t>65(6), pp. 834-858.</w:t>
      </w:r>
    </w:p>
    <w:p w14:paraId="518E04F8" w14:textId="77777777" w:rsidR="00A33D35" w:rsidRPr="006F15D2" w:rsidRDefault="00A33D35" w:rsidP="006F15D2">
      <w:pPr>
        <w:rPr>
          <w:rFonts w:asciiTheme="minorHAnsi" w:hAnsiTheme="minorHAnsi" w:cstheme="minorHAnsi"/>
          <w:sz w:val="24"/>
          <w:szCs w:val="24"/>
        </w:rPr>
      </w:pPr>
    </w:p>
    <w:p w14:paraId="6B6E50F5" w14:textId="50619142" w:rsidR="006F15D2" w:rsidRDefault="006F15D2" w:rsidP="006F15D2">
      <w:pPr>
        <w:rPr>
          <w:rFonts w:asciiTheme="minorHAnsi" w:hAnsiTheme="minorHAnsi" w:cstheme="minorHAnsi"/>
          <w:color w:val="auto"/>
          <w:sz w:val="24"/>
          <w:szCs w:val="24"/>
          <w:shd w:val="clear" w:color="auto" w:fill="FBFBFB"/>
        </w:rPr>
      </w:pPr>
      <w:r w:rsidRPr="00D62F85">
        <w:rPr>
          <w:rFonts w:asciiTheme="minorHAnsi" w:hAnsiTheme="minorHAnsi" w:cstheme="minorHAnsi"/>
          <w:color w:val="auto"/>
          <w:sz w:val="24"/>
          <w:szCs w:val="24"/>
          <w:shd w:val="clear" w:color="auto" w:fill="FBFBFB"/>
        </w:rPr>
        <w:t>Milot, A. S. (2014) </w:t>
      </w:r>
      <w:r w:rsidRPr="00D62F85">
        <w:rPr>
          <w:rFonts w:asciiTheme="minorHAnsi" w:hAnsiTheme="minorHAnsi" w:cstheme="minorHAnsi"/>
          <w:i/>
          <w:iCs/>
          <w:color w:val="auto"/>
          <w:sz w:val="24"/>
          <w:szCs w:val="24"/>
          <w:shd w:val="clear" w:color="auto" w:fill="FBFBFB"/>
        </w:rPr>
        <w:t>Positive youth development as a framework for examining the relationship between conformity to gender norms, social support, and adolescent mental health. </w:t>
      </w:r>
      <w:r w:rsidRPr="00D62F85">
        <w:rPr>
          <w:rFonts w:asciiTheme="minorHAnsi" w:hAnsiTheme="minorHAnsi" w:cstheme="minorHAnsi"/>
          <w:color w:val="auto"/>
          <w:sz w:val="24"/>
          <w:szCs w:val="24"/>
          <w:shd w:val="clear" w:color="auto" w:fill="FBFBFB"/>
        </w:rPr>
        <w:t>Boston: Boston College.</w:t>
      </w:r>
    </w:p>
    <w:p w14:paraId="4A0E71C9" w14:textId="77777777" w:rsidR="00A33D35" w:rsidRDefault="00A33D35" w:rsidP="006F15D2">
      <w:pPr>
        <w:rPr>
          <w:rFonts w:asciiTheme="minorHAnsi" w:hAnsiTheme="minorHAnsi" w:cstheme="minorHAnsi"/>
          <w:color w:val="auto"/>
          <w:sz w:val="24"/>
          <w:szCs w:val="24"/>
          <w:shd w:val="clear" w:color="auto" w:fill="FBFBFB"/>
        </w:rPr>
      </w:pPr>
    </w:p>
    <w:p w14:paraId="0224AB1D" w14:textId="272FF992" w:rsidR="006F15D2" w:rsidRDefault="006F15D2" w:rsidP="006F15D2">
      <w:pPr>
        <w:rPr>
          <w:rFonts w:ascii="Noto Sans" w:hAnsi="Noto Sans" w:cs="Noto Sans"/>
          <w:color w:val="181817"/>
          <w:shd w:val="clear" w:color="auto" w:fill="FFFFFF"/>
        </w:rPr>
      </w:pPr>
      <w:r>
        <w:rPr>
          <w:rFonts w:asciiTheme="minorHAnsi" w:hAnsiTheme="minorHAnsi" w:cstheme="minorHAnsi"/>
          <w:sz w:val="24"/>
          <w:szCs w:val="24"/>
        </w:rPr>
        <w:t xml:space="preserve">NHS, (2019) </w:t>
      </w:r>
      <w:r w:rsidRPr="00377E54">
        <w:rPr>
          <w:rFonts w:asciiTheme="minorHAnsi" w:hAnsiTheme="minorHAnsi" w:cstheme="minorHAnsi"/>
          <w:i/>
          <w:iCs/>
          <w:sz w:val="24"/>
          <w:szCs w:val="24"/>
        </w:rPr>
        <w:t>Mental Health Act.</w:t>
      </w:r>
      <w:r>
        <w:rPr>
          <w:rFonts w:asciiTheme="minorHAnsi" w:hAnsiTheme="minorHAnsi" w:cstheme="minorHAnsi"/>
          <w:sz w:val="24"/>
          <w:szCs w:val="24"/>
        </w:rPr>
        <w:t xml:space="preserve"> Available at: </w:t>
      </w:r>
      <w:hyperlink r:id="rId25" w:history="1">
        <w:r w:rsidRPr="00C7293C">
          <w:rPr>
            <w:rStyle w:val="Hyperlink"/>
            <w:rFonts w:asciiTheme="minorHAnsi" w:hAnsiTheme="minorHAnsi" w:cstheme="minorHAnsi"/>
            <w:sz w:val="24"/>
            <w:szCs w:val="24"/>
          </w:rPr>
          <w:t>https://www.nhs.uk/mental-health/social-care-and-your-rights/mental-health-and-the-law/mental-health-act/</w:t>
        </w:r>
      </w:hyperlink>
      <w:r>
        <w:rPr>
          <w:rFonts w:asciiTheme="minorHAnsi" w:hAnsiTheme="minorHAnsi" w:cstheme="minorHAnsi"/>
          <w:sz w:val="24"/>
          <w:szCs w:val="24"/>
        </w:rPr>
        <w:t xml:space="preserve"> </w:t>
      </w:r>
      <w:r>
        <w:rPr>
          <w:rFonts w:ascii="Noto Sans" w:hAnsi="Noto Sans" w:cs="Noto Sans"/>
          <w:color w:val="181817"/>
          <w:shd w:val="clear" w:color="auto" w:fill="FFFFFF"/>
        </w:rPr>
        <w:t>(Accessed 7</w:t>
      </w:r>
      <w:r w:rsidRPr="006F15D2">
        <w:rPr>
          <w:rFonts w:ascii="Noto Sans" w:hAnsi="Noto Sans" w:cs="Noto Sans"/>
          <w:color w:val="181817"/>
          <w:shd w:val="clear" w:color="auto" w:fill="FFFFFF"/>
          <w:vertAlign w:val="superscript"/>
        </w:rPr>
        <w:t>th</w:t>
      </w:r>
      <w:r>
        <w:rPr>
          <w:rFonts w:ascii="Noto Sans" w:hAnsi="Noto Sans" w:cs="Noto Sans"/>
          <w:color w:val="181817"/>
          <w:shd w:val="clear" w:color="auto" w:fill="FFFFFF"/>
        </w:rPr>
        <w:t xml:space="preserve"> September 2022)</w:t>
      </w:r>
    </w:p>
    <w:p w14:paraId="76862FCD" w14:textId="77777777" w:rsidR="00A33D35" w:rsidRDefault="00A33D35" w:rsidP="006F15D2">
      <w:pPr>
        <w:rPr>
          <w:rFonts w:asciiTheme="minorHAnsi" w:hAnsiTheme="minorHAnsi" w:cstheme="minorHAnsi"/>
          <w:sz w:val="24"/>
          <w:szCs w:val="24"/>
        </w:rPr>
      </w:pPr>
    </w:p>
    <w:p w14:paraId="53C51E6C" w14:textId="14E4BC8B" w:rsid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Office for National Statistics (2022), </w:t>
      </w:r>
      <w:r w:rsidRPr="006F15D2">
        <w:rPr>
          <w:rFonts w:asciiTheme="minorHAnsi" w:hAnsiTheme="minorHAnsi" w:cstheme="minorHAnsi"/>
          <w:i/>
          <w:iCs/>
          <w:sz w:val="24"/>
          <w:szCs w:val="24"/>
        </w:rPr>
        <w:t>Crime in England and Wales: year ending March 2022</w:t>
      </w:r>
      <w:r w:rsidRPr="006F15D2">
        <w:rPr>
          <w:rFonts w:asciiTheme="minorHAnsi" w:hAnsiTheme="minorHAnsi" w:cstheme="minorHAnsi"/>
          <w:sz w:val="24"/>
          <w:szCs w:val="24"/>
        </w:rPr>
        <w:t xml:space="preserve">. Available at: </w:t>
      </w:r>
      <w:hyperlink r:id="rId26" w:anchor="domestic-abuse-and-sexual-offences" w:history="1">
        <w:r w:rsidRPr="006F15D2">
          <w:rPr>
            <w:rStyle w:val="Hyperlink"/>
            <w:rFonts w:asciiTheme="minorHAnsi" w:hAnsiTheme="minorHAnsi" w:cstheme="minorHAnsi"/>
            <w:sz w:val="24"/>
            <w:szCs w:val="24"/>
          </w:rPr>
          <w:t>https://www.ons.gov.uk/peoplepopulationandcommunity/crimeandjustice/bulletins/crimeinenglandandwales/yearendingmarch2022#domestic-abuse-and-sexual-offences</w:t>
        </w:r>
      </w:hyperlink>
      <w:r w:rsidRPr="006F15D2">
        <w:rPr>
          <w:rStyle w:val="Hyperlink"/>
          <w:rFonts w:asciiTheme="minorHAnsi" w:hAnsiTheme="minorHAnsi" w:cstheme="minorHAnsi"/>
          <w:sz w:val="24"/>
          <w:szCs w:val="24"/>
        </w:rPr>
        <w:t xml:space="preserve"> </w:t>
      </w:r>
      <w:r w:rsidRPr="006F15D2">
        <w:rPr>
          <w:rFonts w:asciiTheme="minorHAnsi" w:hAnsiTheme="minorHAnsi" w:cstheme="minorHAnsi"/>
          <w:sz w:val="24"/>
          <w:szCs w:val="24"/>
        </w:rPr>
        <w:t>(Accessed 6th September 2022)</w:t>
      </w:r>
    </w:p>
    <w:p w14:paraId="2621D7B8" w14:textId="77777777" w:rsidR="00A33D35" w:rsidRPr="006F15D2" w:rsidRDefault="00A33D35" w:rsidP="006F15D2">
      <w:pPr>
        <w:rPr>
          <w:rFonts w:asciiTheme="minorHAnsi" w:hAnsiTheme="minorHAnsi" w:cstheme="minorHAnsi"/>
          <w:sz w:val="24"/>
          <w:szCs w:val="24"/>
        </w:rPr>
      </w:pPr>
    </w:p>
    <w:p w14:paraId="4C2CF97E" w14:textId="77777777" w:rsidR="006F15D2" w:rsidRPr="006F15D2" w:rsidRDefault="006F15D2" w:rsidP="006F15D2">
      <w:pPr>
        <w:rPr>
          <w:rFonts w:asciiTheme="minorHAnsi" w:hAnsiTheme="minorHAnsi" w:cstheme="minorHAnsi"/>
          <w:sz w:val="24"/>
          <w:szCs w:val="24"/>
        </w:rPr>
      </w:pPr>
      <w:r w:rsidRPr="006F15D2">
        <w:rPr>
          <w:rFonts w:asciiTheme="minorHAnsi" w:hAnsiTheme="minorHAnsi" w:cstheme="minorHAnsi"/>
          <w:sz w:val="24"/>
          <w:szCs w:val="24"/>
        </w:rPr>
        <w:t xml:space="preserve">Stedman, Bernie. (1917), ‘Right of Husband to Chastise Wife’, </w:t>
      </w:r>
      <w:r w:rsidRPr="006F15D2">
        <w:rPr>
          <w:rFonts w:asciiTheme="minorHAnsi" w:hAnsiTheme="minorHAnsi" w:cstheme="minorHAnsi"/>
          <w:i/>
          <w:iCs/>
          <w:sz w:val="24"/>
          <w:szCs w:val="24"/>
        </w:rPr>
        <w:t>The Virginia Law Register,</w:t>
      </w:r>
      <w:r w:rsidRPr="006F15D2">
        <w:rPr>
          <w:rFonts w:asciiTheme="minorHAnsi" w:hAnsiTheme="minorHAnsi" w:cstheme="minorHAnsi"/>
          <w:sz w:val="24"/>
          <w:szCs w:val="24"/>
        </w:rPr>
        <w:t xml:space="preserve"> 3(4), pp. 241-248.</w:t>
      </w:r>
    </w:p>
    <w:p w14:paraId="2272CD2E" w14:textId="77777777" w:rsidR="006F15D2" w:rsidRDefault="006F15D2" w:rsidP="006F15D2">
      <w:pPr>
        <w:ind w:right="237"/>
        <w:jc w:val="both"/>
        <w:rPr>
          <w:rFonts w:eastAsia="Arial"/>
          <w:sz w:val="24"/>
          <w:szCs w:val="24"/>
        </w:rPr>
      </w:pPr>
    </w:p>
    <w:p w14:paraId="29361D1A" w14:textId="77777777" w:rsidR="006F15D2" w:rsidRDefault="006F15D2" w:rsidP="006F15D2">
      <w:pPr>
        <w:ind w:right="237"/>
        <w:jc w:val="both"/>
        <w:rPr>
          <w:rFonts w:eastAsia="Arial"/>
          <w:sz w:val="24"/>
          <w:szCs w:val="24"/>
        </w:rPr>
      </w:pPr>
    </w:p>
    <w:p w14:paraId="1C073B8D" w14:textId="77777777" w:rsidR="006F15D2" w:rsidRPr="00E11123" w:rsidRDefault="006F15D2" w:rsidP="006F15D2">
      <w:pPr>
        <w:ind w:right="237"/>
        <w:jc w:val="both"/>
        <w:rPr>
          <w:rFonts w:eastAsia="Arial"/>
          <w:color w:val="000000" w:themeColor="text1"/>
          <w:sz w:val="24"/>
          <w:szCs w:val="24"/>
        </w:rPr>
      </w:pPr>
    </w:p>
    <w:p w14:paraId="5C84402D" w14:textId="77777777" w:rsidR="006F15D2" w:rsidRDefault="006F15D2" w:rsidP="006F15D2">
      <w:pPr>
        <w:ind w:right="237"/>
        <w:jc w:val="both"/>
        <w:rPr>
          <w:color w:val="000000" w:themeColor="text1"/>
          <w:sz w:val="24"/>
          <w:szCs w:val="24"/>
        </w:rPr>
      </w:pPr>
    </w:p>
    <w:p w14:paraId="589EE1C7" w14:textId="77777777" w:rsidR="006F15D2" w:rsidRDefault="006F15D2" w:rsidP="006F15D2">
      <w:pPr>
        <w:ind w:right="237"/>
        <w:jc w:val="both"/>
        <w:rPr>
          <w:color w:val="000000" w:themeColor="text1"/>
          <w:sz w:val="24"/>
          <w:szCs w:val="24"/>
        </w:rPr>
      </w:pPr>
    </w:p>
    <w:p w14:paraId="067DFFA3" w14:textId="77777777" w:rsidR="006F15D2" w:rsidRDefault="006F15D2" w:rsidP="00EA28F1">
      <w:pPr>
        <w:keepNext/>
        <w:spacing w:before="240" w:after="60"/>
        <w:ind w:right="237"/>
        <w:jc w:val="both"/>
      </w:pPr>
    </w:p>
    <w:sectPr w:rsidR="006F15D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0C212" w14:textId="77777777" w:rsidR="00A33D35" w:rsidRDefault="00A33D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1A6B5" w14:textId="77777777" w:rsidR="00A33D35" w:rsidRDefault="00A33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D88AB" w14:textId="77777777" w:rsidR="00A33D35" w:rsidRDefault="00A33D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C732B" w14:textId="77777777" w:rsidR="00A33D35" w:rsidRDefault="00A33D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35B46" w14:textId="77777777" w:rsidR="00A33D35" w:rsidRDefault="00A33D35">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E78681BE"/>
    <w:lvl w:ilvl="0" w:tplc="D1D47394">
      <w:start w:val="1"/>
      <w:numFmt w:val="decimal"/>
      <w:lvlText w:val="%1."/>
      <w:lvlJc w:val="left"/>
      <w:pPr>
        <w:ind w:left="720" w:hanging="360"/>
      </w:pPr>
    </w:lvl>
    <w:lvl w:ilvl="1" w:tplc="5C60489E">
      <w:start w:val="1"/>
      <w:numFmt w:val="lowerLetter"/>
      <w:lvlText w:val="%2."/>
      <w:lvlJc w:val="left"/>
      <w:pPr>
        <w:ind w:left="1440" w:hanging="360"/>
      </w:pPr>
    </w:lvl>
    <w:lvl w:ilvl="2" w:tplc="41E2DF00">
      <w:start w:val="1"/>
      <w:numFmt w:val="lowerRoman"/>
      <w:lvlText w:val="%3."/>
      <w:lvlJc w:val="right"/>
      <w:pPr>
        <w:ind w:left="2160" w:hanging="180"/>
      </w:pPr>
    </w:lvl>
    <w:lvl w:ilvl="3" w:tplc="8062A6E4">
      <w:start w:val="1"/>
      <w:numFmt w:val="decimal"/>
      <w:lvlText w:val="%4."/>
      <w:lvlJc w:val="left"/>
      <w:pPr>
        <w:ind w:left="2880" w:hanging="360"/>
      </w:pPr>
    </w:lvl>
    <w:lvl w:ilvl="4" w:tplc="F52661FC">
      <w:start w:val="1"/>
      <w:numFmt w:val="lowerLetter"/>
      <w:lvlText w:val="%5."/>
      <w:lvlJc w:val="left"/>
      <w:pPr>
        <w:ind w:left="3600" w:hanging="360"/>
      </w:pPr>
    </w:lvl>
    <w:lvl w:ilvl="5" w:tplc="5E66048E">
      <w:start w:val="1"/>
      <w:numFmt w:val="lowerRoman"/>
      <w:lvlText w:val="%6."/>
      <w:lvlJc w:val="right"/>
      <w:pPr>
        <w:ind w:left="4320" w:hanging="180"/>
      </w:pPr>
    </w:lvl>
    <w:lvl w:ilvl="6" w:tplc="F98E608A">
      <w:start w:val="1"/>
      <w:numFmt w:val="decimal"/>
      <w:lvlText w:val="%7."/>
      <w:lvlJc w:val="left"/>
      <w:pPr>
        <w:ind w:left="5040" w:hanging="360"/>
      </w:pPr>
    </w:lvl>
    <w:lvl w:ilvl="7" w:tplc="2910D480">
      <w:start w:val="1"/>
      <w:numFmt w:val="lowerLetter"/>
      <w:lvlText w:val="%8."/>
      <w:lvlJc w:val="left"/>
      <w:pPr>
        <w:ind w:left="5760" w:hanging="360"/>
      </w:pPr>
    </w:lvl>
    <w:lvl w:ilvl="8" w:tplc="DE808A1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C9C3698"/>
    <w:lvl w:ilvl="0" w:tplc="E362E9D6">
      <w:start w:val="1"/>
      <w:numFmt w:val="decimal"/>
      <w:lvlText w:val="%1."/>
      <w:lvlJc w:val="left"/>
      <w:pPr>
        <w:ind w:left="720" w:hanging="360"/>
      </w:pPr>
    </w:lvl>
    <w:lvl w:ilvl="1" w:tplc="54F4ADC8">
      <w:start w:val="1"/>
      <w:numFmt w:val="decimal"/>
      <w:lvlText w:val="%2."/>
      <w:lvlJc w:val="left"/>
      <w:pPr>
        <w:ind w:left="1440" w:hanging="360"/>
      </w:pPr>
    </w:lvl>
    <w:lvl w:ilvl="2" w:tplc="42F4DAB6">
      <w:start w:val="1"/>
      <w:numFmt w:val="lowerRoman"/>
      <w:lvlText w:val="%3."/>
      <w:lvlJc w:val="right"/>
      <w:pPr>
        <w:ind w:left="2160" w:hanging="180"/>
      </w:pPr>
    </w:lvl>
    <w:lvl w:ilvl="3" w:tplc="10F604B2">
      <w:start w:val="1"/>
      <w:numFmt w:val="decimal"/>
      <w:lvlText w:val="%4."/>
      <w:lvlJc w:val="left"/>
      <w:pPr>
        <w:ind w:left="2880" w:hanging="360"/>
      </w:pPr>
    </w:lvl>
    <w:lvl w:ilvl="4" w:tplc="9AB24234">
      <w:start w:val="1"/>
      <w:numFmt w:val="lowerLetter"/>
      <w:lvlText w:val="%5."/>
      <w:lvlJc w:val="left"/>
      <w:pPr>
        <w:ind w:left="3600" w:hanging="360"/>
      </w:pPr>
    </w:lvl>
    <w:lvl w:ilvl="5" w:tplc="5AA259D2">
      <w:start w:val="1"/>
      <w:numFmt w:val="lowerRoman"/>
      <w:lvlText w:val="%6."/>
      <w:lvlJc w:val="right"/>
      <w:pPr>
        <w:ind w:left="4320" w:hanging="180"/>
      </w:pPr>
    </w:lvl>
    <w:lvl w:ilvl="6" w:tplc="512A3764">
      <w:start w:val="1"/>
      <w:numFmt w:val="decimal"/>
      <w:lvlText w:val="%7."/>
      <w:lvlJc w:val="left"/>
      <w:pPr>
        <w:ind w:left="5040" w:hanging="360"/>
      </w:pPr>
    </w:lvl>
    <w:lvl w:ilvl="7" w:tplc="4EEC1A2E">
      <w:start w:val="1"/>
      <w:numFmt w:val="lowerLetter"/>
      <w:lvlText w:val="%8."/>
      <w:lvlJc w:val="left"/>
      <w:pPr>
        <w:ind w:left="5760" w:hanging="360"/>
      </w:pPr>
    </w:lvl>
    <w:lvl w:ilvl="8" w:tplc="C13CA53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6F15D2"/>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33D35"/>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1123"/>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F1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ictionary.cambridge.org/dictionary/english/masculinity" TargetMode="External"/><Relationship Id="rId26" Type="http://schemas.openxmlformats.org/officeDocument/2006/relationships/hyperlink" Target="https://www.ons.gov.uk/peoplepopulationandcommunity/crimeandjustice/bulletins/crimeinenglandandwales/yearendingmarch2022" TargetMode="External"/><Relationship Id="rId3" Type="http://schemas.openxmlformats.org/officeDocument/2006/relationships/customXml" Target="../customXml/item3.xml"/><Relationship Id="rId21" Type="http://schemas.openxmlformats.org/officeDocument/2006/relationships/hyperlink" Target="https://www.cps.gov.uk/publication/code-crown-prosecutor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nhs.uk/mental-health/social-care-and-your-rights/mental-health-and-the-law/mental-health-act/"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college.police.uk/app/major-investigation-and-public-protection/missing-persons/missing-person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legislation.gov.uk/ukpga/2021/17/contents/enacte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ps.gov.uk/legal-guidance/special-measur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5218</Words>
  <Characters>28737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Wilson, Verity</cp:lastModifiedBy>
  <cp:revision>2</cp:revision>
  <cp:lastPrinted>2014-08-26T08:55:00Z</cp:lastPrinted>
  <dcterms:created xsi:type="dcterms:W3CDTF">2022-10-14T09:06:00Z</dcterms:created>
  <dcterms:modified xsi:type="dcterms:W3CDTF">2022-10-14T09:06:00Z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2022-10-14T08:35:45Z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f99dc3fc-cb8c-477b-abd0-8371e022732f</vt:lpwstr>
  </property>
  <property fmtid="{D5CDD505-2E9C-101B-9397-08002B2CF9AE}" pid="9" name="MSIP_Label_f2acd28b-79a3-4a0f-b0ff-4b75658b1549_ContentBits">
    <vt:lpwstr>0</vt:lpwstr>
  </property>
</Properties>
</file>