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95F6" w14:textId="77777777" w:rsidR="00BC2CE5" w:rsidRDefault="00BC2CE5">
      <w:pPr>
        <w:spacing w:after="0" w:line="360" w:lineRule="auto"/>
        <w:rPr>
          <w:rFonts w:ascii="Arial" w:hAnsi="Arial" w:cs="Arial"/>
        </w:rPr>
      </w:pPr>
      <w:bookmarkStart w:id="0" w:name="_Hlk108283787"/>
      <w:bookmarkEnd w:id="0"/>
    </w:p>
    <w:p w14:paraId="06A9BE6F" w14:textId="77777777" w:rsidR="00BC2CE5" w:rsidRDefault="00000000">
      <w:pPr>
        <w:spacing w:line="360" w:lineRule="auto"/>
        <w:jc w:val="center"/>
        <w:rPr>
          <w:rFonts w:ascii="Arial" w:hAnsi="Arial" w:cs="Arial"/>
        </w:rPr>
      </w:pPr>
      <w:r>
        <w:rPr>
          <w:rFonts w:ascii="Arial" w:hAnsi="Arial" w:cs="Arial"/>
          <w:noProof/>
        </w:rPr>
        <w:drawing>
          <wp:inline distT="0" distB="0" distL="0" distR="0" wp14:anchorId="57A72B38" wp14:editId="4331D65D">
            <wp:extent cx="3244850" cy="1445260"/>
            <wp:effectExtent l="0" t="0" r="0" b="2540"/>
            <wp:docPr id="585826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26166"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266127" cy="1454737"/>
                    </a:xfrm>
                    <a:prstGeom prst="rect">
                      <a:avLst/>
                    </a:prstGeom>
                    <a:noFill/>
                  </pic:spPr>
                </pic:pic>
              </a:graphicData>
            </a:graphic>
          </wp:inline>
        </w:drawing>
      </w:r>
    </w:p>
    <w:p w14:paraId="38FB676A" w14:textId="77777777" w:rsidR="00BC2CE5" w:rsidRDefault="00BC2CE5">
      <w:pPr>
        <w:spacing w:line="360" w:lineRule="auto"/>
        <w:rPr>
          <w:rFonts w:ascii="Arial" w:hAnsi="Arial" w:cs="Arial"/>
        </w:rPr>
      </w:pPr>
    </w:p>
    <w:p w14:paraId="1FBB251A" w14:textId="77777777" w:rsidR="00BC2CE5" w:rsidRDefault="00BC2CE5">
      <w:pPr>
        <w:spacing w:line="360" w:lineRule="auto"/>
        <w:rPr>
          <w:rFonts w:ascii="Arial" w:hAnsi="Arial" w:cs="Arial"/>
        </w:rPr>
      </w:pPr>
    </w:p>
    <w:p w14:paraId="698B16E2" w14:textId="77777777" w:rsidR="00BC2CE5" w:rsidRDefault="00BC2CE5">
      <w:pPr>
        <w:spacing w:line="360" w:lineRule="auto"/>
        <w:jc w:val="center"/>
        <w:rPr>
          <w:rFonts w:ascii="Arial" w:hAnsi="Arial" w:cs="Arial"/>
          <w:b/>
          <w:bCs/>
        </w:rPr>
      </w:pPr>
    </w:p>
    <w:p w14:paraId="17F9BE09" w14:textId="77777777" w:rsidR="00BC2CE5" w:rsidRDefault="00BC2CE5">
      <w:pPr>
        <w:spacing w:line="360" w:lineRule="auto"/>
        <w:jc w:val="center"/>
        <w:rPr>
          <w:rFonts w:ascii="Arial" w:hAnsi="Arial" w:cs="Arial"/>
          <w:b/>
          <w:bCs/>
        </w:rPr>
      </w:pPr>
    </w:p>
    <w:p w14:paraId="62FC2241" w14:textId="77777777" w:rsidR="00BC2CE5" w:rsidRDefault="00BC2CE5">
      <w:pPr>
        <w:spacing w:line="360" w:lineRule="auto"/>
        <w:jc w:val="center"/>
        <w:rPr>
          <w:rFonts w:ascii="Arial" w:hAnsi="Arial" w:cs="Arial"/>
          <w:b/>
          <w:bCs/>
        </w:rPr>
      </w:pPr>
    </w:p>
    <w:p w14:paraId="7DBB0049" w14:textId="77777777" w:rsidR="00BC2CE5" w:rsidRDefault="00BC2CE5">
      <w:pPr>
        <w:spacing w:line="360" w:lineRule="auto"/>
        <w:jc w:val="center"/>
        <w:rPr>
          <w:rFonts w:ascii="Arial" w:hAnsi="Arial" w:cs="Arial"/>
          <w:b/>
          <w:bCs/>
        </w:rPr>
      </w:pPr>
    </w:p>
    <w:p w14:paraId="0A06E736" w14:textId="77777777" w:rsidR="00BC2CE5" w:rsidRDefault="00BC2CE5">
      <w:pPr>
        <w:spacing w:line="360" w:lineRule="auto"/>
        <w:jc w:val="center"/>
        <w:rPr>
          <w:rFonts w:ascii="Arial" w:hAnsi="Arial" w:cs="Arial"/>
          <w:b/>
          <w:bCs/>
        </w:rPr>
      </w:pPr>
    </w:p>
    <w:p w14:paraId="45E0AB4E" w14:textId="77777777" w:rsidR="00BC2CE5" w:rsidRDefault="00BC2CE5">
      <w:pPr>
        <w:spacing w:line="360" w:lineRule="auto"/>
        <w:jc w:val="center"/>
        <w:rPr>
          <w:rFonts w:ascii="Arial" w:hAnsi="Arial" w:cs="Arial"/>
          <w:b/>
          <w:bCs/>
        </w:rPr>
      </w:pPr>
    </w:p>
    <w:p w14:paraId="57189B03" w14:textId="77777777" w:rsidR="00BC2CE5" w:rsidRDefault="00BC2CE5">
      <w:pPr>
        <w:spacing w:line="360" w:lineRule="auto"/>
        <w:jc w:val="center"/>
        <w:rPr>
          <w:rFonts w:ascii="Arial" w:hAnsi="Arial" w:cs="Arial"/>
          <w:b/>
          <w:bCs/>
        </w:rPr>
      </w:pPr>
    </w:p>
    <w:p w14:paraId="65FFAD76" w14:textId="77777777" w:rsidR="00BC2CE5" w:rsidRDefault="00BC2CE5">
      <w:pPr>
        <w:spacing w:line="360" w:lineRule="auto"/>
        <w:jc w:val="center"/>
        <w:rPr>
          <w:rFonts w:ascii="Arial" w:hAnsi="Arial" w:cs="Arial"/>
          <w:b/>
          <w:bCs/>
        </w:rPr>
      </w:pPr>
    </w:p>
    <w:p w14:paraId="1CAE6CDF" w14:textId="77777777" w:rsidR="00BC2CE5" w:rsidRDefault="00BC2CE5">
      <w:pPr>
        <w:spacing w:line="360" w:lineRule="auto"/>
        <w:jc w:val="center"/>
        <w:rPr>
          <w:rFonts w:ascii="Arial" w:hAnsi="Arial" w:cs="Arial"/>
          <w:b/>
          <w:bCs/>
        </w:rPr>
      </w:pPr>
    </w:p>
    <w:p w14:paraId="6A937B27" w14:textId="77777777" w:rsidR="00BC2CE5" w:rsidRDefault="00BC2CE5">
      <w:pPr>
        <w:spacing w:line="360" w:lineRule="auto"/>
        <w:jc w:val="center"/>
        <w:rPr>
          <w:rFonts w:ascii="Arial" w:hAnsi="Arial" w:cs="Arial"/>
          <w:b/>
          <w:bCs/>
        </w:rPr>
      </w:pPr>
    </w:p>
    <w:p w14:paraId="36E886B2" w14:textId="77777777" w:rsidR="00BC2CE5" w:rsidRDefault="00BC2CE5">
      <w:pPr>
        <w:spacing w:line="360" w:lineRule="auto"/>
        <w:jc w:val="center"/>
        <w:rPr>
          <w:rFonts w:ascii="Arial" w:hAnsi="Arial" w:cs="Arial"/>
          <w:b/>
          <w:bCs/>
        </w:rPr>
      </w:pPr>
    </w:p>
    <w:p w14:paraId="11843A5A" w14:textId="77777777" w:rsidR="00BC2CE5" w:rsidRDefault="00BC2CE5">
      <w:pPr>
        <w:spacing w:line="360" w:lineRule="auto"/>
        <w:jc w:val="center"/>
        <w:rPr>
          <w:rFonts w:ascii="Arial" w:hAnsi="Arial" w:cs="Arial"/>
          <w:b/>
          <w:bCs/>
        </w:rPr>
      </w:pPr>
    </w:p>
    <w:p w14:paraId="18BF4073" w14:textId="77777777" w:rsidR="00BC2CE5" w:rsidRDefault="00BC2CE5">
      <w:pPr>
        <w:spacing w:line="360" w:lineRule="auto"/>
        <w:jc w:val="center"/>
        <w:rPr>
          <w:rFonts w:ascii="Arial" w:hAnsi="Arial" w:cs="Arial"/>
          <w:b/>
          <w:bCs/>
        </w:rPr>
      </w:pPr>
    </w:p>
    <w:p w14:paraId="7C1846A1" w14:textId="77777777" w:rsidR="00BC2CE5" w:rsidRDefault="00BC2CE5">
      <w:pPr>
        <w:spacing w:line="360" w:lineRule="auto"/>
        <w:jc w:val="center"/>
        <w:rPr>
          <w:rFonts w:ascii="Arial" w:hAnsi="Arial" w:cs="Arial"/>
          <w:b/>
          <w:bCs/>
        </w:rPr>
      </w:pPr>
    </w:p>
    <w:p w14:paraId="4A5A79EF" w14:textId="77777777" w:rsidR="00BC2CE5" w:rsidRDefault="00BC2CE5">
      <w:pPr>
        <w:spacing w:line="360" w:lineRule="auto"/>
        <w:jc w:val="center"/>
        <w:rPr>
          <w:rFonts w:ascii="Arial" w:hAnsi="Arial" w:cs="Arial"/>
          <w:b/>
          <w:bCs/>
        </w:rPr>
      </w:pPr>
    </w:p>
    <w:p w14:paraId="0C04B1F3" w14:textId="77777777" w:rsidR="00BC2CE5" w:rsidRDefault="00BC2CE5">
      <w:pPr>
        <w:spacing w:line="360" w:lineRule="auto"/>
        <w:jc w:val="center"/>
        <w:rPr>
          <w:rFonts w:ascii="Arial" w:hAnsi="Arial" w:cs="Arial"/>
          <w:b/>
          <w:bCs/>
        </w:rPr>
      </w:pPr>
    </w:p>
    <w:p w14:paraId="2B2B6EE0" w14:textId="77777777" w:rsidR="00BC2CE5" w:rsidRDefault="00BC2CE5">
      <w:pPr>
        <w:spacing w:line="360" w:lineRule="auto"/>
        <w:jc w:val="center"/>
        <w:rPr>
          <w:rFonts w:ascii="Arial" w:hAnsi="Arial" w:cs="Arial"/>
          <w:b/>
          <w:bCs/>
        </w:rPr>
      </w:pPr>
    </w:p>
    <w:p w14:paraId="3C4958AC" w14:textId="77777777" w:rsidR="00BC2CE5" w:rsidRDefault="00BC2CE5">
      <w:pPr>
        <w:spacing w:line="360" w:lineRule="auto"/>
        <w:jc w:val="center"/>
        <w:rPr>
          <w:rFonts w:ascii="Arial" w:hAnsi="Arial" w:cs="Arial"/>
          <w:b/>
          <w:bCs/>
        </w:rPr>
      </w:pPr>
    </w:p>
    <w:p w14:paraId="64DB9B65" w14:textId="77777777" w:rsidR="00BC2CE5" w:rsidRDefault="00BC2CE5">
      <w:pPr>
        <w:spacing w:line="360" w:lineRule="auto"/>
        <w:jc w:val="center"/>
        <w:rPr>
          <w:rFonts w:ascii="Arial" w:hAnsi="Arial" w:cs="Arial"/>
          <w:b/>
          <w:bCs/>
        </w:rPr>
      </w:pPr>
    </w:p>
    <w:p w14:paraId="57E55485" w14:textId="77777777" w:rsidR="00BC2CE5" w:rsidRDefault="00BC2CE5">
      <w:pPr>
        <w:spacing w:line="360" w:lineRule="auto"/>
        <w:jc w:val="center"/>
        <w:rPr>
          <w:rFonts w:ascii="Arial" w:hAnsi="Arial" w:cs="Arial"/>
          <w:b/>
          <w:bCs/>
        </w:rPr>
      </w:pPr>
    </w:p>
    <w:p w14:paraId="13E86290" w14:textId="77777777" w:rsidR="00BC2CE5" w:rsidRDefault="00BC2CE5">
      <w:pPr>
        <w:spacing w:line="360" w:lineRule="auto"/>
        <w:jc w:val="center"/>
        <w:rPr>
          <w:rFonts w:ascii="Arial" w:hAnsi="Arial" w:cs="Arial"/>
          <w:b/>
          <w:bCs/>
        </w:rPr>
      </w:pPr>
    </w:p>
    <w:p w14:paraId="5519E589" w14:textId="77777777" w:rsidR="00BC2CE5" w:rsidRDefault="00BC2CE5">
      <w:pPr>
        <w:spacing w:line="360" w:lineRule="auto"/>
        <w:jc w:val="center"/>
        <w:rPr>
          <w:rFonts w:ascii="Arial" w:hAnsi="Arial" w:cs="Arial"/>
          <w:b/>
          <w:bCs/>
        </w:rPr>
      </w:pPr>
    </w:p>
    <w:p w14:paraId="5D878D96" w14:textId="77777777" w:rsidR="00BC2CE5" w:rsidRDefault="00BC2CE5">
      <w:pPr>
        <w:spacing w:line="360" w:lineRule="auto"/>
        <w:jc w:val="center"/>
        <w:rPr>
          <w:rFonts w:ascii="Arial" w:hAnsi="Arial" w:cs="Arial"/>
          <w:b/>
          <w:bCs/>
        </w:rPr>
      </w:pPr>
    </w:p>
    <w:p w14:paraId="344FA502" w14:textId="77777777" w:rsidR="00BC2CE5" w:rsidRDefault="00BC2CE5">
      <w:pPr>
        <w:spacing w:line="360" w:lineRule="auto"/>
        <w:jc w:val="center"/>
        <w:rPr>
          <w:rFonts w:ascii="Arial" w:hAnsi="Arial" w:cs="Arial"/>
          <w:b/>
          <w:bCs/>
        </w:rPr>
      </w:pPr>
    </w:p>
    <w:p w14:paraId="6E7A1EAE" w14:textId="77777777" w:rsidR="00BC2CE5" w:rsidRDefault="00BC2CE5">
      <w:pPr>
        <w:spacing w:line="360" w:lineRule="auto"/>
        <w:jc w:val="center"/>
        <w:rPr>
          <w:rFonts w:ascii="Arial" w:hAnsi="Arial" w:cs="Arial"/>
          <w:b/>
          <w:bCs/>
        </w:rPr>
      </w:pPr>
    </w:p>
    <w:p w14:paraId="5DF7FB0F" w14:textId="77777777" w:rsidR="00BC2CE5" w:rsidRDefault="00BC2CE5">
      <w:pPr>
        <w:spacing w:line="360" w:lineRule="auto"/>
        <w:jc w:val="center"/>
        <w:rPr>
          <w:rFonts w:ascii="Arial" w:hAnsi="Arial" w:cs="Arial"/>
          <w:b/>
          <w:bCs/>
        </w:rPr>
      </w:pPr>
    </w:p>
    <w:p w14:paraId="0D67666A" w14:textId="77777777" w:rsidR="00BC2CE5" w:rsidRDefault="00BC2CE5">
      <w:pPr>
        <w:spacing w:line="360" w:lineRule="auto"/>
        <w:jc w:val="center"/>
        <w:rPr>
          <w:rFonts w:ascii="Arial" w:hAnsi="Arial" w:cs="Arial"/>
          <w:b/>
          <w:bCs/>
        </w:rPr>
      </w:pPr>
    </w:p>
    <w:p w14:paraId="52D09C91" w14:textId="77777777" w:rsidR="00BC2CE5" w:rsidRDefault="00000000">
      <w:pPr>
        <w:spacing w:line="360" w:lineRule="auto"/>
        <w:jc w:val="center"/>
        <w:rPr>
          <w:rFonts w:ascii="Arial" w:hAnsi="Arial" w:cs="Arial"/>
        </w:rPr>
      </w:pPr>
      <w:r>
        <w:rPr>
          <w:rFonts w:ascii="Arial" w:hAnsi="Arial" w:cs="Arial"/>
          <w:b/>
          <w:bCs/>
        </w:rPr>
        <w:t>Assignment 1</w:t>
      </w:r>
    </w:p>
    <w:p w14:paraId="28133906" w14:textId="77777777" w:rsidR="00BC2CE5" w:rsidRDefault="00000000">
      <w:pPr>
        <w:spacing w:line="360" w:lineRule="auto"/>
        <w:jc w:val="center"/>
        <w:rPr>
          <w:rFonts w:ascii="Arial" w:hAnsi="Arial" w:cs="Arial"/>
        </w:rPr>
      </w:pPr>
      <w:r>
        <w:rPr>
          <w:rFonts w:ascii="Arial" w:hAnsi="Arial" w:cs="Arial"/>
        </w:rPr>
        <w:t>Student ID:</w:t>
      </w:r>
      <w:r>
        <w:rPr>
          <w:rFonts w:ascii="Arial" w:hAnsi="Arial"/>
        </w:rPr>
        <w:t>2237335</w:t>
      </w:r>
    </w:p>
    <w:p w14:paraId="047F6690" w14:textId="77777777" w:rsidR="00BC2CE5" w:rsidRDefault="00000000">
      <w:pPr>
        <w:spacing w:line="360" w:lineRule="auto"/>
        <w:jc w:val="center"/>
        <w:rPr>
          <w:rFonts w:ascii="Arial" w:hAnsi="Arial" w:cs="Arial"/>
        </w:rPr>
      </w:pPr>
      <w:proofErr w:type="spellStart"/>
      <w:proofErr w:type="gramStart"/>
      <w:r>
        <w:rPr>
          <w:rFonts w:ascii="Arial" w:hAnsi="Arial" w:cs="Arial"/>
        </w:rPr>
        <w:t>Module:HRM</w:t>
      </w:r>
      <w:proofErr w:type="spellEnd"/>
      <w:proofErr w:type="gramEnd"/>
    </w:p>
    <w:p w14:paraId="268E4B73" w14:textId="77777777" w:rsidR="00BC2CE5" w:rsidRDefault="00000000">
      <w:pPr>
        <w:spacing w:line="360" w:lineRule="auto"/>
        <w:jc w:val="center"/>
        <w:rPr>
          <w:rFonts w:ascii="Arial" w:hAnsi="Arial" w:cs="Arial"/>
        </w:rPr>
      </w:pPr>
      <w:proofErr w:type="spellStart"/>
      <w:proofErr w:type="gramStart"/>
      <w:r>
        <w:rPr>
          <w:rFonts w:ascii="Arial" w:hAnsi="Arial" w:cs="Arial"/>
        </w:rPr>
        <w:t>Lecturer:G</w:t>
      </w:r>
      <w:r>
        <w:rPr>
          <w:rFonts w:ascii="Arial" w:hAnsi="Arial"/>
        </w:rPr>
        <w:t>ladius</w:t>
      </w:r>
      <w:proofErr w:type="spellEnd"/>
      <w:proofErr w:type="gramEnd"/>
      <w:r>
        <w:rPr>
          <w:rFonts w:ascii="Arial" w:hAnsi="Arial"/>
        </w:rPr>
        <w:t xml:space="preserve"> David </w:t>
      </w:r>
      <w:proofErr w:type="spellStart"/>
      <w:r>
        <w:rPr>
          <w:rFonts w:ascii="Arial" w:hAnsi="Arial"/>
        </w:rPr>
        <w:t>Kulothungun</w:t>
      </w:r>
      <w:proofErr w:type="spellEnd"/>
    </w:p>
    <w:p w14:paraId="3BF149E7" w14:textId="77777777" w:rsidR="00BC2CE5" w:rsidRDefault="00BC2CE5">
      <w:pPr>
        <w:spacing w:line="360" w:lineRule="auto"/>
        <w:rPr>
          <w:rFonts w:ascii="Arial" w:hAnsi="Arial" w:cs="Arial"/>
        </w:rPr>
      </w:pPr>
    </w:p>
    <w:p w14:paraId="32ACF591" w14:textId="77777777" w:rsidR="00BC2CE5" w:rsidRDefault="00BC2CE5">
      <w:pPr>
        <w:spacing w:line="360" w:lineRule="auto"/>
        <w:rPr>
          <w:rFonts w:ascii="Arial" w:hAnsi="Arial" w:cs="Arial"/>
        </w:rPr>
      </w:pPr>
    </w:p>
    <w:p w14:paraId="30557C91" w14:textId="77777777" w:rsidR="00BC2CE5" w:rsidRDefault="00BC2CE5">
      <w:pPr>
        <w:spacing w:line="360" w:lineRule="auto"/>
        <w:rPr>
          <w:rFonts w:ascii="Arial" w:hAnsi="Arial" w:cs="Arial"/>
        </w:rPr>
      </w:pPr>
    </w:p>
    <w:p w14:paraId="5A9885B0" w14:textId="77777777" w:rsidR="00BC2CE5" w:rsidRDefault="00BC2CE5">
      <w:pPr>
        <w:spacing w:line="360" w:lineRule="auto"/>
        <w:rPr>
          <w:rFonts w:ascii="Arial" w:hAnsi="Arial" w:cs="Arial"/>
        </w:rPr>
      </w:pPr>
    </w:p>
    <w:p w14:paraId="284DA7ED" w14:textId="77777777" w:rsidR="00BC2CE5" w:rsidRDefault="00000000">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462FF3A8" w14:textId="77777777" w:rsidR="00BC2CE5" w:rsidRDefault="00BC2CE5">
      <w:pPr>
        <w:spacing w:after="0" w:line="360" w:lineRule="auto"/>
        <w:rPr>
          <w:rFonts w:ascii="Arial" w:hAnsi="Arial" w:cs="Arial"/>
        </w:rPr>
      </w:pPr>
    </w:p>
    <w:p w14:paraId="38A35597" w14:textId="77777777" w:rsidR="00BC2CE5" w:rsidRDefault="00BC2CE5">
      <w:pPr>
        <w:spacing w:after="0" w:line="360" w:lineRule="auto"/>
        <w:rPr>
          <w:rFonts w:ascii="Arial" w:hAnsi="Arial" w:cs="Arial"/>
        </w:rPr>
      </w:pPr>
    </w:p>
    <w:sdt>
      <w:sdtPr>
        <w:rPr>
          <w:rFonts w:ascii="Arial" w:eastAsia="Times New Roman" w:hAnsi="Arial" w:cs="Arial"/>
          <w:color w:val="auto"/>
          <w:sz w:val="24"/>
          <w:szCs w:val="24"/>
        </w:rPr>
        <w:id w:val="204525244"/>
        <w:docPartObj>
          <w:docPartGallery w:val="Table of Contents"/>
          <w:docPartUnique/>
        </w:docPartObj>
      </w:sdtPr>
      <w:sdtEndPr>
        <w:rPr>
          <w:b/>
          <w:bCs/>
        </w:rPr>
      </w:sdtEndPr>
      <w:sdtContent>
        <w:p w14:paraId="6D17485C" w14:textId="77777777" w:rsidR="00BC2CE5" w:rsidRDefault="00000000">
          <w:pPr>
            <w:pStyle w:val="TOCHeading1"/>
            <w:spacing w:line="360" w:lineRule="auto"/>
            <w:jc w:val="center"/>
            <w:rPr>
              <w:rFonts w:ascii="Arial" w:hAnsi="Arial" w:cs="Arial"/>
              <w:b/>
              <w:bCs/>
              <w:color w:val="auto"/>
              <w:sz w:val="24"/>
              <w:szCs w:val="24"/>
            </w:rPr>
          </w:pPr>
          <w:r>
            <w:rPr>
              <w:rFonts w:ascii="Arial" w:hAnsi="Arial" w:cs="Arial"/>
              <w:b/>
              <w:bCs/>
              <w:color w:val="auto"/>
              <w:sz w:val="24"/>
              <w:szCs w:val="24"/>
            </w:rPr>
            <w:t>Contents</w:t>
          </w:r>
        </w:p>
        <w:p w14:paraId="313FEEB4" w14:textId="77777777" w:rsidR="00BC2CE5" w:rsidRDefault="00000000">
          <w:pPr>
            <w:pStyle w:val="TOC1"/>
            <w:tabs>
              <w:tab w:val="right" w:leader="dot" w:pos="9350"/>
            </w:tabs>
            <w:spacing w:line="360" w:lineRule="auto"/>
            <w:rPr>
              <w:rFonts w:ascii="Arial" w:eastAsiaTheme="minorEastAsia" w:hAnsi="Arial" w:cs="Ari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143536556" w:history="1">
            <w:r>
              <w:rPr>
                <w:rStyle w:val="Hyperlink"/>
                <w:rFonts w:ascii="Arial" w:hAnsi="Arial" w:cs="Arial"/>
              </w:rPr>
              <w:t>Introduction</w:t>
            </w:r>
            <w:r>
              <w:rPr>
                <w:rFonts w:ascii="Arial" w:hAnsi="Arial" w:cs="Arial"/>
              </w:rPr>
              <w:tab/>
            </w:r>
            <w:r>
              <w:rPr>
                <w:rFonts w:ascii="Arial" w:hAnsi="Arial" w:cs="Arial"/>
              </w:rPr>
              <w:fldChar w:fldCharType="begin"/>
            </w:r>
            <w:r>
              <w:rPr>
                <w:rFonts w:ascii="Arial" w:hAnsi="Arial" w:cs="Arial"/>
              </w:rPr>
              <w:instrText xml:space="preserve"> PAGEREF _Toc143536556 \h </w:instrText>
            </w:r>
            <w:r>
              <w:rPr>
                <w:rFonts w:ascii="Arial" w:hAnsi="Arial" w:cs="Arial"/>
              </w:rPr>
            </w:r>
            <w:r>
              <w:rPr>
                <w:rFonts w:ascii="Arial" w:hAnsi="Arial" w:cs="Arial"/>
              </w:rPr>
              <w:fldChar w:fldCharType="separate"/>
            </w:r>
            <w:r>
              <w:rPr>
                <w:rFonts w:ascii="Arial" w:hAnsi="Arial" w:cs="Arial"/>
              </w:rPr>
              <w:t>4</w:t>
            </w:r>
            <w:r>
              <w:rPr>
                <w:rFonts w:ascii="Arial" w:hAnsi="Arial" w:cs="Arial"/>
              </w:rPr>
              <w:fldChar w:fldCharType="end"/>
            </w:r>
          </w:hyperlink>
        </w:p>
        <w:p w14:paraId="7CB53DD6" w14:textId="77777777" w:rsidR="00BC2CE5" w:rsidRDefault="00000000">
          <w:pPr>
            <w:pStyle w:val="TOC1"/>
            <w:tabs>
              <w:tab w:val="right" w:leader="dot" w:pos="9350"/>
            </w:tabs>
            <w:spacing w:line="360" w:lineRule="auto"/>
            <w:rPr>
              <w:rFonts w:ascii="Arial" w:eastAsiaTheme="minorEastAsia" w:hAnsi="Arial" w:cs="Arial"/>
            </w:rPr>
          </w:pPr>
          <w:hyperlink w:anchor="_Toc143536557" w:history="1">
            <w:r>
              <w:rPr>
                <w:rStyle w:val="Hyperlink"/>
                <w:rFonts w:ascii="Arial" w:hAnsi="Arial" w:cs="Arial"/>
                <w:bCs/>
              </w:rPr>
              <w:t xml:space="preserve">Task 1: </w:t>
            </w:r>
            <w:r>
              <w:rPr>
                <w:rStyle w:val="Hyperlink"/>
                <w:rFonts w:ascii="Arial" w:hAnsi="Arial" w:cs="Arial"/>
              </w:rPr>
              <w:t>Current State of the Labor Market in the UK</w:t>
            </w:r>
            <w:r>
              <w:rPr>
                <w:rFonts w:ascii="Arial" w:hAnsi="Arial" w:cs="Arial"/>
              </w:rPr>
              <w:tab/>
            </w:r>
            <w:r>
              <w:rPr>
                <w:rFonts w:ascii="Arial" w:hAnsi="Arial" w:cs="Arial"/>
              </w:rPr>
              <w:fldChar w:fldCharType="begin"/>
            </w:r>
            <w:r>
              <w:rPr>
                <w:rFonts w:ascii="Arial" w:hAnsi="Arial" w:cs="Arial"/>
              </w:rPr>
              <w:instrText xml:space="preserve"> PAGEREF _Toc143536557 \h </w:instrText>
            </w:r>
            <w:r>
              <w:rPr>
                <w:rFonts w:ascii="Arial" w:hAnsi="Arial" w:cs="Arial"/>
              </w:rPr>
            </w:r>
            <w:r>
              <w:rPr>
                <w:rFonts w:ascii="Arial" w:hAnsi="Arial" w:cs="Arial"/>
              </w:rPr>
              <w:fldChar w:fldCharType="separate"/>
            </w:r>
            <w:r>
              <w:rPr>
                <w:rFonts w:ascii="Arial" w:hAnsi="Arial" w:cs="Arial"/>
              </w:rPr>
              <w:t>5</w:t>
            </w:r>
            <w:r>
              <w:rPr>
                <w:rFonts w:ascii="Arial" w:hAnsi="Arial" w:cs="Arial"/>
              </w:rPr>
              <w:fldChar w:fldCharType="end"/>
            </w:r>
          </w:hyperlink>
        </w:p>
        <w:p w14:paraId="501241C3" w14:textId="77777777" w:rsidR="00BC2CE5" w:rsidRDefault="00000000">
          <w:pPr>
            <w:pStyle w:val="TOC2"/>
            <w:tabs>
              <w:tab w:val="right" w:leader="dot" w:pos="9350"/>
            </w:tabs>
            <w:spacing w:line="360" w:lineRule="auto"/>
            <w:rPr>
              <w:rFonts w:ascii="Arial" w:eastAsiaTheme="minorEastAsia" w:hAnsi="Arial" w:cs="Arial"/>
            </w:rPr>
          </w:pPr>
          <w:hyperlink w:anchor="_Toc143536558" w:history="1">
            <w:r>
              <w:rPr>
                <w:rStyle w:val="Hyperlink"/>
                <w:rFonts w:ascii="Arial" w:hAnsi="Arial" w:cs="Arial"/>
              </w:rPr>
              <w:t>1.1 Current Trends, Challenges, and Opportunities</w:t>
            </w:r>
            <w:r>
              <w:rPr>
                <w:rFonts w:ascii="Arial" w:hAnsi="Arial" w:cs="Arial"/>
              </w:rPr>
              <w:tab/>
            </w:r>
            <w:r>
              <w:rPr>
                <w:rFonts w:ascii="Arial" w:hAnsi="Arial" w:cs="Arial"/>
              </w:rPr>
              <w:fldChar w:fldCharType="begin"/>
            </w:r>
            <w:r>
              <w:rPr>
                <w:rFonts w:ascii="Arial" w:hAnsi="Arial" w:cs="Arial"/>
              </w:rPr>
              <w:instrText xml:space="preserve"> PAGEREF _Toc143536558 \h </w:instrText>
            </w:r>
            <w:r>
              <w:rPr>
                <w:rFonts w:ascii="Arial" w:hAnsi="Arial" w:cs="Arial"/>
              </w:rPr>
            </w:r>
            <w:r>
              <w:rPr>
                <w:rFonts w:ascii="Arial" w:hAnsi="Arial" w:cs="Arial"/>
              </w:rPr>
              <w:fldChar w:fldCharType="separate"/>
            </w:r>
            <w:r>
              <w:rPr>
                <w:rFonts w:ascii="Arial" w:hAnsi="Arial" w:cs="Arial"/>
              </w:rPr>
              <w:t>5</w:t>
            </w:r>
            <w:r>
              <w:rPr>
                <w:rFonts w:ascii="Arial" w:hAnsi="Arial" w:cs="Arial"/>
              </w:rPr>
              <w:fldChar w:fldCharType="end"/>
            </w:r>
          </w:hyperlink>
        </w:p>
        <w:p w14:paraId="6771BBF7" w14:textId="77777777" w:rsidR="00BC2CE5" w:rsidRDefault="00000000">
          <w:pPr>
            <w:pStyle w:val="TOC3"/>
            <w:tabs>
              <w:tab w:val="right" w:leader="dot" w:pos="9350"/>
            </w:tabs>
            <w:spacing w:line="360" w:lineRule="auto"/>
            <w:rPr>
              <w:rFonts w:ascii="Arial" w:eastAsiaTheme="minorEastAsia" w:hAnsi="Arial" w:cs="Arial"/>
            </w:rPr>
          </w:pPr>
          <w:hyperlink w:anchor="_Toc143536559" w:history="1">
            <w:r>
              <w:rPr>
                <w:rStyle w:val="Hyperlink"/>
                <w:rFonts w:ascii="Arial" w:hAnsi="Arial" w:cs="Arial"/>
              </w:rPr>
              <w:t>Trends</w:t>
            </w:r>
            <w:r>
              <w:rPr>
                <w:rFonts w:ascii="Arial" w:hAnsi="Arial" w:cs="Arial"/>
              </w:rPr>
              <w:tab/>
            </w:r>
            <w:r>
              <w:rPr>
                <w:rFonts w:ascii="Arial" w:hAnsi="Arial" w:cs="Arial"/>
              </w:rPr>
              <w:fldChar w:fldCharType="begin"/>
            </w:r>
            <w:r>
              <w:rPr>
                <w:rFonts w:ascii="Arial" w:hAnsi="Arial" w:cs="Arial"/>
              </w:rPr>
              <w:instrText xml:space="preserve"> PAGEREF _Toc143536559 \h </w:instrText>
            </w:r>
            <w:r>
              <w:rPr>
                <w:rFonts w:ascii="Arial" w:hAnsi="Arial" w:cs="Arial"/>
              </w:rPr>
            </w:r>
            <w:r>
              <w:rPr>
                <w:rFonts w:ascii="Arial" w:hAnsi="Arial" w:cs="Arial"/>
              </w:rPr>
              <w:fldChar w:fldCharType="separate"/>
            </w:r>
            <w:r>
              <w:rPr>
                <w:rFonts w:ascii="Arial" w:hAnsi="Arial" w:cs="Arial"/>
              </w:rPr>
              <w:t>5</w:t>
            </w:r>
            <w:r>
              <w:rPr>
                <w:rFonts w:ascii="Arial" w:hAnsi="Arial" w:cs="Arial"/>
              </w:rPr>
              <w:fldChar w:fldCharType="end"/>
            </w:r>
          </w:hyperlink>
        </w:p>
        <w:p w14:paraId="1144E2AD" w14:textId="77777777" w:rsidR="00BC2CE5" w:rsidRDefault="00000000">
          <w:pPr>
            <w:pStyle w:val="TOC3"/>
            <w:tabs>
              <w:tab w:val="right" w:leader="dot" w:pos="9350"/>
            </w:tabs>
            <w:spacing w:line="360" w:lineRule="auto"/>
            <w:rPr>
              <w:rFonts w:ascii="Arial" w:eastAsiaTheme="minorEastAsia" w:hAnsi="Arial" w:cs="Arial"/>
            </w:rPr>
          </w:pPr>
          <w:hyperlink w:anchor="_Toc143536560" w:history="1">
            <w:r>
              <w:rPr>
                <w:rStyle w:val="Hyperlink"/>
                <w:rFonts w:ascii="Arial" w:hAnsi="Arial" w:cs="Arial"/>
              </w:rPr>
              <w:t>Challenges</w:t>
            </w:r>
            <w:r>
              <w:rPr>
                <w:rFonts w:ascii="Arial" w:hAnsi="Arial" w:cs="Arial"/>
              </w:rPr>
              <w:tab/>
            </w:r>
            <w:r>
              <w:rPr>
                <w:rFonts w:ascii="Arial" w:hAnsi="Arial" w:cs="Arial"/>
              </w:rPr>
              <w:fldChar w:fldCharType="begin"/>
            </w:r>
            <w:r>
              <w:rPr>
                <w:rFonts w:ascii="Arial" w:hAnsi="Arial" w:cs="Arial"/>
              </w:rPr>
              <w:instrText xml:space="preserve"> PAGEREF _Toc143536560 \h </w:instrText>
            </w:r>
            <w:r>
              <w:rPr>
                <w:rFonts w:ascii="Arial" w:hAnsi="Arial" w:cs="Arial"/>
              </w:rPr>
            </w:r>
            <w:r>
              <w:rPr>
                <w:rFonts w:ascii="Arial" w:hAnsi="Arial" w:cs="Arial"/>
              </w:rPr>
              <w:fldChar w:fldCharType="separate"/>
            </w:r>
            <w:r>
              <w:rPr>
                <w:rFonts w:ascii="Arial" w:hAnsi="Arial" w:cs="Arial"/>
              </w:rPr>
              <w:t>6</w:t>
            </w:r>
            <w:r>
              <w:rPr>
                <w:rFonts w:ascii="Arial" w:hAnsi="Arial" w:cs="Arial"/>
              </w:rPr>
              <w:fldChar w:fldCharType="end"/>
            </w:r>
          </w:hyperlink>
        </w:p>
        <w:p w14:paraId="1AB8C890" w14:textId="77777777" w:rsidR="00BC2CE5" w:rsidRDefault="00000000">
          <w:pPr>
            <w:pStyle w:val="TOC3"/>
            <w:tabs>
              <w:tab w:val="right" w:leader="dot" w:pos="9350"/>
            </w:tabs>
            <w:spacing w:line="360" w:lineRule="auto"/>
            <w:rPr>
              <w:rFonts w:ascii="Arial" w:eastAsiaTheme="minorEastAsia" w:hAnsi="Arial" w:cs="Arial"/>
            </w:rPr>
          </w:pPr>
          <w:hyperlink w:anchor="_Toc143536561" w:history="1">
            <w:r>
              <w:rPr>
                <w:rStyle w:val="Hyperlink"/>
                <w:rFonts w:ascii="Arial" w:hAnsi="Arial" w:cs="Arial"/>
              </w:rPr>
              <w:t>Opportunities</w:t>
            </w:r>
            <w:r>
              <w:rPr>
                <w:rFonts w:ascii="Arial" w:hAnsi="Arial" w:cs="Arial"/>
              </w:rPr>
              <w:tab/>
            </w:r>
            <w:r>
              <w:rPr>
                <w:rFonts w:ascii="Arial" w:hAnsi="Arial" w:cs="Arial"/>
              </w:rPr>
              <w:fldChar w:fldCharType="begin"/>
            </w:r>
            <w:r>
              <w:rPr>
                <w:rFonts w:ascii="Arial" w:hAnsi="Arial" w:cs="Arial"/>
              </w:rPr>
              <w:instrText xml:space="preserve"> PAGEREF _Toc143536561 \h </w:instrText>
            </w:r>
            <w:r>
              <w:rPr>
                <w:rFonts w:ascii="Arial" w:hAnsi="Arial" w:cs="Arial"/>
              </w:rPr>
            </w:r>
            <w:r>
              <w:rPr>
                <w:rFonts w:ascii="Arial" w:hAnsi="Arial" w:cs="Arial"/>
              </w:rPr>
              <w:fldChar w:fldCharType="separate"/>
            </w:r>
            <w:r>
              <w:rPr>
                <w:rFonts w:ascii="Arial" w:hAnsi="Arial" w:cs="Arial"/>
              </w:rPr>
              <w:t>7</w:t>
            </w:r>
            <w:r>
              <w:rPr>
                <w:rFonts w:ascii="Arial" w:hAnsi="Arial" w:cs="Arial"/>
              </w:rPr>
              <w:fldChar w:fldCharType="end"/>
            </w:r>
          </w:hyperlink>
        </w:p>
        <w:p w14:paraId="3DF2FB41" w14:textId="77777777" w:rsidR="00BC2CE5" w:rsidRDefault="00000000">
          <w:pPr>
            <w:pStyle w:val="TOC2"/>
            <w:tabs>
              <w:tab w:val="right" w:leader="dot" w:pos="9350"/>
            </w:tabs>
            <w:spacing w:line="360" w:lineRule="auto"/>
            <w:rPr>
              <w:rFonts w:ascii="Arial" w:eastAsiaTheme="minorEastAsia" w:hAnsi="Arial" w:cs="Arial"/>
            </w:rPr>
          </w:pPr>
          <w:hyperlink w:anchor="_Toc143536562" w:history="1">
            <w:r>
              <w:rPr>
                <w:rStyle w:val="Hyperlink"/>
                <w:rFonts w:ascii="Arial" w:hAnsi="Arial" w:cs="Arial"/>
              </w:rPr>
              <w:t>1.2 The Effect of Covid- 19 on the Labor Market</w:t>
            </w:r>
            <w:r>
              <w:rPr>
                <w:rFonts w:ascii="Arial" w:hAnsi="Arial" w:cs="Arial"/>
              </w:rPr>
              <w:tab/>
            </w:r>
            <w:r>
              <w:rPr>
                <w:rFonts w:ascii="Arial" w:hAnsi="Arial" w:cs="Arial"/>
              </w:rPr>
              <w:fldChar w:fldCharType="begin"/>
            </w:r>
            <w:r>
              <w:rPr>
                <w:rFonts w:ascii="Arial" w:hAnsi="Arial" w:cs="Arial"/>
              </w:rPr>
              <w:instrText xml:space="preserve"> PAGEREF _Toc143536562 \h </w:instrText>
            </w:r>
            <w:r>
              <w:rPr>
                <w:rFonts w:ascii="Arial" w:hAnsi="Arial" w:cs="Arial"/>
              </w:rPr>
            </w:r>
            <w:r>
              <w:rPr>
                <w:rFonts w:ascii="Arial" w:hAnsi="Arial" w:cs="Arial"/>
              </w:rPr>
              <w:fldChar w:fldCharType="separate"/>
            </w:r>
            <w:r>
              <w:rPr>
                <w:rFonts w:ascii="Arial" w:hAnsi="Arial" w:cs="Arial"/>
              </w:rPr>
              <w:t>7</w:t>
            </w:r>
            <w:r>
              <w:rPr>
                <w:rFonts w:ascii="Arial" w:hAnsi="Arial" w:cs="Arial"/>
              </w:rPr>
              <w:fldChar w:fldCharType="end"/>
            </w:r>
          </w:hyperlink>
        </w:p>
        <w:p w14:paraId="2D9DB645" w14:textId="77777777" w:rsidR="00BC2CE5" w:rsidRDefault="00000000">
          <w:pPr>
            <w:pStyle w:val="TOC3"/>
            <w:tabs>
              <w:tab w:val="right" w:leader="dot" w:pos="9350"/>
            </w:tabs>
            <w:spacing w:line="360" w:lineRule="auto"/>
            <w:rPr>
              <w:rFonts w:ascii="Arial" w:eastAsiaTheme="minorEastAsia" w:hAnsi="Arial" w:cs="Arial"/>
            </w:rPr>
          </w:pPr>
          <w:hyperlink w:anchor="_Toc143536563" w:history="1">
            <w:r>
              <w:rPr>
                <w:rStyle w:val="Hyperlink"/>
                <w:rFonts w:ascii="Arial" w:hAnsi="Arial" w:cs="Arial"/>
              </w:rPr>
              <w:t>Immediate Impact</w:t>
            </w:r>
            <w:r>
              <w:rPr>
                <w:rFonts w:ascii="Arial" w:hAnsi="Arial" w:cs="Arial"/>
              </w:rPr>
              <w:tab/>
            </w:r>
            <w:r>
              <w:rPr>
                <w:rFonts w:ascii="Arial" w:hAnsi="Arial" w:cs="Arial"/>
              </w:rPr>
              <w:fldChar w:fldCharType="begin"/>
            </w:r>
            <w:r>
              <w:rPr>
                <w:rFonts w:ascii="Arial" w:hAnsi="Arial" w:cs="Arial"/>
              </w:rPr>
              <w:instrText xml:space="preserve"> PAGEREF _Toc143536563 \h </w:instrText>
            </w:r>
            <w:r>
              <w:rPr>
                <w:rFonts w:ascii="Arial" w:hAnsi="Arial" w:cs="Arial"/>
              </w:rPr>
            </w:r>
            <w:r>
              <w:rPr>
                <w:rFonts w:ascii="Arial" w:hAnsi="Arial" w:cs="Arial"/>
              </w:rPr>
              <w:fldChar w:fldCharType="separate"/>
            </w:r>
            <w:r>
              <w:rPr>
                <w:rFonts w:ascii="Arial" w:hAnsi="Arial" w:cs="Arial"/>
              </w:rPr>
              <w:t>8</w:t>
            </w:r>
            <w:r>
              <w:rPr>
                <w:rFonts w:ascii="Arial" w:hAnsi="Arial" w:cs="Arial"/>
              </w:rPr>
              <w:fldChar w:fldCharType="end"/>
            </w:r>
          </w:hyperlink>
        </w:p>
        <w:p w14:paraId="16663DC0" w14:textId="77777777" w:rsidR="00BC2CE5" w:rsidRDefault="00000000">
          <w:pPr>
            <w:pStyle w:val="TOC3"/>
            <w:tabs>
              <w:tab w:val="right" w:leader="dot" w:pos="9350"/>
            </w:tabs>
            <w:spacing w:line="360" w:lineRule="auto"/>
            <w:rPr>
              <w:rFonts w:ascii="Arial" w:eastAsiaTheme="minorEastAsia" w:hAnsi="Arial" w:cs="Arial"/>
            </w:rPr>
          </w:pPr>
          <w:hyperlink w:anchor="_Toc143536564" w:history="1">
            <w:r>
              <w:rPr>
                <w:rStyle w:val="Hyperlink"/>
                <w:rFonts w:ascii="Arial" w:hAnsi="Arial" w:cs="Arial"/>
              </w:rPr>
              <w:t>Sectoral Disparities</w:t>
            </w:r>
            <w:r>
              <w:rPr>
                <w:rFonts w:ascii="Arial" w:hAnsi="Arial" w:cs="Arial"/>
              </w:rPr>
              <w:tab/>
            </w:r>
            <w:r>
              <w:rPr>
                <w:rFonts w:ascii="Arial" w:hAnsi="Arial" w:cs="Arial"/>
              </w:rPr>
              <w:fldChar w:fldCharType="begin"/>
            </w:r>
            <w:r>
              <w:rPr>
                <w:rFonts w:ascii="Arial" w:hAnsi="Arial" w:cs="Arial"/>
              </w:rPr>
              <w:instrText xml:space="preserve"> PAGEREF _Toc143536564 \h </w:instrText>
            </w:r>
            <w:r>
              <w:rPr>
                <w:rFonts w:ascii="Arial" w:hAnsi="Arial" w:cs="Arial"/>
              </w:rPr>
            </w:r>
            <w:r>
              <w:rPr>
                <w:rFonts w:ascii="Arial" w:hAnsi="Arial" w:cs="Arial"/>
              </w:rPr>
              <w:fldChar w:fldCharType="separate"/>
            </w:r>
            <w:r>
              <w:rPr>
                <w:rFonts w:ascii="Arial" w:hAnsi="Arial" w:cs="Arial"/>
              </w:rPr>
              <w:t>8</w:t>
            </w:r>
            <w:r>
              <w:rPr>
                <w:rFonts w:ascii="Arial" w:hAnsi="Arial" w:cs="Arial"/>
              </w:rPr>
              <w:fldChar w:fldCharType="end"/>
            </w:r>
          </w:hyperlink>
        </w:p>
        <w:p w14:paraId="6B5BA991" w14:textId="77777777" w:rsidR="00BC2CE5" w:rsidRDefault="00000000">
          <w:pPr>
            <w:pStyle w:val="TOC3"/>
            <w:tabs>
              <w:tab w:val="right" w:leader="dot" w:pos="9350"/>
            </w:tabs>
            <w:spacing w:line="360" w:lineRule="auto"/>
            <w:rPr>
              <w:rFonts w:ascii="Arial" w:eastAsiaTheme="minorEastAsia" w:hAnsi="Arial" w:cs="Arial"/>
            </w:rPr>
          </w:pPr>
          <w:hyperlink w:anchor="_Toc143536565" w:history="1">
            <w:r>
              <w:rPr>
                <w:rStyle w:val="Hyperlink"/>
                <w:rFonts w:ascii="Arial" w:hAnsi="Arial" w:cs="Arial"/>
              </w:rPr>
              <w:t>Remote Work Acceleration</w:t>
            </w:r>
            <w:r>
              <w:rPr>
                <w:rFonts w:ascii="Arial" w:hAnsi="Arial" w:cs="Arial"/>
              </w:rPr>
              <w:tab/>
            </w:r>
            <w:r>
              <w:rPr>
                <w:rFonts w:ascii="Arial" w:hAnsi="Arial" w:cs="Arial"/>
              </w:rPr>
              <w:fldChar w:fldCharType="begin"/>
            </w:r>
            <w:r>
              <w:rPr>
                <w:rFonts w:ascii="Arial" w:hAnsi="Arial" w:cs="Arial"/>
              </w:rPr>
              <w:instrText xml:space="preserve"> PAGEREF _Toc143536565 \h </w:instrText>
            </w:r>
            <w:r>
              <w:rPr>
                <w:rFonts w:ascii="Arial" w:hAnsi="Arial" w:cs="Arial"/>
              </w:rPr>
            </w:r>
            <w:r>
              <w:rPr>
                <w:rFonts w:ascii="Arial" w:hAnsi="Arial" w:cs="Arial"/>
              </w:rPr>
              <w:fldChar w:fldCharType="separate"/>
            </w:r>
            <w:r>
              <w:rPr>
                <w:rFonts w:ascii="Arial" w:hAnsi="Arial" w:cs="Arial"/>
              </w:rPr>
              <w:t>8</w:t>
            </w:r>
            <w:r>
              <w:rPr>
                <w:rFonts w:ascii="Arial" w:hAnsi="Arial" w:cs="Arial"/>
              </w:rPr>
              <w:fldChar w:fldCharType="end"/>
            </w:r>
          </w:hyperlink>
        </w:p>
        <w:p w14:paraId="36851012" w14:textId="77777777" w:rsidR="00BC2CE5" w:rsidRDefault="00000000">
          <w:pPr>
            <w:pStyle w:val="TOC3"/>
            <w:tabs>
              <w:tab w:val="right" w:leader="dot" w:pos="9350"/>
            </w:tabs>
            <w:spacing w:line="360" w:lineRule="auto"/>
            <w:rPr>
              <w:rFonts w:ascii="Arial" w:eastAsiaTheme="minorEastAsia" w:hAnsi="Arial" w:cs="Arial"/>
            </w:rPr>
          </w:pPr>
          <w:hyperlink w:anchor="_Toc143536566" w:history="1">
            <w:r>
              <w:rPr>
                <w:rStyle w:val="Hyperlink"/>
                <w:rFonts w:ascii="Arial" w:hAnsi="Arial" w:cs="Arial"/>
              </w:rPr>
              <w:t>Changing Nature of Work</w:t>
            </w:r>
            <w:r>
              <w:rPr>
                <w:rFonts w:ascii="Arial" w:hAnsi="Arial" w:cs="Arial"/>
              </w:rPr>
              <w:tab/>
            </w:r>
            <w:r>
              <w:rPr>
                <w:rFonts w:ascii="Arial" w:hAnsi="Arial" w:cs="Arial"/>
              </w:rPr>
              <w:fldChar w:fldCharType="begin"/>
            </w:r>
            <w:r>
              <w:rPr>
                <w:rFonts w:ascii="Arial" w:hAnsi="Arial" w:cs="Arial"/>
              </w:rPr>
              <w:instrText xml:space="preserve"> PAGEREF _Toc143536566 \h </w:instrText>
            </w:r>
            <w:r>
              <w:rPr>
                <w:rFonts w:ascii="Arial" w:hAnsi="Arial" w:cs="Arial"/>
              </w:rPr>
            </w:r>
            <w:r>
              <w:rPr>
                <w:rFonts w:ascii="Arial" w:hAnsi="Arial" w:cs="Arial"/>
              </w:rPr>
              <w:fldChar w:fldCharType="separate"/>
            </w:r>
            <w:r>
              <w:rPr>
                <w:rFonts w:ascii="Arial" w:hAnsi="Arial" w:cs="Arial"/>
              </w:rPr>
              <w:t>8</w:t>
            </w:r>
            <w:r>
              <w:rPr>
                <w:rFonts w:ascii="Arial" w:hAnsi="Arial" w:cs="Arial"/>
              </w:rPr>
              <w:fldChar w:fldCharType="end"/>
            </w:r>
          </w:hyperlink>
        </w:p>
        <w:p w14:paraId="29C647B3" w14:textId="77777777" w:rsidR="00BC2CE5" w:rsidRDefault="00000000">
          <w:pPr>
            <w:pStyle w:val="TOC3"/>
            <w:tabs>
              <w:tab w:val="right" w:leader="dot" w:pos="9350"/>
            </w:tabs>
            <w:spacing w:line="360" w:lineRule="auto"/>
            <w:rPr>
              <w:rFonts w:ascii="Arial" w:eastAsiaTheme="minorEastAsia" w:hAnsi="Arial" w:cs="Arial"/>
            </w:rPr>
          </w:pPr>
          <w:hyperlink w:anchor="_Toc143536567" w:history="1">
            <w:r>
              <w:rPr>
                <w:rStyle w:val="Hyperlink"/>
                <w:rFonts w:ascii="Arial" w:hAnsi="Arial" w:cs="Arial"/>
              </w:rPr>
              <w:t>Up skilling and Reskilling</w:t>
            </w:r>
            <w:r>
              <w:rPr>
                <w:rFonts w:ascii="Arial" w:hAnsi="Arial" w:cs="Arial"/>
              </w:rPr>
              <w:tab/>
            </w:r>
            <w:r>
              <w:rPr>
                <w:rFonts w:ascii="Arial" w:hAnsi="Arial" w:cs="Arial"/>
              </w:rPr>
              <w:fldChar w:fldCharType="begin"/>
            </w:r>
            <w:r>
              <w:rPr>
                <w:rFonts w:ascii="Arial" w:hAnsi="Arial" w:cs="Arial"/>
              </w:rPr>
              <w:instrText xml:space="preserve"> PAGEREF _Toc143536567 \h </w:instrText>
            </w:r>
            <w:r>
              <w:rPr>
                <w:rFonts w:ascii="Arial" w:hAnsi="Arial" w:cs="Arial"/>
              </w:rPr>
            </w:r>
            <w:r>
              <w:rPr>
                <w:rFonts w:ascii="Arial" w:hAnsi="Arial" w:cs="Arial"/>
              </w:rPr>
              <w:fldChar w:fldCharType="separate"/>
            </w:r>
            <w:r>
              <w:rPr>
                <w:rFonts w:ascii="Arial" w:hAnsi="Arial" w:cs="Arial"/>
              </w:rPr>
              <w:t>9</w:t>
            </w:r>
            <w:r>
              <w:rPr>
                <w:rFonts w:ascii="Arial" w:hAnsi="Arial" w:cs="Arial"/>
              </w:rPr>
              <w:fldChar w:fldCharType="end"/>
            </w:r>
          </w:hyperlink>
        </w:p>
        <w:p w14:paraId="36B96A9B" w14:textId="77777777" w:rsidR="00BC2CE5" w:rsidRDefault="00000000">
          <w:pPr>
            <w:pStyle w:val="TOC3"/>
            <w:tabs>
              <w:tab w:val="right" w:leader="dot" w:pos="9350"/>
            </w:tabs>
            <w:spacing w:line="360" w:lineRule="auto"/>
            <w:rPr>
              <w:rFonts w:ascii="Arial" w:eastAsiaTheme="minorEastAsia" w:hAnsi="Arial" w:cs="Arial"/>
            </w:rPr>
          </w:pPr>
          <w:hyperlink w:anchor="_Toc143536568" w:history="1">
            <w:r>
              <w:rPr>
                <w:rStyle w:val="Hyperlink"/>
                <w:rFonts w:ascii="Arial" w:hAnsi="Arial" w:cs="Arial"/>
              </w:rPr>
              <w:t>Long-Term Structural Changes</w:t>
            </w:r>
            <w:r>
              <w:rPr>
                <w:rFonts w:ascii="Arial" w:hAnsi="Arial" w:cs="Arial"/>
              </w:rPr>
              <w:tab/>
            </w:r>
            <w:r>
              <w:rPr>
                <w:rFonts w:ascii="Arial" w:hAnsi="Arial" w:cs="Arial"/>
              </w:rPr>
              <w:fldChar w:fldCharType="begin"/>
            </w:r>
            <w:r>
              <w:rPr>
                <w:rFonts w:ascii="Arial" w:hAnsi="Arial" w:cs="Arial"/>
              </w:rPr>
              <w:instrText xml:space="preserve"> PAGEREF _Toc143536568 \h </w:instrText>
            </w:r>
            <w:r>
              <w:rPr>
                <w:rFonts w:ascii="Arial" w:hAnsi="Arial" w:cs="Arial"/>
              </w:rPr>
            </w:r>
            <w:r>
              <w:rPr>
                <w:rFonts w:ascii="Arial" w:hAnsi="Arial" w:cs="Arial"/>
              </w:rPr>
              <w:fldChar w:fldCharType="separate"/>
            </w:r>
            <w:r>
              <w:rPr>
                <w:rFonts w:ascii="Arial" w:hAnsi="Arial" w:cs="Arial"/>
              </w:rPr>
              <w:t>9</w:t>
            </w:r>
            <w:r>
              <w:rPr>
                <w:rFonts w:ascii="Arial" w:hAnsi="Arial" w:cs="Arial"/>
              </w:rPr>
              <w:fldChar w:fldCharType="end"/>
            </w:r>
          </w:hyperlink>
        </w:p>
        <w:p w14:paraId="023B8837" w14:textId="77777777" w:rsidR="00BC2CE5" w:rsidRDefault="00000000">
          <w:pPr>
            <w:pStyle w:val="TOC2"/>
            <w:tabs>
              <w:tab w:val="right" w:leader="dot" w:pos="9350"/>
            </w:tabs>
            <w:spacing w:line="360" w:lineRule="auto"/>
            <w:rPr>
              <w:rFonts w:ascii="Arial" w:eastAsiaTheme="minorEastAsia" w:hAnsi="Arial" w:cs="Arial"/>
            </w:rPr>
          </w:pPr>
          <w:hyperlink w:anchor="_Toc143536569" w:history="1">
            <w:r>
              <w:rPr>
                <w:rStyle w:val="Hyperlink"/>
                <w:rFonts w:ascii="Arial" w:hAnsi="Arial" w:cs="Arial"/>
              </w:rPr>
              <w:t>1.3 The Effect of Brexit on the Labor Market</w:t>
            </w:r>
            <w:r>
              <w:rPr>
                <w:rFonts w:ascii="Arial" w:hAnsi="Arial" w:cs="Arial"/>
              </w:rPr>
              <w:tab/>
            </w:r>
            <w:r>
              <w:rPr>
                <w:rFonts w:ascii="Arial" w:hAnsi="Arial" w:cs="Arial"/>
              </w:rPr>
              <w:fldChar w:fldCharType="begin"/>
            </w:r>
            <w:r>
              <w:rPr>
                <w:rFonts w:ascii="Arial" w:hAnsi="Arial" w:cs="Arial"/>
              </w:rPr>
              <w:instrText xml:space="preserve"> PAGEREF _Toc143536569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40E55988" w14:textId="77777777" w:rsidR="00BC2CE5" w:rsidRDefault="00000000">
          <w:pPr>
            <w:pStyle w:val="TOC3"/>
            <w:tabs>
              <w:tab w:val="right" w:leader="dot" w:pos="9350"/>
            </w:tabs>
            <w:spacing w:line="360" w:lineRule="auto"/>
            <w:rPr>
              <w:rFonts w:ascii="Arial" w:eastAsiaTheme="minorEastAsia" w:hAnsi="Arial" w:cs="Arial"/>
            </w:rPr>
          </w:pPr>
          <w:hyperlink w:anchor="_Toc143536570" w:history="1">
            <w:r>
              <w:rPr>
                <w:rStyle w:val="Hyperlink"/>
                <w:rFonts w:ascii="Arial" w:hAnsi="Arial" w:cs="Arial"/>
              </w:rPr>
              <w:t>Changes in Immigration Policies</w:t>
            </w:r>
            <w:r>
              <w:rPr>
                <w:rFonts w:ascii="Arial" w:hAnsi="Arial" w:cs="Arial"/>
              </w:rPr>
              <w:tab/>
            </w:r>
            <w:r>
              <w:rPr>
                <w:rFonts w:ascii="Arial" w:hAnsi="Arial" w:cs="Arial"/>
              </w:rPr>
              <w:fldChar w:fldCharType="begin"/>
            </w:r>
            <w:r>
              <w:rPr>
                <w:rFonts w:ascii="Arial" w:hAnsi="Arial" w:cs="Arial"/>
              </w:rPr>
              <w:instrText xml:space="preserve"> PAGEREF _Toc143536570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39A88F0D" w14:textId="77777777" w:rsidR="00BC2CE5" w:rsidRDefault="00000000">
          <w:pPr>
            <w:pStyle w:val="TOC3"/>
            <w:tabs>
              <w:tab w:val="right" w:leader="dot" w:pos="9350"/>
            </w:tabs>
            <w:spacing w:line="360" w:lineRule="auto"/>
            <w:rPr>
              <w:rFonts w:ascii="Arial" w:eastAsiaTheme="minorEastAsia" w:hAnsi="Arial" w:cs="Arial"/>
            </w:rPr>
          </w:pPr>
          <w:hyperlink w:anchor="_Toc143536571" w:history="1">
            <w:r>
              <w:rPr>
                <w:rStyle w:val="Hyperlink"/>
                <w:rFonts w:ascii="Arial" w:hAnsi="Arial" w:cs="Arial"/>
              </w:rPr>
              <w:t>Impact on Industries</w:t>
            </w:r>
            <w:r>
              <w:rPr>
                <w:rFonts w:ascii="Arial" w:hAnsi="Arial" w:cs="Arial"/>
              </w:rPr>
              <w:tab/>
            </w:r>
            <w:r>
              <w:rPr>
                <w:rFonts w:ascii="Arial" w:hAnsi="Arial" w:cs="Arial"/>
              </w:rPr>
              <w:fldChar w:fldCharType="begin"/>
            </w:r>
            <w:r>
              <w:rPr>
                <w:rFonts w:ascii="Arial" w:hAnsi="Arial" w:cs="Arial"/>
              </w:rPr>
              <w:instrText xml:space="preserve"> PAGEREF _Toc143536571 \h </w:instrText>
            </w:r>
            <w:r>
              <w:rPr>
                <w:rFonts w:ascii="Arial" w:hAnsi="Arial" w:cs="Arial"/>
              </w:rPr>
            </w:r>
            <w:r>
              <w:rPr>
                <w:rFonts w:ascii="Arial" w:hAnsi="Arial" w:cs="Arial"/>
              </w:rPr>
              <w:fldChar w:fldCharType="separate"/>
            </w:r>
            <w:r>
              <w:rPr>
                <w:rFonts w:ascii="Arial" w:hAnsi="Arial" w:cs="Arial"/>
              </w:rPr>
              <w:t>11</w:t>
            </w:r>
            <w:r>
              <w:rPr>
                <w:rFonts w:ascii="Arial" w:hAnsi="Arial" w:cs="Arial"/>
              </w:rPr>
              <w:fldChar w:fldCharType="end"/>
            </w:r>
          </w:hyperlink>
        </w:p>
        <w:p w14:paraId="1284ABA2" w14:textId="77777777" w:rsidR="00BC2CE5" w:rsidRDefault="00000000">
          <w:pPr>
            <w:pStyle w:val="TOC3"/>
            <w:tabs>
              <w:tab w:val="right" w:leader="dot" w:pos="9350"/>
            </w:tabs>
            <w:spacing w:line="360" w:lineRule="auto"/>
            <w:rPr>
              <w:rFonts w:ascii="Arial" w:eastAsiaTheme="minorEastAsia" w:hAnsi="Arial" w:cs="Arial"/>
            </w:rPr>
          </w:pPr>
          <w:hyperlink w:anchor="_Toc143536572" w:history="1">
            <w:r>
              <w:rPr>
                <w:rStyle w:val="Hyperlink"/>
                <w:rFonts w:ascii="Arial" w:hAnsi="Arial" w:cs="Arial"/>
              </w:rPr>
              <w:t>Challenges for SMEs</w:t>
            </w:r>
            <w:r>
              <w:rPr>
                <w:rFonts w:ascii="Arial" w:hAnsi="Arial" w:cs="Arial"/>
              </w:rPr>
              <w:tab/>
            </w:r>
            <w:r>
              <w:rPr>
                <w:rFonts w:ascii="Arial" w:hAnsi="Arial" w:cs="Arial"/>
              </w:rPr>
              <w:fldChar w:fldCharType="begin"/>
            </w:r>
            <w:r>
              <w:rPr>
                <w:rFonts w:ascii="Arial" w:hAnsi="Arial" w:cs="Arial"/>
              </w:rPr>
              <w:instrText xml:space="preserve"> PAGEREF _Toc143536572 \h </w:instrText>
            </w:r>
            <w:r>
              <w:rPr>
                <w:rFonts w:ascii="Arial" w:hAnsi="Arial" w:cs="Arial"/>
              </w:rPr>
            </w:r>
            <w:r>
              <w:rPr>
                <w:rFonts w:ascii="Arial" w:hAnsi="Arial" w:cs="Arial"/>
              </w:rPr>
              <w:fldChar w:fldCharType="separate"/>
            </w:r>
            <w:r>
              <w:rPr>
                <w:rFonts w:ascii="Arial" w:hAnsi="Arial" w:cs="Arial"/>
              </w:rPr>
              <w:t>11</w:t>
            </w:r>
            <w:r>
              <w:rPr>
                <w:rFonts w:ascii="Arial" w:hAnsi="Arial" w:cs="Arial"/>
              </w:rPr>
              <w:fldChar w:fldCharType="end"/>
            </w:r>
          </w:hyperlink>
        </w:p>
        <w:p w14:paraId="06B92B64" w14:textId="77777777" w:rsidR="00BC2CE5" w:rsidRDefault="00000000">
          <w:pPr>
            <w:pStyle w:val="TOC3"/>
            <w:tabs>
              <w:tab w:val="right" w:leader="dot" w:pos="9350"/>
            </w:tabs>
            <w:spacing w:line="360" w:lineRule="auto"/>
            <w:rPr>
              <w:rFonts w:ascii="Arial" w:eastAsiaTheme="minorEastAsia" w:hAnsi="Arial" w:cs="Arial"/>
            </w:rPr>
          </w:pPr>
          <w:hyperlink w:anchor="_Toc143536573" w:history="1">
            <w:r>
              <w:rPr>
                <w:rStyle w:val="Hyperlink"/>
                <w:rFonts w:ascii="Arial" w:hAnsi="Arial" w:cs="Arial"/>
              </w:rPr>
              <w:t>Opportunities for Domestic Workforce</w:t>
            </w:r>
            <w:r>
              <w:rPr>
                <w:rFonts w:ascii="Arial" w:hAnsi="Arial" w:cs="Arial"/>
              </w:rPr>
              <w:tab/>
            </w:r>
            <w:r>
              <w:rPr>
                <w:rFonts w:ascii="Arial" w:hAnsi="Arial" w:cs="Arial"/>
              </w:rPr>
              <w:fldChar w:fldCharType="begin"/>
            </w:r>
            <w:r>
              <w:rPr>
                <w:rFonts w:ascii="Arial" w:hAnsi="Arial" w:cs="Arial"/>
              </w:rPr>
              <w:instrText xml:space="preserve"> PAGEREF _Toc143536573 \h </w:instrText>
            </w:r>
            <w:r>
              <w:rPr>
                <w:rFonts w:ascii="Arial" w:hAnsi="Arial" w:cs="Arial"/>
              </w:rPr>
            </w:r>
            <w:r>
              <w:rPr>
                <w:rFonts w:ascii="Arial" w:hAnsi="Arial" w:cs="Arial"/>
              </w:rPr>
              <w:fldChar w:fldCharType="separate"/>
            </w:r>
            <w:r>
              <w:rPr>
                <w:rFonts w:ascii="Arial" w:hAnsi="Arial" w:cs="Arial"/>
              </w:rPr>
              <w:t>11</w:t>
            </w:r>
            <w:r>
              <w:rPr>
                <w:rFonts w:ascii="Arial" w:hAnsi="Arial" w:cs="Arial"/>
              </w:rPr>
              <w:fldChar w:fldCharType="end"/>
            </w:r>
          </w:hyperlink>
        </w:p>
        <w:p w14:paraId="08C23E06" w14:textId="77777777" w:rsidR="00BC2CE5" w:rsidRDefault="00000000">
          <w:pPr>
            <w:pStyle w:val="TOC3"/>
            <w:tabs>
              <w:tab w:val="right" w:leader="dot" w:pos="9350"/>
            </w:tabs>
            <w:spacing w:line="360" w:lineRule="auto"/>
            <w:rPr>
              <w:rFonts w:ascii="Arial" w:eastAsiaTheme="minorEastAsia" w:hAnsi="Arial" w:cs="Arial"/>
            </w:rPr>
          </w:pPr>
          <w:hyperlink w:anchor="_Toc143536574" w:history="1">
            <w:r>
              <w:rPr>
                <w:rStyle w:val="Hyperlink"/>
                <w:rFonts w:ascii="Arial" w:hAnsi="Arial" w:cs="Arial"/>
              </w:rPr>
              <w:t>Trade and Export Implications</w:t>
            </w:r>
            <w:r>
              <w:rPr>
                <w:rFonts w:ascii="Arial" w:hAnsi="Arial" w:cs="Arial"/>
              </w:rPr>
              <w:tab/>
            </w:r>
            <w:r>
              <w:rPr>
                <w:rFonts w:ascii="Arial" w:hAnsi="Arial" w:cs="Arial"/>
              </w:rPr>
              <w:fldChar w:fldCharType="begin"/>
            </w:r>
            <w:r>
              <w:rPr>
                <w:rFonts w:ascii="Arial" w:hAnsi="Arial" w:cs="Arial"/>
              </w:rPr>
              <w:instrText xml:space="preserve"> PAGEREF _Toc143536574 \h </w:instrText>
            </w:r>
            <w:r>
              <w:rPr>
                <w:rFonts w:ascii="Arial" w:hAnsi="Arial" w:cs="Arial"/>
              </w:rPr>
            </w:r>
            <w:r>
              <w:rPr>
                <w:rFonts w:ascii="Arial" w:hAnsi="Arial" w:cs="Arial"/>
              </w:rPr>
              <w:fldChar w:fldCharType="separate"/>
            </w:r>
            <w:r>
              <w:rPr>
                <w:rFonts w:ascii="Arial" w:hAnsi="Arial" w:cs="Arial"/>
              </w:rPr>
              <w:t>11</w:t>
            </w:r>
            <w:r>
              <w:rPr>
                <w:rFonts w:ascii="Arial" w:hAnsi="Arial" w:cs="Arial"/>
              </w:rPr>
              <w:fldChar w:fldCharType="end"/>
            </w:r>
          </w:hyperlink>
        </w:p>
        <w:p w14:paraId="1ED2237B" w14:textId="77777777" w:rsidR="00BC2CE5" w:rsidRDefault="00000000">
          <w:pPr>
            <w:pStyle w:val="TOC1"/>
            <w:tabs>
              <w:tab w:val="right" w:leader="dot" w:pos="9350"/>
            </w:tabs>
            <w:spacing w:line="360" w:lineRule="auto"/>
            <w:rPr>
              <w:rFonts w:ascii="Arial" w:eastAsiaTheme="minorEastAsia" w:hAnsi="Arial" w:cs="Arial"/>
            </w:rPr>
          </w:pPr>
          <w:hyperlink w:anchor="_Toc143536575" w:history="1">
            <w:r>
              <w:rPr>
                <w:rStyle w:val="Hyperlink"/>
                <w:rFonts w:ascii="Arial" w:hAnsi="Arial" w:cs="Arial"/>
              </w:rPr>
              <w:t>Task 2: Emerging Human Resources Strategies</w:t>
            </w:r>
            <w:r>
              <w:rPr>
                <w:rFonts w:ascii="Arial" w:hAnsi="Arial" w:cs="Arial"/>
              </w:rPr>
              <w:tab/>
            </w:r>
            <w:r>
              <w:rPr>
                <w:rFonts w:ascii="Arial" w:hAnsi="Arial" w:cs="Arial"/>
              </w:rPr>
              <w:fldChar w:fldCharType="begin"/>
            </w:r>
            <w:r>
              <w:rPr>
                <w:rFonts w:ascii="Arial" w:hAnsi="Arial" w:cs="Arial"/>
              </w:rPr>
              <w:instrText xml:space="preserve"> PAGEREF _Toc143536575 \h </w:instrText>
            </w:r>
            <w:r>
              <w:rPr>
                <w:rFonts w:ascii="Arial" w:hAnsi="Arial" w:cs="Arial"/>
              </w:rPr>
            </w:r>
            <w:r>
              <w:rPr>
                <w:rFonts w:ascii="Arial" w:hAnsi="Arial" w:cs="Arial"/>
              </w:rPr>
              <w:fldChar w:fldCharType="separate"/>
            </w:r>
            <w:r>
              <w:rPr>
                <w:rFonts w:ascii="Arial" w:hAnsi="Arial" w:cs="Arial"/>
              </w:rPr>
              <w:t>12</w:t>
            </w:r>
            <w:r>
              <w:rPr>
                <w:rFonts w:ascii="Arial" w:hAnsi="Arial" w:cs="Arial"/>
              </w:rPr>
              <w:fldChar w:fldCharType="end"/>
            </w:r>
          </w:hyperlink>
        </w:p>
        <w:p w14:paraId="7EA7DB1B" w14:textId="77777777" w:rsidR="00BC2CE5" w:rsidRDefault="00000000">
          <w:pPr>
            <w:pStyle w:val="TOC2"/>
            <w:tabs>
              <w:tab w:val="right" w:leader="dot" w:pos="9350"/>
            </w:tabs>
            <w:spacing w:line="360" w:lineRule="auto"/>
            <w:rPr>
              <w:rFonts w:ascii="Arial" w:eastAsiaTheme="minorEastAsia" w:hAnsi="Arial" w:cs="Arial"/>
            </w:rPr>
          </w:pPr>
          <w:hyperlink w:anchor="_Toc143536576" w:history="1">
            <w:r>
              <w:rPr>
                <w:rStyle w:val="Hyperlink"/>
                <w:rFonts w:ascii="Arial" w:hAnsi="Arial" w:cs="Arial"/>
              </w:rPr>
              <w:t>2.1 Emerging Human Resources Strategies</w:t>
            </w:r>
            <w:r>
              <w:rPr>
                <w:rFonts w:ascii="Arial" w:hAnsi="Arial" w:cs="Arial"/>
              </w:rPr>
              <w:tab/>
            </w:r>
            <w:r>
              <w:rPr>
                <w:rFonts w:ascii="Arial" w:hAnsi="Arial" w:cs="Arial"/>
              </w:rPr>
              <w:fldChar w:fldCharType="begin"/>
            </w:r>
            <w:r>
              <w:rPr>
                <w:rFonts w:ascii="Arial" w:hAnsi="Arial" w:cs="Arial"/>
              </w:rPr>
              <w:instrText xml:space="preserve"> PAGEREF _Toc143536576 \h </w:instrText>
            </w:r>
            <w:r>
              <w:rPr>
                <w:rFonts w:ascii="Arial" w:hAnsi="Arial" w:cs="Arial"/>
              </w:rPr>
            </w:r>
            <w:r>
              <w:rPr>
                <w:rFonts w:ascii="Arial" w:hAnsi="Arial" w:cs="Arial"/>
              </w:rPr>
              <w:fldChar w:fldCharType="separate"/>
            </w:r>
            <w:r>
              <w:rPr>
                <w:rFonts w:ascii="Arial" w:hAnsi="Arial" w:cs="Arial"/>
              </w:rPr>
              <w:t>12</w:t>
            </w:r>
            <w:r>
              <w:rPr>
                <w:rFonts w:ascii="Arial" w:hAnsi="Arial" w:cs="Arial"/>
              </w:rPr>
              <w:fldChar w:fldCharType="end"/>
            </w:r>
          </w:hyperlink>
        </w:p>
        <w:p w14:paraId="088D8835" w14:textId="77777777" w:rsidR="00BC2CE5" w:rsidRDefault="00000000">
          <w:pPr>
            <w:pStyle w:val="TOC2"/>
            <w:tabs>
              <w:tab w:val="right" w:leader="dot" w:pos="9350"/>
            </w:tabs>
            <w:spacing w:line="360" w:lineRule="auto"/>
            <w:rPr>
              <w:rFonts w:ascii="Arial" w:eastAsiaTheme="minorEastAsia" w:hAnsi="Arial" w:cs="Arial"/>
            </w:rPr>
          </w:pPr>
          <w:hyperlink w:anchor="_Toc143536577" w:history="1">
            <w:r>
              <w:rPr>
                <w:rStyle w:val="Hyperlink"/>
                <w:rFonts w:ascii="Arial" w:hAnsi="Arial" w:cs="Arial"/>
              </w:rPr>
              <w:t>2.2 Human Resourcing Strategies Post Covid and Post Brexit</w:t>
            </w:r>
            <w:r>
              <w:rPr>
                <w:rFonts w:ascii="Arial" w:hAnsi="Arial" w:cs="Arial"/>
              </w:rPr>
              <w:tab/>
            </w:r>
            <w:r>
              <w:rPr>
                <w:rFonts w:ascii="Arial" w:hAnsi="Arial" w:cs="Arial"/>
              </w:rPr>
              <w:fldChar w:fldCharType="begin"/>
            </w:r>
            <w:r>
              <w:rPr>
                <w:rFonts w:ascii="Arial" w:hAnsi="Arial" w:cs="Arial"/>
              </w:rPr>
              <w:instrText xml:space="preserve"> PAGEREF _Toc143536577 \h </w:instrText>
            </w:r>
            <w:r>
              <w:rPr>
                <w:rFonts w:ascii="Arial" w:hAnsi="Arial" w:cs="Arial"/>
              </w:rPr>
            </w:r>
            <w:r>
              <w:rPr>
                <w:rFonts w:ascii="Arial" w:hAnsi="Arial" w:cs="Arial"/>
              </w:rPr>
              <w:fldChar w:fldCharType="separate"/>
            </w:r>
            <w:r>
              <w:rPr>
                <w:rFonts w:ascii="Arial" w:hAnsi="Arial" w:cs="Arial"/>
              </w:rPr>
              <w:t>13</w:t>
            </w:r>
            <w:r>
              <w:rPr>
                <w:rFonts w:ascii="Arial" w:hAnsi="Arial" w:cs="Arial"/>
              </w:rPr>
              <w:fldChar w:fldCharType="end"/>
            </w:r>
          </w:hyperlink>
        </w:p>
        <w:p w14:paraId="38AF1439" w14:textId="77777777" w:rsidR="00BC2CE5" w:rsidRDefault="00000000">
          <w:pPr>
            <w:pStyle w:val="TOC1"/>
            <w:tabs>
              <w:tab w:val="right" w:leader="dot" w:pos="9350"/>
            </w:tabs>
            <w:spacing w:line="360" w:lineRule="auto"/>
            <w:rPr>
              <w:rFonts w:ascii="Arial" w:eastAsiaTheme="minorEastAsia" w:hAnsi="Arial" w:cs="Arial"/>
            </w:rPr>
          </w:pPr>
          <w:hyperlink w:anchor="_Toc143536578" w:history="1">
            <w:r>
              <w:rPr>
                <w:rStyle w:val="Hyperlink"/>
                <w:rFonts w:ascii="Arial" w:hAnsi="Arial" w:cs="Arial"/>
              </w:rPr>
              <w:t>Conclusion</w:t>
            </w:r>
            <w:r>
              <w:rPr>
                <w:rFonts w:ascii="Arial" w:hAnsi="Arial" w:cs="Arial"/>
              </w:rPr>
              <w:tab/>
            </w:r>
            <w:r>
              <w:rPr>
                <w:rFonts w:ascii="Arial" w:hAnsi="Arial" w:cs="Arial"/>
              </w:rPr>
              <w:fldChar w:fldCharType="begin"/>
            </w:r>
            <w:r>
              <w:rPr>
                <w:rFonts w:ascii="Arial" w:hAnsi="Arial" w:cs="Arial"/>
              </w:rPr>
              <w:instrText xml:space="preserve"> PAGEREF _Toc143536578 \h </w:instrText>
            </w:r>
            <w:r>
              <w:rPr>
                <w:rFonts w:ascii="Arial" w:hAnsi="Arial" w:cs="Arial"/>
              </w:rPr>
            </w:r>
            <w:r>
              <w:rPr>
                <w:rFonts w:ascii="Arial" w:hAnsi="Arial" w:cs="Arial"/>
              </w:rPr>
              <w:fldChar w:fldCharType="separate"/>
            </w:r>
            <w:r>
              <w:rPr>
                <w:rFonts w:ascii="Arial" w:hAnsi="Arial" w:cs="Arial"/>
              </w:rPr>
              <w:t>15</w:t>
            </w:r>
            <w:r>
              <w:rPr>
                <w:rFonts w:ascii="Arial" w:hAnsi="Arial" w:cs="Arial"/>
              </w:rPr>
              <w:fldChar w:fldCharType="end"/>
            </w:r>
          </w:hyperlink>
        </w:p>
        <w:p w14:paraId="2FA7A6AD" w14:textId="77777777" w:rsidR="00BC2CE5" w:rsidRDefault="00000000">
          <w:pPr>
            <w:pStyle w:val="TOC1"/>
            <w:tabs>
              <w:tab w:val="right" w:leader="dot" w:pos="9350"/>
            </w:tabs>
            <w:spacing w:line="360" w:lineRule="auto"/>
            <w:rPr>
              <w:rFonts w:ascii="Arial" w:eastAsiaTheme="minorEastAsia" w:hAnsi="Arial" w:cs="Arial"/>
            </w:rPr>
          </w:pPr>
          <w:hyperlink w:anchor="_Toc143536579" w:history="1">
            <w:r>
              <w:rPr>
                <w:rStyle w:val="Hyperlink"/>
                <w:rFonts w:ascii="Arial" w:hAnsi="Arial" w:cs="Arial"/>
              </w:rPr>
              <w:t>References</w:t>
            </w:r>
            <w:r>
              <w:rPr>
                <w:rFonts w:ascii="Arial" w:hAnsi="Arial" w:cs="Arial"/>
              </w:rPr>
              <w:tab/>
            </w:r>
            <w:r>
              <w:rPr>
                <w:rFonts w:ascii="Arial" w:hAnsi="Arial" w:cs="Arial"/>
              </w:rPr>
              <w:fldChar w:fldCharType="begin"/>
            </w:r>
            <w:r>
              <w:rPr>
                <w:rFonts w:ascii="Arial" w:hAnsi="Arial" w:cs="Arial"/>
              </w:rPr>
              <w:instrText xml:space="preserve"> PAGEREF _Toc143536579 \h </w:instrText>
            </w:r>
            <w:r>
              <w:rPr>
                <w:rFonts w:ascii="Arial" w:hAnsi="Arial" w:cs="Arial"/>
              </w:rPr>
            </w:r>
            <w:r>
              <w:rPr>
                <w:rFonts w:ascii="Arial" w:hAnsi="Arial" w:cs="Arial"/>
              </w:rPr>
              <w:fldChar w:fldCharType="separate"/>
            </w:r>
            <w:r>
              <w:rPr>
                <w:rFonts w:ascii="Arial" w:hAnsi="Arial" w:cs="Arial"/>
              </w:rPr>
              <w:t>16</w:t>
            </w:r>
            <w:r>
              <w:rPr>
                <w:rFonts w:ascii="Arial" w:hAnsi="Arial" w:cs="Arial"/>
              </w:rPr>
              <w:fldChar w:fldCharType="end"/>
            </w:r>
          </w:hyperlink>
        </w:p>
        <w:p w14:paraId="4DB1F7C4" w14:textId="77777777" w:rsidR="00BC2CE5" w:rsidRDefault="00000000">
          <w:pPr>
            <w:spacing w:line="360" w:lineRule="auto"/>
            <w:rPr>
              <w:rFonts w:ascii="Arial" w:hAnsi="Arial" w:cs="Arial"/>
            </w:rPr>
          </w:pPr>
          <w:r>
            <w:rPr>
              <w:rFonts w:ascii="Arial" w:hAnsi="Arial" w:cs="Arial"/>
              <w:b/>
              <w:bCs/>
            </w:rPr>
            <w:lastRenderedPageBreak/>
            <w:fldChar w:fldCharType="end"/>
          </w:r>
        </w:p>
      </w:sdtContent>
    </w:sdt>
    <w:p w14:paraId="3F7AE788" w14:textId="77777777" w:rsidR="00BC2CE5" w:rsidRDefault="00BC2CE5">
      <w:pPr>
        <w:pStyle w:val="Heading1"/>
        <w:spacing w:after="0" w:line="360" w:lineRule="auto"/>
        <w:rPr>
          <w:rFonts w:ascii="Arial" w:hAnsi="Arial" w:cs="Arial"/>
          <w:rtl/>
        </w:rPr>
      </w:pPr>
    </w:p>
    <w:p w14:paraId="69111143" w14:textId="77777777" w:rsidR="00BC2CE5" w:rsidRDefault="00BC2CE5">
      <w:pPr>
        <w:spacing w:line="360" w:lineRule="auto"/>
        <w:rPr>
          <w:rFonts w:ascii="Arial" w:hAnsi="Arial" w:cs="Arial"/>
        </w:rPr>
      </w:pPr>
    </w:p>
    <w:p w14:paraId="4ED034C5" w14:textId="77777777" w:rsidR="00BC2CE5" w:rsidRDefault="00000000">
      <w:pPr>
        <w:pStyle w:val="Heading1"/>
        <w:spacing w:after="0" w:line="360" w:lineRule="auto"/>
        <w:rPr>
          <w:rFonts w:ascii="Arial" w:hAnsi="Arial" w:cs="Arial"/>
        </w:rPr>
      </w:pPr>
      <w:bookmarkStart w:id="1" w:name="_Toc143536556"/>
      <w:bookmarkStart w:id="2" w:name="_Toc143520742"/>
      <w:r>
        <w:rPr>
          <w:rFonts w:ascii="Arial" w:hAnsi="Arial" w:cs="Arial"/>
        </w:rPr>
        <w:t>Introduction</w:t>
      </w:r>
      <w:bookmarkEnd w:id="1"/>
      <w:bookmarkEnd w:id="2"/>
      <w:r>
        <w:rPr>
          <w:rFonts w:ascii="Arial" w:hAnsi="Arial" w:cs="Arial"/>
        </w:rPr>
        <w:t xml:space="preserve"> </w:t>
      </w:r>
    </w:p>
    <w:p w14:paraId="248545F4" w14:textId="77777777" w:rsidR="00BC2CE5" w:rsidRDefault="00000000">
      <w:pPr>
        <w:spacing w:after="0" w:line="360" w:lineRule="auto"/>
        <w:ind w:firstLine="720"/>
        <w:rPr>
          <w:rFonts w:ascii="Arial" w:hAnsi="Arial" w:cs="Arial"/>
        </w:rPr>
      </w:pPr>
      <w:r>
        <w:rPr>
          <w:rFonts w:ascii="Arial" w:hAnsi="Arial" w:cs="Arial"/>
        </w:rPr>
        <w:t>The supply of workers and the demand for workers in different industries in the United Kingdom (UK) are always interacting with one another, making the labor market in the UK similar to a living ecosystem (</w:t>
      </w:r>
      <w:r>
        <w:rPr>
          <w:rFonts w:ascii="Arial" w:hAnsi="Arial" w:cs="Arial"/>
          <w:color w:val="222222"/>
          <w:shd w:val="clear" w:color="auto" w:fill="FFFFFF"/>
        </w:rPr>
        <w:t>Del Rio-Chanona et al., 2020)</w:t>
      </w:r>
      <w:r>
        <w:rPr>
          <w:rFonts w:ascii="Arial" w:hAnsi="Arial" w:cs="Arial"/>
        </w:rPr>
        <w:t>. Over several decades, the employment market in the United Kingdom has changed due to several. The current situation of the British labor market, including the significant effects of the Covid-19 outbreak and the fallout from the Brexit decision, is the primary subject of this research. The dramatic changes that have occurred are the inspiration for this research into the new human resource management methods that have emerged (</w:t>
      </w:r>
      <w:r>
        <w:rPr>
          <w:rFonts w:ascii="Arial" w:hAnsi="Arial" w:cs="Arial"/>
          <w:color w:val="222222"/>
          <w:shd w:val="clear" w:color="auto" w:fill="FFFFFF"/>
        </w:rPr>
        <w:t>Alzoubi et al., 2022)</w:t>
      </w:r>
      <w:r>
        <w:rPr>
          <w:rFonts w:ascii="Arial" w:hAnsi="Arial" w:cs="Arial"/>
        </w:rPr>
        <w:t xml:space="preserve">. The current status of the British employment market results from a confluence of domestic and international factors. Factors contributing to these tendencies include shifts in consumer behavior, advances in </w:t>
      </w:r>
      <w:proofErr w:type="spellStart"/>
      <w:r>
        <w:rPr>
          <w:rFonts w:ascii="Arial" w:hAnsi="Arial" w:cs="Arial"/>
        </w:rPr>
        <w:t>mechanisation</w:t>
      </w:r>
      <w:proofErr w:type="spellEnd"/>
      <w:r>
        <w:rPr>
          <w:rFonts w:ascii="Arial" w:hAnsi="Arial" w:cs="Arial"/>
        </w:rPr>
        <w:t xml:space="preserve"> and digitization, and the establishment of new business alliances. </w:t>
      </w:r>
    </w:p>
    <w:p w14:paraId="27D97A0F" w14:textId="77777777" w:rsidR="00BC2CE5" w:rsidRDefault="00000000">
      <w:pPr>
        <w:spacing w:after="0" w:line="360" w:lineRule="auto"/>
        <w:ind w:firstLine="720"/>
        <w:rPr>
          <w:rFonts w:ascii="Arial" w:hAnsi="Arial" w:cs="Arial"/>
        </w:rPr>
      </w:pPr>
      <w:r>
        <w:rPr>
          <w:rFonts w:ascii="Arial" w:hAnsi="Arial" w:cs="Arial"/>
        </w:rPr>
        <w:t xml:space="preserve"> The advantages and disadvantages of these changes will have far-reaching effects on job seekers and employers (</w:t>
      </w:r>
      <w:r>
        <w:rPr>
          <w:rFonts w:ascii="Arial" w:hAnsi="Arial" w:cs="Arial"/>
          <w:color w:val="222222"/>
          <w:shd w:val="clear" w:color="auto" w:fill="FFFFFF"/>
        </w:rPr>
        <w:t xml:space="preserve">Kaushik and </w:t>
      </w:r>
      <w:proofErr w:type="spellStart"/>
      <w:r>
        <w:rPr>
          <w:rFonts w:ascii="Arial" w:hAnsi="Arial" w:cs="Arial"/>
          <w:color w:val="222222"/>
          <w:shd w:val="clear" w:color="auto" w:fill="FFFFFF"/>
        </w:rPr>
        <w:t>Guleria</w:t>
      </w:r>
      <w:proofErr w:type="spellEnd"/>
      <w:r>
        <w:rPr>
          <w:rFonts w:ascii="Arial" w:hAnsi="Arial" w:cs="Arial"/>
          <w:color w:val="222222"/>
          <w:shd w:val="clear" w:color="auto" w:fill="FFFFFF"/>
        </w:rPr>
        <w:t>, 2020)</w:t>
      </w:r>
      <w:r>
        <w:rPr>
          <w:rFonts w:ascii="Arial" w:hAnsi="Arial" w:cs="Arial"/>
        </w:rPr>
        <w:t>. In this context, this research aims to examine the complexities of the current state of the British labor market by zeroing in on two major turning points: the effects of the Covid-19 pandemic and the environment's unique characteristics after Brexit (</w:t>
      </w:r>
      <w:r>
        <w:rPr>
          <w:rFonts w:ascii="Arial" w:hAnsi="Arial" w:cs="Arial"/>
          <w:color w:val="222222"/>
          <w:shd w:val="clear" w:color="auto" w:fill="FFFFFF"/>
        </w:rPr>
        <w:t xml:space="preserve">McCann and </w:t>
      </w:r>
      <w:proofErr w:type="spellStart"/>
      <w:r>
        <w:rPr>
          <w:rFonts w:ascii="Arial" w:hAnsi="Arial" w:cs="Arial"/>
          <w:color w:val="222222"/>
          <w:shd w:val="clear" w:color="auto" w:fill="FFFFFF"/>
        </w:rPr>
        <w:t>Vorley</w:t>
      </w:r>
      <w:proofErr w:type="spellEnd"/>
      <w:r>
        <w:rPr>
          <w:rFonts w:ascii="Arial" w:hAnsi="Arial" w:cs="Arial"/>
          <w:color w:val="222222"/>
          <w:shd w:val="clear" w:color="auto" w:fill="FFFFFF"/>
        </w:rPr>
        <w:t>, 2021)</w:t>
      </w:r>
      <w:r>
        <w:rPr>
          <w:rFonts w:ascii="Arial" w:hAnsi="Arial" w:cs="Arial"/>
        </w:rPr>
        <w:t xml:space="preserve">. Therefore, this research aims to identify the various channels via which the tendencies above have affected the British employment market.  We examine how the sudden disruptions brought on by lockdowns, remote work arrangements, and changes in customer behavior have resonated through different industries as we delve into the effects of the Covid-19 pandemic. The research also analyses Brexit's effects, such as changes in immigration policy, trade dynamics, and the </w:t>
      </w:r>
      <w:proofErr w:type="spellStart"/>
      <w:r>
        <w:rPr>
          <w:rFonts w:ascii="Arial" w:hAnsi="Arial" w:cs="Arial"/>
        </w:rPr>
        <w:t>reorganisation</w:t>
      </w:r>
      <w:proofErr w:type="spellEnd"/>
      <w:r>
        <w:rPr>
          <w:rFonts w:ascii="Arial" w:hAnsi="Arial" w:cs="Arial"/>
        </w:rPr>
        <w:t xml:space="preserve"> of supply chains.</w:t>
      </w:r>
    </w:p>
    <w:p w14:paraId="5D2C51D0" w14:textId="77777777" w:rsidR="00BC2CE5" w:rsidRDefault="00BC2CE5">
      <w:pPr>
        <w:spacing w:after="0" w:line="360" w:lineRule="auto"/>
        <w:rPr>
          <w:rFonts w:ascii="Arial" w:hAnsi="Arial" w:cs="Arial"/>
        </w:rPr>
      </w:pPr>
    </w:p>
    <w:p w14:paraId="084B7387" w14:textId="77777777" w:rsidR="00BC2CE5" w:rsidRDefault="00000000">
      <w:pPr>
        <w:pStyle w:val="Heading1"/>
        <w:spacing w:after="0" w:line="360" w:lineRule="auto"/>
        <w:rPr>
          <w:rFonts w:ascii="Arial" w:hAnsi="Arial" w:cs="Arial"/>
        </w:rPr>
      </w:pPr>
      <w:bookmarkStart w:id="3" w:name="_Toc143520743"/>
      <w:bookmarkStart w:id="4" w:name="_Toc143536557"/>
      <w:r>
        <w:rPr>
          <w:rFonts w:ascii="Arial" w:hAnsi="Arial" w:cs="Arial"/>
          <w:bCs/>
        </w:rPr>
        <w:t xml:space="preserve">Task 1: </w:t>
      </w:r>
      <w:r>
        <w:rPr>
          <w:rFonts w:ascii="Arial" w:hAnsi="Arial" w:cs="Arial"/>
        </w:rPr>
        <w:t>Current State of the Labor Market in the UK</w:t>
      </w:r>
      <w:bookmarkEnd w:id="3"/>
      <w:bookmarkEnd w:id="4"/>
    </w:p>
    <w:p w14:paraId="519BC926" w14:textId="77777777" w:rsidR="00BC2CE5" w:rsidRDefault="00000000">
      <w:pPr>
        <w:pStyle w:val="Heading2"/>
        <w:spacing w:before="0"/>
        <w:rPr>
          <w:rFonts w:ascii="Arial" w:hAnsi="Arial" w:cs="Arial"/>
        </w:rPr>
      </w:pPr>
      <w:bookmarkStart w:id="5" w:name="_Toc143536558"/>
      <w:bookmarkStart w:id="6" w:name="_Toc143520744"/>
      <w:r>
        <w:rPr>
          <w:rFonts w:ascii="Arial" w:hAnsi="Arial" w:cs="Arial"/>
        </w:rPr>
        <w:lastRenderedPageBreak/>
        <w:t>1.1 Current Trends, Challenges, and Opportunities</w:t>
      </w:r>
      <w:bookmarkEnd w:id="5"/>
      <w:bookmarkEnd w:id="6"/>
      <w:r>
        <w:rPr>
          <w:rFonts w:ascii="Arial" w:hAnsi="Arial" w:cs="Arial"/>
        </w:rPr>
        <w:t xml:space="preserve"> </w:t>
      </w:r>
    </w:p>
    <w:p w14:paraId="60809F1A" w14:textId="77777777" w:rsidR="00BC2CE5" w:rsidRDefault="00000000">
      <w:pPr>
        <w:spacing w:after="0" w:line="360" w:lineRule="auto"/>
        <w:ind w:firstLine="720"/>
        <w:rPr>
          <w:rFonts w:ascii="Arial" w:hAnsi="Arial" w:cs="Arial"/>
        </w:rPr>
      </w:pPr>
      <w:r>
        <w:rPr>
          <w:rFonts w:ascii="Arial" w:hAnsi="Arial" w:cs="Arial"/>
        </w:rPr>
        <w:t xml:space="preserve">A myriad of trends, difficulties, and possibilities has transformed the landscape of the UK labor market. </w:t>
      </w:r>
      <w:r>
        <w:rPr>
          <w:rFonts w:ascii="Arial" w:hAnsi="Arial" w:cs="Arial"/>
          <w:color w:val="222222"/>
          <w:shd w:val="clear" w:color="auto" w:fill="FFFFFF"/>
        </w:rPr>
        <w:t xml:space="preserve">Klimkiewicz and </w:t>
      </w:r>
      <w:proofErr w:type="spellStart"/>
      <w:r>
        <w:rPr>
          <w:rFonts w:ascii="Arial" w:hAnsi="Arial" w:cs="Arial"/>
          <w:color w:val="222222"/>
          <w:shd w:val="clear" w:color="auto" w:fill="FFFFFF"/>
        </w:rPr>
        <w:t>Oltra</w:t>
      </w:r>
      <w:proofErr w:type="spellEnd"/>
      <w:r>
        <w:rPr>
          <w:rFonts w:ascii="Arial" w:hAnsi="Arial" w:cs="Arial"/>
          <w:color w:val="222222"/>
          <w:shd w:val="clear" w:color="auto" w:fill="FFFFFF"/>
        </w:rPr>
        <w:t xml:space="preserve"> (2017) stated </w:t>
      </w:r>
      <w:r>
        <w:rPr>
          <w:rFonts w:ascii="Arial" w:hAnsi="Arial" w:cs="Arial"/>
        </w:rPr>
        <w:t>job-seekers, businesses, and governments would all benefit greatly from a deeper comprehension of these relationships.</w:t>
      </w:r>
    </w:p>
    <w:p w14:paraId="4164A2A7" w14:textId="77777777" w:rsidR="00BC2CE5" w:rsidRDefault="00000000">
      <w:pPr>
        <w:pStyle w:val="Heading3"/>
        <w:spacing w:before="0" w:line="360" w:lineRule="auto"/>
        <w:rPr>
          <w:rFonts w:ascii="Arial" w:hAnsi="Arial" w:cs="Arial"/>
        </w:rPr>
      </w:pPr>
      <w:bookmarkStart w:id="7" w:name="_Toc143520745"/>
      <w:bookmarkStart w:id="8" w:name="_Toc143536559"/>
      <w:r>
        <w:rPr>
          <w:rFonts w:ascii="Arial" w:hAnsi="Arial" w:cs="Arial"/>
        </w:rPr>
        <w:t>Trends</w:t>
      </w:r>
      <w:bookmarkEnd w:id="7"/>
      <w:bookmarkEnd w:id="8"/>
    </w:p>
    <w:p w14:paraId="4CC0C452" w14:textId="77777777" w:rsidR="00BC2CE5" w:rsidRDefault="00000000">
      <w:pPr>
        <w:spacing w:after="0" w:line="360" w:lineRule="auto"/>
        <w:ind w:firstLine="720"/>
        <w:rPr>
          <w:rFonts w:ascii="Arial" w:hAnsi="Arial" w:cs="Arial"/>
        </w:rPr>
      </w:pPr>
      <w:r>
        <w:rPr>
          <w:rFonts w:ascii="Arial" w:hAnsi="Arial" w:cs="Arial"/>
        </w:rPr>
        <w:t>Several interesting developments are occurring in the UK work market. The nature of labor has changed as a result of automation and other technological developments (</w:t>
      </w:r>
      <w:r>
        <w:rPr>
          <w:rFonts w:ascii="Arial" w:hAnsi="Arial" w:cs="Arial"/>
          <w:color w:val="222222"/>
          <w:shd w:val="clear" w:color="auto" w:fill="FFFFFF"/>
        </w:rPr>
        <w:t>Andrejevic, 2019)</w:t>
      </w:r>
      <w:r>
        <w:rPr>
          <w:rFonts w:ascii="Arial" w:hAnsi="Arial" w:cs="Arial"/>
        </w:rPr>
        <w:t xml:space="preserve">. About 7.4 per cent of professions are extremely vulnerable to automation, especially affecting normal and repetitive tasks, according to recent research by BBC London (2023). </w:t>
      </w:r>
    </w:p>
    <w:p w14:paraId="1A386DF6" w14:textId="77777777" w:rsidR="00BC2CE5" w:rsidRDefault="00000000">
      <w:pPr>
        <w:keepNext/>
        <w:spacing w:after="0" w:line="360" w:lineRule="auto"/>
        <w:ind w:firstLine="720"/>
        <w:jc w:val="center"/>
        <w:rPr>
          <w:rFonts w:ascii="Arial" w:hAnsi="Arial" w:cs="Arial"/>
        </w:rPr>
      </w:pPr>
      <w:r>
        <w:rPr>
          <w:rFonts w:ascii="Arial" w:hAnsi="Arial" w:cs="Arial"/>
          <w:noProof/>
        </w:rPr>
        <w:drawing>
          <wp:inline distT="0" distB="0" distL="0" distR="0" wp14:anchorId="69F99183" wp14:editId="265045BA">
            <wp:extent cx="3097530" cy="2082800"/>
            <wp:effectExtent l="0" t="0" r="7620" b="0"/>
            <wp:docPr id="1998664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664071" name="Picture 1"/>
                    <pic:cNvPicPr>
                      <a:picLocks noChangeAspect="1"/>
                    </pic:cNvPicPr>
                  </pic:nvPicPr>
                  <pic:blipFill>
                    <a:blip r:embed="rId9"/>
                    <a:stretch>
                      <a:fillRect/>
                    </a:stretch>
                  </pic:blipFill>
                  <pic:spPr>
                    <a:xfrm>
                      <a:off x="0" y="0"/>
                      <a:ext cx="3108839" cy="2090900"/>
                    </a:xfrm>
                    <a:prstGeom prst="rect">
                      <a:avLst/>
                    </a:prstGeom>
                  </pic:spPr>
                </pic:pic>
              </a:graphicData>
            </a:graphic>
          </wp:inline>
        </w:drawing>
      </w:r>
    </w:p>
    <w:p w14:paraId="01DF26A0" w14:textId="77777777" w:rsidR="00BC2CE5" w:rsidRDefault="00000000">
      <w:pPr>
        <w:pStyle w:val="Caption"/>
        <w:spacing w:after="0" w:line="360" w:lineRule="auto"/>
        <w:jc w:val="center"/>
        <w:rPr>
          <w:rFonts w:ascii="Arial" w:hAnsi="Arial" w:cs="Arial"/>
          <w:sz w:val="24"/>
          <w:szCs w:val="24"/>
        </w:rPr>
      </w:pPr>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t>: Jobs are at high risk of automation in the UK (Source: Office for National Statistics, 2023)</w:t>
      </w:r>
    </w:p>
    <w:p w14:paraId="68D97AB3" w14:textId="77777777" w:rsidR="00BC2CE5" w:rsidRDefault="00000000">
      <w:pPr>
        <w:spacing w:after="0" w:line="360" w:lineRule="auto"/>
        <w:ind w:firstLine="720"/>
        <w:rPr>
          <w:rFonts w:ascii="Arial" w:hAnsi="Arial" w:cs="Arial"/>
        </w:rPr>
      </w:pPr>
      <w:r>
        <w:rPr>
          <w:rFonts w:ascii="Arial" w:hAnsi="Arial" w:cs="Arial"/>
        </w:rPr>
        <w:t>The Chartered Institute of Personnel and Development (CIPD) also reports that the gig economy is growing, with some 7.25 million people participating (</w:t>
      </w:r>
      <w:r>
        <w:rPr>
          <w:rFonts w:ascii="Arial" w:hAnsi="Arial" w:cs="Arial"/>
          <w:color w:val="222222"/>
          <w:shd w:val="clear" w:color="auto" w:fill="FFFFFF"/>
        </w:rPr>
        <w:t>Cheese, 2023)</w:t>
      </w:r>
      <w:r>
        <w:rPr>
          <w:rFonts w:ascii="Arial" w:hAnsi="Arial" w:cs="Arial"/>
        </w:rPr>
        <w:t>. While this tendency does provide some leeway, it leads to questions about employment protections and guarantees.</w:t>
      </w:r>
    </w:p>
    <w:p w14:paraId="7A45162B" w14:textId="77777777" w:rsidR="00BC2CE5" w:rsidRDefault="00000000">
      <w:pPr>
        <w:keepNext/>
        <w:spacing w:after="0" w:line="360" w:lineRule="auto"/>
        <w:ind w:firstLine="720"/>
        <w:jc w:val="center"/>
        <w:rPr>
          <w:rFonts w:ascii="Arial" w:hAnsi="Arial" w:cs="Arial"/>
        </w:rPr>
      </w:pPr>
      <w:r>
        <w:rPr>
          <w:rFonts w:ascii="Arial" w:hAnsi="Arial" w:cs="Arial"/>
          <w:noProof/>
        </w:rPr>
        <w:lastRenderedPageBreak/>
        <w:drawing>
          <wp:inline distT="0" distB="0" distL="0" distR="0" wp14:anchorId="708FC310" wp14:editId="563B3C7D">
            <wp:extent cx="3371850" cy="2216150"/>
            <wp:effectExtent l="0" t="0" r="0" b="0"/>
            <wp:docPr id="1887481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81044" name="Picture 1"/>
                    <pic:cNvPicPr>
                      <a:picLocks noChangeAspect="1"/>
                    </pic:cNvPicPr>
                  </pic:nvPicPr>
                  <pic:blipFill>
                    <a:blip r:embed="rId10"/>
                    <a:stretch>
                      <a:fillRect/>
                    </a:stretch>
                  </pic:blipFill>
                  <pic:spPr>
                    <a:xfrm>
                      <a:off x="0" y="0"/>
                      <a:ext cx="3372023" cy="2216264"/>
                    </a:xfrm>
                    <a:prstGeom prst="rect">
                      <a:avLst/>
                    </a:prstGeom>
                  </pic:spPr>
                </pic:pic>
              </a:graphicData>
            </a:graphic>
          </wp:inline>
        </w:drawing>
      </w:r>
    </w:p>
    <w:p w14:paraId="47706B1A" w14:textId="77777777" w:rsidR="00BC2CE5" w:rsidRDefault="00000000">
      <w:pPr>
        <w:pStyle w:val="Caption"/>
        <w:spacing w:after="0" w:line="360" w:lineRule="auto"/>
        <w:jc w:val="center"/>
        <w:rPr>
          <w:rFonts w:ascii="Arial" w:hAnsi="Arial" w:cs="Arial"/>
          <w:sz w:val="24"/>
          <w:szCs w:val="24"/>
        </w:rPr>
      </w:pPr>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r>
        <w:rPr>
          <w:rFonts w:ascii="Arial" w:hAnsi="Arial" w:cs="Arial"/>
          <w:sz w:val="24"/>
          <w:szCs w:val="24"/>
        </w:rPr>
        <w:t>: Growth of UK Gig Economy (Source: CIPD, 2022)</w:t>
      </w:r>
    </w:p>
    <w:p w14:paraId="3EC9AB79" w14:textId="77777777" w:rsidR="00BC2CE5" w:rsidRDefault="00000000">
      <w:pPr>
        <w:pStyle w:val="Heading3"/>
        <w:spacing w:before="0" w:line="360" w:lineRule="auto"/>
        <w:rPr>
          <w:rFonts w:ascii="Arial" w:hAnsi="Arial" w:cs="Arial"/>
        </w:rPr>
      </w:pPr>
      <w:bookmarkStart w:id="9" w:name="_Toc143536560"/>
      <w:bookmarkStart w:id="10" w:name="_Toc143520746"/>
      <w:r>
        <w:rPr>
          <w:rFonts w:ascii="Arial" w:hAnsi="Arial" w:cs="Arial"/>
        </w:rPr>
        <w:t>Challenges</w:t>
      </w:r>
      <w:bookmarkEnd w:id="9"/>
      <w:bookmarkEnd w:id="10"/>
    </w:p>
    <w:p w14:paraId="59C4116E" w14:textId="77777777" w:rsidR="00BC2CE5" w:rsidRDefault="00000000">
      <w:pPr>
        <w:spacing w:after="0" w:line="360" w:lineRule="auto"/>
        <w:ind w:firstLine="720"/>
        <w:rPr>
          <w:rFonts w:ascii="Arial" w:hAnsi="Arial" w:cs="Arial"/>
        </w:rPr>
      </w:pPr>
      <w:r>
        <w:rPr>
          <w:rFonts w:ascii="Arial" w:hAnsi="Arial" w:cs="Arial"/>
        </w:rPr>
        <w:t>Evident difficulties exist in the UK labor market (</w:t>
      </w:r>
      <w:r>
        <w:rPr>
          <w:rFonts w:ascii="Arial" w:hAnsi="Arial" w:cs="Arial"/>
          <w:color w:val="222222"/>
          <w:shd w:val="clear" w:color="auto" w:fill="FFFFFF"/>
        </w:rPr>
        <w:t>Bell, and Blanchflower, 2020)</w:t>
      </w:r>
      <w:r>
        <w:rPr>
          <w:rFonts w:ascii="Arial" w:hAnsi="Arial" w:cs="Arial"/>
        </w:rPr>
        <w:t xml:space="preserve">. The Covid-19 epidemic has done significant damage. Joblessness rose from 3.9 per cent to 4.9 per cent due to the pandemic, according to the BBC (2020). Job losses in the hotel and retail industries disproportionately impacted vulnerable people due to lockdown measures. </w:t>
      </w:r>
    </w:p>
    <w:p w14:paraId="51DD85F2" w14:textId="77777777" w:rsidR="00BC2CE5" w:rsidRDefault="00000000">
      <w:pPr>
        <w:keepNext/>
        <w:spacing w:after="0" w:line="360" w:lineRule="auto"/>
        <w:ind w:firstLine="720"/>
        <w:jc w:val="center"/>
        <w:rPr>
          <w:rFonts w:ascii="Arial" w:hAnsi="Arial" w:cs="Arial"/>
        </w:rPr>
      </w:pPr>
      <w:r>
        <w:rPr>
          <w:rFonts w:ascii="Arial" w:hAnsi="Arial" w:cs="Arial"/>
          <w:noProof/>
        </w:rPr>
        <w:drawing>
          <wp:inline distT="0" distB="0" distL="0" distR="0" wp14:anchorId="398C7508" wp14:editId="5C7283C7">
            <wp:extent cx="3962400" cy="2565400"/>
            <wp:effectExtent l="0" t="0" r="0" b="6350"/>
            <wp:docPr id="752783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83732" name="Picture 1"/>
                    <pic:cNvPicPr>
                      <a:picLocks noChangeAspect="1"/>
                    </pic:cNvPicPr>
                  </pic:nvPicPr>
                  <pic:blipFill>
                    <a:blip r:embed="rId11"/>
                    <a:stretch>
                      <a:fillRect/>
                    </a:stretch>
                  </pic:blipFill>
                  <pic:spPr>
                    <a:xfrm>
                      <a:off x="0" y="0"/>
                      <a:ext cx="3966404" cy="2567992"/>
                    </a:xfrm>
                    <a:prstGeom prst="rect">
                      <a:avLst/>
                    </a:prstGeom>
                  </pic:spPr>
                </pic:pic>
              </a:graphicData>
            </a:graphic>
          </wp:inline>
        </w:drawing>
      </w:r>
    </w:p>
    <w:p w14:paraId="3A687EB7" w14:textId="77777777" w:rsidR="00BC2CE5" w:rsidRDefault="00000000">
      <w:pPr>
        <w:pStyle w:val="Caption"/>
        <w:spacing w:after="0" w:line="360" w:lineRule="auto"/>
        <w:jc w:val="center"/>
        <w:rPr>
          <w:rFonts w:ascii="Arial" w:hAnsi="Arial" w:cs="Arial"/>
          <w:sz w:val="24"/>
          <w:szCs w:val="24"/>
        </w:rPr>
      </w:pPr>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t>: UK Unemployment Rate (</w:t>
      </w:r>
      <w:r>
        <w:rPr>
          <w:rFonts w:ascii="Arial" w:hAnsi="Arial" w:cs="Arial"/>
          <w:sz w:val="24"/>
          <w:szCs w:val="24"/>
          <w:shd w:val="clear" w:color="auto" w:fill="FFFFFF"/>
        </w:rPr>
        <w:t>Langella and Manning, 2022</w:t>
      </w:r>
      <w:r>
        <w:rPr>
          <w:rFonts w:ascii="Arial" w:hAnsi="Arial" w:cs="Arial"/>
          <w:sz w:val="24"/>
          <w:szCs w:val="24"/>
        </w:rPr>
        <w:t>)</w:t>
      </w:r>
    </w:p>
    <w:p w14:paraId="55D1F83D" w14:textId="77777777" w:rsidR="00BC2CE5" w:rsidRDefault="00000000">
      <w:pPr>
        <w:spacing w:after="0" w:line="360" w:lineRule="auto"/>
        <w:ind w:firstLine="720"/>
        <w:rPr>
          <w:rFonts w:ascii="Arial" w:hAnsi="Arial" w:cs="Arial"/>
        </w:rPr>
      </w:pPr>
      <w:r>
        <w:rPr>
          <w:rFonts w:ascii="Arial" w:hAnsi="Arial" w:cs="Arial"/>
        </w:rPr>
        <w:t xml:space="preserve">According to </w:t>
      </w:r>
      <w:r>
        <w:rPr>
          <w:rFonts w:ascii="Arial" w:hAnsi="Arial" w:cs="Arial"/>
          <w:color w:val="222222"/>
          <w:shd w:val="clear" w:color="auto" w:fill="FFFFFF"/>
        </w:rPr>
        <w:t xml:space="preserve">Buchholz et al. (2020), </w:t>
      </w:r>
      <w:r>
        <w:rPr>
          <w:rFonts w:ascii="Arial" w:hAnsi="Arial" w:cs="Arial"/>
        </w:rPr>
        <w:t>5.3 million Adults in the UK have never used the internet, according to the UK Office of Communications (Ofcom), highlighting the necessity of digital literacy as the pandemic spread. This digital gap hinders people from taking advantage of online education and employment prospects.</w:t>
      </w:r>
    </w:p>
    <w:p w14:paraId="732D1A1E" w14:textId="77777777" w:rsidR="00BC2CE5" w:rsidRDefault="00000000">
      <w:pPr>
        <w:pStyle w:val="Heading3"/>
        <w:spacing w:before="0" w:line="360" w:lineRule="auto"/>
        <w:rPr>
          <w:rFonts w:ascii="Arial" w:hAnsi="Arial" w:cs="Arial"/>
        </w:rPr>
      </w:pPr>
      <w:bookmarkStart w:id="11" w:name="_Toc143536561"/>
      <w:bookmarkStart w:id="12" w:name="_Toc143520747"/>
      <w:r>
        <w:rPr>
          <w:rFonts w:ascii="Arial" w:hAnsi="Arial" w:cs="Arial"/>
        </w:rPr>
        <w:lastRenderedPageBreak/>
        <w:t>Opportunities</w:t>
      </w:r>
      <w:bookmarkEnd w:id="11"/>
      <w:bookmarkEnd w:id="12"/>
    </w:p>
    <w:p w14:paraId="244FE890" w14:textId="77777777" w:rsidR="00BC2CE5" w:rsidRDefault="00000000">
      <w:pPr>
        <w:spacing w:after="0" w:line="360" w:lineRule="auto"/>
        <w:ind w:firstLine="720"/>
        <w:rPr>
          <w:rFonts w:ascii="Arial" w:hAnsi="Arial" w:cs="Arial"/>
        </w:rPr>
      </w:pPr>
      <w:r>
        <w:rPr>
          <w:rFonts w:ascii="Arial" w:hAnsi="Arial" w:cs="Arial"/>
        </w:rPr>
        <w:t>Despite difficulties, there are openings in the UK job market. With the proliferation of remote work made possible by modern technology, businesses have access to more potential employees (</w:t>
      </w:r>
      <w:r>
        <w:rPr>
          <w:rFonts w:ascii="Arial" w:hAnsi="Arial" w:cs="Arial"/>
          <w:color w:val="222222"/>
          <w:shd w:val="clear" w:color="auto" w:fill="FFFFFF"/>
        </w:rPr>
        <w:t>Leonardi, 2021)</w:t>
      </w:r>
      <w:r>
        <w:rPr>
          <w:rFonts w:ascii="Arial" w:hAnsi="Arial" w:cs="Arial"/>
        </w:rPr>
        <w:t xml:space="preserve">. The Office of National Statistics (2020) revealed that 38 percent of British workers performed their duties remotely throughout the pandemic. </w:t>
      </w:r>
    </w:p>
    <w:p w14:paraId="289992F0" w14:textId="77777777" w:rsidR="00BC2CE5" w:rsidRDefault="00000000">
      <w:pPr>
        <w:keepNext/>
        <w:spacing w:after="0" w:line="360" w:lineRule="auto"/>
        <w:ind w:firstLine="720"/>
        <w:jc w:val="center"/>
        <w:rPr>
          <w:rFonts w:ascii="Arial" w:hAnsi="Arial" w:cs="Arial"/>
        </w:rPr>
      </w:pPr>
      <w:r>
        <w:rPr>
          <w:rFonts w:ascii="Arial" w:hAnsi="Arial" w:cs="Arial"/>
          <w:noProof/>
        </w:rPr>
        <w:drawing>
          <wp:inline distT="0" distB="0" distL="0" distR="0" wp14:anchorId="30365B43" wp14:editId="3057D762">
            <wp:extent cx="4197350" cy="2360930"/>
            <wp:effectExtent l="0" t="0" r="0" b="1270"/>
            <wp:docPr id="1406162260" name="Picture 1" descr="A graph with blue squares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62260" name="Picture 1" descr="A graph with blue squares and white lines&#10;&#10;Description automatically generated"/>
                    <pic:cNvPicPr>
                      <a:picLocks noChangeAspect="1"/>
                    </pic:cNvPicPr>
                  </pic:nvPicPr>
                  <pic:blipFill>
                    <a:blip r:embed="rId12"/>
                    <a:stretch>
                      <a:fillRect/>
                    </a:stretch>
                  </pic:blipFill>
                  <pic:spPr>
                    <a:xfrm>
                      <a:off x="0" y="0"/>
                      <a:ext cx="4205160" cy="2365810"/>
                    </a:xfrm>
                    <a:prstGeom prst="rect">
                      <a:avLst/>
                    </a:prstGeom>
                  </pic:spPr>
                </pic:pic>
              </a:graphicData>
            </a:graphic>
          </wp:inline>
        </w:drawing>
      </w:r>
    </w:p>
    <w:p w14:paraId="26A6C4A0" w14:textId="77777777" w:rsidR="00BC2CE5" w:rsidRDefault="00000000">
      <w:pPr>
        <w:pStyle w:val="Caption"/>
        <w:spacing w:after="0" w:line="360" w:lineRule="auto"/>
        <w:jc w:val="center"/>
        <w:rPr>
          <w:rFonts w:ascii="Arial" w:hAnsi="Arial" w:cs="Arial"/>
          <w:sz w:val="24"/>
          <w:szCs w:val="24"/>
        </w:rPr>
      </w:pPr>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t>: Gender working percentage from home (Source: Office for National Statistics, 2020)</w:t>
      </w:r>
    </w:p>
    <w:p w14:paraId="66D1F3E2" w14:textId="77777777" w:rsidR="00BC2CE5" w:rsidRDefault="00000000">
      <w:pPr>
        <w:spacing w:after="0" w:line="360" w:lineRule="auto"/>
        <w:ind w:firstLine="720"/>
        <w:rPr>
          <w:rFonts w:ascii="Arial" w:hAnsi="Arial" w:cs="Arial"/>
        </w:rPr>
      </w:pPr>
      <w:r>
        <w:rPr>
          <w:rFonts w:ascii="Arial" w:hAnsi="Arial" w:cs="Arial"/>
        </w:rPr>
        <w:t>Furthermore, green job growth has been observed since the UK government strives for zero emissions by 2050 (</w:t>
      </w:r>
      <w:r>
        <w:rPr>
          <w:rFonts w:ascii="Arial" w:hAnsi="Arial" w:cs="Arial"/>
          <w:color w:val="222222"/>
          <w:shd w:val="clear" w:color="auto" w:fill="FFFFFF"/>
        </w:rPr>
        <w:t>Chapungu et al., 2022)</w:t>
      </w:r>
      <w:r>
        <w:rPr>
          <w:rFonts w:ascii="Arial" w:hAnsi="Arial" w:cs="Arial"/>
        </w:rPr>
        <w:t>. Two million green jobs are expected to be created by the Green Jobs Taskforce in fields including renewable energy and sustainable transportation.</w:t>
      </w:r>
    </w:p>
    <w:p w14:paraId="1F860310" w14:textId="77777777" w:rsidR="00BC2CE5" w:rsidRDefault="00000000">
      <w:pPr>
        <w:pStyle w:val="Heading2"/>
        <w:spacing w:before="0"/>
        <w:rPr>
          <w:rFonts w:ascii="Arial" w:hAnsi="Arial" w:cs="Arial"/>
        </w:rPr>
      </w:pPr>
      <w:bookmarkStart w:id="13" w:name="_Toc143536562"/>
      <w:bookmarkStart w:id="14" w:name="_Toc143520748"/>
      <w:r>
        <w:rPr>
          <w:rFonts w:ascii="Arial" w:hAnsi="Arial" w:cs="Arial"/>
        </w:rPr>
        <w:t>1.2 The Effect of Covid- 19 on the Labor Market</w:t>
      </w:r>
      <w:bookmarkEnd w:id="13"/>
      <w:bookmarkEnd w:id="14"/>
      <w:r>
        <w:rPr>
          <w:rFonts w:ascii="Arial" w:hAnsi="Arial" w:cs="Arial"/>
        </w:rPr>
        <w:t xml:space="preserve"> </w:t>
      </w:r>
    </w:p>
    <w:p w14:paraId="73304E1B" w14:textId="77777777" w:rsidR="00BC2CE5" w:rsidRDefault="00000000">
      <w:pPr>
        <w:spacing w:after="0" w:line="360" w:lineRule="auto"/>
        <w:ind w:firstLine="720"/>
        <w:rPr>
          <w:rFonts w:ascii="Arial" w:hAnsi="Arial" w:cs="Arial"/>
        </w:rPr>
      </w:pPr>
      <w:r>
        <w:rPr>
          <w:rFonts w:ascii="Arial" w:hAnsi="Arial" w:cs="Arial"/>
        </w:rPr>
        <w:t>The global economy, particularly the UK labor market, has seen the effects of the Covid-19 pandemic (</w:t>
      </w:r>
      <w:r>
        <w:rPr>
          <w:rFonts w:ascii="Arial" w:hAnsi="Arial" w:cs="Arial"/>
          <w:color w:val="222222"/>
          <w:shd w:val="clear" w:color="auto" w:fill="FFFFFF"/>
        </w:rPr>
        <w:t>Ando et al., 2022)</w:t>
      </w:r>
      <w:r>
        <w:rPr>
          <w:rFonts w:ascii="Arial" w:hAnsi="Arial" w:cs="Arial"/>
        </w:rPr>
        <w:t>. Several areas of the United Kingdom's job market have been significantly influenced by the extraordinary nature of the epidemic and the subsequent actions adopted to control its spread.</w:t>
      </w:r>
    </w:p>
    <w:p w14:paraId="1F316516" w14:textId="77777777" w:rsidR="00BC2CE5" w:rsidRDefault="00000000">
      <w:pPr>
        <w:pStyle w:val="Heading3"/>
        <w:spacing w:before="0" w:line="360" w:lineRule="auto"/>
        <w:rPr>
          <w:rFonts w:ascii="Arial" w:hAnsi="Arial" w:cs="Arial"/>
        </w:rPr>
      </w:pPr>
      <w:bookmarkStart w:id="15" w:name="_Toc143520749"/>
      <w:bookmarkStart w:id="16" w:name="_Toc143536563"/>
      <w:r>
        <w:rPr>
          <w:rFonts w:ascii="Arial" w:hAnsi="Arial" w:cs="Arial"/>
        </w:rPr>
        <w:t>Immediate Impact</w:t>
      </w:r>
      <w:bookmarkEnd w:id="15"/>
      <w:bookmarkEnd w:id="16"/>
    </w:p>
    <w:p w14:paraId="44FFB976" w14:textId="77777777" w:rsidR="00BC2CE5" w:rsidRDefault="00000000">
      <w:pPr>
        <w:spacing w:after="0" w:line="360" w:lineRule="auto"/>
        <w:ind w:firstLine="720"/>
        <w:rPr>
          <w:rFonts w:ascii="Arial" w:hAnsi="Arial" w:cs="Arial"/>
        </w:rPr>
      </w:pPr>
      <w:r>
        <w:rPr>
          <w:rFonts w:ascii="Arial" w:hAnsi="Arial" w:cs="Arial"/>
        </w:rPr>
        <w:t xml:space="preserve">According to </w:t>
      </w:r>
      <w:r>
        <w:rPr>
          <w:rFonts w:ascii="Arial" w:hAnsi="Arial" w:cs="Arial"/>
          <w:color w:val="222222"/>
          <w:shd w:val="clear" w:color="auto" w:fill="FFFFFF"/>
        </w:rPr>
        <w:t>Sahu and Kumar (2020), t</w:t>
      </w:r>
      <w:r>
        <w:rPr>
          <w:rFonts w:ascii="Arial" w:hAnsi="Arial" w:cs="Arial"/>
        </w:rPr>
        <w:t xml:space="preserve">he government of the United Kingdom went into lockdown mode when the pandemic hit. Because of this, many establishments had to temporarily close their doors, resulting in a dramatic rise in the number of people out </w:t>
      </w:r>
      <w:r>
        <w:rPr>
          <w:rFonts w:ascii="Arial" w:hAnsi="Arial" w:cs="Arial"/>
        </w:rPr>
        <w:lastRenderedPageBreak/>
        <w:t>of work. According to the ONS, the unemployment rate will rise sharply from 3.9% to 4.9% by the end of 2020.</w:t>
      </w:r>
    </w:p>
    <w:p w14:paraId="217AADC0" w14:textId="77777777" w:rsidR="00BC2CE5" w:rsidRDefault="00000000">
      <w:pPr>
        <w:pStyle w:val="Heading3"/>
        <w:spacing w:before="0" w:line="360" w:lineRule="auto"/>
        <w:rPr>
          <w:rFonts w:ascii="Arial" w:hAnsi="Arial" w:cs="Arial"/>
        </w:rPr>
      </w:pPr>
      <w:bookmarkStart w:id="17" w:name="_Toc143520750"/>
      <w:bookmarkStart w:id="18" w:name="_Toc143536564"/>
      <w:r>
        <w:rPr>
          <w:rFonts w:ascii="Arial" w:hAnsi="Arial" w:cs="Arial"/>
        </w:rPr>
        <w:t>Sectoral Disparities</w:t>
      </w:r>
      <w:bookmarkEnd w:id="17"/>
      <w:bookmarkEnd w:id="18"/>
    </w:p>
    <w:p w14:paraId="7A6855F8" w14:textId="77777777" w:rsidR="00BC2CE5" w:rsidRDefault="00000000">
      <w:pPr>
        <w:spacing w:after="0" w:line="360" w:lineRule="auto"/>
        <w:ind w:firstLine="720"/>
        <w:rPr>
          <w:rFonts w:ascii="Arial" w:hAnsi="Arial" w:cs="Arial"/>
        </w:rPr>
      </w:pPr>
      <w:r>
        <w:rPr>
          <w:rFonts w:ascii="Arial" w:hAnsi="Arial" w:cs="Arial"/>
        </w:rPr>
        <w:t xml:space="preserve">The consequences of the pandemic on the UK labor market varied widely between sectors. </w:t>
      </w:r>
      <w:r>
        <w:rPr>
          <w:rFonts w:ascii="Arial" w:hAnsi="Arial" w:cs="Arial"/>
          <w:color w:val="222222"/>
          <w:shd w:val="clear" w:color="auto" w:fill="FFFFFF"/>
        </w:rPr>
        <w:t xml:space="preserve">Breier et al. (2021) stated </w:t>
      </w:r>
      <w:r>
        <w:rPr>
          <w:rFonts w:ascii="Arial" w:hAnsi="Arial" w:cs="Arial"/>
        </w:rPr>
        <w:t>businesses in the hotel, tourist, and retail sectors were struck particularly severely because of their reliance on customer visits and road trips. According to ONS data, the number of people employed in the lodging and food services sector dropped by a shocking 43%. Workers in these fields saw widespread layoffs, reduced hours, and furloughs.</w:t>
      </w:r>
    </w:p>
    <w:p w14:paraId="0FB70647" w14:textId="77777777" w:rsidR="00BC2CE5" w:rsidRDefault="00000000">
      <w:pPr>
        <w:pStyle w:val="Heading3"/>
        <w:spacing w:before="0" w:line="360" w:lineRule="auto"/>
        <w:rPr>
          <w:rFonts w:ascii="Arial" w:hAnsi="Arial" w:cs="Arial"/>
        </w:rPr>
      </w:pPr>
      <w:bookmarkStart w:id="19" w:name="_Toc143536565"/>
      <w:bookmarkStart w:id="20" w:name="_Toc143520751"/>
      <w:r>
        <w:rPr>
          <w:rFonts w:ascii="Arial" w:hAnsi="Arial" w:cs="Arial"/>
        </w:rPr>
        <w:t>Remote Work Acceleration</w:t>
      </w:r>
      <w:bookmarkEnd w:id="19"/>
      <w:bookmarkEnd w:id="20"/>
    </w:p>
    <w:p w14:paraId="7B789CF1" w14:textId="77777777" w:rsidR="00BC2CE5" w:rsidRDefault="00000000">
      <w:pPr>
        <w:spacing w:after="0" w:line="360" w:lineRule="auto"/>
        <w:ind w:firstLine="720"/>
        <w:rPr>
          <w:rFonts w:ascii="Arial" w:hAnsi="Arial" w:cs="Arial"/>
        </w:rPr>
      </w:pPr>
      <w:r>
        <w:rPr>
          <w:rFonts w:ascii="Arial" w:hAnsi="Arial" w:cs="Arial"/>
        </w:rPr>
        <w:t>On the other hand, the pandemic prompted a surge in telecommuting. To maintain efficiency, many businesses have implemented remote work policies (</w:t>
      </w:r>
      <w:proofErr w:type="spellStart"/>
      <w:r>
        <w:rPr>
          <w:rFonts w:ascii="Arial" w:hAnsi="Arial" w:cs="Arial"/>
          <w:color w:val="222222"/>
          <w:shd w:val="clear" w:color="auto" w:fill="FFFFFF"/>
        </w:rPr>
        <w:t>Baryshnikova</w:t>
      </w:r>
      <w:proofErr w:type="spellEnd"/>
      <w:r>
        <w:rPr>
          <w:rFonts w:ascii="Arial" w:hAnsi="Arial" w:cs="Arial"/>
          <w:color w:val="222222"/>
          <w:shd w:val="clear" w:color="auto" w:fill="FFFFFF"/>
        </w:rPr>
        <w:t xml:space="preserve"> et al., 2021)</w:t>
      </w:r>
      <w:r>
        <w:rPr>
          <w:rFonts w:ascii="Arial" w:hAnsi="Arial" w:cs="Arial"/>
        </w:rPr>
        <w:t>. According to the ONS Labor Market Survey, 86 per cent of workers were telecommuting at the height of the pandemic. Worker adaptability to new technology and virtual collaboration tools became increasingly important, highlighting the significance of digital skills.</w:t>
      </w:r>
    </w:p>
    <w:p w14:paraId="5D29D0DF" w14:textId="77777777" w:rsidR="00BC2CE5" w:rsidRDefault="00000000">
      <w:pPr>
        <w:pStyle w:val="Heading3"/>
        <w:spacing w:before="0" w:line="360" w:lineRule="auto"/>
        <w:rPr>
          <w:rFonts w:ascii="Arial" w:hAnsi="Arial" w:cs="Arial"/>
        </w:rPr>
      </w:pPr>
      <w:bookmarkStart w:id="21" w:name="_Toc143520752"/>
      <w:bookmarkStart w:id="22" w:name="_Toc143536566"/>
      <w:r>
        <w:rPr>
          <w:rFonts w:ascii="Arial" w:hAnsi="Arial" w:cs="Arial"/>
        </w:rPr>
        <w:t>Changing Nature of Work</w:t>
      </w:r>
      <w:bookmarkEnd w:id="21"/>
      <w:bookmarkEnd w:id="22"/>
    </w:p>
    <w:p w14:paraId="283ED6A7" w14:textId="77777777" w:rsidR="00BC2CE5" w:rsidRDefault="00000000">
      <w:pPr>
        <w:spacing w:after="0" w:line="360" w:lineRule="auto"/>
        <w:ind w:firstLine="720"/>
        <w:rPr>
          <w:rFonts w:ascii="Arial" w:hAnsi="Arial" w:cs="Arial"/>
        </w:rPr>
      </w:pPr>
      <w:r>
        <w:rPr>
          <w:rFonts w:ascii="Arial" w:hAnsi="Arial" w:cs="Arial"/>
        </w:rPr>
        <w:t xml:space="preserve">The epidemic has also hastened changes in the character of employment. As more people can work from home, the line between work and life has become increasingly porous. </w:t>
      </w:r>
      <w:r>
        <w:rPr>
          <w:rFonts w:ascii="Arial" w:hAnsi="Arial" w:cs="Arial"/>
          <w:color w:val="222222"/>
          <w:shd w:val="clear" w:color="auto" w:fill="FFFFFF"/>
        </w:rPr>
        <w:t xml:space="preserve">Parham and Rauf (2020) asserted </w:t>
      </w:r>
      <w:r>
        <w:rPr>
          <w:rFonts w:ascii="Arial" w:hAnsi="Arial" w:cs="Arial"/>
        </w:rPr>
        <w:t>work-life balance, mental health, and burnout are all issues raised in response to the benefits of remote work. Some jobs once considered indispensable and carried out in person also encountered difficulties. Frontline workers in healthcare, supermarket delivery, and food preparation continued to put themselves in harm's way.</w:t>
      </w:r>
    </w:p>
    <w:p w14:paraId="0DBD7DC4" w14:textId="77777777" w:rsidR="00BC2CE5" w:rsidRDefault="00000000">
      <w:pPr>
        <w:pStyle w:val="Heading3"/>
        <w:spacing w:before="0" w:line="360" w:lineRule="auto"/>
        <w:rPr>
          <w:rFonts w:ascii="Arial" w:hAnsi="Arial" w:cs="Arial"/>
        </w:rPr>
      </w:pPr>
      <w:bookmarkStart w:id="23" w:name="_Toc143520753"/>
      <w:bookmarkStart w:id="24" w:name="_Toc143536567"/>
      <w:r>
        <w:rPr>
          <w:rFonts w:ascii="Arial" w:hAnsi="Arial" w:cs="Arial"/>
        </w:rPr>
        <w:t>Up skilling and Reskilling</w:t>
      </w:r>
      <w:bookmarkEnd w:id="23"/>
      <w:bookmarkEnd w:id="24"/>
    </w:p>
    <w:p w14:paraId="398E8B6A" w14:textId="77777777" w:rsidR="00BC2CE5" w:rsidRDefault="00000000">
      <w:pPr>
        <w:spacing w:after="0" w:line="360" w:lineRule="auto"/>
        <w:ind w:firstLine="720"/>
        <w:rPr>
          <w:rFonts w:ascii="Arial" w:hAnsi="Arial" w:cs="Arial"/>
        </w:rPr>
      </w:pPr>
      <w:r>
        <w:rPr>
          <w:rFonts w:ascii="Arial" w:hAnsi="Arial" w:cs="Arial"/>
        </w:rPr>
        <w:t>The epidemic highlighted the significance of acquiring and practicing new skills. Due to the decline in manufacturing, many people lost their jobs. Because of this, many people have decided to change careers or upgrade their skill sets to keep up in the labor market (</w:t>
      </w:r>
      <w:r>
        <w:rPr>
          <w:rFonts w:ascii="Arial" w:hAnsi="Arial" w:cs="Arial"/>
          <w:color w:val="222222"/>
          <w:shd w:val="clear" w:color="auto" w:fill="FFFFFF"/>
        </w:rPr>
        <w:t>Costa Dias et al., 2020)</w:t>
      </w:r>
      <w:r>
        <w:rPr>
          <w:rFonts w:ascii="Arial" w:hAnsi="Arial" w:cs="Arial"/>
        </w:rPr>
        <w:t>. According to many online education providers, courses in data analysis, programming, and digital literacy have seen a rise in popularity.</w:t>
      </w:r>
    </w:p>
    <w:p w14:paraId="2C8738BA" w14:textId="77777777" w:rsidR="00BC2CE5" w:rsidRDefault="00000000">
      <w:pPr>
        <w:pStyle w:val="Heading3"/>
        <w:spacing w:before="0" w:line="360" w:lineRule="auto"/>
        <w:rPr>
          <w:rFonts w:ascii="Arial" w:hAnsi="Arial" w:cs="Arial"/>
        </w:rPr>
      </w:pPr>
      <w:bookmarkStart w:id="25" w:name="_Toc143520754"/>
      <w:bookmarkStart w:id="26" w:name="_Toc143536568"/>
      <w:r>
        <w:rPr>
          <w:rFonts w:ascii="Arial" w:hAnsi="Arial" w:cs="Arial"/>
        </w:rPr>
        <w:lastRenderedPageBreak/>
        <w:t>Long-Term Structural Changes</w:t>
      </w:r>
      <w:bookmarkEnd w:id="25"/>
      <w:bookmarkEnd w:id="26"/>
    </w:p>
    <w:p w14:paraId="5A97FB87" w14:textId="77777777" w:rsidR="00BC2CE5" w:rsidRDefault="00000000">
      <w:pPr>
        <w:spacing w:after="0" w:line="360" w:lineRule="auto"/>
        <w:ind w:firstLine="720"/>
        <w:rPr>
          <w:rFonts w:ascii="Arial" w:hAnsi="Arial" w:cs="Arial"/>
        </w:rPr>
      </w:pPr>
      <w:r>
        <w:rPr>
          <w:rFonts w:ascii="Arial" w:hAnsi="Arial" w:cs="Arial"/>
        </w:rPr>
        <w:t>There will be lasting effects on the job market from the epidemic. Some ongoing structural shifts have been expedited as a result. For example, businesses increasingly turn to automation and AI tools to lessen their dependency on human workers in preparation for potential disruptions (</w:t>
      </w:r>
      <w:r>
        <w:rPr>
          <w:rFonts w:ascii="Arial" w:hAnsi="Arial" w:cs="Arial"/>
          <w:color w:val="222222"/>
          <w:shd w:val="clear" w:color="auto" w:fill="FFFFFF"/>
        </w:rPr>
        <w:t>Chen and Biswas, 2021)</w:t>
      </w:r>
      <w:r>
        <w:rPr>
          <w:rFonts w:ascii="Arial" w:hAnsi="Arial" w:cs="Arial"/>
        </w:rPr>
        <w:t>. According to the Chartered Institute of Personnel and Development, there will be a rise in demand for highly trained workers in the United Kingdom.</w:t>
      </w:r>
    </w:p>
    <w:p w14:paraId="13996095" w14:textId="77777777" w:rsidR="00BC2CE5" w:rsidRDefault="00BC2CE5">
      <w:pPr>
        <w:spacing w:after="0" w:line="360" w:lineRule="auto"/>
        <w:ind w:firstLine="720"/>
        <w:jc w:val="center"/>
        <w:rPr>
          <w:rFonts w:ascii="Arial" w:hAnsi="Arial" w:cs="Arial"/>
        </w:rPr>
      </w:pPr>
    </w:p>
    <w:p w14:paraId="7E1AF53D" w14:textId="77777777" w:rsidR="00BC2CE5" w:rsidRDefault="00BC2CE5">
      <w:pPr>
        <w:spacing w:after="0" w:line="360" w:lineRule="auto"/>
        <w:ind w:firstLine="720"/>
        <w:jc w:val="center"/>
        <w:rPr>
          <w:rFonts w:ascii="Arial" w:hAnsi="Arial" w:cs="Arial"/>
        </w:rPr>
      </w:pPr>
    </w:p>
    <w:p w14:paraId="6B3F1F71" w14:textId="77777777" w:rsidR="00BC2CE5" w:rsidRDefault="00BC2CE5">
      <w:pPr>
        <w:spacing w:after="0" w:line="360" w:lineRule="auto"/>
        <w:ind w:firstLine="720"/>
        <w:jc w:val="center"/>
        <w:rPr>
          <w:rFonts w:ascii="Arial" w:hAnsi="Arial" w:cs="Arial"/>
        </w:rPr>
      </w:pPr>
    </w:p>
    <w:p w14:paraId="6FA61CAC" w14:textId="77777777" w:rsidR="00BC2CE5" w:rsidRDefault="00000000">
      <w:pPr>
        <w:keepNext/>
        <w:spacing w:after="0" w:line="360" w:lineRule="auto"/>
        <w:ind w:firstLine="720"/>
        <w:jc w:val="center"/>
        <w:rPr>
          <w:rFonts w:ascii="Arial" w:hAnsi="Arial" w:cs="Arial"/>
        </w:rPr>
      </w:pPr>
      <w:r>
        <w:rPr>
          <w:rFonts w:ascii="Arial" w:hAnsi="Arial" w:cs="Arial"/>
          <w:noProof/>
        </w:rPr>
        <w:drawing>
          <wp:inline distT="0" distB="0" distL="0" distR="0" wp14:anchorId="34EE8D5D" wp14:editId="3EB1FC8E">
            <wp:extent cx="4457700" cy="2753360"/>
            <wp:effectExtent l="0" t="0" r="0" b="8890"/>
            <wp:docPr id="62709334" name="Picture 1" descr="A white and green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9334" name="Picture 1" descr="A white and green text with black text&#10;&#10;Description automatically generated"/>
                    <pic:cNvPicPr>
                      <a:picLocks noChangeAspect="1"/>
                    </pic:cNvPicPr>
                  </pic:nvPicPr>
                  <pic:blipFill>
                    <a:blip r:embed="rId13"/>
                    <a:stretch>
                      <a:fillRect/>
                    </a:stretch>
                  </pic:blipFill>
                  <pic:spPr>
                    <a:xfrm>
                      <a:off x="0" y="0"/>
                      <a:ext cx="4461414" cy="2756210"/>
                    </a:xfrm>
                    <a:prstGeom prst="rect">
                      <a:avLst/>
                    </a:prstGeom>
                  </pic:spPr>
                </pic:pic>
              </a:graphicData>
            </a:graphic>
          </wp:inline>
        </w:drawing>
      </w:r>
    </w:p>
    <w:p w14:paraId="52A6DE9B" w14:textId="77777777" w:rsidR="00BC2CE5" w:rsidRDefault="00000000">
      <w:pPr>
        <w:pStyle w:val="Caption"/>
        <w:spacing w:after="0" w:line="360" w:lineRule="auto"/>
        <w:jc w:val="center"/>
        <w:rPr>
          <w:rFonts w:ascii="Arial" w:hAnsi="Arial" w:cs="Arial"/>
          <w:sz w:val="24"/>
          <w:szCs w:val="24"/>
        </w:rPr>
      </w:pPr>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t>: The effect of Covid- 19 on the labor market (Source: By Author)</w:t>
      </w:r>
    </w:p>
    <w:p w14:paraId="66B6BE57" w14:textId="77777777" w:rsidR="00BC2CE5" w:rsidRDefault="00000000">
      <w:pPr>
        <w:pStyle w:val="Heading2"/>
        <w:spacing w:before="0"/>
        <w:rPr>
          <w:rFonts w:ascii="Arial" w:hAnsi="Arial" w:cs="Arial"/>
        </w:rPr>
      </w:pPr>
      <w:bookmarkStart w:id="27" w:name="_Toc143536569"/>
      <w:bookmarkStart w:id="28" w:name="_Toc143520755"/>
      <w:r>
        <w:rPr>
          <w:rFonts w:ascii="Arial" w:hAnsi="Arial" w:cs="Arial"/>
        </w:rPr>
        <w:t>1.3 The Effect of Brexit on the Labor Market</w:t>
      </w:r>
      <w:bookmarkEnd w:id="27"/>
      <w:bookmarkEnd w:id="28"/>
      <w:r>
        <w:rPr>
          <w:rFonts w:ascii="Arial" w:hAnsi="Arial" w:cs="Arial"/>
        </w:rPr>
        <w:t xml:space="preserve"> </w:t>
      </w:r>
    </w:p>
    <w:p w14:paraId="0BB10E3D" w14:textId="77777777" w:rsidR="00BC2CE5" w:rsidRDefault="00000000">
      <w:pPr>
        <w:spacing w:after="0" w:line="360" w:lineRule="auto"/>
        <w:ind w:firstLine="720"/>
        <w:rPr>
          <w:rFonts w:ascii="Arial" w:hAnsi="Arial" w:cs="Arial"/>
        </w:rPr>
      </w:pPr>
      <w:r>
        <w:rPr>
          <w:rFonts w:ascii="Arial" w:hAnsi="Arial" w:cs="Arial"/>
        </w:rPr>
        <w:t>As a result of Britain's decision to leave the European Union (EU), the employment market has undergone significant transformations that have altered its dynamics and presented new opportunities and difficulties (</w:t>
      </w:r>
      <w:r>
        <w:rPr>
          <w:rFonts w:ascii="Arial" w:hAnsi="Arial" w:cs="Arial"/>
          <w:color w:val="222222"/>
          <w:shd w:val="clear" w:color="auto" w:fill="FFFFFF"/>
        </w:rPr>
        <w:t>Jagannathan et al., 2019)</w:t>
      </w:r>
      <w:r>
        <w:rPr>
          <w:rFonts w:ascii="Arial" w:hAnsi="Arial" w:cs="Arial"/>
        </w:rPr>
        <w:t>. Economists, policymakers, and businesses in the United Kingdom are increasingly concerned about the effects of Brexit on the labor market as the country figures out its future relationship with the European Union.</w:t>
      </w:r>
    </w:p>
    <w:p w14:paraId="227BEC97" w14:textId="77777777" w:rsidR="00BC2CE5" w:rsidRDefault="00000000">
      <w:pPr>
        <w:pStyle w:val="Heading3"/>
        <w:spacing w:before="0" w:line="360" w:lineRule="auto"/>
        <w:rPr>
          <w:rFonts w:ascii="Arial" w:hAnsi="Arial" w:cs="Arial"/>
        </w:rPr>
      </w:pPr>
      <w:bookmarkStart w:id="29" w:name="_Toc143520756"/>
      <w:bookmarkStart w:id="30" w:name="_Toc143536570"/>
      <w:r>
        <w:rPr>
          <w:rFonts w:ascii="Arial" w:hAnsi="Arial" w:cs="Arial"/>
        </w:rPr>
        <w:lastRenderedPageBreak/>
        <w:t>Changes in Immigration Policies</w:t>
      </w:r>
      <w:bookmarkEnd w:id="29"/>
      <w:bookmarkEnd w:id="30"/>
    </w:p>
    <w:p w14:paraId="073019B3" w14:textId="77777777" w:rsidR="00BC2CE5" w:rsidRDefault="00000000">
      <w:pPr>
        <w:spacing w:after="0" w:line="360" w:lineRule="auto"/>
        <w:ind w:firstLine="720"/>
        <w:rPr>
          <w:rFonts w:ascii="Arial" w:hAnsi="Arial" w:cs="Arial"/>
        </w:rPr>
      </w:pPr>
      <w:r>
        <w:rPr>
          <w:rFonts w:ascii="Arial" w:hAnsi="Arial" w:cs="Arial"/>
        </w:rPr>
        <w:t xml:space="preserve">Changing immigration policy is one of the most obvious and significant ways Brexit will affect the labor market. According to </w:t>
      </w:r>
      <w:r>
        <w:rPr>
          <w:rFonts w:ascii="Arial" w:hAnsi="Arial" w:cs="Arial"/>
          <w:color w:val="222222"/>
          <w:shd w:val="clear" w:color="auto" w:fill="FFFFFF"/>
        </w:rPr>
        <w:t>Portes (2021), a</w:t>
      </w:r>
      <w:r>
        <w:rPr>
          <w:rFonts w:ascii="Arial" w:hAnsi="Arial" w:cs="Arial"/>
        </w:rPr>
        <w:t xml:space="preserve">fter the UK and EU ended their free movement agreement, the UK instituted a points-based immigration system. Education, language skills, and job offers in shortage industries are </w:t>
      </w:r>
      <w:proofErr w:type="spellStart"/>
      <w:r>
        <w:rPr>
          <w:rFonts w:ascii="Arial" w:hAnsi="Arial" w:cs="Arial"/>
        </w:rPr>
        <w:t>prioritised</w:t>
      </w:r>
      <w:proofErr w:type="spellEnd"/>
      <w:r>
        <w:rPr>
          <w:rFonts w:ascii="Arial" w:hAnsi="Arial" w:cs="Arial"/>
        </w:rPr>
        <w:t xml:space="preserve"> in this approach. According to government reports, concerns concerning the loss of domestic employees have been addressed by designing a mechanism to attract highly skilled individuals.</w:t>
      </w:r>
    </w:p>
    <w:p w14:paraId="5B56AE62" w14:textId="77777777" w:rsidR="00BC2CE5" w:rsidRDefault="00000000">
      <w:pPr>
        <w:pStyle w:val="Heading3"/>
        <w:spacing w:before="0" w:line="360" w:lineRule="auto"/>
        <w:rPr>
          <w:rFonts w:ascii="Arial" w:hAnsi="Arial" w:cs="Arial"/>
        </w:rPr>
      </w:pPr>
      <w:bookmarkStart w:id="31" w:name="_Toc143520757"/>
      <w:bookmarkStart w:id="32" w:name="_Toc143536571"/>
      <w:r>
        <w:rPr>
          <w:rFonts w:ascii="Arial" w:hAnsi="Arial" w:cs="Arial"/>
        </w:rPr>
        <w:t>Impact on Industries</w:t>
      </w:r>
      <w:bookmarkEnd w:id="31"/>
      <w:bookmarkEnd w:id="32"/>
    </w:p>
    <w:p w14:paraId="276CD4F2" w14:textId="77777777" w:rsidR="00BC2CE5" w:rsidRDefault="00000000">
      <w:pPr>
        <w:spacing w:after="0" w:line="360" w:lineRule="auto"/>
        <w:ind w:firstLine="720"/>
        <w:rPr>
          <w:rFonts w:ascii="Arial" w:hAnsi="Arial" w:cs="Arial"/>
        </w:rPr>
      </w:pPr>
      <w:r>
        <w:rPr>
          <w:rFonts w:ascii="Arial" w:hAnsi="Arial" w:cs="Arial"/>
        </w:rPr>
        <w:t>Different sectors, especially those that rely significantly on EU employees, have felt different impacts from Brexit. Historically, industries including construction, agriculture, and healthcare have looked to the EU for workers, especially hard-to-fill positions (</w:t>
      </w:r>
      <w:r>
        <w:rPr>
          <w:rFonts w:ascii="Arial" w:hAnsi="Arial" w:cs="Arial"/>
          <w:color w:val="222222"/>
          <w:shd w:val="clear" w:color="auto" w:fill="FFFFFF"/>
        </w:rPr>
        <w:t>Foster et al., 2020)</w:t>
      </w:r>
      <w:r>
        <w:rPr>
          <w:rFonts w:ascii="Arial" w:hAnsi="Arial" w:cs="Arial"/>
        </w:rPr>
        <w:t>. According to market research, the recent change in immigration policies has prompted worries about a scarcity of workers and the possibility of supply chain disruptions.</w:t>
      </w:r>
    </w:p>
    <w:p w14:paraId="15321E9C" w14:textId="77777777" w:rsidR="00BC2CE5" w:rsidRDefault="00000000">
      <w:pPr>
        <w:pStyle w:val="Heading3"/>
        <w:spacing w:before="0" w:line="360" w:lineRule="auto"/>
        <w:rPr>
          <w:rFonts w:ascii="Arial" w:hAnsi="Arial" w:cs="Arial"/>
        </w:rPr>
      </w:pPr>
      <w:bookmarkStart w:id="33" w:name="_Toc143520758"/>
      <w:bookmarkStart w:id="34" w:name="_Toc143536572"/>
      <w:r>
        <w:rPr>
          <w:rFonts w:ascii="Arial" w:hAnsi="Arial" w:cs="Arial"/>
        </w:rPr>
        <w:t>Challenges for SMEs</w:t>
      </w:r>
      <w:bookmarkEnd w:id="33"/>
      <w:bookmarkEnd w:id="34"/>
    </w:p>
    <w:p w14:paraId="3ECD0038" w14:textId="77777777" w:rsidR="00BC2CE5" w:rsidRDefault="00000000">
      <w:pPr>
        <w:spacing w:after="0" w:line="360" w:lineRule="auto"/>
        <w:ind w:firstLine="720"/>
        <w:rPr>
          <w:rFonts w:ascii="Arial" w:hAnsi="Arial" w:cs="Arial"/>
        </w:rPr>
      </w:pPr>
      <w:r>
        <w:rPr>
          <w:rFonts w:ascii="Arial" w:hAnsi="Arial" w:cs="Arial"/>
        </w:rPr>
        <w:t xml:space="preserve">Brexit has presented unique difficulties for small and medium-sized businesses. These companies frequently lack the means to adapt to shifting international trade norms and ever-evolving regulations. According to </w:t>
      </w:r>
      <w:r>
        <w:rPr>
          <w:rFonts w:ascii="Arial" w:hAnsi="Arial" w:cs="Arial"/>
          <w:color w:val="222222"/>
          <w:shd w:val="clear" w:color="auto" w:fill="FFFFFF"/>
        </w:rPr>
        <w:t>Gherghina et al. (2020), c</w:t>
      </w:r>
      <w:r>
        <w:rPr>
          <w:rFonts w:ascii="Arial" w:hAnsi="Arial" w:cs="Arial"/>
        </w:rPr>
        <w:t>ustoms checks and paperwork add extra costs and administrative hassles for small and medium-sized enterprises (SMEs) that export or import items to or from the European Union.</w:t>
      </w:r>
    </w:p>
    <w:p w14:paraId="598E2B00" w14:textId="77777777" w:rsidR="00BC2CE5" w:rsidRDefault="00000000">
      <w:pPr>
        <w:pStyle w:val="Heading3"/>
        <w:spacing w:before="0" w:line="360" w:lineRule="auto"/>
        <w:rPr>
          <w:rFonts w:ascii="Arial" w:hAnsi="Arial" w:cs="Arial"/>
        </w:rPr>
      </w:pPr>
      <w:bookmarkStart w:id="35" w:name="_Toc143520759"/>
      <w:bookmarkStart w:id="36" w:name="_Toc143536573"/>
      <w:r>
        <w:rPr>
          <w:rFonts w:ascii="Arial" w:hAnsi="Arial" w:cs="Arial"/>
        </w:rPr>
        <w:t>Opportunities for Domestic Workforce</w:t>
      </w:r>
      <w:bookmarkEnd w:id="35"/>
      <w:bookmarkEnd w:id="36"/>
    </w:p>
    <w:p w14:paraId="3E1483DB" w14:textId="77777777" w:rsidR="00BC2CE5" w:rsidRDefault="00000000">
      <w:pPr>
        <w:spacing w:after="0" w:line="360" w:lineRule="auto"/>
        <w:ind w:firstLine="720"/>
        <w:rPr>
          <w:rFonts w:ascii="Arial" w:hAnsi="Arial" w:cs="Arial"/>
        </w:rPr>
      </w:pPr>
      <w:r>
        <w:rPr>
          <w:rFonts w:ascii="Arial" w:hAnsi="Arial" w:cs="Arial"/>
        </w:rPr>
        <w:t xml:space="preserve">The domestic workforce in the UK has also benefited from Brexit. </w:t>
      </w:r>
      <w:r>
        <w:rPr>
          <w:rFonts w:ascii="Arial" w:hAnsi="Arial" w:cs="Arial"/>
          <w:color w:val="222222"/>
          <w:shd w:val="clear" w:color="auto" w:fill="FFFFFF"/>
        </w:rPr>
        <w:t xml:space="preserve">Tovmasyan and Minasyan (2020) argued </w:t>
      </w:r>
      <w:r>
        <w:rPr>
          <w:rFonts w:ascii="Arial" w:hAnsi="Arial" w:cs="Arial"/>
        </w:rPr>
        <w:t xml:space="preserve">when companies are required to fill more positions with domestic workers, they have more incentive to provide career development opportunities for citizens. There is an opportunity to close skill gaps and provide more equal job opportunities to the people of the United Kingdom as firms attempt to </w:t>
      </w:r>
      <w:proofErr w:type="spellStart"/>
      <w:r>
        <w:rPr>
          <w:rFonts w:ascii="Arial" w:hAnsi="Arial" w:cs="Arial"/>
        </w:rPr>
        <w:t>minimise</w:t>
      </w:r>
      <w:proofErr w:type="spellEnd"/>
      <w:r>
        <w:rPr>
          <w:rFonts w:ascii="Arial" w:hAnsi="Arial" w:cs="Arial"/>
        </w:rPr>
        <w:t xml:space="preserve"> their reliance on foreign employees.</w:t>
      </w:r>
    </w:p>
    <w:p w14:paraId="34132EC4" w14:textId="77777777" w:rsidR="00BC2CE5" w:rsidRDefault="00000000">
      <w:pPr>
        <w:pStyle w:val="Heading3"/>
        <w:spacing w:before="0" w:line="360" w:lineRule="auto"/>
        <w:rPr>
          <w:rFonts w:ascii="Arial" w:hAnsi="Arial" w:cs="Arial"/>
        </w:rPr>
      </w:pPr>
      <w:bookmarkStart w:id="37" w:name="_Toc143520760"/>
      <w:bookmarkStart w:id="38" w:name="_Toc143536574"/>
      <w:r>
        <w:rPr>
          <w:rFonts w:ascii="Arial" w:hAnsi="Arial" w:cs="Arial"/>
        </w:rPr>
        <w:t>Trade and Export Implications</w:t>
      </w:r>
      <w:bookmarkEnd w:id="37"/>
      <w:bookmarkEnd w:id="38"/>
    </w:p>
    <w:p w14:paraId="5EF5F69C" w14:textId="77777777" w:rsidR="00BC2CE5" w:rsidRDefault="00000000">
      <w:pPr>
        <w:spacing w:after="0" w:line="360" w:lineRule="auto"/>
        <w:ind w:firstLine="720"/>
        <w:rPr>
          <w:rFonts w:ascii="Arial" w:hAnsi="Arial" w:cs="Arial"/>
        </w:rPr>
      </w:pPr>
      <w:r>
        <w:rPr>
          <w:rFonts w:ascii="Arial" w:hAnsi="Arial" w:cs="Arial"/>
        </w:rPr>
        <w:t>Although the trade relationship established after Brexit is not primarily a labor market concern, it does affect job opportunities and export-dependent industries (</w:t>
      </w:r>
      <w:r>
        <w:rPr>
          <w:rFonts w:ascii="Arial" w:hAnsi="Arial" w:cs="Arial"/>
          <w:color w:val="222222"/>
          <w:shd w:val="clear" w:color="auto" w:fill="FFFFFF"/>
        </w:rPr>
        <w:t xml:space="preserve">Du et </w:t>
      </w:r>
      <w:r>
        <w:rPr>
          <w:rFonts w:ascii="Arial" w:hAnsi="Arial" w:cs="Arial"/>
          <w:color w:val="222222"/>
          <w:shd w:val="clear" w:color="auto" w:fill="FFFFFF"/>
        </w:rPr>
        <w:lastRenderedPageBreak/>
        <w:t>al., 2023)</w:t>
      </w:r>
      <w:r>
        <w:rPr>
          <w:rFonts w:ascii="Arial" w:hAnsi="Arial" w:cs="Arial"/>
        </w:rPr>
        <w:t>. New trade barriers may reduce the demand for specific products and services, which could affect the number of people employed in their production and distribution.</w:t>
      </w:r>
    </w:p>
    <w:p w14:paraId="1D029D9C" w14:textId="77777777" w:rsidR="00BC2CE5" w:rsidRDefault="00000000">
      <w:pPr>
        <w:pStyle w:val="Heading1"/>
        <w:spacing w:after="0" w:line="360" w:lineRule="auto"/>
        <w:rPr>
          <w:rFonts w:ascii="Arial" w:hAnsi="Arial" w:cs="Arial"/>
        </w:rPr>
      </w:pPr>
      <w:bookmarkStart w:id="39" w:name="_Toc143536575"/>
      <w:bookmarkStart w:id="40" w:name="_Toc143520761"/>
      <w:r>
        <w:rPr>
          <w:rFonts w:ascii="Arial" w:hAnsi="Arial" w:cs="Arial"/>
        </w:rPr>
        <w:t>Task 2: Emerging Human Resources Strategies</w:t>
      </w:r>
      <w:bookmarkEnd w:id="39"/>
      <w:bookmarkEnd w:id="40"/>
      <w:r>
        <w:rPr>
          <w:rFonts w:ascii="Arial" w:hAnsi="Arial" w:cs="Arial"/>
        </w:rPr>
        <w:t xml:space="preserve"> </w:t>
      </w:r>
    </w:p>
    <w:p w14:paraId="08652279" w14:textId="77777777" w:rsidR="00BC2CE5" w:rsidRDefault="00000000">
      <w:pPr>
        <w:pStyle w:val="Heading2"/>
        <w:spacing w:before="0"/>
        <w:rPr>
          <w:rFonts w:ascii="Arial" w:hAnsi="Arial" w:cs="Arial"/>
        </w:rPr>
      </w:pPr>
      <w:bookmarkStart w:id="41" w:name="_Toc143536576"/>
      <w:bookmarkStart w:id="42" w:name="_Toc143520762"/>
      <w:r>
        <w:rPr>
          <w:rFonts w:ascii="Arial" w:hAnsi="Arial" w:cs="Arial"/>
        </w:rPr>
        <w:t>2.1 Emerging Human Resources Strategies</w:t>
      </w:r>
      <w:bookmarkEnd w:id="41"/>
      <w:bookmarkEnd w:id="42"/>
      <w:r>
        <w:rPr>
          <w:rFonts w:ascii="Arial" w:hAnsi="Arial" w:cs="Arial"/>
        </w:rPr>
        <w:t xml:space="preserve"> </w:t>
      </w:r>
    </w:p>
    <w:p w14:paraId="2AE8234C" w14:textId="77777777" w:rsidR="00BC2CE5" w:rsidRDefault="00000000">
      <w:pPr>
        <w:spacing w:after="0" w:line="360" w:lineRule="auto"/>
        <w:ind w:firstLine="720"/>
        <w:rPr>
          <w:rFonts w:ascii="Arial" w:hAnsi="Arial" w:cs="Arial"/>
        </w:rPr>
      </w:pPr>
      <w:r>
        <w:rPr>
          <w:rFonts w:ascii="Arial" w:hAnsi="Arial" w:cs="Arial"/>
        </w:rPr>
        <w:t xml:space="preserve">Emerging HR solutions are helping </w:t>
      </w:r>
      <w:proofErr w:type="spellStart"/>
      <w:r>
        <w:rPr>
          <w:rFonts w:ascii="Arial" w:hAnsi="Arial" w:cs="Arial"/>
        </w:rPr>
        <w:t>organisations</w:t>
      </w:r>
      <w:proofErr w:type="spellEnd"/>
      <w:r>
        <w:rPr>
          <w:rFonts w:ascii="Arial" w:hAnsi="Arial" w:cs="Arial"/>
        </w:rPr>
        <w:t xml:space="preserve"> navigate the rapidly changing world driven by events like the COVID-19 epidemic and Brexit (</w:t>
      </w:r>
      <w:r>
        <w:rPr>
          <w:rFonts w:ascii="Arial" w:hAnsi="Arial" w:cs="Arial"/>
          <w:color w:val="222222"/>
          <w:shd w:val="clear" w:color="auto" w:fill="FFFFFF"/>
        </w:rPr>
        <w:t>David et al., 2023)</w:t>
      </w:r>
      <w:r>
        <w:rPr>
          <w:rFonts w:ascii="Arial" w:hAnsi="Arial" w:cs="Arial"/>
        </w:rPr>
        <w:t xml:space="preserve">. These strategies use innovative methods to address disturbances and </w:t>
      </w:r>
      <w:proofErr w:type="spellStart"/>
      <w:r>
        <w:rPr>
          <w:rFonts w:ascii="Arial" w:hAnsi="Arial" w:cs="Arial"/>
        </w:rPr>
        <w:t>capitalise</w:t>
      </w:r>
      <w:proofErr w:type="spellEnd"/>
      <w:r>
        <w:rPr>
          <w:rFonts w:ascii="Arial" w:hAnsi="Arial" w:cs="Arial"/>
        </w:rPr>
        <w:t xml:space="preserve"> on development and resilience. Remote work and flexible arrangements are prominent HR trends. Work structures are changing to enable remote work, allowing employees to balance work and life. Fully remote work methods allow companies like Buffer to access a global talent pool and cut office overhead costs. Upskilling and reskilling have grown due to Covid-19 and Brexit. HR strategies now </w:t>
      </w:r>
      <w:proofErr w:type="spellStart"/>
      <w:r>
        <w:rPr>
          <w:rFonts w:ascii="Arial" w:hAnsi="Arial" w:cs="Arial"/>
        </w:rPr>
        <w:t>emphasise</w:t>
      </w:r>
      <w:proofErr w:type="spellEnd"/>
      <w:r>
        <w:rPr>
          <w:rFonts w:ascii="Arial" w:hAnsi="Arial" w:cs="Arial"/>
        </w:rPr>
        <w:t xml:space="preserve"> equipping workers for new tasks and responsibilities (</w:t>
      </w:r>
      <w:r>
        <w:rPr>
          <w:rFonts w:ascii="Arial" w:hAnsi="Arial" w:cs="Arial"/>
          <w:color w:val="222222"/>
          <w:shd w:val="clear" w:color="auto" w:fill="FFFFFF"/>
        </w:rPr>
        <w:t xml:space="preserve">Farndale and </w:t>
      </w:r>
      <w:proofErr w:type="spellStart"/>
      <w:r>
        <w:rPr>
          <w:rFonts w:ascii="Arial" w:hAnsi="Arial" w:cs="Arial"/>
          <w:color w:val="222222"/>
          <w:shd w:val="clear" w:color="auto" w:fill="FFFFFF"/>
        </w:rPr>
        <w:t>Vaiman</w:t>
      </w:r>
      <w:proofErr w:type="spellEnd"/>
      <w:r>
        <w:rPr>
          <w:rFonts w:ascii="Arial" w:hAnsi="Arial" w:cs="Arial"/>
          <w:color w:val="222222"/>
          <w:shd w:val="clear" w:color="auto" w:fill="FFFFFF"/>
        </w:rPr>
        <w:t>, 2022)</w:t>
      </w:r>
      <w:r>
        <w:rPr>
          <w:rFonts w:ascii="Arial" w:hAnsi="Arial" w:cs="Arial"/>
        </w:rPr>
        <w:t xml:space="preserve">. Amazon's "Upskilling 2025" </w:t>
      </w:r>
      <w:proofErr w:type="spellStart"/>
      <w:r>
        <w:rPr>
          <w:rFonts w:ascii="Arial" w:hAnsi="Arial" w:cs="Arial"/>
        </w:rPr>
        <w:t>programme</w:t>
      </w:r>
      <w:proofErr w:type="spellEnd"/>
      <w:r>
        <w:rPr>
          <w:rFonts w:ascii="Arial" w:hAnsi="Arial" w:cs="Arial"/>
        </w:rPr>
        <w:t xml:space="preserve"> offers machine learning and cloud computing training. HR methods also </w:t>
      </w:r>
      <w:proofErr w:type="spellStart"/>
      <w:r>
        <w:rPr>
          <w:rFonts w:ascii="Arial" w:hAnsi="Arial" w:cs="Arial"/>
        </w:rPr>
        <w:t>emphasise</w:t>
      </w:r>
      <w:proofErr w:type="spellEnd"/>
      <w:r>
        <w:rPr>
          <w:rFonts w:ascii="Arial" w:hAnsi="Arial" w:cs="Arial"/>
        </w:rPr>
        <w:t xml:space="preserve"> employee well-being and mental health support. Remote employment and Brexit, and pandemic uncertainty have increased stress (</w:t>
      </w:r>
      <w:proofErr w:type="spellStart"/>
      <w:r>
        <w:rPr>
          <w:rFonts w:ascii="Arial" w:hAnsi="Arial" w:cs="Arial"/>
          <w:color w:val="222222"/>
          <w:shd w:val="clear" w:color="auto" w:fill="FFFFFF"/>
        </w:rPr>
        <w:t>Crasii</w:t>
      </w:r>
      <w:proofErr w:type="spellEnd"/>
      <w:r>
        <w:rPr>
          <w:rFonts w:ascii="Arial" w:hAnsi="Arial" w:cs="Arial"/>
          <w:color w:val="222222"/>
          <w:shd w:val="clear" w:color="auto" w:fill="FFFFFF"/>
        </w:rPr>
        <w:t xml:space="preserve"> and Nawar, 2022)</w:t>
      </w:r>
      <w:r>
        <w:rPr>
          <w:rFonts w:ascii="Arial" w:hAnsi="Arial" w:cs="Arial"/>
        </w:rPr>
        <w:t>. Mental health resources, flexible work hours, and wellness programs are being implemented to address these issues. Unilever's "Wellbeing Zone" shows how companies support employees' mental and physical health.</w:t>
      </w:r>
    </w:p>
    <w:p w14:paraId="269EDBF3" w14:textId="77777777" w:rsidR="00BC2CE5" w:rsidRDefault="00000000">
      <w:pPr>
        <w:spacing w:after="0" w:line="360" w:lineRule="auto"/>
        <w:ind w:firstLine="720"/>
        <w:rPr>
          <w:rFonts w:ascii="Arial" w:hAnsi="Arial" w:cs="Arial"/>
        </w:rPr>
      </w:pPr>
      <w:r>
        <w:rPr>
          <w:rFonts w:ascii="Arial" w:hAnsi="Arial" w:cs="Arial"/>
        </w:rPr>
        <w:t>Emerging HR practices promote diverse, equitable, and inclusive workplaces as social issues gain attention (</w:t>
      </w:r>
      <w:r>
        <w:rPr>
          <w:rFonts w:ascii="Arial" w:hAnsi="Arial" w:cs="Arial"/>
          <w:color w:val="222222"/>
          <w:shd w:val="clear" w:color="auto" w:fill="FFFFFF"/>
        </w:rPr>
        <w:t>Shore et al., 2018)</w:t>
      </w:r>
      <w:r>
        <w:rPr>
          <w:rFonts w:ascii="Arial" w:hAnsi="Arial" w:cs="Arial"/>
        </w:rPr>
        <w:t xml:space="preserve">. Companies are taking action to combat systematic prejudices and inequality. Microsoft's Chief Diversity Officer Job and other DEI initiatives demonstrate the company's commitment to inclusive cultures that empower all employees. Agile workforce planning is also needed due to Brexit and pandemic concerns. By matching worker demands with business goals, emerging HR strategies allow </w:t>
      </w:r>
      <w:proofErr w:type="spellStart"/>
      <w:r>
        <w:rPr>
          <w:rFonts w:ascii="Arial" w:hAnsi="Arial" w:cs="Arial"/>
        </w:rPr>
        <w:t>organisations</w:t>
      </w:r>
      <w:proofErr w:type="spellEnd"/>
      <w:r>
        <w:rPr>
          <w:rFonts w:ascii="Arial" w:hAnsi="Arial" w:cs="Arial"/>
        </w:rPr>
        <w:t xml:space="preserve"> to react quickly to changing market conditions (</w:t>
      </w:r>
      <w:r>
        <w:rPr>
          <w:rFonts w:ascii="Arial" w:hAnsi="Arial" w:cs="Arial"/>
          <w:color w:val="222222"/>
          <w:shd w:val="clear" w:color="auto" w:fill="FFFFFF"/>
        </w:rPr>
        <w:t>Subramanian and Suresh, 2022)</w:t>
      </w:r>
      <w:r>
        <w:rPr>
          <w:rFonts w:ascii="Arial" w:hAnsi="Arial" w:cs="Arial"/>
        </w:rPr>
        <w:t>. Procter &amp; Gamble uses agile methods to change employee size and skills to change business requirements.</w:t>
      </w:r>
    </w:p>
    <w:p w14:paraId="3768BBBD" w14:textId="77777777" w:rsidR="00BC2CE5" w:rsidRDefault="00000000">
      <w:pPr>
        <w:keepNext/>
        <w:spacing w:after="0" w:line="360" w:lineRule="auto"/>
        <w:jc w:val="center"/>
        <w:rPr>
          <w:rFonts w:ascii="Arial" w:hAnsi="Arial" w:cs="Arial"/>
        </w:rPr>
      </w:pPr>
      <w:r>
        <w:rPr>
          <w:rFonts w:ascii="Arial" w:hAnsi="Arial" w:cs="Arial"/>
          <w:noProof/>
        </w:rPr>
        <w:lastRenderedPageBreak/>
        <w:drawing>
          <wp:inline distT="0" distB="0" distL="0" distR="0" wp14:anchorId="4D32B046" wp14:editId="2CA13B5B">
            <wp:extent cx="5105400" cy="2616200"/>
            <wp:effectExtent l="0" t="0" r="0" b="0"/>
            <wp:docPr id="1223916362" name="Picture 1" descr="A blue and white rectangular box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16362" name="Picture 1" descr="A blue and white rectangular box with text&#10;&#10;Description automatically generated"/>
                    <pic:cNvPicPr>
                      <a:picLocks noChangeAspect="1"/>
                    </pic:cNvPicPr>
                  </pic:nvPicPr>
                  <pic:blipFill>
                    <a:blip r:embed="rId14"/>
                    <a:stretch>
                      <a:fillRect/>
                    </a:stretch>
                  </pic:blipFill>
                  <pic:spPr>
                    <a:xfrm>
                      <a:off x="0" y="0"/>
                      <a:ext cx="5105662" cy="2616334"/>
                    </a:xfrm>
                    <a:prstGeom prst="rect">
                      <a:avLst/>
                    </a:prstGeom>
                  </pic:spPr>
                </pic:pic>
              </a:graphicData>
            </a:graphic>
          </wp:inline>
        </w:drawing>
      </w:r>
    </w:p>
    <w:p w14:paraId="47F71FEB" w14:textId="77777777" w:rsidR="00BC2CE5" w:rsidRDefault="00000000">
      <w:pPr>
        <w:pStyle w:val="Caption"/>
        <w:spacing w:after="0" w:line="360" w:lineRule="auto"/>
        <w:jc w:val="center"/>
        <w:rPr>
          <w:rFonts w:ascii="Arial" w:hAnsi="Arial" w:cs="Arial"/>
          <w:sz w:val="24"/>
          <w:szCs w:val="24"/>
        </w:rPr>
      </w:pPr>
      <w:r>
        <w:rPr>
          <w:rFonts w:ascii="Arial" w:hAnsi="Arial" w:cs="Arial"/>
          <w:sz w:val="24"/>
          <w:szCs w:val="24"/>
        </w:rPr>
        <w:t xml:space="preserve">Figure </w:t>
      </w:r>
      <w:r>
        <w:rPr>
          <w:rFonts w:ascii="Arial" w:hAnsi="Arial" w:cs="Arial"/>
          <w:sz w:val="24"/>
          <w:szCs w:val="24"/>
        </w:rPr>
        <w:fldChar w:fldCharType="begin"/>
      </w:r>
      <w:r>
        <w:rPr>
          <w:rFonts w:ascii="Arial" w:hAnsi="Arial" w:cs="Arial"/>
          <w:sz w:val="24"/>
          <w:szCs w:val="24"/>
        </w:rPr>
        <w:instrText xml:space="preserve"> SEQ Figure \* ARABIC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t>: Emerging HR Strategies (Source: By Author)</w:t>
      </w:r>
    </w:p>
    <w:p w14:paraId="6E90678A" w14:textId="77777777" w:rsidR="00BC2CE5" w:rsidRDefault="00000000">
      <w:pPr>
        <w:spacing w:after="0" w:line="360" w:lineRule="auto"/>
        <w:ind w:firstLine="720"/>
        <w:rPr>
          <w:rFonts w:ascii="Arial" w:hAnsi="Arial" w:cs="Arial"/>
        </w:rPr>
      </w:pPr>
      <w:r>
        <w:rPr>
          <w:rFonts w:ascii="Arial" w:hAnsi="Arial" w:cs="Arial"/>
        </w:rPr>
        <w:t xml:space="preserve">Many companies are considering hybrid work models that combine remote and on-site employment as workplaces evolve. This technique mixes remote work with in-person workplace collaboration and </w:t>
      </w:r>
      <w:proofErr w:type="spellStart"/>
      <w:r>
        <w:rPr>
          <w:rFonts w:ascii="Arial" w:hAnsi="Arial" w:cs="Arial"/>
        </w:rPr>
        <w:t>socialisation</w:t>
      </w:r>
      <w:proofErr w:type="spellEnd"/>
      <w:r>
        <w:rPr>
          <w:rFonts w:ascii="Arial" w:hAnsi="Arial" w:cs="Arial"/>
        </w:rPr>
        <w:t xml:space="preserve">. According to </w:t>
      </w:r>
      <w:r>
        <w:rPr>
          <w:rFonts w:ascii="Arial" w:hAnsi="Arial" w:cs="Arial"/>
          <w:color w:val="222222"/>
          <w:shd w:val="clear" w:color="auto" w:fill="FFFFFF"/>
        </w:rPr>
        <w:t xml:space="preserve">Cappelli (2021), </w:t>
      </w:r>
      <w:r>
        <w:rPr>
          <w:rFonts w:ascii="Arial" w:hAnsi="Arial" w:cs="Arial"/>
        </w:rPr>
        <w:t>HSBC's hybrid work patterns and office space reduction show companies adapting their workspaces to flexible arrangements. Finally, these HR practices heavily rely on technology. Digital platforms are used for talent recruiting, onboarding, performance management, and employee engagement (</w:t>
      </w:r>
      <w:r>
        <w:rPr>
          <w:rFonts w:ascii="Arial" w:hAnsi="Arial" w:cs="Arial"/>
          <w:color w:val="222222"/>
          <w:shd w:val="clear" w:color="auto" w:fill="FFFFFF"/>
        </w:rPr>
        <w:t>Malik et al., 2022)</w:t>
      </w:r>
      <w:r>
        <w:rPr>
          <w:rFonts w:ascii="Arial" w:hAnsi="Arial" w:cs="Arial"/>
        </w:rPr>
        <w:t xml:space="preserve">. The use of AI and analytics for predictive workforce planning is growing, helping </w:t>
      </w:r>
      <w:proofErr w:type="spellStart"/>
      <w:r>
        <w:rPr>
          <w:rFonts w:ascii="Arial" w:hAnsi="Arial" w:cs="Arial"/>
        </w:rPr>
        <w:t>organisations</w:t>
      </w:r>
      <w:proofErr w:type="spellEnd"/>
      <w:r>
        <w:rPr>
          <w:rFonts w:ascii="Arial" w:hAnsi="Arial" w:cs="Arial"/>
        </w:rPr>
        <w:t xml:space="preserve"> make employment decisions.</w:t>
      </w:r>
    </w:p>
    <w:p w14:paraId="34E10BED" w14:textId="77777777" w:rsidR="00BC2CE5" w:rsidRDefault="00000000">
      <w:pPr>
        <w:pStyle w:val="Heading2"/>
        <w:spacing w:before="0"/>
        <w:rPr>
          <w:rFonts w:ascii="Arial" w:hAnsi="Arial" w:cs="Arial"/>
          <w:b w:val="0"/>
          <w:bCs/>
        </w:rPr>
      </w:pPr>
      <w:bookmarkStart w:id="43" w:name="_Toc143520763"/>
      <w:bookmarkStart w:id="44" w:name="_Toc143536577"/>
      <w:r>
        <w:rPr>
          <w:rFonts w:ascii="Arial" w:hAnsi="Arial" w:cs="Arial"/>
        </w:rPr>
        <w:t>2.2 Human Resourcing Strategies Post-Covid and Post Brexit</w:t>
      </w:r>
      <w:bookmarkEnd w:id="43"/>
      <w:bookmarkEnd w:id="44"/>
      <w:r>
        <w:rPr>
          <w:rFonts w:ascii="Arial" w:hAnsi="Arial" w:cs="Arial"/>
        </w:rPr>
        <w:t xml:space="preserve"> </w:t>
      </w:r>
    </w:p>
    <w:p w14:paraId="38934110" w14:textId="77777777" w:rsidR="00BC2CE5" w:rsidRDefault="00000000">
      <w:pPr>
        <w:spacing w:after="0" w:line="360" w:lineRule="auto"/>
        <w:ind w:firstLine="720"/>
        <w:rPr>
          <w:rFonts w:ascii="Arial" w:hAnsi="Arial" w:cs="Arial"/>
        </w:rPr>
      </w:pPr>
      <w:r>
        <w:rPr>
          <w:rFonts w:ascii="Arial" w:hAnsi="Arial" w:cs="Arial"/>
          <w:color w:val="222222"/>
          <w:shd w:val="clear" w:color="auto" w:fill="FFFFFF"/>
        </w:rPr>
        <w:t xml:space="preserve">Blum and </w:t>
      </w:r>
      <w:proofErr w:type="spellStart"/>
      <w:r>
        <w:rPr>
          <w:rFonts w:ascii="Arial" w:hAnsi="Arial" w:cs="Arial"/>
          <w:color w:val="222222"/>
          <w:shd w:val="clear" w:color="auto" w:fill="FFFFFF"/>
        </w:rPr>
        <w:t>Neumärker</w:t>
      </w:r>
      <w:proofErr w:type="spellEnd"/>
      <w:r>
        <w:rPr>
          <w:rFonts w:ascii="Arial" w:hAnsi="Arial" w:cs="Arial"/>
          <w:color w:val="222222"/>
          <w:shd w:val="clear" w:color="auto" w:fill="FFFFFF"/>
        </w:rPr>
        <w:t xml:space="preserve"> (2021) asserted </w:t>
      </w:r>
      <w:proofErr w:type="spellStart"/>
      <w:r>
        <w:rPr>
          <w:rFonts w:ascii="Arial" w:hAnsi="Arial" w:cs="Arial"/>
        </w:rPr>
        <w:t>organisations</w:t>
      </w:r>
      <w:proofErr w:type="spellEnd"/>
      <w:r>
        <w:rPr>
          <w:rFonts w:ascii="Arial" w:hAnsi="Arial" w:cs="Arial"/>
        </w:rPr>
        <w:t xml:space="preserve"> have rethought and returned to their human resourcing strategies after the Covid-19 epidemic and Brexit. In response to skill shortages brought on by changes in immigration regulations due to Brexit, some companies are investing in locally tailored workforce development programs. They're teaming up with schools and training facilities in the area to offer students courses designed specifically to meet the regional </w:t>
      </w:r>
      <w:proofErr w:type="spellStart"/>
      <w:r>
        <w:rPr>
          <w:rFonts w:ascii="Arial" w:hAnsi="Arial" w:cs="Arial"/>
        </w:rPr>
        <w:t>labour</w:t>
      </w:r>
      <w:proofErr w:type="spellEnd"/>
      <w:r>
        <w:rPr>
          <w:rFonts w:ascii="Arial" w:hAnsi="Arial" w:cs="Arial"/>
        </w:rPr>
        <w:t xml:space="preserve"> market demands (</w:t>
      </w:r>
      <w:r>
        <w:rPr>
          <w:rFonts w:ascii="Arial" w:hAnsi="Arial" w:cs="Arial"/>
          <w:color w:val="222222"/>
          <w:shd w:val="clear" w:color="auto" w:fill="FFFFFF"/>
        </w:rPr>
        <w:t>Leigh et al., 2020)</w:t>
      </w:r>
      <w:r>
        <w:rPr>
          <w:rFonts w:ascii="Arial" w:hAnsi="Arial" w:cs="Arial"/>
        </w:rPr>
        <w:t xml:space="preserve">. For instance, Airbus in the United Kingdom has partnered with local educational institutions to establish apprenticeship programs that teach students in-demand aeronautical expertise.  Companies have formed adaptation-focused employee resource groups in response to Covid-19 and Brexit. These communities provide outlets for </w:t>
      </w:r>
      <w:r>
        <w:rPr>
          <w:rFonts w:ascii="Arial" w:hAnsi="Arial" w:cs="Arial"/>
        </w:rPr>
        <w:lastRenderedPageBreak/>
        <w:t xml:space="preserve">workers to talk to one another about the challenges they're facing and brainstorm ways to overcome them. </w:t>
      </w:r>
      <w:r>
        <w:rPr>
          <w:rFonts w:ascii="Arial" w:hAnsi="Arial" w:cs="Arial"/>
          <w:color w:val="222222"/>
          <w:shd w:val="clear" w:color="auto" w:fill="FFFFFF"/>
        </w:rPr>
        <w:t xml:space="preserve">Lucas et al. (2017) highlighted </w:t>
      </w:r>
      <w:r>
        <w:rPr>
          <w:rFonts w:ascii="Arial" w:hAnsi="Arial" w:cs="Arial"/>
        </w:rPr>
        <w:t>when adapting to new legislation, working remotely, or a shifting job market, the ERGs provide more than simply moral support.</w:t>
      </w:r>
    </w:p>
    <w:p w14:paraId="0433E4F9" w14:textId="77777777" w:rsidR="00BC2CE5" w:rsidRDefault="00000000">
      <w:pPr>
        <w:spacing w:after="0" w:line="360" w:lineRule="auto"/>
        <w:ind w:firstLine="720"/>
        <w:rPr>
          <w:rFonts w:ascii="Arial" w:hAnsi="Arial" w:cs="Arial"/>
        </w:rPr>
      </w:pPr>
      <w:r>
        <w:rPr>
          <w:rFonts w:ascii="Arial" w:hAnsi="Arial" w:cs="Arial"/>
        </w:rPr>
        <w:t>Some companies have implemented resilience training programs to help their staff deal with the unpredictability caused by the pandemic and Brexit (</w:t>
      </w:r>
      <w:r>
        <w:rPr>
          <w:rFonts w:ascii="Arial" w:hAnsi="Arial" w:cs="Arial"/>
          <w:color w:val="222222"/>
          <w:shd w:val="clear" w:color="auto" w:fill="FFFFFF"/>
        </w:rPr>
        <w:t>Brown et al., 2020)</w:t>
      </w:r>
      <w:r>
        <w:rPr>
          <w:rFonts w:ascii="Arial" w:hAnsi="Arial" w:cs="Arial"/>
        </w:rPr>
        <w:t xml:space="preserve">. These courses help participants develop the psychological and emotional fortitude necessary to deal effectively with uncertainty, stress, and transition. Businesses like Deloitte have used mindfulness training and stress reduction seminars to help their workers. </w:t>
      </w:r>
      <w:proofErr w:type="spellStart"/>
      <w:r>
        <w:rPr>
          <w:rFonts w:ascii="Arial" w:hAnsi="Arial" w:cs="Arial"/>
        </w:rPr>
        <w:t>Organisations</w:t>
      </w:r>
      <w:proofErr w:type="spellEnd"/>
      <w:r>
        <w:rPr>
          <w:rFonts w:ascii="Arial" w:hAnsi="Arial" w:cs="Arial"/>
        </w:rPr>
        <w:t xml:space="preserve"> are giving workers more leeway in spending their time off in response to Covid-19 and Brexit (</w:t>
      </w:r>
      <w:r>
        <w:rPr>
          <w:rFonts w:ascii="Arial" w:hAnsi="Arial" w:cs="Arial"/>
          <w:color w:val="222222"/>
          <w:shd w:val="clear" w:color="auto" w:fill="FFFFFF"/>
        </w:rPr>
        <w:t>Castro-Conde, 2021)</w:t>
      </w:r>
      <w:r>
        <w:rPr>
          <w:rFonts w:ascii="Arial" w:hAnsi="Arial" w:cs="Arial"/>
        </w:rPr>
        <w:t xml:space="preserve">. Benefits, including health insurance, retirement savings plans, and flexible work schedules, are available for employees. For example, Unilever's "Wellbeing Choices" </w:t>
      </w:r>
      <w:proofErr w:type="spellStart"/>
      <w:r>
        <w:rPr>
          <w:rFonts w:ascii="Arial" w:hAnsi="Arial" w:cs="Arial"/>
        </w:rPr>
        <w:t>programme</w:t>
      </w:r>
      <w:proofErr w:type="spellEnd"/>
      <w:r>
        <w:rPr>
          <w:rFonts w:ascii="Arial" w:hAnsi="Arial" w:cs="Arial"/>
        </w:rPr>
        <w:t xml:space="preserve"> lets workers tailor their benefits to support their personal health and wellness objectives better.  </w:t>
      </w:r>
      <w:proofErr w:type="spellStart"/>
      <w:r>
        <w:rPr>
          <w:rFonts w:ascii="Arial" w:hAnsi="Arial" w:cs="Arial"/>
        </w:rPr>
        <w:t>Organisations</w:t>
      </w:r>
      <w:proofErr w:type="spellEnd"/>
      <w:r>
        <w:rPr>
          <w:rFonts w:ascii="Arial" w:hAnsi="Arial" w:cs="Arial"/>
        </w:rPr>
        <w:t xml:space="preserve"> are moving towards outcome-based performance management as remote work increases in popularity. They are shifting their emphasis from purely quantitative measures, such as hours worked, to qualitative ones, such as the value employees provide to the company. According to </w:t>
      </w:r>
      <w:proofErr w:type="spellStart"/>
      <w:r>
        <w:rPr>
          <w:rFonts w:ascii="Arial" w:hAnsi="Arial" w:cs="Arial"/>
          <w:color w:val="222222"/>
          <w:shd w:val="clear" w:color="auto" w:fill="FFFFFF"/>
        </w:rPr>
        <w:t>Borgonovi</w:t>
      </w:r>
      <w:proofErr w:type="spellEnd"/>
      <w:r>
        <w:rPr>
          <w:rFonts w:ascii="Arial" w:hAnsi="Arial" w:cs="Arial"/>
          <w:color w:val="222222"/>
          <w:shd w:val="clear" w:color="auto" w:fill="FFFFFF"/>
        </w:rPr>
        <w:t xml:space="preserve"> et al. (2019), </w:t>
      </w:r>
      <w:r>
        <w:rPr>
          <w:rFonts w:ascii="Arial" w:hAnsi="Arial" w:cs="Arial"/>
        </w:rPr>
        <w:t xml:space="preserve">companies like GitLab have adopted a remote workforce and use outcome-based performance management, which </w:t>
      </w:r>
      <w:proofErr w:type="spellStart"/>
      <w:r>
        <w:rPr>
          <w:rFonts w:ascii="Arial" w:hAnsi="Arial" w:cs="Arial"/>
        </w:rPr>
        <w:t>emphasises</w:t>
      </w:r>
      <w:proofErr w:type="spellEnd"/>
      <w:r>
        <w:rPr>
          <w:rFonts w:ascii="Arial" w:hAnsi="Arial" w:cs="Arial"/>
        </w:rPr>
        <w:t xml:space="preserve"> actual output more than the number of hours an employee spends in an office. Remote employment allows some businesses access to a wider pool of qualified candidates worldwide (</w:t>
      </w:r>
      <w:r>
        <w:rPr>
          <w:rFonts w:ascii="Arial" w:hAnsi="Arial" w:cs="Arial"/>
          <w:color w:val="222222"/>
          <w:shd w:val="clear" w:color="auto" w:fill="FFFFFF"/>
        </w:rPr>
        <w:t>Adisa et al., 2023)</w:t>
      </w:r>
      <w:r>
        <w:rPr>
          <w:rFonts w:ascii="Arial" w:hAnsi="Arial" w:cs="Arial"/>
        </w:rPr>
        <w:t>. To have access to a wider range of expertise and viewpoints, they are actively recruiting internationally. The WordPress development team at Automatic uses a fully dispersed model, bringing together specialists worldwide.</w:t>
      </w:r>
    </w:p>
    <w:p w14:paraId="55E3D5FC" w14:textId="77777777" w:rsidR="00BC2CE5" w:rsidRDefault="00000000">
      <w:pPr>
        <w:spacing w:after="0" w:line="360" w:lineRule="auto"/>
        <w:ind w:firstLine="720"/>
        <w:rPr>
          <w:rFonts w:ascii="Arial" w:hAnsi="Arial" w:cs="Arial"/>
        </w:rPr>
      </w:pPr>
      <w:proofErr w:type="spellStart"/>
      <w:r>
        <w:rPr>
          <w:rFonts w:ascii="Arial" w:hAnsi="Arial" w:cs="Arial"/>
        </w:rPr>
        <w:t>Organisations</w:t>
      </w:r>
      <w:proofErr w:type="spellEnd"/>
      <w:r>
        <w:rPr>
          <w:rFonts w:ascii="Arial" w:hAnsi="Arial" w:cs="Arial"/>
        </w:rPr>
        <w:t xml:space="preserve"> are promoting the development of cross-functional skills to increase employees' versatility and adaptability (</w:t>
      </w:r>
      <w:r>
        <w:rPr>
          <w:rFonts w:ascii="Arial" w:hAnsi="Arial" w:cs="Arial"/>
          <w:color w:val="222222"/>
          <w:shd w:val="clear" w:color="auto" w:fill="FFFFFF"/>
        </w:rPr>
        <w:t>Ahmed et al., 2021)</w:t>
      </w:r>
      <w:r>
        <w:rPr>
          <w:rFonts w:ascii="Arial" w:hAnsi="Arial" w:cs="Arial"/>
        </w:rPr>
        <w:t xml:space="preserve">. The company encourages its workers to broaden their horizons by taking on tasks outside their normal duties. The "Job Swap" </w:t>
      </w:r>
      <w:proofErr w:type="spellStart"/>
      <w:r>
        <w:rPr>
          <w:rFonts w:ascii="Arial" w:hAnsi="Arial" w:cs="Arial"/>
        </w:rPr>
        <w:t>programme</w:t>
      </w:r>
      <w:proofErr w:type="spellEnd"/>
      <w:r>
        <w:rPr>
          <w:rFonts w:ascii="Arial" w:hAnsi="Arial" w:cs="Arial"/>
        </w:rPr>
        <w:t xml:space="preserve"> at Adobe allows workers to take on different responsibilities inside the company temporarily. After Covid-19 and Brexit, the landscape has changed, and these novel approaches reflect that. </w:t>
      </w:r>
      <w:proofErr w:type="spellStart"/>
      <w:r>
        <w:rPr>
          <w:rFonts w:ascii="Arial" w:hAnsi="Arial" w:cs="Arial"/>
          <w:color w:val="222222"/>
          <w:shd w:val="clear" w:color="auto" w:fill="FFFFFF"/>
        </w:rPr>
        <w:t>Borgonovi</w:t>
      </w:r>
      <w:proofErr w:type="spellEnd"/>
      <w:r>
        <w:rPr>
          <w:rFonts w:ascii="Arial" w:hAnsi="Arial" w:cs="Arial"/>
          <w:color w:val="222222"/>
          <w:shd w:val="clear" w:color="auto" w:fill="FFFFFF"/>
        </w:rPr>
        <w:t xml:space="preserve"> et al. (2018) stated </w:t>
      </w:r>
      <w:proofErr w:type="spellStart"/>
      <w:r>
        <w:rPr>
          <w:rFonts w:ascii="Arial" w:hAnsi="Arial" w:cs="Arial"/>
        </w:rPr>
        <w:t>organisations</w:t>
      </w:r>
      <w:proofErr w:type="spellEnd"/>
      <w:r>
        <w:rPr>
          <w:rFonts w:ascii="Arial" w:hAnsi="Arial" w:cs="Arial"/>
        </w:rPr>
        <w:t xml:space="preserve"> can improve their chances of thriving in times of change and uncertainty by </w:t>
      </w:r>
      <w:r>
        <w:rPr>
          <w:rFonts w:ascii="Arial" w:hAnsi="Arial" w:cs="Arial"/>
        </w:rPr>
        <w:lastRenderedPageBreak/>
        <w:t>implementing </w:t>
      </w:r>
      <w:proofErr w:type="spellStart"/>
      <w:r>
        <w:rPr>
          <w:rFonts w:ascii="Arial" w:hAnsi="Arial" w:cs="Arial"/>
        </w:rPr>
        <w:t>localised</w:t>
      </w:r>
      <w:proofErr w:type="spellEnd"/>
      <w:r>
        <w:rPr>
          <w:rFonts w:ascii="Arial" w:hAnsi="Arial" w:cs="Arial"/>
        </w:rPr>
        <w:t xml:space="preserve"> staff development, resilience training, and outcome-based performance management.</w:t>
      </w:r>
    </w:p>
    <w:p w14:paraId="209500DC" w14:textId="77777777" w:rsidR="00BC2CE5" w:rsidRDefault="00000000">
      <w:pPr>
        <w:pStyle w:val="Heading1"/>
        <w:spacing w:after="0" w:line="360" w:lineRule="auto"/>
        <w:rPr>
          <w:rFonts w:ascii="Arial" w:hAnsi="Arial" w:cs="Arial"/>
          <w:highlight w:val="none"/>
        </w:rPr>
      </w:pPr>
      <w:bookmarkStart w:id="45" w:name="_Toc143520764"/>
      <w:bookmarkStart w:id="46" w:name="_Toc143536578"/>
      <w:r>
        <w:rPr>
          <w:rFonts w:ascii="Arial" w:hAnsi="Arial" w:cs="Arial"/>
          <w:highlight w:val="none"/>
        </w:rPr>
        <w:t>Conclusion</w:t>
      </w:r>
      <w:bookmarkEnd w:id="45"/>
      <w:bookmarkEnd w:id="46"/>
      <w:r>
        <w:rPr>
          <w:rFonts w:ascii="Arial" w:hAnsi="Arial" w:cs="Arial"/>
          <w:highlight w:val="none"/>
        </w:rPr>
        <w:t xml:space="preserve"> </w:t>
      </w:r>
    </w:p>
    <w:p w14:paraId="0F4EC95F" w14:textId="77777777" w:rsidR="00BC2CE5" w:rsidRDefault="00000000">
      <w:pPr>
        <w:spacing w:after="0" w:line="360" w:lineRule="auto"/>
        <w:ind w:firstLine="720"/>
        <w:rPr>
          <w:rFonts w:ascii="Arial" w:hAnsi="Arial" w:cs="Arial"/>
          <w:lang w:eastAsia="en-GB"/>
        </w:rPr>
      </w:pPr>
      <w:r>
        <w:rPr>
          <w:rFonts w:ascii="Arial" w:hAnsi="Arial" w:cs="Arial"/>
          <w:lang w:eastAsia="en-GB"/>
        </w:rPr>
        <w:t>Human resource management is undergoing a paradigm shift due to the confluence of the Covid-19 pandemic and Brexit. In response, businesses have become more agile and creative in their talent acquisition, cultivation, and retention approaches. Central to these approaches is the rise of the remote worker, flexibility in workforce planning, and a relentless focus on employees' health and happiness. Companies are adjusting to the challenges brought on by disruptions and making the most of the opportunities that have arisen due to them. These innovative approaches to human resource management will be crucial in building adaptable, innovative, and people-focused businesses that can survive and prosper in today's volatile business environment.</w:t>
      </w:r>
    </w:p>
    <w:p w14:paraId="5C9005FF" w14:textId="77777777" w:rsidR="00BC2CE5" w:rsidRDefault="00000000">
      <w:pPr>
        <w:pBdr>
          <w:bottom w:val="single" w:sz="6" w:space="1" w:color="auto"/>
        </w:pBdr>
        <w:spacing w:after="0" w:line="360" w:lineRule="auto"/>
        <w:jc w:val="center"/>
        <w:rPr>
          <w:rFonts w:ascii="Arial" w:hAnsi="Arial" w:cs="Arial"/>
          <w:vanish/>
          <w:lang w:eastAsia="en-GB"/>
        </w:rPr>
      </w:pPr>
      <w:r>
        <w:rPr>
          <w:rFonts w:ascii="Arial" w:hAnsi="Arial" w:cs="Arial"/>
          <w:vanish/>
          <w:highlight w:val="yellow"/>
          <w:lang w:eastAsia="en-GB"/>
        </w:rPr>
        <w:t>Top of Form</w:t>
      </w:r>
    </w:p>
    <w:p w14:paraId="1C42E23A" w14:textId="77777777" w:rsidR="00BC2CE5" w:rsidRDefault="00BC2CE5">
      <w:pPr>
        <w:spacing w:line="360" w:lineRule="auto"/>
        <w:rPr>
          <w:rFonts w:ascii="Arial" w:hAnsi="Arial" w:cs="Arial"/>
          <w:b/>
          <w:bCs/>
        </w:rPr>
      </w:pPr>
    </w:p>
    <w:p w14:paraId="4CED95B3" w14:textId="77777777" w:rsidR="00BC2CE5" w:rsidRDefault="00BC2CE5">
      <w:pPr>
        <w:spacing w:line="360" w:lineRule="auto"/>
        <w:rPr>
          <w:rFonts w:ascii="Arial" w:hAnsi="Arial" w:cs="Arial"/>
          <w:b/>
          <w:bCs/>
        </w:rPr>
      </w:pPr>
    </w:p>
    <w:p w14:paraId="5194CA92" w14:textId="77777777" w:rsidR="00BC2CE5" w:rsidRDefault="00BC2CE5">
      <w:pPr>
        <w:spacing w:line="360" w:lineRule="auto"/>
        <w:rPr>
          <w:rFonts w:ascii="Arial" w:hAnsi="Arial" w:cs="Arial"/>
          <w:b/>
          <w:bCs/>
        </w:rPr>
      </w:pPr>
    </w:p>
    <w:p w14:paraId="542C1502" w14:textId="77777777" w:rsidR="00BC2CE5" w:rsidRDefault="00BC2CE5">
      <w:pPr>
        <w:spacing w:line="360" w:lineRule="auto"/>
        <w:rPr>
          <w:rFonts w:ascii="Arial" w:hAnsi="Arial" w:cs="Arial"/>
          <w:b/>
          <w:bCs/>
        </w:rPr>
      </w:pPr>
    </w:p>
    <w:p w14:paraId="3A2EE2FD" w14:textId="77777777" w:rsidR="00BC2CE5" w:rsidRDefault="00BC2CE5">
      <w:pPr>
        <w:spacing w:line="360" w:lineRule="auto"/>
        <w:rPr>
          <w:rFonts w:ascii="Arial" w:hAnsi="Arial" w:cs="Arial"/>
          <w:b/>
          <w:bCs/>
        </w:rPr>
      </w:pPr>
    </w:p>
    <w:p w14:paraId="33C6E804" w14:textId="77777777" w:rsidR="00BC2CE5" w:rsidRDefault="00BC2CE5">
      <w:pPr>
        <w:spacing w:line="360" w:lineRule="auto"/>
        <w:rPr>
          <w:rFonts w:ascii="Arial" w:hAnsi="Arial" w:cs="Arial"/>
          <w:b/>
          <w:bCs/>
        </w:rPr>
      </w:pPr>
    </w:p>
    <w:p w14:paraId="70BFAEB4" w14:textId="77777777" w:rsidR="00BC2CE5" w:rsidRDefault="00BC2CE5">
      <w:pPr>
        <w:spacing w:line="360" w:lineRule="auto"/>
        <w:rPr>
          <w:rFonts w:ascii="Arial" w:hAnsi="Arial" w:cs="Arial"/>
          <w:b/>
          <w:bCs/>
        </w:rPr>
      </w:pPr>
    </w:p>
    <w:p w14:paraId="049E13A6" w14:textId="77777777" w:rsidR="00BC2CE5" w:rsidRDefault="00BC2CE5">
      <w:pPr>
        <w:spacing w:line="360" w:lineRule="auto"/>
        <w:rPr>
          <w:rFonts w:ascii="Arial" w:hAnsi="Arial" w:cs="Arial"/>
          <w:b/>
          <w:bCs/>
        </w:rPr>
      </w:pPr>
    </w:p>
    <w:p w14:paraId="3F647C48" w14:textId="77777777" w:rsidR="00BC2CE5" w:rsidRDefault="00BC2CE5">
      <w:pPr>
        <w:spacing w:line="360" w:lineRule="auto"/>
        <w:rPr>
          <w:rFonts w:ascii="Arial" w:hAnsi="Arial" w:cs="Arial"/>
          <w:b/>
          <w:bCs/>
        </w:rPr>
      </w:pPr>
    </w:p>
    <w:p w14:paraId="0D0099BF" w14:textId="77777777" w:rsidR="00BC2CE5" w:rsidRDefault="00BC2CE5">
      <w:pPr>
        <w:spacing w:line="360" w:lineRule="auto"/>
        <w:rPr>
          <w:rFonts w:ascii="Arial" w:hAnsi="Arial" w:cs="Arial"/>
          <w:b/>
          <w:bCs/>
        </w:rPr>
      </w:pPr>
    </w:p>
    <w:p w14:paraId="6B16E1B7" w14:textId="77777777" w:rsidR="00BC2CE5" w:rsidRDefault="00BC2CE5">
      <w:pPr>
        <w:spacing w:line="360" w:lineRule="auto"/>
        <w:rPr>
          <w:rFonts w:ascii="Arial" w:hAnsi="Arial" w:cs="Arial"/>
          <w:b/>
          <w:bCs/>
        </w:rPr>
      </w:pPr>
    </w:p>
    <w:p w14:paraId="67DE258F" w14:textId="77777777" w:rsidR="00BC2CE5" w:rsidRDefault="00BC2CE5">
      <w:pPr>
        <w:spacing w:line="360" w:lineRule="auto"/>
        <w:rPr>
          <w:rFonts w:ascii="Arial" w:hAnsi="Arial" w:cs="Arial"/>
          <w:b/>
          <w:bCs/>
        </w:rPr>
      </w:pPr>
    </w:p>
    <w:p w14:paraId="5053D75C" w14:textId="77777777" w:rsidR="00BC2CE5" w:rsidRDefault="00BC2CE5">
      <w:pPr>
        <w:spacing w:line="360" w:lineRule="auto"/>
        <w:rPr>
          <w:rFonts w:ascii="Arial" w:hAnsi="Arial" w:cs="Arial"/>
          <w:b/>
          <w:bCs/>
        </w:rPr>
      </w:pPr>
    </w:p>
    <w:p w14:paraId="3B79BA4A" w14:textId="77777777" w:rsidR="00BC2CE5" w:rsidRDefault="00BC2CE5">
      <w:pPr>
        <w:spacing w:line="360" w:lineRule="auto"/>
        <w:rPr>
          <w:rFonts w:ascii="Arial" w:hAnsi="Arial" w:cs="Arial"/>
          <w:b/>
          <w:bCs/>
        </w:rPr>
      </w:pPr>
    </w:p>
    <w:p w14:paraId="47EC88DE" w14:textId="77777777" w:rsidR="00BC2CE5" w:rsidRDefault="00BC2CE5">
      <w:pPr>
        <w:spacing w:line="360" w:lineRule="auto"/>
        <w:rPr>
          <w:rFonts w:ascii="Arial" w:hAnsi="Arial" w:cs="Arial"/>
          <w:b/>
          <w:bCs/>
        </w:rPr>
      </w:pPr>
    </w:p>
    <w:p w14:paraId="584B7A46" w14:textId="77777777" w:rsidR="00BC2CE5" w:rsidRDefault="00BC2CE5">
      <w:pPr>
        <w:spacing w:line="360" w:lineRule="auto"/>
        <w:rPr>
          <w:rFonts w:ascii="Arial" w:hAnsi="Arial" w:cs="Arial"/>
          <w:b/>
          <w:bCs/>
        </w:rPr>
      </w:pPr>
    </w:p>
    <w:p w14:paraId="629EB029" w14:textId="77777777" w:rsidR="00BC2CE5" w:rsidRDefault="00BC2CE5">
      <w:pPr>
        <w:spacing w:line="360" w:lineRule="auto"/>
        <w:rPr>
          <w:rFonts w:ascii="Arial" w:hAnsi="Arial" w:cs="Arial"/>
          <w:b/>
          <w:bCs/>
        </w:rPr>
      </w:pPr>
    </w:p>
    <w:p w14:paraId="7CD901D6" w14:textId="77777777" w:rsidR="00BC2CE5" w:rsidRDefault="00BC2CE5">
      <w:pPr>
        <w:spacing w:line="360" w:lineRule="auto"/>
        <w:rPr>
          <w:rFonts w:ascii="Arial" w:hAnsi="Arial" w:cs="Arial"/>
          <w:b/>
          <w:bCs/>
        </w:rPr>
      </w:pPr>
    </w:p>
    <w:p w14:paraId="2C2872FE" w14:textId="77777777" w:rsidR="00BC2CE5" w:rsidRDefault="00BC2CE5">
      <w:pPr>
        <w:spacing w:line="360" w:lineRule="auto"/>
        <w:rPr>
          <w:rFonts w:ascii="Arial" w:hAnsi="Arial" w:cs="Arial"/>
          <w:b/>
          <w:bCs/>
        </w:rPr>
      </w:pPr>
    </w:p>
    <w:p w14:paraId="26D044AE" w14:textId="77777777" w:rsidR="00BC2CE5" w:rsidRDefault="00BC2CE5">
      <w:pPr>
        <w:spacing w:line="360" w:lineRule="auto"/>
        <w:rPr>
          <w:rFonts w:ascii="Arial" w:hAnsi="Arial" w:cs="Arial"/>
          <w:b/>
          <w:bCs/>
        </w:rPr>
      </w:pPr>
    </w:p>
    <w:p w14:paraId="1EE788DA" w14:textId="77777777" w:rsidR="00BC2CE5" w:rsidRDefault="00BC2CE5">
      <w:pPr>
        <w:spacing w:line="360" w:lineRule="auto"/>
        <w:rPr>
          <w:rFonts w:ascii="Arial" w:hAnsi="Arial" w:cs="Arial"/>
          <w:b/>
          <w:bCs/>
        </w:rPr>
      </w:pPr>
    </w:p>
    <w:p w14:paraId="3379CB2B" w14:textId="77777777" w:rsidR="00BC2CE5" w:rsidRDefault="00000000">
      <w:pPr>
        <w:pStyle w:val="Heading1"/>
        <w:spacing w:line="360" w:lineRule="auto"/>
        <w:rPr>
          <w:rFonts w:ascii="Arial" w:hAnsi="Arial" w:cs="Arial"/>
        </w:rPr>
      </w:pPr>
      <w:bookmarkStart w:id="47" w:name="_Toc143520765"/>
      <w:bookmarkStart w:id="48" w:name="_Toc143536579"/>
      <w:r>
        <w:rPr>
          <w:rFonts w:ascii="Arial" w:hAnsi="Arial" w:cs="Arial"/>
        </w:rPr>
        <w:t>References</w:t>
      </w:r>
      <w:bookmarkEnd w:id="47"/>
      <w:bookmarkEnd w:id="48"/>
      <w:r>
        <w:rPr>
          <w:rFonts w:ascii="Arial" w:hAnsi="Arial" w:cs="Arial"/>
        </w:rPr>
        <w:t xml:space="preserve"> </w:t>
      </w:r>
    </w:p>
    <w:p w14:paraId="6273FE65"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Adisa, T.A., Ogbonnaya, C. and Adekoya, O.D., 2023. Remote working and employee engagement: a qualitative study of British workers during the pandemic. </w:t>
      </w:r>
      <w:r>
        <w:rPr>
          <w:rFonts w:ascii="Arial" w:hAnsi="Arial" w:cs="Arial"/>
          <w:i/>
          <w:iCs/>
          <w:color w:val="222222"/>
          <w:shd w:val="clear" w:color="auto" w:fill="FFFFFF"/>
        </w:rPr>
        <w:t>Information Technology &amp; People</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(5), pp.1835-1850.</w:t>
      </w:r>
    </w:p>
    <w:p w14:paraId="16F3575D"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Ahmed, R., Rafique, A. and Philbin, S.P., 2021. Cross-functional integration between organizational structure and the new product development process. </w:t>
      </w:r>
      <w:r>
        <w:rPr>
          <w:rFonts w:ascii="Arial" w:hAnsi="Arial" w:cs="Arial"/>
          <w:i/>
          <w:iCs/>
          <w:color w:val="222222"/>
          <w:shd w:val="clear" w:color="auto" w:fill="FFFFFF"/>
        </w:rPr>
        <w:t>Organization Development Institute</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(4), pp.63-78.</w:t>
      </w:r>
    </w:p>
    <w:p w14:paraId="106B4921"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Alzoubi, H.M., Ghazal, T.M., Sahawneh, N. and Al-</w:t>
      </w:r>
      <w:proofErr w:type="spellStart"/>
      <w:r>
        <w:rPr>
          <w:rFonts w:ascii="Arial" w:hAnsi="Arial" w:cs="Arial"/>
          <w:color w:val="222222"/>
          <w:shd w:val="clear" w:color="auto" w:fill="FFFFFF"/>
        </w:rPr>
        <w:t>kassem</w:t>
      </w:r>
      <w:proofErr w:type="spellEnd"/>
      <w:r>
        <w:rPr>
          <w:rFonts w:ascii="Arial" w:hAnsi="Arial" w:cs="Arial"/>
          <w:color w:val="222222"/>
          <w:shd w:val="clear" w:color="auto" w:fill="FFFFFF"/>
        </w:rPr>
        <w:t>, A.H., 2022. Fuzzy assisted human resource management for supply chain management issues. </w:t>
      </w:r>
      <w:r>
        <w:rPr>
          <w:rFonts w:ascii="Arial" w:hAnsi="Arial" w:cs="Arial"/>
          <w:i/>
          <w:iCs/>
          <w:color w:val="222222"/>
          <w:shd w:val="clear" w:color="auto" w:fill="FFFFFF"/>
        </w:rPr>
        <w:t>Annals of Operations Research</w:t>
      </w:r>
      <w:r>
        <w:rPr>
          <w:rFonts w:ascii="Arial" w:hAnsi="Arial" w:cs="Arial"/>
          <w:color w:val="222222"/>
          <w:shd w:val="clear" w:color="auto" w:fill="FFFFFF"/>
        </w:rPr>
        <w:t>.</w:t>
      </w:r>
    </w:p>
    <w:p w14:paraId="7EE12F42"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Ando, M.S., Balakrishnan, M.R., Gruss, B., </w:t>
      </w:r>
      <w:proofErr w:type="spellStart"/>
      <w:r>
        <w:rPr>
          <w:rFonts w:ascii="Arial" w:hAnsi="Arial" w:cs="Arial"/>
          <w:color w:val="222222"/>
          <w:shd w:val="clear" w:color="auto" w:fill="FFFFFF"/>
        </w:rPr>
        <w:t>Hallaert</w:t>
      </w:r>
      <w:proofErr w:type="spellEnd"/>
      <w:r>
        <w:rPr>
          <w:rFonts w:ascii="Arial" w:hAnsi="Arial" w:cs="Arial"/>
          <w:color w:val="222222"/>
          <w:shd w:val="clear" w:color="auto" w:fill="FFFFFF"/>
        </w:rPr>
        <w:t xml:space="preserve">, M.J.J., </w:t>
      </w:r>
      <w:proofErr w:type="spellStart"/>
      <w:r>
        <w:rPr>
          <w:rFonts w:ascii="Arial" w:hAnsi="Arial" w:cs="Arial"/>
          <w:color w:val="222222"/>
          <w:shd w:val="clear" w:color="auto" w:fill="FFFFFF"/>
        </w:rPr>
        <w:t>Jirasavetakul</w:t>
      </w:r>
      <w:proofErr w:type="spellEnd"/>
      <w:r>
        <w:rPr>
          <w:rFonts w:ascii="Arial" w:hAnsi="Arial" w:cs="Arial"/>
          <w:color w:val="222222"/>
          <w:shd w:val="clear" w:color="auto" w:fill="FFFFFF"/>
        </w:rPr>
        <w:t xml:space="preserve">, L.B.F., </w:t>
      </w:r>
      <w:proofErr w:type="spellStart"/>
      <w:r>
        <w:rPr>
          <w:rFonts w:ascii="Arial" w:hAnsi="Arial" w:cs="Arial"/>
          <w:color w:val="222222"/>
          <w:shd w:val="clear" w:color="auto" w:fill="FFFFFF"/>
        </w:rPr>
        <w:t>Kirabaeva</w:t>
      </w:r>
      <w:proofErr w:type="spellEnd"/>
      <w:r>
        <w:rPr>
          <w:rFonts w:ascii="Arial" w:hAnsi="Arial" w:cs="Arial"/>
          <w:color w:val="222222"/>
          <w:shd w:val="clear" w:color="auto" w:fill="FFFFFF"/>
        </w:rPr>
        <w:t xml:space="preserve">, K., Klein, N., </w:t>
      </w:r>
      <w:proofErr w:type="spellStart"/>
      <w:r>
        <w:rPr>
          <w:rFonts w:ascii="Arial" w:hAnsi="Arial" w:cs="Arial"/>
          <w:color w:val="222222"/>
          <w:shd w:val="clear" w:color="auto" w:fill="FFFFFF"/>
        </w:rPr>
        <w:t>Lariau</w:t>
      </w:r>
      <w:proofErr w:type="spellEnd"/>
      <w:r>
        <w:rPr>
          <w:rFonts w:ascii="Arial" w:hAnsi="Arial" w:cs="Arial"/>
          <w:color w:val="222222"/>
          <w:shd w:val="clear" w:color="auto" w:fill="FFFFFF"/>
        </w:rPr>
        <w:t xml:space="preserve">, A., Liu, L.Q., </w:t>
      </w:r>
      <w:proofErr w:type="spellStart"/>
      <w:r>
        <w:rPr>
          <w:rFonts w:ascii="Arial" w:hAnsi="Arial" w:cs="Arial"/>
          <w:color w:val="222222"/>
          <w:shd w:val="clear" w:color="auto" w:fill="FFFFFF"/>
        </w:rPr>
        <w:t>Malacrino</w:t>
      </w:r>
      <w:proofErr w:type="spellEnd"/>
      <w:r>
        <w:rPr>
          <w:rFonts w:ascii="Arial" w:hAnsi="Arial" w:cs="Arial"/>
          <w:color w:val="222222"/>
          <w:shd w:val="clear" w:color="auto" w:fill="FFFFFF"/>
        </w:rPr>
        <w:t>, D. and Qu, M.H., 2022. </w:t>
      </w:r>
      <w:r>
        <w:rPr>
          <w:rFonts w:ascii="Arial" w:hAnsi="Arial" w:cs="Arial"/>
          <w:i/>
          <w:iCs/>
          <w:color w:val="222222"/>
          <w:shd w:val="clear" w:color="auto" w:fill="FFFFFF"/>
        </w:rPr>
        <w:t>European labor markets and the COVID-19 pandemic: Fallout and the path ahead</w:t>
      </w:r>
      <w:r>
        <w:rPr>
          <w:rFonts w:ascii="Arial" w:hAnsi="Arial" w:cs="Arial"/>
          <w:color w:val="222222"/>
          <w:shd w:val="clear" w:color="auto" w:fill="FFFFFF"/>
        </w:rPr>
        <w:t>. International Monetary Fund.</w:t>
      </w:r>
    </w:p>
    <w:p w14:paraId="1FDEE0A1"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Andrejevic, M., 2019. Automating surveillance. </w:t>
      </w:r>
      <w:r>
        <w:rPr>
          <w:rFonts w:ascii="Arial" w:hAnsi="Arial" w:cs="Arial"/>
          <w:i/>
          <w:iCs/>
          <w:color w:val="222222"/>
          <w:shd w:val="clear" w:color="auto" w:fill="FFFFFF"/>
        </w:rPr>
        <w:t>Surveillance &amp; society</w:t>
      </w:r>
      <w:r>
        <w:rPr>
          <w:rFonts w:ascii="Arial" w:hAnsi="Arial" w:cs="Arial"/>
          <w:color w:val="222222"/>
          <w:shd w:val="clear" w:color="auto" w:fill="FFFFFF"/>
        </w:rPr>
        <w:t>, </w:t>
      </w:r>
      <w:r>
        <w:rPr>
          <w:rFonts w:ascii="Arial" w:hAnsi="Arial" w:cs="Arial"/>
          <w:i/>
          <w:iCs/>
          <w:color w:val="222222"/>
          <w:shd w:val="clear" w:color="auto" w:fill="FFFFFF"/>
        </w:rPr>
        <w:t>17</w:t>
      </w:r>
      <w:r>
        <w:rPr>
          <w:rFonts w:ascii="Arial" w:hAnsi="Arial" w:cs="Arial"/>
          <w:color w:val="222222"/>
          <w:shd w:val="clear" w:color="auto" w:fill="FFFFFF"/>
        </w:rPr>
        <w:t>(1/2), pp.7-13.</w:t>
      </w:r>
    </w:p>
    <w:p w14:paraId="445C3876" w14:textId="77777777" w:rsidR="00BC2CE5" w:rsidRDefault="00000000">
      <w:pPr>
        <w:spacing w:after="0" w:line="360" w:lineRule="auto"/>
        <w:ind w:left="720" w:hanging="720"/>
        <w:rPr>
          <w:rFonts w:ascii="Arial" w:hAnsi="Arial" w:cs="Arial"/>
          <w:color w:val="222222"/>
          <w:shd w:val="clear" w:color="auto" w:fill="FFFFFF"/>
        </w:rPr>
      </w:pPr>
      <w:proofErr w:type="spellStart"/>
      <w:r>
        <w:rPr>
          <w:rFonts w:ascii="Arial" w:hAnsi="Arial" w:cs="Arial"/>
          <w:color w:val="222222"/>
          <w:shd w:val="clear" w:color="auto" w:fill="FFFFFF"/>
        </w:rPr>
        <w:t>Baryshnikova</w:t>
      </w:r>
      <w:proofErr w:type="spellEnd"/>
      <w:r>
        <w:rPr>
          <w:rFonts w:ascii="Arial" w:hAnsi="Arial" w:cs="Arial"/>
          <w:color w:val="222222"/>
          <w:shd w:val="clear" w:color="auto" w:fill="FFFFFF"/>
        </w:rPr>
        <w:t xml:space="preserve">, N., </w:t>
      </w:r>
      <w:proofErr w:type="spellStart"/>
      <w:r>
        <w:rPr>
          <w:rFonts w:ascii="Arial" w:hAnsi="Arial" w:cs="Arial"/>
          <w:color w:val="222222"/>
          <w:shd w:val="clear" w:color="auto" w:fill="FFFFFF"/>
        </w:rPr>
        <w:t>Kiriliuk</w:t>
      </w:r>
      <w:proofErr w:type="spellEnd"/>
      <w:r>
        <w:rPr>
          <w:rFonts w:ascii="Arial" w:hAnsi="Arial" w:cs="Arial"/>
          <w:color w:val="222222"/>
          <w:shd w:val="clear" w:color="auto" w:fill="FFFFFF"/>
        </w:rPr>
        <w:t xml:space="preserve">, O. and </w:t>
      </w:r>
      <w:proofErr w:type="spellStart"/>
      <w:r>
        <w:rPr>
          <w:rFonts w:ascii="Arial" w:hAnsi="Arial" w:cs="Arial"/>
          <w:color w:val="222222"/>
          <w:shd w:val="clear" w:color="auto" w:fill="FFFFFF"/>
        </w:rPr>
        <w:t>Klimecka</w:t>
      </w:r>
      <w:proofErr w:type="spellEnd"/>
      <w:r>
        <w:rPr>
          <w:rFonts w:ascii="Arial" w:hAnsi="Arial" w:cs="Arial"/>
          <w:color w:val="222222"/>
          <w:shd w:val="clear" w:color="auto" w:fill="FFFFFF"/>
        </w:rPr>
        <w:t>-Tatar, D., 2021. Enterprises’ strategies transformation in the real sector of the economy in the context of the COVID-19 pandemic. </w:t>
      </w:r>
      <w:r>
        <w:rPr>
          <w:rFonts w:ascii="Arial" w:hAnsi="Arial" w:cs="Arial"/>
          <w:i/>
          <w:iCs/>
          <w:color w:val="222222"/>
          <w:shd w:val="clear" w:color="auto" w:fill="FFFFFF"/>
        </w:rPr>
        <w:t>Production Engineering Archives</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w:t>
      </w:r>
    </w:p>
    <w:p w14:paraId="20EED4A5" w14:textId="77777777" w:rsidR="00BC2CE5" w:rsidRDefault="00000000">
      <w:pPr>
        <w:spacing w:after="0" w:line="360" w:lineRule="auto"/>
        <w:ind w:left="720" w:hanging="720"/>
        <w:rPr>
          <w:rFonts w:ascii="Arial" w:hAnsi="Arial" w:cs="Arial"/>
        </w:rPr>
      </w:pPr>
      <w:r>
        <w:rPr>
          <w:rFonts w:ascii="Arial" w:hAnsi="Arial" w:cs="Arial"/>
        </w:rPr>
        <w:t xml:space="preserve">BBC. 2020. UK unemployment rate continues to surge. Available from: </w:t>
      </w:r>
      <w:hyperlink r:id="rId15" w:history="1">
        <w:r>
          <w:rPr>
            <w:rStyle w:val="Hyperlink"/>
            <w:rFonts w:ascii="Arial" w:hAnsi="Arial" w:cs="Arial"/>
          </w:rPr>
          <w:t>https://www.bbc.com/news/business-54884592</w:t>
        </w:r>
      </w:hyperlink>
    </w:p>
    <w:p w14:paraId="05608640" w14:textId="77777777" w:rsidR="00BC2CE5" w:rsidRDefault="00000000">
      <w:pPr>
        <w:spacing w:after="0" w:line="360" w:lineRule="auto"/>
        <w:ind w:left="720" w:hanging="720"/>
        <w:rPr>
          <w:rFonts w:ascii="Arial" w:hAnsi="Arial" w:cs="Arial"/>
        </w:rPr>
      </w:pPr>
      <w:r>
        <w:rPr>
          <w:rFonts w:ascii="Arial" w:hAnsi="Arial" w:cs="Arial"/>
        </w:rPr>
        <w:lastRenderedPageBreak/>
        <w:t xml:space="preserve">BBC. 2023. Automation could replace 1.5 million jobs. Available from: </w:t>
      </w:r>
      <w:hyperlink r:id="rId16" w:history="1">
        <w:r>
          <w:rPr>
            <w:rStyle w:val="Hyperlink"/>
            <w:rFonts w:ascii="Arial" w:hAnsi="Arial" w:cs="Arial"/>
          </w:rPr>
          <w:t>https://www.bbc.com/news/business-47691078</w:t>
        </w:r>
      </w:hyperlink>
    </w:p>
    <w:p w14:paraId="630B0397"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Bell, D.N. and Blanchflower, D.G., 2020. US and UK </w:t>
      </w:r>
      <w:proofErr w:type="spellStart"/>
      <w:r>
        <w:rPr>
          <w:rFonts w:ascii="Arial" w:hAnsi="Arial" w:cs="Arial"/>
          <w:color w:val="222222"/>
          <w:shd w:val="clear" w:color="auto" w:fill="FFFFFF"/>
        </w:rPr>
        <w:t>labour</w:t>
      </w:r>
      <w:proofErr w:type="spellEnd"/>
      <w:r>
        <w:rPr>
          <w:rFonts w:ascii="Arial" w:hAnsi="Arial" w:cs="Arial"/>
          <w:color w:val="222222"/>
          <w:shd w:val="clear" w:color="auto" w:fill="FFFFFF"/>
        </w:rPr>
        <w:t xml:space="preserve"> markets before and during the Covid-19 crash. </w:t>
      </w:r>
      <w:r>
        <w:rPr>
          <w:rFonts w:ascii="Arial" w:hAnsi="Arial" w:cs="Arial"/>
          <w:i/>
          <w:iCs/>
          <w:color w:val="222222"/>
          <w:shd w:val="clear" w:color="auto" w:fill="FFFFFF"/>
        </w:rPr>
        <w:t>National Institute Economic Review</w:t>
      </w:r>
      <w:r>
        <w:rPr>
          <w:rFonts w:ascii="Arial" w:hAnsi="Arial" w:cs="Arial"/>
          <w:color w:val="222222"/>
          <w:shd w:val="clear" w:color="auto" w:fill="FFFFFF"/>
        </w:rPr>
        <w:t>, </w:t>
      </w:r>
      <w:r>
        <w:rPr>
          <w:rFonts w:ascii="Arial" w:hAnsi="Arial" w:cs="Arial"/>
          <w:i/>
          <w:iCs/>
          <w:color w:val="222222"/>
          <w:shd w:val="clear" w:color="auto" w:fill="FFFFFF"/>
        </w:rPr>
        <w:t>252</w:t>
      </w:r>
      <w:r>
        <w:rPr>
          <w:rFonts w:ascii="Arial" w:hAnsi="Arial" w:cs="Arial"/>
          <w:color w:val="222222"/>
          <w:shd w:val="clear" w:color="auto" w:fill="FFFFFF"/>
        </w:rPr>
        <w:t xml:space="preserve">, </w:t>
      </w:r>
      <w:proofErr w:type="gramStart"/>
      <w:r>
        <w:rPr>
          <w:rFonts w:ascii="Arial" w:hAnsi="Arial" w:cs="Arial"/>
          <w:color w:val="222222"/>
          <w:shd w:val="clear" w:color="auto" w:fill="FFFFFF"/>
        </w:rPr>
        <w:t>pp.R</w:t>
      </w:r>
      <w:proofErr w:type="gramEnd"/>
      <w:r>
        <w:rPr>
          <w:rFonts w:ascii="Arial" w:hAnsi="Arial" w:cs="Arial"/>
          <w:color w:val="222222"/>
          <w:shd w:val="clear" w:color="auto" w:fill="FFFFFF"/>
        </w:rPr>
        <w:t>52-R69.</w:t>
      </w:r>
    </w:p>
    <w:p w14:paraId="3895967E"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Blum, B. and </w:t>
      </w:r>
      <w:proofErr w:type="spellStart"/>
      <w:r>
        <w:rPr>
          <w:rFonts w:ascii="Arial" w:hAnsi="Arial" w:cs="Arial"/>
          <w:color w:val="222222"/>
          <w:shd w:val="clear" w:color="auto" w:fill="FFFFFF"/>
        </w:rPr>
        <w:t>Neumärker</w:t>
      </w:r>
      <w:proofErr w:type="spellEnd"/>
      <w:r>
        <w:rPr>
          <w:rFonts w:ascii="Arial" w:hAnsi="Arial" w:cs="Arial"/>
          <w:color w:val="222222"/>
          <w:shd w:val="clear" w:color="auto" w:fill="FFFFFF"/>
        </w:rPr>
        <w:t>, B.K., 2021. Lessons from globalization and the COVID-19 pandemic for economic, environmental and social policy. </w:t>
      </w:r>
      <w:r>
        <w:rPr>
          <w:rFonts w:ascii="Arial" w:hAnsi="Arial" w:cs="Arial"/>
          <w:i/>
          <w:iCs/>
          <w:color w:val="222222"/>
          <w:shd w:val="clear" w:color="auto" w:fill="FFFFFF"/>
        </w:rPr>
        <w:t>World</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(2), pp.308-333.</w:t>
      </w:r>
    </w:p>
    <w:p w14:paraId="5DBB230F" w14:textId="77777777" w:rsidR="00BC2CE5" w:rsidRDefault="00000000">
      <w:pPr>
        <w:spacing w:after="0" w:line="360" w:lineRule="auto"/>
        <w:ind w:left="720" w:hanging="720"/>
        <w:rPr>
          <w:rFonts w:ascii="Arial" w:hAnsi="Arial" w:cs="Arial"/>
          <w:color w:val="222222"/>
          <w:shd w:val="clear" w:color="auto" w:fill="FFFFFF"/>
        </w:rPr>
      </w:pPr>
      <w:proofErr w:type="spellStart"/>
      <w:r>
        <w:rPr>
          <w:rFonts w:ascii="Arial" w:hAnsi="Arial" w:cs="Arial"/>
          <w:color w:val="222222"/>
          <w:shd w:val="clear" w:color="auto" w:fill="FFFFFF"/>
        </w:rPr>
        <w:t>Borgonovi</w:t>
      </w:r>
      <w:proofErr w:type="spellEnd"/>
      <w:r>
        <w:rPr>
          <w:rFonts w:ascii="Arial" w:hAnsi="Arial" w:cs="Arial"/>
          <w:color w:val="222222"/>
          <w:shd w:val="clear" w:color="auto" w:fill="FFFFFF"/>
        </w:rPr>
        <w:t xml:space="preserve">, E., </w:t>
      </w:r>
      <w:proofErr w:type="spellStart"/>
      <w:r>
        <w:rPr>
          <w:rFonts w:ascii="Arial" w:hAnsi="Arial" w:cs="Arial"/>
          <w:color w:val="222222"/>
          <w:shd w:val="clear" w:color="auto" w:fill="FFFFFF"/>
        </w:rPr>
        <w:t>Anessi</w:t>
      </w:r>
      <w:proofErr w:type="spellEnd"/>
      <w:r>
        <w:rPr>
          <w:rFonts w:ascii="Arial" w:hAnsi="Arial" w:cs="Arial"/>
          <w:color w:val="222222"/>
          <w:shd w:val="clear" w:color="auto" w:fill="FFFFFF"/>
        </w:rPr>
        <w:t>-Pessina, E. and Bianchi, C. eds., 2018. </w:t>
      </w:r>
      <w:r>
        <w:rPr>
          <w:rFonts w:ascii="Arial" w:hAnsi="Arial" w:cs="Arial"/>
          <w:i/>
          <w:iCs/>
          <w:color w:val="222222"/>
          <w:shd w:val="clear" w:color="auto" w:fill="FFFFFF"/>
        </w:rPr>
        <w:t>Outcome-based performance management in the public sector</w:t>
      </w:r>
      <w:r>
        <w:rPr>
          <w:rFonts w:ascii="Arial" w:hAnsi="Arial" w:cs="Arial"/>
          <w:color w:val="222222"/>
          <w:shd w:val="clear" w:color="auto" w:fill="FFFFFF"/>
        </w:rPr>
        <w:t>. Cham: Springer International Publishing.</w:t>
      </w:r>
    </w:p>
    <w:p w14:paraId="6F3CD4A2" w14:textId="77777777" w:rsidR="00BC2CE5" w:rsidRDefault="00000000">
      <w:pPr>
        <w:spacing w:after="0" w:line="360" w:lineRule="auto"/>
        <w:ind w:left="720" w:hanging="720"/>
        <w:rPr>
          <w:rFonts w:ascii="Arial" w:hAnsi="Arial" w:cs="Arial"/>
          <w:color w:val="222222"/>
          <w:shd w:val="clear" w:color="auto" w:fill="FFFFFF"/>
        </w:rPr>
      </w:pPr>
      <w:proofErr w:type="spellStart"/>
      <w:r>
        <w:rPr>
          <w:rFonts w:ascii="Arial" w:hAnsi="Arial" w:cs="Arial"/>
          <w:color w:val="222222"/>
          <w:shd w:val="clear" w:color="auto" w:fill="FFFFFF"/>
        </w:rPr>
        <w:t>Borgonovi</w:t>
      </w:r>
      <w:proofErr w:type="spellEnd"/>
      <w:r>
        <w:rPr>
          <w:rFonts w:ascii="Arial" w:hAnsi="Arial" w:cs="Arial"/>
          <w:color w:val="222222"/>
          <w:shd w:val="clear" w:color="auto" w:fill="FFFFFF"/>
        </w:rPr>
        <w:t>, E., Bianchi, C. and Rivenbark, W.C., 2019. Pursuing community resilience through outcome-based public policies: Challenges and opportunities for the design of performance management systems. </w:t>
      </w:r>
      <w:r>
        <w:rPr>
          <w:rFonts w:ascii="Arial" w:hAnsi="Arial" w:cs="Arial"/>
          <w:i/>
          <w:iCs/>
          <w:color w:val="222222"/>
          <w:shd w:val="clear" w:color="auto" w:fill="FFFFFF"/>
        </w:rPr>
        <w:t>Public Organization Review</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 pp.153-158.</w:t>
      </w:r>
    </w:p>
    <w:p w14:paraId="0BB6310F"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Breier, M., </w:t>
      </w:r>
      <w:proofErr w:type="spellStart"/>
      <w:r>
        <w:rPr>
          <w:rFonts w:ascii="Arial" w:hAnsi="Arial" w:cs="Arial"/>
          <w:color w:val="222222"/>
          <w:shd w:val="clear" w:color="auto" w:fill="FFFFFF"/>
        </w:rPr>
        <w:t>Kallmuenzer</w:t>
      </w:r>
      <w:proofErr w:type="spellEnd"/>
      <w:r>
        <w:rPr>
          <w:rFonts w:ascii="Arial" w:hAnsi="Arial" w:cs="Arial"/>
          <w:color w:val="222222"/>
          <w:shd w:val="clear" w:color="auto" w:fill="FFFFFF"/>
        </w:rPr>
        <w:t>, A., Clauss, T., Gast, J., Kraus, S. and Tiberius, V., 2021. The role of business model innovation in the hospitality industry during the COVID-19 crisis. </w:t>
      </w:r>
      <w:r>
        <w:rPr>
          <w:rFonts w:ascii="Arial" w:hAnsi="Arial" w:cs="Arial"/>
          <w:i/>
          <w:iCs/>
          <w:color w:val="222222"/>
          <w:shd w:val="clear" w:color="auto" w:fill="FFFFFF"/>
        </w:rPr>
        <w:t>International Journal of Hospitality Management</w:t>
      </w:r>
      <w:r>
        <w:rPr>
          <w:rFonts w:ascii="Arial" w:hAnsi="Arial" w:cs="Arial"/>
          <w:color w:val="222222"/>
          <w:shd w:val="clear" w:color="auto" w:fill="FFFFFF"/>
        </w:rPr>
        <w:t>, </w:t>
      </w:r>
      <w:r>
        <w:rPr>
          <w:rFonts w:ascii="Arial" w:hAnsi="Arial" w:cs="Arial"/>
          <w:i/>
          <w:iCs/>
          <w:color w:val="222222"/>
          <w:shd w:val="clear" w:color="auto" w:fill="FFFFFF"/>
        </w:rPr>
        <w:t>92</w:t>
      </w:r>
      <w:r>
        <w:rPr>
          <w:rFonts w:ascii="Arial" w:hAnsi="Arial" w:cs="Arial"/>
          <w:color w:val="222222"/>
          <w:shd w:val="clear" w:color="auto" w:fill="FFFFFF"/>
        </w:rPr>
        <w:t>, p.102723.</w:t>
      </w:r>
    </w:p>
    <w:p w14:paraId="6784B6A2"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Brown, R., </w:t>
      </w:r>
      <w:proofErr w:type="spellStart"/>
      <w:r>
        <w:rPr>
          <w:rFonts w:ascii="Arial" w:hAnsi="Arial" w:cs="Arial"/>
          <w:color w:val="222222"/>
          <w:shd w:val="clear" w:color="auto" w:fill="FFFFFF"/>
        </w:rPr>
        <w:t>Kalafsky</w:t>
      </w:r>
      <w:proofErr w:type="spellEnd"/>
      <w:r>
        <w:rPr>
          <w:rFonts w:ascii="Arial" w:hAnsi="Arial" w:cs="Arial"/>
          <w:color w:val="222222"/>
          <w:shd w:val="clear" w:color="auto" w:fill="FFFFFF"/>
        </w:rPr>
        <w:t>, R.V., Mawson, S. and Davies, L., 2020. Shocks, uncertainty and regional resilience: The case of Brexit and Scottish SMEs. </w:t>
      </w:r>
      <w:r>
        <w:rPr>
          <w:rFonts w:ascii="Arial" w:hAnsi="Arial" w:cs="Arial"/>
          <w:i/>
          <w:iCs/>
          <w:color w:val="222222"/>
          <w:shd w:val="clear" w:color="auto" w:fill="FFFFFF"/>
        </w:rPr>
        <w:t>Local Economy</w:t>
      </w:r>
      <w:r>
        <w:rPr>
          <w:rFonts w:ascii="Arial" w:hAnsi="Arial" w:cs="Arial"/>
          <w:color w:val="222222"/>
          <w:shd w:val="clear" w:color="auto" w:fill="FFFFFF"/>
        </w:rPr>
        <w:t>, </w:t>
      </w:r>
      <w:r>
        <w:rPr>
          <w:rFonts w:ascii="Arial" w:hAnsi="Arial" w:cs="Arial"/>
          <w:i/>
          <w:iCs/>
          <w:color w:val="222222"/>
          <w:shd w:val="clear" w:color="auto" w:fill="FFFFFF"/>
        </w:rPr>
        <w:t>35</w:t>
      </w:r>
      <w:r>
        <w:rPr>
          <w:rFonts w:ascii="Arial" w:hAnsi="Arial" w:cs="Arial"/>
          <w:color w:val="222222"/>
          <w:shd w:val="clear" w:color="auto" w:fill="FFFFFF"/>
        </w:rPr>
        <w:t>(7), pp.655-675.</w:t>
      </w:r>
    </w:p>
    <w:p w14:paraId="695F48CE"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Buchholz, B.A., DeHart, J. and Moorman, G., 2020. Digital citizenship during a global pandemic: Moving beyond digital literacy. </w:t>
      </w:r>
      <w:r>
        <w:rPr>
          <w:rFonts w:ascii="Arial" w:hAnsi="Arial" w:cs="Arial"/>
          <w:i/>
          <w:iCs/>
          <w:color w:val="222222"/>
          <w:shd w:val="clear" w:color="auto" w:fill="FFFFFF"/>
        </w:rPr>
        <w:t>Journal of Adolescent &amp; Adult Literacy</w:t>
      </w:r>
      <w:r>
        <w:rPr>
          <w:rFonts w:ascii="Arial" w:hAnsi="Arial" w:cs="Arial"/>
          <w:color w:val="222222"/>
          <w:shd w:val="clear" w:color="auto" w:fill="FFFFFF"/>
        </w:rPr>
        <w:t>, </w:t>
      </w:r>
      <w:r>
        <w:rPr>
          <w:rFonts w:ascii="Arial" w:hAnsi="Arial" w:cs="Arial"/>
          <w:i/>
          <w:iCs/>
          <w:color w:val="222222"/>
          <w:shd w:val="clear" w:color="auto" w:fill="FFFFFF"/>
        </w:rPr>
        <w:t>64</w:t>
      </w:r>
      <w:r>
        <w:rPr>
          <w:rFonts w:ascii="Arial" w:hAnsi="Arial" w:cs="Arial"/>
          <w:color w:val="222222"/>
          <w:shd w:val="clear" w:color="auto" w:fill="FFFFFF"/>
        </w:rPr>
        <w:t>(1), pp.11-17.</w:t>
      </w:r>
    </w:p>
    <w:p w14:paraId="0778EC84"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Cappelli, P., 2021. </w:t>
      </w:r>
      <w:r>
        <w:rPr>
          <w:rFonts w:ascii="Arial" w:hAnsi="Arial" w:cs="Arial"/>
          <w:i/>
          <w:iCs/>
          <w:color w:val="222222"/>
          <w:shd w:val="clear" w:color="auto" w:fill="FFFFFF"/>
        </w:rPr>
        <w:t>The future of the office: Work from home, remote work, and the hard choices we all face</w:t>
      </w:r>
      <w:r>
        <w:rPr>
          <w:rFonts w:ascii="Arial" w:hAnsi="Arial" w:cs="Arial"/>
          <w:color w:val="222222"/>
          <w:shd w:val="clear" w:color="auto" w:fill="FFFFFF"/>
        </w:rPr>
        <w:t>. Wharton School Press.</w:t>
      </w:r>
    </w:p>
    <w:p w14:paraId="45164A16"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Castro-Conde, C.A., 2021. The common response to COVID-19: The EU on the road toward de-</w:t>
      </w:r>
      <w:proofErr w:type="spellStart"/>
      <w:proofErr w:type="gramStart"/>
      <w:r>
        <w:rPr>
          <w:rFonts w:ascii="Arial" w:hAnsi="Arial" w:cs="Arial"/>
          <w:color w:val="222222"/>
          <w:shd w:val="clear" w:color="auto" w:fill="FFFFFF"/>
        </w:rPr>
        <w:t>crisisification</w:t>
      </w:r>
      <w:proofErr w:type="spellEnd"/>
      <w:r>
        <w:rPr>
          <w:rFonts w:ascii="Arial" w:hAnsi="Arial" w:cs="Arial"/>
          <w:color w:val="222222"/>
          <w:shd w:val="clear" w:color="auto" w:fill="FFFFFF"/>
        </w:rPr>
        <w:t>?.</w:t>
      </w:r>
      <w:proofErr w:type="gramEnd"/>
      <w:r>
        <w:rPr>
          <w:rFonts w:ascii="Arial" w:hAnsi="Arial" w:cs="Arial"/>
          <w:color w:val="222222"/>
          <w:shd w:val="clear" w:color="auto" w:fill="FFFFFF"/>
        </w:rPr>
        <w:t xml:space="preserve"> In </w:t>
      </w:r>
      <w:r>
        <w:rPr>
          <w:rFonts w:ascii="Arial" w:hAnsi="Arial" w:cs="Arial"/>
          <w:i/>
          <w:iCs/>
          <w:color w:val="222222"/>
          <w:shd w:val="clear" w:color="auto" w:fill="FFFFFF"/>
        </w:rPr>
        <w:t>Federalism and the Response to COVID-19</w:t>
      </w:r>
      <w:r>
        <w:rPr>
          <w:rFonts w:ascii="Arial" w:hAnsi="Arial" w:cs="Arial"/>
          <w:color w:val="222222"/>
          <w:shd w:val="clear" w:color="auto" w:fill="FFFFFF"/>
        </w:rPr>
        <w:t> (pp. 250-261). Routledge India.</w:t>
      </w:r>
    </w:p>
    <w:p w14:paraId="0325086F"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Chapungu, L., Nhamo, G., </w:t>
      </w:r>
      <w:proofErr w:type="spellStart"/>
      <w:r>
        <w:rPr>
          <w:rFonts w:ascii="Arial" w:hAnsi="Arial" w:cs="Arial"/>
          <w:color w:val="222222"/>
          <w:shd w:val="clear" w:color="auto" w:fill="FFFFFF"/>
        </w:rPr>
        <w:t>Chikodzi</w:t>
      </w:r>
      <w:proofErr w:type="spellEnd"/>
      <w:r>
        <w:rPr>
          <w:rFonts w:ascii="Arial" w:hAnsi="Arial" w:cs="Arial"/>
          <w:color w:val="222222"/>
          <w:shd w:val="clear" w:color="auto" w:fill="FFFFFF"/>
        </w:rPr>
        <w:t xml:space="preserve">, D. and Maoela, M.A., 2022. BRICS and the Race to Net-Zero Emissions by 2050: Is COVID-19 a Barrier or an </w:t>
      </w:r>
      <w:proofErr w:type="gramStart"/>
      <w:r>
        <w:rPr>
          <w:rFonts w:ascii="Arial" w:hAnsi="Arial" w:cs="Arial"/>
          <w:color w:val="222222"/>
          <w:shd w:val="clear" w:color="auto" w:fill="FFFFFF"/>
        </w:rPr>
        <w:t>Opportunity?.</w:t>
      </w:r>
      <w:proofErr w:type="gramEnd"/>
      <w:r>
        <w:rPr>
          <w:rFonts w:ascii="Arial" w:hAnsi="Arial" w:cs="Arial"/>
          <w:color w:val="222222"/>
          <w:shd w:val="clear" w:color="auto" w:fill="FFFFFF"/>
        </w:rPr>
        <w:t> </w:t>
      </w:r>
      <w:r>
        <w:rPr>
          <w:rFonts w:ascii="Arial" w:hAnsi="Arial" w:cs="Arial"/>
          <w:i/>
          <w:iCs/>
          <w:color w:val="222222"/>
          <w:shd w:val="clear" w:color="auto" w:fill="FFFFFF"/>
        </w:rPr>
        <w:t>Journal of Open Innovation: Technology, Market, and Complexity</w:t>
      </w:r>
      <w:r>
        <w:rPr>
          <w:rFonts w:ascii="Arial" w:hAnsi="Arial" w:cs="Arial"/>
          <w:color w:val="222222"/>
          <w:shd w:val="clear" w:color="auto" w:fill="FFFFFF"/>
        </w:rPr>
        <w:t>, </w:t>
      </w:r>
      <w:r>
        <w:rPr>
          <w:rFonts w:ascii="Arial" w:hAnsi="Arial" w:cs="Arial"/>
          <w:i/>
          <w:iCs/>
          <w:color w:val="222222"/>
          <w:shd w:val="clear" w:color="auto" w:fill="FFFFFF"/>
        </w:rPr>
        <w:t>8</w:t>
      </w:r>
      <w:r>
        <w:rPr>
          <w:rFonts w:ascii="Arial" w:hAnsi="Arial" w:cs="Arial"/>
          <w:color w:val="222222"/>
          <w:shd w:val="clear" w:color="auto" w:fill="FFFFFF"/>
        </w:rPr>
        <w:t>(4), p.172.</w:t>
      </w:r>
    </w:p>
    <w:p w14:paraId="3EC14704"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lastRenderedPageBreak/>
        <w:t>Cheese, P., 2023. CIPD. In </w:t>
      </w:r>
      <w:r>
        <w:rPr>
          <w:rFonts w:ascii="Arial" w:hAnsi="Arial" w:cs="Arial"/>
          <w:i/>
          <w:iCs/>
          <w:color w:val="222222"/>
          <w:shd w:val="clear" w:color="auto" w:fill="FFFFFF"/>
        </w:rPr>
        <w:t>Encyclopedia of Human Resource Management</w:t>
      </w:r>
      <w:r>
        <w:rPr>
          <w:rFonts w:ascii="Arial" w:hAnsi="Arial" w:cs="Arial"/>
          <w:color w:val="222222"/>
          <w:shd w:val="clear" w:color="auto" w:fill="FFFFFF"/>
        </w:rPr>
        <w:t> (pp. 44-45). Edward Elgar Publishing.</w:t>
      </w:r>
    </w:p>
    <w:p w14:paraId="17CE433E"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Chen, Y. and Biswas, M.I., 2021. Turning crisis into opportunities: how a firm can enrich its business operations using artificial intelligence and big data during COVID-19.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(22), p.12656.</w:t>
      </w:r>
    </w:p>
    <w:p w14:paraId="5EF66362" w14:textId="77777777" w:rsidR="00BC2CE5" w:rsidRDefault="00000000">
      <w:pPr>
        <w:spacing w:after="0" w:line="360" w:lineRule="auto"/>
        <w:ind w:left="720" w:hanging="720"/>
        <w:rPr>
          <w:rFonts w:ascii="Arial" w:hAnsi="Arial" w:cs="Arial"/>
        </w:rPr>
      </w:pPr>
      <w:r>
        <w:rPr>
          <w:rFonts w:ascii="Arial" w:hAnsi="Arial" w:cs="Arial"/>
        </w:rPr>
        <w:t xml:space="preserve">CIPD. 2022. To gig or not to gig? Stories from the modern economy. Available from: </w:t>
      </w:r>
      <w:hyperlink r:id="rId17" w:history="1">
        <w:r>
          <w:rPr>
            <w:rStyle w:val="Hyperlink"/>
            <w:rFonts w:ascii="Arial" w:hAnsi="Arial" w:cs="Arial"/>
          </w:rPr>
          <w:t>https://www.cipd.org/uk/knowledge/reports/gig-economy-report/</w:t>
        </w:r>
      </w:hyperlink>
    </w:p>
    <w:p w14:paraId="2D4F99D8"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Costa Dias, M., Joyce, R., Postel</w:t>
      </w:r>
      <w:r>
        <w:rPr>
          <w:rFonts w:ascii="Cambria Math" w:hAnsi="Cambria Math" w:cs="Cambria Math"/>
          <w:color w:val="222222"/>
          <w:shd w:val="clear" w:color="auto" w:fill="FFFFFF"/>
        </w:rPr>
        <w:t>‐</w:t>
      </w:r>
      <w:r>
        <w:rPr>
          <w:rFonts w:ascii="Arial" w:hAnsi="Arial" w:cs="Arial"/>
          <w:color w:val="222222"/>
          <w:shd w:val="clear" w:color="auto" w:fill="FFFFFF"/>
        </w:rPr>
        <w:t xml:space="preserve">Vinay, F. and Xu, X., 2020. The challenges for </w:t>
      </w:r>
      <w:proofErr w:type="spellStart"/>
      <w:r>
        <w:rPr>
          <w:rFonts w:ascii="Arial" w:hAnsi="Arial" w:cs="Arial"/>
          <w:color w:val="222222"/>
          <w:shd w:val="clear" w:color="auto" w:fill="FFFFFF"/>
        </w:rPr>
        <w:t>labour</w:t>
      </w:r>
      <w:proofErr w:type="spellEnd"/>
      <w:r>
        <w:rPr>
          <w:rFonts w:ascii="Arial" w:hAnsi="Arial" w:cs="Arial"/>
          <w:color w:val="222222"/>
          <w:shd w:val="clear" w:color="auto" w:fill="FFFFFF"/>
        </w:rPr>
        <w:t xml:space="preserve"> market policy during the Covid</w:t>
      </w:r>
      <w:r>
        <w:rPr>
          <w:rFonts w:ascii="Cambria Math" w:hAnsi="Cambria Math" w:cs="Cambria Math"/>
          <w:color w:val="222222"/>
          <w:shd w:val="clear" w:color="auto" w:fill="FFFFFF"/>
        </w:rPr>
        <w:t>‐</w:t>
      </w:r>
      <w:r>
        <w:rPr>
          <w:rFonts w:ascii="Arial" w:hAnsi="Arial" w:cs="Arial"/>
          <w:color w:val="222222"/>
          <w:shd w:val="clear" w:color="auto" w:fill="FFFFFF"/>
        </w:rPr>
        <w:t>19 pandemic. </w:t>
      </w:r>
      <w:r>
        <w:rPr>
          <w:rFonts w:ascii="Arial" w:hAnsi="Arial" w:cs="Arial"/>
          <w:i/>
          <w:iCs/>
          <w:color w:val="222222"/>
          <w:shd w:val="clear" w:color="auto" w:fill="FFFFFF"/>
        </w:rPr>
        <w:t>Fiscal Studies</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(2), pp.371-382.</w:t>
      </w:r>
    </w:p>
    <w:p w14:paraId="61CDB4E1" w14:textId="77777777" w:rsidR="00BC2CE5" w:rsidRDefault="00000000">
      <w:pPr>
        <w:spacing w:after="0" w:line="360" w:lineRule="auto"/>
        <w:ind w:left="720" w:hanging="720"/>
        <w:rPr>
          <w:rFonts w:ascii="Arial" w:hAnsi="Arial" w:cs="Arial"/>
          <w:color w:val="222222"/>
          <w:shd w:val="clear" w:color="auto" w:fill="FFFFFF"/>
        </w:rPr>
      </w:pPr>
      <w:proofErr w:type="spellStart"/>
      <w:r>
        <w:rPr>
          <w:rFonts w:ascii="Arial" w:hAnsi="Arial" w:cs="Arial"/>
          <w:color w:val="222222"/>
          <w:shd w:val="clear" w:color="auto" w:fill="FFFFFF"/>
        </w:rPr>
        <w:t>Crasii</w:t>
      </w:r>
      <w:proofErr w:type="spellEnd"/>
      <w:r>
        <w:rPr>
          <w:rFonts w:ascii="Arial" w:hAnsi="Arial" w:cs="Arial"/>
          <w:color w:val="222222"/>
          <w:shd w:val="clear" w:color="auto" w:fill="FFFFFF"/>
        </w:rPr>
        <w:t>, O. and Nawar, Y.S., 2022. Exploring the Effect of Business Strategy on Employees’ Retention During Pandemic and After Brexit: The case Home Care Sector in UK. </w:t>
      </w:r>
      <w:r>
        <w:rPr>
          <w:rFonts w:ascii="Arial" w:hAnsi="Arial" w:cs="Arial"/>
          <w:i/>
          <w:iCs/>
          <w:color w:val="222222"/>
          <w:shd w:val="clear" w:color="auto" w:fill="FFFFFF"/>
        </w:rPr>
        <w:t>The Business &amp; Management Review</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(2), pp.134-144.</w:t>
      </w:r>
    </w:p>
    <w:p w14:paraId="2BA10B88"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David, A., </w:t>
      </w:r>
      <w:proofErr w:type="spellStart"/>
      <w:r>
        <w:rPr>
          <w:rFonts w:ascii="Arial" w:hAnsi="Arial" w:cs="Arial"/>
          <w:color w:val="222222"/>
          <w:shd w:val="clear" w:color="auto" w:fill="FFFFFF"/>
        </w:rPr>
        <w:t>Terstriep</w:t>
      </w:r>
      <w:proofErr w:type="spellEnd"/>
      <w:r>
        <w:rPr>
          <w:rFonts w:ascii="Arial" w:hAnsi="Arial" w:cs="Arial"/>
          <w:color w:val="222222"/>
          <w:shd w:val="clear" w:color="auto" w:fill="FFFFFF"/>
        </w:rPr>
        <w:t xml:space="preserve">, J. and </w:t>
      </w:r>
      <w:proofErr w:type="spellStart"/>
      <w:r>
        <w:rPr>
          <w:rFonts w:ascii="Arial" w:hAnsi="Arial" w:cs="Arial"/>
          <w:color w:val="222222"/>
          <w:shd w:val="clear" w:color="auto" w:fill="FFFFFF"/>
        </w:rPr>
        <w:t>Zbierowski</w:t>
      </w:r>
      <w:proofErr w:type="spellEnd"/>
      <w:r>
        <w:rPr>
          <w:rFonts w:ascii="Arial" w:hAnsi="Arial" w:cs="Arial"/>
          <w:color w:val="222222"/>
          <w:shd w:val="clear" w:color="auto" w:fill="FFFFFF"/>
        </w:rPr>
        <w:t>, P., 2023. 11. Riding the wave: resilient Polish migrant entrepreneurs navigating Brexit and COVID-19 in the UK. </w:t>
      </w:r>
      <w:r>
        <w:rPr>
          <w:rFonts w:ascii="Arial" w:hAnsi="Arial" w:cs="Arial"/>
          <w:i/>
          <w:iCs/>
          <w:color w:val="222222"/>
          <w:shd w:val="clear" w:color="auto" w:fill="FFFFFF"/>
        </w:rPr>
        <w:t>Research Handbook on Transnational Diaspora Entrepreneurship</w:t>
      </w:r>
      <w:r>
        <w:rPr>
          <w:rFonts w:ascii="Arial" w:hAnsi="Arial" w:cs="Arial"/>
          <w:color w:val="222222"/>
          <w:shd w:val="clear" w:color="auto" w:fill="FFFFFF"/>
        </w:rPr>
        <w:t>, p.220.</w:t>
      </w:r>
    </w:p>
    <w:p w14:paraId="5C443A8B"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Del Rio-Chanona, R.M., Mealy, P., Pichler, A., Lafond, F. and Farmer, J.D., 2020. Supply and demand shocks in the COVID-19 pandemic: An industry and occupation perspective. </w:t>
      </w:r>
      <w:r>
        <w:rPr>
          <w:rFonts w:ascii="Arial" w:hAnsi="Arial" w:cs="Arial"/>
          <w:i/>
          <w:iCs/>
          <w:color w:val="222222"/>
          <w:shd w:val="clear" w:color="auto" w:fill="FFFFFF"/>
        </w:rPr>
        <w:t>Oxford Review of Economic Policy</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 xml:space="preserve">(Supplement_1), </w:t>
      </w:r>
      <w:proofErr w:type="gramStart"/>
      <w:r>
        <w:rPr>
          <w:rFonts w:ascii="Arial" w:hAnsi="Arial" w:cs="Arial"/>
          <w:color w:val="222222"/>
          <w:shd w:val="clear" w:color="auto" w:fill="FFFFFF"/>
        </w:rPr>
        <w:t>pp.S</w:t>
      </w:r>
      <w:proofErr w:type="gramEnd"/>
      <w:r>
        <w:rPr>
          <w:rFonts w:ascii="Arial" w:hAnsi="Arial" w:cs="Arial"/>
          <w:color w:val="222222"/>
          <w:shd w:val="clear" w:color="auto" w:fill="FFFFFF"/>
        </w:rPr>
        <w:t>94-S137.</w:t>
      </w:r>
    </w:p>
    <w:p w14:paraId="4086D40B"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Du, J., </w:t>
      </w:r>
      <w:proofErr w:type="spellStart"/>
      <w:r>
        <w:rPr>
          <w:rFonts w:ascii="Arial" w:hAnsi="Arial" w:cs="Arial"/>
          <w:color w:val="222222"/>
          <w:shd w:val="clear" w:color="auto" w:fill="FFFFFF"/>
        </w:rPr>
        <w:t>Shepotylo</w:t>
      </w:r>
      <w:proofErr w:type="spellEnd"/>
      <w:r>
        <w:rPr>
          <w:rFonts w:ascii="Arial" w:hAnsi="Arial" w:cs="Arial"/>
          <w:color w:val="222222"/>
          <w:shd w:val="clear" w:color="auto" w:fill="FFFFFF"/>
        </w:rPr>
        <w:t>, O. and Beyza, E., 2023. Brexit Uncertainty and Trade in Services: Evidence from the UK Creative Industries 2014–2019.</w:t>
      </w:r>
    </w:p>
    <w:p w14:paraId="0F8172E8"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Farndale, E. and </w:t>
      </w:r>
      <w:proofErr w:type="spellStart"/>
      <w:r>
        <w:rPr>
          <w:rFonts w:ascii="Arial" w:hAnsi="Arial" w:cs="Arial"/>
          <w:color w:val="222222"/>
          <w:shd w:val="clear" w:color="auto" w:fill="FFFFFF"/>
        </w:rPr>
        <w:t>Vaiman</w:t>
      </w:r>
      <w:proofErr w:type="spellEnd"/>
      <w:r>
        <w:rPr>
          <w:rFonts w:ascii="Arial" w:hAnsi="Arial" w:cs="Arial"/>
          <w:color w:val="222222"/>
          <w:shd w:val="clear" w:color="auto" w:fill="FFFFFF"/>
        </w:rPr>
        <w:t>, V., 2022. HR professionals and talent management: Navigating the dynamic macro context. In </w:t>
      </w:r>
      <w:r>
        <w:rPr>
          <w:rFonts w:ascii="Arial" w:hAnsi="Arial" w:cs="Arial"/>
          <w:i/>
          <w:iCs/>
          <w:color w:val="222222"/>
          <w:shd w:val="clear" w:color="auto" w:fill="FFFFFF"/>
        </w:rPr>
        <w:t>Talent Management: A Decade of Developments</w:t>
      </w:r>
      <w:r>
        <w:rPr>
          <w:rFonts w:ascii="Arial" w:hAnsi="Arial" w:cs="Arial"/>
          <w:color w:val="222222"/>
          <w:shd w:val="clear" w:color="auto" w:fill="FFFFFF"/>
        </w:rPr>
        <w:t> (pp. 107-125). Emerald Publishing Limited.</w:t>
      </w:r>
    </w:p>
    <w:p w14:paraId="7421D7A4"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Foster, J., Hodder, S.G., Goodwin, J. and </w:t>
      </w:r>
      <w:proofErr w:type="spellStart"/>
      <w:r>
        <w:rPr>
          <w:rFonts w:ascii="Arial" w:hAnsi="Arial" w:cs="Arial"/>
          <w:color w:val="222222"/>
          <w:shd w:val="clear" w:color="auto" w:fill="FFFFFF"/>
        </w:rPr>
        <w:t>Havenith</w:t>
      </w:r>
      <w:proofErr w:type="spellEnd"/>
      <w:r>
        <w:rPr>
          <w:rFonts w:ascii="Arial" w:hAnsi="Arial" w:cs="Arial"/>
          <w:color w:val="222222"/>
          <w:shd w:val="clear" w:color="auto" w:fill="FFFFFF"/>
        </w:rPr>
        <w:t>, G., 2020. Occupational heat stress and practical cooling solutions for healthcare and industry workers during the COVID-19 pandemic. </w:t>
      </w:r>
      <w:r>
        <w:rPr>
          <w:rFonts w:ascii="Arial" w:hAnsi="Arial" w:cs="Arial"/>
          <w:i/>
          <w:iCs/>
          <w:color w:val="222222"/>
          <w:shd w:val="clear" w:color="auto" w:fill="FFFFFF"/>
        </w:rPr>
        <w:t>Annals of work exposures and health</w:t>
      </w:r>
      <w:r>
        <w:rPr>
          <w:rFonts w:ascii="Arial" w:hAnsi="Arial" w:cs="Arial"/>
          <w:color w:val="222222"/>
          <w:shd w:val="clear" w:color="auto" w:fill="FFFFFF"/>
        </w:rPr>
        <w:t>, </w:t>
      </w:r>
      <w:r>
        <w:rPr>
          <w:rFonts w:ascii="Arial" w:hAnsi="Arial" w:cs="Arial"/>
          <w:i/>
          <w:iCs/>
          <w:color w:val="222222"/>
          <w:shd w:val="clear" w:color="auto" w:fill="FFFFFF"/>
        </w:rPr>
        <w:t>64</w:t>
      </w:r>
      <w:r>
        <w:rPr>
          <w:rFonts w:ascii="Arial" w:hAnsi="Arial" w:cs="Arial"/>
          <w:color w:val="222222"/>
          <w:shd w:val="clear" w:color="auto" w:fill="FFFFFF"/>
        </w:rPr>
        <w:t>(9), pp.915-922.</w:t>
      </w:r>
    </w:p>
    <w:p w14:paraId="515A929B"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Gherghina, Ș.C., Botezatu, M.A., Hosszu, A. and Simionescu, L.N., 2020. Small and medium-sized enterprises (SMEs): The engine of economic growth through investments and innovation.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(1), p.347.</w:t>
      </w:r>
    </w:p>
    <w:p w14:paraId="1AB73108"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lastRenderedPageBreak/>
        <w:t>Jagannathan, S., Ra, S. and Maclean, R., 2019. Dominant recent trends impacting on jobs and labor markets-An Overview. </w:t>
      </w:r>
      <w:r>
        <w:rPr>
          <w:rFonts w:ascii="Arial" w:hAnsi="Arial" w:cs="Arial"/>
          <w:i/>
          <w:iCs/>
          <w:color w:val="222222"/>
          <w:shd w:val="clear" w:color="auto" w:fill="FFFFFF"/>
        </w:rPr>
        <w:t>International Journal of Training Research</w:t>
      </w:r>
      <w:r>
        <w:rPr>
          <w:rFonts w:ascii="Arial" w:hAnsi="Arial" w:cs="Arial"/>
          <w:color w:val="222222"/>
          <w:shd w:val="clear" w:color="auto" w:fill="FFFFFF"/>
        </w:rPr>
        <w:t>, </w:t>
      </w:r>
      <w:r>
        <w:rPr>
          <w:rFonts w:ascii="Arial" w:hAnsi="Arial" w:cs="Arial"/>
          <w:i/>
          <w:iCs/>
          <w:color w:val="222222"/>
          <w:shd w:val="clear" w:color="auto" w:fill="FFFFFF"/>
        </w:rPr>
        <w:t>17</w:t>
      </w:r>
      <w:r>
        <w:rPr>
          <w:rFonts w:ascii="Arial" w:hAnsi="Arial" w:cs="Arial"/>
          <w:color w:val="222222"/>
          <w:shd w:val="clear" w:color="auto" w:fill="FFFFFF"/>
        </w:rPr>
        <w:t>(sup1), pp.1-11.</w:t>
      </w:r>
    </w:p>
    <w:p w14:paraId="00E0C8E4"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Kaushik, M. and </w:t>
      </w:r>
      <w:proofErr w:type="spellStart"/>
      <w:r>
        <w:rPr>
          <w:rFonts w:ascii="Arial" w:hAnsi="Arial" w:cs="Arial"/>
          <w:color w:val="222222"/>
          <w:shd w:val="clear" w:color="auto" w:fill="FFFFFF"/>
        </w:rPr>
        <w:t>Guleria</w:t>
      </w:r>
      <w:proofErr w:type="spellEnd"/>
      <w:r>
        <w:rPr>
          <w:rFonts w:ascii="Arial" w:hAnsi="Arial" w:cs="Arial"/>
          <w:color w:val="222222"/>
          <w:shd w:val="clear" w:color="auto" w:fill="FFFFFF"/>
        </w:rPr>
        <w:t>, N., 2020. The impact of pandemic COVID-19 in workplace. </w:t>
      </w:r>
      <w:r>
        <w:rPr>
          <w:rFonts w:ascii="Arial" w:hAnsi="Arial" w:cs="Arial"/>
          <w:i/>
          <w:iCs/>
          <w:color w:val="222222"/>
          <w:shd w:val="clear" w:color="auto" w:fill="FFFFFF"/>
        </w:rPr>
        <w:t>European Journal of Business and Management</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(15), pp.1-10.</w:t>
      </w:r>
    </w:p>
    <w:p w14:paraId="4A878328"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Klimkiewicz, K. and </w:t>
      </w:r>
      <w:proofErr w:type="spellStart"/>
      <w:r>
        <w:rPr>
          <w:rFonts w:ascii="Arial" w:hAnsi="Arial" w:cs="Arial"/>
          <w:color w:val="222222"/>
          <w:shd w:val="clear" w:color="auto" w:fill="FFFFFF"/>
        </w:rPr>
        <w:t>Oltra</w:t>
      </w:r>
      <w:proofErr w:type="spellEnd"/>
      <w:r>
        <w:rPr>
          <w:rFonts w:ascii="Arial" w:hAnsi="Arial" w:cs="Arial"/>
          <w:color w:val="222222"/>
          <w:shd w:val="clear" w:color="auto" w:fill="FFFFFF"/>
        </w:rPr>
        <w:t>, V., 2017. Does CSR enhance employer attractiveness? The role of millennial job seekers' attitudes. </w:t>
      </w:r>
      <w:r>
        <w:rPr>
          <w:rFonts w:ascii="Arial" w:hAnsi="Arial" w:cs="Arial"/>
          <w:i/>
          <w:iCs/>
          <w:color w:val="222222"/>
          <w:shd w:val="clear" w:color="auto" w:fill="FFFFFF"/>
        </w:rPr>
        <w:t>Corporate Social Responsibility and Environmental Management</w:t>
      </w:r>
      <w:r>
        <w:rPr>
          <w:rFonts w:ascii="Arial" w:hAnsi="Arial" w:cs="Arial"/>
          <w:color w:val="222222"/>
          <w:shd w:val="clear" w:color="auto" w:fill="FFFFFF"/>
        </w:rPr>
        <w:t>, </w:t>
      </w:r>
      <w:r>
        <w:rPr>
          <w:rFonts w:ascii="Arial" w:hAnsi="Arial" w:cs="Arial"/>
          <w:i/>
          <w:iCs/>
          <w:color w:val="222222"/>
          <w:shd w:val="clear" w:color="auto" w:fill="FFFFFF"/>
        </w:rPr>
        <w:t>24</w:t>
      </w:r>
      <w:r>
        <w:rPr>
          <w:rFonts w:ascii="Arial" w:hAnsi="Arial" w:cs="Arial"/>
          <w:color w:val="222222"/>
          <w:shd w:val="clear" w:color="auto" w:fill="FFFFFF"/>
        </w:rPr>
        <w:t>(5), pp.449-463.</w:t>
      </w:r>
    </w:p>
    <w:p w14:paraId="4BBF7571"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Langella, M. and Manning, A., 2022. Residential Mobility and Unemployment in the UK. </w:t>
      </w:r>
      <w:proofErr w:type="spellStart"/>
      <w:r>
        <w:rPr>
          <w:rFonts w:ascii="Arial" w:hAnsi="Arial" w:cs="Arial"/>
          <w:i/>
          <w:iCs/>
          <w:color w:val="222222"/>
          <w:shd w:val="clear" w:color="auto" w:fill="FFFFFF"/>
        </w:rPr>
        <w:t>Labour</w:t>
      </w:r>
      <w:proofErr w:type="spellEnd"/>
      <w:r>
        <w:rPr>
          <w:rFonts w:ascii="Arial" w:hAnsi="Arial" w:cs="Arial"/>
          <w:i/>
          <w:iCs/>
          <w:color w:val="222222"/>
          <w:shd w:val="clear" w:color="auto" w:fill="FFFFFF"/>
        </w:rPr>
        <w:t xml:space="preserve"> Economics</w:t>
      </w:r>
      <w:r>
        <w:rPr>
          <w:rFonts w:ascii="Arial" w:hAnsi="Arial" w:cs="Arial"/>
          <w:color w:val="222222"/>
          <w:shd w:val="clear" w:color="auto" w:fill="FFFFFF"/>
        </w:rPr>
        <w:t>, </w:t>
      </w:r>
      <w:r>
        <w:rPr>
          <w:rFonts w:ascii="Arial" w:hAnsi="Arial" w:cs="Arial"/>
          <w:i/>
          <w:iCs/>
          <w:color w:val="222222"/>
          <w:shd w:val="clear" w:color="auto" w:fill="FFFFFF"/>
        </w:rPr>
        <w:t>75</w:t>
      </w:r>
      <w:r>
        <w:rPr>
          <w:rFonts w:ascii="Arial" w:hAnsi="Arial" w:cs="Arial"/>
          <w:color w:val="222222"/>
          <w:shd w:val="clear" w:color="auto" w:fill="FFFFFF"/>
        </w:rPr>
        <w:t>, p.102104.</w:t>
      </w:r>
    </w:p>
    <w:p w14:paraId="0B09422D"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Leigh, N.G., Kraft, B. and Lee, H., 2020. Robots, skill demand and manufacturing in US regional </w:t>
      </w:r>
      <w:proofErr w:type="spellStart"/>
      <w:r>
        <w:rPr>
          <w:rFonts w:ascii="Arial" w:hAnsi="Arial" w:cs="Arial"/>
          <w:color w:val="222222"/>
          <w:shd w:val="clear" w:color="auto" w:fill="FFFFFF"/>
        </w:rPr>
        <w:t>labour</w:t>
      </w:r>
      <w:proofErr w:type="spellEnd"/>
      <w:r>
        <w:rPr>
          <w:rFonts w:ascii="Arial" w:hAnsi="Arial" w:cs="Arial"/>
          <w:color w:val="222222"/>
          <w:shd w:val="clear" w:color="auto" w:fill="FFFFFF"/>
        </w:rPr>
        <w:t xml:space="preserve"> markets. </w:t>
      </w:r>
      <w:r>
        <w:rPr>
          <w:rFonts w:ascii="Arial" w:hAnsi="Arial" w:cs="Arial"/>
          <w:i/>
          <w:iCs/>
          <w:color w:val="222222"/>
          <w:shd w:val="clear" w:color="auto" w:fill="FFFFFF"/>
        </w:rPr>
        <w:t>Cambridge Journal of Regions, Economy and Society</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(1), pp.77-97.</w:t>
      </w:r>
    </w:p>
    <w:p w14:paraId="7D3C6ED1"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Leonardi, P.M., 2021. COVID</w:t>
      </w:r>
      <w:r>
        <w:rPr>
          <w:rFonts w:ascii="Cambria Math" w:hAnsi="Cambria Math" w:cs="Cambria Math"/>
          <w:color w:val="222222"/>
          <w:shd w:val="clear" w:color="auto" w:fill="FFFFFF"/>
        </w:rPr>
        <w:t>‐</w:t>
      </w:r>
      <w:r>
        <w:rPr>
          <w:rFonts w:ascii="Arial" w:hAnsi="Arial" w:cs="Arial"/>
          <w:color w:val="222222"/>
          <w:shd w:val="clear" w:color="auto" w:fill="FFFFFF"/>
        </w:rPr>
        <w:t>19 and the new technologies of organizing: digital exhaust, digital footprints, and artificial intelligence in the wake of remote work. </w:t>
      </w:r>
      <w:r>
        <w:rPr>
          <w:rFonts w:ascii="Arial" w:hAnsi="Arial" w:cs="Arial"/>
          <w:i/>
          <w:iCs/>
          <w:color w:val="222222"/>
          <w:shd w:val="clear" w:color="auto" w:fill="FFFFFF"/>
        </w:rPr>
        <w:t>Journal of Management Studies</w:t>
      </w:r>
      <w:r>
        <w:rPr>
          <w:rFonts w:ascii="Arial" w:hAnsi="Arial" w:cs="Arial"/>
          <w:color w:val="222222"/>
          <w:shd w:val="clear" w:color="auto" w:fill="FFFFFF"/>
        </w:rPr>
        <w:t>, </w:t>
      </w:r>
      <w:r>
        <w:rPr>
          <w:rFonts w:ascii="Arial" w:hAnsi="Arial" w:cs="Arial"/>
          <w:i/>
          <w:iCs/>
          <w:color w:val="222222"/>
          <w:shd w:val="clear" w:color="auto" w:fill="FFFFFF"/>
        </w:rPr>
        <w:t>58</w:t>
      </w:r>
      <w:r>
        <w:rPr>
          <w:rFonts w:ascii="Arial" w:hAnsi="Arial" w:cs="Arial"/>
          <w:color w:val="222222"/>
          <w:shd w:val="clear" w:color="auto" w:fill="FFFFFF"/>
        </w:rPr>
        <w:t>(1), p.249.</w:t>
      </w:r>
    </w:p>
    <w:p w14:paraId="12744A27"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Lucas, J., Gora, E. and Alonso, A., 2017. A view of the global conservation job market and how to succeed in it. </w:t>
      </w:r>
      <w:r>
        <w:rPr>
          <w:rFonts w:ascii="Arial" w:hAnsi="Arial" w:cs="Arial"/>
          <w:i/>
          <w:iCs/>
          <w:color w:val="222222"/>
          <w:shd w:val="clear" w:color="auto" w:fill="FFFFFF"/>
        </w:rPr>
        <w:t>Conservation Biology</w:t>
      </w:r>
      <w:r>
        <w:rPr>
          <w:rFonts w:ascii="Arial" w:hAnsi="Arial" w:cs="Arial"/>
          <w:color w:val="222222"/>
          <w:shd w:val="clear" w:color="auto" w:fill="FFFFFF"/>
        </w:rPr>
        <w:t>, </w:t>
      </w:r>
      <w:r>
        <w:rPr>
          <w:rFonts w:ascii="Arial" w:hAnsi="Arial" w:cs="Arial"/>
          <w:i/>
          <w:iCs/>
          <w:color w:val="222222"/>
          <w:shd w:val="clear" w:color="auto" w:fill="FFFFFF"/>
        </w:rPr>
        <w:t>31</w:t>
      </w:r>
      <w:r>
        <w:rPr>
          <w:rFonts w:ascii="Arial" w:hAnsi="Arial" w:cs="Arial"/>
          <w:color w:val="222222"/>
          <w:shd w:val="clear" w:color="auto" w:fill="FFFFFF"/>
        </w:rPr>
        <w:t>(6), pp.1223-1231.</w:t>
      </w:r>
    </w:p>
    <w:p w14:paraId="124D8852"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Malik, A., </w:t>
      </w:r>
      <w:proofErr w:type="spellStart"/>
      <w:r>
        <w:rPr>
          <w:rFonts w:ascii="Arial" w:hAnsi="Arial" w:cs="Arial"/>
          <w:color w:val="222222"/>
          <w:shd w:val="clear" w:color="auto" w:fill="FFFFFF"/>
        </w:rPr>
        <w:t>Thevisuthan</w:t>
      </w:r>
      <w:proofErr w:type="spellEnd"/>
      <w:r>
        <w:rPr>
          <w:rFonts w:ascii="Arial" w:hAnsi="Arial" w:cs="Arial"/>
          <w:color w:val="222222"/>
          <w:shd w:val="clear" w:color="auto" w:fill="FFFFFF"/>
        </w:rPr>
        <w:t>, P. and De Sliva, T., 2022. Artificial Intelligence, Employee Engagement, Experience, and HRM. In </w:t>
      </w:r>
      <w:r>
        <w:rPr>
          <w:rFonts w:ascii="Arial" w:hAnsi="Arial" w:cs="Arial"/>
          <w:i/>
          <w:iCs/>
          <w:color w:val="222222"/>
          <w:shd w:val="clear" w:color="auto" w:fill="FFFFFF"/>
        </w:rPr>
        <w:t>Strategic human resource management and employment relations: An international perspective</w:t>
      </w:r>
      <w:r>
        <w:rPr>
          <w:rFonts w:ascii="Arial" w:hAnsi="Arial" w:cs="Arial"/>
          <w:color w:val="222222"/>
          <w:shd w:val="clear" w:color="auto" w:fill="FFFFFF"/>
        </w:rPr>
        <w:t> (pp. 171-184). Cham: Springer International Publishing.</w:t>
      </w:r>
    </w:p>
    <w:p w14:paraId="43737693"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McCann, P. and </w:t>
      </w:r>
      <w:proofErr w:type="spellStart"/>
      <w:r>
        <w:rPr>
          <w:rFonts w:ascii="Arial" w:hAnsi="Arial" w:cs="Arial"/>
          <w:color w:val="222222"/>
          <w:shd w:val="clear" w:color="auto" w:fill="FFFFFF"/>
        </w:rPr>
        <w:t>Vorley</w:t>
      </w:r>
      <w:proofErr w:type="spellEnd"/>
      <w:r>
        <w:rPr>
          <w:rFonts w:ascii="Arial" w:hAnsi="Arial" w:cs="Arial"/>
          <w:color w:val="222222"/>
          <w:shd w:val="clear" w:color="auto" w:fill="FFFFFF"/>
        </w:rPr>
        <w:t>, T. eds., 2021. </w:t>
      </w:r>
      <w:r>
        <w:rPr>
          <w:rFonts w:ascii="Arial" w:hAnsi="Arial" w:cs="Arial"/>
          <w:i/>
          <w:iCs/>
          <w:color w:val="222222"/>
          <w:shd w:val="clear" w:color="auto" w:fill="FFFFFF"/>
        </w:rPr>
        <w:t>Productivity and the pandemic: challenges and insights from Covid-19</w:t>
      </w:r>
      <w:r>
        <w:rPr>
          <w:rFonts w:ascii="Arial" w:hAnsi="Arial" w:cs="Arial"/>
          <w:color w:val="222222"/>
          <w:shd w:val="clear" w:color="auto" w:fill="FFFFFF"/>
        </w:rPr>
        <w:t>. Edward Elgar Publishing.</w:t>
      </w:r>
    </w:p>
    <w:p w14:paraId="3F98B580" w14:textId="77777777" w:rsidR="00BC2CE5" w:rsidRDefault="00000000">
      <w:pPr>
        <w:spacing w:after="0" w:line="360" w:lineRule="auto"/>
        <w:ind w:left="720" w:hanging="720"/>
        <w:rPr>
          <w:rFonts w:ascii="Arial" w:hAnsi="Arial" w:cs="Arial"/>
        </w:rPr>
      </w:pPr>
      <w:r>
        <w:rPr>
          <w:rFonts w:ascii="Arial" w:hAnsi="Arial" w:cs="Arial"/>
        </w:rPr>
        <w:t xml:space="preserve">Office For National Statistics. 2020. Coronavirus and homeworking in the UK: April 2020. Available from: </w:t>
      </w:r>
      <w:hyperlink r:id="rId18" w:history="1">
        <w:r>
          <w:rPr>
            <w:rStyle w:val="Hyperlink"/>
            <w:rFonts w:ascii="Arial" w:hAnsi="Arial" w:cs="Arial"/>
          </w:rPr>
          <w:t>https://www.ons.gov.uk/employmentandlabourmarket/peopleinwork/employmentandemployeetypes/bulletins/coronavirusandhomeworkingintheuk/april2020</w:t>
        </w:r>
      </w:hyperlink>
    </w:p>
    <w:p w14:paraId="6077D002"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 xml:space="preserve">Parham, S. and Rauf, M.A., 2020. COVID-19 and obligatory remote working in HEIs: An exploratory study of faculties’ work-life balance, well-being and productivity during </w:t>
      </w:r>
      <w:r>
        <w:rPr>
          <w:rFonts w:ascii="Arial" w:hAnsi="Arial" w:cs="Arial"/>
          <w:color w:val="222222"/>
          <w:shd w:val="clear" w:color="auto" w:fill="FFFFFF"/>
        </w:rPr>
        <w:lastRenderedPageBreak/>
        <w:t>the pandemic. </w:t>
      </w:r>
      <w:r>
        <w:rPr>
          <w:rFonts w:ascii="Arial" w:hAnsi="Arial" w:cs="Arial"/>
          <w:i/>
          <w:iCs/>
          <w:color w:val="222222"/>
          <w:shd w:val="clear" w:color="auto" w:fill="FFFFFF"/>
        </w:rPr>
        <w:t>International Journal of Economics, Commerce and Management</w:t>
      </w:r>
      <w:r>
        <w:rPr>
          <w:rFonts w:ascii="Arial" w:hAnsi="Arial" w:cs="Arial"/>
          <w:color w:val="222222"/>
          <w:shd w:val="clear" w:color="auto" w:fill="FFFFFF"/>
        </w:rPr>
        <w:t>, </w:t>
      </w:r>
      <w:r>
        <w:rPr>
          <w:rFonts w:ascii="Arial" w:hAnsi="Arial" w:cs="Arial"/>
          <w:i/>
          <w:iCs/>
          <w:color w:val="222222"/>
          <w:shd w:val="clear" w:color="auto" w:fill="FFFFFF"/>
        </w:rPr>
        <w:t>8</w:t>
      </w:r>
      <w:r>
        <w:rPr>
          <w:rFonts w:ascii="Arial" w:hAnsi="Arial" w:cs="Arial"/>
          <w:color w:val="222222"/>
          <w:shd w:val="clear" w:color="auto" w:fill="FFFFFF"/>
        </w:rPr>
        <w:t>(12), pp.384-400.</w:t>
      </w:r>
    </w:p>
    <w:p w14:paraId="6F73B4C4"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Portes, J., 2021. Between the Lines: Immigration to the UK between the Referendum and Brexit. </w:t>
      </w:r>
      <w:r>
        <w:rPr>
          <w:rFonts w:ascii="Arial" w:hAnsi="Arial" w:cs="Arial"/>
          <w:i/>
          <w:iCs/>
          <w:color w:val="222222"/>
          <w:shd w:val="clear" w:color="auto" w:fill="FFFFFF"/>
        </w:rPr>
        <w:t>Brexit Institute, WP</w:t>
      </w:r>
      <w:r>
        <w:rPr>
          <w:rFonts w:ascii="Arial" w:hAnsi="Arial" w:cs="Arial"/>
          <w:color w:val="222222"/>
          <w:shd w:val="clear" w:color="auto" w:fill="FFFFFF"/>
        </w:rPr>
        <w:t>, (12-2020).</w:t>
      </w:r>
    </w:p>
    <w:p w14:paraId="44EAAD74"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Sahu, K.K. and Kumar, R., 2020. Current perspective on pandemic of COVID-19 in the United States. </w:t>
      </w:r>
      <w:r>
        <w:rPr>
          <w:rFonts w:ascii="Arial" w:hAnsi="Arial" w:cs="Arial"/>
          <w:i/>
          <w:iCs/>
          <w:color w:val="222222"/>
          <w:shd w:val="clear" w:color="auto" w:fill="FFFFFF"/>
        </w:rPr>
        <w:t>Journal of family medicine and primary care</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(4), p.1784.</w:t>
      </w:r>
    </w:p>
    <w:p w14:paraId="7A0D047E"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Shore, L.M., Cleveland, J.N. and Sanchez, D., 2018. Inclusive workplaces: A review and model. </w:t>
      </w:r>
      <w:r>
        <w:rPr>
          <w:rFonts w:ascii="Arial" w:hAnsi="Arial" w:cs="Arial"/>
          <w:i/>
          <w:iCs/>
          <w:color w:val="222222"/>
          <w:shd w:val="clear" w:color="auto" w:fill="FFFFFF"/>
        </w:rPr>
        <w:t>Human Resource Management Review</w:t>
      </w:r>
      <w:r>
        <w:rPr>
          <w:rFonts w:ascii="Arial" w:hAnsi="Arial" w:cs="Arial"/>
          <w:color w:val="222222"/>
          <w:shd w:val="clear" w:color="auto" w:fill="FFFFFF"/>
        </w:rPr>
        <w:t>, </w:t>
      </w:r>
      <w:r>
        <w:rPr>
          <w:rFonts w:ascii="Arial" w:hAnsi="Arial" w:cs="Arial"/>
          <w:i/>
          <w:iCs/>
          <w:color w:val="222222"/>
          <w:shd w:val="clear" w:color="auto" w:fill="FFFFFF"/>
        </w:rPr>
        <w:t>28</w:t>
      </w:r>
      <w:r>
        <w:rPr>
          <w:rFonts w:ascii="Arial" w:hAnsi="Arial" w:cs="Arial"/>
          <w:color w:val="222222"/>
          <w:shd w:val="clear" w:color="auto" w:fill="FFFFFF"/>
        </w:rPr>
        <w:t>(2), pp.176-189.</w:t>
      </w:r>
    </w:p>
    <w:p w14:paraId="60724F4E"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Subramanian, N. and Suresh, M., 2022. Assessment framework for agile HRM practices. </w:t>
      </w:r>
      <w:r>
        <w:rPr>
          <w:rFonts w:ascii="Arial" w:hAnsi="Arial" w:cs="Arial"/>
          <w:i/>
          <w:iCs/>
          <w:color w:val="222222"/>
          <w:shd w:val="clear" w:color="auto" w:fill="FFFFFF"/>
        </w:rPr>
        <w:t>Global Journal of Flexible Systems Management</w:t>
      </w:r>
      <w:r>
        <w:rPr>
          <w:rFonts w:ascii="Arial" w:hAnsi="Arial" w:cs="Arial"/>
          <w:color w:val="222222"/>
          <w:shd w:val="clear" w:color="auto" w:fill="FFFFFF"/>
        </w:rPr>
        <w:t>, </w:t>
      </w:r>
      <w:r>
        <w:rPr>
          <w:rFonts w:ascii="Arial" w:hAnsi="Arial" w:cs="Arial"/>
          <w:i/>
          <w:iCs/>
          <w:color w:val="222222"/>
          <w:shd w:val="clear" w:color="auto" w:fill="FFFFFF"/>
        </w:rPr>
        <w:t>23</w:t>
      </w:r>
      <w:r>
        <w:rPr>
          <w:rFonts w:ascii="Arial" w:hAnsi="Arial" w:cs="Arial"/>
          <w:color w:val="222222"/>
          <w:shd w:val="clear" w:color="auto" w:fill="FFFFFF"/>
        </w:rPr>
        <w:t>(1), pp.135-149.</w:t>
      </w:r>
    </w:p>
    <w:p w14:paraId="1C595528" w14:textId="77777777" w:rsidR="00BC2CE5" w:rsidRDefault="00000000">
      <w:pPr>
        <w:spacing w:after="0" w:line="360" w:lineRule="auto"/>
        <w:ind w:left="720" w:hanging="720"/>
        <w:rPr>
          <w:rFonts w:ascii="Arial" w:hAnsi="Arial" w:cs="Arial"/>
          <w:color w:val="222222"/>
          <w:shd w:val="clear" w:color="auto" w:fill="FFFFFF"/>
        </w:rPr>
      </w:pPr>
      <w:r>
        <w:rPr>
          <w:rFonts w:ascii="Arial" w:hAnsi="Arial" w:cs="Arial"/>
          <w:color w:val="222222"/>
          <w:shd w:val="clear" w:color="auto" w:fill="FFFFFF"/>
        </w:rPr>
        <w:t>Tovmasyan, G. and Minasyan, D., 2020. The Impact of Motivation on Work Efficiency for Both Employers. </w:t>
      </w:r>
      <w:r>
        <w:rPr>
          <w:rFonts w:ascii="Arial" w:hAnsi="Arial" w:cs="Arial"/>
          <w:i/>
          <w:iCs/>
          <w:color w:val="222222"/>
          <w:shd w:val="clear" w:color="auto" w:fill="FFFFFF"/>
        </w:rPr>
        <w:t>Business Ethics and Leadership</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(3).</w:t>
      </w:r>
    </w:p>
    <w:p w14:paraId="2A248FA3" w14:textId="77777777" w:rsidR="00BC2CE5" w:rsidRDefault="00BC2CE5">
      <w:pPr>
        <w:spacing w:line="360" w:lineRule="auto"/>
        <w:rPr>
          <w:rFonts w:ascii="Arial" w:hAnsi="Arial" w:cs="Arial"/>
        </w:rPr>
      </w:pPr>
    </w:p>
    <w:sectPr w:rsidR="00BC2CE5">
      <w:headerReference w:type="default" r:id="rId1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16DC4" w14:textId="77777777" w:rsidR="007F5CD9" w:rsidRDefault="007F5CD9">
      <w:pPr>
        <w:spacing w:line="240" w:lineRule="auto"/>
      </w:pPr>
      <w:r>
        <w:separator/>
      </w:r>
    </w:p>
  </w:endnote>
  <w:endnote w:type="continuationSeparator" w:id="0">
    <w:p w14:paraId="5C95149B" w14:textId="77777777" w:rsidR="007F5CD9" w:rsidRDefault="007F5C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default"/>
    <w:sig w:usb0="00000000" w:usb1="00000000"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default"/>
    <w:sig w:usb0="00000287" w:usb1="00000000" w:usb2="00000000" w:usb3="00000000" w:csb0="2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FB06C" w14:textId="77777777" w:rsidR="007F5CD9" w:rsidRDefault="007F5CD9">
      <w:pPr>
        <w:spacing w:after="0"/>
      </w:pPr>
      <w:r>
        <w:separator/>
      </w:r>
    </w:p>
  </w:footnote>
  <w:footnote w:type="continuationSeparator" w:id="0">
    <w:p w14:paraId="01DB4D37" w14:textId="77777777" w:rsidR="007F5CD9" w:rsidRDefault="007F5CD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87D52" w14:textId="77777777" w:rsidR="00BC2CE5" w:rsidRDefault="00000000">
    <w:pP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p w14:paraId="000C5ACE" w14:textId="77777777" w:rsidR="00BC2CE5" w:rsidRDefault="00BC2CE5">
    <w:pP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8429B"/>
    <w:multiLevelType w:val="singleLevel"/>
    <w:tmpl w:val="1FE8429B"/>
    <w:lvl w:ilvl="0">
      <w:start w:val="1"/>
      <w:numFmt w:val="decimal"/>
      <w:pStyle w:val="ListBullet"/>
      <w:lvlText w:val="%1."/>
      <w:lvlJc w:val="left"/>
      <w:pPr>
        <w:tabs>
          <w:tab w:val="left" w:pos="360"/>
        </w:tabs>
        <w:ind w:left="360" w:hanging="360"/>
      </w:pPr>
      <w:rPr>
        <w:rFonts w:ascii="Times New Roman" w:eastAsia="Times New Roman" w:hAnsi="Times New Roman" w:cs="Times New Roman"/>
      </w:rPr>
    </w:lvl>
  </w:abstractNum>
  <w:num w:numId="1" w16cid:durableId="182204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yNbM0MbG0sLQwNbJQ0lEKTi0uzszPAykws6wFAJMZo3MtAAAA"/>
  </w:docVars>
  <w:rsids>
    <w:rsidRoot w:val="00942AF8"/>
    <w:rsid w:val="0000034C"/>
    <w:rsid w:val="00000754"/>
    <w:rsid w:val="00002411"/>
    <w:rsid w:val="00006B05"/>
    <w:rsid w:val="00010C15"/>
    <w:rsid w:val="00011B21"/>
    <w:rsid w:val="0001704C"/>
    <w:rsid w:val="00017A43"/>
    <w:rsid w:val="00020E72"/>
    <w:rsid w:val="00021EC7"/>
    <w:rsid w:val="0002406C"/>
    <w:rsid w:val="00024461"/>
    <w:rsid w:val="000304C7"/>
    <w:rsid w:val="00030632"/>
    <w:rsid w:val="00030CC3"/>
    <w:rsid w:val="0003189C"/>
    <w:rsid w:val="0003210A"/>
    <w:rsid w:val="000337F7"/>
    <w:rsid w:val="00033A45"/>
    <w:rsid w:val="000377D6"/>
    <w:rsid w:val="000445FF"/>
    <w:rsid w:val="00045392"/>
    <w:rsid w:val="00046DA1"/>
    <w:rsid w:val="00047125"/>
    <w:rsid w:val="0005256B"/>
    <w:rsid w:val="00052662"/>
    <w:rsid w:val="00055CDF"/>
    <w:rsid w:val="000618AE"/>
    <w:rsid w:val="00067F77"/>
    <w:rsid w:val="000708D3"/>
    <w:rsid w:val="00071440"/>
    <w:rsid w:val="00071DE3"/>
    <w:rsid w:val="00072278"/>
    <w:rsid w:val="00072A7F"/>
    <w:rsid w:val="0007485F"/>
    <w:rsid w:val="000757D6"/>
    <w:rsid w:val="000807A5"/>
    <w:rsid w:val="00080F50"/>
    <w:rsid w:val="00081B20"/>
    <w:rsid w:val="00086E16"/>
    <w:rsid w:val="0008747A"/>
    <w:rsid w:val="00087F11"/>
    <w:rsid w:val="000901A0"/>
    <w:rsid w:val="00091ED5"/>
    <w:rsid w:val="00093EE2"/>
    <w:rsid w:val="00094673"/>
    <w:rsid w:val="000A020F"/>
    <w:rsid w:val="000A2616"/>
    <w:rsid w:val="000A2CEB"/>
    <w:rsid w:val="000A5D1A"/>
    <w:rsid w:val="000A7708"/>
    <w:rsid w:val="000B2D4E"/>
    <w:rsid w:val="000B43D9"/>
    <w:rsid w:val="000B4705"/>
    <w:rsid w:val="000B4DEE"/>
    <w:rsid w:val="000B6F93"/>
    <w:rsid w:val="000B7FBF"/>
    <w:rsid w:val="000C1C27"/>
    <w:rsid w:val="000C555F"/>
    <w:rsid w:val="000C64C5"/>
    <w:rsid w:val="000D0DB2"/>
    <w:rsid w:val="000D1427"/>
    <w:rsid w:val="000D1C1F"/>
    <w:rsid w:val="000D2BC9"/>
    <w:rsid w:val="000E1268"/>
    <w:rsid w:val="000E2C34"/>
    <w:rsid w:val="000E429E"/>
    <w:rsid w:val="000E54D4"/>
    <w:rsid w:val="000F3644"/>
    <w:rsid w:val="000F4F62"/>
    <w:rsid w:val="001029BA"/>
    <w:rsid w:val="00103CAA"/>
    <w:rsid w:val="0010615E"/>
    <w:rsid w:val="00106FE5"/>
    <w:rsid w:val="0011272D"/>
    <w:rsid w:val="001148EB"/>
    <w:rsid w:val="00117695"/>
    <w:rsid w:val="00117CFD"/>
    <w:rsid w:val="00122FD6"/>
    <w:rsid w:val="0012396A"/>
    <w:rsid w:val="0012403B"/>
    <w:rsid w:val="00124ADE"/>
    <w:rsid w:val="00125008"/>
    <w:rsid w:val="00130B21"/>
    <w:rsid w:val="00131606"/>
    <w:rsid w:val="00131ADB"/>
    <w:rsid w:val="00131F48"/>
    <w:rsid w:val="00132501"/>
    <w:rsid w:val="00132C6C"/>
    <w:rsid w:val="001373B8"/>
    <w:rsid w:val="00137FC9"/>
    <w:rsid w:val="0014221A"/>
    <w:rsid w:val="00143101"/>
    <w:rsid w:val="00143D25"/>
    <w:rsid w:val="0014669C"/>
    <w:rsid w:val="00151EC9"/>
    <w:rsid w:val="00152A0F"/>
    <w:rsid w:val="001536A2"/>
    <w:rsid w:val="00153CE6"/>
    <w:rsid w:val="00155350"/>
    <w:rsid w:val="001570D6"/>
    <w:rsid w:val="00157849"/>
    <w:rsid w:val="001604C4"/>
    <w:rsid w:val="0016182E"/>
    <w:rsid w:val="00161C80"/>
    <w:rsid w:val="00164BF0"/>
    <w:rsid w:val="00166CAE"/>
    <w:rsid w:val="001676E3"/>
    <w:rsid w:val="00172B86"/>
    <w:rsid w:val="00174CF3"/>
    <w:rsid w:val="00174DF3"/>
    <w:rsid w:val="00181E91"/>
    <w:rsid w:val="001857F4"/>
    <w:rsid w:val="001908A3"/>
    <w:rsid w:val="00192299"/>
    <w:rsid w:val="00193528"/>
    <w:rsid w:val="00194620"/>
    <w:rsid w:val="001951AC"/>
    <w:rsid w:val="0019540A"/>
    <w:rsid w:val="0019544B"/>
    <w:rsid w:val="0019673C"/>
    <w:rsid w:val="0019745E"/>
    <w:rsid w:val="00197B0C"/>
    <w:rsid w:val="001A04AF"/>
    <w:rsid w:val="001A1F9D"/>
    <w:rsid w:val="001A28D1"/>
    <w:rsid w:val="001A3AA0"/>
    <w:rsid w:val="001A4208"/>
    <w:rsid w:val="001A46F4"/>
    <w:rsid w:val="001A489B"/>
    <w:rsid w:val="001B10E0"/>
    <w:rsid w:val="001B130B"/>
    <w:rsid w:val="001B2848"/>
    <w:rsid w:val="001B28A5"/>
    <w:rsid w:val="001B6BD7"/>
    <w:rsid w:val="001C1617"/>
    <w:rsid w:val="001C3EAD"/>
    <w:rsid w:val="001C5070"/>
    <w:rsid w:val="001C79B6"/>
    <w:rsid w:val="001D01A4"/>
    <w:rsid w:val="001D303B"/>
    <w:rsid w:val="001D313B"/>
    <w:rsid w:val="001D437A"/>
    <w:rsid w:val="001D459C"/>
    <w:rsid w:val="001D6371"/>
    <w:rsid w:val="001D6CCC"/>
    <w:rsid w:val="001E05B5"/>
    <w:rsid w:val="001E0D4E"/>
    <w:rsid w:val="001E142C"/>
    <w:rsid w:val="001E19AD"/>
    <w:rsid w:val="001E2B19"/>
    <w:rsid w:val="001E2BB4"/>
    <w:rsid w:val="001E5906"/>
    <w:rsid w:val="001E703D"/>
    <w:rsid w:val="001F095D"/>
    <w:rsid w:val="001F1722"/>
    <w:rsid w:val="00204400"/>
    <w:rsid w:val="00204DF0"/>
    <w:rsid w:val="002066D9"/>
    <w:rsid w:val="00211113"/>
    <w:rsid w:val="00211F07"/>
    <w:rsid w:val="00212D6B"/>
    <w:rsid w:val="00214661"/>
    <w:rsid w:val="00220405"/>
    <w:rsid w:val="00221472"/>
    <w:rsid w:val="002216F2"/>
    <w:rsid w:val="00222398"/>
    <w:rsid w:val="0022243B"/>
    <w:rsid w:val="00223B48"/>
    <w:rsid w:val="002261D9"/>
    <w:rsid w:val="00227C7A"/>
    <w:rsid w:val="00234214"/>
    <w:rsid w:val="002353AC"/>
    <w:rsid w:val="00235609"/>
    <w:rsid w:val="00236FAA"/>
    <w:rsid w:val="00242B93"/>
    <w:rsid w:val="00243874"/>
    <w:rsid w:val="002442A0"/>
    <w:rsid w:val="00245E79"/>
    <w:rsid w:val="002476AF"/>
    <w:rsid w:val="00247954"/>
    <w:rsid w:val="00250272"/>
    <w:rsid w:val="00250403"/>
    <w:rsid w:val="002509E9"/>
    <w:rsid w:val="00253156"/>
    <w:rsid w:val="002555FE"/>
    <w:rsid w:val="00264EB7"/>
    <w:rsid w:val="002652B6"/>
    <w:rsid w:val="00271B4C"/>
    <w:rsid w:val="002738FB"/>
    <w:rsid w:val="00273CB8"/>
    <w:rsid w:val="002742B8"/>
    <w:rsid w:val="00276447"/>
    <w:rsid w:val="002779DE"/>
    <w:rsid w:val="0028464E"/>
    <w:rsid w:val="00285E76"/>
    <w:rsid w:val="002862E0"/>
    <w:rsid w:val="0028673A"/>
    <w:rsid w:val="00286FDA"/>
    <w:rsid w:val="002966F4"/>
    <w:rsid w:val="00297D0B"/>
    <w:rsid w:val="002A11B3"/>
    <w:rsid w:val="002A300C"/>
    <w:rsid w:val="002A4936"/>
    <w:rsid w:val="002A5DF8"/>
    <w:rsid w:val="002B0186"/>
    <w:rsid w:val="002B0341"/>
    <w:rsid w:val="002B2FF4"/>
    <w:rsid w:val="002B5B26"/>
    <w:rsid w:val="002C1922"/>
    <w:rsid w:val="002C1D36"/>
    <w:rsid w:val="002C6138"/>
    <w:rsid w:val="002C62E7"/>
    <w:rsid w:val="002C71F4"/>
    <w:rsid w:val="002C71FA"/>
    <w:rsid w:val="002D12D0"/>
    <w:rsid w:val="002D40B7"/>
    <w:rsid w:val="002D5BBE"/>
    <w:rsid w:val="002D7504"/>
    <w:rsid w:val="002E03EC"/>
    <w:rsid w:val="002E3B94"/>
    <w:rsid w:val="002E552F"/>
    <w:rsid w:val="002E7880"/>
    <w:rsid w:val="002F3B8A"/>
    <w:rsid w:val="002F6E10"/>
    <w:rsid w:val="002F7346"/>
    <w:rsid w:val="002F7882"/>
    <w:rsid w:val="00301728"/>
    <w:rsid w:val="00303AE3"/>
    <w:rsid w:val="00304A80"/>
    <w:rsid w:val="00310669"/>
    <w:rsid w:val="00311E8F"/>
    <w:rsid w:val="00313551"/>
    <w:rsid w:val="003225A7"/>
    <w:rsid w:val="0032275E"/>
    <w:rsid w:val="00325DF5"/>
    <w:rsid w:val="003272B0"/>
    <w:rsid w:val="00327F59"/>
    <w:rsid w:val="00331FF4"/>
    <w:rsid w:val="003329DA"/>
    <w:rsid w:val="00333087"/>
    <w:rsid w:val="003330AC"/>
    <w:rsid w:val="00333A78"/>
    <w:rsid w:val="003348D6"/>
    <w:rsid w:val="003352DC"/>
    <w:rsid w:val="00336383"/>
    <w:rsid w:val="00336683"/>
    <w:rsid w:val="003377D2"/>
    <w:rsid w:val="003428E7"/>
    <w:rsid w:val="003433DF"/>
    <w:rsid w:val="003443BB"/>
    <w:rsid w:val="0034443C"/>
    <w:rsid w:val="00344E01"/>
    <w:rsid w:val="0034648F"/>
    <w:rsid w:val="00346FEE"/>
    <w:rsid w:val="00347B0B"/>
    <w:rsid w:val="00347F13"/>
    <w:rsid w:val="00351005"/>
    <w:rsid w:val="003521C2"/>
    <w:rsid w:val="00353000"/>
    <w:rsid w:val="00353D5B"/>
    <w:rsid w:val="0035443B"/>
    <w:rsid w:val="00356C8D"/>
    <w:rsid w:val="00356E4C"/>
    <w:rsid w:val="00360912"/>
    <w:rsid w:val="0036120C"/>
    <w:rsid w:val="00361257"/>
    <w:rsid w:val="00361270"/>
    <w:rsid w:val="0036260A"/>
    <w:rsid w:val="00362C89"/>
    <w:rsid w:val="00362D05"/>
    <w:rsid w:val="00363FFB"/>
    <w:rsid w:val="0036571D"/>
    <w:rsid w:val="00366112"/>
    <w:rsid w:val="00371C1C"/>
    <w:rsid w:val="003740F9"/>
    <w:rsid w:val="00374724"/>
    <w:rsid w:val="00375916"/>
    <w:rsid w:val="00375ACF"/>
    <w:rsid w:val="00376F8F"/>
    <w:rsid w:val="00380702"/>
    <w:rsid w:val="003817EF"/>
    <w:rsid w:val="00382A9C"/>
    <w:rsid w:val="00384925"/>
    <w:rsid w:val="00391FB9"/>
    <w:rsid w:val="00392863"/>
    <w:rsid w:val="00393A54"/>
    <w:rsid w:val="0039475A"/>
    <w:rsid w:val="0039477A"/>
    <w:rsid w:val="00397335"/>
    <w:rsid w:val="003A0699"/>
    <w:rsid w:val="003A0BD7"/>
    <w:rsid w:val="003A138C"/>
    <w:rsid w:val="003A186B"/>
    <w:rsid w:val="003A359C"/>
    <w:rsid w:val="003A5899"/>
    <w:rsid w:val="003A5A18"/>
    <w:rsid w:val="003A67A2"/>
    <w:rsid w:val="003A7243"/>
    <w:rsid w:val="003B0BA6"/>
    <w:rsid w:val="003B24F9"/>
    <w:rsid w:val="003B5D72"/>
    <w:rsid w:val="003B6725"/>
    <w:rsid w:val="003B6AD8"/>
    <w:rsid w:val="003B7C69"/>
    <w:rsid w:val="003C03BB"/>
    <w:rsid w:val="003C1405"/>
    <w:rsid w:val="003C719A"/>
    <w:rsid w:val="003D0254"/>
    <w:rsid w:val="003D05A4"/>
    <w:rsid w:val="003D05F0"/>
    <w:rsid w:val="003D1B3C"/>
    <w:rsid w:val="003D1F12"/>
    <w:rsid w:val="003D2314"/>
    <w:rsid w:val="003D24CB"/>
    <w:rsid w:val="003D261A"/>
    <w:rsid w:val="003D3F8B"/>
    <w:rsid w:val="003D6E96"/>
    <w:rsid w:val="003D6EF6"/>
    <w:rsid w:val="003D7A42"/>
    <w:rsid w:val="003E0595"/>
    <w:rsid w:val="003E077D"/>
    <w:rsid w:val="003E318D"/>
    <w:rsid w:val="003E39D2"/>
    <w:rsid w:val="003E3E5E"/>
    <w:rsid w:val="003E595B"/>
    <w:rsid w:val="003F315C"/>
    <w:rsid w:val="0040112D"/>
    <w:rsid w:val="00401161"/>
    <w:rsid w:val="00402260"/>
    <w:rsid w:val="00403B5C"/>
    <w:rsid w:val="00405210"/>
    <w:rsid w:val="00407BE2"/>
    <w:rsid w:val="0041154E"/>
    <w:rsid w:val="00412166"/>
    <w:rsid w:val="00413759"/>
    <w:rsid w:val="0041682C"/>
    <w:rsid w:val="0042191B"/>
    <w:rsid w:val="00422E7A"/>
    <w:rsid w:val="00426DC7"/>
    <w:rsid w:val="00430416"/>
    <w:rsid w:val="00432F98"/>
    <w:rsid w:val="00434558"/>
    <w:rsid w:val="0043722A"/>
    <w:rsid w:val="00441252"/>
    <w:rsid w:val="00442ABA"/>
    <w:rsid w:val="00443414"/>
    <w:rsid w:val="00451D49"/>
    <w:rsid w:val="00451E26"/>
    <w:rsid w:val="00453007"/>
    <w:rsid w:val="00455238"/>
    <w:rsid w:val="00455D42"/>
    <w:rsid w:val="00455E65"/>
    <w:rsid w:val="0045629B"/>
    <w:rsid w:val="00457A6E"/>
    <w:rsid w:val="004605F1"/>
    <w:rsid w:val="00462DEB"/>
    <w:rsid w:val="004661A1"/>
    <w:rsid w:val="004673FE"/>
    <w:rsid w:val="00475989"/>
    <w:rsid w:val="00475E3A"/>
    <w:rsid w:val="0047733A"/>
    <w:rsid w:val="004840BD"/>
    <w:rsid w:val="00484A70"/>
    <w:rsid w:val="00485869"/>
    <w:rsid w:val="00485E2F"/>
    <w:rsid w:val="00487103"/>
    <w:rsid w:val="004909ED"/>
    <w:rsid w:val="00490BF6"/>
    <w:rsid w:val="00492070"/>
    <w:rsid w:val="004A0349"/>
    <w:rsid w:val="004A0E96"/>
    <w:rsid w:val="004A346F"/>
    <w:rsid w:val="004A3ABD"/>
    <w:rsid w:val="004A3D43"/>
    <w:rsid w:val="004A4622"/>
    <w:rsid w:val="004A5299"/>
    <w:rsid w:val="004A7E93"/>
    <w:rsid w:val="004B451C"/>
    <w:rsid w:val="004B79F7"/>
    <w:rsid w:val="004C0135"/>
    <w:rsid w:val="004C0E43"/>
    <w:rsid w:val="004C0E92"/>
    <w:rsid w:val="004C23AA"/>
    <w:rsid w:val="004C2BEA"/>
    <w:rsid w:val="004C34D7"/>
    <w:rsid w:val="004C4C74"/>
    <w:rsid w:val="004C4FB3"/>
    <w:rsid w:val="004C5E00"/>
    <w:rsid w:val="004C694D"/>
    <w:rsid w:val="004D0D06"/>
    <w:rsid w:val="004D306F"/>
    <w:rsid w:val="004D3A91"/>
    <w:rsid w:val="004D7625"/>
    <w:rsid w:val="004D7A9A"/>
    <w:rsid w:val="004E179E"/>
    <w:rsid w:val="004E3AFA"/>
    <w:rsid w:val="004E51F9"/>
    <w:rsid w:val="004E5D06"/>
    <w:rsid w:val="004E6257"/>
    <w:rsid w:val="004E6AFF"/>
    <w:rsid w:val="004E6D9C"/>
    <w:rsid w:val="004E7964"/>
    <w:rsid w:val="004F25F8"/>
    <w:rsid w:val="004F2ADE"/>
    <w:rsid w:val="004F363C"/>
    <w:rsid w:val="004F5C57"/>
    <w:rsid w:val="004F6EF2"/>
    <w:rsid w:val="004F7179"/>
    <w:rsid w:val="00501675"/>
    <w:rsid w:val="00503F66"/>
    <w:rsid w:val="0050415F"/>
    <w:rsid w:val="00504162"/>
    <w:rsid w:val="005105FA"/>
    <w:rsid w:val="005136EF"/>
    <w:rsid w:val="0051638C"/>
    <w:rsid w:val="00517032"/>
    <w:rsid w:val="0051794A"/>
    <w:rsid w:val="0052140E"/>
    <w:rsid w:val="005242AC"/>
    <w:rsid w:val="00524BB9"/>
    <w:rsid w:val="00525922"/>
    <w:rsid w:val="00527E39"/>
    <w:rsid w:val="005308AA"/>
    <w:rsid w:val="00531F73"/>
    <w:rsid w:val="00533DE2"/>
    <w:rsid w:val="00534E67"/>
    <w:rsid w:val="0053517C"/>
    <w:rsid w:val="00540A87"/>
    <w:rsid w:val="00541A8F"/>
    <w:rsid w:val="005422A7"/>
    <w:rsid w:val="005435DE"/>
    <w:rsid w:val="00545E36"/>
    <w:rsid w:val="005460D6"/>
    <w:rsid w:val="00547C84"/>
    <w:rsid w:val="00551159"/>
    <w:rsid w:val="005529D9"/>
    <w:rsid w:val="00552A7F"/>
    <w:rsid w:val="00553522"/>
    <w:rsid w:val="00554319"/>
    <w:rsid w:val="00556845"/>
    <w:rsid w:val="0055710E"/>
    <w:rsid w:val="00557274"/>
    <w:rsid w:val="00557EFA"/>
    <w:rsid w:val="005611C4"/>
    <w:rsid w:val="00561BD6"/>
    <w:rsid w:val="00567585"/>
    <w:rsid w:val="005679B7"/>
    <w:rsid w:val="005708B3"/>
    <w:rsid w:val="00573B9C"/>
    <w:rsid w:val="00576F56"/>
    <w:rsid w:val="00576FB2"/>
    <w:rsid w:val="0057748D"/>
    <w:rsid w:val="005800A7"/>
    <w:rsid w:val="00580672"/>
    <w:rsid w:val="00581EC2"/>
    <w:rsid w:val="0058315C"/>
    <w:rsid w:val="005831C7"/>
    <w:rsid w:val="00586C74"/>
    <w:rsid w:val="005916E4"/>
    <w:rsid w:val="005932A7"/>
    <w:rsid w:val="00593B01"/>
    <w:rsid w:val="0059545C"/>
    <w:rsid w:val="00595629"/>
    <w:rsid w:val="0059717B"/>
    <w:rsid w:val="00597F26"/>
    <w:rsid w:val="005A05F7"/>
    <w:rsid w:val="005A081E"/>
    <w:rsid w:val="005A0E56"/>
    <w:rsid w:val="005A134E"/>
    <w:rsid w:val="005A48C8"/>
    <w:rsid w:val="005A5869"/>
    <w:rsid w:val="005A5EEA"/>
    <w:rsid w:val="005A6B21"/>
    <w:rsid w:val="005A6B87"/>
    <w:rsid w:val="005A6CC8"/>
    <w:rsid w:val="005A6CD9"/>
    <w:rsid w:val="005B55C9"/>
    <w:rsid w:val="005C3D2D"/>
    <w:rsid w:val="005C7335"/>
    <w:rsid w:val="005D1C43"/>
    <w:rsid w:val="005D28C5"/>
    <w:rsid w:val="005D35B4"/>
    <w:rsid w:val="005D5F5E"/>
    <w:rsid w:val="005E0627"/>
    <w:rsid w:val="005E5E76"/>
    <w:rsid w:val="005E629E"/>
    <w:rsid w:val="005E64DD"/>
    <w:rsid w:val="005E6E40"/>
    <w:rsid w:val="005F1B39"/>
    <w:rsid w:val="005F25E9"/>
    <w:rsid w:val="005F3FF2"/>
    <w:rsid w:val="005F6E99"/>
    <w:rsid w:val="005F6F79"/>
    <w:rsid w:val="00600C80"/>
    <w:rsid w:val="00601712"/>
    <w:rsid w:val="006033A6"/>
    <w:rsid w:val="00604BF1"/>
    <w:rsid w:val="006064B3"/>
    <w:rsid w:val="006122B5"/>
    <w:rsid w:val="006128E7"/>
    <w:rsid w:val="006130E7"/>
    <w:rsid w:val="0061463F"/>
    <w:rsid w:val="006150F8"/>
    <w:rsid w:val="00615A20"/>
    <w:rsid w:val="00621A56"/>
    <w:rsid w:val="006258EB"/>
    <w:rsid w:val="00632601"/>
    <w:rsid w:val="00633878"/>
    <w:rsid w:val="00633CF9"/>
    <w:rsid w:val="00633FE4"/>
    <w:rsid w:val="00634449"/>
    <w:rsid w:val="0063486A"/>
    <w:rsid w:val="0064268D"/>
    <w:rsid w:val="00642932"/>
    <w:rsid w:val="00643D63"/>
    <w:rsid w:val="00647E16"/>
    <w:rsid w:val="00650B5B"/>
    <w:rsid w:val="00652DDD"/>
    <w:rsid w:val="00653836"/>
    <w:rsid w:val="00655551"/>
    <w:rsid w:val="006556C5"/>
    <w:rsid w:val="00656C69"/>
    <w:rsid w:val="00657397"/>
    <w:rsid w:val="00657664"/>
    <w:rsid w:val="00662A12"/>
    <w:rsid w:val="00664465"/>
    <w:rsid w:val="006645D3"/>
    <w:rsid w:val="006666E3"/>
    <w:rsid w:val="006707BD"/>
    <w:rsid w:val="00670FE7"/>
    <w:rsid w:val="00672643"/>
    <w:rsid w:val="00672A0F"/>
    <w:rsid w:val="00675F55"/>
    <w:rsid w:val="00680175"/>
    <w:rsid w:val="006816C7"/>
    <w:rsid w:val="00681E75"/>
    <w:rsid w:val="00682616"/>
    <w:rsid w:val="00683D32"/>
    <w:rsid w:val="00684E03"/>
    <w:rsid w:val="0068587A"/>
    <w:rsid w:val="00690B91"/>
    <w:rsid w:val="00692821"/>
    <w:rsid w:val="00694443"/>
    <w:rsid w:val="006969AC"/>
    <w:rsid w:val="00697EB6"/>
    <w:rsid w:val="006A083E"/>
    <w:rsid w:val="006A12F6"/>
    <w:rsid w:val="006A1CCE"/>
    <w:rsid w:val="006A3272"/>
    <w:rsid w:val="006A4B74"/>
    <w:rsid w:val="006A66B8"/>
    <w:rsid w:val="006A7AAA"/>
    <w:rsid w:val="006B090F"/>
    <w:rsid w:val="006B4312"/>
    <w:rsid w:val="006B5CD1"/>
    <w:rsid w:val="006B6473"/>
    <w:rsid w:val="006B7DA4"/>
    <w:rsid w:val="006C283C"/>
    <w:rsid w:val="006C2893"/>
    <w:rsid w:val="006C2EF0"/>
    <w:rsid w:val="006C3A36"/>
    <w:rsid w:val="006C3C3E"/>
    <w:rsid w:val="006C5C06"/>
    <w:rsid w:val="006C66B8"/>
    <w:rsid w:val="006C7343"/>
    <w:rsid w:val="006C7E96"/>
    <w:rsid w:val="006D16FB"/>
    <w:rsid w:val="006D34F0"/>
    <w:rsid w:val="006D3E99"/>
    <w:rsid w:val="006D40BB"/>
    <w:rsid w:val="006D43F3"/>
    <w:rsid w:val="006D45F6"/>
    <w:rsid w:val="006D4B22"/>
    <w:rsid w:val="006D5C88"/>
    <w:rsid w:val="006D5D3D"/>
    <w:rsid w:val="006D61D1"/>
    <w:rsid w:val="006D67A8"/>
    <w:rsid w:val="006D6D94"/>
    <w:rsid w:val="006E1B99"/>
    <w:rsid w:val="006E6FFC"/>
    <w:rsid w:val="006F0AF1"/>
    <w:rsid w:val="006F4074"/>
    <w:rsid w:val="006F510A"/>
    <w:rsid w:val="006F5DDD"/>
    <w:rsid w:val="006F6D37"/>
    <w:rsid w:val="00701AB8"/>
    <w:rsid w:val="007025B1"/>
    <w:rsid w:val="00702A48"/>
    <w:rsid w:val="00710B24"/>
    <w:rsid w:val="00711754"/>
    <w:rsid w:val="0071247B"/>
    <w:rsid w:val="00714244"/>
    <w:rsid w:val="007149F8"/>
    <w:rsid w:val="00717E35"/>
    <w:rsid w:val="00720174"/>
    <w:rsid w:val="0072053E"/>
    <w:rsid w:val="00720B99"/>
    <w:rsid w:val="007224B0"/>
    <w:rsid w:val="00723818"/>
    <w:rsid w:val="00726CF1"/>
    <w:rsid w:val="00727483"/>
    <w:rsid w:val="00730304"/>
    <w:rsid w:val="0073096B"/>
    <w:rsid w:val="0073162A"/>
    <w:rsid w:val="00731633"/>
    <w:rsid w:val="0073334A"/>
    <w:rsid w:val="007349D3"/>
    <w:rsid w:val="00737DC1"/>
    <w:rsid w:val="00743DE5"/>
    <w:rsid w:val="007454BA"/>
    <w:rsid w:val="00746BA6"/>
    <w:rsid w:val="00752556"/>
    <w:rsid w:val="00753973"/>
    <w:rsid w:val="00760B78"/>
    <w:rsid w:val="00763253"/>
    <w:rsid w:val="00764A61"/>
    <w:rsid w:val="00766BCE"/>
    <w:rsid w:val="00770F2E"/>
    <w:rsid w:val="00774A02"/>
    <w:rsid w:val="00775A02"/>
    <w:rsid w:val="00775A2E"/>
    <w:rsid w:val="0077775F"/>
    <w:rsid w:val="007809A6"/>
    <w:rsid w:val="00780D6D"/>
    <w:rsid w:val="0078180A"/>
    <w:rsid w:val="0078312D"/>
    <w:rsid w:val="00784C51"/>
    <w:rsid w:val="00786041"/>
    <w:rsid w:val="007869A5"/>
    <w:rsid w:val="00790E60"/>
    <w:rsid w:val="00795A92"/>
    <w:rsid w:val="00796ADC"/>
    <w:rsid w:val="00797633"/>
    <w:rsid w:val="007A06BD"/>
    <w:rsid w:val="007A3AC4"/>
    <w:rsid w:val="007A3C13"/>
    <w:rsid w:val="007A57B3"/>
    <w:rsid w:val="007A5A05"/>
    <w:rsid w:val="007B197F"/>
    <w:rsid w:val="007B19A0"/>
    <w:rsid w:val="007B3906"/>
    <w:rsid w:val="007B42F2"/>
    <w:rsid w:val="007B496B"/>
    <w:rsid w:val="007B4F78"/>
    <w:rsid w:val="007B5D81"/>
    <w:rsid w:val="007C05EE"/>
    <w:rsid w:val="007C0B51"/>
    <w:rsid w:val="007C38DB"/>
    <w:rsid w:val="007C43BD"/>
    <w:rsid w:val="007C4637"/>
    <w:rsid w:val="007C4E7A"/>
    <w:rsid w:val="007D0E10"/>
    <w:rsid w:val="007D1D9B"/>
    <w:rsid w:val="007D24A3"/>
    <w:rsid w:val="007D3BCD"/>
    <w:rsid w:val="007D45EB"/>
    <w:rsid w:val="007D588F"/>
    <w:rsid w:val="007D7C01"/>
    <w:rsid w:val="007E03CC"/>
    <w:rsid w:val="007E06D9"/>
    <w:rsid w:val="007E1275"/>
    <w:rsid w:val="007E131A"/>
    <w:rsid w:val="007E26B8"/>
    <w:rsid w:val="007E39D7"/>
    <w:rsid w:val="007E5BF2"/>
    <w:rsid w:val="007E7E9C"/>
    <w:rsid w:val="007F1721"/>
    <w:rsid w:val="007F1FA5"/>
    <w:rsid w:val="007F2B09"/>
    <w:rsid w:val="007F4539"/>
    <w:rsid w:val="007F4926"/>
    <w:rsid w:val="007F5CD9"/>
    <w:rsid w:val="007F6E6C"/>
    <w:rsid w:val="007F70D4"/>
    <w:rsid w:val="00803CC6"/>
    <w:rsid w:val="008064C8"/>
    <w:rsid w:val="008101E4"/>
    <w:rsid w:val="00811117"/>
    <w:rsid w:val="00811307"/>
    <w:rsid w:val="00811D3B"/>
    <w:rsid w:val="00812C26"/>
    <w:rsid w:val="008170D1"/>
    <w:rsid w:val="00817CAD"/>
    <w:rsid w:val="0082162B"/>
    <w:rsid w:val="00824CA0"/>
    <w:rsid w:val="00832136"/>
    <w:rsid w:val="00832578"/>
    <w:rsid w:val="00840E8E"/>
    <w:rsid w:val="00842CE0"/>
    <w:rsid w:val="00850CF6"/>
    <w:rsid w:val="00851C9B"/>
    <w:rsid w:val="0086134C"/>
    <w:rsid w:val="00862C4E"/>
    <w:rsid w:val="00863FA8"/>
    <w:rsid w:val="00866234"/>
    <w:rsid w:val="00870587"/>
    <w:rsid w:val="0087257C"/>
    <w:rsid w:val="008743E5"/>
    <w:rsid w:val="00875EC7"/>
    <w:rsid w:val="008810D8"/>
    <w:rsid w:val="00881B3D"/>
    <w:rsid w:val="00883F1D"/>
    <w:rsid w:val="00884135"/>
    <w:rsid w:val="00884635"/>
    <w:rsid w:val="00885DD4"/>
    <w:rsid w:val="008865D9"/>
    <w:rsid w:val="0088718E"/>
    <w:rsid w:val="00890947"/>
    <w:rsid w:val="00890B16"/>
    <w:rsid w:val="00892499"/>
    <w:rsid w:val="00892774"/>
    <w:rsid w:val="008952AA"/>
    <w:rsid w:val="0089636C"/>
    <w:rsid w:val="00896505"/>
    <w:rsid w:val="00896EB0"/>
    <w:rsid w:val="008A0801"/>
    <w:rsid w:val="008A2F0B"/>
    <w:rsid w:val="008A4165"/>
    <w:rsid w:val="008A477D"/>
    <w:rsid w:val="008A79D2"/>
    <w:rsid w:val="008B01EB"/>
    <w:rsid w:val="008B09B6"/>
    <w:rsid w:val="008B2182"/>
    <w:rsid w:val="008B27D7"/>
    <w:rsid w:val="008B2879"/>
    <w:rsid w:val="008B371E"/>
    <w:rsid w:val="008B5A67"/>
    <w:rsid w:val="008B623D"/>
    <w:rsid w:val="008B62FC"/>
    <w:rsid w:val="008B6E36"/>
    <w:rsid w:val="008C03BA"/>
    <w:rsid w:val="008C06C2"/>
    <w:rsid w:val="008C19C2"/>
    <w:rsid w:val="008C54E5"/>
    <w:rsid w:val="008C57FD"/>
    <w:rsid w:val="008C6EF8"/>
    <w:rsid w:val="008D02B5"/>
    <w:rsid w:val="008D08DC"/>
    <w:rsid w:val="008D0ECF"/>
    <w:rsid w:val="008D3D72"/>
    <w:rsid w:val="008D4594"/>
    <w:rsid w:val="008D4A75"/>
    <w:rsid w:val="008D5D23"/>
    <w:rsid w:val="008D5DAD"/>
    <w:rsid w:val="008D77F4"/>
    <w:rsid w:val="008E369E"/>
    <w:rsid w:val="008E49E7"/>
    <w:rsid w:val="008E627D"/>
    <w:rsid w:val="008E6C9D"/>
    <w:rsid w:val="008E7187"/>
    <w:rsid w:val="008E79C1"/>
    <w:rsid w:val="008F213C"/>
    <w:rsid w:val="008F46CA"/>
    <w:rsid w:val="008F4CE4"/>
    <w:rsid w:val="008F6CBE"/>
    <w:rsid w:val="00901CA5"/>
    <w:rsid w:val="009029CC"/>
    <w:rsid w:val="0090341A"/>
    <w:rsid w:val="00905500"/>
    <w:rsid w:val="00906A07"/>
    <w:rsid w:val="009111FC"/>
    <w:rsid w:val="00914183"/>
    <w:rsid w:val="00914187"/>
    <w:rsid w:val="00915E1F"/>
    <w:rsid w:val="00920035"/>
    <w:rsid w:val="00922236"/>
    <w:rsid w:val="009224B5"/>
    <w:rsid w:val="00923BB0"/>
    <w:rsid w:val="0092421D"/>
    <w:rsid w:val="00927310"/>
    <w:rsid w:val="00930496"/>
    <w:rsid w:val="00931576"/>
    <w:rsid w:val="009321D3"/>
    <w:rsid w:val="009349C6"/>
    <w:rsid w:val="009372F9"/>
    <w:rsid w:val="00940C92"/>
    <w:rsid w:val="00941128"/>
    <w:rsid w:val="009411EE"/>
    <w:rsid w:val="00942711"/>
    <w:rsid w:val="00942AF8"/>
    <w:rsid w:val="00945388"/>
    <w:rsid w:val="00945687"/>
    <w:rsid w:val="00945780"/>
    <w:rsid w:val="00945C45"/>
    <w:rsid w:val="00951571"/>
    <w:rsid w:val="00951AA2"/>
    <w:rsid w:val="00952E8A"/>
    <w:rsid w:val="009538EF"/>
    <w:rsid w:val="00962A3F"/>
    <w:rsid w:val="00965DB8"/>
    <w:rsid w:val="00966F40"/>
    <w:rsid w:val="0096750C"/>
    <w:rsid w:val="00970308"/>
    <w:rsid w:val="0097498A"/>
    <w:rsid w:val="00975D3D"/>
    <w:rsid w:val="009761BB"/>
    <w:rsid w:val="00981699"/>
    <w:rsid w:val="00981CAA"/>
    <w:rsid w:val="0098299B"/>
    <w:rsid w:val="00984012"/>
    <w:rsid w:val="009856F9"/>
    <w:rsid w:val="00990F7E"/>
    <w:rsid w:val="00990FF6"/>
    <w:rsid w:val="0099444A"/>
    <w:rsid w:val="0099469C"/>
    <w:rsid w:val="009954E5"/>
    <w:rsid w:val="009A147B"/>
    <w:rsid w:val="009A1FFE"/>
    <w:rsid w:val="009A2CB2"/>
    <w:rsid w:val="009A3DEE"/>
    <w:rsid w:val="009A4BE0"/>
    <w:rsid w:val="009A59D3"/>
    <w:rsid w:val="009A5CA5"/>
    <w:rsid w:val="009A663B"/>
    <w:rsid w:val="009A7E0B"/>
    <w:rsid w:val="009A7EFF"/>
    <w:rsid w:val="009B1958"/>
    <w:rsid w:val="009B4E2D"/>
    <w:rsid w:val="009B7645"/>
    <w:rsid w:val="009C22A2"/>
    <w:rsid w:val="009C275E"/>
    <w:rsid w:val="009C4B8D"/>
    <w:rsid w:val="009C6764"/>
    <w:rsid w:val="009C71CD"/>
    <w:rsid w:val="009C77BE"/>
    <w:rsid w:val="009D10C4"/>
    <w:rsid w:val="009D38C7"/>
    <w:rsid w:val="009D5411"/>
    <w:rsid w:val="009D56F4"/>
    <w:rsid w:val="009D5863"/>
    <w:rsid w:val="009D6031"/>
    <w:rsid w:val="009D6D56"/>
    <w:rsid w:val="009E1B17"/>
    <w:rsid w:val="009E4166"/>
    <w:rsid w:val="009F00D7"/>
    <w:rsid w:val="009F4312"/>
    <w:rsid w:val="009F4A77"/>
    <w:rsid w:val="009F5576"/>
    <w:rsid w:val="009F7613"/>
    <w:rsid w:val="009F7926"/>
    <w:rsid w:val="00A031C6"/>
    <w:rsid w:val="00A0527E"/>
    <w:rsid w:val="00A05505"/>
    <w:rsid w:val="00A05716"/>
    <w:rsid w:val="00A05B6E"/>
    <w:rsid w:val="00A07D3D"/>
    <w:rsid w:val="00A07FDF"/>
    <w:rsid w:val="00A102CD"/>
    <w:rsid w:val="00A1695B"/>
    <w:rsid w:val="00A16A1D"/>
    <w:rsid w:val="00A17BF6"/>
    <w:rsid w:val="00A20F27"/>
    <w:rsid w:val="00A23E49"/>
    <w:rsid w:val="00A2460E"/>
    <w:rsid w:val="00A24C33"/>
    <w:rsid w:val="00A265D3"/>
    <w:rsid w:val="00A26686"/>
    <w:rsid w:val="00A31655"/>
    <w:rsid w:val="00A31D01"/>
    <w:rsid w:val="00A32BCF"/>
    <w:rsid w:val="00A32D2E"/>
    <w:rsid w:val="00A34C52"/>
    <w:rsid w:val="00A36B67"/>
    <w:rsid w:val="00A40F47"/>
    <w:rsid w:val="00A422C3"/>
    <w:rsid w:val="00A43F80"/>
    <w:rsid w:val="00A445D8"/>
    <w:rsid w:val="00A45C3A"/>
    <w:rsid w:val="00A46612"/>
    <w:rsid w:val="00A501E9"/>
    <w:rsid w:val="00A51890"/>
    <w:rsid w:val="00A5302E"/>
    <w:rsid w:val="00A53E70"/>
    <w:rsid w:val="00A54530"/>
    <w:rsid w:val="00A54EE0"/>
    <w:rsid w:val="00A55A41"/>
    <w:rsid w:val="00A57799"/>
    <w:rsid w:val="00A57D5A"/>
    <w:rsid w:val="00A60BAC"/>
    <w:rsid w:val="00A615EF"/>
    <w:rsid w:val="00A62731"/>
    <w:rsid w:val="00A627CC"/>
    <w:rsid w:val="00A632CD"/>
    <w:rsid w:val="00A63874"/>
    <w:rsid w:val="00A63BBE"/>
    <w:rsid w:val="00A65545"/>
    <w:rsid w:val="00A6733E"/>
    <w:rsid w:val="00A7336F"/>
    <w:rsid w:val="00A75DE7"/>
    <w:rsid w:val="00A75EBC"/>
    <w:rsid w:val="00A81D62"/>
    <w:rsid w:val="00A82ABB"/>
    <w:rsid w:val="00A83061"/>
    <w:rsid w:val="00A83439"/>
    <w:rsid w:val="00A84520"/>
    <w:rsid w:val="00A91FDE"/>
    <w:rsid w:val="00A92414"/>
    <w:rsid w:val="00A9488E"/>
    <w:rsid w:val="00A94CDC"/>
    <w:rsid w:val="00A95531"/>
    <w:rsid w:val="00A971E3"/>
    <w:rsid w:val="00A97799"/>
    <w:rsid w:val="00AA17D3"/>
    <w:rsid w:val="00AA197A"/>
    <w:rsid w:val="00AA1CB8"/>
    <w:rsid w:val="00AA305E"/>
    <w:rsid w:val="00AA3710"/>
    <w:rsid w:val="00AA7200"/>
    <w:rsid w:val="00AB0EA5"/>
    <w:rsid w:val="00AB1038"/>
    <w:rsid w:val="00AB2463"/>
    <w:rsid w:val="00AB3940"/>
    <w:rsid w:val="00AB5479"/>
    <w:rsid w:val="00AB5630"/>
    <w:rsid w:val="00AB56CD"/>
    <w:rsid w:val="00AB5D82"/>
    <w:rsid w:val="00AB72C0"/>
    <w:rsid w:val="00AC1D47"/>
    <w:rsid w:val="00AC2E8E"/>
    <w:rsid w:val="00AC4D9D"/>
    <w:rsid w:val="00AC559B"/>
    <w:rsid w:val="00AC70F6"/>
    <w:rsid w:val="00AD214B"/>
    <w:rsid w:val="00AD358F"/>
    <w:rsid w:val="00AD3A95"/>
    <w:rsid w:val="00AD3E30"/>
    <w:rsid w:val="00AD6C66"/>
    <w:rsid w:val="00AD7A2B"/>
    <w:rsid w:val="00AD7EE7"/>
    <w:rsid w:val="00AE4724"/>
    <w:rsid w:val="00AE52CC"/>
    <w:rsid w:val="00AF0126"/>
    <w:rsid w:val="00AF3441"/>
    <w:rsid w:val="00AF359C"/>
    <w:rsid w:val="00AF415F"/>
    <w:rsid w:val="00AF47DD"/>
    <w:rsid w:val="00AF4D0E"/>
    <w:rsid w:val="00AF59A2"/>
    <w:rsid w:val="00B00379"/>
    <w:rsid w:val="00B008A9"/>
    <w:rsid w:val="00B01571"/>
    <w:rsid w:val="00B02216"/>
    <w:rsid w:val="00B074B8"/>
    <w:rsid w:val="00B10460"/>
    <w:rsid w:val="00B11191"/>
    <w:rsid w:val="00B13C50"/>
    <w:rsid w:val="00B16ABF"/>
    <w:rsid w:val="00B17C02"/>
    <w:rsid w:val="00B20371"/>
    <w:rsid w:val="00B2344D"/>
    <w:rsid w:val="00B23FDA"/>
    <w:rsid w:val="00B249CC"/>
    <w:rsid w:val="00B341A8"/>
    <w:rsid w:val="00B3574B"/>
    <w:rsid w:val="00B3598B"/>
    <w:rsid w:val="00B364ED"/>
    <w:rsid w:val="00B37721"/>
    <w:rsid w:val="00B41B3F"/>
    <w:rsid w:val="00B42BC0"/>
    <w:rsid w:val="00B43B66"/>
    <w:rsid w:val="00B44349"/>
    <w:rsid w:val="00B443F3"/>
    <w:rsid w:val="00B44B9F"/>
    <w:rsid w:val="00B471AB"/>
    <w:rsid w:val="00B5179D"/>
    <w:rsid w:val="00B543CF"/>
    <w:rsid w:val="00B56783"/>
    <w:rsid w:val="00B57571"/>
    <w:rsid w:val="00B57EDE"/>
    <w:rsid w:val="00B6135E"/>
    <w:rsid w:val="00B62180"/>
    <w:rsid w:val="00B628E0"/>
    <w:rsid w:val="00B62AEA"/>
    <w:rsid w:val="00B70A75"/>
    <w:rsid w:val="00B71008"/>
    <w:rsid w:val="00B73CF9"/>
    <w:rsid w:val="00B75ADC"/>
    <w:rsid w:val="00B7667B"/>
    <w:rsid w:val="00B8018D"/>
    <w:rsid w:val="00B80868"/>
    <w:rsid w:val="00B81389"/>
    <w:rsid w:val="00B81BE8"/>
    <w:rsid w:val="00B8414E"/>
    <w:rsid w:val="00B85659"/>
    <w:rsid w:val="00B85688"/>
    <w:rsid w:val="00B8704A"/>
    <w:rsid w:val="00B871B6"/>
    <w:rsid w:val="00B87870"/>
    <w:rsid w:val="00B87D54"/>
    <w:rsid w:val="00B935F1"/>
    <w:rsid w:val="00B93D79"/>
    <w:rsid w:val="00B9411C"/>
    <w:rsid w:val="00B955DA"/>
    <w:rsid w:val="00B95B5A"/>
    <w:rsid w:val="00BA1F15"/>
    <w:rsid w:val="00BA2555"/>
    <w:rsid w:val="00BA545E"/>
    <w:rsid w:val="00BA58B2"/>
    <w:rsid w:val="00BA5AEE"/>
    <w:rsid w:val="00BB4949"/>
    <w:rsid w:val="00BB5EA5"/>
    <w:rsid w:val="00BB7140"/>
    <w:rsid w:val="00BC1269"/>
    <w:rsid w:val="00BC2CE5"/>
    <w:rsid w:val="00BC4919"/>
    <w:rsid w:val="00BC50FB"/>
    <w:rsid w:val="00BC562C"/>
    <w:rsid w:val="00BC627A"/>
    <w:rsid w:val="00BC77CC"/>
    <w:rsid w:val="00BC79E8"/>
    <w:rsid w:val="00BD03A3"/>
    <w:rsid w:val="00BD073F"/>
    <w:rsid w:val="00BD388F"/>
    <w:rsid w:val="00BD50B7"/>
    <w:rsid w:val="00BD6B1D"/>
    <w:rsid w:val="00BD7B53"/>
    <w:rsid w:val="00BD7E70"/>
    <w:rsid w:val="00BE0A01"/>
    <w:rsid w:val="00BE4A14"/>
    <w:rsid w:val="00BE7758"/>
    <w:rsid w:val="00BE7B9A"/>
    <w:rsid w:val="00BF0DAA"/>
    <w:rsid w:val="00BF1034"/>
    <w:rsid w:val="00BF2F7B"/>
    <w:rsid w:val="00BF332E"/>
    <w:rsid w:val="00BF73C7"/>
    <w:rsid w:val="00C01B34"/>
    <w:rsid w:val="00C0276D"/>
    <w:rsid w:val="00C0358B"/>
    <w:rsid w:val="00C060C5"/>
    <w:rsid w:val="00C100FB"/>
    <w:rsid w:val="00C1055D"/>
    <w:rsid w:val="00C1209A"/>
    <w:rsid w:val="00C14240"/>
    <w:rsid w:val="00C15615"/>
    <w:rsid w:val="00C16151"/>
    <w:rsid w:val="00C1674E"/>
    <w:rsid w:val="00C17191"/>
    <w:rsid w:val="00C2067D"/>
    <w:rsid w:val="00C20A3A"/>
    <w:rsid w:val="00C20FAD"/>
    <w:rsid w:val="00C22964"/>
    <w:rsid w:val="00C2399A"/>
    <w:rsid w:val="00C23E2C"/>
    <w:rsid w:val="00C24CFD"/>
    <w:rsid w:val="00C26B46"/>
    <w:rsid w:val="00C270F2"/>
    <w:rsid w:val="00C27BFA"/>
    <w:rsid w:val="00C30382"/>
    <w:rsid w:val="00C30598"/>
    <w:rsid w:val="00C35481"/>
    <w:rsid w:val="00C36460"/>
    <w:rsid w:val="00C40504"/>
    <w:rsid w:val="00C4076E"/>
    <w:rsid w:val="00C4345C"/>
    <w:rsid w:val="00C4791A"/>
    <w:rsid w:val="00C53150"/>
    <w:rsid w:val="00C53612"/>
    <w:rsid w:val="00C53B8B"/>
    <w:rsid w:val="00C54E49"/>
    <w:rsid w:val="00C611AB"/>
    <w:rsid w:val="00C6126E"/>
    <w:rsid w:val="00C61549"/>
    <w:rsid w:val="00C63B80"/>
    <w:rsid w:val="00C63C26"/>
    <w:rsid w:val="00C662CA"/>
    <w:rsid w:val="00C703D0"/>
    <w:rsid w:val="00C70961"/>
    <w:rsid w:val="00C70FB2"/>
    <w:rsid w:val="00C7153A"/>
    <w:rsid w:val="00C76162"/>
    <w:rsid w:val="00C76413"/>
    <w:rsid w:val="00C77843"/>
    <w:rsid w:val="00C81100"/>
    <w:rsid w:val="00C821DA"/>
    <w:rsid w:val="00C84AE3"/>
    <w:rsid w:val="00C8562C"/>
    <w:rsid w:val="00C87CEF"/>
    <w:rsid w:val="00C93188"/>
    <w:rsid w:val="00C94D63"/>
    <w:rsid w:val="00CA2670"/>
    <w:rsid w:val="00CA5B9C"/>
    <w:rsid w:val="00CB0CDA"/>
    <w:rsid w:val="00CB12EF"/>
    <w:rsid w:val="00CB28DD"/>
    <w:rsid w:val="00CB3772"/>
    <w:rsid w:val="00CB597F"/>
    <w:rsid w:val="00CB75CD"/>
    <w:rsid w:val="00CB79C4"/>
    <w:rsid w:val="00CC174A"/>
    <w:rsid w:val="00CC1AE3"/>
    <w:rsid w:val="00CC1ED2"/>
    <w:rsid w:val="00CC3609"/>
    <w:rsid w:val="00CC3DCD"/>
    <w:rsid w:val="00CC5FAB"/>
    <w:rsid w:val="00CC61E4"/>
    <w:rsid w:val="00CC6C92"/>
    <w:rsid w:val="00CC6EF5"/>
    <w:rsid w:val="00CC76D5"/>
    <w:rsid w:val="00CD1788"/>
    <w:rsid w:val="00CD3CA6"/>
    <w:rsid w:val="00CD412E"/>
    <w:rsid w:val="00CD4A4F"/>
    <w:rsid w:val="00CE2350"/>
    <w:rsid w:val="00CE2596"/>
    <w:rsid w:val="00CE7429"/>
    <w:rsid w:val="00CF23CE"/>
    <w:rsid w:val="00CF3123"/>
    <w:rsid w:val="00CF46E4"/>
    <w:rsid w:val="00CF47F1"/>
    <w:rsid w:val="00CF69E8"/>
    <w:rsid w:val="00D03E05"/>
    <w:rsid w:val="00D04BE3"/>
    <w:rsid w:val="00D04D20"/>
    <w:rsid w:val="00D06CC5"/>
    <w:rsid w:val="00D11083"/>
    <w:rsid w:val="00D13A7F"/>
    <w:rsid w:val="00D13FB3"/>
    <w:rsid w:val="00D1651A"/>
    <w:rsid w:val="00D16789"/>
    <w:rsid w:val="00D16DDA"/>
    <w:rsid w:val="00D1757F"/>
    <w:rsid w:val="00D17BA0"/>
    <w:rsid w:val="00D2007B"/>
    <w:rsid w:val="00D201A6"/>
    <w:rsid w:val="00D2046C"/>
    <w:rsid w:val="00D208D3"/>
    <w:rsid w:val="00D21ECA"/>
    <w:rsid w:val="00D2244B"/>
    <w:rsid w:val="00D22AEC"/>
    <w:rsid w:val="00D23BD2"/>
    <w:rsid w:val="00D2691F"/>
    <w:rsid w:val="00D27387"/>
    <w:rsid w:val="00D27731"/>
    <w:rsid w:val="00D30AA7"/>
    <w:rsid w:val="00D311D6"/>
    <w:rsid w:val="00D31AEC"/>
    <w:rsid w:val="00D32748"/>
    <w:rsid w:val="00D32DCF"/>
    <w:rsid w:val="00D335BA"/>
    <w:rsid w:val="00D34279"/>
    <w:rsid w:val="00D34E07"/>
    <w:rsid w:val="00D37109"/>
    <w:rsid w:val="00D41BC7"/>
    <w:rsid w:val="00D421B9"/>
    <w:rsid w:val="00D4232C"/>
    <w:rsid w:val="00D424B8"/>
    <w:rsid w:val="00D44203"/>
    <w:rsid w:val="00D46927"/>
    <w:rsid w:val="00D52A22"/>
    <w:rsid w:val="00D532AF"/>
    <w:rsid w:val="00D540D7"/>
    <w:rsid w:val="00D60F4A"/>
    <w:rsid w:val="00D6228C"/>
    <w:rsid w:val="00D63166"/>
    <w:rsid w:val="00D63A8D"/>
    <w:rsid w:val="00D63FCC"/>
    <w:rsid w:val="00D6436C"/>
    <w:rsid w:val="00D65683"/>
    <w:rsid w:val="00D71171"/>
    <w:rsid w:val="00D76AE8"/>
    <w:rsid w:val="00D76CDE"/>
    <w:rsid w:val="00D77EBA"/>
    <w:rsid w:val="00D8065D"/>
    <w:rsid w:val="00D80DDF"/>
    <w:rsid w:val="00D8111E"/>
    <w:rsid w:val="00D811FA"/>
    <w:rsid w:val="00D82F44"/>
    <w:rsid w:val="00D867F6"/>
    <w:rsid w:val="00D90240"/>
    <w:rsid w:val="00D9073B"/>
    <w:rsid w:val="00D93DA2"/>
    <w:rsid w:val="00D93EFC"/>
    <w:rsid w:val="00D9553B"/>
    <w:rsid w:val="00D959DA"/>
    <w:rsid w:val="00D95CF5"/>
    <w:rsid w:val="00D9655D"/>
    <w:rsid w:val="00DA10CC"/>
    <w:rsid w:val="00DA1480"/>
    <w:rsid w:val="00DA298C"/>
    <w:rsid w:val="00DA2BA7"/>
    <w:rsid w:val="00DA4398"/>
    <w:rsid w:val="00DA54AD"/>
    <w:rsid w:val="00DB1049"/>
    <w:rsid w:val="00DB12AF"/>
    <w:rsid w:val="00DB32C0"/>
    <w:rsid w:val="00DB5415"/>
    <w:rsid w:val="00DB6718"/>
    <w:rsid w:val="00DB6DF8"/>
    <w:rsid w:val="00DC0C78"/>
    <w:rsid w:val="00DC2C22"/>
    <w:rsid w:val="00DD360E"/>
    <w:rsid w:val="00DD498F"/>
    <w:rsid w:val="00DD4BB5"/>
    <w:rsid w:val="00DD5864"/>
    <w:rsid w:val="00DD7500"/>
    <w:rsid w:val="00DE3272"/>
    <w:rsid w:val="00DE395D"/>
    <w:rsid w:val="00DE396F"/>
    <w:rsid w:val="00DE40BD"/>
    <w:rsid w:val="00DE40F2"/>
    <w:rsid w:val="00DE454D"/>
    <w:rsid w:val="00DE50BF"/>
    <w:rsid w:val="00DE6962"/>
    <w:rsid w:val="00DF07A7"/>
    <w:rsid w:val="00DF4FB9"/>
    <w:rsid w:val="00DF52B8"/>
    <w:rsid w:val="00DF6B6C"/>
    <w:rsid w:val="00E019C0"/>
    <w:rsid w:val="00E01A82"/>
    <w:rsid w:val="00E02658"/>
    <w:rsid w:val="00E02E2C"/>
    <w:rsid w:val="00E0335F"/>
    <w:rsid w:val="00E0492F"/>
    <w:rsid w:val="00E049C8"/>
    <w:rsid w:val="00E067F2"/>
    <w:rsid w:val="00E11645"/>
    <w:rsid w:val="00E11D44"/>
    <w:rsid w:val="00E1361E"/>
    <w:rsid w:val="00E13AD8"/>
    <w:rsid w:val="00E14E55"/>
    <w:rsid w:val="00E20A94"/>
    <w:rsid w:val="00E2166B"/>
    <w:rsid w:val="00E24AC3"/>
    <w:rsid w:val="00E252EC"/>
    <w:rsid w:val="00E25D6B"/>
    <w:rsid w:val="00E30BBA"/>
    <w:rsid w:val="00E3168A"/>
    <w:rsid w:val="00E32771"/>
    <w:rsid w:val="00E32780"/>
    <w:rsid w:val="00E32A7B"/>
    <w:rsid w:val="00E34927"/>
    <w:rsid w:val="00E34CAD"/>
    <w:rsid w:val="00E3581D"/>
    <w:rsid w:val="00E35B56"/>
    <w:rsid w:val="00E40D65"/>
    <w:rsid w:val="00E4340A"/>
    <w:rsid w:val="00E441B6"/>
    <w:rsid w:val="00E44505"/>
    <w:rsid w:val="00E4521D"/>
    <w:rsid w:val="00E4575F"/>
    <w:rsid w:val="00E458FF"/>
    <w:rsid w:val="00E47340"/>
    <w:rsid w:val="00E5169D"/>
    <w:rsid w:val="00E541A8"/>
    <w:rsid w:val="00E5474B"/>
    <w:rsid w:val="00E559D8"/>
    <w:rsid w:val="00E65593"/>
    <w:rsid w:val="00E72FBA"/>
    <w:rsid w:val="00E7415D"/>
    <w:rsid w:val="00E741F2"/>
    <w:rsid w:val="00E74EC5"/>
    <w:rsid w:val="00E755B1"/>
    <w:rsid w:val="00E75EBC"/>
    <w:rsid w:val="00E77005"/>
    <w:rsid w:val="00E82926"/>
    <w:rsid w:val="00E83ABA"/>
    <w:rsid w:val="00E84C95"/>
    <w:rsid w:val="00E85BCC"/>
    <w:rsid w:val="00E85EE6"/>
    <w:rsid w:val="00E8701A"/>
    <w:rsid w:val="00E908E2"/>
    <w:rsid w:val="00E90B20"/>
    <w:rsid w:val="00E92993"/>
    <w:rsid w:val="00E93DB0"/>
    <w:rsid w:val="00E94698"/>
    <w:rsid w:val="00E94A86"/>
    <w:rsid w:val="00E94FEE"/>
    <w:rsid w:val="00E95261"/>
    <w:rsid w:val="00EA5826"/>
    <w:rsid w:val="00EA7AAA"/>
    <w:rsid w:val="00EB0884"/>
    <w:rsid w:val="00EB2DE2"/>
    <w:rsid w:val="00EB3137"/>
    <w:rsid w:val="00EB637F"/>
    <w:rsid w:val="00EC1A3A"/>
    <w:rsid w:val="00EC1CA9"/>
    <w:rsid w:val="00EC652C"/>
    <w:rsid w:val="00EC7C24"/>
    <w:rsid w:val="00EC7F5E"/>
    <w:rsid w:val="00ED0289"/>
    <w:rsid w:val="00ED0588"/>
    <w:rsid w:val="00ED07D5"/>
    <w:rsid w:val="00ED2E4A"/>
    <w:rsid w:val="00ED3831"/>
    <w:rsid w:val="00ED4E0C"/>
    <w:rsid w:val="00ED722B"/>
    <w:rsid w:val="00EE1452"/>
    <w:rsid w:val="00EE1504"/>
    <w:rsid w:val="00EE18C2"/>
    <w:rsid w:val="00EE1D90"/>
    <w:rsid w:val="00EE4A5F"/>
    <w:rsid w:val="00EE5FC6"/>
    <w:rsid w:val="00EF20B1"/>
    <w:rsid w:val="00EF2BB7"/>
    <w:rsid w:val="00EF5937"/>
    <w:rsid w:val="00EF5F51"/>
    <w:rsid w:val="00EF5FDA"/>
    <w:rsid w:val="00EF6B5F"/>
    <w:rsid w:val="00F00899"/>
    <w:rsid w:val="00F030D7"/>
    <w:rsid w:val="00F0618D"/>
    <w:rsid w:val="00F06284"/>
    <w:rsid w:val="00F07495"/>
    <w:rsid w:val="00F11446"/>
    <w:rsid w:val="00F11828"/>
    <w:rsid w:val="00F13788"/>
    <w:rsid w:val="00F13929"/>
    <w:rsid w:val="00F13AFF"/>
    <w:rsid w:val="00F1612F"/>
    <w:rsid w:val="00F16344"/>
    <w:rsid w:val="00F173D9"/>
    <w:rsid w:val="00F17D0B"/>
    <w:rsid w:val="00F21FF4"/>
    <w:rsid w:val="00F225D2"/>
    <w:rsid w:val="00F23C9B"/>
    <w:rsid w:val="00F24805"/>
    <w:rsid w:val="00F25566"/>
    <w:rsid w:val="00F255F0"/>
    <w:rsid w:val="00F2633B"/>
    <w:rsid w:val="00F26DF6"/>
    <w:rsid w:val="00F273D8"/>
    <w:rsid w:val="00F27ADA"/>
    <w:rsid w:val="00F30EA1"/>
    <w:rsid w:val="00F313AC"/>
    <w:rsid w:val="00F316FC"/>
    <w:rsid w:val="00F31B73"/>
    <w:rsid w:val="00F329A2"/>
    <w:rsid w:val="00F32D6B"/>
    <w:rsid w:val="00F333ED"/>
    <w:rsid w:val="00F34627"/>
    <w:rsid w:val="00F35E90"/>
    <w:rsid w:val="00F42E28"/>
    <w:rsid w:val="00F467EE"/>
    <w:rsid w:val="00F47D00"/>
    <w:rsid w:val="00F5127C"/>
    <w:rsid w:val="00F513B3"/>
    <w:rsid w:val="00F52C5D"/>
    <w:rsid w:val="00F536CD"/>
    <w:rsid w:val="00F55C99"/>
    <w:rsid w:val="00F57291"/>
    <w:rsid w:val="00F57E5C"/>
    <w:rsid w:val="00F60D56"/>
    <w:rsid w:val="00F64C59"/>
    <w:rsid w:val="00F669DE"/>
    <w:rsid w:val="00F66A32"/>
    <w:rsid w:val="00F67938"/>
    <w:rsid w:val="00F707FB"/>
    <w:rsid w:val="00F72474"/>
    <w:rsid w:val="00F72C4C"/>
    <w:rsid w:val="00F741C8"/>
    <w:rsid w:val="00F74D1C"/>
    <w:rsid w:val="00F76392"/>
    <w:rsid w:val="00F80F95"/>
    <w:rsid w:val="00F816BC"/>
    <w:rsid w:val="00F8372B"/>
    <w:rsid w:val="00F83D74"/>
    <w:rsid w:val="00F83D91"/>
    <w:rsid w:val="00F875C2"/>
    <w:rsid w:val="00F875FA"/>
    <w:rsid w:val="00F90C2A"/>
    <w:rsid w:val="00F91445"/>
    <w:rsid w:val="00F918D5"/>
    <w:rsid w:val="00F922BA"/>
    <w:rsid w:val="00F969A7"/>
    <w:rsid w:val="00FA00D5"/>
    <w:rsid w:val="00FA37A4"/>
    <w:rsid w:val="00FA3B0A"/>
    <w:rsid w:val="00FA4E72"/>
    <w:rsid w:val="00FA6BA2"/>
    <w:rsid w:val="00FA74BB"/>
    <w:rsid w:val="00FB1016"/>
    <w:rsid w:val="00FB2A90"/>
    <w:rsid w:val="00FB3874"/>
    <w:rsid w:val="00FB3ADD"/>
    <w:rsid w:val="00FB3EB8"/>
    <w:rsid w:val="00FB5E1B"/>
    <w:rsid w:val="00FB5FD0"/>
    <w:rsid w:val="00FB68BD"/>
    <w:rsid w:val="00FB6EBC"/>
    <w:rsid w:val="00FC0EFD"/>
    <w:rsid w:val="00FC4A59"/>
    <w:rsid w:val="00FC757D"/>
    <w:rsid w:val="00FC7831"/>
    <w:rsid w:val="00FC7BA2"/>
    <w:rsid w:val="00FD1FD0"/>
    <w:rsid w:val="00FD20BF"/>
    <w:rsid w:val="00FD52C9"/>
    <w:rsid w:val="00FD7598"/>
    <w:rsid w:val="00FE1F72"/>
    <w:rsid w:val="00FF05E7"/>
    <w:rsid w:val="00FF0C1B"/>
    <w:rsid w:val="00FF1E97"/>
    <w:rsid w:val="00FF4442"/>
    <w:rsid w:val="00FF6280"/>
    <w:rsid w:val="00FF6991"/>
    <w:rsid w:val="00FF7AFE"/>
    <w:rsid w:val="25776207"/>
    <w:rsid w:val="2D88579E"/>
    <w:rsid w:val="612F59F5"/>
    <w:rsid w:val="621619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958F5"/>
  <w15:docId w15:val="{3CE50F2C-4A74-457A-87B0-9EB81E5F2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qFormat="1"/>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footer" w:uiPriority="0"/>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480" w:lineRule="auto"/>
      <w:jc w:val="both"/>
    </w:pPr>
    <w:rPr>
      <w:sz w:val="24"/>
      <w:szCs w:val="24"/>
    </w:rPr>
  </w:style>
  <w:style w:type="paragraph" w:styleId="Heading1">
    <w:name w:val="heading 1"/>
    <w:basedOn w:val="Normal"/>
    <w:next w:val="Normal"/>
    <w:link w:val="Heading1Char"/>
    <w:uiPriority w:val="9"/>
    <w:qFormat/>
    <w:pPr>
      <w:outlineLvl w:val="0"/>
    </w:pPr>
    <w:rPr>
      <w:b/>
      <w:i/>
      <w:highlight w:val="white"/>
    </w:rPr>
  </w:style>
  <w:style w:type="paragraph" w:styleId="Heading2">
    <w:name w:val="heading 2"/>
    <w:basedOn w:val="Normal"/>
    <w:next w:val="Normal"/>
    <w:link w:val="Heading2Char"/>
    <w:uiPriority w:val="9"/>
    <w:unhideWhenUsed/>
    <w:qFormat/>
    <w:pPr>
      <w:keepNext/>
      <w:keepLines/>
      <w:spacing w:before="200" w:after="0" w:line="360" w:lineRule="auto"/>
      <w:jc w:val="left"/>
      <w:outlineLvl w:val="1"/>
    </w:pPr>
    <w:rPr>
      <w:b/>
    </w:rPr>
  </w:style>
  <w:style w:type="paragraph" w:styleId="Heading3">
    <w:name w:val="heading 3"/>
    <w:basedOn w:val="Normal"/>
    <w:next w:val="Normal"/>
    <w:uiPriority w:val="9"/>
    <w:unhideWhenUsed/>
    <w:qFormat/>
    <w:pPr>
      <w:keepNext/>
      <w:keepLines/>
      <w:spacing w:before="200" w:after="0"/>
      <w:ind w:left="720"/>
      <w:outlineLvl w:val="2"/>
    </w:pPr>
    <w:rPr>
      <w:b/>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BodyText">
    <w:name w:val="Body Text"/>
    <w:basedOn w:val="Normal"/>
    <w:link w:val="BodyTextChar"/>
    <w:unhideWhenUsed/>
    <w:pPr>
      <w:spacing w:after="120" w:line="240" w:lineRule="auto"/>
      <w:jc w:val="left"/>
    </w:pPr>
    <w:rPr>
      <w:rFonts w:ascii="Cambria" w:eastAsia="MS Mincho" w:hAnsi="Cambria"/>
    </w:rPr>
  </w:style>
  <w:style w:type="paragraph" w:styleId="Caption">
    <w:name w:val="caption"/>
    <w:basedOn w:val="Normal"/>
    <w:next w:val="Normal"/>
    <w:uiPriority w:val="35"/>
    <w:unhideWhenUsed/>
    <w:qFormat/>
    <w:pPr>
      <w:spacing w:after="200" w:line="240" w:lineRule="auto"/>
      <w:jc w:val="left"/>
    </w:pPr>
    <w:rPr>
      <w:rFonts w:asciiTheme="minorHAnsi" w:eastAsiaTheme="minorHAnsi" w:hAnsiTheme="minorHAnsi" w:cstheme="minorBidi"/>
      <w:i/>
      <w:iCs/>
      <w:color w:val="1F497D" w:themeColor="text2"/>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jc w:val="left"/>
    </w:pPr>
    <w:rPr>
      <w:rFonts w:asciiTheme="minorHAnsi" w:eastAsia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pPr>
      <w:jc w:val="both"/>
    </w:pPr>
    <w:rPr>
      <w:rFonts w:ascii="Times New Roman" w:eastAsia="Times New Roman" w:hAnsi="Times New Roman" w:cs="Times New Roman"/>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800080" w:themeColor="followedHyperlink"/>
      <w:u w:val="single"/>
    </w:rPr>
  </w:style>
  <w:style w:type="paragraph" w:styleId="Footer">
    <w:name w:val="footer"/>
    <w:basedOn w:val="Normal"/>
    <w:link w:val="FooterChar"/>
    <w:pPr>
      <w:tabs>
        <w:tab w:val="center" w:pos="4680"/>
        <w:tab w:val="right" w:pos="9360"/>
      </w:tabs>
      <w:spacing w:after="0" w:line="240" w:lineRule="auto"/>
    </w:pPr>
  </w:style>
  <w:style w:type="character" w:styleId="FootnoteReference">
    <w:name w:val="footnote reference"/>
    <w:basedOn w:val="DefaultParagraphFont"/>
    <w:uiPriority w:val="99"/>
    <w:rPr>
      <w:vertAlign w:val="superscript"/>
    </w:rPr>
  </w:style>
  <w:style w:type="paragraph" w:styleId="FootnoteText">
    <w:name w:val="footnote text"/>
    <w:basedOn w:val="Normal"/>
    <w:link w:val="FootnoteTextChar"/>
    <w:uiPriority w:val="99"/>
    <w:pPr>
      <w:spacing w:after="0" w:line="240" w:lineRule="auto"/>
    </w:pPr>
    <w:rPr>
      <w:sz w:val="20"/>
      <w:szCs w:val="20"/>
    </w:rPr>
  </w:style>
  <w:style w:type="paragraph" w:styleId="Header">
    <w:name w:val="header"/>
    <w:basedOn w:val="Normal"/>
    <w:link w:val="HeaderChar"/>
    <w:uiPriority w:val="99"/>
    <w:pPr>
      <w:tabs>
        <w:tab w:val="center" w:pos="4680"/>
        <w:tab w:val="right" w:pos="9360"/>
      </w:tabs>
      <w:spacing w:after="0" w:line="240" w:lineRule="auto"/>
    </w:pPr>
  </w:style>
  <w:style w:type="character" w:styleId="Hyperlink">
    <w:name w:val="Hyperlink"/>
    <w:basedOn w:val="DefaultParagraphFont"/>
    <w:uiPriority w:val="99"/>
    <w:rPr>
      <w:color w:val="0000FF"/>
      <w:u w:val="single"/>
    </w:rPr>
  </w:style>
  <w:style w:type="paragraph" w:styleId="ListBullet">
    <w:name w:val="List Bullet"/>
    <w:basedOn w:val="Normal"/>
    <w:uiPriority w:val="99"/>
    <w:pPr>
      <w:numPr>
        <w:numId w:val="1"/>
      </w:numPr>
      <w:spacing w:line="259" w:lineRule="auto"/>
      <w:contextualSpacing/>
      <w:jc w:val="left"/>
    </w:pPr>
    <w:rPr>
      <w:rFonts w:ascii="Cambria" w:eastAsia="Cambria" w:hAnsi="Cambria" w:cs="SimSun"/>
      <w:sz w:val="22"/>
      <w:szCs w:val="22"/>
    </w:rPr>
  </w:style>
  <w:style w:type="paragraph" w:styleId="NormalWeb">
    <w:name w:val="Normal (Web)"/>
    <w:basedOn w:val="Normal"/>
    <w:uiPriority w:val="99"/>
    <w:pPr>
      <w:spacing w:before="100" w:beforeAutospacing="1" w:after="100" w:afterAutospacing="1" w:line="240" w:lineRule="auto"/>
      <w:jc w:val="left"/>
    </w:pPr>
  </w:style>
  <w:style w:type="character" w:styleId="Strong">
    <w:name w:val="Strong"/>
    <w:basedOn w:val="DefaultParagraphFont"/>
    <w:uiPriority w:val="22"/>
    <w:qFormat/>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TOC1">
    <w:name w:val="toc 1"/>
    <w:basedOn w:val="Normal"/>
    <w:next w:val="Normal"/>
    <w:uiPriority w:val="39"/>
    <w:pPr>
      <w:spacing w:after="100"/>
    </w:pPr>
  </w:style>
  <w:style w:type="paragraph" w:styleId="TOC2">
    <w:name w:val="toc 2"/>
    <w:basedOn w:val="Normal"/>
    <w:next w:val="Normal"/>
    <w:uiPriority w:val="39"/>
    <w:qFormat/>
    <w:pPr>
      <w:spacing w:after="100"/>
      <w:ind w:left="240"/>
    </w:pPr>
  </w:style>
  <w:style w:type="paragraph" w:styleId="TOC3">
    <w:name w:val="toc 3"/>
    <w:basedOn w:val="Normal"/>
    <w:next w:val="Normal"/>
    <w:uiPriority w:val="39"/>
    <w:pPr>
      <w:spacing w:after="100"/>
      <w:ind w:left="480"/>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style>
  <w:style w:type="paragraph" w:styleId="ListParagraph">
    <w:name w:val="List Paragraph"/>
    <w:basedOn w:val="Normal"/>
    <w:link w:val="ListParagraphChar"/>
    <w:uiPriority w:val="34"/>
    <w:qFormat/>
    <w:pPr>
      <w:ind w:left="720"/>
      <w:contextualSpacing/>
    </w:pPr>
  </w:style>
  <w:style w:type="character" w:customStyle="1" w:styleId="Heading1Char">
    <w:name w:val="Heading 1 Char"/>
    <w:basedOn w:val="DefaultParagraphFont"/>
    <w:link w:val="Heading1"/>
    <w:uiPriority w:val="9"/>
    <w:rPr>
      <w:b/>
      <w:i/>
      <w:highlight w:val="white"/>
    </w:rPr>
  </w:style>
  <w:style w:type="character" w:customStyle="1" w:styleId="FootnoteTextChar">
    <w:name w:val="Footnote Text Char"/>
    <w:basedOn w:val="DefaultParagraphFont"/>
    <w:link w:val="FootnoteText"/>
    <w:uiPriority w:val="99"/>
    <w:rPr>
      <w:sz w:val="20"/>
      <w:szCs w:val="20"/>
    </w:rPr>
  </w:style>
  <w:style w:type="character" w:customStyle="1" w:styleId="Heading2Char">
    <w:name w:val="Heading 2 Char"/>
    <w:basedOn w:val="DefaultParagraphFont"/>
    <w:link w:val="Heading2"/>
    <w:uiPriority w:val="9"/>
    <w:rPr>
      <w:b/>
    </w:rPr>
  </w:style>
  <w:style w:type="paragraph" w:customStyle="1" w:styleId="TOCHeading1">
    <w:name w:val="TOC Heading1"/>
    <w:basedOn w:val="Heading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i w:val="0"/>
      <w:color w:val="365F91" w:themeColor="accent1" w:themeShade="BF"/>
      <w:sz w:val="32"/>
      <w:szCs w:val="32"/>
      <w:highlight w:val="none"/>
    </w:rPr>
  </w:style>
  <w:style w:type="table" w:customStyle="1" w:styleId="GridTable4-Accent51">
    <w:name w:val="Grid Table 4 - Accent 51"/>
    <w:basedOn w:val="TableNormal"/>
    <w:uiPriority w:val="49"/>
    <w:rPr>
      <w:rFonts w:asciiTheme="minorHAnsi" w:eastAsiaTheme="minorHAnsi" w:hAnsiTheme="minorHAnsi" w:cstheme="minorBidi"/>
      <w:sz w:val="22"/>
      <w:szCs w:val="22"/>
    </w:rPr>
    <w:tblPr>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61">
    <w:name w:val="Grid Table 4 - Accent 61"/>
    <w:basedOn w:val="TableNormal"/>
    <w:uiPriority w:val="49"/>
    <w:tblPr>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5Dark-Accent41">
    <w:name w:val="Grid Table 5 Dark - Accent 41"/>
    <w:basedOn w:val="TableNormal"/>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5Dark-Accent51">
    <w:name w:val="Grid Table 5 Dark - Accent 51"/>
    <w:basedOn w:val="TableNormal"/>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31">
    <w:name w:val="Grid Table 4 - Accent 31"/>
    <w:basedOn w:val="TableNormal"/>
    <w:uiPriority w:val="49"/>
    <w:tblPr>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21">
    <w:name w:val="Grid Table 4 - Accent 21"/>
    <w:basedOn w:val="TableNormal"/>
    <w:uiPriority w:val="49"/>
    <w:tblPr>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11">
    <w:name w:val="Grid Table 4 - Accent 11"/>
    <w:basedOn w:val="TableNormal"/>
    <w:uiPriority w:val="49"/>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7Colorful-Accent61">
    <w:name w:val="Grid Table 7 Colorful - Accent 61"/>
    <w:basedOn w:val="TableNormal"/>
    <w:uiPriority w:val="52"/>
    <w:rPr>
      <w:color w:val="E36C0A" w:themeColor="accent6" w:themeShade="BF"/>
    </w:rPr>
    <w:tblPr>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GridTable7Colorful-Accent51">
    <w:name w:val="Grid Table 7 Colorful - Accent 51"/>
    <w:basedOn w:val="TableNormal"/>
    <w:uiPriority w:val="52"/>
    <w:rPr>
      <w:color w:val="31849B" w:themeColor="accent5" w:themeShade="BF"/>
    </w:rPr>
    <w:tblPr>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ListTable2-Accent51">
    <w:name w:val="List Table 2 - Accent 51"/>
    <w:basedOn w:val="TableNormal"/>
    <w:uiPriority w:val="47"/>
    <w:tblPr>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3-Accent61">
    <w:name w:val="List Table 3 - Accent 61"/>
    <w:basedOn w:val="TableNormal"/>
    <w:uiPriority w:val="48"/>
    <w:tblPr>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GridTable6Colorful-Accent61">
    <w:name w:val="Grid Table 6 Colorful - Accent 61"/>
    <w:basedOn w:val="TableNormal"/>
    <w:uiPriority w:val="51"/>
    <w:rPr>
      <w:color w:val="E36C0A" w:themeColor="accent6" w:themeShade="BF"/>
    </w:rPr>
    <w:tblPr>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TableParagraph">
    <w:name w:val="Table Paragraph"/>
    <w:basedOn w:val="Normal"/>
    <w:uiPriority w:val="1"/>
    <w:qFormat/>
    <w:pPr>
      <w:widowControl w:val="0"/>
      <w:autoSpaceDE w:val="0"/>
      <w:autoSpaceDN w:val="0"/>
      <w:spacing w:after="0" w:line="240" w:lineRule="auto"/>
      <w:ind w:left="110"/>
      <w:jc w:val="left"/>
    </w:pPr>
    <w:rPr>
      <w:rFonts w:ascii="Verdana" w:eastAsia="Verdana" w:hAnsi="Verdana" w:cs="Verdana"/>
      <w:sz w:val="22"/>
      <w:szCs w:val="22"/>
    </w:rPr>
  </w:style>
  <w:style w:type="paragraph" w:customStyle="1" w:styleId="xmsonormal">
    <w:name w:val="x_msonormal"/>
    <w:basedOn w:val="Normal"/>
    <w:pPr>
      <w:spacing w:after="0" w:line="240" w:lineRule="auto"/>
      <w:jc w:val="left"/>
    </w:pPr>
    <w:rPr>
      <w:rFonts w:ascii="Calibri" w:eastAsiaTheme="minorEastAsia" w:hAnsi="Calibri" w:cs="Calibri"/>
      <w:sz w:val="22"/>
      <w:szCs w:val="22"/>
      <w:lang w:val="en-GB" w:eastAsia="en-GB"/>
    </w:rPr>
  </w:style>
  <w:style w:type="character" w:customStyle="1" w:styleId="elementtoproof">
    <w:name w:val="elementtoproof"/>
    <w:basedOn w:val="DefaultParagraphFont"/>
  </w:style>
  <w:style w:type="character" w:customStyle="1" w:styleId="UnresolvedMention1">
    <w:name w:val="Unresolved Mention1"/>
    <w:basedOn w:val="DefaultParagraphFont"/>
    <w:uiPriority w:val="99"/>
    <w:semiHidden/>
    <w:unhideWhenUsed/>
    <w:rPr>
      <w:color w:val="605E5C"/>
      <w:shd w:val="clear" w:color="auto" w:fill="E1DFDD"/>
    </w:rPr>
  </w:style>
  <w:style w:type="table" w:customStyle="1" w:styleId="GridTable4-Accent41">
    <w:name w:val="Grid Table 4 - Accent 41"/>
    <w:basedOn w:val="TableNormal"/>
    <w:uiPriority w:val="49"/>
    <w:rPr>
      <w:rFonts w:asciiTheme="minorHAnsi" w:eastAsiaTheme="minorHAnsi" w:hAnsiTheme="minorHAnsi" w:cstheme="minorBidi"/>
      <w:sz w:val="22"/>
      <w:szCs w:val="22"/>
    </w:rPr>
    <w:tblPr>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3-Accent51">
    <w:name w:val="Grid Table 3 - Accent 51"/>
    <w:basedOn w:val="TableNormal"/>
    <w:uiPriority w:val="48"/>
    <w:rPr>
      <w:rFonts w:asciiTheme="minorHAnsi" w:eastAsiaTheme="minorHAnsi" w:hAnsiTheme="minorHAnsi" w:cstheme="minorBidi"/>
      <w:sz w:val="22"/>
      <w:szCs w:val="22"/>
    </w:rPr>
    <w:tblPr>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ListTable31">
    <w:name w:val="List Table 31"/>
    <w:basedOn w:val="TableNormal"/>
    <w:uiPriority w:val="48"/>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CommentTextChar">
    <w:name w:val="Comment Text Char"/>
    <w:basedOn w:val="DefaultParagraphFont"/>
    <w:link w:val="CommentText"/>
    <w:uiPriority w:val="99"/>
    <w:semiHidden/>
    <w:rPr>
      <w:rFonts w:asciiTheme="minorHAnsi" w:eastAsiaTheme="minorHAnsi" w:hAnsiTheme="minorHAnsi" w:cstheme="minorBidi"/>
      <w:sz w:val="20"/>
      <w:szCs w:val="20"/>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CommentSubjectChar">
    <w:name w:val="Comment Subject Char"/>
    <w:basedOn w:val="CommentTextChar"/>
    <w:link w:val="CommentSubject"/>
    <w:uiPriority w:val="99"/>
    <w:semiHidden/>
    <w:rPr>
      <w:rFonts w:asciiTheme="minorHAnsi" w:eastAsiaTheme="minorHAnsi" w:hAnsiTheme="minorHAnsi" w:cstheme="minorBidi"/>
      <w:b/>
      <w:bCs/>
      <w:sz w:val="20"/>
      <w:szCs w:val="20"/>
    </w:rPr>
  </w:style>
  <w:style w:type="character" w:customStyle="1" w:styleId="BodyTextChar">
    <w:name w:val="Body Text Char"/>
    <w:basedOn w:val="DefaultParagraphFont"/>
    <w:link w:val="BodyText"/>
    <w:rPr>
      <w:rFonts w:ascii="Cambria" w:eastAsia="MS Mincho" w:hAnsi="Cambria"/>
    </w:rPr>
  </w:style>
  <w:style w:type="table" w:customStyle="1" w:styleId="GridTable2-Accent41">
    <w:name w:val="Grid Table 2 - Accent 41"/>
    <w:basedOn w:val="TableNormal"/>
    <w:uiPriority w:val="47"/>
    <w:rPr>
      <w:rFonts w:asciiTheme="minorHAnsi" w:eastAsiaTheme="minorHAnsi" w:hAnsiTheme="minorHAnsi" w:cstheme="minorBidi"/>
      <w:sz w:val="22"/>
      <w:szCs w:val="22"/>
      <w:lang w:val="en-GB"/>
    </w:rPr>
    <w:tblPr>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ListParagraphChar">
    <w:name w:val="List Paragraph Char"/>
    <w:basedOn w:val="DefaultParagraphFont"/>
    <w:link w:val="ListParagraph"/>
    <w:uiPriority w:val="34"/>
  </w:style>
  <w:style w:type="character" w:customStyle="1" w:styleId="TitleChar">
    <w:name w:val="Title Char"/>
    <w:basedOn w:val="DefaultParagraphFont"/>
    <w:link w:val="Title"/>
    <w:uiPriority w:val="10"/>
    <w:rPr>
      <w:b/>
      <w:sz w:val="72"/>
      <w:szCs w:val="72"/>
    </w:rPr>
  </w:style>
  <w:style w:type="table" w:customStyle="1" w:styleId="GridTable5Dark-Accent61">
    <w:name w:val="Grid Table 5 Dark - Accent 61"/>
    <w:basedOn w:val="TableNormal"/>
    <w:uiPriority w:val="50"/>
    <w:rPr>
      <w:rFonts w:asciiTheme="minorHAnsi" w:eastAsiaTheme="minorHAnsi" w:hAnsiTheme="minorHAnsi" w:cstheme="minorBidi"/>
      <w:sz w:val="22"/>
      <w:szCs w:val="22"/>
      <w:lang w:val="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GridTable1Light-Accent21">
    <w:name w:val="Grid Table 1 Light - Accent 21"/>
    <w:basedOn w:val="TableNormal"/>
    <w:uiPriority w:val="46"/>
    <w:qFormat/>
    <w:rPr>
      <w:rFonts w:asciiTheme="minorHAnsi" w:eastAsiaTheme="minorHAnsi" w:hAnsiTheme="minorHAnsi" w:cstheme="minorBidi"/>
      <w:kern w:val="2"/>
      <w:sz w:val="22"/>
      <w:szCs w:val="22"/>
      <w:lang w:val="en-GB"/>
      <w14:ligatures w14:val="standardContextual"/>
    </w:rPr>
    <w:tblPr>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qFormat/>
    <w:rPr>
      <w:rFonts w:asciiTheme="minorHAnsi" w:eastAsiaTheme="minorHAnsi" w:hAnsiTheme="minorHAnsi" w:cstheme="minorBidi"/>
      <w:kern w:val="2"/>
      <w:sz w:val="22"/>
      <w:szCs w:val="22"/>
      <w:lang w:val="en-GB"/>
      <w14:ligatures w14:val="standardContextual"/>
    </w:rPr>
    <w:tblPr>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qFormat/>
    <w:rPr>
      <w:rFonts w:asciiTheme="minorHAnsi" w:eastAsiaTheme="minorHAnsi" w:hAnsiTheme="minorHAnsi" w:cstheme="minorBidi"/>
      <w:kern w:val="2"/>
      <w:sz w:val="22"/>
      <w:szCs w:val="22"/>
      <w:lang w:val="en-GB"/>
      <w14:ligatures w14:val="standardContextual"/>
    </w:rPr>
    <w:tblPr>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qFormat/>
    <w:rPr>
      <w:rFonts w:asciiTheme="minorHAnsi" w:eastAsiaTheme="minorHAnsi" w:hAnsiTheme="minorHAnsi" w:cstheme="minorBidi"/>
      <w:kern w:val="2"/>
      <w:sz w:val="22"/>
      <w:szCs w:val="22"/>
      <w:lang w:val="en-GB"/>
      <w14:ligatures w14:val="standardContextual"/>
    </w:rPr>
    <w:tblPr>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qFormat/>
    <w:rPr>
      <w:rFonts w:asciiTheme="minorHAnsi" w:eastAsiaTheme="minorHAnsi" w:hAnsiTheme="minorHAnsi" w:cstheme="minorBidi"/>
      <w:kern w:val="2"/>
      <w:sz w:val="22"/>
      <w:szCs w:val="22"/>
      <w:lang w:val="en-GB"/>
      <w14:ligatures w14:val="standardContextual"/>
    </w:rPr>
    <w:tblPr>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qFormat/>
    <w:rPr>
      <w:rFonts w:asciiTheme="minorHAnsi" w:eastAsiaTheme="minorHAnsi" w:hAnsiTheme="minorHAnsi" w:cstheme="minorBidi"/>
      <w:kern w:val="2"/>
      <w:sz w:val="22"/>
      <w:szCs w:val="22"/>
      <w:lang w:val="en-GB"/>
      <w14:ligatures w14:val="standardContextual"/>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6Colorful-Accent21">
    <w:name w:val="Grid Table 6 Colorful - Accent 21"/>
    <w:basedOn w:val="TableNormal"/>
    <w:uiPriority w:val="51"/>
    <w:qFormat/>
    <w:rPr>
      <w:rFonts w:asciiTheme="minorHAnsi" w:eastAsiaTheme="minorHAnsi" w:hAnsiTheme="minorHAnsi" w:cstheme="minorBidi"/>
      <w:color w:val="943634" w:themeColor="accent2" w:themeShade="BF"/>
      <w:kern w:val="2"/>
      <w:sz w:val="22"/>
      <w:szCs w:val="22"/>
      <w:lang w:val="en-GB"/>
      <w14:ligatures w14:val="standardContextual"/>
    </w:rPr>
    <w:tblPr>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Accent51">
    <w:name w:val="Grid Table 6 Colorful - Accent 51"/>
    <w:basedOn w:val="TableNormal"/>
    <w:uiPriority w:val="51"/>
    <w:qFormat/>
    <w:rPr>
      <w:rFonts w:asciiTheme="minorHAnsi" w:eastAsiaTheme="minorHAnsi" w:hAnsiTheme="minorHAnsi" w:cstheme="minorBidi"/>
      <w:color w:val="31849B" w:themeColor="accent5" w:themeShade="BF"/>
      <w:kern w:val="2"/>
      <w:sz w:val="22"/>
      <w:szCs w:val="22"/>
      <w:lang w:val="en-GB"/>
      <w14:ligatures w14:val="standardContextual"/>
    </w:rPr>
    <w:tblPr>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ons.gov.uk/employmentandlabourmarket/peopleinwork/employmentandemployeetypes/bulletins/coronavirusandhomeworkingintheuk/april202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ipd.org/uk/knowledge/reports/gig-economy-report/" TargetMode="External"/><Relationship Id="rId2" Type="http://schemas.openxmlformats.org/officeDocument/2006/relationships/numbering" Target="numbering.xml"/><Relationship Id="rId16" Type="http://schemas.openxmlformats.org/officeDocument/2006/relationships/hyperlink" Target="https://www.bbc.com/news/business-4769107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bc.com/news/business-54884592"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783D1-C463-482B-9FB2-D4639564B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19</Pages>
  <Words>4306</Words>
  <Characters>24546</Characters>
  <Application>Microsoft Office Word</Application>
  <DocSecurity>0</DocSecurity>
  <Lines>204</Lines>
  <Paragraphs>57</Paragraphs>
  <ScaleCrop>false</ScaleCrop>
  <Company/>
  <LinksUpToDate>false</LinksUpToDate>
  <CharactersWithSpaces>28795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Visrut Gadhiya</cp:lastModifiedBy>
  <cp:revision>15</cp:revision>
  <dcterms:created xsi:type="dcterms:W3CDTF">2023-08-21T13:56:00Z</dcterms:created>
  <dcterms:modified xsi:type="dcterms:W3CDTF">2023-08-23T07:49:00Z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3453377dc36197a8a59aaa25fd3bf5ac087cc48febeb1bd26e3659568d5db7ac</vt:lpwstr>
  </property>
  <property fmtid="{D5CDD505-2E9C-101B-9397-08002B2CF9AE}" pid="3" name="ICV">
    <vt:lpwstr>c0d82dd054124926a6cb7980e5a90f59</vt:lpwstr>
  </property>
  <property fmtid="{D5CDD505-2E9C-101B-9397-08002B2CF9AE}" pid="4" name="KSOProductBuildVer">
    <vt:lpwstr>1033-11.2.0.11537</vt:lpwstr>
  </property>
</Properties>
</file>