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3821F" w14:textId="1330376A" w:rsidR="00977239" w:rsidRDefault="00977239" w:rsidP="00977239">
      <w:pPr>
        <w:rPr>
          <w:b/>
          <w:u w:val="single"/>
        </w:rPr>
      </w:pPr>
    </w:p>
    <w:p w14:paraId="3BCA8931" w14:textId="77777777" w:rsidR="00977239" w:rsidRDefault="00977239" w:rsidP="00977239">
      <w:pPr>
        <w:rPr>
          <w:b/>
          <w:u w:val="single"/>
        </w:rPr>
      </w:pPr>
    </w:p>
    <w:p w14:paraId="78540557" w14:textId="28CEA64E" w:rsidR="00977239" w:rsidRPr="00977239" w:rsidRDefault="00977239" w:rsidP="00977239">
      <w:pPr>
        <w:spacing w:after="0" w:line="240" w:lineRule="auto"/>
        <w:ind w:left="-180" w:right="-334"/>
        <w:rPr>
          <w:rFonts w:ascii="Trebuchet MS" w:eastAsia="SimSun" w:hAnsi="Trebuchet MS" w:cs="Tahoma"/>
          <w:color w:val="000000"/>
          <w:sz w:val="24"/>
          <w:szCs w:val="24"/>
          <w:lang w:eastAsia="zh-CN"/>
        </w:rPr>
      </w:pPr>
      <w:r w:rsidRPr="00977239">
        <w:rPr>
          <w:rFonts w:ascii="Georgia" w:eastAsia="SimSun" w:hAnsi="Georgia" w:cs="Times New Roman"/>
          <w:noProof/>
          <w:color w:val="000000"/>
          <w:sz w:val="21"/>
          <w:szCs w:val="21"/>
          <w:lang w:eastAsia="zh-CN"/>
        </w:rPr>
        <w:drawing>
          <wp:inline distT="0" distB="0" distL="0" distR="0" wp14:anchorId="09D62B9E" wp14:editId="081500DC">
            <wp:extent cx="2887980" cy="1051560"/>
            <wp:effectExtent l="19050" t="19050" r="2667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7980" cy="1051560"/>
                    </a:xfrm>
                    <a:prstGeom prst="rect">
                      <a:avLst/>
                    </a:prstGeom>
                    <a:noFill/>
                    <a:ln w="19050" cmpd="sng">
                      <a:solidFill>
                        <a:srgbClr val="000000"/>
                      </a:solidFill>
                      <a:miter lim="800000"/>
                      <a:headEnd/>
                      <a:tailEnd/>
                    </a:ln>
                    <a:effectLst/>
                  </pic:spPr>
                </pic:pic>
              </a:graphicData>
            </a:graphic>
          </wp:inline>
        </w:drawing>
      </w:r>
    </w:p>
    <w:p w14:paraId="4A5DDC9B" w14:textId="77777777" w:rsidR="00977239" w:rsidRPr="00977239" w:rsidRDefault="00977239" w:rsidP="00977239">
      <w:pPr>
        <w:keepNext/>
        <w:spacing w:before="240" w:after="60" w:line="240" w:lineRule="auto"/>
        <w:jc w:val="center"/>
        <w:outlineLvl w:val="0"/>
        <w:rPr>
          <w:rFonts w:ascii="Arial" w:eastAsia="SimSun" w:hAnsi="Arial" w:cs="Arial"/>
          <w:b/>
          <w:bCs/>
          <w:kern w:val="32"/>
          <w:sz w:val="32"/>
          <w:szCs w:val="32"/>
          <w:lang w:val="cy-GB" w:eastAsia="zh-CN"/>
        </w:rPr>
      </w:pPr>
      <w:r w:rsidRPr="00977239">
        <w:rPr>
          <w:rFonts w:ascii="Arial" w:eastAsia="SimSun" w:hAnsi="Arial" w:cs="Arial"/>
          <w:b/>
          <w:bCs/>
          <w:kern w:val="32"/>
          <w:sz w:val="32"/>
          <w:szCs w:val="32"/>
          <w:lang w:val="cy-GB" w:eastAsia="zh-CN"/>
        </w:rPr>
        <w:t>Undergraduate assignment feedback form</w:t>
      </w:r>
    </w:p>
    <w:p w14:paraId="0DE505D8" w14:textId="77777777" w:rsidR="00977239" w:rsidRPr="00977239" w:rsidRDefault="00977239" w:rsidP="00977239">
      <w:pPr>
        <w:spacing w:after="0" w:line="240" w:lineRule="auto"/>
        <w:jc w:val="center"/>
        <w:rPr>
          <w:rFonts w:ascii="Arial" w:eastAsia="SimSun" w:hAnsi="Arial" w:cs="Arial"/>
          <w:b/>
          <w:sz w:val="24"/>
          <w:szCs w:val="24"/>
          <w:lang w:val="cy-GB" w:eastAsia="zh-CN"/>
        </w:rPr>
      </w:pPr>
      <w:r w:rsidRPr="00977239">
        <w:rPr>
          <w:rFonts w:ascii="Arial" w:eastAsia="SimSun" w:hAnsi="Arial" w:cs="Arial"/>
          <w:b/>
          <w:sz w:val="24"/>
          <w:szCs w:val="24"/>
          <w:lang w:val="cy-GB" w:eastAsia="zh-CN"/>
        </w:rPr>
        <w:t>(to be completed by marker)</w:t>
      </w:r>
    </w:p>
    <w:p w14:paraId="261DF9A6" w14:textId="77777777" w:rsidR="00977239" w:rsidRPr="00977239" w:rsidRDefault="00977239" w:rsidP="00977239">
      <w:pPr>
        <w:spacing w:after="0" w:line="240" w:lineRule="auto"/>
        <w:jc w:val="center"/>
        <w:rPr>
          <w:rFonts w:ascii="Arial" w:eastAsia="SimSun" w:hAnsi="Arial" w:cs="Arial"/>
          <w:b/>
          <w:sz w:val="24"/>
          <w:szCs w:val="24"/>
          <w:lang w:val="cy-GB" w:eastAsia="zh-CN"/>
        </w:rPr>
      </w:pPr>
    </w:p>
    <w:p w14:paraId="66FF2866" w14:textId="77777777" w:rsidR="00977239" w:rsidRPr="00977239" w:rsidRDefault="00977239" w:rsidP="00977239">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977239" w:rsidRPr="00977239" w14:paraId="24A8DD13" w14:textId="77777777" w:rsidTr="0073733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65BDBBC0" w14:textId="77777777" w:rsidR="00977239" w:rsidRPr="00977239" w:rsidRDefault="00977239" w:rsidP="00977239">
            <w:pPr>
              <w:spacing w:after="0" w:line="240" w:lineRule="auto"/>
              <w:ind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Student Name:</w:t>
            </w:r>
          </w:p>
          <w:p w14:paraId="3AD8A7C4" w14:textId="77777777" w:rsidR="00977239" w:rsidRPr="00977239" w:rsidRDefault="00977239" w:rsidP="00977239">
            <w:pPr>
              <w:spacing w:after="0" w:line="240" w:lineRule="auto"/>
              <w:ind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 xml:space="preserve">Henry Gillson – Gant </w:t>
            </w:r>
          </w:p>
        </w:tc>
      </w:tr>
      <w:tr w:rsidR="00977239" w:rsidRPr="00977239" w14:paraId="5282D8E3" w14:textId="77777777" w:rsidTr="0073733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D35F7B1" w14:textId="77777777" w:rsidR="00977239" w:rsidRPr="00977239" w:rsidRDefault="00977239" w:rsidP="00977239">
            <w:pPr>
              <w:spacing w:after="0" w:line="240" w:lineRule="auto"/>
              <w:ind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Module title:</w:t>
            </w:r>
          </w:p>
          <w:p w14:paraId="1A6C40AE" w14:textId="26EF155B" w:rsidR="00977239" w:rsidRPr="00977239" w:rsidRDefault="00977239" w:rsidP="00977239">
            <w:pPr>
              <w:spacing w:after="0" w:line="240" w:lineRule="auto"/>
              <w:ind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The Pity Distilled: Literary Responses to War (CSEN5018)</w:t>
            </w:r>
          </w:p>
        </w:tc>
        <w:tc>
          <w:tcPr>
            <w:tcW w:w="3967" w:type="dxa"/>
            <w:gridSpan w:val="2"/>
            <w:tcBorders>
              <w:top w:val="single" w:sz="4" w:space="0" w:color="auto"/>
              <w:left w:val="single" w:sz="4" w:space="0" w:color="auto"/>
              <w:bottom w:val="single" w:sz="4" w:space="0" w:color="auto"/>
              <w:right w:val="single" w:sz="4" w:space="0" w:color="auto"/>
            </w:tcBorders>
          </w:tcPr>
          <w:p w14:paraId="45FA24F5" w14:textId="77777777" w:rsidR="00977239" w:rsidRPr="00977239" w:rsidRDefault="00977239" w:rsidP="00977239">
            <w:pPr>
              <w:spacing w:after="0" w:line="240" w:lineRule="auto"/>
              <w:ind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Student number:</w:t>
            </w:r>
          </w:p>
          <w:p w14:paraId="2868AB5D" w14:textId="77777777" w:rsidR="00977239" w:rsidRPr="00977239" w:rsidRDefault="00977239" w:rsidP="00977239">
            <w:pPr>
              <w:spacing w:after="0" w:line="240" w:lineRule="auto"/>
              <w:rPr>
                <w:rFonts w:ascii="Times New Roman" w:eastAsia="SimSun" w:hAnsi="Times New Roman" w:cs="Times New Roman"/>
                <w:sz w:val="24"/>
                <w:szCs w:val="24"/>
                <w:lang w:eastAsia="zh-CN"/>
              </w:rPr>
            </w:pPr>
            <w:r w:rsidRPr="00977239">
              <w:rPr>
                <w:rFonts w:ascii="Times New Roman" w:eastAsia="SimSun" w:hAnsi="Times New Roman" w:cs="Times New Roman"/>
                <w:sz w:val="24"/>
                <w:szCs w:val="24"/>
                <w:lang w:eastAsia="zh-CN"/>
              </w:rPr>
              <w:t>1600129</w:t>
            </w:r>
          </w:p>
        </w:tc>
      </w:tr>
      <w:tr w:rsidR="00977239" w:rsidRPr="00977239" w14:paraId="4096763C" w14:textId="77777777" w:rsidTr="0073733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00C76EF6" w14:textId="77777777" w:rsidR="00977239" w:rsidRPr="00977239" w:rsidRDefault="00977239" w:rsidP="00977239">
            <w:pPr>
              <w:spacing w:after="0" w:line="240" w:lineRule="auto"/>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For completion by marker:</w:t>
            </w:r>
          </w:p>
          <w:p w14:paraId="7DF87575"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Comments:</w:t>
            </w:r>
          </w:p>
          <w:p w14:paraId="3FBEFC25" w14:textId="5FDAE5CB"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 xml:space="preserve">Word Count: 2571 </w:t>
            </w:r>
            <w:bookmarkStart w:id="0" w:name="_GoBack"/>
            <w:bookmarkEnd w:id="0"/>
          </w:p>
          <w:p w14:paraId="1CDBF960"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3DFA9ADD"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5213D299"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5D8307E7"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06D31E56"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6C3F6E8E"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588128F5"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6E0D2414"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092E14BF"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p w14:paraId="47DE9211" w14:textId="77777777" w:rsidR="00977239" w:rsidRPr="00977239" w:rsidRDefault="00977239" w:rsidP="00977239">
            <w:pPr>
              <w:spacing w:before="100" w:beforeAutospacing="1" w:after="100" w:afterAutospacing="1" w:line="240" w:lineRule="auto"/>
              <w:rPr>
                <w:rFonts w:ascii="Calibri" w:eastAsia="SimSun" w:hAnsi="Calibri" w:cs="Tahoma"/>
                <w:i/>
                <w:color w:val="000000"/>
                <w:sz w:val="24"/>
                <w:szCs w:val="24"/>
                <w:lang w:eastAsia="zh-CN"/>
              </w:rPr>
            </w:pPr>
          </w:p>
        </w:tc>
      </w:tr>
      <w:tr w:rsidR="00977239" w:rsidRPr="00977239" w14:paraId="35AA8C82" w14:textId="77777777" w:rsidTr="00737330">
        <w:trPr>
          <w:trHeight w:val="492"/>
        </w:trPr>
        <w:tc>
          <w:tcPr>
            <w:tcW w:w="6768" w:type="dxa"/>
            <w:gridSpan w:val="2"/>
            <w:tcBorders>
              <w:top w:val="single" w:sz="4" w:space="0" w:color="auto"/>
            </w:tcBorders>
            <w:vAlign w:val="center"/>
          </w:tcPr>
          <w:p w14:paraId="6742B064" w14:textId="77777777" w:rsidR="00977239" w:rsidRPr="00977239" w:rsidRDefault="00977239" w:rsidP="00977239">
            <w:pPr>
              <w:spacing w:before="100" w:beforeAutospacing="1" w:after="100" w:afterAutospacing="1" w:line="240" w:lineRule="auto"/>
              <w:ind w:left="142"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0475C8F2" w14:textId="77777777" w:rsidR="00977239" w:rsidRPr="00977239" w:rsidRDefault="00977239" w:rsidP="00977239">
            <w:pPr>
              <w:spacing w:before="100" w:beforeAutospacing="1" w:after="0" w:afterAutospacing="1" w:line="240" w:lineRule="auto"/>
              <w:ind w:left="142"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Date:</w:t>
            </w:r>
          </w:p>
        </w:tc>
      </w:tr>
      <w:tr w:rsidR="00977239" w:rsidRPr="00977239" w14:paraId="7F558587" w14:textId="77777777" w:rsidTr="00737330">
        <w:tc>
          <w:tcPr>
            <w:tcW w:w="8755" w:type="dxa"/>
            <w:gridSpan w:val="3"/>
            <w:vAlign w:val="center"/>
          </w:tcPr>
          <w:p w14:paraId="6ADD3196" w14:textId="77777777" w:rsidR="00977239" w:rsidRPr="00977239" w:rsidRDefault="00977239" w:rsidP="00977239">
            <w:pPr>
              <w:spacing w:after="0" w:line="240" w:lineRule="auto"/>
              <w:ind w:left="142" w:right="34"/>
              <w:rPr>
                <w:rFonts w:ascii="Calibri" w:eastAsia="SimSun" w:hAnsi="Calibri" w:cs="Tahoma"/>
                <w:i/>
                <w:color w:val="000000"/>
                <w:sz w:val="24"/>
                <w:szCs w:val="24"/>
                <w:lang w:eastAsia="zh-CN"/>
              </w:rPr>
            </w:pPr>
            <w:r w:rsidRPr="00977239">
              <w:rPr>
                <w:rFonts w:ascii="Calibri" w:eastAsia="SimSun" w:hAnsi="Calibri" w:cs="Tahoma"/>
                <w:i/>
                <w:color w:val="000000"/>
                <w:sz w:val="24"/>
                <w:szCs w:val="24"/>
                <w:lang w:eastAsia="zh-CN"/>
              </w:rPr>
              <w:t xml:space="preserve">Provisional mark: </w:t>
            </w:r>
          </w:p>
          <w:p w14:paraId="42C449F1" w14:textId="77777777" w:rsidR="00977239" w:rsidRPr="00977239" w:rsidRDefault="00977239" w:rsidP="00977239">
            <w:pPr>
              <w:spacing w:after="0" w:line="240" w:lineRule="auto"/>
              <w:ind w:left="142" w:right="34"/>
              <w:rPr>
                <w:rFonts w:ascii="Calibri" w:eastAsia="SimSun" w:hAnsi="Calibri" w:cs="Tahoma"/>
                <w:i/>
                <w:color w:val="000000"/>
                <w:sz w:val="24"/>
                <w:szCs w:val="24"/>
                <w:lang w:eastAsia="zh-CN"/>
              </w:rPr>
            </w:pPr>
            <w:r w:rsidRPr="00977239">
              <w:rPr>
                <w:rFonts w:ascii="Calibri" w:eastAsia="SimSun" w:hAnsi="Calibri" w:cs="Tahoma"/>
                <w:b/>
                <w:i/>
                <w:color w:val="000000"/>
                <w:sz w:val="24"/>
                <w:szCs w:val="24"/>
                <w:lang w:eastAsia="zh-CN"/>
              </w:rPr>
              <w:lastRenderedPageBreak/>
              <w:t>NB.</w:t>
            </w:r>
            <w:r w:rsidRPr="00977239">
              <w:rPr>
                <w:rFonts w:ascii="Calibri" w:eastAsia="SimSun" w:hAnsi="Calibri" w:cs="Tahoma"/>
                <w:i/>
                <w:color w:val="000000"/>
                <w:sz w:val="24"/>
                <w:szCs w:val="24"/>
                <w:lang w:eastAsia="zh-CN"/>
              </w:rPr>
              <w:t xml:space="preserve">  All marks are provisional until confirmed by the final examination board. </w:t>
            </w:r>
          </w:p>
        </w:tc>
      </w:tr>
    </w:tbl>
    <w:p w14:paraId="0EF08A3A" w14:textId="77777777" w:rsidR="00977239" w:rsidRPr="00977239" w:rsidRDefault="00977239" w:rsidP="00977239">
      <w:pPr>
        <w:spacing w:after="0" w:line="240" w:lineRule="auto"/>
        <w:ind w:right="-334"/>
        <w:rPr>
          <w:rFonts w:ascii="Trebuchet MS" w:eastAsia="SimSun" w:hAnsi="Trebuchet MS" w:cs="Tahoma"/>
          <w:b/>
          <w:bCs/>
          <w:color w:val="000000"/>
          <w:sz w:val="24"/>
          <w:szCs w:val="24"/>
          <w:lang w:eastAsia="zh-CN"/>
        </w:rPr>
      </w:pPr>
    </w:p>
    <w:p w14:paraId="3CF3820D" w14:textId="77777777" w:rsidR="00977239" w:rsidRPr="00977239" w:rsidRDefault="00977239" w:rsidP="00977239">
      <w:pPr>
        <w:spacing w:after="0" w:line="240" w:lineRule="auto"/>
        <w:ind w:right="-334"/>
        <w:rPr>
          <w:rFonts w:ascii="Trebuchet MS" w:eastAsia="SimSun" w:hAnsi="Trebuchet MS" w:cs="Tahoma"/>
          <w:b/>
          <w:bCs/>
          <w:color w:val="000000"/>
          <w:sz w:val="24"/>
          <w:szCs w:val="24"/>
          <w:lang w:eastAsia="zh-CN"/>
        </w:rPr>
      </w:pPr>
    </w:p>
    <w:p w14:paraId="090B541F" w14:textId="588A87AF" w:rsidR="004B181F" w:rsidRDefault="004B181F" w:rsidP="00977239">
      <w:pPr>
        <w:rPr>
          <w:b/>
          <w:u w:val="single"/>
        </w:rPr>
      </w:pPr>
      <w:r>
        <w:rPr>
          <w:b/>
          <w:u w:val="single"/>
        </w:rPr>
        <w:t>‘</w:t>
      </w:r>
      <w:r w:rsidRPr="004B181F">
        <w:rPr>
          <w:b/>
          <w:u w:val="single"/>
        </w:rPr>
        <w:t xml:space="preserve">Someone had blundered.’ Consider who is ‘blamed’ for war in the light of Tennyson’s famous line. </w:t>
      </w:r>
    </w:p>
    <w:p w14:paraId="361C5F8C" w14:textId="798A5A78" w:rsidR="004B181F" w:rsidRDefault="004B181F" w:rsidP="004B181F">
      <w:pPr>
        <w:rPr>
          <w:b/>
          <w:u w:val="single"/>
        </w:rPr>
      </w:pPr>
    </w:p>
    <w:p w14:paraId="4BBD9AEA" w14:textId="4A17D822" w:rsidR="004B181F" w:rsidRDefault="004B181F" w:rsidP="004B181F">
      <w:r>
        <w:t xml:space="preserve">‘Someone had blundered’, the quote in the title asking us a direct question, </w:t>
      </w:r>
      <w:r w:rsidRPr="00002B9F">
        <w:rPr>
          <w:noProof/>
        </w:rPr>
        <w:t>wh</w:t>
      </w:r>
      <w:r w:rsidR="00002B9F">
        <w:rPr>
          <w:noProof/>
        </w:rPr>
        <w:t>ich</w:t>
      </w:r>
      <w:r>
        <w:t xml:space="preserve"> is to blame for </w:t>
      </w:r>
      <w:r w:rsidR="00002B9F">
        <w:t xml:space="preserve">the </w:t>
      </w:r>
      <w:r w:rsidRPr="00002B9F">
        <w:rPr>
          <w:noProof/>
        </w:rPr>
        <w:t>war</w:t>
      </w:r>
      <w:r>
        <w:t xml:space="preserve">. </w:t>
      </w:r>
      <w:r w:rsidR="00002B9F">
        <w:rPr>
          <w:noProof/>
        </w:rPr>
        <w:t>T</w:t>
      </w:r>
      <w:r w:rsidRPr="00002B9F">
        <w:rPr>
          <w:noProof/>
        </w:rPr>
        <w:t>he quote</w:t>
      </w:r>
      <w:r>
        <w:t xml:space="preserve"> is from the poem </w:t>
      </w:r>
      <w:r>
        <w:rPr>
          <w:i/>
        </w:rPr>
        <w:t>The Charge of The Light Brigade</w:t>
      </w:r>
      <w:r>
        <w:t xml:space="preserve">, by Lord Tennyson who at the time was the poet Lauriat at the Court of St James to Queen Victoria. The poem is based on the disastrous charge of the Light Brigade at Balaclava during the Crimean war. Tennyson asks the question who is to blame, and who is? The Crimean War is significant at It was the first modern conflict that Britain reflected on its military disasters and who is to blame for them. In this </w:t>
      </w:r>
      <w:r w:rsidRPr="00002B9F">
        <w:rPr>
          <w:noProof/>
        </w:rPr>
        <w:t>piece</w:t>
      </w:r>
      <w:r w:rsidR="00002B9F">
        <w:rPr>
          <w:noProof/>
        </w:rPr>
        <w:t>,</w:t>
      </w:r>
      <w:r>
        <w:t xml:space="preserve"> the investigation will </w:t>
      </w:r>
      <w:r w:rsidRPr="00002B9F">
        <w:rPr>
          <w:noProof/>
        </w:rPr>
        <w:t>be intrinsically linked</w:t>
      </w:r>
      <w:r>
        <w:t xml:space="preserve"> to the Crimea and the Charge of the Light Brigade, as well as the social and military hierarchies of the day. Sources to </w:t>
      </w:r>
      <w:r w:rsidR="00BE07A4">
        <w:t xml:space="preserve">be </w:t>
      </w:r>
      <w:r>
        <w:t>used to understand who is to blame will be poems based on conflict thought to have influenced Tennyson in the writing of this piece</w:t>
      </w:r>
      <w:r w:rsidR="00BE07A4">
        <w:t xml:space="preserve"> but also analysis of </w:t>
      </w:r>
      <w:r w:rsidR="00002B9F">
        <w:rPr>
          <w:noProof/>
        </w:rPr>
        <w:t>tradition</w:t>
      </w:r>
      <w:r w:rsidR="00BE07A4" w:rsidRPr="00002B9F">
        <w:rPr>
          <w:noProof/>
        </w:rPr>
        <w:t>al</w:t>
      </w:r>
      <w:r w:rsidR="00BE07A4">
        <w:t xml:space="preserve"> institutions attributed to blame such as the buying and selling of commissions. </w:t>
      </w:r>
      <w:r>
        <w:t xml:space="preserve"> </w:t>
      </w:r>
      <w:r w:rsidR="00BE07A4">
        <w:t xml:space="preserve">The study of some aspects of war will also </w:t>
      </w:r>
      <w:r w:rsidR="00BE07A4" w:rsidRPr="00002B9F">
        <w:rPr>
          <w:noProof/>
        </w:rPr>
        <w:t>be investigated</w:t>
      </w:r>
      <w:r w:rsidR="00BE07A4">
        <w:t xml:space="preserve"> to appreciate the larger picture of the organs of state, that an institute and not a person can </w:t>
      </w:r>
      <w:r w:rsidR="00BE07A4" w:rsidRPr="00002B9F">
        <w:rPr>
          <w:noProof/>
        </w:rPr>
        <w:t>be blamed</w:t>
      </w:r>
      <w:r w:rsidR="00BE07A4">
        <w:t xml:space="preserve"> for </w:t>
      </w:r>
      <w:r w:rsidR="00002B9F">
        <w:t xml:space="preserve">the </w:t>
      </w:r>
      <w:r w:rsidR="00BE07A4" w:rsidRPr="00002B9F">
        <w:rPr>
          <w:noProof/>
        </w:rPr>
        <w:t>war</w:t>
      </w:r>
      <w:r w:rsidR="00BE07A4">
        <w:t xml:space="preserve">.  </w:t>
      </w:r>
    </w:p>
    <w:p w14:paraId="3C04893A" w14:textId="183E076C" w:rsidR="00BE07A4" w:rsidRDefault="00BE07A4" w:rsidP="004B181F">
      <w:r>
        <w:t xml:space="preserve">As the question </w:t>
      </w:r>
      <w:r w:rsidRPr="00002B9F">
        <w:rPr>
          <w:noProof/>
        </w:rPr>
        <w:t>is based</w:t>
      </w:r>
      <w:r>
        <w:t xml:space="preserve"> </w:t>
      </w:r>
      <w:r w:rsidRPr="00002B9F">
        <w:rPr>
          <w:noProof/>
        </w:rPr>
        <w:t>on</w:t>
      </w:r>
      <w:r>
        <w:t xml:space="preserve"> a poem and as </w:t>
      </w:r>
      <w:r w:rsidRPr="00002B9F">
        <w:rPr>
          <w:noProof/>
        </w:rPr>
        <w:t>a poem</w:t>
      </w:r>
      <w:r>
        <w:t xml:space="preserve"> tends to be the extension of opinions of the Author we learn must learn about their motives for writing the peace. </w:t>
      </w:r>
      <w:r>
        <w:rPr>
          <w:i/>
        </w:rPr>
        <w:t>The Charge of the Light Brigade</w:t>
      </w:r>
      <w:r w:rsidR="007729BF">
        <w:rPr>
          <w:i/>
        </w:rPr>
        <w:t xml:space="preserve"> </w:t>
      </w:r>
      <w:r w:rsidR="00002B9F">
        <w:rPr>
          <w:noProof/>
        </w:rPr>
        <w:t>h</w:t>
      </w:r>
      <w:r w:rsidR="007729BF" w:rsidRPr="00002B9F">
        <w:rPr>
          <w:noProof/>
        </w:rPr>
        <w:t>a</w:t>
      </w:r>
      <w:r w:rsidR="00002B9F">
        <w:rPr>
          <w:noProof/>
        </w:rPr>
        <w:t>d been</w:t>
      </w:r>
      <w:r w:rsidR="007729BF" w:rsidRPr="00002B9F">
        <w:rPr>
          <w:noProof/>
        </w:rPr>
        <w:t xml:space="preserve"> published</w:t>
      </w:r>
      <w:r w:rsidR="007729BF">
        <w:t xml:space="preserve"> in 1855 </w:t>
      </w:r>
      <w:r w:rsidR="007729BF" w:rsidRPr="00002B9F">
        <w:rPr>
          <w:noProof/>
        </w:rPr>
        <w:t>whil</w:t>
      </w:r>
      <w:r w:rsidR="00002B9F">
        <w:rPr>
          <w:noProof/>
        </w:rPr>
        <w:t>e</w:t>
      </w:r>
      <w:r w:rsidR="007729BF">
        <w:t xml:space="preserve"> the Crimean War was ongoing</w:t>
      </w:r>
      <w:r w:rsidR="007C674D">
        <w:rPr>
          <w:rStyle w:val="FootnoteReference"/>
        </w:rPr>
        <w:footnoteReference w:id="1"/>
      </w:r>
      <w:r w:rsidR="007729BF">
        <w:t>. Tennyson wrote it as a retelling of the Battle of Balaclava and the disastrous charge of the Light Brigade</w:t>
      </w:r>
      <w:r w:rsidR="00B64352">
        <w:rPr>
          <w:rStyle w:val="FootnoteReference"/>
        </w:rPr>
        <w:footnoteReference w:id="2"/>
      </w:r>
      <w:r w:rsidR="007729BF">
        <w:t xml:space="preserve">. He is deliberately ambiguous when it comes to questioning the legitimacy of the </w:t>
      </w:r>
      <w:r w:rsidR="007729BF" w:rsidRPr="00002B9F">
        <w:rPr>
          <w:noProof/>
        </w:rPr>
        <w:t>c</w:t>
      </w:r>
      <w:r w:rsidR="00002B9F">
        <w:rPr>
          <w:noProof/>
        </w:rPr>
        <w:t>ost</w:t>
      </w:r>
      <w:r w:rsidR="007729BF">
        <w:t>, and who is to blame for the blunder, Tennyson does not</w:t>
      </w:r>
      <w:r w:rsidR="00002B9F">
        <w:t>, however,</w:t>
      </w:r>
      <w:r w:rsidR="007729BF">
        <w:t xml:space="preserve"> point the finger</w:t>
      </w:r>
      <w:r w:rsidR="00B64352">
        <w:rPr>
          <w:rStyle w:val="FootnoteReference"/>
        </w:rPr>
        <w:footnoteReference w:id="3"/>
      </w:r>
      <w:r w:rsidR="007729BF">
        <w:t xml:space="preserve">. At the time Tennyson was a Poet Laureate, an appointment that permitted the holder to write poetry that reflected </w:t>
      </w:r>
      <w:r w:rsidR="007729BF" w:rsidRPr="00002B9F">
        <w:rPr>
          <w:noProof/>
        </w:rPr>
        <w:t xml:space="preserve">the </w:t>
      </w:r>
      <w:r w:rsidR="00002B9F">
        <w:rPr>
          <w:noProof/>
        </w:rPr>
        <w:t>behaviour and outlook of the nation</w:t>
      </w:r>
      <w:r w:rsidR="00B64352">
        <w:t xml:space="preserve"> at the time</w:t>
      </w:r>
      <w:r w:rsidR="00B64352">
        <w:rPr>
          <w:rStyle w:val="FootnoteReference"/>
        </w:rPr>
        <w:footnoteReference w:id="4"/>
      </w:r>
      <w:r w:rsidR="007729BF">
        <w:t xml:space="preserve">. </w:t>
      </w:r>
      <w:r>
        <w:t xml:space="preserve"> </w:t>
      </w:r>
      <w:r w:rsidR="007729BF">
        <w:t>The ambiguity regarding blame is a testament to the British Press who demanded that somebody should be held accountable for the disaster</w:t>
      </w:r>
      <w:r w:rsidR="00B64352">
        <w:rPr>
          <w:rStyle w:val="FootnoteReference"/>
        </w:rPr>
        <w:footnoteReference w:id="5"/>
      </w:r>
      <w:r w:rsidR="007729BF">
        <w:t xml:space="preserve">. Papers on the right of the political spectrum demanded that the military leaders </w:t>
      </w:r>
      <w:r w:rsidR="007729BF" w:rsidRPr="00002B9F">
        <w:rPr>
          <w:noProof/>
        </w:rPr>
        <w:t>be held</w:t>
      </w:r>
      <w:r w:rsidR="007729BF">
        <w:t xml:space="preserve"> to account, yet the </w:t>
      </w:r>
      <w:r w:rsidR="00002B9F">
        <w:rPr>
          <w:noProof/>
        </w:rPr>
        <w:t>document</w:t>
      </w:r>
      <w:r w:rsidR="007729BF" w:rsidRPr="00002B9F">
        <w:rPr>
          <w:noProof/>
        </w:rPr>
        <w:t>s</w:t>
      </w:r>
      <w:r w:rsidR="007729BF">
        <w:t xml:space="preserve"> on the left of the spectrum demanded justice for the hundreds of men killed, neither could agree</w:t>
      </w:r>
      <w:r w:rsidR="00B64352">
        <w:rPr>
          <w:rStyle w:val="FootnoteReference"/>
        </w:rPr>
        <w:footnoteReference w:id="6"/>
      </w:r>
      <w:r w:rsidR="007729BF">
        <w:t xml:space="preserve">. As a Poet </w:t>
      </w:r>
      <w:r w:rsidR="007729BF" w:rsidRPr="00002B9F">
        <w:rPr>
          <w:noProof/>
        </w:rPr>
        <w:t>Laureate</w:t>
      </w:r>
      <w:r w:rsidR="00002B9F">
        <w:rPr>
          <w:noProof/>
        </w:rPr>
        <w:t>,</w:t>
      </w:r>
      <w:r w:rsidR="007729BF">
        <w:t xml:space="preserve"> Tennyson wrote poetry that represented </w:t>
      </w:r>
      <w:r w:rsidR="00963846">
        <w:t>t</w:t>
      </w:r>
      <w:r w:rsidR="007729BF">
        <w:t xml:space="preserve">he nation, and the </w:t>
      </w:r>
      <w:r w:rsidR="007729BF">
        <w:rPr>
          <w:i/>
        </w:rPr>
        <w:t xml:space="preserve">Charge of The Light </w:t>
      </w:r>
      <w:r w:rsidR="007729BF" w:rsidRPr="00002B9F">
        <w:rPr>
          <w:i/>
          <w:noProof/>
        </w:rPr>
        <w:t>Brigade</w:t>
      </w:r>
      <w:r w:rsidR="007729BF">
        <w:t xml:space="preserve"> aptly replicates the feelings felt by the British Press, which in turn increased public demands for accountability</w:t>
      </w:r>
      <w:r w:rsidR="00B64352">
        <w:rPr>
          <w:rStyle w:val="FootnoteReference"/>
        </w:rPr>
        <w:footnoteReference w:id="7"/>
      </w:r>
      <w:r w:rsidR="007729BF">
        <w:t xml:space="preserve">. </w:t>
      </w:r>
    </w:p>
    <w:p w14:paraId="029E6243" w14:textId="1164D6F5" w:rsidR="00963846" w:rsidRDefault="00963846" w:rsidP="004B181F">
      <w:r>
        <w:t xml:space="preserve">The poem </w:t>
      </w:r>
      <w:r w:rsidR="009B5BB5">
        <w:t>is</w:t>
      </w:r>
      <w:r>
        <w:t xml:space="preserve"> not against the war but does question </w:t>
      </w:r>
      <w:r w:rsidR="00002B9F">
        <w:rPr>
          <w:noProof/>
        </w:rPr>
        <w:t>specific</w:t>
      </w:r>
      <w:r>
        <w:t xml:space="preserve"> actions within the poem that </w:t>
      </w:r>
      <w:r w:rsidR="00002B9F">
        <w:rPr>
          <w:noProof/>
        </w:rPr>
        <w:t>challenge</w:t>
      </w:r>
      <w:r w:rsidRPr="00002B9F">
        <w:rPr>
          <w:noProof/>
        </w:rPr>
        <w:t>s</w:t>
      </w:r>
      <w:r>
        <w:t xml:space="preserve"> if they should have happened, and why they</w:t>
      </w:r>
      <w:r w:rsidR="0029257C">
        <w:t xml:space="preserve"> </w:t>
      </w:r>
      <w:r>
        <w:t xml:space="preserve">as they did. It is noticeable </w:t>
      </w:r>
      <w:r w:rsidR="009B5BB5">
        <w:t xml:space="preserve">that Tennyson does not ascribe </w:t>
      </w:r>
      <w:r w:rsidR="0029257C">
        <w:t xml:space="preserve">blame </w:t>
      </w:r>
      <w:r w:rsidR="009B5BB5">
        <w:t xml:space="preserve">but then again as a Poet laureate he could not justifiably protest the government as the appointment was and still is today political and was expected although with </w:t>
      </w:r>
      <w:r w:rsidR="00002B9F">
        <w:rPr>
          <w:noProof/>
        </w:rPr>
        <w:t>significan</w:t>
      </w:r>
      <w:r w:rsidR="009B5BB5" w:rsidRPr="00002B9F">
        <w:rPr>
          <w:noProof/>
        </w:rPr>
        <w:t>t</w:t>
      </w:r>
      <w:r w:rsidR="009B5BB5">
        <w:t xml:space="preserve"> flexibility to tow the Government line</w:t>
      </w:r>
      <w:r w:rsidR="0029257C">
        <w:rPr>
          <w:rStyle w:val="FootnoteReference"/>
        </w:rPr>
        <w:footnoteReference w:id="8"/>
      </w:r>
      <w:r w:rsidR="009B5BB5">
        <w:t xml:space="preserve">. </w:t>
      </w:r>
      <w:r w:rsidR="009B5BB5" w:rsidRPr="00002B9F">
        <w:rPr>
          <w:noProof/>
        </w:rPr>
        <w:t>This</w:t>
      </w:r>
      <w:r w:rsidR="009B5BB5">
        <w:t xml:space="preserve"> does not necessarily apply to Tennyson as he is merely replicating </w:t>
      </w:r>
      <w:r w:rsidR="009B5BB5">
        <w:lastRenderedPageBreak/>
        <w:t>the existing political situation at</w:t>
      </w:r>
      <w:r w:rsidR="00103CC8">
        <w:t xml:space="preserve"> the</w:t>
      </w:r>
      <w:r w:rsidR="009B5BB5">
        <w:t xml:space="preserve"> time. </w:t>
      </w:r>
      <w:r w:rsidR="003929F7">
        <w:t xml:space="preserve">Both members of the Houses of Commons and the Lords </w:t>
      </w:r>
      <w:r w:rsidR="00E80B29">
        <w:t xml:space="preserve">debated fiercely over who should </w:t>
      </w:r>
      <w:r w:rsidR="00E80B29" w:rsidRPr="00002B9F">
        <w:rPr>
          <w:noProof/>
        </w:rPr>
        <w:t>h</w:t>
      </w:r>
      <w:r w:rsidR="00002B9F">
        <w:rPr>
          <w:noProof/>
        </w:rPr>
        <w:t>o</w:t>
      </w:r>
      <w:r w:rsidR="00E80B29" w:rsidRPr="00002B9F">
        <w:rPr>
          <w:noProof/>
        </w:rPr>
        <w:t>ld</w:t>
      </w:r>
      <w:r w:rsidR="00E80B29">
        <w:t xml:space="preserve"> to account</w:t>
      </w:r>
      <w:r w:rsidR="0029257C">
        <w:rPr>
          <w:rStyle w:val="FootnoteReference"/>
        </w:rPr>
        <w:footnoteReference w:id="9"/>
      </w:r>
      <w:r w:rsidR="00E80B29">
        <w:t xml:space="preserve">. </w:t>
      </w:r>
      <w:r w:rsidR="00962BDE">
        <w:t>The government of the day demanded the resignation of Lord Ragland who had commanded the army during the battle, the opposition</w:t>
      </w:r>
      <w:r w:rsidR="00002B9F">
        <w:t>, on the other hand,</w:t>
      </w:r>
      <w:r w:rsidR="00962BDE">
        <w:t xml:space="preserve"> </w:t>
      </w:r>
      <w:r w:rsidR="00002B9F">
        <w:rPr>
          <w:noProof/>
        </w:rPr>
        <w:t>requir</w:t>
      </w:r>
      <w:r w:rsidR="00962BDE" w:rsidRPr="00002B9F">
        <w:rPr>
          <w:noProof/>
        </w:rPr>
        <w:t>ed</w:t>
      </w:r>
      <w:r w:rsidR="00962BDE">
        <w:t xml:space="preserve"> the reform of the </w:t>
      </w:r>
      <w:r w:rsidR="00002B9F">
        <w:rPr>
          <w:noProof/>
        </w:rPr>
        <w:t>militar</w:t>
      </w:r>
      <w:r w:rsidR="00962BDE" w:rsidRPr="00002B9F">
        <w:rPr>
          <w:noProof/>
        </w:rPr>
        <w:t>y</w:t>
      </w:r>
      <w:r w:rsidR="00962BDE">
        <w:t xml:space="preserve"> due to the blunders</w:t>
      </w:r>
      <w:r w:rsidR="0029257C">
        <w:rPr>
          <w:rStyle w:val="FootnoteReference"/>
        </w:rPr>
        <w:footnoteReference w:id="10"/>
      </w:r>
      <w:r w:rsidR="00962BDE">
        <w:t xml:space="preserve">. </w:t>
      </w:r>
      <w:r w:rsidR="00002B9F">
        <w:rPr>
          <w:noProof/>
        </w:rPr>
        <w:t>B</w:t>
      </w:r>
      <w:proofErr w:type="spellStart"/>
      <w:r w:rsidR="00962BDE">
        <w:t>oth</w:t>
      </w:r>
      <w:proofErr w:type="spellEnd"/>
      <w:r w:rsidR="00962BDE">
        <w:t xml:space="preserve"> seemed to absolve themselves</w:t>
      </w:r>
      <w:r w:rsidR="0029257C">
        <w:t xml:space="preserve"> of</w:t>
      </w:r>
      <w:r w:rsidR="00962BDE">
        <w:t xml:space="preserve"> if any blame on their part</w:t>
      </w:r>
      <w:r w:rsidR="0029257C">
        <w:rPr>
          <w:rStyle w:val="FootnoteReference"/>
        </w:rPr>
        <w:footnoteReference w:id="11"/>
      </w:r>
      <w:r w:rsidR="00962BDE">
        <w:t xml:space="preserve">. </w:t>
      </w:r>
      <w:r w:rsidR="00002B9F">
        <w:rPr>
          <w:noProof/>
        </w:rPr>
        <w:t>W</w:t>
      </w:r>
      <w:proofErr w:type="spellStart"/>
      <w:r w:rsidR="00962BDE">
        <w:t>ithin</w:t>
      </w:r>
      <w:proofErr w:type="spellEnd"/>
      <w:r w:rsidR="00962BDE">
        <w:t xml:space="preserve"> the role of the state particularly in the United </w:t>
      </w:r>
      <w:r w:rsidR="00962BDE" w:rsidRPr="00002B9F">
        <w:rPr>
          <w:noProof/>
        </w:rPr>
        <w:t>Kingdom</w:t>
      </w:r>
      <w:r w:rsidR="00002B9F">
        <w:rPr>
          <w:noProof/>
        </w:rPr>
        <w:t>,</w:t>
      </w:r>
      <w:r w:rsidR="00962BDE">
        <w:t xml:space="preserve"> it is the politicians who make the decisions</w:t>
      </w:r>
      <w:r w:rsidR="00002B9F">
        <w:t>,</w:t>
      </w:r>
      <w:r w:rsidR="00962BDE">
        <w:t xml:space="preserve"> </w:t>
      </w:r>
      <w:r w:rsidR="00962BDE" w:rsidRPr="00002B9F">
        <w:rPr>
          <w:noProof/>
        </w:rPr>
        <w:t>and</w:t>
      </w:r>
      <w:r w:rsidR="00962BDE">
        <w:t xml:space="preserve"> the Crimean War was no exception</w:t>
      </w:r>
      <w:r w:rsidR="0029257C">
        <w:rPr>
          <w:rStyle w:val="FootnoteReference"/>
        </w:rPr>
        <w:footnoteReference w:id="12"/>
      </w:r>
      <w:r w:rsidR="00962BDE">
        <w:t>. Markovits in h</w:t>
      </w:r>
      <w:r w:rsidR="0029257C">
        <w:t xml:space="preserve">er </w:t>
      </w:r>
      <w:r w:rsidR="00962BDE">
        <w:t xml:space="preserve">analysis of the poem tackles the ambiguity as a </w:t>
      </w:r>
      <w:r w:rsidR="00F042EE">
        <w:t>double-edged</w:t>
      </w:r>
      <w:r w:rsidR="00962BDE">
        <w:t xml:space="preserve"> sword</w:t>
      </w:r>
      <w:r w:rsidR="0063661E">
        <w:rPr>
          <w:rStyle w:val="FootnoteReference"/>
        </w:rPr>
        <w:footnoteReference w:id="13"/>
      </w:r>
      <w:r w:rsidR="00962BDE">
        <w:t xml:space="preserve">. Whereas </w:t>
      </w:r>
      <w:r w:rsidR="00F042EE">
        <w:t>Tennyson as Poet laureate had to follow a political line and as such may not ascribe blame, he does sufficiently show that the issue was by no means clear to his contemporary politicians</w:t>
      </w:r>
      <w:r w:rsidR="006A2A8A">
        <w:rPr>
          <w:rStyle w:val="FootnoteReference"/>
        </w:rPr>
        <w:footnoteReference w:id="14"/>
      </w:r>
      <w:r w:rsidR="00F042EE">
        <w:t xml:space="preserve">.  </w:t>
      </w:r>
    </w:p>
    <w:p w14:paraId="097DA31E" w14:textId="39BED398" w:rsidR="00972A0E" w:rsidRDefault="00F71A93">
      <w:r>
        <w:t xml:space="preserve">In </w:t>
      </w:r>
      <w:r w:rsidR="0029257C">
        <w:t>today’s</w:t>
      </w:r>
      <w:r>
        <w:t xml:space="preserve"> political establishment </w:t>
      </w:r>
      <w:r w:rsidR="00874B31">
        <w:t>which has not changed since the Crimean War, the military is beholden to civilian politicians for their instructions, not their command structure</w:t>
      </w:r>
      <w:r w:rsidR="00A03589">
        <w:rPr>
          <w:rStyle w:val="FootnoteReference"/>
        </w:rPr>
        <w:footnoteReference w:id="15"/>
      </w:r>
      <w:r w:rsidR="00874B31">
        <w:t xml:space="preserve">. As armed forces are considered organs of the state then it is </w:t>
      </w:r>
      <w:r w:rsidR="00874B31" w:rsidRPr="00002B9F">
        <w:rPr>
          <w:noProof/>
        </w:rPr>
        <w:t>a civilian</w:t>
      </w:r>
      <w:r w:rsidR="00874B31">
        <w:t xml:space="preserve"> government who proposes the military plans for campaigns, the military </w:t>
      </w:r>
      <w:r w:rsidR="00874B31" w:rsidRPr="00002B9F">
        <w:rPr>
          <w:noProof/>
        </w:rPr>
        <w:t>enact</w:t>
      </w:r>
      <w:r w:rsidR="00002B9F">
        <w:rPr>
          <w:noProof/>
        </w:rPr>
        <w:t>s</w:t>
      </w:r>
      <w:r w:rsidR="00874B31">
        <w:t xml:space="preserve"> such orders</w:t>
      </w:r>
      <w:r w:rsidR="00D73169">
        <w:rPr>
          <w:rStyle w:val="FootnoteReference"/>
        </w:rPr>
        <w:footnoteReference w:id="16"/>
      </w:r>
      <w:r w:rsidR="00874B31">
        <w:t xml:space="preserve">. Carl Von Clausewitz defined war as a mere extension of politics, a means of extending </w:t>
      </w:r>
      <w:r w:rsidR="00874B31" w:rsidRPr="00002B9F">
        <w:rPr>
          <w:noProof/>
        </w:rPr>
        <w:t>a nation</w:t>
      </w:r>
      <w:r w:rsidR="00002B9F">
        <w:rPr>
          <w:noProof/>
        </w:rPr>
        <w:t>'</w:t>
      </w:r>
      <w:r w:rsidR="00874B31" w:rsidRPr="00002B9F">
        <w:rPr>
          <w:noProof/>
        </w:rPr>
        <w:t>s interest</w:t>
      </w:r>
      <w:r w:rsidR="00874B31">
        <w:t xml:space="preserve"> through force rather than diplomacy</w:t>
      </w:r>
      <w:r w:rsidR="00D73169">
        <w:rPr>
          <w:rStyle w:val="FootnoteReference"/>
        </w:rPr>
        <w:footnoteReference w:id="17"/>
      </w:r>
      <w:r w:rsidR="00874B31">
        <w:t>. The Crimean War was started by Britain and her allies as they perceived a Russian fleet in the Crimea a threat to Mediterranean supremacy as the Russians would gain access to the Mediterranean if they seized the Crimean Peninsula, among other reasons</w:t>
      </w:r>
      <w:r w:rsidR="00D73169">
        <w:rPr>
          <w:rStyle w:val="FootnoteReference"/>
        </w:rPr>
        <w:footnoteReference w:id="18"/>
      </w:r>
      <w:r w:rsidR="00874B31">
        <w:t xml:space="preserve">. In </w:t>
      </w:r>
      <w:r w:rsidR="00874B31" w:rsidRPr="00002B9F">
        <w:rPr>
          <w:noProof/>
        </w:rPr>
        <w:t>effect</w:t>
      </w:r>
      <w:r w:rsidR="00002B9F">
        <w:rPr>
          <w:noProof/>
        </w:rPr>
        <w:t>,</w:t>
      </w:r>
      <w:r w:rsidR="00874B31">
        <w:t xml:space="preserve"> it is the civil powers, the politicians who start wars for the mere intention to achieve their interests.  White believes that the state should be treated as a living entity, with the military as one of its organs</w:t>
      </w:r>
      <w:r w:rsidR="00D73169">
        <w:rPr>
          <w:rStyle w:val="FootnoteReference"/>
        </w:rPr>
        <w:footnoteReference w:id="19"/>
      </w:r>
      <w:r w:rsidR="00874B31">
        <w:t xml:space="preserve">. </w:t>
      </w:r>
      <w:r w:rsidR="00874B31" w:rsidRPr="00002B9F">
        <w:rPr>
          <w:noProof/>
        </w:rPr>
        <w:t xml:space="preserve">To secure its </w:t>
      </w:r>
      <w:r w:rsidR="00002B9F" w:rsidRPr="00002B9F">
        <w:rPr>
          <w:noProof/>
        </w:rPr>
        <w:t>benefi</w:t>
      </w:r>
      <w:r w:rsidR="00874B31" w:rsidRPr="00002B9F">
        <w:rPr>
          <w:noProof/>
        </w:rPr>
        <w:t>t</w:t>
      </w:r>
      <w:r w:rsidR="00874B31">
        <w:t xml:space="preserve">, this </w:t>
      </w:r>
      <w:r w:rsidR="00002B9F">
        <w:rPr>
          <w:noProof/>
        </w:rPr>
        <w:t>resid</w:t>
      </w:r>
      <w:r w:rsidR="00874B31" w:rsidRPr="00002B9F">
        <w:rPr>
          <w:noProof/>
        </w:rPr>
        <w:t>ing</w:t>
      </w:r>
      <w:r w:rsidR="00874B31">
        <w:t xml:space="preserve"> being may take steps to </w:t>
      </w:r>
      <w:r w:rsidR="00002B9F">
        <w:rPr>
          <w:noProof/>
        </w:rPr>
        <w:t>achiev</w:t>
      </w:r>
      <w:r w:rsidR="00874B31" w:rsidRPr="00002B9F">
        <w:rPr>
          <w:noProof/>
        </w:rPr>
        <w:t>e</w:t>
      </w:r>
      <w:r w:rsidR="00874B31">
        <w:t xml:space="preserve"> it, which includes war</w:t>
      </w:r>
      <w:r w:rsidR="00603AA2">
        <w:rPr>
          <w:rStyle w:val="FootnoteReference"/>
        </w:rPr>
        <w:footnoteReference w:id="20"/>
      </w:r>
      <w:r w:rsidR="00874B31">
        <w:t>. In a liberal democracy such as the United Kingdom, it is the civil politicians in parliament who have the power to control this organ and interests</w:t>
      </w:r>
      <w:r w:rsidR="00603AA2">
        <w:rPr>
          <w:rStyle w:val="FootnoteReference"/>
        </w:rPr>
        <w:footnoteReference w:id="21"/>
      </w:r>
      <w:r w:rsidR="00874B31">
        <w:t xml:space="preserve">.  </w:t>
      </w:r>
    </w:p>
    <w:p w14:paraId="777ADD5B" w14:textId="4B11B0CE" w:rsidR="00E51632" w:rsidRDefault="00E51632">
      <w:r>
        <w:t xml:space="preserve">The mere act of making war in ones’ interest does not necessarily ascribe blame to that of a group within society who decide to make war. Blame is only ever ascribing the applicable organ of state or interest group if either the war is unpopular, dependant on the reason for war, or if the war </w:t>
      </w:r>
      <w:r w:rsidR="00002B9F">
        <w:rPr>
          <w:noProof/>
        </w:rPr>
        <w:t>has</w:t>
      </w:r>
      <w:r w:rsidR="00603AA2">
        <w:t xml:space="preserve"> grounds </w:t>
      </w:r>
      <w:r>
        <w:t>in the first place</w:t>
      </w:r>
      <w:r w:rsidR="00603AA2">
        <w:rPr>
          <w:rStyle w:val="FootnoteReference"/>
        </w:rPr>
        <w:footnoteReference w:id="22"/>
      </w:r>
      <w:r>
        <w:t xml:space="preserve">. The </w:t>
      </w:r>
      <w:r w:rsidR="00002B9F">
        <w:rPr>
          <w:noProof/>
        </w:rPr>
        <w:t>gener</w:t>
      </w:r>
      <w:r w:rsidRPr="00421161">
        <w:rPr>
          <w:noProof/>
        </w:rPr>
        <w:t>al</w:t>
      </w:r>
      <w:r>
        <w:t xml:space="preserve"> theorem of establishing a just war relies on the </w:t>
      </w:r>
      <w:r w:rsidR="00603AA2">
        <w:t>J</w:t>
      </w:r>
      <w:r>
        <w:t xml:space="preserve">ust </w:t>
      </w:r>
      <w:r w:rsidR="00603AA2">
        <w:t>W</w:t>
      </w:r>
      <w:r>
        <w:t xml:space="preserve">ar </w:t>
      </w:r>
      <w:r w:rsidR="00603AA2">
        <w:t>T</w:t>
      </w:r>
      <w:r>
        <w:t>heory</w:t>
      </w:r>
      <w:r w:rsidR="00603AA2">
        <w:rPr>
          <w:rStyle w:val="FootnoteReference"/>
        </w:rPr>
        <w:footnoteReference w:id="23"/>
      </w:r>
      <w:r>
        <w:t xml:space="preserve">. First, a nation needs a reason for </w:t>
      </w:r>
      <w:r w:rsidRPr="00421161">
        <w:rPr>
          <w:noProof/>
        </w:rPr>
        <w:t>war</w:t>
      </w:r>
      <w:r>
        <w:t xml:space="preserve"> and one that its established on rational thinking</w:t>
      </w:r>
      <w:r w:rsidR="00040063">
        <w:rPr>
          <w:rStyle w:val="FootnoteReference"/>
        </w:rPr>
        <w:footnoteReference w:id="24"/>
      </w:r>
      <w:r>
        <w:t xml:space="preserve">. If the focus </w:t>
      </w:r>
      <w:r w:rsidRPr="00002B9F">
        <w:rPr>
          <w:noProof/>
        </w:rPr>
        <w:t>is temporarily shifted</w:t>
      </w:r>
      <w:r>
        <w:t xml:space="preserve"> to ancient Rome, Cicero is the </w:t>
      </w:r>
      <w:r w:rsidRPr="00421161">
        <w:rPr>
          <w:noProof/>
        </w:rPr>
        <w:t>source</w:t>
      </w:r>
      <w:r>
        <w:t xml:space="preserve"> for a just war, </w:t>
      </w:r>
      <w:r w:rsidRPr="00421161">
        <w:rPr>
          <w:noProof/>
        </w:rPr>
        <w:t>however</w:t>
      </w:r>
      <w:r w:rsidR="00421161">
        <w:rPr>
          <w:noProof/>
        </w:rPr>
        <w:t>,</w:t>
      </w:r>
      <w:r>
        <w:t xml:space="preserve"> to </w:t>
      </w:r>
      <w:r w:rsidRPr="00421161">
        <w:rPr>
          <w:noProof/>
        </w:rPr>
        <w:t>him</w:t>
      </w:r>
      <w:r w:rsidR="00421161">
        <w:rPr>
          <w:noProof/>
        </w:rPr>
        <w:t>,</w:t>
      </w:r>
      <w:r>
        <w:t xml:space="preserve"> a state may go to war if it ha</w:t>
      </w:r>
      <w:r w:rsidR="00040063">
        <w:t>s</w:t>
      </w:r>
      <w:r>
        <w:t xml:space="preserve"> a reason, not necessarily on justifiable grounds</w:t>
      </w:r>
      <w:r w:rsidR="00040063">
        <w:rPr>
          <w:rStyle w:val="FootnoteReference"/>
        </w:rPr>
        <w:footnoteReference w:id="25"/>
      </w:r>
      <w:r>
        <w:t xml:space="preserve">. In other words, any reason would do. </w:t>
      </w:r>
      <w:r w:rsidR="00AF332C">
        <w:t>The Geneva Conventions of 1910</w:t>
      </w:r>
      <w:r w:rsidR="00421161">
        <w:t>, however,</w:t>
      </w:r>
      <w:r w:rsidR="00AF332C">
        <w:t xml:space="preserve"> stipulate that under international law </w:t>
      </w:r>
      <w:r w:rsidR="00AF332C">
        <w:lastRenderedPageBreak/>
        <w:t xml:space="preserve">nations may only go to war if they have justifiable grounds, </w:t>
      </w:r>
      <w:r w:rsidR="00AF332C" w:rsidRPr="00421161">
        <w:rPr>
          <w:noProof/>
        </w:rPr>
        <w:t>the</w:t>
      </w:r>
      <w:r w:rsidR="00421161">
        <w:rPr>
          <w:noProof/>
        </w:rPr>
        <w:t>re</w:t>
      </w:r>
      <w:r w:rsidR="00AF332C">
        <w:t xml:space="preserve"> must be a factual pretext to open hostilities</w:t>
      </w:r>
      <w:r w:rsidR="00040063">
        <w:rPr>
          <w:rStyle w:val="FootnoteReference"/>
        </w:rPr>
        <w:footnoteReference w:id="26"/>
      </w:r>
      <w:r w:rsidR="00AF332C">
        <w:t xml:space="preserve">. Under the </w:t>
      </w:r>
      <w:r w:rsidR="00AF332C" w:rsidRPr="00421161">
        <w:rPr>
          <w:noProof/>
        </w:rPr>
        <w:t>Convention</w:t>
      </w:r>
      <w:r w:rsidR="00421161">
        <w:rPr>
          <w:noProof/>
        </w:rPr>
        <w:t>,</w:t>
      </w:r>
      <w:r w:rsidR="00AF332C">
        <w:t xml:space="preserve"> it gives the common example of one nation acting aggressively towards another or impinging on each other’s interest</w:t>
      </w:r>
      <w:r w:rsidR="00040063">
        <w:rPr>
          <w:rStyle w:val="FootnoteReference"/>
        </w:rPr>
        <w:footnoteReference w:id="27"/>
      </w:r>
      <w:r w:rsidR="00AF332C">
        <w:t xml:space="preserve">. Efraim Kash suggests that for war to be it must conform to the just war theory and international </w:t>
      </w:r>
      <w:r w:rsidR="008C6E63">
        <w:t>law but</w:t>
      </w:r>
      <w:r w:rsidR="00AF332C">
        <w:t xml:space="preserve"> accepts however that even though a war may </w:t>
      </w:r>
      <w:r w:rsidR="00AF332C" w:rsidRPr="00002B9F">
        <w:rPr>
          <w:noProof/>
        </w:rPr>
        <w:t>be considered</w:t>
      </w:r>
      <w:r w:rsidR="00AF332C">
        <w:t xml:space="preserve"> </w:t>
      </w:r>
      <w:r w:rsidR="00AF332C" w:rsidRPr="00421161">
        <w:rPr>
          <w:noProof/>
        </w:rPr>
        <w:t>just</w:t>
      </w:r>
      <w:r w:rsidR="00AF332C">
        <w:t xml:space="preserve">, it can be individual actions that may </w:t>
      </w:r>
      <w:r w:rsidR="00AF332C" w:rsidRPr="00002B9F">
        <w:rPr>
          <w:noProof/>
        </w:rPr>
        <w:t xml:space="preserve">be </w:t>
      </w:r>
      <w:r w:rsidR="00421161" w:rsidRPr="00002B9F">
        <w:rPr>
          <w:noProof/>
        </w:rPr>
        <w:t>viewed</w:t>
      </w:r>
      <w:r w:rsidR="00421161">
        <w:rPr>
          <w:noProof/>
        </w:rPr>
        <w:t xml:space="preserve"> as</w:t>
      </w:r>
      <w:r w:rsidR="00AF332C">
        <w:t xml:space="preserve"> a blunde</w:t>
      </w:r>
      <w:r w:rsidR="00040063">
        <w:t>r</w:t>
      </w:r>
      <w:r w:rsidR="00040063">
        <w:rPr>
          <w:rStyle w:val="FootnoteReference"/>
        </w:rPr>
        <w:footnoteReference w:id="28"/>
      </w:r>
      <w:r w:rsidR="00040063">
        <w:t>.</w:t>
      </w:r>
      <w:r w:rsidR="00AF332C">
        <w:t xml:space="preserve"> </w:t>
      </w:r>
    </w:p>
    <w:p w14:paraId="78C51016" w14:textId="3644871B" w:rsidR="00AF332C" w:rsidRDefault="00AF332C">
      <w:r>
        <w:t>The admission by Kash establishes the ambiguity of the idea of blunder</w:t>
      </w:r>
      <w:r w:rsidR="00FF5EA5">
        <w:rPr>
          <w:rStyle w:val="FootnoteReference"/>
        </w:rPr>
        <w:footnoteReference w:id="29"/>
      </w:r>
      <w:r>
        <w:t xml:space="preserve">. Tennyson in </w:t>
      </w:r>
      <w:r>
        <w:rPr>
          <w:i/>
        </w:rPr>
        <w:t xml:space="preserve">Charge of the Light </w:t>
      </w:r>
      <w:r w:rsidRPr="00421161">
        <w:rPr>
          <w:i/>
          <w:noProof/>
        </w:rPr>
        <w:t>Brigade</w:t>
      </w:r>
      <w:r>
        <w:t xml:space="preserve"> does not necessarily argue </w:t>
      </w:r>
      <w:r w:rsidR="006E6B2B">
        <w:t>against who is to blame for</w:t>
      </w:r>
      <w:r>
        <w:t>, bu</w:t>
      </w:r>
      <w:r w:rsidR="00F85EB6">
        <w:t xml:space="preserve">t the individual events. The Charge of the Brigade as an event has </w:t>
      </w:r>
      <w:r w:rsidR="00F85EB6" w:rsidRPr="00002B9F">
        <w:rPr>
          <w:noProof/>
        </w:rPr>
        <w:t>been recognised</w:t>
      </w:r>
      <w:r w:rsidR="00F85EB6">
        <w:t xml:space="preserve"> as a blunder, yet the Crimean War has </w:t>
      </w:r>
      <w:r w:rsidR="00F85EB6" w:rsidRPr="00002B9F">
        <w:rPr>
          <w:noProof/>
        </w:rPr>
        <w:t>been established</w:t>
      </w:r>
      <w:r w:rsidR="00F85EB6">
        <w:t xml:space="preserve"> as a success of British Foreign Policy</w:t>
      </w:r>
      <w:r w:rsidR="00FF5EA5">
        <w:rPr>
          <w:rStyle w:val="FootnoteReference"/>
        </w:rPr>
        <w:footnoteReference w:id="30"/>
      </w:r>
      <w:r w:rsidR="00F85EB6">
        <w:t xml:space="preserve">. </w:t>
      </w:r>
      <w:r w:rsidR="00380161">
        <w:t xml:space="preserve">Within literary </w:t>
      </w:r>
      <w:r w:rsidR="00380161" w:rsidRPr="00421161">
        <w:rPr>
          <w:noProof/>
        </w:rPr>
        <w:t>circles</w:t>
      </w:r>
      <w:r w:rsidR="00421161">
        <w:rPr>
          <w:noProof/>
        </w:rPr>
        <w:t>,</w:t>
      </w:r>
      <w:r w:rsidR="00380161">
        <w:t xml:space="preserve"> poetry ranges from </w:t>
      </w:r>
      <w:r w:rsidR="00421161">
        <w:t xml:space="preserve">the </w:t>
      </w:r>
      <w:r w:rsidR="00380161" w:rsidRPr="00421161">
        <w:rPr>
          <w:noProof/>
        </w:rPr>
        <w:t>glorification</w:t>
      </w:r>
      <w:r w:rsidR="00380161">
        <w:t xml:space="preserve"> of war to the futility of war. In contrast to </w:t>
      </w:r>
      <w:r w:rsidR="00380161">
        <w:rPr>
          <w:i/>
        </w:rPr>
        <w:t xml:space="preserve">The Charge of the Light Brigade, Ode to the death of the Duke of Wellington </w:t>
      </w:r>
      <w:r w:rsidR="00380161">
        <w:t xml:space="preserve">also written by Tennyson </w:t>
      </w:r>
      <w:r w:rsidR="008C6E63">
        <w:t xml:space="preserve">glorifies war almost to that of </w:t>
      </w:r>
      <w:r w:rsidR="008C6E63" w:rsidRPr="00421161">
        <w:rPr>
          <w:noProof/>
        </w:rPr>
        <w:t>divinity</w:t>
      </w:r>
      <w:r w:rsidR="00FF5EA5">
        <w:rPr>
          <w:rStyle w:val="FootnoteReference"/>
        </w:rPr>
        <w:footnoteReference w:id="31"/>
      </w:r>
      <w:r w:rsidR="008C6E63">
        <w:t xml:space="preserve">. </w:t>
      </w:r>
      <w:r w:rsidR="00421161">
        <w:rPr>
          <w:noProof/>
        </w:rPr>
        <w:t>Main</w:t>
      </w:r>
      <w:r w:rsidR="008C6E63" w:rsidRPr="00421161">
        <w:rPr>
          <w:noProof/>
        </w:rPr>
        <w:t>ly</w:t>
      </w:r>
      <w:r w:rsidR="008C6E63">
        <w:t xml:space="preserve"> the poem acts as </w:t>
      </w:r>
      <w:r w:rsidR="008C6E63" w:rsidRPr="00421161">
        <w:rPr>
          <w:noProof/>
        </w:rPr>
        <w:t>a</w:t>
      </w:r>
      <w:r w:rsidR="00421161">
        <w:rPr>
          <w:noProof/>
        </w:rPr>
        <w:t>n ado</w:t>
      </w:r>
      <w:r w:rsidR="008C6E63" w:rsidRPr="00421161">
        <w:rPr>
          <w:noProof/>
        </w:rPr>
        <w:t>ration</w:t>
      </w:r>
      <w:r w:rsidR="008C6E63">
        <w:t xml:space="preserve"> of the Duke of Wellington whose funeral had occurred earlier in the year</w:t>
      </w:r>
      <w:r w:rsidR="00CB45D1">
        <w:rPr>
          <w:rStyle w:val="FootnoteReference"/>
        </w:rPr>
        <w:footnoteReference w:id="32"/>
      </w:r>
      <w:r w:rsidR="008C6E63">
        <w:t xml:space="preserve">. Talking of his battles, Tennyson presents them as feet of arms worthy of the man who has died, that the war was an </w:t>
      </w:r>
      <w:r w:rsidR="00ED0CB5">
        <w:t>episode that Great Britain had to win at any cost</w:t>
      </w:r>
      <w:r w:rsidR="00CB45D1">
        <w:rPr>
          <w:rStyle w:val="FootnoteReference"/>
        </w:rPr>
        <w:footnoteReference w:id="33"/>
      </w:r>
      <w:r w:rsidR="00ED0CB5">
        <w:t xml:space="preserve">. </w:t>
      </w:r>
      <w:r w:rsidR="00421161">
        <w:rPr>
          <w:noProof/>
        </w:rPr>
        <w:t>I</w:t>
      </w:r>
      <w:r w:rsidR="00ED0CB5">
        <w:t xml:space="preserve">n the light </w:t>
      </w:r>
      <w:r w:rsidR="00ED0CB5" w:rsidRPr="00421161">
        <w:rPr>
          <w:noProof/>
        </w:rPr>
        <w:t>brigade</w:t>
      </w:r>
      <w:r w:rsidR="00421161">
        <w:rPr>
          <w:noProof/>
        </w:rPr>
        <w:t>,</w:t>
      </w:r>
      <w:r w:rsidR="00ED0CB5">
        <w:t xml:space="preserve"> he is much more critical of war</w:t>
      </w:r>
      <w:r w:rsidR="00404A6C">
        <w:t xml:space="preserve"> yet does not describe it as </w:t>
      </w:r>
      <w:r w:rsidR="001045B2">
        <w:t xml:space="preserve">a blunder, </w:t>
      </w:r>
      <w:r w:rsidR="00421161">
        <w:rPr>
          <w:noProof/>
        </w:rPr>
        <w:t>instead</w:t>
      </w:r>
      <w:r w:rsidR="001045B2">
        <w:t xml:space="preserve"> although the poem is more rational still venerates war as a grand event</w:t>
      </w:r>
      <w:r w:rsidR="00CB45D1">
        <w:rPr>
          <w:rStyle w:val="FootnoteReference"/>
        </w:rPr>
        <w:footnoteReference w:id="34"/>
      </w:r>
      <w:r w:rsidR="001045B2">
        <w:t xml:space="preserve">. Due to the ambiguity of the concept of </w:t>
      </w:r>
      <w:r w:rsidR="00421161" w:rsidRPr="00421161">
        <w:rPr>
          <w:noProof/>
        </w:rPr>
        <w:t>mistake</w:t>
      </w:r>
      <w:r w:rsidR="001045B2">
        <w:t xml:space="preserve"> in the </w:t>
      </w:r>
      <w:r w:rsidR="00421161">
        <w:rPr>
          <w:noProof/>
        </w:rPr>
        <w:t>verse</w:t>
      </w:r>
      <w:r w:rsidR="001045B2">
        <w:t xml:space="preserve">, the focus will move to </w:t>
      </w:r>
      <w:r w:rsidR="00CA1D5C">
        <w:t xml:space="preserve">consider individual considerations such as institutions and people as discussed. </w:t>
      </w:r>
    </w:p>
    <w:p w14:paraId="2A70D8DA" w14:textId="3C703FFE" w:rsidR="00CA1D5C" w:rsidRDefault="00CA1D5C">
      <w:r>
        <w:t xml:space="preserve">As </w:t>
      </w:r>
      <w:r w:rsidR="006E6B2B">
        <w:t>referred to</w:t>
      </w:r>
      <w:r>
        <w:t xml:space="preserve"> earlier in the essay there is a question of blame </w:t>
      </w:r>
      <w:r w:rsidRPr="00002B9F">
        <w:rPr>
          <w:noProof/>
        </w:rPr>
        <w:t>being attached</w:t>
      </w:r>
      <w:r>
        <w:t xml:space="preserve"> to the leadership, no matter how far removed from the blunder itself. </w:t>
      </w:r>
      <w:r w:rsidR="00421161">
        <w:rPr>
          <w:noProof/>
        </w:rPr>
        <w:t>Indeed</w:t>
      </w:r>
      <w:r>
        <w:t>, after the Charge of the Light Brigade Lord Ragland, officer commanding the British Forces in the Crimea was dragged through the mud as the man who ordered the fatal charge</w:t>
      </w:r>
      <w:r w:rsidR="00EA1BFF">
        <w:rPr>
          <w:rStyle w:val="FootnoteReference"/>
        </w:rPr>
        <w:footnoteReference w:id="35"/>
      </w:r>
      <w:r>
        <w:t xml:space="preserve">. Lord Lucan, commander of </w:t>
      </w:r>
      <w:r w:rsidR="00421161">
        <w:t xml:space="preserve">the </w:t>
      </w:r>
      <w:r w:rsidRPr="00421161">
        <w:rPr>
          <w:noProof/>
        </w:rPr>
        <w:t>cavalry</w:t>
      </w:r>
      <w:r>
        <w:t xml:space="preserve"> on the day also suffered but like his direct subordinate Lord Cardigan escaped blame due to influence at Army Headquarters in London</w:t>
      </w:r>
      <w:r w:rsidR="007D3A13">
        <w:rPr>
          <w:rStyle w:val="FootnoteReference"/>
        </w:rPr>
        <w:footnoteReference w:id="36"/>
      </w:r>
      <w:r>
        <w:t xml:space="preserve">. At the time of the Crimean War, military leadership </w:t>
      </w:r>
      <w:r w:rsidRPr="00002B9F">
        <w:rPr>
          <w:noProof/>
        </w:rPr>
        <w:t>was not judged</w:t>
      </w:r>
      <w:r>
        <w:t xml:space="preserve"> on merit and experience, but by mere financial prosperity</w:t>
      </w:r>
      <w:r w:rsidR="007D3A13">
        <w:t>, a</w:t>
      </w:r>
      <w:r>
        <w:t xml:space="preserve"> man from a good background could merely purchase a commission for a great some and become and an army officer, a leader</w:t>
      </w:r>
      <w:r w:rsidR="007D3A13">
        <w:rPr>
          <w:rStyle w:val="FootnoteReference"/>
        </w:rPr>
        <w:footnoteReference w:id="37"/>
      </w:r>
      <w:r>
        <w:t xml:space="preserve">. Lord Ragland had indeed received his promotions by purchase but had seen service in the Peninsular War </w:t>
      </w:r>
      <w:r w:rsidR="0000753C">
        <w:t xml:space="preserve">of </w:t>
      </w:r>
      <w:r>
        <w:t>1809 to 1814</w:t>
      </w:r>
      <w:r w:rsidR="007D3A13">
        <w:rPr>
          <w:rStyle w:val="FootnoteReference"/>
        </w:rPr>
        <w:footnoteReference w:id="38"/>
      </w:r>
      <w:r>
        <w:t>. Cardigan and Lucan</w:t>
      </w:r>
      <w:r w:rsidR="00421161">
        <w:t>, on the other hand,</w:t>
      </w:r>
      <w:r>
        <w:t xml:space="preserve"> had never seen </w:t>
      </w:r>
      <w:r w:rsidR="0000753C">
        <w:t>war yet</w:t>
      </w:r>
      <w:r>
        <w:t xml:space="preserve"> reached the</w:t>
      </w:r>
      <w:r w:rsidR="00FF5EA5">
        <w:t xml:space="preserve"> rank</w:t>
      </w:r>
      <w:r>
        <w:t xml:space="preserve"> of Lieutenant Colonel in eleven and twelve years respectively</w:t>
      </w:r>
      <w:r w:rsidR="007D3A13">
        <w:rPr>
          <w:rStyle w:val="FootnoteReference"/>
        </w:rPr>
        <w:footnoteReference w:id="39"/>
      </w:r>
      <w:r>
        <w:t xml:space="preserve">. </w:t>
      </w:r>
      <w:r w:rsidR="0000753C">
        <w:t>How could such inadequate commanders be on the field that day at Balaclava</w:t>
      </w:r>
      <w:r w:rsidR="00FF5EA5">
        <w:t>?</w:t>
      </w:r>
      <w:r w:rsidR="0000753C">
        <w:t xml:space="preserve"> William Russell, </w:t>
      </w:r>
      <w:r w:rsidR="00421161">
        <w:t xml:space="preserve">a </w:t>
      </w:r>
      <w:r w:rsidR="0000753C" w:rsidRPr="00421161">
        <w:rPr>
          <w:noProof/>
        </w:rPr>
        <w:t>war</w:t>
      </w:r>
      <w:r w:rsidR="0000753C">
        <w:t xml:space="preserve"> correspondent in an article about the </w:t>
      </w:r>
      <w:r w:rsidR="0000753C" w:rsidRPr="00421161">
        <w:rPr>
          <w:noProof/>
        </w:rPr>
        <w:t>charge</w:t>
      </w:r>
      <w:r w:rsidR="00421161">
        <w:rPr>
          <w:noProof/>
        </w:rPr>
        <w:t>,</w:t>
      </w:r>
      <w:r w:rsidR="0000753C">
        <w:t xml:space="preserve"> </w:t>
      </w:r>
      <w:r w:rsidR="0000753C">
        <w:lastRenderedPageBreak/>
        <w:t>blamed such inadequacy of leadership for the disaster</w:t>
      </w:r>
      <w:r w:rsidR="007D3A13">
        <w:rPr>
          <w:rStyle w:val="FootnoteReference"/>
        </w:rPr>
        <w:footnoteReference w:id="40"/>
      </w:r>
      <w:r w:rsidR="0000753C">
        <w:t>. He suggests that if the commanders had gotten over their zealousness for action and glory, then perhaps the blunder may not have occurred</w:t>
      </w:r>
      <w:r w:rsidR="006B7A2F">
        <w:rPr>
          <w:rStyle w:val="FootnoteReference"/>
        </w:rPr>
        <w:footnoteReference w:id="41"/>
      </w:r>
      <w:r w:rsidR="0000753C">
        <w:t xml:space="preserve">. </w:t>
      </w:r>
    </w:p>
    <w:p w14:paraId="6C024CC2" w14:textId="797E3F06" w:rsidR="00734854" w:rsidRDefault="0000753C">
      <w:r>
        <w:t>Leadership</w:t>
      </w:r>
      <w:r w:rsidR="00421161">
        <w:t>, however,</w:t>
      </w:r>
      <w:r>
        <w:t xml:space="preserve"> is not necessarily central to the argument of who </w:t>
      </w:r>
      <w:r w:rsidRPr="00002B9F">
        <w:rPr>
          <w:noProof/>
        </w:rPr>
        <w:t>is blamed</w:t>
      </w:r>
      <w:r>
        <w:t xml:space="preserve"> for </w:t>
      </w:r>
      <w:r w:rsidR="00421161">
        <w:t xml:space="preserve">the </w:t>
      </w:r>
      <w:r w:rsidRPr="00421161">
        <w:rPr>
          <w:noProof/>
        </w:rPr>
        <w:t>war</w:t>
      </w:r>
      <w:r>
        <w:t xml:space="preserve">, let alone military blunders. There are many examples of military </w:t>
      </w:r>
      <w:r w:rsidR="00421161">
        <w:rPr>
          <w:noProof/>
        </w:rPr>
        <w:t>mistake</w:t>
      </w:r>
      <w:r w:rsidRPr="00421161">
        <w:rPr>
          <w:noProof/>
        </w:rPr>
        <w:t>s</w:t>
      </w:r>
      <w:r>
        <w:t xml:space="preserve"> led by competent if not revered commanders of the day.  </w:t>
      </w:r>
      <w:r w:rsidR="00734854">
        <w:t>Operation Market Garden executed in 1944 designed by Field Marshall Montgomery was intended to allow the allies an avenue of advance across the Rhine</w:t>
      </w:r>
      <w:r w:rsidR="006B7A2F">
        <w:rPr>
          <w:rStyle w:val="FootnoteReference"/>
        </w:rPr>
        <w:footnoteReference w:id="42"/>
      </w:r>
      <w:r w:rsidR="00734854">
        <w:t xml:space="preserve">. </w:t>
      </w:r>
      <w:r w:rsidR="00421161">
        <w:rPr>
          <w:noProof/>
        </w:rPr>
        <w:t>T</w:t>
      </w:r>
      <w:r w:rsidR="00734854">
        <w:t xml:space="preserve">he </w:t>
      </w:r>
      <w:r w:rsidR="00734854" w:rsidRPr="00421161">
        <w:rPr>
          <w:noProof/>
        </w:rPr>
        <w:t>well</w:t>
      </w:r>
      <w:r w:rsidR="00421161">
        <w:rPr>
          <w:noProof/>
        </w:rPr>
        <w:t>-</w:t>
      </w:r>
      <w:r w:rsidR="00734854" w:rsidRPr="00421161">
        <w:rPr>
          <w:noProof/>
        </w:rPr>
        <w:t>organised</w:t>
      </w:r>
      <w:r w:rsidR="00734854">
        <w:t xml:space="preserve"> operation fell apart due to a variety of reason, </w:t>
      </w:r>
      <w:r w:rsidR="00421161">
        <w:t xml:space="preserve">the </w:t>
      </w:r>
      <w:r w:rsidR="00734854" w:rsidRPr="00421161">
        <w:rPr>
          <w:noProof/>
        </w:rPr>
        <w:t>most</w:t>
      </w:r>
      <w:r w:rsidR="00734854">
        <w:t xml:space="preserve"> pressing of all that a set of operation plans fell into enemy hands</w:t>
      </w:r>
      <w:r w:rsidR="006B7A2F">
        <w:rPr>
          <w:rStyle w:val="FootnoteReference"/>
        </w:rPr>
        <w:footnoteReference w:id="43"/>
      </w:r>
      <w:r w:rsidR="00734854">
        <w:t xml:space="preserve">. Ray Vickers in 1945 published </w:t>
      </w:r>
      <w:r w:rsidR="00734854">
        <w:rPr>
          <w:i/>
        </w:rPr>
        <w:t xml:space="preserve">Arnhem, </w:t>
      </w:r>
      <w:r w:rsidR="00734854">
        <w:t>which describes the climactic battle of the operation, the Battle of Arnhem</w:t>
      </w:r>
      <w:r w:rsidR="006B7A2F">
        <w:t>,</w:t>
      </w:r>
      <w:r w:rsidR="00734854">
        <w:t xml:space="preserve"> the gallant defence laid down by allied forces</w:t>
      </w:r>
      <w:r w:rsidR="006B7A2F">
        <w:rPr>
          <w:rStyle w:val="FootnoteReference"/>
        </w:rPr>
        <w:footnoteReference w:id="44"/>
      </w:r>
      <w:r w:rsidR="00734854">
        <w:t xml:space="preserve">. Although he </w:t>
      </w:r>
      <w:r w:rsidR="00421161">
        <w:rPr>
          <w:noProof/>
        </w:rPr>
        <w:t>express</w:t>
      </w:r>
      <w:r w:rsidR="00734854" w:rsidRPr="00421161">
        <w:rPr>
          <w:noProof/>
        </w:rPr>
        <w:t>es</w:t>
      </w:r>
      <w:r w:rsidR="00734854">
        <w:t xml:space="preserve"> the event as a defeat, he almost venerates them, just like Tennyson in </w:t>
      </w:r>
      <w:r w:rsidR="00734854">
        <w:rPr>
          <w:i/>
        </w:rPr>
        <w:t xml:space="preserve">Charge of the Light Brigade </w:t>
      </w:r>
      <w:r w:rsidR="00734854">
        <w:t xml:space="preserve">and </w:t>
      </w:r>
      <w:r w:rsidR="00734854">
        <w:rPr>
          <w:i/>
        </w:rPr>
        <w:t>Ode to the Duke of Wellington</w:t>
      </w:r>
      <w:r w:rsidR="006B7A2F">
        <w:rPr>
          <w:rStyle w:val="FootnoteReference"/>
          <w:i/>
        </w:rPr>
        <w:footnoteReference w:id="45"/>
      </w:r>
      <w:r w:rsidR="00734854">
        <w:rPr>
          <w:i/>
        </w:rPr>
        <w:t xml:space="preserve">. </w:t>
      </w:r>
      <w:r w:rsidR="00734854">
        <w:t xml:space="preserve">It is almost as if both absolve the military leadership of blame for both disasters. If the spotlight </w:t>
      </w:r>
      <w:r w:rsidR="00734854" w:rsidRPr="00002B9F">
        <w:rPr>
          <w:noProof/>
        </w:rPr>
        <w:t>is then moved</w:t>
      </w:r>
      <w:r w:rsidR="00734854">
        <w:t xml:space="preserve"> back to the role of the state organs and politicians should they be </w:t>
      </w:r>
      <w:r w:rsidR="00421161">
        <w:rPr>
          <w:noProof/>
        </w:rPr>
        <w:t>exempt</w:t>
      </w:r>
      <w:r w:rsidR="00734854" w:rsidRPr="00421161">
        <w:rPr>
          <w:noProof/>
        </w:rPr>
        <w:t>ed</w:t>
      </w:r>
      <w:r w:rsidR="00734854">
        <w:t xml:space="preserve"> </w:t>
      </w:r>
      <w:r w:rsidR="00421161">
        <w:rPr>
          <w:noProof/>
        </w:rPr>
        <w:t>from</w:t>
      </w:r>
      <w:r w:rsidR="00734854">
        <w:t xml:space="preserve"> these blunders as well, in effect should all leaders not be held accountable for war? </w:t>
      </w:r>
    </w:p>
    <w:p w14:paraId="07F4A1AD" w14:textId="776E7B98" w:rsidR="0000753C" w:rsidRDefault="00734854">
      <w:r>
        <w:t xml:space="preserve">If we cannot blame the state nor people for </w:t>
      </w:r>
      <w:r w:rsidR="00CD6800">
        <w:t>war,</w:t>
      </w:r>
      <w:r>
        <w:t xml:space="preserve"> then we must move into the theoretical and hypothetical of War Theory. Adolf Hitler in Mein </w:t>
      </w:r>
      <w:r w:rsidR="00CD6800">
        <w:t>K</w:t>
      </w:r>
      <w:r>
        <w:t xml:space="preserve">ampf </w:t>
      </w:r>
      <w:r w:rsidR="00CD6800">
        <w:t xml:space="preserve">advocated that for a nation to </w:t>
      </w:r>
      <w:r w:rsidR="00CD6800" w:rsidRPr="00421161">
        <w:rPr>
          <w:noProof/>
        </w:rPr>
        <w:t>survive</w:t>
      </w:r>
      <w:r w:rsidR="00421161">
        <w:rPr>
          <w:noProof/>
        </w:rPr>
        <w:t>,</w:t>
      </w:r>
      <w:r w:rsidR="00CD6800">
        <w:t xml:space="preserve"> it must wage war to expand and remain strong</w:t>
      </w:r>
      <w:r w:rsidR="00AD1BA4">
        <w:rPr>
          <w:rStyle w:val="FootnoteReference"/>
        </w:rPr>
        <w:footnoteReference w:id="46"/>
      </w:r>
      <w:r w:rsidR="00CD6800">
        <w:t>. To be achieved through force or arms rather than diplomatic means, the means of the peaceful</w:t>
      </w:r>
      <w:r w:rsidR="00AD1BA4">
        <w:rPr>
          <w:rStyle w:val="FootnoteReference"/>
        </w:rPr>
        <w:footnoteReference w:id="47"/>
      </w:r>
      <w:r w:rsidR="00CD6800">
        <w:t>. Under same ideology now identified as Fascism was is the only thing that can maintain strength</w:t>
      </w:r>
      <w:r w:rsidR="00AD1BA4">
        <w:rPr>
          <w:rStyle w:val="FootnoteReference"/>
        </w:rPr>
        <w:footnoteReference w:id="48"/>
      </w:r>
      <w:r w:rsidR="00CD6800">
        <w:t xml:space="preserve">. </w:t>
      </w:r>
      <w:r w:rsidR="00421161">
        <w:rPr>
          <w:noProof/>
        </w:rPr>
        <w:t>Indeed</w:t>
      </w:r>
      <w:r w:rsidR="00CD6800">
        <w:t>, within the opposition to Fascism, Communism can also be wanting war. Leon Trotsky in 1921 in one of his political monologues envisaged a world revolution that saw all nations becoming communists</w:t>
      </w:r>
      <w:r w:rsidR="00AD1BA4">
        <w:rPr>
          <w:rStyle w:val="FootnoteReference"/>
        </w:rPr>
        <w:footnoteReference w:id="49"/>
      </w:r>
      <w:r w:rsidR="00CD6800">
        <w:t xml:space="preserve">. He sought to achieve this through conquest during the Russian Civil War by invading </w:t>
      </w:r>
      <w:r w:rsidR="00421161">
        <w:rPr>
          <w:noProof/>
        </w:rPr>
        <w:t>countrie</w:t>
      </w:r>
      <w:r w:rsidR="00CD6800" w:rsidRPr="00421161">
        <w:rPr>
          <w:noProof/>
        </w:rPr>
        <w:t>s</w:t>
      </w:r>
      <w:r w:rsidR="00CD6800">
        <w:t xml:space="preserve"> that had declared independence from the </w:t>
      </w:r>
      <w:r w:rsidR="00CD6800" w:rsidRPr="00421161">
        <w:rPr>
          <w:noProof/>
        </w:rPr>
        <w:t>now</w:t>
      </w:r>
      <w:r w:rsidR="00421161">
        <w:rPr>
          <w:noProof/>
        </w:rPr>
        <w:t>-</w:t>
      </w:r>
      <w:r w:rsidR="00CD6800" w:rsidRPr="00421161">
        <w:rPr>
          <w:noProof/>
        </w:rPr>
        <w:t>defunct</w:t>
      </w:r>
      <w:r w:rsidR="00CD6800">
        <w:t xml:space="preserve"> Russian Empire</w:t>
      </w:r>
      <w:r w:rsidR="00AD1BA4">
        <w:rPr>
          <w:rStyle w:val="FootnoteReference"/>
        </w:rPr>
        <w:footnoteReference w:id="50"/>
      </w:r>
      <w:r w:rsidR="00CD6800">
        <w:t xml:space="preserve">. The 1921 Communist Manifesto </w:t>
      </w:r>
      <w:r w:rsidR="00421161">
        <w:rPr>
          <w:noProof/>
        </w:rPr>
        <w:t>proclaim</w:t>
      </w:r>
      <w:r w:rsidR="00CD6800" w:rsidRPr="00421161">
        <w:rPr>
          <w:noProof/>
        </w:rPr>
        <w:t>ed</w:t>
      </w:r>
      <w:r w:rsidR="00CD6800">
        <w:t xml:space="preserve"> that the enemies of the Revolution were to be crushed by the bullet, although such imagery never </w:t>
      </w:r>
      <w:r w:rsidR="00CD6800" w:rsidRPr="00421161">
        <w:rPr>
          <w:noProof/>
        </w:rPr>
        <w:t xml:space="preserve">became </w:t>
      </w:r>
      <w:r w:rsidR="00421161">
        <w:rPr>
          <w:noProof/>
        </w:rPr>
        <w:t>a reality</w:t>
      </w:r>
      <w:r w:rsidR="00CD6800">
        <w:t xml:space="preserve">. </w:t>
      </w:r>
      <w:r w:rsidR="00CD6800" w:rsidRPr="00002B9F">
        <w:rPr>
          <w:noProof/>
        </w:rPr>
        <w:t>After the Red Armies defeat at Warsaw in 1921 by the newly created Republic of Poland such images of war evaporated.</w:t>
      </w:r>
      <w:r w:rsidR="00CD6800">
        <w:t xml:space="preserve"> It became clear that </w:t>
      </w:r>
      <w:r w:rsidR="00421161">
        <w:rPr>
          <w:noProof/>
        </w:rPr>
        <w:t>battle</w:t>
      </w:r>
      <w:r w:rsidR="00CD6800">
        <w:t xml:space="preserve"> could not </w:t>
      </w:r>
      <w:r w:rsidR="00CD6800" w:rsidRPr="00421161">
        <w:rPr>
          <w:noProof/>
        </w:rPr>
        <w:t>be won</w:t>
      </w:r>
      <w:r w:rsidR="00CD6800">
        <w:t xml:space="preserve"> by patriotism alone</w:t>
      </w:r>
      <w:r w:rsidR="00AD1BA4">
        <w:rPr>
          <w:rStyle w:val="FootnoteReference"/>
        </w:rPr>
        <w:footnoteReference w:id="51"/>
      </w:r>
      <w:r w:rsidR="00CD6800">
        <w:t xml:space="preserve">. </w:t>
      </w:r>
      <w:r w:rsidR="009D6BC1">
        <w:t>Benedict</w:t>
      </w:r>
      <w:r w:rsidR="00A72E1A">
        <w:t xml:space="preserve"> Murat argues that ideology can be </w:t>
      </w:r>
      <w:r w:rsidR="00421161" w:rsidRPr="00421161">
        <w:rPr>
          <w:noProof/>
        </w:rPr>
        <w:t>a</w:t>
      </w:r>
      <w:r w:rsidR="00A72E1A" w:rsidRPr="00421161">
        <w:rPr>
          <w:noProof/>
        </w:rPr>
        <w:t>ct</w:t>
      </w:r>
      <w:r w:rsidR="00421161">
        <w:rPr>
          <w:noProof/>
        </w:rPr>
        <w:t>ual</w:t>
      </w:r>
      <w:r w:rsidR="00A72E1A">
        <w:t xml:space="preserve"> causes and can </w:t>
      </w:r>
      <w:r w:rsidR="00A72E1A" w:rsidRPr="00421161">
        <w:rPr>
          <w:noProof/>
        </w:rPr>
        <w:t>be blamed</w:t>
      </w:r>
      <w:r w:rsidR="00A72E1A">
        <w:t xml:space="preserve"> for </w:t>
      </w:r>
      <w:r w:rsidR="00421161">
        <w:t xml:space="preserve">the </w:t>
      </w:r>
      <w:r w:rsidR="00A72E1A" w:rsidRPr="00421161">
        <w:rPr>
          <w:noProof/>
        </w:rPr>
        <w:t>war</w:t>
      </w:r>
      <w:r w:rsidR="00AD1BA4">
        <w:t>, h</w:t>
      </w:r>
      <w:r w:rsidR="00A72E1A">
        <w:t xml:space="preserve">e reminds the reader that ideological differences started the second world </w:t>
      </w:r>
      <w:r w:rsidR="009D4F88">
        <w:t>war and</w:t>
      </w:r>
      <w:r w:rsidR="00A72E1A">
        <w:t xml:space="preserve"> led to the deaths of millions</w:t>
      </w:r>
      <w:r w:rsidR="00AD1BA4">
        <w:rPr>
          <w:rStyle w:val="FootnoteReference"/>
        </w:rPr>
        <w:footnoteReference w:id="52"/>
      </w:r>
      <w:r w:rsidR="00A72E1A">
        <w:t xml:space="preserve">.    </w:t>
      </w:r>
    </w:p>
    <w:p w14:paraId="0D2A731D" w14:textId="1AF2695B" w:rsidR="009D4F88" w:rsidRDefault="009D4F88">
      <w:r>
        <w:t xml:space="preserve">From the establishment of ideology, it is easy to ay then after that come the persons of those who follow such ideas then should take the blame for the destruction caused by their ideology. </w:t>
      </w:r>
      <w:r w:rsidR="00421161">
        <w:rPr>
          <w:noProof/>
        </w:rPr>
        <w:t>I</w:t>
      </w:r>
      <w:proofErr w:type="spellStart"/>
      <w:r>
        <w:t>n</w:t>
      </w:r>
      <w:proofErr w:type="spellEnd"/>
      <w:r>
        <w:t xml:space="preserve"> many </w:t>
      </w:r>
      <w:r w:rsidRPr="00421161">
        <w:rPr>
          <w:noProof/>
        </w:rPr>
        <w:t>cases</w:t>
      </w:r>
      <w:r w:rsidR="00421161">
        <w:rPr>
          <w:noProof/>
        </w:rPr>
        <w:t>,</w:t>
      </w:r>
      <w:r>
        <w:t xml:space="preserve"> </w:t>
      </w:r>
      <w:r w:rsidRPr="00421161">
        <w:rPr>
          <w:noProof/>
        </w:rPr>
        <w:t>so</w:t>
      </w:r>
      <w:r w:rsidR="00421161">
        <w:rPr>
          <w:noProof/>
        </w:rPr>
        <w:t>-</w:t>
      </w:r>
      <w:r w:rsidRPr="00421161">
        <w:rPr>
          <w:noProof/>
        </w:rPr>
        <w:t>called</w:t>
      </w:r>
      <w:r>
        <w:t xml:space="preserve"> people often described as war criminals are let off by victorious powers. Whereas </w:t>
      </w:r>
      <w:r>
        <w:lastRenderedPageBreak/>
        <w:t xml:space="preserve">war may be started by people and by </w:t>
      </w:r>
      <w:r w:rsidR="00002B9F">
        <w:rPr>
          <w:noProof/>
        </w:rPr>
        <w:t>doctrine</w:t>
      </w:r>
      <w:r>
        <w:t xml:space="preserve">, it is </w:t>
      </w:r>
      <w:r w:rsidR="00421161">
        <w:t xml:space="preserve">an </w:t>
      </w:r>
      <w:r w:rsidRPr="00421161">
        <w:rPr>
          <w:noProof/>
        </w:rPr>
        <w:t>action</w:t>
      </w:r>
      <w:r>
        <w:t xml:space="preserve"> that defines their fate. Karl Doenitz after the suicide of Hitler in 1945 became the new leader of Germany</w:t>
      </w:r>
      <w:r w:rsidR="009C0A74">
        <w:t>, h</w:t>
      </w:r>
      <w:r>
        <w:t>e the man who ultimately surrendered to the Allied Forces</w:t>
      </w:r>
      <w:r w:rsidR="002D6342">
        <w:rPr>
          <w:rStyle w:val="FootnoteReference"/>
        </w:rPr>
        <w:footnoteReference w:id="53"/>
      </w:r>
      <w:r>
        <w:t xml:space="preserve">. At the Nuremberg </w:t>
      </w:r>
      <w:r w:rsidRPr="00421161">
        <w:rPr>
          <w:noProof/>
        </w:rPr>
        <w:t>Trials</w:t>
      </w:r>
      <w:r w:rsidR="00421161">
        <w:rPr>
          <w:noProof/>
        </w:rPr>
        <w:t>,</w:t>
      </w:r>
      <w:r>
        <w:t xml:space="preserve"> he </w:t>
      </w:r>
      <w:r w:rsidRPr="00421161">
        <w:rPr>
          <w:noProof/>
        </w:rPr>
        <w:t>was accused</w:t>
      </w:r>
      <w:r>
        <w:t xml:space="preserve"> of war crimes, unrestricted warfare, mass murder, but most importantly being an advocate for Germany to go to war in 1939, in effect blame for starting the war</w:t>
      </w:r>
      <w:r w:rsidR="002D6342">
        <w:rPr>
          <w:rStyle w:val="FootnoteReference"/>
        </w:rPr>
        <w:footnoteReference w:id="54"/>
      </w:r>
      <w:r>
        <w:t xml:space="preserve">.  </w:t>
      </w:r>
      <w:r w:rsidR="00421161">
        <w:rPr>
          <w:noProof/>
        </w:rPr>
        <w:t>A</w:t>
      </w:r>
      <w:proofErr w:type="spellStart"/>
      <w:r>
        <w:t>t his</w:t>
      </w:r>
      <w:proofErr w:type="spellEnd"/>
      <w:r>
        <w:t xml:space="preserve"> trial, he </w:t>
      </w:r>
      <w:r w:rsidRPr="00421161">
        <w:rPr>
          <w:noProof/>
        </w:rPr>
        <w:t>was defended</w:t>
      </w:r>
      <w:r>
        <w:t xml:space="preserve"> by a Barrister; paid for by the British Establishment</w:t>
      </w:r>
      <w:r w:rsidR="002D6342">
        <w:rPr>
          <w:rStyle w:val="FootnoteReference"/>
        </w:rPr>
        <w:footnoteReference w:id="55"/>
      </w:r>
      <w:r>
        <w:t>. The heads of the Royal Navy, the First Sealord included advocated that he should be let off as a professional courtesy</w:t>
      </w:r>
      <w:r w:rsidR="002D6342">
        <w:rPr>
          <w:rStyle w:val="FootnoteReference"/>
        </w:rPr>
        <w:footnoteReference w:id="56"/>
      </w:r>
      <w:r>
        <w:t xml:space="preserve">. Nimitz, Commander in Chief of the combined Pacific </w:t>
      </w:r>
      <w:r w:rsidRPr="00421161">
        <w:rPr>
          <w:noProof/>
        </w:rPr>
        <w:t>Fleet</w:t>
      </w:r>
      <w:r w:rsidR="00421161">
        <w:rPr>
          <w:noProof/>
        </w:rPr>
        <w:t>,</w:t>
      </w:r>
      <w:r>
        <w:t xml:space="preserve"> stated that even though Doenitz was a Nazi, he could not be held accountable for the war as many of his tactics </w:t>
      </w:r>
      <w:r w:rsidRPr="00421161">
        <w:rPr>
          <w:noProof/>
        </w:rPr>
        <w:t>were</w:t>
      </w:r>
      <w:r>
        <w:t xml:space="preserve"> used by the allies</w:t>
      </w:r>
      <w:r w:rsidR="002D6342">
        <w:rPr>
          <w:rStyle w:val="FootnoteReference"/>
        </w:rPr>
        <w:footnoteReference w:id="57"/>
      </w:r>
      <w:r>
        <w:t xml:space="preserve">.  </w:t>
      </w:r>
      <w:r w:rsidR="004B3593">
        <w:t xml:space="preserve">Ian Kershaw points out that even though ideologically Doenitz was responsible for war, the Allies did not hold him to account </w:t>
      </w:r>
      <w:r w:rsidR="00421161">
        <w:rPr>
          <w:noProof/>
        </w:rPr>
        <w:t xml:space="preserve">the </w:t>
      </w:r>
      <w:r w:rsidR="00421161" w:rsidRPr="00421161">
        <w:rPr>
          <w:noProof/>
        </w:rPr>
        <w:t>allies</w:t>
      </w:r>
      <w:r w:rsidR="00421161">
        <w:rPr>
          <w:noProof/>
        </w:rPr>
        <w:t xml:space="preserve"> had also done as many of his actions</w:t>
      </w:r>
      <w:r w:rsidR="004B3593">
        <w:t xml:space="preserve">. They deliberately did not want to be </w:t>
      </w:r>
      <w:r w:rsidR="004B3593" w:rsidRPr="00421161">
        <w:rPr>
          <w:noProof/>
        </w:rPr>
        <w:t>practi</w:t>
      </w:r>
      <w:r w:rsidR="00421161">
        <w:rPr>
          <w:noProof/>
        </w:rPr>
        <w:t>s</w:t>
      </w:r>
      <w:r w:rsidR="004B3593" w:rsidRPr="00421161">
        <w:rPr>
          <w:noProof/>
        </w:rPr>
        <w:t>ing</w:t>
      </w:r>
      <w:r w:rsidR="004B3593">
        <w:t xml:space="preserve"> double standards</w:t>
      </w:r>
      <w:r w:rsidR="002D6342">
        <w:t xml:space="preserve"> and attract blame to themselves as the conquering powers. </w:t>
      </w:r>
    </w:p>
    <w:p w14:paraId="674629E5" w14:textId="699666FF" w:rsidR="004B3593" w:rsidRDefault="00421161">
      <w:r>
        <w:rPr>
          <w:noProof/>
        </w:rPr>
        <w:t>Regarding</w:t>
      </w:r>
      <w:r w:rsidR="004B3593">
        <w:t xml:space="preserve"> who </w:t>
      </w:r>
      <w:r w:rsidR="004B3593" w:rsidRPr="00421161">
        <w:rPr>
          <w:noProof/>
        </w:rPr>
        <w:t>is blamed</w:t>
      </w:r>
      <w:r w:rsidR="004B3593">
        <w:t xml:space="preserve"> for </w:t>
      </w:r>
      <w:r>
        <w:t xml:space="preserve">the </w:t>
      </w:r>
      <w:r w:rsidR="004B3593" w:rsidRPr="00421161">
        <w:rPr>
          <w:noProof/>
        </w:rPr>
        <w:t>war</w:t>
      </w:r>
      <w:r w:rsidR="004B3593">
        <w:t xml:space="preserve">, that is not an easy question to answer, at least in such short a piece as this. In the words of Tennyson’s </w:t>
      </w:r>
      <w:r w:rsidR="004B3593">
        <w:rPr>
          <w:i/>
        </w:rPr>
        <w:t xml:space="preserve">Charge of the Light Brigade </w:t>
      </w:r>
      <w:r w:rsidR="004B3593">
        <w:t xml:space="preserve">‘Someone had Blundered’, it is </w:t>
      </w:r>
      <w:r w:rsidR="004B3593" w:rsidRPr="00421161">
        <w:rPr>
          <w:noProof/>
        </w:rPr>
        <w:t>a</w:t>
      </w:r>
      <w:r>
        <w:rPr>
          <w:noProof/>
        </w:rPr>
        <w:t>n</w:t>
      </w:r>
      <w:r w:rsidR="004B3593" w:rsidRPr="00421161">
        <w:rPr>
          <w:noProof/>
        </w:rPr>
        <w:t xml:space="preserve"> open</w:t>
      </w:r>
      <w:r w:rsidR="004B3593">
        <w:t xml:space="preserve"> statement. It reflects the ambiguity of the situation that Tennyson himself admits someone had blundered but does not point the finger. Most likely due to his appointment as Poet Lauriat.</w:t>
      </w:r>
      <w:r w:rsidR="009F3155">
        <w:t xml:space="preserve"> The essay then moved onto discussing certain themes within the blame for </w:t>
      </w:r>
      <w:r>
        <w:t xml:space="preserve">the </w:t>
      </w:r>
      <w:r w:rsidR="009F3155" w:rsidRPr="00421161">
        <w:rPr>
          <w:noProof/>
        </w:rPr>
        <w:t>war</w:t>
      </w:r>
      <w:r w:rsidR="009F3155">
        <w:t xml:space="preserve">. </w:t>
      </w:r>
      <w:r>
        <w:rPr>
          <w:noProof/>
        </w:rPr>
        <w:t>Regarding</w:t>
      </w:r>
      <w:r w:rsidR="009F3155">
        <w:t xml:space="preserve"> Leadership, people can </w:t>
      </w:r>
      <w:r w:rsidR="009F3155" w:rsidRPr="00421161">
        <w:rPr>
          <w:noProof/>
        </w:rPr>
        <w:t>be blamed</w:t>
      </w:r>
      <w:r w:rsidR="009F3155">
        <w:t xml:space="preserve"> for war through their actions, yet leadership it not necessarily ascribable for blame as </w:t>
      </w:r>
      <w:r w:rsidR="009F3155" w:rsidRPr="00421161">
        <w:rPr>
          <w:noProof/>
        </w:rPr>
        <w:t xml:space="preserve">the </w:t>
      </w:r>
      <w:r w:rsidR="009F3155" w:rsidRPr="00002B9F">
        <w:rPr>
          <w:noProof/>
        </w:rPr>
        <w:t>be</w:t>
      </w:r>
      <w:r w:rsidR="00002B9F">
        <w:rPr>
          <w:noProof/>
        </w:rPr>
        <w:t>s</w:t>
      </w:r>
      <w:r w:rsidR="009F3155" w:rsidRPr="00002B9F">
        <w:rPr>
          <w:noProof/>
        </w:rPr>
        <w:t>t</w:t>
      </w:r>
      <w:r w:rsidR="009F3155" w:rsidRPr="00421161">
        <w:rPr>
          <w:noProof/>
        </w:rPr>
        <w:t xml:space="preserve"> leaders can be undone by </w:t>
      </w:r>
      <w:r w:rsidR="009F3155" w:rsidRPr="00002B9F">
        <w:rPr>
          <w:noProof/>
        </w:rPr>
        <w:t>holes</w:t>
      </w:r>
      <w:r w:rsidR="009F3155">
        <w:t xml:space="preserve"> in a perfectly laid plan. </w:t>
      </w:r>
      <w:r w:rsidR="00002B9F">
        <w:rPr>
          <w:noProof/>
        </w:rPr>
        <w:t>Since</w:t>
      </w:r>
      <w:r w:rsidR="002B3A0E">
        <w:t xml:space="preserve"> then is the basis of ideology. Through ideology ideas usually within the realms of fascism ascribe to values that advocate war such </w:t>
      </w:r>
      <w:r w:rsidR="000B2EC0">
        <w:t xml:space="preserve">as the views of Adolf Hitler in Mein Kampf, and those who follow with these sought of ideologies blame war. </w:t>
      </w:r>
      <w:r w:rsidRPr="00002B9F">
        <w:rPr>
          <w:noProof/>
        </w:rPr>
        <w:t>A</w:t>
      </w:r>
      <w:r w:rsidR="000B2EC0" w:rsidRPr="00002B9F">
        <w:rPr>
          <w:noProof/>
        </w:rPr>
        <w:t xml:space="preserve">s we see in the case of Grand Admiral Doenitz that even though </w:t>
      </w:r>
      <w:r w:rsidR="0019185E" w:rsidRPr="00002B9F">
        <w:rPr>
          <w:noProof/>
        </w:rPr>
        <w:t>they can be blamed for war due to their ideology.</w:t>
      </w:r>
      <w:r w:rsidR="0019185E">
        <w:t xml:space="preserve"> </w:t>
      </w:r>
      <w:r w:rsidR="0019185E" w:rsidRPr="00421161">
        <w:rPr>
          <w:noProof/>
        </w:rPr>
        <w:t>However</w:t>
      </w:r>
      <w:r>
        <w:rPr>
          <w:noProof/>
        </w:rPr>
        <w:t>,</w:t>
      </w:r>
      <w:r w:rsidR="0019185E">
        <w:t xml:space="preserve"> due to the actions of such </w:t>
      </w:r>
      <w:r w:rsidR="0019185E" w:rsidRPr="00002B9F">
        <w:rPr>
          <w:noProof/>
        </w:rPr>
        <w:t>individuals</w:t>
      </w:r>
      <w:r w:rsidR="00002B9F">
        <w:rPr>
          <w:noProof/>
        </w:rPr>
        <w:t>,</w:t>
      </w:r>
      <w:r w:rsidR="0019185E">
        <w:t xml:space="preserve"> the victors may decline to ascribe blame due to actions within </w:t>
      </w:r>
      <w:r w:rsidR="00002B9F">
        <w:t xml:space="preserve">the </w:t>
      </w:r>
      <w:r w:rsidR="0019185E" w:rsidRPr="00002B9F">
        <w:rPr>
          <w:noProof/>
        </w:rPr>
        <w:t>war</w:t>
      </w:r>
      <w:r w:rsidR="0019185E">
        <w:t xml:space="preserve">. For every cause for </w:t>
      </w:r>
      <w:r w:rsidR="0019185E" w:rsidRPr="00002B9F">
        <w:rPr>
          <w:noProof/>
        </w:rPr>
        <w:t>blame</w:t>
      </w:r>
      <w:r w:rsidR="00002B9F">
        <w:rPr>
          <w:noProof/>
        </w:rPr>
        <w:t>,</w:t>
      </w:r>
      <w:r w:rsidR="0019185E">
        <w:t xml:space="preserve"> there is a reason that this cannot be applied in some </w:t>
      </w:r>
      <w:proofErr w:type="gramStart"/>
      <w:r w:rsidR="0019185E">
        <w:t xml:space="preserve">shape or </w:t>
      </w:r>
      <w:r w:rsidR="0019185E" w:rsidRPr="00002B9F">
        <w:rPr>
          <w:noProof/>
        </w:rPr>
        <w:t>for</w:t>
      </w:r>
      <w:r w:rsidR="00002B9F">
        <w:rPr>
          <w:noProof/>
        </w:rPr>
        <w:t>m</w:t>
      </w:r>
      <w:proofErr w:type="gramEnd"/>
      <w:r w:rsidR="0019185E">
        <w:t xml:space="preserve">. It returns to the issue of ambiguity as shown by Tennyson in </w:t>
      </w:r>
      <w:r w:rsidR="0019185E">
        <w:rPr>
          <w:i/>
        </w:rPr>
        <w:t xml:space="preserve">Charge of the Light Brigade. </w:t>
      </w:r>
      <w:r w:rsidR="0019185E">
        <w:t xml:space="preserve">For even he does not ascribe blame but creates an unanswered question, one that is ambiguous, </w:t>
      </w:r>
      <w:r w:rsidR="00493035">
        <w:t>who</w:t>
      </w:r>
      <w:r w:rsidR="0019185E">
        <w:t xml:space="preserve"> has blundered. And that it is just it, can be </w:t>
      </w:r>
      <w:r w:rsidR="00493035">
        <w:t>we</w:t>
      </w:r>
      <w:r w:rsidR="0019185E">
        <w:t xml:space="preserve"> say who </w:t>
      </w:r>
      <w:r w:rsidR="00493035">
        <w:t xml:space="preserve">or which factor is to blame for </w:t>
      </w:r>
      <w:r w:rsidR="00002B9F">
        <w:t xml:space="preserve">the </w:t>
      </w:r>
      <w:r w:rsidR="00493035" w:rsidRPr="00002B9F">
        <w:rPr>
          <w:noProof/>
        </w:rPr>
        <w:t>war</w:t>
      </w:r>
      <w:r w:rsidR="00493035">
        <w:t xml:space="preserve">. So, </w:t>
      </w:r>
      <w:proofErr w:type="gramStart"/>
      <w:r w:rsidR="00493035">
        <w:t>in light of</w:t>
      </w:r>
      <w:proofErr w:type="gramEnd"/>
      <w:r w:rsidR="00493035">
        <w:t xml:space="preserve"> Tennyson’s famous line, it difficult to say at this stage </w:t>
      </w:r>
      <w:r w:rsidR="00493035" w:rsidRPr="00002B9F">
        <w:rPr>
          <w:noProof/>
        </w:rPr>
        <w:t>wh</w:t>
      </w:r>
      <w:r w:rsidR="00002B9F">
        <w:rPr>
          <w:noProof/>
        </w:rPr>
        <w:t>ich</w:t>
      </w:r>
      <w:r w:rsidR="00493035">
        <w:t xml:space="preserve"> is to blame for war due to this very ambiguity. </w:t>
      </w:r>
    </w:p>
    <w:p w14:paraId="67880698" w14:textId="77777777" w:rsidR="004B3593" w:rsidRPr="00734854" w:rsidRDefault="004B3593"/>
    <w:p w14:paraId="66BB65B8" w14:textId="77777777" w:rsidR="00005246" w:rsidRDefault="00005246"/>
    <w:p w14:paraId="5BF8360A" w14:textId="77777777" w:rsidR="00005246" w:rsidRDefault="00005246">
      <w:pPr>
        <w:rPr>
          <w:u w:val="single"/>
        </w:rPr>
      </w:pPr>
    </w:p>
    <w:p w14:paraId="5220398C" w14:textId="77777777" w:rsidR="00005246" w:rsidRDefault="00005246">
      <w:pPr>
        <w:rPr>
          <w:u w:val="single"/>
        </w:rPr>
      </w:pPr>
    </w:p>
    <w:p w14:paraId="4B0BAA04" w14:textId="77777777" w:rsidR="00005246" w:rsidRDefault="00005246">
      <w:pPr>
        <w:rPr>
          <w:u w:val="single"/>
        </w:rPr>
      </w:pPr>
    </w:p>
    <w:p w14:paraId="4AD185C6" w14:textId="77777777" w:rsidR="00005246" w:rsidRDefault="00005246">
      <w:pPr>
        <w:rPr>
          <w:u w:val="single"/>
        </w:rPr>
      </w:pPr>
    </w:p>
    <w:p w14:paraId="72DEEBCB" w14:textId="77777777" w:rsidR="00005246" w:rsidRDefault="00005246">
      <w:pPr>
        <w:rPr>
          <w:u w:val="single"/>
        </w:rPr>
      </w:pPr>
    </w:p>
    <w:p w14:paraId="06363467" w14:textId="77777777" w:rsidR="00005246" w:rsidRDefault="00005246">
      <w:pPr>
        <w:rPr>
          <w:u w:val="single"/>
        </w:rPr>
      </w:pPr>
    </w:p>
    <w:p w14:paraId="09094D66" w14:textId="77777777" w:rsidR="00977239" w:rsidRDefault="00977239">
      <w:pPr>
        <w:rPr>
          <w:u w:val="single"/>
        </w:rPr>
      </w:pPr>
    </w:p>
    <w:p w14:paraId="050B11E2" w14:textId="77777777" w:rsidR="00977239" w:rsidRDefault="00977239">
      <w:pPr>
        <w:rPr>
          <w:u w:val="single"/>
        </w:rPr>
      </w:pPr>
    </w:p>
    <w:p w14:paraId="318A1440" w14:textId="44EAF6CE" w:rsidR="00E506A8" w:rsidRDefault="00E506A8">
      <w:pPr>
        <w:rPr>
          <w:u w:val="single"/>
        </w:rPr>
      </w:pPr>
      <w:r w:rsidRPr="00E506A8">
        <w:rPr>
          <w:u w:val="single"/>
        </w:rPr>
        <w:t xml:space="preserve">Bibliography </w:t>
      </w:r>
    </w:p>
    <w:p w14:paraId="2537553C" w14:textId="732EEDEA" w:rsidR="00B313C2" w:rsidRDefault="00C20F01">
      <w:r>
        <w:t>Clausewitz</w:t>
      </w:r>
      <w:r w:rsidR="00B313C2">
        <w:t xml:space="preserve">, K. </w:t>
      </w:r>
      <w:r>
        <w:rPr>
          <w:i/>
        </w:rPr>
        <w:t>On War</w:t>
      </w:r>
      <w:r>
        <w:t>, (London: W</w:t>
      </w:r>
      <w:r w:rsidRPr="00D73169">
        <w:t>ordsworth Editions</w:t>
      </w:r>
      <w:r>
        <w:t xml:space="preserve">, </w:t>
      </w:r>
      <w:r w:rsidRPr="00D73169">
        <w:t>1997)</w:t>
      </w:r>
      <w:r>
        <w:t>.</w:t>
      </w:r>
    </w:p>
    <w:p w14:paraId="759810CE" w14:textId="2542F687" w:rsidR="00B51BC8" w:rsidRDefault="00B51BC8">
      <w:pPr>
        <w:rPr>
          <w:i/>
        </w:rPr>
      </w:pPr>
      <w:r>
        <w:t>Dahl</w:t>
      </w:r>
      <w:r w:rsidR="00B313C2">
        <w:t>,</w:t>
      </w:r>
      <w:r>
        <w:t xml:space="preserve"> C</w:t>
      </w:r>
      <w:r w:rsidR="00B313C2">
        <w:t>.</w:t>
      </w:r>
      <w:r>
        <w:t xml:space="preserve"> ‘</w:t>
      </w:r>
      <w:r w:rsidRPr="00FF5EA5">
        <w:t>"To Fight Aloud" and "The Charge of the Light Brigade": Dickinson on Tennyson</w:t>
      </w:r>
      <w:r>
        <w:t xml:space="preserve">’, </w:t>
      </w:r>
      <w:r w:rsidRPr="00FF5EA5">
        <w:rPr>
          <w:i/>
        </w:rPr>
        <w:t xml:space="preserve">The New England Quarterly Vol. 52, No. 1 </w:t>
      </w:r>
      <w:r>
        <w:rPr>
          <w:i/>
        </w:rPr>
        <w:t>(</w:t>
      </w:r>
      <w:r w:rsidRPr="00FF5EA5">
        <w:rPr>
          <w:i/>
        </w:rPr>
        <w:t>1979)</w:t>
      </w:r>
    </w:p>
    <w:p w14:paraId="613FAC2D" w14:textId="666EA826" w:rsidR="00B313C2" w:rsidRDefault="00B313C2">
      <w:pPr>
        <w:rPr>
          <w:i/>
        </w:rPr>
      </w:pPr>
      <w:r>
        <w:t>Doyle</w:t>
      </w:r>
      <w:r w:rsidR="005F0C13">
        <w:t>,</w:t>
      </w:r>
      <w:r>
        <w:t xml:space="preserve"> M</w:t>
      </w:r>
      <w:r w:rsidR="005F0C13">
        <w:t>.</w:t>
      </w:r>
      <w:r w:rsidRPr="002D6342">
        <w:t xml:space="preserve"> ‘</w:t>
      </w:r>
      <w:r>
        <w:t>Liberal States and War</w:t>
      </w:r>
      <w:r w:rsidRPr="002D6342">
        <w:t xml:space="preserve">’, </w:t>
      </w:r>
      <w:r w:rsidRPr="00820E24">
        <w:rPr>
          <w:i/>
        </w:rPr>
        <w:t>in War</w:t>
      </w:r>
      <w:r w:rsidRPr="002D6342">
        <w:t>, ed. by Lawrence Freedman (Oxford: Oxford University Press, 1994)</w:t>
      </w:r>
    </w:p>
    <w:p w14:paraId="3AA21AA3" w14:textId="3A435606" w:rsidR="00CF65A4" w:rsidRDefault="00CF65A4">
      <w:pPr>
        <w:rPr>
          <w:u w:val="single"/>
        </w:rPr>
      </w:pPr>
      <w:r>
        <w:t>Farwell</w:t>
      </w:r>
      <w:r w:rsidRPr="00242164">
        <w:t xml:space="preserve">, </w:t>
      </w:r>
      <w:r>
        <w:t xml:space="preserve">I. </w:t>
      </w:r>
      <w:r>
        <w:rPr>
          <w:i/>
        </w:rPr>
        <w:t>For Queen and Country: A Social History of the Victorian and Edwardian Army,</w:t>
      </w:r>
      <w:r w:rsidRPr="00242164">
        <w:t xml:space="preserve"> (London: P</w:t>
      </w:r>
      <w:r>
        <w:t>enguin Books</w:t>
      </w:r>
      <w:r w:rsidRPr="00242164">
        <w:t xml:space="preserve">, </w:t>
      </w:r>
      <w:r>
        <w:t>1981</w:t>
      </w:r>
      <w:r w:rsidRPr="00242164">
        <w:t>)</w:t>
      </w:r>
    </w:p>
    <w:p w14:paraId="1E9CCE58" w14:textId="7850102F" w:rsidR="00E506A8" w:rsidRDefault="00E506A8" w:rsidP="00E506A8">
      <w:r w:rsidRPr="00E506A8">
        <w:t>Francis,</w:t>
      </w:r>
      <w:r w:rsidR="005F0C13">
        <w:t xml:space="preserve"> E.</w:t>
      </w:r>
      <w:r w:rsidRPr="00E506A8">
        <w:t xml:space="preserve"> ‘Tennyson's Political Poetry, 1852-1855’, </w:t>
      </w:r>
      <w:r w:rsidRPr="00E506A8">
        <w:rPr>
          <w:i/>
        </w:rPr>
        <w:t>Victorian Poetry, Vol. 14, No. 2 (1976)</w:t>
      </w:r>
      <w:r>
        <w:t xml:space="preserve">. </w:t>
      </w:r>
    </w:p>
    <w:p w14:paraId="5D2600A9" w14:textId="40E91BC6" w:rsidR="00B51BC8" w:rsidRDefault="00B51BC8" w:rsidP="00E506A8">
      <w:r w:rsidRPr="00B51BC8">
        <w:t>Kash</w:t>
      </w:r>
      <w:r w:rsidR="005F0C13">
        <w:t>, E.</w:t>
      </w:r>
      <w:r w:rsidRPr="00B51BC8">
        <w:t xml:space="preserve"> ‘The Causes of War’, in </w:t>
      </w:r>
      <w:r w:rsidRPr="00820E24">
        <w:rPr>
          <w:i/>
        </w:rPr>
        <w:t>War</w:t>
      </w:r>
      <w:r w:rsidRPr="00B51BC8">
        <w:t>, ed. by Lawrence Freedman (Oxford: Oxford University Press, 1994)</w:t>
      </w:r>
      <w:r>
        <w:t xml:space="preserve"> </w:t>
      </w:r>
    </w:p>
    <w:p w14:paraId="760FE66E" w14:textId="1C2CA8DB" w:rsidR="00E506A8" w:rsidRDefault="00E506A8" w:rsidP="00E506A8">
      <w:r w:rsidRPr="0029257C">
        <w:t>Keegan,</w:t>
      </w:r>
      <w:r w:rsidR="005F0C13">
        <w:t xml:space="preserve"> J.</w:t>
      </w:r>
      <w:r w:rsidRPr="0029257C">
        <w:t xml:space="preserve"> </w:t>
      </w:r>
      <w:r w:rsidRPr="00E506A8">
        <w:rPr>
          <w:i/>
        </w:rPr>
        <w:t>A History of Warfare</w:t>
      </w:r>
      <w:r w:rsidRPr="0029257C">
        <w:t>, (London: Pimlico, 2004).</w:t>
      </w:r>
    </w:p>
    <w:p w14:paraId="7D79EF7F" w14:textId="7A60AFF7" w:rsidR="00CF65A4" w:rsidRDefault="00CF65A4" w:rsidP="00E506A8">
      <w:r w:rsidRPr="00CF65A4">
        <w:t>Lambert,</w:t>
      </w:r>
      <w:r w:rsidR="005F0C13">
        <w:t xml:space="preserve"> A.</w:t>
      </w:r>
      <w:r w:rsidRPr="00CF65A4">
        <w:t xml:space="preserve"> ‘Crimean Illusions’, in </w:t>
      </w:r>
      <w:r w:rsidRPr="00820E24">
        <w:rPr>
          <w:i/>
        </w:rPr>
        <w:t>War</w:t>
      </w:r>
      <w:r w:rsidRPr="00CF65A4">
        <w:t>, ed. by Lawrence Freedman (Oxford: Oxford University Press, 1994),</w:t>
      </w:r>
    </w:p>
    <w:p w14:paraId="3BFC22FC" w14:textId="6EF2450F" w:rsidR="00C20F01" w:rsidRDefault="00C20F01" w:rsidP="00E506A8">
      <w:r>
        <w:t>Markovits,</w:t>
      </w:r>
      <w:r w:rsidR="005F0C13">
        <w:t xml:space="preserve"> S.</w:t>
      </w:r>
      <w:r>
        <w:t xml:space="preserve"> ‘</w:t>
      </w:r>
      <w:r w:rsidRPr="0029257C">
        <w:t>Giving Voice to the Crimean War: Tennyson's "Charge" and Maud's Battle-Song</w:t>
      </w:r>
      <w:r>
        <w:t xml:space="preserve">’, </w:t>
      </w:r>
      <w:r w:rsidRPr="0029257C">
        <w:rPr>
          <w:i/>
        </w:rPr>
        <w:t>Vol. 47, No. 3 (2009)</w:t>
      </w:r>
      <w:r>
        <w:t xml:space="preserve">. </w:t>
      </w:r>
    </w:p>
    <w:p w14:paraId="6D418342" w14:textId="4312BDC4" w:rsidR="00B51BC8" w:rsidRDefault="00B51BC8" w:rsidP="00E506A8">
      <w:r w:rsidRPr="00B51BC8">
        <w:t>Phillips,</w:t>
      </w:r>
      <w:r w:rsidR="005F0C13">
        <w:t xml:space="preserve"> J.</w:t>
      </w:r>
      <w:r w:rsidRPr="00B51BC8">
        <w:t xml:space="preserve"> </w:t>
      </w:r>
      <w:r w:rsidRPr="00820E24">
        <w:rPr>
          <w:i/>
        </w:rPr>
        <w:t>Holy Warriors: A modern history of the Crusades</w:t>
      </w:r>
      <w:r w:rsidRPr="00B51BC8">
        <w:t>, (London: Vintage, 2009)</w:t>
      </w:r>
    </w:p>
    <w:p w14:paraId="715A96A1" w14:textId="1B5A0AFC" w:rsidR="00E506A8" w:rsidRDefault="00E506A8" w:rsidP="00E506A8">
      <w:r>
        <w:t>Sternberg,</w:t>
      </w:r>
      <w:r w:rsidR="005F0C13">
        <w:t xml:space="preserve"> T.</w:t>
      </w:r>
      <w:r>
        <w:t xml:space="preserve"> ‘A Word on The Sources </w:t>
      </w:r>
      <w:proofErr w:type="gramStart"/>
      <w:r>
        <w:t>Of</w:t>
      </w:r>
      <w:proofErr w:type="gramEnd"/>
      <w:r>
        <w:t xml:space="preserve"> The Light Brigade’, </w:t>
      </w:r>
      <w:r w:rsidRPr="00B64352">
        <w:rPr>
          <w:i/>
        </w:rPr>
        <w:t>Modern Language Notes</w:t>
      </w:r>
      <w:r>
        <w:rPr>
          <w:i/>
        </w:rPr>
        <w:t xml:space="preserve">, </w:t>
      </w:r>
      <w:r w:rsidRPr="00B64352">
        <w:rPr>
          <w:i/>
        </w:rPr>
        <w:t>Vol. 38, No. 4 (1923)</w:t>
      </w:r>
      <w:r>
        <w:rPr>
          <w:i/>
        </w:rPr>
        <w:t xml:space="preserve">. </w:t>
      </w:r>
      <w:r>
        <w:t xml:space="preserve"> </w:t>
      </w:r>
    </w:p>
    <w:p w14:paraId="25284B89" w14:textId="4CA41B55" w:rsidR="00E506A8" w:rsidRDefault="00E506A8" w:rsidP="00E506A8">
      <w:r>
        <w:t>Wallace,</w:t>
      </w:r>
      <w:r w:rsidR="005F0C13">
        <w:t xml:space="preserve"> R.W.</w:t>
      </w:r>
      <w:r>
        <w:t xml:space="preserve"> ‘Tennyson’, </w:t>
      </w:r>
      <w:r w:rsidRPr="00B64352">
        <w:rPr>
          <w:i/>
        </w:rPr>
        <w:t>The Journal of Education, Vol. 70, No. 6 (1909)</w:t>
      </w:r>
      <w:r>
        <w:rPr>
          <w:i/>
        </w:rPr>
        <w:t xml:space="preserve"> </w:t>
      </w:r>
    </w:p>
    <w:p w14:paraId="30DD958E" w14:textId="09A5843A" w:rsidR="00E506A8" w:rsidRDefault="0079197A" w:rsidP="00E506A8">
      <w:r w:rsidRPr="0079197A">
        <w:t>Wright,</w:t>
      </w:r>
      <w:r w:rsidR="005F0C13">
        <w:t xml:space="preserve"> M.</w:t>
      </w:r>
      <w:r w:rsidRPr="0079197A">
        <w:t xml:space="preserve"> ‘War of Fear, Gain and Doctrine’, in </w:t>
      </w:r>
      <w:r w:rsidRPr="00820E24">
        <w:rPr>
          <w:i/>
        </w:rPr>
        <w:t>War</w:t>
      </w:r>
      <w:r w:rsidRPr="0079197A">
        <w:t>, ed. by Lawrence Freedman (Oxford: Oxford University Press, 1994)</w:t>
      </w:r>
    </w:p>
    <w:p w14:paraId="0B23D5C9" w14:textId="0F0EAC98" w:rsidR="001A627B" w:rsidRPr="00E506A8" w:rsidRDefault="001A627B" w:rsidP="00E506A8">
      <w:proofErr w:type="spellStart"/>
      <w:r w:rsidRPr="001A627B">
        <w:t>Vagts</w:t>
      </w:r>
      <w:proofErr w:type="spellEnd"/>
      <w:r w:rsidRPr="001A627B">
        <w:t>,</w:t>
      </w:r>
      <w:r w:rsidR="005F0C13">
        <w:t xml:space="preserve"> A.</w:t>
      </w:r>
      <w:r w:rsidRPr="001A627B">
        <w:t xml:space="preserve"> ‘Military and Politics’, in </w:t>
      </w:r>
      <w:r w:rsidRPr="00820E24">
        <w:rPr>
          <w:i/>
        </w:rPr>
        <w:t>War</w:t>
      </w:r>
      <w:r w:rsidRPr="001A627B">
        <w:t>, ed. by Lawrence Freedman (Oxford: Oxford University Press, 1994)</w:t>
      </w:r>
    </w:p>
    <w:sectPr w:rsidR="001A627B" w:rsidRPr="00E506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1F68B" w14:textId="77777777" w:rsidR="00ED2287" w:rsidRDefault="00ED2287" w:rsidP="007C674D">
      <w:pPr>
        <w:spacing w:after="0" w:line="240" w:lineRule="auto"/>
      </w:pPr>
      <w:r>
        <w:separator/>
      </w:r>
    </w:p>
  </w:endnote>
  <w:endnote w:type="continuationSeparator" w:id="0">
    <w:p w14:paraId="1A453741" w14:textId="77777777" w:rsidR="00ED2287" w:rsidRDefault="00ED2287" w:rsidP="007C6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3EA68" w14:textId="77777777" w:rsidR="00ED2287" w:rsidRDefault="00ED2287" w:rsidP="007C674D">
      <w:pPr>
        <w:spacing w:after="0" w:line="240" w:lineRule="auto"/>
      </w:pPr>
      <w:r>
        <w:separator/>
      </w:r>
    </w:p>
  </w:footnote>
  <w:footnote w:type="continuationSeparator" w:id="0">
    <w:p w14:paraId="41AB3A31" w14:textId="77777777" w:rsidR="00ED2287" w:rsidRDefault="00ED2287" w:rsidP="007C674D">
      <w:pPr>
        <w:spacing w:after="0" w:line="240" w:lineRule="auto"/>
      </w:pPr>
      <w:r>
        <w:continuationSeparator/>
      </w:r>
    </w:p>
  </w:footnote>
  <w:footnote w:id="1">
    <w:p w14:paraId="6CD26453" w14:textId="65E65B47" w:rsidR="00B64352" w:rsidRPr="00B64352" w:rsidRDefault="007C674D" w:rsidP="00B64352">
      <w:pPr>
        <w:pStyle w:val="FootnoteText"/>
        <w:rPr>
          <w:i/>
        </w:rPr>
      </w:pPr>
      <w:r>
        <w:rPr>
          <w:rStyle w:val="FootnoteReference"/>
        </w:rPr>
        <w:footnoteRef/>
      </w:r>
      <w:r>
        <w:t xml:space="preserve"> E. Francis, ‘</w:t>
      </w:r>
      <w:r w:rsidRPr="007C674D">
        <w:t>Tennyson's Political Poetry, 1852-1855</w:t>
      </w:r>
      <w:r>
        <w:t xml:space="preserve">’, </w:t>
      </w:r>
      <w:r w:rsidR="00B64352" w:rsidRPr="00B64352">
        <w:rPr>
          <w:i/>
        </w:rPr>
        <w:t xml:space="preserve">Victorian Poetry </w:t>
      </w:r>
    </w:p>
    <w:p w14:paraId="4D942F70" w14:textId="4CCD7130" w:rsidR="007C674D" w:rsidRDefault="00B64352" w:rsidP="00B64352">
      <w:pPr>
        <w:pStyle w:val="FootnoteText"/>
      </w:pPr>
      <w:r w:rsidRPr="00B64352">
        <w:rPr>
          <w:i/>
        </w:rPr>
        <w:t xml:space="preserve">Vol. 14, No. 2 (1976), </w:t>
      </w:r>
      <w:r w:rsidRPr="00B64352">
        <w:t>pp. 113-123</w:t>
      </w:r>
      <w:r>
        <w:t xml:space="preserve">, p. </w:t>
      </w:r>
      <w:r w:rsidR="0029257C">
        <w:t>1</w:t>
      </w:r>
      <w:r>
        <w:t xml:space="preserve">14. </w:t>
      </w:r>
    </w:p>
  </w:footnote>
  <w:footnote w:id="2">
    <w:p w14:paraId="1251BE6F" w14:textId="007C2FCF" w:rsidR="00B64352" w:rsidRDefault="00B64352">
      <w:pPr>
        <w:pStyle w:val="FootnoteText"/>
      </w:pPr>
      <w:r>
        <w:rPr>
          <w:rStyle w:val="FootnoteReference"/>
        </w:rPr>
        <w:footnoteRef/>
      </w:r>
      <w:r>
        <w:t xml:space="preserve">Ibid., p. </w:t>
      </w:r>
      <w:r w:rsidR="0029257C">
        <w:t>1</w:t>
      </w:r>
      <w:r>
        <w:t xml:space="preserve">16. </w:t>
      </w:r>
    </w:p>
  </w:footnote>
  <w:footnote w:id="3">
    <w:p w14:paraId="66E14C92" w14:textId="3742C4DB" w:rsidR="00B64352" w:rsidRDefault="00B64352">
      <w:pPr>
        <w:pStyle w:val="FootnoteText"/>
      </w:pPr>
      <w:r>
        <w:rPr>
          <w:rStyle w:val="FootnoteReference"/>
        </w:rPr>
        <w:footnoteRef/>
      </w:r>
      <w:r>
        <w:t>Ibid., p. 1</w:t>
      </w:r>
      <w:r w:rsidR="0029257C">
        <w:t>1</w:t>
      </w:r>
      <w:r>
        <w:t xml:space="preserve">6.  </w:t>
      </w:r>
    </w:p>
  </w:footnote>
  <w:footnote w:id="4">
    <w:p w14:paraId="1EFC0DC3" w14:textId="2B5A3CD6" w:rsidR="00B64352" w:rsidRPr="00B64352" w:rsidRDefault="00B64352" w:rsidP="00B64352">
      <w:pPr>
        <w:pStyle w:val="FootnoteText"/>
        <w:rPr>
          <w:i/>
        </w:rPr>
      </w:pPr>
      <w:r>
        <w:rPr>
          <w:rStyle w:val="FootnoteReference"/>
        </w:rPr>
        <w:footnoteRef/>
      </w:r>
      <w:r>
        <w:t xml:space="preserve"> </w:t>
      </w:r>
      <w:bookmarkStart w:id="1" w:name="_Hlk512865236"/>
      <w:r>
        <w:t xml:space="preserve">T. Sternberg, ‘A Word </w:t>
      </w:r>
      <w:proofErr w:type="gramStart"/>
      <w:r>
        <w:t>On</w:t>
      </w:r>
      <w:proofErr w:type="gramEnd"/>
      <w:r>
        <w:t xml:space="preserve"> The Sources Of The Light Brigade’, </w:t>
      </w:r>
      <w:r w:rsidRPr="00B64352">
        <w:rPr>
          <w:i/>
        </w:rPr>
        <w:t xml:space="preserve">Modern Language Notes </w:t>
      </w:r>
    </w:p>
    <w:p w14:paraId="2075165B" w14:textId="68969967" w:rsidR="00B64352" w:rsidRDefault="00B64352" w:rsidP="00B64352">
      <w:pPr>
        <w:pStyle w:val="FootnoteText"/>
      </w:pPr>
      <w:r w:rsidRPr="00B64352">
        <w:rPr>
          <w:i/>
        </w:rPr>
        <w:t xml:space="preserve">Vol. 38, No. 4 (1923), </w:t>
      </w:r>
      <w:r>
        <w:t xml:space="preserve">pp. 248-250, p. 49. </w:t>
      </w:r>
    </w:p>
    <w:bookmarkEnd w:id="1"/>
  </w:footnote>
  <w:footnote w:id="5">
    <w:p w14:paraId="0C98C189" w14:textId="2A8E2894" w:rsidR="00B64352" w:rsidRDefault="00B64352">
      <w:pPr>
        <w:pStyle w:val="FootnoteText"/>
      </w:pPr>
      <w:r>
        <w:rPr>
          <w:rStyle w:val="FootnoteReference"/>
        </w:rPr>
        <w:footnoteRef/>
      </w:r>
      <w:r>
        <w:t xml:space="preserve"> Ibid., p. 48. </w:t>
      </w:r>
    </w:p>
  </w:footnote>
  <w:footnote w:id="6">
    <w:p w14:paraId="5B4CEA2D" w14:textId="783B9D3E" w:rsidR="00B64352" w:rsidRDefault="00B64352">
      <w:pPr>
        <w:pStyle w:val="FootnoteText"/>
      </w:pPr>
      <w:r>
        <w:rPr>
          <w:rStyle w:val="FootnoteReference"/>
        </w:rPr>
        <w:footnoteRef/>
      </w:r>
      <w:r>
        <w:t xml:space="preserve"> Ibid., p. 49. </w:t>
      </w:r>
    </w:p>
  </w:footnote>
  <w:footnote w:id="7">
    <w:p w14:paraId="4C00AED2" w14:textId="0FDEEFDE" w:rsidR="00B64352" w:rsidRDefault="00B64352" w:rsidP="00B64352">
      <w:pPr>
        <w:pStyle w:val="FootnoteText"/>
      </w:pPr>
      <w:r>
        <w:rPr>
          <w:rStyle w:val="FootnoteReference"/>
        </w:rPr>
        <w:footnoteRef/>
      </w:r>
      <w:r>
        <w:t xml:space="preserve"> </w:t>
      </w:r>
      <w:bookmarkStart w:id="2" w:name="_Hlk512865312"/>
      <w:r>
        <w:t xml:space="preserve">R. W. Wallace, ‘Tennyson’, </w:t>
      </w:r>
      <w:r w:rsidRPr="00B64352">
        <w:rPr>
          <w:i/>
        </w:rPr>
        <w:t>The Journal of Education, Vol. 70, No. 6 (1909),</w:t>
      </w:r>
      <w:r>
        <w:t xml:space="preserve"> pp. 143-144</w:t>
      </w:r>
      <w:bookmarkEnd w:id="2"/>
      <w:r>
        <w:t xml:space="preserve">, p. 143. </w:t>
      </w:r>
    </w:p>
  </w:footnote>
  <w:footnote w:id="8">
    <w:p w14:paraId="67635257" w14:textId="3DA368C4" w:rsidR="0029257C" w:rsidRPr="0029257C" w:rsidRDefault="0029257C">
      <w:pPr>
        <w:pStyle w:val="FootnoteText"/>
      </w:pPr>
      <w:r>
        <w:rPr>
          <w:rStyle w:val="FootnoteReference"/>
        </w:rPr>
        <w:footnoteRef/>
      </w:r>
      <w:r>
        <w:t xml:space="preserve"> Francis, </w:t>
      </w:r>
      <w:r>
        <w:rPr>
          <w:i/>
        </w:rPr>
        <w:t>Political Poetry</w:t>
      </w:r>
      <w:r>
        <w:t xml:space="preserve">, p. 117. </w:t>
      </w:r>
    </w:p>
  </w:footnote>
  <w:footnote w:id="9">
    <w:p w14:paraId="5C6911C4" w14:textId="6A8EBD34" w:rsidR="0029257C" w:rsidRDefault="0029257C">
      <w:pPr>
        <w:pStyle w:val="FootnoteText"/>
      </w:pPr>
      <w:r>
        <w:rPr>
          <w:rStyle w:val="FootnoteReference"/>
        </w:rPr>
        <w:footnoteRef/>
      </w:r>
      <w:r>
        <w:t xml:space="preserve"> </w:t>
      </w:r>
      <w:bookmarkStart w:id="3" w:name="_Hlk512865429"/>
      <w:bookmarkStart w:id="4" w:name="_Hlk512339535"/>
      <w:r>
        <w:t xml:space="preserve">J. </w:t>
      </w:r>
      <w:r w:rsidRPr="0029257C">
        <w:t>Keegan</w:t>
      </w:r>
      <w:r w:rsidRPr="00E506A8">
        <w:rPr>
          <w:i/>
        </w:rPr>
        <w:t>, A History of Warfare</w:t>
      </w:r>
      <w:r w:rsidRPr="0029257C">
        <w:t xml:space="preserve">, (London: Pimlico, 2004). </w:t>
      </w:r>
      <w:bookmarkEnd w:id="3"/>
      <w:r w:rsidRPr="0029257C">
        <w:t xml:space="preserve">p. </w:t>
      </w:r>
      <w:r w:rsidR="00AD1BA4">
        <w:t>150</w:t>
      </w:r>
      <w:r>
        <w:t xml:space="preserve">. </w:t>
      </w:r>
      <w:bookmarkEnd w:id="4"/>
    </w:p>
  </w:footnote>
  <w:footnote w:id="10">
    <w:p w14:paraId="634C6A3F" w14:textId="4680B6B7" w:rsidR="0029257C" w:rsidRDefault="0029257C">
      <w:pPr>
        <w:pStyle w:val="FootnoteText"/>
      </w:pPr>
      <w:r>
        <w:rPr>
          <w:rStyle w:val="FootnoteReference"/>
        </w:rPr>
        <w:footnoteRef/>
      </w:r>
      <w:r>
        <w:t xml:space="preserve"> Ibid., p. </w:t>
      </w:r>
      <w:r w:rsidR="00AD1BA4">
        <w:t>150</w:t>
      </w:r>
      <w:r>
        <w:t xml:space="preserve">. </w:t>
      </w:r>
    </w:p>
  </w:footnote>
  <w:footnote w:id="11">
    <w:p w14:paraId="3D9F488B" w14:textId="225E9BFA" w:rsidR="0029257C" w:rsidRDefault="0029257C">
      <w:pPr>
        <w:pStyle w:val="FootnoteText"/>
      </w:pPr>
      <w:r>
        <w:rPr>
          <w:rStyle w:val="FootnoteReference"/>
        </w:rPr>
        <w:footnoteRef/>
      </w:r>
      <w:r>
        <w:t xml:space="preserve"> Ibid., p. </w:t>
      </w:r>
      <w:r w:rsidR="00AD1BA4">
        <w:t>151</w:t>
      </w:r>
      <w:r>
        <w:t xml:space="preserve">. </w:t>
      </w:r>
    </w:p>
  </w:footnote>
  <w:footnote w:id="12">
    <w:p w14:paraId="165457DD" w14:textId="490BDAF7" w:rsidR="0029257C" w:rsidRDefault="0029257C">
      <w:pPr>
        <w:pStyle w:val="FootnoteText"/>
      </w:pPr>
      <w:r>
        <w:rPr>
          <w:rStyle w:val="FootnoteReference"/>
        </w:rPr>
        <w:footnoteRef/>
      </w:r>
      <w:r>
        <w:t xml:space="preserve"> S. Markovits, ‘</w:t>
      </w:r>
      <w:r w:rsidRPr="0029257C">
        <w:t>Giving Voice to the Crimean War: Tennyson's "Charge" and Maud's Battle-Song</w:t>
      </w:r>
      <w:r>
        <w:t xml:space="preserve">’, </w:t>
      </w:r>
      <w:r w:rsidRPr="0029257C">
        <w:rPr>
          <w:i/>
        </w:rPr>
        <w:t>Vol. 47, No. 3 (2009)</w:t>
      </w:r>
      <w:r w:rsidRPr="0029257C">
        <w:t>, pp. 481-503</w:t>
      </w:r>
      <w:r>
        <w:t xml:space="preserve">, p. 495. </w:t>
      </w:r>
    </w:p>
  </w:footnote>
  <w:footnote w:id="13">
    <w:p w14:paraId="5297C7CB" w14:textId="51493C6C" w:rsidR="0063661E" w:rsidRDefault="0063661E">
      <w:pPr>
        <w:pStyle w:val="FootnoteText"/>
      </w:pPr>
      <w:r>
        <w:rPr>
          <w:rStyle w:val="FootnoteReference"/>
        </w:rPr>
        <w:footnoteRef/>
      </w:r>
      <w:r>
        <w:t xml:space="preserve"> Ibid., </w:t>
      </w:r>
      <w:r w:rsidR="006A2A8A">
        <w:t xml:space="preserve">p. 496. </w:t>
      </w:r>
    </w:p>
  </w:footnote>
  <w:footnote w:id="14">
    <w:p w14:paraId="6C1447B1" w14:textId="18BF74D0" w:rsidR="006A2A8A" w:rsidRDefault="006A2A8A">
      <w:pPr>
        <w:pStyle w:val="FootnoteText"/>
      </w:pPr>
      <w:r>
        <w:rPr>
          <w:rStyle w:val="FootnoteReference"/>
        </w:rPr>
        <w:footnoteRef/>
      </w:r>
      <w:r>
        <w:t xml:space="preserve"> Ibid., p. 497. </w:t>
      </w:r>
    </w:p>
  </w:footnote>
  <w:footnote w:id="15">
    <w:p w14:paraId="7A32F442" w14:textId="0DA28EE7" w:rsidR="00A03589" w:rsidRPr="00D73169" w:rsidRDefault="00A03589">
      <w:pPr>
        <w:pStyle w:val="FootnoteText"/>
      </w:pPr>
      <w:r>
        <w:rPr>
          <w:rStyle w:val="FootnoteReference"/>
        </w:rPr>
        <w:footnoteRef/>
      </w:r>
      <w:r>
        <w:t xml:space="preserve"> </w:t>
      </w:r>
      <w:r w:rsidR="00D73169">
        <w:t xml:space="preserve">Keegan, </w:t>
      </w:r>
      <w:r w:rsidR="00D73169">
        <w:rPr>
          <w:i/>
        </w:rPr>
        <w:t>A History of War</w:t>
      </w:r>
      <w:r w:rsidR="00D73169">
        <w:t xml:space="preserve">, p. </w:t>
      </w:r>
      <w:r w:rsidR="00AD1BA4">
        <w:t>154</w:t>
      </w:r>
      <w:r w:rsidR="00D73169">
        <w:t xml:space="preserve">. </w:t>
      </w:r>
    </w:p>
  </w:footnote>
  <w:footnote w:id="16">
    <w:p w14:paraId="1CDE4EAA" w14:textId="300CDF7A" w:rsidR="00D73169" w:rsidRDefault="00D73169">
      <w:pPr>
        <w:pStyle w:val="FootnoteText"/>
      </w:pPr>
      <w:r>
        <w:rPr>
          <w:rStyle w:val="FootnoteReference"/>
        </w:rPr>
        <w:footnoteRef/>
      </w:r>
      <w:r>
        <w:t xml:space="preserve"> Ibid., p. 341. </w:t>
      </w:r>
    </w:p>
  </w:footnote>
  <w:footnote w:id="17">
    <w:p w14:paraId="30EFDEC6" w14:textId="1E36222B" w:rsidR="00D73169" w:rsidRDefault="00D73169">
      <w:pPr>
        <w:pStyle w:val="FootnoteText"/>
      </w:pPr>
      <w:r>
        <w:rPr>
          <w:rStyle w:val="FootnoteReference"/>
        </w:rPr>
        <w:footnoteRef/>
      </w:r>
      <w:r>
        <w:t xml:space="preserve"> </w:t>
      </w:r>
      <w:bookmarkStart w:id="5" w:name="_Hlk512865697"/>
      <w:r w:rsidR="00C20F01">
        <w:t xml:space="preserve">K. </w:t>
      </w:r>
      <w:r>
        <w:t>Clausewitz</w:t>
      </w:r>
      <w:r w:rsidR="00C20F01">
        <w:t>,</w:t>
      </w:r>
      <w:r>
        <w:t xml:space="preserve"> </w:t>
      </w:r>
      <w:r>
        <w:rPr>
          <w:i/>
        </w:rPr>
        <w:t>On War</w:t>
      </w:r>
      <w:r>
        <w:t>, (London: W</w:t>
      </w:r>
      <w:r w:rsidRPr="00D73169">
        <w:t>ordsworth Editions</w:t>
      </w:r>
      <w:r>
        <w:t xml:space="preserve">, </w:t>
      </w:r>
      <w:r w:rsidRPr="00D73169">
        <w:t>1997)</w:t>
      </w:r>
      <w:r>
        <w:t xml:space="preserve">. </w:t>
      </w:r>
      <w:bookmarkEnd w:id="5"/>
      <w:r>
        <w:t xml:space="preserve">p. 27. </w:t>
      </w:r>
    </w:p>
  </w:footnote>
  <w:footnote w:id="18">
    <w:p w14:paraId="54B54D0B" w14:textId="370DC53D" w:rsidR="00D73169" w:rsidRPr="00D73169" w:rsidRDefault="00D73169">
      <w:pPr>
        <w:pStyle w:val="FootnoteText"/>
      </w:pPr>
      <w:r>
        <w:rPr>
          <w:rStyle w:val="FootnoteReference"/>
        </w:rPr>
        <w:footnoteRef/>
      </w:r>
      <w:r>
        <w:t xml:space="preserve"> Wallace, </w:t>
      </w:r>
      <w:r>
        <w:rPr>
          <w:i/>
        </w:rPr>
        <w:t xml:space="preserve">Tennyson, </w:t>
      </w:r>
      <w:r>
        <w:t xml:space="preserve">p. 144. </w:t>
      </w:r>
    </w:p>
  </w:footnote>
  <w:footnote w:id="19">
    <w:p w14:paraId="1588BE78" w14:textId="37400986" w:rsidR="00D73169" w:rsidRDefault="00D73169">
      <w:pPr>
        <w:pStyle w:val="FootnoteText"/>
      </w:pPr>
      <w:r>
        <w:rPr>
          <w:rStyle w:val="FootnoteReference"/>
        </w:rPr>
        <w:footnoteRef/>
      </w:r>
      <w:r>
        <w:t xml:space="preserve"> </w:t>
      </w:r>
      <w:r w:rsidR="00603AA2" w:rsidRPr="00603AA2">
        <w:t>M</w:t>
      </w:r>
      <w:r w:rsidR="00CF65A4">
        <w:t xml:space="preserve">. </w:t>
      </w:r>
      <w:r w:rsidR="00603AA2" w:rsidRPr="00603AA2">
        <w:t xml:space="preserve">Wright, ‘War of Fear, Gain and Doctrine’, in </w:t>
      </w:r>
      <w:r w:rsidR="00603AA2" w:rsidRPr="0011293A">
        <w:rPr>
          <w:i/>
        </w:rPr>
        <w:t>War</w:t>
      </w:r>
      <w:r w:rsidR="00603AA2" w:rsidRPr="00603AA2">
        <w:t xml:space="preserve">, ed. by Lawrence Freedman (Oxford: Oxford University Press, 1994), p.90.  </w:t>
      </w:r>
    </w:p>
  </w:footnote>
  <w:footnote w:id="20">
    <w:p w14:paraId="22E56067" w14:textId="31AE323E" w:rsidR="00603AA2" w:rsidRPr="00603AA2" w:rsidRDefault="00603AA2">
      <w:pPr>
        <w:pStyle w:val="FootnoteText"/>
      </w:pPr>
      <w:r>
        <w:rPr>
          <w:rStyle w:val="FootnoteReference"/>
        </w:rPr>
        <w:footnoteRef/>
      </w:r>
      <w:r>
        <w:t xml:space="preserve"> Ibid., p. 91. </w:t>
      </w:r>
    </w:p>
  </w:footnote>
  <w:footnote w:id="21">
    <w:p w14:paraId="69B3698D" w14:textId="1B293F05" w:rsidR="00603AA2" w:rsidRDefault="00603AA2">
      <w:pPr>
        <w:pStyle w:val="FootnoteText"/>
      </w:pPr>
      <w:r>
        <w:rPr>
          <w:rStyle w:val="FootnoteReference"/>
        </w:rPr>
        <w:footnoteRef/>
      </w:r>
      <w:r>
        <w:t xml:space="preserve"> Ibid., p. 91. </w:t>
      </w:r>
    </w:p>
  </w:footnote>
  <w:footnote w:id="22">
    <w:p w14:paraId="25AD3145" w14:textId="39D85C1C" w:rsidR="00603AA2" w:rsidRDefault="00603AA2">
      <w:pPr>
        <w:pStyle w:val="FootnoteText"/>
      </w:pPr>
      <w:r>
        <w:rPr>
          <w:rStyle w:val="FootnoteReference"/>
        </w:rPr>
        <w:footnoteRef/>
      </w:r>
      <w:r>
        <w:t xml:space="preserve"> </w:t>
      </w:r>
      <w:r w:rsidR="0079197A">
        <w:t>J</w:t>
      </w:r>
      <w:r>
        <w:t>.</w:t>
      </w:r>
      <w:r w:rsidR="0079197A">
        <w:t xml:space="preserve"> Phillips,</w:t>
      </w:r>
      <w:r w:rsidRPr="00603AA2">
        <w:t xml:space="preserve"> </w:t>
      </w:r>
      <w:r w:rsidRPr="00603AA2">
        <w:rPr>
          <w:i/>
        </w:rPr>
        <w:t>Holy Warriors: A modern history of the Crusades</w:t>
      </w:r>
      <w:r w:rsidRPr="00603AA2">
        <w:t>, (London: Vintage, 2009), p.22.</w:t>
      </w:r>
    </w:p>
  </w:footnote>
  <w:footnote w:id="23">
    <w:p w14:paraId="701720F7" w14:textId="3C6BFAA2" w:rsidR="00603AA2" w:rsidRDefault="00603AA2">
      <w:pPr>
        <w:pStyle w:val="FootnoteText"/>
      </w:pPr>
      <w:r>
        <w:rPr>
          <w:rStyle w:val="FootnoteReference"/>
        </w:rPr>
        <w:footnoteRef/>
      </w:r>
      <w:r>
        <w:t xml:space="preserve"> Ibid., p.</w:t>
      </w:r>
      <w:r w:rsidR="00040063">
        <w:t xml:space="preserve"> 23. </w:t>
      </w:r>
    </w:p>
  </w:footnote>
  <w:footnote w:id="24">
    <w:p w14:paraId="2550896B" w14:textId="6DF0E90C" w:rsidR="00040063" w:rsidRDefault="00040063">
      <w:pPr>
        <w:pStyle w:val="FootnoteText"/>
      </w:pPr>
      <w:r>
        <w:rPr>
          <w:rStyle w:val="FootnoteReference"/>
        </w:rPr>
        <w:footnoteRef/>
      </w:r>
      <w:r>
        <w:t xml:space="preserve"> Ibid., p. 23. </w:t>
      </w:r>
    </w:p>
  </w:footnote>
  <w:footnote w:id="25">
    <w:p w14:paraId="3182192D" w14:textId="1C51D7CA" w:rsidR="00040063" w:rsidRDefault="00040063">
      <w:pPr>
        <w:pStyle w:val="FootnoteText"/>
      </w:pPr>
      <w:r>
        <w:rPr>
          <w:rStyle w:val="FootnoteReference"/>
        </w:rPr>
        <w:footnoteRef/>
      </w:r>
      <w:r>
        <w:t xml:space="preserve"> Ibid., p. 24. </w:t>
      </w:r>
    </w:p>
  </w:footnote>
  <w:footnote w:id="26">
    <w:p w14:paraId="6C124B08" w14:textId="2E3D701B" w:rsidR="00040063" w:rsidRDefault="00040063">
      <w:pPr>
        <w:pStyle w:val="FootnoteText"/>
      </w:pPr>
      <w:r>
        <w:rPr>
          <w:rStyle w:val="FootnoteReference"/>
        </w:rPr>
        <w:footnoteRef/>
      </w:r>
      <w:r>
        <w:t xml:space="preserve"> </w:t>
      </w:r>
      <w:bookmarkStart w:id="6" w:name="_Hlk512339934"/>
      <w:r w:rsidRPr="00040063">
        <w:t xml:space="preserve">Efraim Kash, ‘The Causes of War’, in </w:t>
      </w:r>
      <w:r w:rsidRPr="0011293A">
        <w:rPr>
          <w:i/>
        </w:rPr>
        <w:t>War</w:t>
      </w:r>
      <w:r w:rsidRPr="00040063">
        <w:t>, ed. by Lawrence Freedman (Oxford: Oxford University Press, 1994), p.</w:t>
      </w:r>
      <w:r>
        <w:t xml:space="preserve"> </w:t>
      </w:r>
      <w:r w:rsidRPr="00040063">
        <w:t>65.</w:t>
      </w:r>
      <w:r>
        <w:t xml:space="preserve"> </w:t>
      </w:r>
    </w:p>
    <w:bookmarkEnd w:id="6"/>
  </w:footnote>
  <w:footnote w:id="27">
    <w:p w14:paraId="27450633" w14:textId="364C7551" w:rsidR="00040063" w:rsidRDefault="00040063">
      <w:pPr>
        <w:pStyle w:val="FootnoteText"/>
      </w:pPr>
      <w:r>
        <w:rPr>
          <w:rStyle w:val="FootnoteReference"/>
        </w:rPr>
        <w:footnoteRef/>
      </w:r>
      <w:r>
        <w:t xml:space="preserve"> Ibid., p. 66. </w:t>
      </w:r>
    </w:p>
  </w:footnote>
  <w:footnote w:id="28">
    <w:p w14:paraId="1AF988B9" w14:textId="117DE574" w:rsidR="00040063" w:rsidRDefault="00040063">
      <w:pPr>
        <w:pStyle w:val="FootnoteText"/>
      </w:pPr>
      <w:r>
        <w:rPr>
          <w:rStyle w:val="FootnoteReference"/>
        </w:rPr>
        <w:footnoteRef/>
      </w:r>
      <w:r>
        <w:t xml:space="preserve"> </w:t>
      </w:r>
      <w:r w:rsidRPr="00040063">
        <w:t>Ibid., p. 67.</w:t>
      </w:r>
    </w:p>
  </w:footnote>
  <w:footnote w:id="29">
    <w:p w14:paraId="329B79BD" w14:textId="7FDDD313" w:rsidR="00FF5EA5" w:rsidRDefault="00FF5EA5">
      <w:pPr>
        <w:pStyle w:val="FootnoteText"/>
      </w:pPr>
      <w:r>
        <w:rPr>
          <w:rStyle w:val="FootnoteReference"/>
        </w:rPr>
        <w:footnoteRef/>
      </w:r>
      <w:r>
        <w:t xml:space="preserve"> Ibid., p. 67. </w:t>
      </w:r>
    </w:p>
  </w:footnote>
  <w:footnote w:id="30">
    <w:p w14:paraId="5FF4C93F" w14:textId="1A160534" w:rsidR="00FF5EA5" w:rsidRPr="00FF5EA5" w:rsidRDefault="00FF5EA5">
      <w:pPr>
        <w:pStyle w:val="FootnoteText"/>
      </w:pPr>
      <w:r>
        <w:rPr>
          <w:rStyle w:val="FootnoteReference"/>
        </w:rPr>
        <w:footnoteRef/>
      </w:r>
      <w:r>
        <w:t xml:space="preserve"> </w:t>
      </w:r>
      <w:bookmarkStart w:id="7" w:name="_Hlk512340284"/>
      <w:r>
        <w:t xml:space="preserve">Keegan, </w:t>
      </w:r>
      <w:r>
        <w:rPr>
          <w:i/>
        </w:rPr>
        <w:t xml:space="preserve">A History of War, </w:t>
      </w:r>
      <w:r>
        <w:t xml:space="preserve">p. 120. </w:t>
      </w:r>
      <w:bookmarkEnd w:id="7"/>
    </w:p>
  </w:footnote>
  <w:footnote w:id="31">
    <w:p w14:paraId="75862BF2" w14:textId="5B6EC80E" w:rsidR="00FF5EA5" w:rsidRDefault="00FF5EA5" w:rsidP="00FF5EA5">
      <w:pPr>
        <w:pStyle w:val="FootnoteText"/>
      </w:pPr>
      <w:r>
        <w:rPr>
          <w:rStyle w:val="FootnoteReference"/>
        </w:rPr>
        <w:footnoteRef/>
      </w:r>
      <w:r>
        <w:t xml:space="preserve"> </w:t>
      </w:r>
      <w:r w:rsidR="00CF65A4">
        <w:t>C. Dahl,</w:t>
      </w:r>
      <w:r>
        <w:t xml:space="preserve"> ‘</w:t>
      </w:r>
      <w:r w:rsidRPr="00FF5EA5">
        <w:t>"To Fight Aloud" and "The Charge of the Light Brigade": Dickinson on Tennyson</w:t>
      </w:r>
      <w:r>
        <w:t xml:space="preserve">’, </w:t>
      </w:r>
      <w:r w:rsidRPr="00FF5EA5">
        <w:rPr>
          <w:i/>
        </w:rPr>
        <w:t xml:space="preserve">The New England Quarterly Vol. 52, No. 1 </w:t>
      </w:r>
      <w:r>
        <w:rPr>
          <w:i/>
        </w:rPr>
        <w:t>(</w:t>
      </w:r>
      <w:r w:rsidRPr="00FF5EA5">
        <w:rPr>
          <w:i/>
        </w:rPr>
        <w:t>1979)</w:t>
      </w:r>
      <w:r>
        <w:rPr>
          <w:i/>
        </w:rPr>
        <w:t xml:space="preserve">, </w:t>
      </w:r>
      <w:r w:rsidRPr="00CB45D1">
        <w:t xml:space="preserve">pp. 94-99.  </w:t>
      </w:r>
      <w:r w:rsidR="00CB45D1" w:rsidRPr="00CB45D1">
        <w:t>P. 96</w:t>
      </w:r>
      <w:r w:rsidR="00CB45D1">
        <w:rPr>
          <w:i/>
        </w:rPr>
        <w:t xml:space="preserve">. </w:t>
      </w:r>
    </w:p>
  </w:footnote>
  <w:footnote w:id="32">
    <w:p w14:paraId="021FFF06" w14:textId="0C755E7C" w:rsidR="00CB45D1" w:rsidRDefault="00CB45D1">
      <w:pPr>
        <w:pStyle w:val="FootnoteText"/>
      </w:pPr>
      <w:r>
        <w:rPr>
          <w:rStyle w:val="FootnoteReference"/>
        </w:rPr>
        <w:footnoteRef/>
      </w:r>
      <w:r>
        <w:t xml:space="preserve"> Ibid., p. 96. </w:t>
      </w:r>
    </w:p>
  </w:footnote>
  <w:footnote w:id="33">
    <w:p w14:paraId="2BAF315C" w14:textId="2C527E10" w:rsidR="00CB45D1" w:rsidRDefault="00CB45D1">
      <w:pPr>
        <w:pStyle w:val="FootnoteText"/>
      </w:pPr>
      <w:r>
        <w:rPr>
          <w:rStyle w:val="FootnoteReference"/>
        </w:rPr>
        <w:footnoteRef/>
      </w:r>
      <w:r>
        <w:t xml:space="preserve"> Ibid., p. 97. </w:t>
      </w:r>
    </w:p>
  </w:footnote>
  <w:footnote w:id="34">
    <w:p w14:paraId="68BDAA5F" w14:textId="13439D8D" w:rsidR="00CB45D1" w:rsidRDefault="00CB45D1">
      <w:pPr>
        <w:pStyle w:val="FootnoteText"/>
      </w:pPr>
      <w:r>
        <w:rPr>
          <w:rStyle w:val="FootnoteReference"/>
        </w:rPr>
        <w:footnoteRef/>
      </w:r>
      <w:r>
        <w:t xml:space="preserve"> Ibid., p. 98. </w:t>
      </w:r>
    </w:p>
  </w:footnote>
  <w:footnote w:id="35">
    <w:p w14:paraId="36EB3440" w14:textId="46C3516F" w:rsidR="00EA1BFF" w:rsidRDefault="00EA1BFF">
      <w:pPr>
        <w:pStyle w:val="FootnoteText"/>
      </w:pPr>
      <w:r>
        <w:rPr>
          <w:rStyle w:val="FootnoteReference"/>
        </w:rPr>
        <w:footnoteRef/>
      </w:r>
      <w:r>
        <w:t xml:space="preserve"> </w:t>
      </w:r>
      <w:bookmarkStart w:id="8" w:name="_Hlk512866075"/>
      <w:r w:rsidR="00242164">
        <w:t>B.</w:t>
      </w:r>
      <w:r w:rsidR="00242164" w:rsidRPr="00242164">
        <w:t xml:space="preserve"> </w:t>
      </w:r>
      <w:r w:rsidR="00242164">
        <w:t>Farwell</w:t>
      </w:r>
      <w:r w:rsidR="00242164" w:rsidRPr="00242164">
        <w:t xml:space="preserve">, </w:t>
      </w:r>
      <w:r w:rsidR="00242164">
        <w:t xml:space="preserve">I. </w:t>
      </w:r>
      <w:r w:rsidR="00242164">
        <w:rPr>
          <w:i/>
        </w:rPr>
        <w:t>For Queen and Country: A Social History of the Victorian and Edwardian Army,</w:t>
      </w:r>
      <w:r w:rsidR="00242164" w:rsidRPr="00242164">
        <w:t xml:space="preserve"> (London: P</w:t>
      </w:r>
      <w:r w:rsidR="00242164">
        <w:t>enguin Books</w:t>
      </w:r>
      <w:r w:rsidR="00242164" w:rsidRPr="00242164">
        <w:t xml:space="preserve">, </w:t>
      </w:r>
      <w:r w:rsidR="00242164">
        <w:t>1981</w:t>
      </w:r>
      <w:r w:rsidR="00242164" w:rsidRPr="00242164">
        <w:t xml:space="preserve">). </w:t>
      </w:r>
      <w:bookmarkEnd w:id="8"/>
      <w:r w:rsidR="00242164" w:rsidRPr="00242164">
        <w:t xml:space="preserve">p. </w:t>
      </w:r>
      <w:r w:rsidR="00242164">
        <w:t>72</w:t>
      </w:r>
      <w:r w:rsidR="00242164" w:rsidRPr="00242164">
        <w:t>.</w:t>
      </w:r>
    </w:p>
  </w:footnote>
  <w:footnote w:id="36">
    <w:p w14:paraId="4EEE0D2F" w14:textId="3D63761D" w:rsidR="007D3A13" w:rsidRDefault="007D3A13">
      <w:pPr>
        <w:pStyle w:val="FootnoteText"/>
      </w:pPr>
      <w:r>
        <w:rPr>
          <w:rStyle w:val="FootnoteReference"/>
        </w:rPr>
        <w:footnoteRef/>
      </w:r>
      <w:r>
        <w:t xml:space="preserve"> Ibid., p. 72. </w:t>
      </w:r>
    </w:p>
  </w:footnote>
  <w:footnote w:id="37">
    <w:p w14:paraId="355ACF20" w14:textId="3795BE49" w:rsidR="007D3A13" w:rsidRDefault="007D3A13">
      <w:pPr>
        <w:pStyle w:val="FootnoteText"/>
      </w:pPr>
      <w:r>
        <w:rPr>
          <w:rStyle w:val="FootnoteReference"/>
        </w:rPr>
        <w:footnoteRef/>
      </w:r>
      <w:r>
        <w:t xml:space="preserve"> Ibid., p. 73. </w:t>
      </w:r>
    </w:p>
  </w:footnote>
  <w:footnote w:id="38">
    <w:p w14:paraId="6A7CDA2B" w14:textId="2FB57719" w:rsidR="007D3A13" w:rsidRDefault="007D3A13">
      <w:pPr>
        <w:pStyle w:val="FootnoteText"/>
      </w:pPr>
      <w:r>
        <w:rPr>
          <w:rStyle w:val="FootnoteReference"/>
        </w:rPr>
        <w:footnoteRef/>
      </w:r>
      <w:r>
        <w:t xml:space="preserve"> Ibid., p. 73. </w:t>
      </w:r>
    </w:p>
  </w:footnote>
  <w:footnote w:id="39">
    <w:p w14:paraId="19EF8685" w14:textId="027E3EC8" w:rsidR="007D3A13" w:rsidRDefault="007D3A13">
      <w:pPr>
        <w:pStyle w:val="FootnoteText"/>
      </w:pPr>
      <w:r>
        <w:rPr>
          <w:rStyle w:val="FootnoteReference"/>
        </w:rPr>
        <w:footnoteRef/>
      </w:r>
      <w:r>
        <w:t xml:space="preserve"> Ibid., p. 74. </w:t>
      </w:r>
    </w:p>
  </w:footnote>
  <w:footnote w:id="40">
    <w:p w14:paraId="2F5E92FB" w14:textId="0DDA0E45" w:rsidR="007D3A13" w:rsidRPr="007D3A13" w:rsidRDefault="007D3A13" w:rsidP="007D3A13">
      <w:pPr>
        <w:pStyle w:val="FootnoteText"/>
      </w:pPr>
      <w:r>
        <w:rPr>
          <w:rStyle w:val="FootnoteReference"/>
        </w:rPr>
        <w:footnoteRef/>
      </w:r>
      <w:r>
        <w:t xml:space="preserve"> </w:t>
      </w:r>
      <w:bookmarkStart w:id="9" w:name="_Hlk512866108"/>
      <w:bookmarkStart w:id="10" w:name="_Hlk512345592"/>
      <w:r>
        <w:t>A</w:t>
      </w:r>
      <w:r w:rsidR="00CF65A4">
        <w:t>.</w:t>
      </w:r>
      <w:r>
        <w:t xml:space="preserve"> Lambert</w:t>
      </w:r>
      <w:r w:rsidRPr="007D3A13">
        <w:t>, ‘</w:t>
      </w:r>
      <w:r>
        <w:t>Crimean Illusions</w:t>
      </w:r>
      <w:r w:rsidRPr="007D3A13">
        <w:t xml:space="preserve">’, in </w:t>
      </w:r>
      <w:r>
        <w:rPr>
          <w:i/>
        </w:rPr>
        <w:t>War</w:t>
      </w:r>
      <w:r w:rsidRPr="007D3A13">
        <w:t xml:space="preserve">, ed. by Lawrence Freedman (Oxford: Oxford University Press, 1994), </w:t>
      </w:r>
      <w:bookmarkEnd w:id="9"/>
      <w:r w:rsidRPr="007D3A13">
        <w:t xml:space="preserve">p. </w:t>
      </w:r>
      <w:r w:rsidR="00ED6387">
        <w:t>264</w:t>
      </w:r>
      <w:r w:rsidRPr="007D3A13">
        <w:t xml:space="preserve">. </w:t>
      </w:r>
      <w:bookmarkEnd w:id="10"/>
    </w:p>
    <w:p w14:paraId="3702766D" w14:textId="56ACE8A0" w:rsidR="007D3A13" w:rsidRDefault="007D3A13">
      <w:pPr>
        <w:pStyle w:val="FootnoteText"/>
      </w:pPr>
    </w:p>
  </w:footnote>
  <w:footnote w:id="41">
    <w:p w14:paraId="1D9CF38A" w14:textId="69D5817E" w:rsidR="006B7A2F" w:rsidRDefault="006B7A2F">
      <w:pPr>
        <w:pStyle w:val="FootnoteText"/>
      </w:pPr>
      <w:r>
        <w:rPr>
          <w:rStyle w:val="FootnoteReference"/>
        </w:rPr>
        <w:footnoteRef/>
      </w:r>
      <w:r>
        <w:t xml:space="preserve"> Ibid., p. 264. </w:t>
      </w:r>
    </w:p>
  </w:footnote>
  <w:footnote w:id="42">
    <w:p w14:paraId="27EFBB4C" w14:textId="2B0129A8" w:rsidR="006B7A2F" w:rsidRDefault="006B7A2F">
      <w:pPr>
        <w:pStyle w:val="FootnoteText"/>
      </w:pPr>
      <w:r>
        <w:rPr>
          <w:rStyle w:val="FootnoteReference"/>
        </w:rPr>
        <w:footnoteRef/>
      </w:r>
      <w:r>
        <w:t xml:space="preserve"> </w:t>
      </w:r>
      <w:r w:rsidRPr="006B7A2F">
        <w:t xml:space="preserve">Keegan, </w:t>
      </w:r>
      <w:r w:rsidRPr="006B7A2F">
        <w:rPr>
          <w:i/>
        </w:rPr>
        <w:t xml:space="preserve">A History of War, </w:t>
      </w:r>
      <w:r w:rsidRPr="006B7A2F">
        <w:t xml:space="preserve">p. </w:t>
      </w:r>
      <w:r>
        <w:t xml:space="preserve">182. </w:t>
      </w:r>
    </w:p>
  </w:footnote>
  <w:footnote w:id="43">
    <w:p w14:paraId="4C45C447" w14:textId="04902294" w:rsidR="006B7A2F" w:rsidRDefault="006B7A2F">
      <w:pPr>
        <w:pStyle w:val="FootnoteText"/>
      </w:pPr>
      <w:r>
        <w:rPr>
          <w:rStyle w:val="FootnoteReference"/>
        </w:rPr>
        <w:footnoteRef/>
      </w:r>
      <w:r>
        <w:t xml:space="preserve"> Ibid., p. 199. </w:t>
      </w:r>
    </w:p>
  </w:footnote>
  <w:footnote w:id="44">
    <w:p w14:paraId="302934D9" w14:textId="47F1B969" w:rsidR="006B7A2F" w:rsidRPr="006B7A2F" w:rsidRDefault="006B7A2F">
      <w:pPr>
        <w:pStyle w:val="FootnoteText"/>
      </w:pPr>
      <w:r>
        <w:rPr>
          <w:rStyle w:val="FootnoteReference"/>
        </w:rPr>
        <w:footnoteRef/>
      </w:r>
      <w:r>
        <w:t xml:space="preserve"> Farwell, </w:t>
      </w:r>
      <w:r>
        <w:rPr>
          <w:i/>
        </w:rPr>
        <w:t>For Queen and Country</w:t>
      </w:r>
      <w:r>
        <w:t xml:space="preserve">, p. 122. </w:t>
      </w:r>
    </w:p>
  </w:footnote>
  <w:footnote w:id="45">
    <w:p w14:paraId="2AB906BD" w14:textId="4A75DD1A" w:rsidR="006B7A2F" w:rsidRDefault="006B7A2F">
      <w:pPr>
        <w:pStyle w:val="FootnoteText"/>
      </w:pPr>
      <w:r>
        <w:rPr>
          <w:rStyle w:val="FootnoteReference"/>
        </w:rPr>
        <w:footnoteRef/>
      </w:r>
      <w:r>
        <w:t xml:space="preserve"> Ibid., p. 123. </w:t>
      </w:r>
    </w:p>
  </w:footnote>
  <w:footnote w:id="46">
    <w:p w14:paraId="027576E0" w14:textId="471FDC52" w:rsidR="00AD1BA4" w:rsidRDefault="00AD1BA4">
      <w:pPr>
        <w:pStyle w:val="FootnoteText"/>
      </w:pPr>
      <w:r>
        <w:rPr>
          <w:rStyle w:val="FootnoteReference"/>
        </w:rPr>
        <w:footnoteRef/>
      </w:r>
      <w:r>
        <w:t xml:space="preserve"> </w:t>
      </w:r>
      <w:bookmarkStart w:id="11" w:name="_Hlk512866162"/>
      <w:bookmarkStart w:id="12" w:name="_Hlk512345798"/>
      <w:r w:rsidRPr="00AD1BA4">
        <w:t>A</w:t>
      </w:r>
      <w:r w:rsidR="001A627B">
        <w:t xml:space="preserve">. </w:t>
      </w:r>
      <w:proofErr w:type="spellStart"/>
      <w:r>
        <w:t>Vagts</w:t>
      </w:r>
      <w:proofErr w:type="spellEnd"/>
      <w:r w:rsidRPr="00AD1BA4">
        <w:t>, ‘</w:t>
      </w:r>
      <w:r>
        <w:t>Military and Politics</w:t>
      </w:r>
      <w:r w:rsidRPr="00AD1BA4">
        <w:t xml:space="preserve">’, in </w:t>
      </w:r>
      <w:r w:rsidRPr="00AD1BA4">
        <w:rPr>
          <w:i/>
        </w:rPr>
        <w:t>War</w:t>
      </w:r>
      <w:r w:rsidRPr="00AD1BA4">
        <w:t>, ed. by Lawrence Freedman (Oxford: Oxford University Press, 1994)</w:t>
      </w:r>
      <w:bookmarkEnd w:id="11"/>
      <w:r w:rsidRPr="00AD1BA4">
        <w:t xml:space="preserve">, p. </w:t>
      </w:r>
      <w:r>
        <w:t>128</w:t>
      </w:r>
      <w:r w:rsidRPr="00AD1BA4">
        <w:t>.</w:t>
      </w:r>
    </w:p>
    <w:bookmarkEnd w:id="12"/>
  </w:footnote>
  <w:footnote w:id="47">
    <w:p w14:paraId="40F74261" w14:textId="55BAD52C" w:rsidR="00AD1BA4" w:rsidRDefault="00AD1BA4">
      <w:pPr>
        <w:pStyle w:val="FootnoteText"/>
      </w:pPr>
      <w:r>
        <w:rPr>
          <w:rStyle w:val="FootnoteReference"/>
        </w:rPr>
        <w:footnoteRef/>
      </w:r>
      <w:r>
        <w:t xml:space="preserve"> Ibid., p. 129. </w:t>
      </w:r>
    </w:p>
  </w:footnote>
  <w:footnote w:id="48">
    <w:p w14:paraId="01BD6EBF" w14:textId="4CE1FF56" w:rsidR="00AD1BA4" w:rsidRDefault="00AD1BA4">
      <w:pPr>
        <w:pStyle w:val="FootnoteText"/>
      </w:pPr>
      <w:r>
        <w:rPr>
          <w:rStyle w:val="FootnoteReference"/>
        </w:rPr>
        <w:footnoteRef/>
      </w:r>
      <w:r>
        <w:t xml:space="preserve"> Ibid., p. 128. </w:t>
      </w:r>
    </w:p>
  </w:footnote>
  <w:footnote w:id="49">
    <w:p w14:paraId="3F0BE1B4" w14:textId="121309B1" w:rsidR="00AD1BA4" w:rsidRDefault="00AD1BA4">
      <w:pPr>
        <w:pStyle w:val="FootnoteText"/>
      </w:pPr>
      <w:r>
        <w:rPr>
          <w:rStyle w:val="FootnoteReference"/>
        </w:rPr>
        <w:footnoteRef/>
      </w:r>
      <w:r>
        <w:t xml:space="preserve"> Ibid., 128. </w:t>
      </w:r>
    </w:p>
  </w:footnote>
  <w:footnote w:id="50">
    <w:p w14:paraId="3FDC30F3" w14:textId="303EFB29" w:rsidR="00AD1BA4" w:rsidRDefault="00AD1BA4">
      <w:pPr>
        <w:pStyle w:val="FootnoteText"/>
      </w:pPr>
      <w:r>
        <w:rPr>
          <w:rStyle w:val="FootnoteReference"/>
        </w:rPr>
        <w:footnoteRef/>
      </w:r>
      <w:r>
        <w:t xml:space="preserve"> Ibid., 128. </w:t>
      </w:r>
    </w:p>
  </w:footnote>
  <w:footnote w:id="51">
    <w:p w14:paraId="430B3167" w14:textId="278A4A9A" w:rsidR="00AD1BA4" w:rsidRDefault="00AD1BA4">
      <w:pPr>
        <w:pStyle w:val="FootnoteText"/>
      </w:pPr>
      <w:r>
        <w:rPr>
          <w:rStyle w:val="FootnoteReference"/>
        </w:rPr>
        <w:footnoteRef/>
      </w:r>
      <w:r>
        <w:t xml:space="preserve"> </w:t>
      </w:r>
      <w:r w:rsidRPr="00AD1BA4">
        <w:t>Keegan, A History of War, p. 12</w:t>
      </w:r>
      <w:r>
        <w:t xml:space="preserve">5. </w:t>
      </w:r>
    </w:p>
  </w:footnote>
  <w:footnote w:id="52">
    <w:p w14:paraId="4BD98BCA" w14:textId="24EC4E0F" w:rsidR="00AD1BA4" w:rsidRDefault="00AD1BA4">
      <w:pPr>
        <w:pStyle w:val="FootnoteText"/>
      </w:pPr>
      <w:r>
        <w:rPr>
          <w:rStyle w:val="FootnoteReference"/>
        </w:rPr>
        <w:footnoteRef/>
      </w:r>
      <w:r>
        <w:t xml:space="preserve"> Ibid., p. 98. </w:t>
      </w:r>
    </w:p>
  </w:footnote>
  <w:footnote w:id="53">
    <w:p w14:paraId="5B211D9C" w14:textId="7DE810EA" w:rsidR="002D6342" w:rsidRDefault="002D6342">
      <w:pPr>
        <w:pStyle w:val="FootnoteText"/>
      </w:pPr>
      <w:r>
        <w:rPr>
          <w:rStyle w:val="FootnoteReference"/>
        </w:rPr>
        <w:footnoteRef/>
      </w:r>
      <w:r>
        <w:t xml:space="preserve"> M</w:t>
      </w:r>
      <w:r w:rsidR="00B313C2">
        <w:t xml:space="preserve">. </w:t>
      </w:r>
      <w:r>
        <w:t>Doyle</w:t>
      </w:r>
      <w:r w:rsidRPr="002D6342">
        <w:t>, ‘</w:t>
      </w:r>
      <w:r>
        <w:t>Liberal States and War</w:t>
      </w:r>
      <w:r w:rsidRPr="002D6342">
        <w:t>’, in War, ed. by Lawrence Freedman (Oxford: Oxford University Press, 1994), p.</w:t>
      </w:r>
      <w:r>
        <w:t xml:space="preserve"> 106</w:t>
      </w:r>
      <w:r w:rsidRPr="002D6342">
        <w:t>.</w:t>
      </w:r>
    </w:p>
  </w:footnote>
  <w:footnote w:id="54">
    <w:p w14:paraId="4915D15F" w14:textId="54BE2341" w:rsidR="002D6342" w:rsidRDefault="002D6342">
      <w:pPr>
        <w:pStyle w:val="FootnoteText"/>
      </w:pPr>
      <w:r>
        <w:rPr>
          <w:rStyle w:val="FootnoteReference"/>
        </w:rPr>
        <w:footnoteRef/>
      </w:r>
      <w:r>
        <w:t xml:space="preserve"> Ibid., p. 106. </w:t>
      </w:r>
    </w:p>
  </w:footnote>
  <w:footnote w:id="55">
    <w:p w14:paraId="22CAB890" w14:textId="286A230C" w:rsidR="002D6342" w:rsidRDefault="002D6342">
      <w:pPr>
        <w:pStyle w:val="FootnoteText"/>
      </w:pPr>
      <w:r>
        <w:rPr>
          <w:rStyle w:val="FootnoteReference"/>
        </w:rPr>
        <w:footnoteRef/>
      </w:r>
      <w:r>
        <w:t xml:space="preserve"> </w:t>
      </w:r>
      <w:r w:rsidRPr="002D6342">
        <w:t>Ibid., p. 106.</w:t>
      </w:r>
    </w:p>
  </w:footnote>
  <w:footnote w:id="56">
    <w:p w14:paraId="4E45F592" w14:textId="4D1D65E6" w:rsidR="002D6342" w:rsidRDefault="002D6342">
      <w:pPr>
        <w:pStyle w:val="FootnoteText"/>
      </w:pPr>
      <w:r>
        <w:rPr>
          <w:rStyle w:val="FootnoteReference"/>
        </w:rPr>
        <w:footnoteRef/>
      </w:r>
      <w:r>
        <w:t xml:space="preserve"> </w:t>
      </w:r>
      <w:r w:rsidRPr="002D6342">
        <w:t>Ibid., p. 106.</w:t>
      </w:r>
    </w:p>
  </w:footnote>
  <w:footnote w:id="57">
    <w:p w14:paraId="1F7B65E3" w14:textId="14C433E1" w:rsidR="002D6342" w:rsidRDefault="002D6342">
      <w:pPr>
        <w:pStyle w:val="FootnoteText"/>
      </w:pPr>
      <w:r>
        <w:rPr>
          <w:rStyle w:val="FootnoteReference"/>
        </w:rPr>
        <w:footnoteRef/>
      </w:r>
      <w:r>
        <w:t xml:space="preserve"> </w:t>
      </w:r>
      <w:r w:rsidRPr="002D6342">
        <w:t>Ibid., p. 106.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c0NTYyNzQ3MzQ0sDBV0lEKTi0uzszPAykwNKsFAJwLXnEtAAAA"/>
  </w:docVars>
  <w:rsids>
    <w:rsidRoot w:val="004B181F"/>
    <w:rsid w:val="00002B9F"/>
    <w:rsid w:val="00005246"/>
    <w:rsid w:val="0000753C"/>
    <w:rsid w:val="00015126"/>
    <w:rsid w:val="00040063"/>
    <w:rsid w:val="000624EB"/>
    <w:rsid w:val="000B2EC0"/>
    <w:rsid w:val="00103CC8"/>
    <w:rsid w:val="001045B2"/>
    <w:rsid w:val="0011293A"/>
    <w:rsid w:val="001150D6"/>
    <w:rsid w:val="0014458B"/>
    <w:rsid w:val="00151D27"/>
    <w:rsid w:val="00174346"/>
    <w:rsid w:val="0019185E"/>
    <w:rsid w:val="001A627B"/>
    <w:rsid w:val="00242164"/>
    <w:rsid w:val="00255860"/>
    <w:rsid w:val="0029257C"/>
    <w:rsid w:val="002B3A0E"/>
    <w:rsid w:val="002D6342"/>
    <w:rsid w:val="00370EF3"/>
    <w:rsid w:val="00380161"/>
    <w:rsid w:val="003929F7"/>
    <w:rsid w:val="003B12A1"/>
    <w:rsid w:val="003C2DE9"/>
    <w:rsid w:val="00404A6C"/>
    <w:rsid w:val="00421161"/>
    <w:rsid w:val="00493035"/>
    <w:rsid w:val="004B181F"/>
    <w:rsid w:val="004B3593"/>
    <w:rsid w:val="004B3886"/>
    <w:rsid w:val="005422F0"/>
    <w:rsid w:val="00556CB8"/>
    <w:rsid w:val="005D630B"/>
    <w:rsid w:val="005F0C13"/>
    <w:rsid w:val="00603AA2"/>
    <w:rsid w:val="0063661E"/>
    <w:rsid w:val="006912D0"/>
    <w:rsid w:val="006A2A8A"/>
    <w:rsid w:val="006B7A2F"/>
    <w:rsid w:val="006C7569"/>
    <w:rsid w:val="006E6B2B"/>
    <w:rsid w:val="00734854"/>
    <w:rsid w:val="00754E7F"/>
    <w:rsid w:val="00762366"/>
    <w:rsid w:val="007729BF"/>
    <w:rsid w:val="0079197A"/>
    <w:rsid w:val="007C674D"/>
    <w:rsid w:val="007D3A13"/>
    <w:rsid w:val="007E79AB"/>
    <w:rsid w:val="00813A03"/>
    <w:rsid w:val="00820E24"/>
    <w:rsid w:val="008233FA"/>
    <w:rsid w:val="00874B31"/>
    <w:rsid w:val="008C6E63"/>
    <w:rsid w:val="00927A13"/>
    <w:rsid w:val="00936BAD"/>
    <w:rsid w:val="00962BDE"/>
    <w:rsid w:val="00963846"/>
    <w:rsid w:val="009705DF"/>
    <w:rsid w:val="00972A0E"/>
    <w:rsid w:val="00977239"/>
    <w:rsid w:val="009B5BB5"/>
    <w:rsid w:val="009C0A74"/>
    <w:rsid w:val="009C7238"/>
    <w:rsid w:val="009D4F88"/>
    <w:rsid w:val="009D6BC1"/>
    <w:rsid w:val="009F3155"/>
    <w:rsid w:val="00A03589"/>
    <w:rsid w:val="00A440B1"/>
    <w:rsid w:val="00A72E1A"/>
    <w:rsid w:val="00A94B53"/>
    <w:rsid w:val="00AD1BA4"/>
    <w:rsid w:val="00AF332C"/>
    <w:rsid w:val="00B313C2"/>
    <w:rsid w:val="00B51BC8"/>
    <w:rsid w:val="00B64352"/>
    <w:rsid w:val="00B92841"/>
    <w:rsid w:val="00BE07A4"/>
    <w:rsid w:val="00C07D48"/>
    <w:rsid w:val="00C20F01"/>
    <w:rsid w:val="00CA1D5C"/>
    <w:rsid w:val="00CB45D1"/>
    <w:rsid w:val="00CD6800"/>
    <w:rsid w:val="00CE6C62"/>
    <w:rsid w:val="00CF65A4"/>
    <w:rsid w:val="00D55E59"/>
    <w:rsid w:val="00D73169"/>
    <w:rsid w:val="00D86855"/>
    <w:rsid w:val="00DC06F1"/>
    <w:rsid w:val="00E203F0"/>
    <w:rsid w:val="00E273B6"/>
    <w:rsid w:val="00E506A8"/>
    <w:rsid w:val="00E51632"/>
    <w:rsid w:val="00E80B29"/>
    <w:rsid w:val="00E909E8"/>
    <w:rsid w:val="00EA1210"/>
    <w:rsid w:val="00EA1BFF"/>
    <w:rsid w:val="00EC6635"/>
    <w:rsid w:val="00ED0CB5"/>
    <w:rsid w:val="00ED2287"/>
    <w:rsid w:val="00ED6387"/>
    <w:rsid w:val="00EE5281"/>
    <w:rsid w:val="00F042EE"/>
    <w:rsid w:val="00F30D8F"/>
    <w:rsid w:val="00F71A93"/>
    <w:rsid w:val="00F85EB6"/>
    <w:rsid w:val="00FC4E08"/>
    <w:rsid w:val="00FD5D9B"/>
    <w:rsid w:val="00FE41E9"/>
    <w:rsid w:val="00FE7B98"/>
    <w:rsid w:val="00FF5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262264"/>
  <w15:chartTrackingRefBased/>
  <w15:docId w15:val="{930DD8B4-A02E-41EB-BA56-3C42AF4B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C67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674D"/>
    <w:rPr>
      <w:sz w:val="20"/>
      <w:szCs w:val="20"/>
    </w:rPr>
  </w:style>
  <w:style w:type="character" w:styleId="FootnoteReference">
    <w:name w:val="footnote reference"/>
    <w:basedOn w:val="DefaultParagraphFont"/>
    <w:uiPriority w:val="99"/>
    <w:semiHidden/>
    <w:unhideWhenUsed/>
    <w:rsid w:val="007C67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301A2-9796-4A9D-A789-243440F56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2450</Words>
  <Characters>13968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Gillson-Gant</dc:creator>
  <cp:keywords/>
  <dc:description/>
  <cp:lastModifiedBy>Henry Gillson-Gant</cp:lastModifiedBy>
  <cp:revision>2</cp:revision>
  <dcterms:created xsi:type="dcterms:W3CDTF">2018-05-04T12:10:00Z</dcterms:created>
  <dcterms:modified xsi:type="dcterms:W3CDTF">2018-05-04T12:10:00Z</dcterms:modified>
</cp:coreProperties>
</file>