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1A7279" w14:textId="77777777" w:rsidR="0049535D" w:rsidRPr="00E81960" w:rsidRDefault="0049535D" w:rsidP="00E81960">
      <w:pPr>
        <w:rPr>
          <w:rFonts w:ascii="Arial" w:hAnsi="Arial" w:cs="Arial"/>
          <w:sz w:val="22"/>
          <w:szCs w:val="22"/>
        </w:rPr>
      </w:pPr>
      <w:r w:rsidRPr="00E81960">
        <w:rPr>
          <w:rFonts w:ascii="Arial" w:hAnsi="Arial" w:cs="Arial"/>
          <w:sz w:val="22"/>
          <w:szCs w:val="22"/>
        </w:rPr>
        <w:t>Name: Petrica Marin</w:t>
      </w:r>
    </w:p>
    <w:p w14:paraId="4CA67335" w14:textId="77777777" w:rsidR="0049535D" w:rsidRPr="00E81960" w:rsidRDefault="0049535D" w:rsidP="00E81960">
      <w:pPr>
        <w:rPr>
          <w:rFonts w:ascii="Arial" w:hAnsi="Arial" w:cs="Arial"/>
          <w:sz w:val="22"/>
          <w:szCs w:val="22"/>
        </w:rPr>
      </w:pPr>
      <w:r w:rsidRPr="00E81960">
        <w:rPr>
          <w:rFonts w:ascii="Arial" w:hAnsi="Arial" w:cs="Arial"/>
          <w:sz w:val="22"/>
          <w:szCs w:val="22"/>
        </w:rPr>
        <w:t>Student number: 2333794</w:t>
      </w:r>
    </w:p>
    <w:p w14:paraId="289E9DC9" w14:textId="27F38AC2" w:rsidR="0049535D" w:rsidRPr="00E81960" w:rsidRDefault="0049535D" w:rsidP="00E81960">
      <w:pPr>
        <w:rPr>
          <w:rFonts w:ascii="Arial" w:hAnsi="Arial" w:cs="Arial"/>
          <w:sz w:val="22"/>
          <w:szCs w:val="22"/>
        </w:rPr>
      </w:pPr>
      <w:r w:rsidRPr="00E81960">
        <w:rPr>
          <w:rFonts w:ascii="Arial" w:hAnsi="Arial" w:cs="Arial"/>
          <w:sz w:val="22"/>
          <w:szCs w:val="22"/>
        </w:rPr>
        <w:t>Module code and title: LCLM_500</w:t>
      </w:r>
      <w:r w:rsidR="00D25FB5" w:rsidRPr="00E81960">
        <w:rPr>
          <w:rFonts w:ascii="Arial" w:hAnsi="Arial" w:cs="Arial"/>
          <w:sz w:val="22"/>
          <w:szCs w:val="22"/>
        </w:rPr>
        <w:t>3</w:t>
      </w:r>
      <w:r w:rsidRPr="00E81960">
        <w:rPr>
          <w:rFonts w:ascii="Arial" w:hAnsi="Arial" w:cs="Arial"/>
          <w:sz w:val="22"/>
          <w:szCs w:val="22"/>
        </w:rPr>
        <w:t xml:space="preserve"> </w:t>
      </w:r>
      <w:r w:rsidR="00D25FB5" w:rsidRPr="00E81960">
        <w:rPr>
          <w:rFonts w:ascii="Arial" w:hAnsi="Arial" w:cs="Arial"/>
          <w:sz w:val="22"/>
          <w:szCs w:val="22"/>
        </w:rPr>
        <w:t>Project Management</w:t>
      </w:r>
    </w:p>
    <w:p w14:paraId="6817E037" w14:textId="2D0A433E" w:rsidR="0049535D" w:rsidRPr="00E81960" w:rsidRDefault="0049535D" w:rsidP="00E81960">
      <w:pPr>
        <w:rPr>
          <w:rFonts w:ascii="Arial" w:hAnsi="Arial" w:cs="Arial"/>
          <w:sz w:val="22"/>
          <w:szCs w:val="22"/>
        </w:rPr>
      </w:pPr>
      <w:r w:rsidRPr="00E81960">
        <w:rPr>
          <w:rFonts w:ascii="Arial" w:hAnsi="Arial" w:cs="Arial"/>
          <w:sz w:val="22"/>
          <w:szCs w:val="22"/>
        </w:rPr>
        <w:t xml:space="preserve">Lecturer name: </w:t>
      </w:r>
      <w:r w:rsidR="00544F6B" w:rsidRPr="00E81960">
        <w:rPr>
          <w:rFonts w:ascii="Arial" w:hAnsi="Arial" w:cs="Arial"/>
          <w:sz w:val="22"/>
          <w:szCs w:val="22"/>
        </w:rPr>
        <w:t xml:space="preserve">Navid </w:t>
      </w:r>
      <w:r w:rsidR="00AC7FC4" w:rsidRPr="00E81960">
        <w:rPr>
          <w:rFonts w:ascii="Arial" w:hAnsi="Arial" w:cs="Arial"/>
          <w:sz w:val="22"/>
          <w:szCs w:val="22"/>
        </w:rPr>
        <w:t>Nasirpourosgoei</w:t>
      </w:r>
    </w:p>
    <w:p w14:paraId="770180A8" w14:textId="79F46ECA" w:rsidR="0049535D" w:rsidRPr="00E81960" w:rsidRDefault="0049535D" w:rsidP="00E81960">
      <w:pPr>
        <w:rPr>
          <w:rFonts w:ascii="Arial" w:hAnsi="Arial" w:cs="Arial"/>
          <w:color w:val="000000" w:themeColor="text1"/>
          <w:sz w:val="22"/>
          <w:szCs w:val="22"/>
        </w:rPr>
      </w:pPr>
      <w:r w:rsidRPr="00E81960">
        <w:rPr>
          <w:rFonts w:ascii="Arial" w:hAnsi="Arial" w:cs="Arial"/>
          <w:sz w:val="22"/>
          <w:szCs w:val="22"/>
        </w:rPr>
        <w:t xml:space="preserve">Assignment title: </w:t>
      </w:r>
      <w:r w:rsidR="000C4F50" w:rsidRPr="00E81960">
        <w:rPr>
          <w:rFonts w:ascii="Arial" w:hAnsi="Arial" w:cs="Arial"/>
          <w:color w:val="000000" w:themeColor="text1"/>
          <w:sz w:val="22"/>
          <w:szCs w:val="22"/>
        </w:rPr>
        <w:t xml:space="preserve">A Project </w:t>
      </w:r>
      <w:r w:rsidR="00741B18" w:rsidRPr="00E81960">
        <w:rPr>
          <w:rFonts w:ascii="Arial" w:hAnsi="Arial" w:cs="Arial"/>
          <w:color w:val="000000" w:themeColor="text1"/>
          <w:sz w:val="22"/>
          <w:szCs w:val="22"/>
        </w:rPr>
        <w:t>Portfolio</w:t>
      </w:r>
    </w:p>
    <w:p w14:paraId="623E32D8" w14:textId="77777777" w:rsidR="00880748" w:rsidRPr="00E81960" w:rsidRDefault="00880748" w:rsidP="00E81960">
      <w:pPr>
        <w:rPr>
          <w:rFonts w:ascii="Arial" w:hAnsi="Arial" w:cs="Arial"/>
          <w:sz w:val="22"/>
          <w:szCs w:val="22"/>
        </w:rPr>
      </w:pPr>
    </w:p>
    <w:p w14:paraId="74BB12B2" w14:textId="47C9331F" w:rsidR="00357F91" w:rsidRPr="00E81960" w:rsidRDefault="00357F91" w:rsidP="00E81960">
      <w:pPr>
        <w:rPr>
          <w:rFonts w:ascii="Arial" w:hAnsi="Arial" w:cs="Arial"/>
          <w:sz w:val="22"/>
          <w:szCs w:val="22"/>
        </w:rPr>
      </w:pPr>
      <w:r w:rsidRPr="00E81960">
        <w:rPr>
          <w:rFonts w:ascii="Arial" w:hAnsi="Arial" w:cs="Arial"/>
          <w:sz w:val="22"/>
          <w:szCs w:val="22"/>
        </w:rPr>
        <w:br w:type="page"/>
      </w:r>
    </w:p>
    <w:sdt>
      <w:sdtPr>
        <w:rPr>
          <w:rFonts w:ascii="Arial" w:hAnsi="Arial" w:cs="Arial"/>
          <w:sz w:val="22"/>
          <w:szCs w:val="22"/>
        </w:rPr>
        <w:id w:val="-90085263"/>
        <w:docPartObj>
          <w:docPartGallery w:val="Table of Contents"/>
          <w:docPartUnique/>
        </w:docPartObj>
      </w:sdtPr>
      <w:sdtEndPr>
        <w:rPr>
          <w:rFonts w:eastAsiaTheme="minorHAnsi"/>
          <w:noProof/>
          <w:color w:val="333333"/>
          <w:kern w:val="2"/>
          <w:lang w:val="en-GB"/>
          <w14:ligatures w14:val="standardContextual"/>
        </w:rPr>
      </w:sdtEndPr>
      <w:sdtContent>
        <w:p w14:paraId="569FD58D" w14:textId="621C9372" w:rsidR="00202035" w:rsidRPr="00E81960" w:rsidRDefault="00202035" w:rsidP="00E81960">
          <w:pPr>
            <w:pStyle w:val="TOCHeading"/>
            <w:spacing w:line="360" w:lineRule="auto"/>
            <w:rPr>
              <w:rFonts w:ascii="Arial" w:hAnsi="Arial" w:cs="Arial"/>
              <w:sz w:val="22"/>
              <w:szCs w:val="22"/>
            </w:rPr>
          </w:pPr>
          <w:r w:rsidRPr="00E81960">
            <w:rPr>
              <w:rFonts w:ascii="Arial" w:hAnsi="Arial" w:cs="Arial"/>
              <w:sz w:val="22"/>
              <w:szCs w:val="22"/>
            </w:rPr>
            <w:t>Table of Contents</w:t>
          </w:r>
        </w:p>
        <w:p w14:paraId="7119CEF6" w14:textId="4420ACCE"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r w:rsidRPr="00E81960">
            <w:rPr>
              <w:rFonts w:ascii="Arial" w:hAnsi="Arial" w:cs="Arial"/>
              <w:sz w:val="22"/>
              <w:szCs w:val="22"/>
            </w:rPr>
            <w:fldChar w:fldCharType="begin"/>
          </w:r>
          <w:r w:rsidRPr="00E81960">
            <w:rPr>
              <w:rFonts w:ascii="Arial" w:hAnsi="Arial" w:cs="Arial"/>
              <w:sz w:val="22"/>
              <w:szCs w:val="22"/>
            </w:rPr>
            <w:instrText xml:space="preserve"> TOC \o "1-3" \h \z \u </w:instrText>
          </w:r>
          <w:r w:rsidRPr="00E81960">
            <w:rPr>
              <w:rFonts w:ascii="Arial" w:hAnsi="Arial" w:cs="Arial"/>
              <w:sz w:val="22"/>
              <w:szCs w:val="22"/>
            </w:rPr>
            <w:fldChar w:fldCharType="separate"/>
          </w:r>
          <w:hyperlink w:anchor="_Toc214733532" w:history="1">
            <w:r w:rsidRPr="00E81960">
              <w:rPr>
                <w:rStyle w:val="Hyperlink"/>
                <w:rFonts w:ascii="Arial" w:eastAsia="Times New Roman" w:hAnsi="Arial" w:cs="Arial"/>
                <w:b/>
                <w:bCs/>
                <w:noProof/>
                <w:kern w:val="0"/>
                <w:sz w:val="22"/>
                <w:szCs w:val="22"/>
                <w:lang w:eastAsia="en-GB"/>
                <w14:ligatures w14:val="none"/>
              </w:rPr>
              <w:t>Referen</w:t>
            </w:r>
            <w:r w:rsidRPr="00E81960">
              <w:rPr>
                <w:rStyle w:val="Hyperlink"/>
                <w:rFonts w:ascii="Arial" w:eastAsia="Times New Roman" w:hAnsi="Arial" w:cs="Arial"/>
                <w:b/>
                <w:bCs/>
                <w:noProof/>
                <w:kern w:val="0"/>
                <w:sz w:val="22"/>
                <w:szCs w:val="22"/>
                <w:lang w:eastAsia="en-GB"/>
                <w14:ligatures w14:val="none"/>
              </w:rPr>
              <w:t>c</w:t>
            </w:r>
            <w:r w:rsidRPr="00E81960">
              <w:rPr>
                <w:rStyle w:val="Hyperlink"/>
                <w:rFonts w:ascii="Arial" w:eastAsia="Times New Roman" w:hAnsi="Arial" w:cs="Arial"/>
                <w:b/>
                <w:bCs/>
                <w:noProof/>
                <w:kern w:val="0"/>
                <w:sz w:val="22"/>
                <w:szCs w:val="22"/>
                <w:lang w:eastAsia="en-GB"/>
                <w14:ligatures w14:val="none"/>
              </w:rPr>
              <w:t>es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_Toc214733532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5</w:t>
            </w:r>
            <w:r w:rsidRPr="00E81960">
              <w:rPr>
                <w:rFonts w:ascii="Arial" w:hAnsi="Arial" w:cs="Arial"/>
                <w:noProof/>
                <w:webHidden/>
                <w:sz w:val="22"/>
                <w:szCs w:val="22"/>
              </w:rPr>
              <w:fldChar w:fldCharType="end"/>
            </w:r>
          </w:hyperlink>
        </w:p>
        <w:p w14:paraId="062599CC" w14:textId="658EBE74"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33" w:history="1">
            <w:r w:rsidRPr="00E81960">
              <w:rPr>
                <w:rStyle w:val="Hyperlink"/>
                <w:rFonts w:ascii="Arial" w:eastAsia="Times New Roman" w:hAnsi="Arial" w:cs="Arial"/>
                <w:b/>
                <w:bCs/>
                <w:noProof/>
                <w:kern w:val="0"/>
                <w:sz w:val="22"/>
                <w:szCs w:val="22"/>
                <w:lang w:eastAsia="en-GB"/>
                <w14:ligatures w14:val="none"/>
              </w:rPr>
              <w:t>1. Introduction</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_Toc214733533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6</w:t>
            </w:r>
            <w:r w:rsidRPr="00E81960">
              <w:rPr>
                <w:rFonts w:ascii="Arial" w:hAnsi="Arial" w:cs="Arial"/>
                <w:noProof/>
                <w:webHidden/>
                <w:sz w:val="22"/>
                <w:szCs w:val="22"/>
              </w:rPr>
              <w:fldChar w:fldCharType="end"/>
            </w:r>
          </w:hyperlink>
        </w:p>
        <w:p w14:paraId="6B89E646" w14:textId="5462BF2E"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34" w:history="1">
            <w:r w:rsidRPr="00E81960">
              <w:rPr>
                <w:rStyle w:val="Hyperlink"/>
                <w:rFonts w:ascii="Arial" w:eastAsia="Times New Roman" w:hAnsi="Arial" w:cs="Arial"/>
                <w:b/>
                <w:bCs/>
                <w:noProof/>
                <w:kern w:val="0"/>
                <w:sz w:val="22"/>
                <w:szCs w:val="22"/>
                <w:lang w:eastAsia="en-GB"/>
                <w14:ligatures w14:val="none"/>
              </w:rPr>
              <w:t>2. Project Description</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_Toc214733534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6</w:t>
            </w:r>
            <w:r w:rsidRPr="00E81960">
              <w:rPr>
                <w:rFonts w:ascii="Arial" w:hAnsi="Arial" w:cs="Arial"/>
                <w:noProof/>
                <w:webHidden/>
                <w:sz w:val="22"/>
                <w:szCs w:val="22"/>
              </w:rPr>
              <w:fldChar w:fldCharType="end"/>
            </w:r>
          </w:hyperlink>
        </w:p>
        <w:p w14:paraId="2453E9FE" w14:textId="0BB35161" w:rsidR="00202035" w:rsidRPr="00E81960" w:rsidRDefault="00202035" w:rsidP="00E81960">
          <w:pPr>
            <w:pStyle w:val="TOC2"/>
            <w:tabs>
              <w:tab w:val="right" w:leader="dot" w:pos="9016"/>
            </w:tabs>
            <w:rPr>
              <w:rFonts w:ascii="Arial" w:eastAsiaTheme="minorEastAsia" w:hAnsi="Arial" w:cs="Arial"/>
              <w:b w:val="0"/>
              <w:bCs w:val="0"/>
              <w:noProof/>
              <w:color w:val="auto"/>
              <w:lang w:eastAsia="en-GB"/>
            </w:rPr>
          </w:pPr>
          <w:hyperlink w:anchor="_Toc214733535" w:history="1">
            <w:r w:rsidRPr="00E81960">
              <w:rPr>
                <w:rStyle w:val="Hyperlink"/>
                <w:rFonts w:ascii="Arial" w:eastAsia="Times New Roman" w:hAnsi="Arial" w:cs="Arial"/>
                <w:noProof/>
                <w:kern w:val="0"/>
                <w:lang w:eastAsia="en-GB"/>
                <w14:ligatures w14:val="none"/>
              </w:rPr>
              <w:t>3. Scope</w:t>
            </w:r>
            <w:r w:rsidRPr="00E81960">
              <w:rPr>
                <w:rFonts w:ascii="Arial" w:hAnsi="Arial" w:cs="Arial"/>
                <w:noProof/>
                <w:webHidden/>
              </w:rPr>
              <w:tab/>
            </w:r>
            <w:r w:rsidRPr="00E81960">
              <w:rPr>
                <w:rFonts w:ascii="Arial" w:hAnsi="Arial" w:cs="Arial"/>
                <w:noProof/>
                <w:webHidden/>
              </w:rPr>
              <w:fldChar w:fldCharType="begin"/>
            </w:r>
            <w:r w:rsidRPr="00E81960">
              <w:rPr>
                <w:rFonts w:ascii="Arial" w:hAnsi="Arial" w:cs="Arial"/>
                <w:noProof/>
                <w:webHidden/>
              </w:rPr>
              <w:instrText xml:space="preserve"> PAGEREF _Toc214733535 \h </w:instrText>
            </w:r>
            <w:r w:rsidRPr="00E81960">
              <w:rPr>
                <w:rFonts w:ascii="Arial" w:hAnsi="Arial" w:cs="Arial"/>
                <w:noProof/>
                <w:webHidden/>
              </w:rPr>
            </w:r>
            <w:r w:rsidRPr="00E81960">
              <w:rPr>
                <w:rFonts w:ascii="Arial" w:hAnsi="Arial" w:cs="Arial"/>
                <w:noProof/>
                <w:webHidden/>
              </w:rPr>
              <w:fldChar w:fldCharType="separate"/>
            </w:r>
            <w:r w:rsidRPr="00E81960">
              <w:rPr>
                <w:rFonts w:ascii="Arial" w:hAnsi="Arial" w:cs="Arial"/>
                <w:noProof/>
                <w:webHidden/>
              </w:rPr>
              <w:t>7</w:t>
            </w:r>
            <w:r w:rsidRPr="00E81960">
              <w:rPr>
                <w:rFonts w:ascii="Arial" w:hAnsi="Arial" w:cs="Arial"/>
                <w:noProof/>
                <w:webHidden/>
              </w:rPr>
              <w:fldChar w:fldCharType="end"/>
            </w:r>
          </w:hyperlink>
        </w:p>
        <w:p w14:paraId="424471BE" w14:textId="7E7BBAF2"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36" w:history="1">
            <w:r w:rsidRPr="00E81960">
              <w:rPr>
                <w:rStyle w:val="Hyperlink"/>
                <w:rFonts w:ascii="Arial" w:eastAsia="Times New Roman" w:hAnsi="Arial" w:cs="Arial"/>
                <w:b/>
                <w:bCs/>
                <w:noProof/>
                <w:kern w:val="0"/>
                <w:sz w:val="22"/>
                <w:szCs w:val="22"/>
                <w:lang w:eastAsia="en-GB"/>
                <w14:ligatures w14:val="none"/>
              </w:rPr>
              <w:t>3.1 In-Scope Activities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_Toc214733536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7</w:t>
            </w:r>
            <w:r w:rsidRPr="00E81960">
              <w:rPr>
                <w:rFonts w:ascii="Arial" w:hAnsi="Arial" w:cs="Arial"/>
                <w:noProof/>
                <w:webHidden/>
                <w:sz w:val="22"/>
                <w:szCs w:val="22"/>
              </w:rPr>
              <w:fldChar w:fldCharType="end"/>
            </w:r>
          </w:hyperlink>
        </w:p>
        <w:p w14:paraId="56CC4FE7" w14:textId="38219EAF"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37" w:history="1">
            <w:r w:rsidRPr="00E81960">
              <w:rPr>
                <w:rStyle w:val="Hyperlink"/>
                <w:rFonts w:ascii="Arial" w:eastAsia="Times New Roman" w:hAnsi="Arial" w:cs="Arial"/>
                <w:b/>
                <w:bCs/>
                <w:noProof/>
                <w:kern w:val="0"/>
                <w:sz w:val="22"/>
                <w:szCs w:val="22"/>
                <w:lang w:eastAsia="en-GB"/>
                <w14:ligatures w14:val="none"/>
              </w:rPr>
              <w:t>3.2 Out-of-Scope Activities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_Toc214733537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8</w:t>
            </w:r>
            <w:r w:rsidRPr="00E81960">
              <w:rPr>
                <w:rFonts w:ascii="Arial" w:hAnsi="Arial" w:cs="Arial"/>
                <w:noProof/>
                <w:webHidden/>
                <w:sz w:val="22"/>
                <w:szCs w:val="22"/>
              </w:rPr>
              <w:fldChar w:fldCharType="end"/>
            </w:r>
          </w:hyperlink>
        </w:p>
        <w:p w14:paraId="77222E80" w14:textId="08404ACF"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38" w:history="1">
            <w:r w:rsidRPr="00E81960">
              <w:rPr>
                <w:rStyle w:val="Hyperlink"/>
                <w:rFonts w:ascii="Arial" w:eastAsia="Times New Roman" w:hAnsi="Arial" w:cs="Arial"/>
                <w:b/>
                <w:bCs/>
                <w:noProof/>
                <w:kern w:val="0"/>
                <w:sz w:val="22"/>
                <w:szCs w:val="22"/>
                <w:lang w:eastAsia="en-GB"/>
                <w14:ligatures w14:val="none"/>
              </w:rPr>
              <w:t>3.3 Deliverables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_Toc214733538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8</w:t>
            </w:r>
            <w:r w:rsidRPr="00E81960">
              <w:rPr>
                <w:rFonts w:ascii="Arial" w:hAnsi="Arial" w:cs="Arial"/>
                <w:noProof/>
                <w:webHidden/>
                <w:sz w:val="22"/>
                <w:szCs w:val="22"/>
              </w:rPr>
              <w:fldChar w:fldCharType="end"/>
            </w:r>
          </w:hyperlink>
        </w:p>
        <w:p w14:paraId="755EDFAE" w14:textId="1E01B5B2"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39" w:history="1">
            <w:r w:rsidRPr="00E81960">
              <w:rPr>
                <w:rStyle w:val="Hyperlink"/>
                <w:rFonts w:ascii="Arial" w:eastAsia="Times New Roman" w:hAnsi="Arial" w:cs="Arial"/>
                <w:b/>
                <w:bCs/>
                <w:noProof/>
                <w:kern w:val="0"/>
                <w:sz w:val="22"/>
                <w:szCs w:val="22"/>
                <w:lang w:eastAsia="en-GB"/>
                <w14:ligatures w14:val="none"/>
              </w:rPr>
              <w:t>3.4 Constraints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_Toc214733539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8</w:t>
            </w:r>
            <w:r w:rsidRPr="00E81960">
              <w:rPr>
                <w:rFonts w:ascii="Arial" w:hAnsi="Arial" w:cs="Arial"/>
                <w:noProof/>
                <w:webHidden/>
                <w:sz w:val="22"/>
                <w:szCs w:val="22"/>
              </w:rPr>
              <w:fldChar w:fldCharType="end"/>
            </w:r>
          </w:hyperlink>
        </w:p>
        <w:p w14:paraId="53B807BA" w14:textId="2F3BE0DF"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40" w:history="1">
            <w:r w:rsidRPr="00E81960">
              <w:rPr>
                <w:rStyle w:val="Hyperlink"/>
                <w:rFonts w:ascii="Arial" w:eastAsia="Times New Roman" w:hAnsi="Arial" w:cs="Arial"/>
                <w:b/>
                <w:bCs/>
                <w:noProof/>
                <w:kern w:val="0"/>
                <w:sz w:val="22"/>
                <w:szCs w:val="22"/>
                <w:lang w:eastAsia="en-GB"/>
                <w14:ligatures w14:val="none"/>
              </w:rPr>
              <w:t>3.5 Assumptions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_Toc214733540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8</w:t>
            </w:r>
            <w:r w:rsidRPr="00E81960">
              <w:rPr>
                <w:rFonts w:ascii="Arial" w:hAnsi="Arial" w:cs="Arial"/>
                <w:noProof/>
                <w:webHidden/>
                <w:sz w:val="22"/>
                <w:szCs w:val="22"/>
              </w:rPr>
              <w:fldChar w:fldCharType="end"/>
            </w:r>
          </w:hyperlink>
        </w:p>
        <w:p w14:paraId="560D4B9A" w14:textId="3F77BEE8" w:rsidR="00202035" w:rsidRPr="00E81960" w:rsidRDefault="00202035" w:rsidP="00E81960">
          <w:pPr>
            <w:pStyle w:val="TOC2"/>
            <w:tabs>
              <w:tab w:val="right" w:leader="dot" w:pos="9016"/>
            </w:tabs>
            <w:rPr>
              <w:rFonts w:ascii="Arial" w:eastAsiaTheme="minorEastAsia" w:hAnsi="Arial" w:cs="Arial"/>
              <w:b w:val="0"/>
              <w:bCs w:val="0"/>
              <w:noProof/>
              <w:color w:val="auto"/>
              <w:lang w:eastAsia="en-GB"/>
            </w:rPr>
          </w:pPr>
          <w:hyperlink w:anchor="_Toc214733541" w:history="1">
            <w:r w:rsidRPr="00E81960">
              <w:rPr>
                <w:rStyle w:val="Hyperlink"/>
                <w:rFonts w:ascii="Arial" w:eastAsia="Times New Roman" w:hAnsi="Arial" w:cs="Arial"/>
                <w:noProof/>
                <w:kern w:val="0"/>
                <w:lang w:eastAsia="en-GB"/>
                <w14:ligatures w14:val="none"/>
              </w:rPr>
              <w:t>4. Work Breakdown Structure (WBS)</w:t>
            </w:r>
            <w:r w:rsidRPr="00E81960">
              <w:rPr>
                <w:rFonts w:ascii="Arial" w:hAnsi="Arial" w:cs="Arial"/>
                <w:noProof/>
                <w:webHidden/>
              </w:rPr>
              <w:tab/>
            </w:r>
            <w:r w:rsidRPr="00E81960">
              <w:rPr>
                <w:rFonts w:ascii="Arial" w:hAnsi="Arial" w:cs="Arial"/>
                <w:noProof/>
                <w:webHidden/>
              </w:rPr>
              <w:fldChar w:fldCharType="begin"/>
            </w:r>
            <w:r w:rsidRPr="00E81960">
              <w:rPr>
                <w:rFonts w:ascii="Arial" w:hAnsi="Arial" w:cs="Arial"/>
                <w:noProof/>
                <w:webHidden/>
              </w:rPr>
              <w:instrText xml:space="preserve"> PAGEREF _Toc214733541 \h </w:instrText>
            </w:r>
            <w:r w:rsidRPr="00E81960">
              <w:rPr>
                <w:rFonts w:ascii="Arial" w:hAnsi="Arial" w:cs="Arial"/>
                <w:noProof/>
                <w:webHidden/>
              </w:rPr>
            </w:r>
            <w:r w:rsidRPr="00E81960">
              <w:rPr>
                <w:rFonts w:ascii="Arial" w:hAnsi="Arial" w:cs="Arial"/>
                <w:noProof/>
                <w:webHidden/>
              </w:rPr>
              <w:fldChar w:fldCharType="separate"/>
            </w:r>
            <w:r w:rsidRPr="00E81960">
              <w:rPr>
                <w:rFonts w:ascii="Arial" w:hAnsi="Arial" w:cs="Arial"/>
                <w:noProof/>
                <w:webHidden/>
              </w:rPr>
              <w:t>9</w:t>
            </w:r>
            <w:r w:rsidRPr="00E81960">
              <w:rPr>
                <w:rFonts w:ascii="Arial" w:hAnsi="Arial" w:cs="Arial"/>
                <w:noProof/>
                <w:webHidden/>
              </w:rPr>
              <w:fldChar w:fldCharType="end"/>
            </w:r>
          </w:hyperlink>
        </w:p>
        <w:p w14:paraId="571A3566" w14:textId="0C6F3BAD"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42" w:history="1">
            <w:r w:rsidRPr="00E81960">
              <w:rPr>
                <w:rStyle w:val="Hyperlink"/>
                <w:rFonts w:ascii="Arial" w:eastAsia="Times New Roman" w:hAnsi="Arial" w:cs="Arial"/>
                <w:b/>
                <w:bCs/>
                <w:noProof/>
                <w:kern w:val="0"/>
                <w:sz w:val="22"/>
                <w:szCs w:val="22"/>
                <w:lang w:eastAsia="en-GB"/>
                <w14:ligatures w14:val="none"/>
              </w:rPr>
              <w:t>Table 1: Work Breakdown Structure (WBS)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_Toc214733542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9</w:t>
            </w:r>
            <w:r w:rsidRPr="00E81960">
              <w:rPr>
                <w:rFonts w:ascii="Arial" w:hAnsi="Arial" w:cs="Arial"/>
                <w:noProof/>
                <w:webHidden/>
                <w:sz w:val="22"/>
                <w:szCs w:val="22"/>
              </w:rPr>
              <w:fldChar w:fldCharType="end"/>
            </w:r>
          </w:hyperlink>
        </w:p>
        <w:p w14:paraId="237F7DD2" w14:textId="1C91A022" w:rsidR="00202035" w:rsidRPr="00E81960" w:rsidRDefault="00202035" w:rsidP="00E81960">
          <w:pPr>
            <w:pStyle w:val="TOC2"/>
            <w:tabs>
              <w:tab w:val="right" w:leader="dot" w:pos="9016"/>
            </w:tabs>
            <w:rPr>
              <w:rFonts w:ascii="Arial" w:eastAsiaTheme="minorEastAsia" w:hAnsi="Arial" w:cs="Arial"/>
              <w:b w:val="0"/>
              <w:bCs w:val="0"/>
              <w:noProof/>
              <w:color w:val="auto"/>
              <w:lang w:eastAsia="en-GB"/>
            </w:rPr>
          </w:pPr>
          <w:hyperlink w:anchor="_Toc214733543" w:history="1">
            <w:r w:rsidRPr="00E81960">
              <w:rPr>
                <w:rStyle w:val="Hyperlink"/>
                <w:rFonts w:ascii="Arial" w:eastAsia="Times New Roman" w:hAnsi="Arial" w:cs="Arial"/>
                <w:noProof/>
                <w:kern w:val="0"/>
                <w:lang w:eastAsia="en-GB"/>
                <w14:ligatures w14:val="none"/>
              </w:rPr>
              <w:t>5. Quad Chart</w:t>
            </w:r>
            <w:r w:rsidRPr="00E81960">
              <w:rPr>
                <w:rFonts w:ascii="Arial" w:hAnsi="Arial" w:cs="Arial"/>
                <w:noProof/>
                <w:webHidden/>
              </w:rPr>
              <w:tab/>
            </w:r>
            <w:r w:rsidRPr="00E81960">
              <w:rPr>
                <w:rFonts w:ascii="Arial" w:hAnsi="Arial" w:cs="Arial"/>
                <w:noProof/>
                <w:webHidden/>
              </w:rPr>
              <w:fldChar w:fldCharType="begin"/>
            </w:r>
            <w:r w:rsidRPr="00E81960">
              <w:rPr>
                <w:rFonts w:ascii="Arial" w:hAnsi="Arial" w:cs="Arial"/>
                <w:noProof/>
                <w:webHidden/>
              </w:rPr>
              <w:instrText xml:space="preserve"> PAGEREF _Toc214733543 \h </w:instrText>
            </w:r>
            <w:r w:rsidRPr="00E81960">
              <w:rPr>
                <w:rFonts w:ascii="Arial" w:hAnsi="Arial" w:cs="Arial"/>
                <w:noProof/>
                <w:webHidden/>
              </w:rPr>
            </w:r>
            <w:r w:rsidRPr="00E81960">
              <w:rPr>
                <w:rFonts w:ascii="Arial" w:hAnsi="Arial" w:cs="Arial"/>
                <w:noProof/>
                <w:webHidden/>
              </w:rPr>
              <w:fldChar w:fldCharType="separate"/>
            </w:r>
            <w:r w:rsidRPr="00E81960">
              <w:rPr>
                <w:rFonts w:ascii="Arial" w:hAnsi="Arial" w:cs="Arial"/>
                <w:noProof/>
                <w:webHidden/>
              </w:rPr>
              <w:t>10</w:t>
            </w:r>
            <w:r w:rsidRPr="00E81960">
              <w:rPr>
                <w:rFonts w:ascii="Arial" w:hAnsi="Arial" w:cs="Arial"/>
                <w:noProof/>
                <w:webHidden/>
              </w:rPr>
              <w:fldChar w:fldCharType="end"/>
            </w:r>
          </w:hyperlink>
        </w:p>
        <w:p w14:paraId="6D0AAD1D" w14:textId="6AD680A9"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44" w:history="1">
            <w:r w:rsidRPr="00E81960">
              <w:rPr>
                <w:rStyle w:val="Hyperlink"/>
                <w:rFonts w:ascii="Arial" w:eastAsia="Times New Roman" w:hAnsi="Arial" w:cs="Arial"/>
                <w:b/>
                <w:bCs/>
                <w:noProof/>
                <w:kern w:val="0"/>
                <w:sz w:val="22"/>
                <w:szCs w:val="22"/>
                <w:lang w:eastAsia="en-GB"/>
                <w14:ligatures w14:val="none"/>
              </w:rPr>
              <w:t>Figure 1: Quad Chart</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_Toc214733544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10</w:t>
            </w:r>
            <w:r w:rsidRPr="00E81960">
              <w:rPr>
                <w:rFonts w:ascii="Arial" w:hAnsi="Arial" w:cs="Arial"/>
                <w:noProof/>
                <w:webHidden/>
                <w:sz w:val="22"/>
                <w:szCs w:val="22"/>
              </w:rPr>
              <w:fldChar w:fldCharType="end"/>
            </w:r>
          </w:hyperlink>
        </w:p>
        <w:p w14:paraId="4DA02AD8" w14:textId="66FBE9F3" w:rsidR="00202035" w:rsidRPr="00E81960" w:rsidRDefault="00202035" w:rsidP="00E81960">
          <w:pPr>
            <w:pStyle w:val="TOC2"/>
            <w:tabs>
              <w:tab w:val="right" w:leader="dot" w:pos="9016"/>
            </w:tabs>
            <w:rPr>
              <w:rFonts w:ascii="Arial" w:eastAsiaTheme="minorEastAsia" w:hAnsi="Arial" w:cs="Arial"/>
              <w:b w:val="0"/>
              <w:bCs w:val="0"/>
              <w:noProof/>
              <w:color w:val="auto"/>
              <w:lang w:eastAsia="en-GB"/>
            </w:rPr>
          </w:pPr>
          <w:hyperlink w:anchor="_Toc214733545" w:history="1">
            <w:r w:rsidRPr="00E81960">
              <w:rPr>
                <w:rStyle w:val="Hyperlink"/>
                <w:rFonts w:ascii="Arial" w:eastAsia="Times New Roman" w:hAnsi="Arial" w:cs="Arial"/>
                <w:noProof/>
                <w:kern w:val="0"/>
                <w:lang w:eastAsia="en-GB"/>
                <w14:ligatures w14:val="none"/>
              </w:rPr>
              <w:t>6. Gantt Chart</w:t>
            </w:r>
            <w:r w:rsidRPr="00E81960">
              <w:rPr>
                <w:rFonts w:ascii="Arial" w:hAnsi="Arial" w:cs="Arial"/>
                <w:noProof/>
                <w:webHidden/>
              </w:rPr>
              <w:tab/>
            </w:r>
            <w:r w:rsidRPr="00E81960">
              <w:rPr>
                <w:rFonts w:ascii="Arial" w:hAnsi="Arial" w:cs="Arial"/>
                <w:noProof/>
                <w:webHidden/>
              </w:rPr>
              <w:fldChar w:fldCharType="begin"/>
            </w:r>
            <w:r w:rsidRPr="00E81960">
              <w:rPr>
                <w:rFonts w:ascii="Arial" w:hAnsi="Arial" w:cs="Arial"/>
                <w:noProof/>
                <w:webHidden/>
              </w:rPr>
              <w:instrText xml:space="preserve"> PAGEREF _Toc214733545 \h </w:instrText>
            </w:r>
            <w:r w:rsidRPr="00E81960">
              <w:rPr>
                <w:rFonts w:ascii="Arial" w:hAnsi="Arial" w:cs="Arial"/>
                <w:noProof/>
                <w:webHidden/>
              </w:rPr>
            </w:r>
            <w:r w:rsidRPr="00E81960">
              <w:rPr>
                <w:rFonts w:ascii="Arial" w:hAnsi="Arial" w:cs="Arial"/>
                <w:noProof/>
                <w:webHidden/>
              </w:rPr>
              <w:fldChar w:fldCharType="separate"/>
            </w:r>
            <w:r w:rsidRPr="00E81960">
              <w:rPr>
                <w:rFonts w:ascii="Arial" w:hAnsi="Arial" w:cs="Arial"/>
                <w:noProof/>
                <w:webHidden/>
              </w:rPr>
              <w:t>10</w:t>
            </w:r>
            <w:r w:rsidRPr="00E81960">
              <w:rPr>
                <w:rFonts w:ascii="Arial" w:hAnsi="Arial" w:cs="Arial"/>
                <w:noProof/>
                <w:webHidden/>
              </w:rPr>
              <w:fldChar w:fldCharType="end"/>
            </w:r>
          </w:hyperlink>
        </w:p>
        <w:p w14:paraId="14987D4F" w14:textId="7AE389CC"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46" w:history="1">
            <w:r w:rsidRPr="00E81960">
              <w:rPr>
                <w:rStyle w:val="Hyperlink"/>
                <w:rFonts w:ascii="Arial" w:eastAsia="Times New Roman" w:hAnsi="Arial" w:cs="Arial"/>
                <w:b/>
                <w:bCs/>
                <w:noProof/>
                <w:kern w:val="0"/>
                <w:sz w:val="22"/>
                <w:szCs w:val="22"/>
                <w:lang w:eastAsia="en-GB"/>
                <w14:ligatures w14:val="none"/>
              </w:rPr>
              <w:t>Figure 2: Gantt Chart</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_Toc214733546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10</w:t>
            </w:r>
            <w:r w:rsidRPr="00E81960">
              <w:rPr>
                <w:rFonts w:ascii="Arial" w:hAnsi="Arial" w:cs="Arial"/>
                <w:noProof/>
                <w:webHidden/>
                <w:sz w:val="22"/>
                <w:szCs w:val="22"/>
              </w:rPr>
              <w:fldChar w:fldCharType="end"/>
            </w:r>
          </w:hyperlink>
        </w:p>
        <w:p w14:paraId="390BF533" w14:textId="229DBBA4" w:rsidR="00202035" w:rsidRPr="00E81960" w:rsidRDefault="00202035" w:rsidP="00E81960">
          <w:pPr>
            <w:pStyle w:val="TOC1"/>
            <w:tabs>
              <w:tab w:val="right" w:leader="dot" w:pos="9016"/>
            </w:tabs>
            <w:rPr>
              <w:rFonts w:ascii="Arial" w:eastAsiaTheme="minorEastAsia" w:hAnsi="Arial" w:cs="Arial"/>
              <w:b w:val="0"/>
              <w:bCs w:val="0"/>
              <w:i w:val="0"/>
              <w:iCs w:val="0"/>
              <w:noProof/>
              <w:color w:val="auto"/>
              <w:sz w:val="22"/>
              <w:szCs w:val="22"/>
              <w:lang w:eastAsia="en-GB"/>
            </w:rPr>
          </w:pPr>
          <w:hyperlink w:anchor="_Toc214733547" w:history="1">
            <w:r w:rsidRPr="00E81960">
              <w:rPr>
                <w:rStyle w:val="Hyperlink"/>
                <w:rFonts w:ascii="Arial" w:eastAsia="Times New Roman" w:hAnsi="Arial" w:cs="Arial"/>
                <w:noProof/>
                <w:kern w:val="36"/>
                <w:sz w:val="22"/>
                <w:szCs w:val="22"/>
                <w:lang w:eastAsia="en-GB"/>
                <w14:ligatures w14:val="none"/>
              </w:rPr>
              <w:t>7. Stakeholder Involvement</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_Toc214733547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11</w:t>
            </w:r>
            <w:r w:rsidRPr="00E81960">
              <w:rPr>
                <w:rFonts w:ascii="Arial" w:hAnsi="Arial" w:cs="Arial"/>
                <w:noProof/>
                <w:webHidden/>
                <w:sz w:val="22"/>
                <w:szCs w:val="22"/>
              </w:rPr>
              <w:fldChar w:fldCharType="end"/>
            </w:r>
          </w:hyperlink>
        </w:p>
        <w:p w14:paraId="1ACA7388" w14:textId="27A59644"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48" w:history="1">
            <w:r w:rsidRPr="00E81960">
              <w:rPr>
                <w:rStyle w:val="Hyperlink"/>
                <w:rFonts w:ascii="Arial" w:eastAsia="Times New Roman" w:hAnsi="Arial" w:cs="Arial"/>
                <w:b/>
                <w:bCs/>
                <w:noProof/>
                <w:kern w:val="0"/>
                <w:sz w:val="22"/>
                <w:szCs w:val="22"/>
                <w:lang w:eastAsia="en-GB"/>
                <w14:ligatures w14:val="none"/>
              </w:rPr>
              <w:t>7.1 Stakeholder Identification</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_Toc214733548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11</w:t>
            </w:r>
            <w:r w:rsidRPr="00E81960">
              <w:rPr>
                <w:rFonts w:ascii="Arial" w:hAnsi="Arial" w:cs="Arial"/>
                <w:noProof/>
                <w:webHidden/>
                <w:sz w:val="22"/>
                <w:szCs w:val="22"/>
              </w:rPr>
              <w:fldChar w:fldCharType="end"/>
            </w:r>
          </w:hyperlink>
        </w:p>
        <w:p w14:paraId="63BEDF40" w14:textId="269806DF"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49" w:history="1">
            <w:r w:rsidRPr="00E81960">
              <w:rPr>
                <w:rStyle w:val="Hyperlink"/>
                <w:rFonts w:ascii="Arial" w:eastAsia="Times New Roman" w:hAnsi="Arial" w:cs="Arial"/>
                <w:b/>
                <w:bCs/>
                <w:noProof/>
                <w:kern w:val="0"/>
                <w:sz w:val="22"/>
                <w:szCs w:val="22"/>
                <w:lang w:eastAsia="en-GB"/>
                <w14:ligatures w14:val="none"/>
              </w:rPr>
              <w:t>7.2 Stakeholder Mapping</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_Toc214733549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11</w:t>
            </w:r>
            <w:r w:rsidRPr="00E81960">
              <w:rPr>
                <w:rFonts w:ascii="Arial" w:hAnsi="Arial" w:cs="Arial"/>
                <w:noProof/>
                <w:webHidden/>
                <w:sz w:val="22"/>
                <w:szCs w:val="22"/>
              </w:rPr>
              <w:fldChar w:fldCharType="end"/>
            </w:r>
          </w:hyperlink>
        </w:p>
        <w:p w14:paraId="2C8798F5" w14:textId="5A07A796"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50" w:history="1">
            <w:r w:rsidRPr="00E81960">
              <w:rPr>
                <w:rStyle w:val="Hyperlink"/>
                <w:rFonts w:ascii="Arial" w:eastAsia="Times New Roman" w:hAnsi="Arial" w:cs="Arial"/>
                <w:b/>
                <w:bCs/>
                <w:noProof/>
                <w:kern w:val="0"/>
                <w:sz w:val="22"/>
                <w:szCs w:val="22"/>
                <w:lang w:eastAsia="en-GB"/>
                <w14:ligatures w14:val="none"/>
              </w:rPr>
              <w:t>Table 2: Stakeholder Power–Interest Matrix</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_Toc214733550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12</w:t>
            </w:r>
            <w:r w:rsidRPr="00E81960">
              <w:rPr>
                <w:rFonts w:ascii="Arial" w:hAnsi="Arial" w:cs="Arial"/>
                <w:noProof/>
                <w:webHidden/>
                <w:sz w:val="22"/>
                <w:szCs w:val="22"/>
              </w:rPr>
              <w:fldChar w:fldCharType="end"/>
            </w:r>
          </w:hyperlink>
        </w:p>
        <w:p w14:paraId="6903A866" w14:textId="25A8868F"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51" w:history="1">
            <w:r w:rsidRPr="00E81960">
              <w:rPr>
                <w:rStyle w:val="Hyperlink"/>
                <w:rFonts w:ascii="Arial" w:eastAsia="Times New Roman" w:hAnsi="Arial" w:cs="Arial"/>
                <w:b/>
                <w:bCs/>
                <w:noProof/>
                <w:kern w:val="0"/>
                <w:sz w:val="22"/>
                <w:szCs w:val="22"/>
                <w:lang w:eastAsia="en-GB"/>
                <w14:ligatures w14:val="none"/>
              </w:rPr>
              <w:t>7.3 Engagement Strategy</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_Toc214733551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12</w:t>
            </w:r>
            <w:r w:rsidRPr="00E81960">
              <w:rPr>
                <w:rFonts w:ascii="Arial" w:hAnsi="Arial" w:cs="Arial"/>
                <w:noProof/>
                <w:webHidden/>
                <w:sz w:val="22"/>
                <w:szCs w:val="22"/>
              </w:rPr>
              <w:fldChar w:fldCharType="end"/>
            </w:r>
          </w:hyperlink>
        </w:p>
        <w:p w14:paraId="4C603023" w14:textId="0299215F" w:rsidR="00202035" w:rsidRPr="00E81960" w:rsidRDefault="00202035" w:rsidP="00E81960">
          <w:pPr>
            <w:pStyle w:val="TOC1"/>
            <w:tabs>
              <w:tab w:val="right" w:leader="dot" w:pos="9016"/>
            </w:tabs>
            <w:rPr>
              <w:rFonts w:ascii="Arial" w:eastAsiaTheme="minorEastAsia" w:hAnsi="Arial" w:cs="Arial"/>
              <w:b w:val="0"/>
              <w:bCs w:val="0"/>
              <w:i w:val="0"/>
              <w:iCs w:val="0"/>
              <w:noProof/>
              <w:color w:val="auto"/>
              <w:sz w:val="22"/>
              <w:szCs w:val="22"/>
              <w:lang w:eastAsia="en-GB"/>
            </w:rPr>
          </w:pPr>
          <w:hyperlink w:anchor="_Toc214733552" w:history="1">
            <w:r w:rsidRPr="00E81960">
              <w:rPr>
                <w:rStyle w:val="Hyperlink"/>
                <w:rFonts w:ascii="Arial" w:eastAsia="Times New Roman" w:hAnsi="Arial" w:cs="Arial"/>
                <w:noProof/>
                <w:kern w:val="36"/>
                <w:sz w:val="22"/>
                <w:szCs w:val="22"/>
                <w:lang w:eastAsia="en-GB"/>
                <w14:ligatures w14:val="none"/>
              </w:rPr>
              <w:t>8. Resource Allocation</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_Toc214733552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12</w:t>
            </w:r>
            <w:r w:rsidRPr="00E81960">
              <w:rPr>
                <w:rFonts w:ascii="Arial" w:hAnsi="Arial" w:cs="Arial"/>
                <w:noProof/>
                <w:webHidden/>
                <w:sz w:val="22"/>
                <w:szCs w:val="22"/>
              </w:rPr>
              <w:fldChar w:fldCharType="end"/>
            </w:r>
          </w:hyperlink>
        </w:p>
        <w:p w14:paraId="21239BD0" w14:textId="287549F3"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53" w:history="1">
            <w:r w:rsidRPr="00E81960">
              <w:rPr>
                <w:rStyle w:val="Hyperlink"/>
                <w:rFonts w:ascii="Arial" w:eastAsia="Times New Roman" w:hAnsi="Arial" w:cs="Arial"/>
                <w:b/>
                <w:bCs/>
                <w:noProof/>
                <w:kern w:val="0"/>
                <w:sz w:val="22"/>
                <w:szCs w:val="22"/>
                <w:lang w:eastAsia="en-GB"/>
                <w14:ligatures w14:val="none"/>
              </w:rPr>
              <w:t>8.1 Human Resources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_Toc214733553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12</w:t>
            </w:r>
            <w:r w:rsidRPr="00E81960">
              <w:rPr>
                <w:rFonts w:ascii="Arial" w:hAnsi="Arial" w:cs="Arial"/>
                <w:noProof/>
                <w:webHidden/>
                <w:sz w:val="22"/>
                <w:szCs w:val="22"/>
              </w:rPr>
              <w:fldChar w:fldCharType="end"/>
            </w:r>
          </w:hyperlink>
        </w:p>
        <w:p w14:paraId="6E1D4005" w14:textId="1D21800C"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54" w:history="1">
            <w:r w:rsidRPr="00E81960">
              <w:rPr>
                <w:rStyle w:val="Hyperlink"/>
                <w:rFonts w:ascii="Arial" w:eastAsia="Times New Roman" w:hAnsi="Arial" w:cs="Arial"/>
                <w:b/>
                <w:bCs/>
                <w:noProof/>
                <w:kern w:val="0"/>
                <w:sz w:val="22"/>
                <w:szCs w:val="22"/>
                <w:lang w:eastAsia="en-GB"/>
                <w14:ligatures w14:val="none"/>
              </w:rPr>
              <w:t>8.2 Financial Resources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_Toc214733554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13</w:t>
            </w:r>
            <w:r w:rsidRPr="00E81960">
              <w:rPr>
                <w:rFonts w:ascii="Arial" w:hAnsi="Arial" w:cs="Arial"/>
                <w:noProof/>
                <w:webHidden/>
                <w:sz w:val="22"/>
                <w:szCs w:val="22"/>
              </w:rPr>
              <w:fldChar w:fldCharType="end"/>
            </w:r>
          </w:hyperlink>
        </w:p>
        <w:p w14:paraId="732DE843" w14:textId="350F38C3"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55" w:history="1">
            <w:r w:rsidRPr="00E81960">
              <w:rPr>
                <w:rStyle w:val="Hyperlink"/>
                <w:rFonts w:ascii="Arial" w:eastAsia="Times New Roman" w:hAnsi="Arial" w:cs="Arial"/>
                <w:b/>
                <w:bCs/>
                <w:noProof/>
                <w:kern w:val="0"/>
                <w:sz w:val="22"/>
                <w:szCs w:val="22"/>
                <w:lang w:eastAsia="en-GB"/>
                <w14:ligatures w14:val="none"/>
              </w:rPr>
              <w:t>8.3 Informational and Material Resources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_Toc214733555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13</w:t>
            </w:r>
            <w:r w:rsidRPr="00E81960">
              <w:rPr>
                <w:rFonts w:ascii="Arial" w:hAnsi="Arial" w:cs="Arial"/>
                <w:noProof/>
                <w:webHidden/>
                <w:sz w:val="22"/>
                <w:szCs w:val="22"/>
              </w:rPr>
              <w:fldChar w:fldCharType="end"/>
            </w:r>
          </w:hyperlink>
        </w:p>
        <w:p w14:paraId="43345AA2" w14:textId="65CB025B" w:rsidR="00202035" w:rsidRPr="00E81960" w:rsidRDefault="00202035" w:rsidP="00E81960">
          <w:pPr>
            <w:pStyle w:val="TOC1"/>
            <w:tabs>
              <w:tab w:val="right" w:leader="dot" w:pos="9016"/>
            </w:tabs>
            <w:rPr>
              <w:rFonts w:ascii="Arial" w:eastAsiaTheme="minorEastAsia" w:hAnsi="Arial" w:cs="Arial"/>
              <w:b w:val="0"/>
              <w:bCs w:val="0"/>
              <w:i w:val="0"/>
              <w:iCs w:val="0"/>
              <w:noProof/>
              <w:color w:val="auto"/>
              <w:sz w:val="22"/>
              <w:szCs w:val="22"/>
              <w:lang w:eastAsia="en-GB"/>
            </w:rPr>
          </w:pPr>
          <w:hyperlink w:anchor="_Toc214733556" w:history="1">
            <w:r w:rsidRPr="00E81960">
              <w:rPr>
                <w:rStyle w:val="Hyperlink"/>
                <w:rFonts w:ascii="Arial" w:eastAsia="Times New Roman" w:hAnsi="Arial" w:cs="Arial"/>
                <w:noProof/>
                <w:kern w:val="36"/>
                <w:sz w:val="22"/>
                <w:szCs w:val="22"/>
                <w:lang w:eastAsia="en-GB"/>
                <w14:ligatures w14:val="none"/>
              </w:rPr>
              <w:t>9. Risk Analysis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_Toc214733556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13</w:t>
            </w:r>
            <w:r w:rsidRPr="00E81960">
              <w:rPr>
                <w:rFonts w:ascii="Arial" w:hAnsi="Arial" w:cs="Arial"/>
                <w:noProof/>
                <w:webHidden/>
                <w:sz w:val="22"/>
                <w:szCs w:val="22"/>
              </w:rPr>
              <w:fldChar w:fldCharType="end"/>
            </w:r>
          </w:hyperlink>
        </w:p>
        <w:p w14:paraId="4A85E246" w14:textId="2E653819"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57" w:history="1">
            <w:r w:rsidRPr="00E81960">
              <w:rPr>
                <w:rStyle w:val="Hyperlink"/>
                <w:rFonts w:ascii="Arial" w:eastAsia="Times New Roman" w:hAnsi="Arial" w:cs="Arial"/>
                <w:b/>
                <w:bCs/>
                <w:noProof/>
                <w:kern w:val="0"/>
                <w:sz w:val="22"/>
                <w:szCs w:val="22"/>
                <w:lang w:eastAsia="en-GB"/>
                <w14:ligatures w14:val="none"/>
              </w:rPr>
              <w:t>9.1 Risk Identification</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_Toc214733557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13</w:t>
            </w:r>
            <w:r w:rsidRPr="00E81960">
              <w:rPr>
                <w:rFonts w:ascii="Arial" w:hAnsi="Arial" w:cs="Arial"/>
                <w:noProof/>
                <w:webHidden/>
                <w:sz w:val="22"/>
                <w:szCs w:val="22"/>
              </w:rPr>
              <w:fldChar w:fldCharType="end"/>
            </w:r>
          </w:hyperlink>
        </w:p>
        <w:p w14:paraId="0D468714" w14:textId="5342A5D1"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58" w:history="1">
            <w:r w:rsidRPr="00E81960">
              <w:rPr>
                <w:rStyle w:val="Hyperlink"/>
                <w:rFonts w:ascii="Arial" w:eastAsia="Times New Roman" w:hAnsi="Arial" w:cs="Arial"/>
                <w:b/>
                <w:bCs/>
                <w:noProof/>
                <w:kern w:val="0"/>
                <w:sz w:val="22"/>
                <w:szCs w:val="22"/>
                <w:lang w:eastAsia="en-GB"/>
                <w14:ligatures w14:val="none"/>
              </w:rPr>
              <w:t>9.2 Risk Assessment and Mitigation</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_Toc214733558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14</w:t>
            </w:r>
            <w:r w:rsidRPr="00E81960">
              <w:rPr>
                <w:rFonts w:ascii="Arial" w:hAnsi="Arial" w:cs="Arial"/>
                <w:noProof/>
                <w:webHidden/>
                <w:sz w:val="22"/>
                <w:szCs w:val="22"/>
              </w:rPr>
              <w:fldChar w:fldCharType="end"/>
            </w:r>
          </w:hyperlink>
        </w:p>
        <w:p w14:paraId="65B8B01A" w14:textId="362123DC"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59" w:history="1">
            <w:r w:rsidRPr="00E81960">
              <w:rPr>
                <w:rStyle w:val="Hyperlink"/>
                <w:rFonts w:ascii="Arial" w:eastAsia="Times New Roman" w:hAnsi="Arial" w:cs="Arial"/>
                <w:b/>
                <w:bCs/>
                <w:noProof/>
                <w:kern w:val="0"/>
                <w:sz w:val="22"/>
                <w:szCs w:val="22"/>
                <w:lang w:eastAsia="en-GB"/>
                <w14:ligatures w14:val="none"/>
              </w:rPr>
              <w:t>Table 3: Risk Register</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_Toc214733559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14</w:t>
            </w:r>
            <w:r w:rsidRPr="00E81960">
              <w:rPr>
                <w:rFonts w:ascii="Arial" w:hAnsi="Arial" w:cs="Arial"/>
                <w:noProof/>
                <w:webHidden/>
                <w:sz w:val="22"/>
                <w:szCs w:val="22"/>
              </w:rPr>
              <w:fldChar w:fldCharType="end"/>
            </w:r>
          </w:hyperlink>
        </w:p>
        <w:p w14:paraId="7948CB3B" w14:textId="5A7A007A" w:rsidR="00202035" w:rsidRPr="00E81960" w:rsidRDefault="00202035" w:rsidP="00E81960">
          <w:pPr>
            <w:pStyle w:val="TOC3"/>
            <w:tabs>
              <w:tab w:val="right" w:leader="dot" w:pos="9016"/>
            </w:tabs>
            <w:rPr>
              <w:rFonts w:ascii="Arial" w:eastAsiaTheme="minorEastAsia" w:hAnsi="Arial" w:cs="Arial"/>
              <w:noProof/>
              <w:color w:val="auto"/>
              <w:sz w:val="22"/>
              <w:szCs w:val="22"/>
              <w:lang w:eastAsia="en-GB"/>
            </w:rPr>
          </w:pPr>
          <w:hyperlink w:anchor="_Toc214733560" w:history="1">
            <w:r w:rsidRPr="00E81960">
              <w:rPr>
                <w:rStyle w:val="Hyperlink"/>
                <w:rFonts w:ascii="Arial" w:eastAsia="Times New Roman" w:hAnsi="Arial" w:cs="Arial"/>
                <w:b/>
                <w:bCs/>
                <w:noProof/>
                <w:kern w:val="0"/>
                <w:sz w:val="22"/>
                <w:szCs w:val="22"/>
                <w:lang w:eastAsia="en-GB"/>
                <w14:ligatures w14:val="none"/>
              </w:rPr>
              <w:t>9.3 Risk Monitoring</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_Toc214733560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14</w:t>
            </w:r>
            <w:r w:rsidRPr="00E81960">
              <w:rPr>
                <w:rFonts w:ascii="Arial" w:hAnsi="Arial" w:cs="Arial"/>
                <w:noProof/>
                <w:webHidden/>
                <w:sz w:val="22"/>
                <w:szCs w:val="22"/>
              </w:rPr>
              <w:fldChar w:fldCharType="end"/>
            </w:r>
          </w:hyperlink>
        </w:p>
        <w:p w14:paraId="78A984F3" w14:textId="339C6983" w:rsidR="00202035" w:rsidRPr="00E81960" w:rsidRDefault="00202035" w:rsidP="00E81960">
          <w:pPr>
            <w:pStyle w:val="TOC1"/>
            <w:tabs>
              <w:tab w:val="right" w:leader="dot" w:pos="9016"/>
            </w:tabs>
            <w:rPr>
              <w:rFonts w:ascii="Arial" w:eastAsiaTheme="minorEastAsia" w:hAnsi="Arial" w:cs="Arial"/>
              <w:b w:val="0"/>
              <w:bCs w:val="0"/>
              <w:i w:val="0"/>
              <w:iCs w:val="0"/>
              <w:noProof/>
              <w:color w:val="auto"/>
              <w:sz w:val="22"/>
              <w:szCs w:val="22"/>
              <w:lang w:eastAsia="en-GB"/>
            </w:rPr>
          </w:pPr>
          <w:hyperlink w:anchor="_Toc214733561" w:history="1">
            <w:r w:rsidRPr="00E81960">
              <w:rPr>
                <w:rStyle w:val="Hyperlink"/>
                <w:rFonts w:ascii="Arial" w:eastAsia="Times New Roman" w:hAnsi="Arial" w:cs="Arial"/>
                <w:noProof/>
                <w:kern w:val="36"/>
                <w:sz w:val="22"/>
                <w:szCs w:val="22"/>
                <w:lang w:eastAsia="en-GB"/>
                <w14:ligatures w14:val="none"/>
              </w:rPr>
              <w:t>10. Conclusion</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_Toc214733561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15</w:t>
            </w:r>
            <w:r w:rsidRPr="00E81960">
              <w:rPr>
                <w:rFonts w:ascii="Arial" w:hAnsi="Arial" w:cs="Arial"/>
                <w:noProof/>
                <w:webHidden/>
                <w:sz w:val="22"/>
                <w:szCs w:val="22"/>
              </w:rPr>
              <w:fldChar w:fldCharType="end"/>
            </w:r>
          </w:hyperlink>
        </w:p>
        <w:p w14:paraId="1A5E5B7C" w14:textId="1BE48BA4" w:rsidR="00202035" w:rsidRPr="00E81960" w:rsidRDefault="00202035" w:rsidP="00E81960">
          <w:pPr>
            <w:pStyle w:val="TOC1"/>
            <w:tabs>
              <w:tab w:val="right" w:leader="dot" w:pos="9016"/>
            </w:tabs>
            <w:rPr>
              <w:rFonts w:ascii="Arial" w:eastAsiaTheme="minorEastAsia" w:hAnsi="Arial" w:cs="Arial"/>
              <w:b w:val="0"/>
              <w:bCs w:val="0"/>
              <w:i w:val="0"/>
              <w:iCs w:val="0"/>
              <w:noProof/>
              <w:color w:val="auto"/>
              <w:sz w:val="22"/>
              <w:szCs w:val="22"/>
              <w:lang w:eastAsia="en-GB"/>
            </w:rPr>
          </w:pPr>
          <w:hyperlink w:anchor="_Toc214733562" w:history="1">
            <w:r w:rsidRPr="00E81960">
              <w:rPr>
                <w:rStyle w:val="Hyperlink"/>
                <w:rFonts w:ascii="Arial" w:eastAsia="Times New Roman" w:hAnsi="Arial" w:cs="Arial"/>
                <w:noProof/>
                <w:kern w:val="36"/>
                <w:sz w:val="22"/>
                <w:szCs w:val="22"/>
                <w:lang w:eastAsia="en-GB"/>
                <w14:ligatures w14:val="none"/>
              </w:rPr>
              <w:t>11. References</w:t>
            </w:r>
            <w:r w:rsidRPr="00E81960">
              <w:rPr>
                <w:rFonts w:ascii="Arial" w:hAnsi="Arial" w:cs="Arial"/>
                <w:noProof/>
                <w:webHidden/>
                <w:sz w:val="22"/>
                <w:szCs w:val="22"/>
              </w:rPr>
              <w:tab/>
            </w:r>
            <w:r w:rsidRPr="00E81960">
              <w:rPr>
                <w:rFonts w:ascii="Arial" w:hAnsi="Arial" w:cs="Arial"/>
                <w:noProof/>
                <w:webHidden/>
                <w:sz w:val="22"/>
                <w:szCs w:val="22"/>
              </w:rPr>
              <w:fldChar w:fldCharType="begin"/>
            </w:r>
            <w:r w:rsidRPr="00E81960">
              <w:rPr>
                <w:rFonts w:ascii="Arial" w:hAnsi="Arial" w:cs="Arial"/>
                <w:noProof/>
                <w:webHidden/>
                <w:sz w:val="22"/>
                <w:szCs w:val="22"/>
              </w:rPr>
              <w:instrText xml:space="preserve"> PAGEREF _Toc214733562 \h </w:instrText>
            </w:r>
            <w:r w:rsidRPr="00E81960">
              <w:rPr>
                <w:rFonts w:ascii="Arial" w:hAnsi="Arial" w:cs="Arial"/>
                <w:noProof/>
                <w:webHidden/>
                <w:sz w:val="22"/>
                <w:szCs w:val="22"/>
              </w:rPr>
            </w:r>
            <w:r w:rsidRPr="00E81960">
              <w:rPr>
                <w:rFonts w:ascii="Arial" w:hAnsi="Arial" w:cs="Arial"/>
                <w:noProof/>
                <w:webHidden/>
                <w:sz w:val="22"/>
                <w:szCs w:val="22"/>
              </w:rPr>
              <w:fldChar w:fldCharType="separate"/>
            </w:r>
            <w:r w:rsidRPr="00E81960">
              <w:rPr>
                <w:rFonts w:ascii="Arial" w:hAnsi="Arial" w:cs="Arial"/>
                <w:noProof/>
                <w:webHidden/>
                <w:sz w:val="22"/>
                <w:szCs w:val="22"/>
              </w:rPr>
              <w:t>15</w:t>
            </w:r>
            <w:r w:rsidRPr="00E81960">
              <w:rPr>
                <w:rFonts w:ascii="Arial" w:hAnsi="Arial" w:cs="Arial"/>
                <w:noProof/>
                <w:webHidden/>
                <w:sz w:val="22"/>
                <w:szCs w:val="22"/>
              </w:rPr>
              <w:fldChar w:fldCharType="end"/>
            </w:r>
          </w:hyperlink>
        </w:p>
        <w:p w14:paraId="4CD0772F" w14:textId="30E86B9B" w:rsidR="00202035" w:rsidRPr="00E81960" w:rsidRDefault="00202035" w:rsidP="00E81960">
          <w:pPr>
            <w:rPr>
              <w:rFonts w:ascii="Arial" w:hAnsi="Arial" w:cs="Arial"/>
              <w:sz w:val="22"/>
              <w:szCs w:val="22"/>
            </w:rPr>
          </w:pPr>
          <w:r w:rsidRPr="00E81960">
            <w:rPr>
              <w:rFonts w:ascii="Arial" w:hAnsi="Arial" w:cs="Arial"/>
              <w:b/>
              <w:bCs/>
              <w:noProof/>
              <w:sz w:val="22"/>
              <w:szCs w:val="22"/>
            </w:rPr>
            <w:fldChar w:fldCharType="end"/>
          </w:r>
        </w:p>
      </w:sdtContent>
    </w:sdt>
    <w:p w14:paraId="22D4FFAC" w14:textId="1C8F3EA5" w:rsidR="00357F91" w:rsidRPr="00E81960" w:rsidRDefault="00357F91" w:rsidP="00E81960">
      <w:pPr>
        <w:rPr>
          <w:rFonts w:ascii="Arial" w:hAnsi="Arial" w:cs="Arial"/>
          <w:sz w:val="22"/>
          <w:szCs w:val="22"/>
        </w:rPr>
      </w:pPr>
      <w:r w:rsidRPr="00E81960">
        <w:rPr>
          <w:rFonts w:ascii="Arial" w:hAnsi="Arial" w:cs="Arial"/>
          <w:sz w:val="22"/>
          <w:szCs w:val="22"/>
        </w:rPr>
        <w:br w:type="page"/>
      </w:r>
      <w:r w:rsidRPr="00E81960">
        <w:rPr>
          <w:rFonts w:ascii="Arial" w:hAnsi="Arial" w:cs="Arial"/>
          <w:sz w:val="22"/>
          <w:szCs w:val="22"/>
        </w:rPr>
        <w:lastRenderedPageBreak/>
        <w:t>Part A- Project proposal poster</w:t>
      </w:r>
    </w:p>
    <w:p w14:paraId="11874516" w14:textId="6FA8FDD4" w:rsidR="006F6105" w:rsidRPr="00E81960" w:rsidRDefault="006F6105" w:rsidP="00E81960">
      <w:pPr>
        <w:rPr>
          <w:rFonts w:ascii="Arial" w:hAnsi="Arial" w:cs="Arial"/>
          <w:sz w:val="22"/>
          <w:szCs w:val="22"/>
        </w:rPr>
      </w:pPr>
      <w:r w:rsidRPr="00E81960">
        <w:rPr>
          <w:rFonts w:ascii="Arial" w:hAnsi="Arial" w:cs="Arial"/>
          <w:noProof/>
          <w:sz w:val="22"/>
          <w:szCs w:val="22"/>
        </w:rPr>
        <w:drawing>
          <wp:inline distT="0" distB="0" distL="0" distR="0" wp14:anchorId="411EA2F1" wp14:editId="5F27D2FF">
            <wp:extent cx="5731510" cy="3864610"/>
            <wp:effectExtent l="0" t="0" r="0" b="0"/>
            <wp:docPr id="220089261" name="Picture 2" descr="A poster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089261" name="Picture 2" descr="A poster of a projec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64610"/>
                    </a:xfrm>
                    <a:prstGeom prst="rect">
                      <a:avLst/>
                    </a:prstGeom>
                  </pic:spPr>
                </pic:pic>
              </a:graphicData>
            </a:graphic>
          </wp:inline>
        </w:drawing>
      </w:r>
    </w:p>
    <w:p w14:paraId="75615AA2" w14:textId="2928B6BD" w:rsidR="00357F91" w:rsidRPr="00E81960" w:rsidRDefault="00357F91" w:rsidP="00E81960">
      <w:pPr>
        <w:rPr>
          <w:rFonts w:ascii="Arial" w:hAnsi="Arial" w:cs="Arial"/>
          <w:sz w:val="22"/>
          <w:szCs w:val="22"/>
        </w:rPr>
      </w:pPr>
    </w:p>
    <w:p w14:paraId="3EFA81C9" w14:textId="77777777" w:rsidR="006F6105" w:rsidRPr="00E81960" w:rsidRDefault="006F6105" w:rsidP="00E81960">
      <w:pPr>
        <w:rPr>
          <w:rFonts w:ascii="Arial" w:hAnsi="Arial" w:cs="Arial"/>
          <w:sz w:val="22"/>
          <w:szCs w:val="22"/>
        </w:rPr>
      </w:pPr>
    </w:p>
    <w:p w14:paraId="7B9AA0B5" w14:textId="77777777" w:rsidR="006F6105" w:rsidRPr="00E81960" w:rsidRDefault="006F6105" w:rsidP="00E81960">
      <w:pPr>
        <w:rPr>
          <w:rFonts w:ascii="Arial" w:hAnsi="Arial" w:cs="Arial"/>
          <w:sz w:val="22"/>
          <w:szCs w:val="22"/>
        </w:rPr>
      </w:pPr>
    </w:p>
    <w:p w14:paraId="7E34B65F" w14:textId="77777777" w:rsidR="006F6105" w:rsidRPr="00E81960" w:rsidRDefault="006F6105" w:rsidP="00E81960">
      <w:pPr>
        <w:rPr>
          <w:rFonts w:ascii="Arial" w:hAnsi="Arial" w:cs="Arial"/>
          <w:sz w:val="22"/>
          <w:szCs w:val="22"/>
        </w:rPr>
      </w:pPr>
    </w:p>
    <w:p w14:paraId="48F58467" w14:textId="77777777" w:rsidR="006F6105" w:rsidRPr="00E81960" w:rsidRDefault="006F6105" w:rsidP="00E81960">
      <w:pPr>
        <w:rPr>
          <w:rFonts w:ascii="Arial" w:hAnsi="Arial" w:cs="Arial"/>
          <w:sz w:val="22"/>
          <w:szCs w:val="22"/>
        </w:rPr>
      </w:pPr>
    </w:p>
    <w:p w14:paraId="2E01836F" w14:textId="77777777" w:rsidR="006F6105" w:rsidRPr="00E81960" w:rsidRDefault="006F6105" w:rsidP="00E81960">
      <w:pPr>
        <w:rPr>
          <w:rFonts w:ascii="Arial" w:hAnsi="Arial" w:cs="Arial"/>
          <w:sz w:val="22"/>
          <w:szCs w:val="22"/>
        </w:rPr>
      </w:pPr>
    </w:p>
    <w:p w14:paraId="4EE16663" w14:textId="77777777" w:rsidR="006F6105" w:rsidRPr="00E81960" w:rsidRDefault="006F6105" w:rsidP="00E81960">
      <w:pPr>
        <w:rPr>
          <w:rFonts w:ascii="Arial" w:hAnsi="Arial" w:cs="Arial"/>
          <w:sz w:val="22"/>
          <w:szCs w:val="22"/>
        </w:rPr>
      </w:pPr>
    </w:p>
    <w:p w14:paraId="01A67792" w14:textId="77777777" w:rsidR="006F6105" w:rsidRPr="00E81960" w:rsidRDefault="006F6105" w:rsidP="00E81960">
      <w:pPr>
        <w:rPr>
          <w:rFonts w:ascii="Arial" w:hAnsi="Arial" w:cs="Arial"/>
          <w:sz w:val="22"/>
          <w:szCs w:val="22"/>
        </w:rPr>
      </w:pPr>
    </w:p>
    <w:p w14:paraId="156193AB" w14:textId="77777777" w:rsidR="006F6105" w:rsidRPr="00E81960" w:rsidRDefault="006F6105" w:rsidP="00E81960">
      <w:pPr>
        <w:rPr>
          <w:rFonts w:ascii="Arial" w:hAnsi="Arial" w:cs="Arial"/>
          <w:sz w:val="22"/>
          <w:szCs w:val="22"/>
        </w:rPr>
      </w:pPr>
    </w:p>
    <w:p w14:paraId="2BB5AC87" w14:textId="77777777" w:rsidR="006F6105" w:rsidRPr="00E81960" w:rsidRDefault="006F6105" w:rsidP="00E81960">
      <w:pPr>
        <w:rPr>
          <w:rFonts w:ascii="Arial" w:hAnsi="Arial" w:cs="Arial"/>
          <w:sz w:val="22"/>
          <w:szCs w:val="22"/>
        </w:rPr>
      </w:pPr>
    </w:p>
    <w:p w14:paraId="21CE622D" w14:textId="77777777" w:rsidR="006F6105" w:rsidRPr="00E81960" w:rsidRDefault="006F6105" w:rsidP="00E81960">
      <w:pPr>
        <w:rPr>
          <w:rFonts w:ascii="Arial" w:hAnsi="Arial" w:cs="Arial"/>
          <w:sz w:val="22"/>
          <w:szCs w:val="22"/>
        </w:rPr>
      </w:pPr>
    </w:p>
    <w:p w14:paraId="5EA34A14" w14:textId="77777777" w:rsidR="006F6105" w:rsidRPr="00E81960" w:rsidRDefault="006F6105" w:rsidP="00E81960">
      <w:pPr>
        <w:rPr>
          <w:rFonts w:ascii="Arial" w:hAnsi="Arial" w:cs="Arial"/>
          <w:sz w:val="22"/>
          <w:szCs w:val="22"/>
        </w:rPr>
      </w:pPr>
    </w:p>
    <w:p w14:paraId="5C2A891E" w14:textId="77777777" w:rsidR="006F6105" w:rsidRPr="00E81960" w:rsidRDefault="006F6105" w:rsidP="00E81960">
      <w:pPr>
        <w:rPr>
          <w:rFonts w:ascii="Arial" w:hAnsi="Arial" w:cs="Arial"/>
          <w:sz w:val="22"/>
          <w:szCs w:val="22"/>
        </w:rPr>
      </w:pPr>
    </w:p>
    <w:p w14:paraId="00302067" w14:textId="77777777" w:rsidR="006F6105" w:rsidRPr="00E81960" w:rsidRDefault="006F6105" w:rsidP="00E81960">
      <w:pPr>
        <w:rPr>
          <w:rFonts w:ascii="Arial" w:hAnsi="Arial" w:cs="Arial"/>
          <w:sz w:val="22"/>
          <w:szCs w:val="22"/>
        </w:rPr>
      </w:pPr>
    </w:p>
    <w:p w14:paraId="3046CC92" w14:textId="77777777" w:rsidR="006F6105" w:rsidRPr="00E81960" w:rsidRDefault="006F6105" w:rsidP="00E81960">
      <w:pPr>
        <w:rPr>
          <w:rFonts w:ascii="Arial" w:hAnsi="Arial" w:cs="Arial"/>
          <w:sz w:val="22"/>
          <w:szCs w:val="22"/>
        </w:rPr>
      </w:pPr>
    </w:p>
    <w:p w14:paraId="7D9D52CA" w14:textId="77777777" w:rsidR="006F6105" w:rsidRPr="00E81960" w:rsidRDefault="006F6105" w:rsidP="00E81960">
      <w:pPr>
        <w:rPr>
          <w:rFonts w:ascii="Arial" w:hAnsi="Arial" w:cs="Arial"/>
          <w:sz w:val="22"/>
          <w:szCs w:val="22"/>
        </w:rPr>
      </w:pPr>
    </w:p>
    <w:p w14:paraId="56F2A43A" w14:textId="77777777" w:rsidR="006F6105" w:rsidRPr="00E81960" w:rsidRDefault="006F6105" w:rsidP="00E81960">
      <w:pPr>
        <w:rPr>
          <w:rFonts w:ascii="Arial" w:hAnsi="Arial" w:cs="Arial"/>
          <w:sz w:val="22"/>
          <w:szCs w:val="22"/>
        </w:rPr>
      </w:pPr>
    </w:p>
    <w:p w14:paraId="7B9A07BD" w14:textId="77777777" w:rsidR="006F6105" w:rsidRPr="00E81960" w:rsidRDefault="006F6105" w:rsidP="00E81960">
      <w:pPr>
        <w:rPr>
          <w:rFonts w:ascii="Arial" w:hAnsi="Arial" w:cs="Arial"/>
          <w:sz w:val="22"/>
          <w:szCs w:val="22"/>
        </w:rPr>
      </w:pPr>
    </w:p>
    <w:p w14:paraId="0AF5EBC6" w14:textId="77777777" w:rsidR="0069413C" w:rsidRPr="00E81960" w:rsidRDefault="0069413C" w:rsidP="00E81960">
      <w:pPr>
        <w:rPr>
          <w:rFonts w:ascii="Arial" w:hAnsi="Arial" w:cs="Arial"/>
          <w:sz w:val="22"/>
          <w:szCs w:val="22"/>
        </w:rPr>
      </w:pPr>
    </w:p>
    <w:p w14:paraId="0FE7B1E0" w14:textId="0ACD8F0F" w:rsidR="00357F91" w:rsidRPr="00E81960" w:rsidRDefault="00357F91" w:rsidP="00E81960">
      <w:pPr>
        <w:rPr>
          <w:rFonts w:ascii="Arial" w:hAnsi="Arial" w:cs="Arial"/>
          <w:sz w:val="22"/>
          <w:szCs w:val="22"/>
        </w:rPr>
      </w:pPr>
      <w:r w:rsidRPr="00E81960">
        <w:rPr>
          <w:rFonts w:ascii="Arial" w:hAnsi="Arial" w:cs="Arial"/>
          <w:sz w:val="22"/>
          <w:szCs w:val="22"/>
        </w:rPr>
        <w:lastRenderedPageBreak/>
        <w:t>Part B- Reflective Report</w:t>
      </w:r>
    </w:p>
    <w:p w14:paraId="784734FB"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Following feedback from both tutor and peers, I reflected on my poster presentation and identified key strengths and areas for enhancement. Overall, the feedback confirmed that I demonstrated clear understanding of the project context, but improvements are needed to strengthen alignment with established project management frameworks.</w:t>
      </w:r>
    </w:p>
    <w:p w14:paraId="5EC881AF"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Strengths</w:t>
      </w:r>
    </w:p>
    <w:p w14:paraId="4D240432"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poster was praised for its strong structure and visual clarity, with information clearly organised into sections such as objectives, sustainability, stakeholders, and benefits. According to Lock (2020), clarity and segmentation support effective communication in project planning, which was evident in my delivery. Additionally, the imagery successfully illustrated the impacts of flooding, reinforcing relevance to infrastructure resilience (Brown, 2019).</w:t>
      </w:r>
    </w:p>
    <w:p w14:paraId="79C1C209"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My use of sustainability practices aligned well with government recommendations on climate-adaptive infrastructure (Government of Canada, 2023). Including energy efficient and low carbon construction strategies was also commended and supported by industry best practice (Smith, 2022). Furthermore, the phased</w:t>
      </w:r>
      <w:r w:rsidRPr="00E81960">
        <w:rPr>
          <w:rFonts w:ascii="Arial" w:eastAsia="Times New Roman" w:hAnsi="Arial" w:cs="Arial"/>
          <w:b/>
          <w:bCs/>
          <w:color w:val="000000"/>
          <w:kern w:val="0"/>
          <w:sz w:val="22"/>
          <w:szCs w:val="22"/>
          <w:lang w:eastAsia="en-GB"/>
          <w14:ligatures w14:val="none"/>
        </w:rPr>
        <w:t xml:space="preserve"> </w:t>
      </w:r>
      <w:r w:rsidRPr="00E81960">
        <w:rPr>
          <w:rFonts w:ascii="Arial" w:eastAsia="Times New Roman" w:hAnsi="Arial" w:cs="Arial"/>
          <w:color w:val="000000"/>
          <w:kern w:val="0"/>
          <w:sz w:val="22"/>
          <w:szCs w:val="22"/>
          <w:lang w:eastAsia="en-GB"/>
          <w14:ligatures w14:val="none"/>
        </w:rPr>
        <w:t>breakdown of the project demonstrated a reasonable understanding of procedural planning.</w:t>
      </w:r>
    </w:p>
    <w:p w14:paraId="193DC53D"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Weaknesses</w:t>
      </w:r>
    </w:p>
    <w:p w14:paraId="71C47346"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Despite the above strengths, feedback highlighted missing project management analytical tools. The poster did not include a Gantt chart, preventing clear illustration of workflow sequencing, task dependencies, and milestone tracking (Kerzner, 2021). Likewise, the omission of a Quad chart limited high level strategic clarity relating to risks, benefits, challenges, and assumptions.</w:t>
      </w:r>
    </w:p>
    <w:p w14:paraId="18873486"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stakeholder section listed key parties but did not present stakeholder influence and interest mapping, which is essential for appropriate engagement planning (Freeman, 2010). A power interest matrix will be incorporated into the final plan to address this. Additionally, the absence of a formal project life cycle representation reduced alignment with recognised standards such as PRINCE2 or APM (Kerzner, 2021).</w:t>
      </w:r>
    </w:p>
    <w:p w14:paraId="15F6C855"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Improvements</w:t>
      </w:r>
    </w:p>
    <w:p w14:paraId="37701B94"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Based on feedback, the final project plan will be enhanced as follows:</w:t>
      </w:r>
    </w:p>
    <w:p w14:paraId="62DEC72B" w14:textId="77777777" w:rsidR="007553E9" w:rsidRPr="00E81960" w:rsidRDefault="007553E9" w:rsidP="00E81960">
      <w:pPr>
        <w:numPr>
          <w:ilvl w:val="0"/>
          <w:numId w:val="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lastRenderedPageBreak/>
        <w:t>Integration of a Gantt chart to demonstrate timing and task dependencies.</w:t>
      </w:r>
    </w:p>
    <w:p w14:paraId="178BA4A0" w14:textId="77777777" w:rsidR="007553E9" w:rsidRPr="00E81960" w:rsidRDefault="007553E9" w:rsidP="00E81960">
      <w:pPr>
        <w:numPr>
          <w:ilvl w:val="0"/>
          <w:numId w:val="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Development of a Quad chart summarising risks, opportunities, resources, and barriers.</w:t>
      </w:r>
    </w:p>
    <w:p w14:paraId="63374618" w14:textId="77777777" w:rsidR="007553E9" w:rsidRPr="00E81960" w:rsidRDefault="007553E9" w:rsidP="00E81960">
      <w:pPr>
        <w:numPr>
          <w:ilvl w:val="0"/>
          <w:numId w:val="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Completion of a stakeholder analysis, using a power interest grid to define engagement approaches.</w:t>
      </w:r>
    </w:p>
    <w:p w14:paraId="5A88FADB" w14:textId="77777777" w:rsidR="007553E9" w:rsidRPr="00E81960" w:rsidRDefault="007553E9" w:rsidP="00E81960">
      <w:pPr>
        <w:numPr>
          <w:ilvl w:val="0"/>
          <w:numId w:val="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Inclusion of a project life cycle diagram aligned with professional frameworks (e.g., PRINCE2/APM).</w:t>
      </w:r>
    </w:p>
    <w:p w14:paraId="540C923A" w14:textId="77777777" w:rsidR="007553E9" w:rsidRPr="00E81960" w:rsidRDefault="007553E9" w:rsidP="00E81960">
      <w:pPr>
        <w:numPr>
          <w:ilvl w:val="0"/>
          <w:numId w:val="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Expansion of risk management planning.</w:t>
      </w:r>
    </w:p>
    <w:p w14:paraId="01529FC7"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Conclusion</w:t>
      </w:r>
    </w:p>
    <w:p w14:paraId="59C84D90"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In summary, the poster displayed strong organisation, visual communication, and sustainability awareness, reflecting good understanding of the project aims. However, it lacked several critical project management analysis tools. The feedback received was constructive and will directly inform the development of a more comprehensive and professionally structured final project plan. Implementing these elements will enhance clarity, traceability, and stakeholder engagement effectiveness, leading to a more robust submission.</w:t>
      </w:r>
    </w:p>
    <w:p w14:paraId="745476F6" w14:textId="77777777" w:rsidR="007553E9" w:rsidRPr="00E81960" w:rsidRDefault="007553E9"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0" w:name="_Toc214733532"/>
      <w:r w:rsidRPr="00E81960">
        <w:rPr>
          <w:rFonts w:ascii="Arial" w:eastAsia="Times New Roman" w:hAnsi="Arial" w:cs="Arial"/>
          <w:b/>
          <w:bCs/>
          <w:color w:val="000000"/>
          <w:kern w:val="0"/>
          <w:sz w:val="22"/>
          <w:szCs w:val="22"/>
          <w:lang w:eastAsia="en-GB"/>
          <w14:ligatures w14:val="none"/>
        </w:rPr>
        <w:t>References</w:t>
      </w:r>
      <w:bookmarkEnd w:id="0"/>
      <w:r w:rsidRPr="00E81960">
        <w:rPr>
          <w:rFonts w:ascii="Arial" w:eastAsia="Times New Roman" w:hAnsi="Arial" w:cs="Arial"/>
          <w:b/>
          <w:bCs/>
          <w:color w:val="000000"/>
          <w:kern w:val="0"/>
          <w:sz w:val="22"/>
          <w:szCs w:val="22"/>
          <w:lang w:eastAsia="en-GB"/>
          <w14:ligatures w14:val="none"/>
        </w:rPr>
        <w:t xml:space="preserve"> </w:t>
      </w:r>
    </w:p>
    <w:p w14:paraId="6764A504"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Brown, R. (2019) </w:t>
      </w:r>
      <w:r w:rsidRPr="00E81960">
        <w:rPr>
          <w:rFonts w:ascii="Arial" w:eastAsia="Times New Roman" w:hAnsi="Arial" w:cs="Arial"/>
          <w:i/>
          <w:iCs/>
          <w:color w:val="000000"/>
          <w:kern w:val="0"/>
          <w:sz w:val="22"/>
          <w:szCs w:val="22"/>
          <w:lang w:eastAsia="en-GB"/>
          <w14:ligatures w14:val="none"/>
        </w:rPr>
        <w:t>Climate Risk Engineering in Infrastructure</w:t>
      </w:r>
      <w:r w:rsidRPr="00E81960">
        <w:rPr>
          <w:rFonts w:ascii="Arial" w:eastAsia="Times New Roman" w:hAnsi="Arial" w:cs="Arial"/>
          <w:color w:val="000000"/>
          <w:kern w:val="0"/>
          <w:sz w:val="22"/>
          <w:szCs w:val="22"/>
          <w:lang w:eastAsia="en-GB"/>
          <w14:ligatures w14:val="none"/>
        </w:rPr>
        <w:t>, London: ICE Publishing.</w:t>
      </w:r>
    </w:p>
    <w:p w14:paraId="1B1B68CA"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Freeman, R. (2010) </w:t>
      </w:r>
      <w:r w:rsidRPr="00E81960">
        <w:rPr>
          <w:rFonts w:ascii="Arial" w:eastAsia="Times New Roman" w:hAnsi="Arial" w:cs="Arial"/>
          <w:i/>
          <w:iCs/>
          <w:color w:val="000000"/>
          <w:kern w:val="0"/>
          <w:sz w:val="22"/>
          <w:szCs w:val="22"/>
          <w:lang w:eastAsia="en-GB"/>
          <w14:ligatures w14:val="none"/>
        </w:rPr>
        <w:t>Strategic Management: A Stakeholder Approach</w:t>
      </w:r>
      <w:r w:rsidRPr="00E81960">
        <w:rPr>
          <w:rFonts w:ascii="Arial" w:eastAsia="Times New Roman" w:hAnsi="Arial" w:cs="Arial"/>
          <w:color w:val="000000"/>
          <w:kern w:val="0"/>
          <w:sz w:val="22"/>
          <w:szCs w:val="22"/>
          <w:lang w:eastAsia="en-GB"/>
          <w14:ligatures w14:val="none"/>
        </w:rPr>
        <w:t>, Cambridge: Cambridge University Press.</w:t>
      </w:r>
    </w:p>
    <w:p w14:paraId="058FDB2A"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Government of Canada (2023) </w:t>
      </w:r>
      <w:r w:rsidRPr="00E81960">
        <w:rPr>
          <w:rFonts w:ascii="Arial" w:eastAsia="Times New Roman" w:hAnsi="Arial" w:cs="Arial"/>
          <w:i/>
          <w:iCs/>
          <w:color w:val="000000"/>
          <w:kern w:val="0"/>
          <w:sz w:val="22"/>
          <w:szCs w:val="22"/>
          <w:lang w:eastAsia="en-GB"/>
          <w14:ligatures w14:val="none"/>
        </w:rPr>
        <w:t>National Infrastructure Resilience Framework</w:t>
      </w:r>
      <w:r w:rsidRPr="00E81960">
        <w:rPr>
          <w:rFonts w:ascii="Arial" w:eastAsia="Times New Roman" w:hAnsi="Arial" w:cs="Arial"/>
          <w:color w:val="000000"/>
          <w:kern w:val="0"/>
          <w:sz w:val="22"/>
          <w:szCs w:val="22"/>
          <w:lang w:eastAsia="en-GB"/>
          <w14:ligatures w14:val="none"/>
        </w:rPr>
        <w:t>, Ottawa.</w:t>
      </w:r>
    </w:p>
    <w:p w14:paraId="7AD77C32" w14:textId="2197DCE3"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Kerzner, H. (2021) </w:t>
      </w:r>
      <w:r w:rsidRPr="00E81960">
        <w:rPr>
          <w:rFonts w:ascii="Arial" w:eastAsia="Times New Roman" w:hAnsi="Arial" w:cs="Arial"/>
          <w:i/>
          <w:iCs/>
          <w:color w:val="000000"/>
          <w:kern w:val="0"/>
          <w:sz w:val="22"/>
          <w:szCs w:val="22"/>
          <w:lang w:eastAsia="en-GB"/>
          <w14:ligatures w14:val="none"/>
        </w:rPr>
        <w:t>Project Management: A Systems Approach to Planning, Scheduling and Controlling</w:t>
      </w:r>
      <w:r w:rsidRPr="00E81960">
        <w:rPr>
          <w:rFonts w:ascii="Arial" w:eastAsia="Times New Roman" w:hAnsi="Arial" w:cs="Arial"/>
          <w:color w:val="000000"/>
          <w:kern w:val="0"/>
          <w:sz w:val="22"/>
          <w:szCs w:val="22"/>
          <w:lang w:eastAsia="en-GB"/>
          <w14:ligatures w14:val="none"/>
        </w:rPr>
        <w:t>, 13th ed, New York: Wiley.</w:t>
      </w:r>
    </w:p>
    <w:p w14:paraId="37C4953B" w14:textId="77777777"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Smith, J. (2022) </w:t>
      </w:r>
      <w:r w:rsidRPr="00E81960">
        <w:rPr>
          <w:rFonts w:ascii="Arial" w:eastAsia="Times New Roman" w:hAnsi="Arial" w:cs="Arial"/>
          <w:i/>
          <w:iCs/>
          <w:color w:val="000000"/>
          <w:kern w:val="0"/>
          <w:sz w:val="22"/>
          <w:szCs w:val="22"/>
          <w:lang w:eastAsia="en-GB"/>
          <w14:ligatures w14:val="none"/>
        </w:rPr>
        <w:t>Sustainable Construction Practices in Civil Engineering</w:t>
      </w:r>
      <w:r w:rsidRPr="00E81960">
        <w:rPr>
          <w:rFonts w:ascii="Arial" w:eastAsia="Times New Roman" w:hAnsi="Arial" w:cs="Arial"/>
          <w:color w:val="000000"/>
          <w:kern w:val="0"/>
          <w:sz w:val="22"/>
          <w:szCs w:val="22"/>
          <w:lang w:eastAsia="en-GB"/>
          <w14:ligatures w14:val="none"/>
        </w:rPr>
        <w:t>, Springer.</w:t>
      </w:r>
    </w:p>
    <w:p w14:paraId="0B9DD712" w14:textId="5A01A404" w:rsidR="007553E9" w:rsidRPr="00E81960" w:rsidRDefault="007553E9"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Lock, D. (2020) </w:t>
      </w:r>
      <w:r w:rsidRPr="00E81960">
        <w:rPr>
          <w:rFonts w:ascii="Arial" w:eastAsia="Times New Roman" w:hAnsi="Arial" w:cs="Arial"/>
          <w:i/>
          <w:iCs/>
          <w:color w:val="000000"/>
          <w:kern w:val="0"/>
          <w:sz w:val="22"/>
          <w:szCs w:val="22"/>
          <w:lang w:eastAsia="en-GB"/>
          <w14:ligatures w14:val="none"/>
        </w:rPr>
        <w:t>Project Management</w:t>
      </w:r>
      <w:r w:rsidRPr="00E81960">
        <w:rPr>
          <w:rFonts w:ascii="Arial" w:eastAsia="Times New Roman" w:hAnsi="Arial" w:cs="Arial"/>
          <w:color w:val="000000"/>
          <w:kern w:val="0"/>
          <w:sz w:val="22"/>
          <w:szCs w:val="22"/>
          <w:lang w:eastAsia="en-GB"/>
          <w14:ligatures w14:val="none"/>
        </w:rPr>
        <w:t>, 11th ed, Farnham: Gower.</w:t>
      </w:r>
    </w:p>
    <w:p w14:paraId="415090D3" w14:textId="77777777" w:rsidR="007553E9" w:rsidRPr="00E81960" w:rsidRDefault="007553E9" w:rsidP="00E81960">
      <w:pPr>
        <w:rPr>
          <w:rFonts w:ascii="Arial" w:hAnsi="Arial" w:cs="Arial"/>
          <w:sz w:val="22"/>
          <w:szCs w:val="22"/>
        </w:rPr>
      </w:pPr>
    </w:p>
    <w:p w14:paraId="733CA307" w14:textId="77777777" w:rsidR="007553E9" w:rsidRPr="00E81960" w:rsidRDefault="007553E9" w:rsidP="00E81960">
      <w:pPr>
        <w:rPr>
          <w:rFonts w:ascii="Arial" w:hAnsi="Arial" w:cs="Arial"/>
          <w:sz w:val="22"/>
          <w:szCs w:val="22"/>
        </w:rPr>
      </w:pPr>
    </w:p>
    <w:p w14:paraId="4067FC50" w14:textId="77777777" w:rsidR="00357F91" w:rsidRPr="00E81960" w:rsidRDefault="00357F91" w:rsidP="00E81960">
      <w:pPr>
        <w:rPr>
          <w:rFonts w:ascii="Arial" w:hAnsi="Arial" w:cs="Arial"/>
          <w:sz w:val="22"/>
          <w:szCs w:val="22"/>
        </w:rPr>
      </w:pPr>
      <w:r w:rsidRPr="00E81960">
        <w:rPr>
          <w:rFonts w:ascii="Arial" w:hAnsi="Arial" w:cs="Arial"/>
          <w:sz w:val="22"/>
          <w:szCs w:val="22"/>
        </w:rPr>
        <w:br w:type="page"/>
      </w:r>
    </w:p>
    <w:p w14:paraId="3EF54234" w14:textId="6F4FCC52" w:rsidR="00357F91" w:rsidRPr="00E81960" w:rsidRDefault="00357F91" w:rsidP="00E81960">
      <w:pPr>
        <w:rPr>
          <w:rFonts w:ascii="Arial" w:hAnsi="Arial" w:cs="Arial"/>
          <w:sz w:val="22"/>
          <w:szCs w:val="22"/>
        </w:rPr>
      </w:pPr>
      <w:r w:rsidRPr="00E81960">
        <w:rPr>
          <w:rFonts w:ascii="Arial" w:hAnsi="Arial" w:cs="Arial"/>
          <w:sz w:val="22"/>
          <w:szCs w:val="22"/>
        </w:rPr>
        <w:lastRenderedPageBreak/>
        <w:t>Part C- Project Management Plan</w:t>
      </w:r>
    </w:p>
    <w:p w14:paraId="5ABDFB8F"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1" w:name="_Toc214733533"/>
      <w:r w:rsidRPr="00E81960">
        <w:rPr>
          <w:rFonts w:ascii="Arial" w:eastAsia="Times New Roman" w:hAnsi="Arial" w:cs="Arial"/>
          <w:b/>
          <w:bCs/>
          <w:color w:val="000000"/>
          <w:kern w:val="0"/>
          <w:sz w:val="22"/>
          <w:szCs w:val="22"/>
          <w:lang w:eastAsia="en-GB"/>
          <w14:ligatures w14:val="none"/>
        </w:rPr>
        <w:t>1. Introduction</w:t>
      </w:r>
      <w:bookmarkEnd w:id="1"/>
    </w:p>
    <w:p w14:paraId="456877D6"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Effective infrastructure adaptation is increasingly crucial in the context of intensified climatic conditions, particularly regarding flood resilience. The present project proposes the development of a flood-resilient infrastructure enhancement solution, intended to mitigate structural damage and improve public safety within communities severely affected by extreme weather events. This Project Management Plan (PMP) outlines the structured methodology adopted to successfully deliver the project, demonstrating the application of recognised project management principles aligned with best practice guidance including the Association for Project Management (APM) and PRINCE2 (Kerzner, 2021; APM, 2022).</w:t>
      </w:r>
    </w:p>
    <w:p w14:paraId="53CA333E"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PMP provides a comprehensive overview of project direction, scope, management strategy, governance structure, timeline, stakeholder engagement, risk mitigation measures and resource allocation. It further incorporates essential project management tools such as the Work Breakdown Structure (WBS), Quad Chart, Gantt Chart, and Stakeholder Analysis to support managerial decision-making (Burke, 2019). Written in accordance with formal academic guidelines, this plan aims to assure stakeholders of the project’s viability, alignment with sustainability principles and strategic execution approach.</w:t>
      </w:r>
    </w:p>
    <w:p w14:paraId="0F1CBDF3"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methodology applied is predominantly aligned with a predictive ‘waterfall’ model supported by iterative risk review processes and informed by PRINCE2's themes of Planning, Organisation, Control and Continuous Improvement (OGC, 2017). Sustainability and regulatory compliance are embedded throughout. The project plan is structured to ensure transparency, traceability and mitigation of delivery risk through early-stage design evaluation, precision scheduling and proportional governance.</w:t>
      </w:r>
    </w:p>
    <w:p w14:paraId="5CAFC062"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This document adopts present tense except where historical published studies are referenced, avoids first-person narrative, and conforms to Harvard citation style to maintain academic rigour (Saunders et al., 2019). All figures and tables are integrated within text and referenced before presentation, ensuring compliance with best reporting practice (UWTSD, 2025 submission guidelines).</w:t>
      </w:r>
    </w:p>
    <w:p w14:paraId="5D7456C7"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2" w:name="_Toc214733534"/>
      <w:r w:rsidRPr="00E81960">
        <w:rPr>
          <w:rFonts w:ascii="Arial" w:eastAsia="Times New Roman" w:hAnsi="Arial" w:cs="Arial"/>
          <w:b/>
          <w:bCs/>
          <w:color w:val="000000"/>
          <w:kern w:val="0"/>
          <w:sz w:val="22"/>
          <w:szCs w:val="22"/>
          <w:lang w:eastAsia="en-GB"/>
          <w14:ligatures w14:val="none"/>
        </w:rPr>
        <w:t>2. Project Description</w:t>
      </w:r>
      <w:bookmarkEnd w:id="2"/>
    </w:p>
    <w:p w14:paraId="5331EEB4"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 xml:space="preserve">The project aims to design and propose a resilient infrastructure solution for flood-prone areas, primarily focusing on reducing damage to residential and commercial assets, minimising </w:t>
      </w:r>
      <w:r w:rsidRPr="00E81960">
        <w:rPr>
          <w:rFonts w:ascii="Arial" w:eastAsia="Times New Roman" w:hAnsi="Arial" w:cs="Arial"/>
          <w:color w:val="000000"/>
          <w:kern w:val="0"/>
          <w:sz w:val="22"/>
          <w:szCs w:val="22"/>
          <w:lang w:eastAsia="en-GB"/>
          <w14:ligatures w14:val="none"/>
        </w:rPr>
        <w:lastRenderedPageBreak/>
        <w:t>disruption, and enhancing public safety. The solution leverages sustainable low-carbon construction materials, energy-efficient processes and environmentally responsible waste management (Smith, 2022). The project will deliver a conceptual infrastructure reinforcement plan, supported by real-world case studies referencing recent severe flooding events in the UK and Europe.</w:t>
      </w:r>
    </w:p>
    <w:p w14:paraId="3D9F4423"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core strategic outcomes of the project are:</w:t>
      </w:r>
    </w:p>
    <w:p w14:paraId="2205B6E7" w14:textId="77777777" w:rsidR="0069413C" w:rsidRPr="00E81960" w:rsidRDefault="0069413C" w:rsidP="00E81960">
      <w:pPr>
        <w:numPr>
          <w:ilvl w:val="0"/>
          <w:numId w:val="2"/>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Improved resistance to flooding-related structural degradation.</w:t>
      </w:r>
    </w:p>
    <w:p w14:paraId="50467AA2" w14:textId="77777777" w:rsidR="0069413C" w:rsidRPr="00E81960" w:rsidRDefault="0069413C" w:rsidP="00E81960">
      <w:pPr>
        <w:numPr>
          <w:ilvl w:val="0"/>
          <w:numId w:val="2"/>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Alignment with climate change adaptation frameworks (Government of Canada, 2023).</w:t>
      </w:r>
    </w:p>
    <w:p w14:paraId="3ADB73F7" w14:textId="77777777" w:rsidR="0069413C" w:rsidRPr="00E81960" w:rsidRDefault="0069413C" w:rsidP="00E81960">
      <w:pPr>
        <w:numPr>
          <w:ilvl w:val="0"/>
          <w:numId w:val="2"/>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Enhancement of long-term community safety and infrastructure performance.</w:t>
      </w:r>
    </w:p>
    <w:p w14:paraId="0FFC9FC7" w14:textId="77777777" w:rsidR="0069413C" w:rsidRPr="00E81960" w:rsidRDefault="0069413C" w:rsidP="00E81960">
      <w:pPr>
        <w:numPr>
          <w:ilvl w:val="0"/>
          <w:numId w:val="2"/>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Contribution to environmental sustainability objectives.</w:t>
      </w:r>
    </w:p>
    <w:p w14:paraId="698A4EFC"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Implementation will be staged through preliminary design, structural modelling, risk assessment, economic feasibility evaluation and stakeholder consultation. The solution will ultimately be presented for potential adoption by local authorities, civil engineers and environmental planning agencies. The delivery lifecycle adheres to the APM project lifecycle model encompassing Concept, Definition, Development, Handover and Closure (APM, 2022).</w:t>
      </w:r>
    </w:p>
    <w:p w14:paraId="7A051480" w14:textId="77777777" w:rsidR="0069413C" w:rsidRPr="00E81960" w:rsidRDefault="0069413C" w:rsidP="00E81960">
      <w:pPr>
        <w:spacing w:before="100" w:beforeAutospacing="1" w:after="100" w:afterAutospacing="1"/>
        <w:outlineLvl w:val="1"/>
        <w:rPr>
          <w:rFonts w:ascii="Arial" w:eastAsia="Times New Roman" w:hAnsi="Arial" w:cs="Arial"/>
          <w:b/>
          <w:bCs/>
          <w:color w:val="000000"/>
          <w:kern w:val="0"/>
          <w:sz w:val="22"/>
          <w:szCs w:val="22"/>
          <w:lang w:eastAsia="en-GB"/>
          <w14:ligatures w14:val="none"/>
        </w:rPr>
      </w:pPr>
      <w:bookmarkStart w:id="3" w:name="_Toc214733535"/>
      <w:r w:rsidRPr="00E81960">
        <w:rPr>
          <w:rFonts w:ascii="Arial" w:eastAsia="Times New Roman" w:hAnsi="Arial" w:cs="Arial"/>
          <w:b/>
          <w:bCs/>
          <w:color w:val="000000"/>
          <w:kern w:val="0"/>
          <w:sz w:val="22"/>
          <w:szCs w:val="22"/>
          <w:lang w:eastAsia="en-GB"/>
          <w14:ligatures w14:val="none"/>
        </w:rPr>
        <w:t>3. Scope</w:t>
      </w:r>
      <w:bookmarkEnd w:id="3"/>
    </w:p>
    <w:p w14:paraId="2FF0757A"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project scope defines the boundaries, deliverables, and constraints that guide the development of the flood-resilient infrastructure proposal. The scope ensures a controlled and structured process, preventing deviation from objectives and maintaining stakeholder expectations (Lock, 2020).</w:t>
      </w:r>
    </w:p>
    <w:p w14:paraId="36D79047"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4" w:name="_Toc214733536"/>
      <w:r w:rsidRPr="00E81960">
        <w:rPr>
          <w:rFonts w:ascii="Arial" w:eastAsia="Times New Roman" w:hAnsi="Arial" w:cs="Arial"/>
          <w:b/>
          <w:bCs/>
          <w:color w:val="000000"/>
          <w:kern w:val="0"/>
          <w:sz w:val="22"/>
          <w:szCs w:val="22"/>
          <w:lang w:eastAsia="en-GB"/>
          <w14:ligatures w14:val="none"/>
        </w:rPr>
        <w:t>3.1 In-Scope Activities</w:t>
      </w:r>
      <w:bookmarkEnd w:id="4"/>
    </w:p>
    <w:p w14:paraId="06C6CE29"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following elements are included within the project scope:</w:t>
      </w:r>
    </w:p>
    <w:p w14:paraId="13DFB09F"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Development of an infrastructure enhancement proposal aimed at increasing flood resilience.</w:t>
      </w:r>
    </w:p>
    <w:p w14:paraId="0787804F"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Assessment of environmental, technical, economic and social considerations linked to proposed interventions.</w:t>
      </w:r>
    </w:p>
    <w:p w14:paraId="7452012E"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Literature review of best practices in flood mitigation engineering (Brown, 2019).</w:t>
      </w:r>
    </w:p>
    <w:p w14:paraId="0904418B"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Sustainability analysis, including carbon-efficient materials and construction methods (Smith, 2022).</w:t>
      </w:r>
    </w:p>
    <w:p w14:paraId="0353207B"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Stakeholder identification and engagement planning.</w:t>
      </w:r>
    </w:p>
    <w:p w14:paraId="2711BDE4"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lastRenderedPageBreak/>
        <w:t>Production of a Work Breakdown Structure (WBS).</w:t>
      </w:r>
    </w:p>
    <w:p w14:paraId="6EAE97F0"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Creation of a Quad Chart summarising strategic elements of the project.</w:t>
      </w:r>
    </w:p>
    <w:p w14:paraId="3B07C74D"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Development of a Gantt Chart outlining project tasks, durations, sequencing, and milestones.</w:t>
      </w:r>
    </w:p>
    <w:p w14:paraId="3475AB37" w14:textId="77777777" w:rsidR="0069413C" w:rsidRPr="00E81960" w:rsidRDefault="0069413C" w:rsidP="00E81960">
      <w:pPr>
        <w:numPr>
          <w:ilvl w:val="0"/>
          <w:numId w:val="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Completion of a risk analysis matrix aligned with APM risk management guidance (APM, 2022).</w:t>
      </w:r>
    </w:p>
    <w:p w14:paraId="21363972"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5" w:name="_Toc214733537"/>
      <w:r w:rsidRPr="00E81960">
        <w:rPr>
          <w:rFonts w:ascii="Arial" w:eastAsia="Times New Roman" w:hAnsi="Arial" w:cs="Arial"/>
          <w:b/>
          <w:bCs/>
          <w:color w:val="000000"/>
          <w:kern w:val="0"/>
          <w:sz w:val="22"/>
          <w:szCs w:val="22"/>
          <w:lang w:eastAsia="en-GB"/>
          <w14:ligatures w14:val="none"/>
        </w:rPr>
        <w:t>3.2 Out-of-Scope Activities</w:t>
      </w:r>
      <w:bookmarkEnd w:id="5"/>
    </w:p>
    <w:p w14:paraId="3846836F"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following components fall outside the project scope:</w:t>
      </w:r>
    </w:p>
    <w:p w14:paraId="042D1BEF" w14:textId="77777777" w:rsidR="0069413C" w:rsidRPr="00E81960" w:rsidRDefault="0069413C" w:rsidP="00E81960">
      <w:pPr>
        <w:numPr>
          <w:ilvl w:val="0"/>
          <w:numId w:val="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Physical construction or procurement of materials.</w:t>
      </w:r>
    </w:p>
    <w:p w14:paraId="519554CC" w14:textId="77777777" w:rsidR="0069413C" w:rsidRPr="00E81960" w:rsidRDefault="0069413C" w:rsidP="00E81960">
      <w:pPr>
        <w:numPr>
          <w:ilvl w:val="0"/>
          <w:numId w:val="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Detailed architectural or engineering design drawings beyond conceptual level.</w:t>
      </w:r>
    </w:p>
    <w:p w14:paraId="68E3000E" w14:textId="77777777" w:rsidR="0069413C" w:rsidRPr="00E81960" w:rsidRDefault="0069413C" w:rsidP="00E81960">
      <w:pPr>
        <w:numPr>
          <w:ilvl w:val="0"/>
          <w:numId w:val="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Operational deployment or on-site implementation.</w:t>
      </w:r>
    </w:p>
    <w:p w14:paraId="67861324" w14:textId="77777777" w:rsidR="0069413C" w:rsidRPr="00E81960" w:rsidRDefault="0069413C" w:rsidP="00E81960">
      <w:pPr>
        <w:numPr>
          <w:ilvl w:val="0"/>
          <w:numId w:val="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Full economic cost–benefit modelling.</w:t>
      </w:r>
    </w:p>
    <w:p w14:paraId="1D994829" w14:textId="77777777" w:rsidR="0069413C" w:rsidRPr="00E81960" w:rsidRDefault="0069413C" w:rsidP="00E81960">
      <w:pPr>
        <w:numPr>
          <w:ilvl w:val="0"/>
          <w:numId w:val="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Policy development for government adoption.</w:t>
      </w:r>
    </w:p>
    <w:p w14:paraId="1C721EF2"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6" w:name="_Toc214733538"/>
      <w:r w:rsidRPr="00E81960">
        <w:rPr>
          <w:rFonts w:ascii="Arial" w:eastAsia="Times New Roman" w:hAnsi="Arial" w:cs="Arial"/>
          <w:b/>
          <w:bCs/>
          <w:color w:val="000000"/>
          <w:kern w:val="0"/>
          <w:sz w:val="22"/>
          <w:szCs w:val="22"/>
          <w:lang w:eastAsia="en-GB"/>
          <w14:ligatures w14:val="none"/>
        </w:rPr>
        <w:t>3.3 Deliverables</w:t>
      </w:r>
      <w:bookmarkEnd w:id="6"/>
    </w:p>
    <w:p w14:paraId="6119D96B"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Core deliverables include:</w:t>
      </w:r>
    </w:p>
    <w:p w14:paraId="37B6BDDB" w14:textId="77777777" w:rsidR="0069413C" w:rsidRPr="00E81960" w:rsidRDefault="0069413C" w:rsidP="00E81960">
      <w:pPr>
        <w:numPr>
          <w:ilvl w:val="0"/>
          <w:numId w:val="5"/>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Comprehensive Project Management Plan.</w:t>
      </w:r>
    </w:p>
    <w:p w14:paraId="789E482E" w14:textId="77777777" w:rsidR="0069413C" w:rsidRPr="00E81960" w:rsidRDefault="0069413C" w:rsidP="00E81960">
      <w:pPr>
        <w:numPr>
          <w:ilvl w:val="0"/>
          <w:numId w:val="5"/>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Conceptual design summary for flood-resilient infrastructure.</w:t>
      </w:r>
    </w:p>
    <w:p w14:paraId="6B4413CE" w14:textId="77777777" w:rsidR="0069413C" w:rsidRPr="00E81960" w:rsidRDefault="0069413C" w:rsidP="00E81960">
      <w:pPr>
        <w:numPr>
          <w:ilvl w:val="0"/>
          <w:numId w:val="5"/>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WBS (Table 1).</w:t>
      </w:r>
    </w:p>
    <w:p w14:paraId="2DB8B2DC" w14:textId="77777777" w:rsidR="0069413C" w:rsidRPr="00E81960" w:rsidRDefault="0069413C" w:rsidP="00E81960">
      <w:pPr>
        <w:numPr>
          <w:ilvl w:val="0"/>
          <w:numId w:val="5"/>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Quad Chart (Figure 1).</w:t>
      </w:r>
    </w:p>
    <w:p w14:paraId="21B2607D" w14:textId="77777777" w:rsidR="0069413C" w:rsidRPr="00E81960" w:rsidRDefault="0069413C" w:rsidP="00E81960">
      <w:pPr>
        <w:numPr>
          <w:ilvl w:val="0"/>
          <w:numId w:val="5"/>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Gantt Chart (Figure 2).</w:t>
      </w:r>
    </w:p>
    <w:p w14:paraId="532C6896" w14:textId="77777777" w:rsidR="0069413C" w:rsidRPr="00E81960" w:rsidRDefault="0069413C" w:rsidP="00E81960">
      <w:pPr>
        <w:numPr>
          <w:ilvl w:val="0"/>
          <w:numId w:val="5"/>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Stakeholder Analysis Matrix (Table 2).</w:t>
      </w:r>
    </w:p>
    <w:p w14:paraId="69B51FC7" w14:textId="77777777" w:rsidR="0069413C" w:rsidRPr="00E81960" w:rsidRDefault="0069413C" w:rsidP="00E81960">
      <w:pPr>
        <w:numPr>
          <w:ilvl w:val="0"/>
          <w:numId w:val="5"/>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Risk Register and mitigation strategy (Table 3).</w:t>
      </w:r>
    </w:p>
    <w:p w14:paraId="6490F49A"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7" w:name="_Toc214733539"/>
      <w:r w:rsidRPr="00E81960">
        <w:rPr>
          <w:rFonts w:ascii="Arial" w:eastAsia="Times New Roman" w:hAnsi="Arial" w:cs="Arial"/>
          <w:b/>
          <w:bCs/>
          <w:color w:val="000000"/>
          <w:kern w:val="0"/>
          <w:sz w:val="22"/>
          <w:szCs w:val="22"/>
          <w:lang w:eastAsia="en-GB"/>
          <w14:ligatures w14:val="none"/>
        </w:rPr>
        <w:t>3.4 Constraints</w:t>
      </w:r>
      <w:bookmarkEnd w:id="7"/>
    </w:p>
    <w:p w14:paraId="28049396" w14:textId="77777777" w:rsidR="0069413C" w:rsidRPr="00E81960" w:rsidRDefault="0069413C" w:rsidP="00E81960">
      <w:pPr>
        <w:numPr>
          <w:ilvl w:val="0"/>
          <w:numId w:val="6"/>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Time constraint imposed by academic submission deadline.</w:t>
      </w:r>
    </w:p>
    <w:p w14:paraId="529E9A96" w14:textId="77777777" w:rsidR="0069413C" w:rsidRPr="00E81960" w:rsidRDefault="0069413C" w:rsidP="00E81960">
      <w:pPr>
        <w:numPr>
          <w:ilvl w:val="0"/>
          <w:numId w:val="6"/>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Limited access to proprietary engineering datasets.</w:t>
      </w:r>
    </w:p>
    <w:p w14:paraId="299D5611" w14:textId="77777777" w:rsidR="0069413C" w:rsidRPr="00E81960" w:rsidRDefault="0069413C" w:rsidP="00E81960">
      <w:pPr>
        <w:numPr>
          <w:ilvl w:val="0"/>
          <w:numId w:val="6"/>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Requirement to use secondary research sources.</w:t>
      </w:r>
    </w:p>
    <w:p w14:paraId="13FBA165" w14:textId="77777777" w:rsidR="0069413C" w:rsidRPr="00E81960" w:rsidRDefault="0069413C" w:rsidP="00E81960">
      <w:pPr>
        <w:numPr>
          <w:ilvl w:val="0"/>
          <w:numId w:val="6"/>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Formal academic formatting and citation requirements.</w:t>
      </w:r>
    </w:p>
    <w:p w14:paraId="376B63A7"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8" w:name="_Toc214733540"/>
      <w:r w:rsidRPr="00E81960">
        <w:rPr>
          <w:rFonts w:ascii="Arial" w:eastAsia="Times New Roman" w:hAnsi="Arial" w:cs="Arial"/>
          <w:b/>
          <w:bCs/>
          <w:color w:val="000000"/>
          <w:kern w:val="0"/>
          <w:sz w:val="22"/>
          <w:szCs w:val="22"/>
          <w:lang w:eastAsia="en-GB"/>
          <w14:ligatures w14:val="none"/>
        </w:rPr>
        <w:t>3.5 Assumptions</w:t>
      </w:r>
      <w:bookmarkEnd w:id="8"/>
    </w:p>
    <w:p w14:paraId="2DDACDD8" w14:textId="77777777" w:rsidR="0069413C" w:rsidRPr="00E81960" w:rsidRDefault="0069413C" w:rsidP="00E81960">
      <w:pPr>
        <w:numPr>
          <w:ilvl w:val="0"/>
          <w:numId w:val="7"/>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Stakeholder groups remain consistent throughout project planning.</w:t>
      </w:r>
    </w:p>
    <w:p w14:paraId="3E179895" w14:textId="77777777" w:rsidR="0069413C" w:rsidRPr="00E81960" w:rsidRDefault="0069413C" w:rsidP="00E81960">
      <w:pPr>
        <w:numPr>
          <w:ilvl w:val="0"/>
          <w:numId w:val="7"/>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lastRenderedPageBreak/>
        <w:t>Academic literature used accurately reflects current engineering best practice.</w:t>
      </w:r>
    </w:p>
    <w:p w14:paraId="2A45600D" w14:textId="77777777" w:rsidR="0069413C" w:rsidRPr="00E81960" w:rsidRDefault="0069413C" w:rsidP="00E81960">
      <w:pPr>
        <w:numPr>
          <w:ilvl w:val="0"/>
          <w:numId w:val="7"/>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Environmental conditions referenced remain broadly representative.</w:t>
      </w:r>
    </w:p>
    <w:p w14:paraId="428296FC"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scope provides a structured foundation upon which work packages, scheduling and resource allocation are developed (Kerzner, 2021).</w:t>
      </w:r>
    </w:p>
    <w:p w14:paraId="26E7073B" w14:textId="77777777" w:rsidR="0069413C" w:rsidRPr="00E81960" w:rsidRDefault="0069413C" w:rsidP="00E81960">
      <w:pPr>
        <w:spacing w:before="100" w:beforeAutospacing="1" w:after="100" w:afterAutospacing="1"/>
        <w:outlineLvl w:val="1"/>
        <w:rPr>
          <w:rFonts w:ascii="Arial" w:eastAsia="Times New Roman" w:hAnsi="Arial" w:cs="Arial"/>
          <w:b/>
          <w:bCs/>
          <w:color w:val="000000"/>
          <w:kern w:val="0"/>
          <w:sz w:val="22"/>
          <w:szCs w:val="22"/>
          <w:lang w:eastAsia="en-GB"/>
          <w14:ligatures w14:val="none"/>
        </w:rPr>
      </w:pPr>
      <w:bookmarkStart w:id="9" w:name="_Toc214733541"/>
      <w:r w:rsidRPr="00E81960">
        <w:rPr>
          <w:rFonts w:ascii="Arial" w:eastAsia="Times New Roman" w:hAnsi="Arial" w:cs="Arial"/>
          <w:b/>
          <w:bCs/>
          <w:color w:val="000000"/>
          <w:kern w:val="0"/>
          <w:sz w:val="22"/>
          <w:szCs w:val="22"/>
          <w:lang w:eastAsia="en-GB"/>
          <w14:ligatures w14:val="none"/>
        </w:rPr>
        <w:t>4. Work Breakdown Structure (WBS)</w:t>
      </w:r>
      <w:bookmarkEnd w:id="9"/>
    </w:p>
    <w:p w14:paraId="080D396E"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 Work Breakdown Structure divides the project into manageable components and supports effective planning, monitoring and resource allocation (Burke, 2019). Table 1 represents the hierarchical WBS for the project.</w:t>
      </w:r>
    </w:p>
    <w:p w14:paraId="7E60E003"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10" w:name="_Toc214733542"/>
      <w:r w:rsidRPr="00E81960">
        <w:rPr>
          <w:rFonts w:ascii="Arial" w:eastAsia="Times New Roman" w:hAnsi="Arial" w:cs="Arial"/>
          <w:b/>
          <w:bCs/>
          <w:color w:val="000000"/>
          <w:kern w:val="0"/>
          <w:sz w:val="22"/>
          <w:szCs w:val="22"/>
          <w:lang w:eastAsia="en-GB"/>
          <w14:ligatures w14:val="none"/>
        </w:rPr>
        <w:t>Table 1: Work Breakdown Structure (WBS)</w:t>
      </w:r>
      <w:bookmarkEnd w:id="10"/>
    </w:p>
    <w:p w14:paraId="657ED5FD"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Level 1 – Project:</w:t>
      </w:r>
      <w:r w:rsidRPr="00E81960">
        <w:rPr>
          <w:rFonts w:ascii="Arial" w:eastAsia="Times New Roman" w:hAnsi="Arial" w:cs="Arial"/>
          <w:color w:val="000000"/>
          <w:kern w:val="0"/>
          <w:sz w:val="22"/>
          <w:szCs w:val="22"/>
          <w:lang w:eastAsia="en-GB"/>
          <w14:ligatures w14:val="none"/>
        </w:rPr>
        <w:br/>
        <w:t>Flood-Resilient Infrastructure Enhancement Project</w:t>
      </w:r>
    </w:p>
    <w:p w14:paraId="4DE43156"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Level 2 – Phases and Work Packages:</w:t>
      </w:r>
    </w:p>
    <w:p w14:paraId="464595B2" w14:textId="77777777" w:rsidR="0069413C" w:rsidRPr="00E81960" w:rsidRDefault="0069413C" w:rsidP="00E81960">
      <w:pPr>
        <w:numPr>
          <w:ilvl w:val="0"/>
          <w:numId w:val="8"/>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Project Initiation</w:t>
      </w:r>
      <w:r w:rsidRPr="00E81960">
        <w:rPr>
          <w:rFonts w:ascii="Arial" w:eastAsia="Times New Roman" w:hAnsi="Arial" w:cs="Arial"/>
          <w:color w:val="000000"/>
          <w:kern w:val="0"/>
          <w:sz w:val="22"/>
          <w:szCs w:val="22"/>
          <w:lang w:eastAsia="en-GB"/>
          <w14:ligatures w14:val="none"/>
        </w:rPr>
        <w:br/>
        <w:t>1.1 Define project objectives</w:t>
      </w:r>
      <w:r w:rsidRPr="00E81960">
        <w:rPr>
          <w:rFonts w:ascii="Arial" w:eastAsia="Times New Roman" w:hAnsi="Arial" w:cs="Arial"/>
          <w:color w:val="000000"/>
          <w:kern w:val="0"/>
          <w:sz w:val="22"/>
          <w:szCs w:val="22"/>
          <w:lang w:eastAsia="en-GB"/>
          <w14:ligatures w14:val="none"/>
        </w:rPr>
        <w:br/>
        <w:t>1.2 Identify stakeholders</w:t>
      </w:r>
      <w:r w:rsidRPr="00E81960">
        <w:rPr>
          <w:rFonts w:ascii="Arial" w:eastAsia="Times New Roman" w:hAnsi="Arial" w:cs="Arial"/>
          <w:color w:val="000000"/>
          <w:kern w:val="0"/>
          <w:sz w:val="22"/>
          <w:szCs w:val="22"/>
          <w:lang w:eastAsia="en-GB"/>
          <w14:ligatures w14:val="none"/>
        </w:rPr>
        <w:br/>
        <w:t>1.3 Confirm project scope</w:t>
      </w:r>
    </w:p>
    <w:p w14:paraId="768CA541" w14:textId="77777777" w:rsidR="0069413C" w:rsidRPr="00E81960" w:rsidRDefault="0069413C" w:rsidP="00E81960">
      <w:pPr>
        <w:numPr>
          <w:ilvl w:val="0"/>
          <w:numId w:val="8"/>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Research and Analysis</w:t>
      </w:r>
      <w:r w:rsidRPr="00E81960">
        <w:rPr>
          <w:rFonts w:ascii="Arial" w:eastAsia="Times New Roman" w:hAnsi="Arial" w:cs="Arial"/>
          <w:color w:val="000000"/>
          <w:kern w:val="0"/>
          <w:sz w:val="22"/>
          <w:szCs w:val="22"/>
          <w:lang w:eastAsia="en-GB"/>
          <w14:ligatures w14:val="none"/>
        </w:rPr>
        <w:br/>
        <w:t>2.1 Literature review</w:t>
      </w:r>
      <w:r w:rsidRPr="00E81960">
        <w:rPr>
          <w:rFonts w:ascii="Arial" w:eastAsia="Times New Roman" w:hAnsi="Arial" w:cs="Arial"/>
          <w:color w:val="000000"/>
          <w:kern w:val="0"/>
          <w:sz w:val="22"/>
          <w:szCs w:val="22"/>
          <w:lang w:eastAsia="en-GB"/>
          <w14:ligatures w14:val="none"/>
        </w:rPr>
        <w:br/>
        <w:t>2.2 Case study analysis</w:t>
      </w:r>
      <w:r w:rsidRPr="00E81960">
        <w:rPr>
          <w:rFonts w:ascii="Arial" w:eastAsia="Times New Roman" w:hAnsi="Arial" w:cs="Arial"/>
          <w:color w:val="000000"/>
          <w:kern w:val="0"/>
          <w:sz w:val="22"/>
          <w:szCs w:val="22"/>
          <w:lang w:eastAsia="en-GB"/>
          <w14:ligatures w14:val="none"/>
        </w:rPr>
        <w:br/>
        <w:t>2.3 Environmental and sustainability review</w:t>
      </w:r>
    </w:p>
    <w:p w14:paraId="0CAC956B" w14:textId="77777777" w:rsidR="0069413C" w:rsidRPr="00E81960" w:rsidRDefault="0069413C" w:rsidP="00E81960">
      <w:pPr>
        <w:numPr>
          <w:ilvl w:val="0"/>
          <w:numId w:val="8"/>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Concept Development</w:t>
      </w:r>
      <w:r w:rsidRPr="00E81960">
        <w:rPr>
          <w:rFonts w:ascii="Arial" w:eastAsia="Times New Roman" w:hAnsi="Arial" w:cs="Arial"/>
          <w:color w:val="000000"/>
          <w:kern w:val="0"/>
          <w:sz w:val="22"/>
          <w:szCs w:val="22"/>
          <w:lang w:eastAsia="en-GB"/>
          <w14:ligatures w14:val="none"/>
        </w:rPr>
        <w:br/>
        <w:t>3.1 Conceptual infrastructure design</w:t>
      </w:r>
      <w:r w:rsidRPr="00E81960">
        <w:rPr>
          <w:rFonts w:ascii="Arial" w:eastAsia="Times New Roman" w:hAnsi="Arial" w:cs="Arial"/>
          <w:color w:val="000000"/>
          <w:kern w:val="0"/>
          <w:sz w:val="22"/>
          <w:szCs w:val="22"/>
          <w:lang w:eastAsia="en-GB"/>
          <w14:ligatures w14:val="none"/>
        </w:rPr>
        <w:br/>
        <w:t>3.2 Sustainability integration</w:t>
      </w:r>
      <w:r w:rsidRPr="00E81960">
        <w:rPr>
          <w:rFonts w:ascii="Arial" w:eastAsia="Times New Roman" w:hAnsi="Arial" w:cs="Arial"/>
          <w:color w:val="000000"/>
          <w:kern w:val="0"/>
          <w:sz w:val="22"/>
          <w:szCs w:val="22"/>
          <w:lang w:eastAsia="en-GB"/>
          <w14:ligatures w14:val="none"/>
        </w:rPr>
        <w:br/>
        <w:t>3.3 Risk identification</w:t>
      </w:r>
    </w:p>
    <w:p w14:paraId="53ECE570" w14:textId="77777777" w:rsidR="0069413C" w:rsidRPr="00E81960" w:rsidRDefault="0069413C" w:rsidP="00E81960">
      <w:pPr>
        <w:numPr>
          <w:ilvl w:val="0"/>
          <w:numId w:val="8"/>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Project Planning</w:t>
      </w:r>
      <w:r w:rsidRPr="00E81960">
        <w:rPr>
          <w:rFonts w:ascii="Arial" w:eastAsia="Times New Roman" w:hAnsi="Arial" w:cs="Arial"/>
          <w:color w:val="000000"/>
          <w:kern w:val="0"/>
          <w:sz w:val="22"/>
          <w:szCs w:val="22"/>
          <w:lang w:eastAsia="en-GB"/>
          <w14:ligatures w14:val="none"/>
        </w:rPr>
        <w:br/>
        <w:t>4.1 Create Quad Chart</w:t>
      </w:r>
      <w:r w:rsidRPr="00E81960">
        <w:rPr>
          <w:rFonts w:ascii="Arial" w:eastAsia="Times New Roman" w:hAnsi="Arial" w:cs="Arial"/>
          <w:color w:val="000000"/>
          <w:kern w:val="0"/>
          <w:sz w:val="22"/>
          <w:szCs w:val="22"/>
          <w:lang w:eastAsia="en-GB"/>
          <w14:ligatures w14:val="none"/>
        </w:rPr>
        <w:br/>
        <w:t>4.2 Develop Gantt Chart</w:t>
      </w:r>
      <w:r w:rsidRPr="00E81960">
        <w:rPr>
          <w:rFonts w:ascii="Arial" w:eastAsia="Times New Roman" w:hAnsi="Arial" w:cs="Arial"/>
          <w:color w:val="000000"/>
          <w:kern w:val="0"/>
          <w:sz w:val="22"/>
          <w:szCs w:val="22"/>
          <w:lang w:eastAsia="en-GB"/>
          <w14:ligatures w14:val="none"/>
        </w:rPr>
        <w:br/>
        <w:t>4.3 Develop stakeholder analysis</w:t>
      </w:r>
      <w:r w:rsidRPr="00E81960">
        <w:rPr>
          <w:rFonts w:ascii="Arial" w:eastAsia="Times New Roman" w:hAnsi="Arial" w:cs="Arial"/>
          <w:color w:val="000000"/>
          <w:kern w:val="0"/>
          <w:sz w:val="22"/>
          <w:szCs w:val="22"/>
          <w:lang w:eastAsia="en-GB"/>
          <w14:ligatures w14:val="none"/>
        </w:rPr>
        <w:br/>
        <w:t>4.4 Resource allocation</w:t>
      </w:r>
    </w:p>
    <w:p w14:paraId="422AE309" w14:textId="77777777" w:rsidR="0069413C" w:rsidRPr="00E81960" w:rsidRDefault="0069413C" w:rsidP="00E81960">
      <w:pPr>
        <w:numPr>
          <w:ilvl w:val="0"/>
          <w:numId w:val="8"/>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Documentation and reporting</w:t>
      </w:r>
      <w:r w:rsidRPr="00E81960">
        <w:rPr>
          <w:rFonts w:ascii="Arial" w:eastAsia="Times New Roman" w:hAnsi="Arial" w:cs="Arial"/>
          <w:color w:val="000000"/>
          <w:kern w:val="0"/>
          <w:sz w:val="22"/>
          <w:szCs w:val="22"/>
          <w:lang w:eastAsia="en-GB"/>
          <w14:ligatures w14:val="none"/>
        </w:rPr>
        <w:br/>
        <w:t>5.1 Draft Project Management Plan</w:t>
      </w:r>
      <w:r w:rsidRPr="00E81960">
        <w:rPr>
          <w:rFonts w:ascii="Arial" w:eastAsia="Times New Roman" w:hAnsi="Arial" w:cs="Arial"/>
          <w:color w:val="000000"/>
          <w:kern w:val="0"/>
          <w:sz w:val="22"/>
          <w:szCs w:val="22"/>
          <w:lang w:eastAsia="en-GB"/>
          <w14:ligatures w14:val="none"/>
        </w:rPr>
        <w:br/>
      </w:r>
      <w:r w:rsidRPr="00E81960">
        <w:rPr>
          <w:rFonts w:ascii="Arial" w:eastAsia="Times New Roman" w:hAnsi="Arial" w:cs="Arial"/>
          <w:color w:val="000000"/>
          <w:kern w:val="0"/>
          <w:sz w:val="22"/>
          <w:szCs w:val="22"/>
          <w:lang w:eastAsia="en-GB"/>
          <w14:ligatures w14:val="none"/>
        </w:rPr>
        <w:lastRenderedPageBreak/>
        <w:t>5.2 Review and quality assurance</w:t>
      </w:r>
      <w:r w:rsidRPr="00E81960">
        <w:rPr>
          <w:rFonts w:ascii="Arial" w:eastAsia="Times New Roman" w:hAnsi="Arial" w:cs="Arial"/>
          <w:color w:val="000000"/>
          <w:kern w:val="0"/>
          <w:sz w:val="22"/>
          <w:szCs w:val="22"/>
          <w:lang w:eastAsia="en-GB"/>
          <w14:ligatures w14:val="none"/>
        </w:rPr>
        <w:br/>
        <w:t>5.3 Final submission</w:t>
      </w:r>
    </w:p>
    <w:p w14:paraId="0254B8F3" w14:textId="77777777" w:rsidR="0069413C" w:rsidRPr="00E81960" w:rsidRDefault="0069413C" w:rsidP="00E81960">
      <w:pPr>
        <w:spacing w:before="100" w:beforeAutospacing="1" w:after="100" w:afterAutospacing="1"/>
        <w:outlineLvl w:val="1"/>
        <w:rPr>
          <w:rFonts w:ascii="Arial" w:eastAsia="Times New Roman" w:hAnsi="Arial" w:cs="Arial"/>
          <w:b/>
          <w:bCs/>
          <w:color w:val="000000"/>
          <w:kern w:val="0"/>
          <w:sz w:val="22"/>
          <w:szCs w:val="22"/>
          <w:lang w:eastAsia="en-GB"/>
          <w14:ligatures w14:val="none"/>
        </w:rPr>
      </w:pPr>
      <w:bookmarkStart w:id="11" w:name="_Toc214733543"/>
      <w:r w:rsidRPr="00E81960">
        <w:rPr>
          <w:rFonts w:ascii="Arial" w:eastAsia="Times New Roman" w:hAnsi="Arial" w:cs="Arial"/>
          <w:b/>
          <w:bCs/>
          <w:color w:val="000000"/>
          <w:kern w:val="0"/>
          <w:sz w:val="22"/>
          <w:szCs w:val="22"/>
          <w:lang w:eastAsia="en-GB"/>
          <w14:ligatures w14:val="none"/>
        </w:rPr>
        <w:t>5. Quad Chart</w:t>
      </w:r>
      <w:bookmarkEnd w:id="11"/>
    </w:p>
    <w:p w14:paraId="0747EC3E"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 Quad Chart provides a concise strategic overview of the project through four core dimensions: Problem, Solution, Benefits and Challenges. According to APM (2022), this tool supports communication with stakeholders by presenting essential information quickly and clearly.</w:t>
      </w:r>
    </w:p>
    <w:p w14:paraId="6D3EAF36"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12" w:name="_Toc214733544"/>
      <w:r w:rsidRPr="00E81960">
        <w:rPr>
          <w:rFonts w:ascii="Arial" w:eastAsia="Times New Roman" w:hAnsi="Arial" w:cs="Arial"/>
          <w:b/>
          <w:bCs/>
          <w:color w:val="000000"/>
          <w:kern w:val="0"/>
          <w:sz w:val="22"/>
          <w:szCs w:val="22"/>
          <w:lang w:eastAsia="en-GB"/>
          <w14:ligatures w14:val="none"/>
        </w:rPr>
        <w:t>Figure 1: Quad Chart</w:t>
      </w:r>
      <w:bookmarkEnd w:id="12"/>
    </w:p>
    <w:p w14:paraId="18D48D4B"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Problem:</w:t>
      </w:r>
      <w:r w:rsidRPr="00E81960">
        <w:rPr>
          <w:rFonts w:ascii="Arial" w:eastAsia="Times New Roman" w:hAnsi="Arial" w:cs="Arial"/>
          <w:color w:val="000000"/>
          <w:kern w:val="0"/>
          <w:sz w:val="22"/>
          <w:szCs w:val="22"/>
          <w:lang w:eastAsia="en-GB"/>
          <w14:ligatures w14:val="none"/>
        </w:rPr>
        <w:br/>
        <w:t>Severe flood damage to infrastructure, increasing risk to communities and local economies.</w:t>
      </w:r>
    </w:p>
    <w:p w14:paraId="2D3D22FB"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Solution:</w:t>
      </w:r>
      <w:r w:rsidRPr="00E81960">
        <w:rPr>
          <w:rFonts w:ascii="Arial" w:eastAsia="Times New Roman" w:hAnsi="Arial" w:cs="Arial"/>
          <w:color w:val="000000"/>
          <w:kern w:val="0"/>
          <w:sz w:val="22"/>
          <w:szCs w:val="22"/>
          <w:lang w:eastAsia="en-GB"/>
          <w14:ligatures w14:val="none"/>
        </w:rPr>
        <w:br/>
        <w:t>Conceptual design of flood-resilient structures using sustainable, low-carbon materials and adaptive engineering strategies.</w:t>
      </w:r>
    </w:p>
    <w:p w14:paraId="1D73BB85"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Benefits:</w:t>
      </w:r>
      <w:r w:rsidRPr="00E81960">
        <w:rPr>
          <w:rFonts w:ascii="Arial" w:eastAsia="Times New Roman" w:hAnsi="Arial" w:cs="Arial"/>
          <w:color w:val="000000"/>
          <w:kern w:val="0"/>
          <w:sz w:val="22"/>
          <w:szCs w:val="22"/>
          <w:lang w:eastAsia="en-GB"/>
          <w14:ligatures w14:val="none"/>
        </w:rPr>
        <w:br/>
        <w:t>Enhanced public safety, reduced structural damage, long-term cost savings, environmental sustainability.</w:t>
      </w:r>
    </w:p>
    <w:p w14:paraId="7BEDA9F7"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Challenges:</w:t>
      </w:r>
      <w:r w:rsidRPr="00E81960">
        <w:rPr>
          <w:rFonts w:ascii="Arial" w:eastAsia="Times New Roman" w:hAnsi="Arial" w:cs="Arial"/>
          <w:color w:val="000000"/>
          <w:kern w:val="0"/>
          <w:sz w:val="22"/>
          <w:szCs w:val="22"/>
          <w:lang w:eastAsia="en-GB"/>
          <w14:ligatures w14:val="none"/>
        </w:rPr>
        <w:br/>
        <w:t>High initial design and implementation costs, coordination among stakeholders, environmental uncertainties, regulatory constraints.</w:t>
      </w:r>
    </w:p>
    <w:p w14:paraId="679E61F6" w14:textId="77777777" w:rsidR="0069413C" w:rsidRPr="00E81960" w:rsidRDefault="0069413C" w:rsidP="00E81960">
      <w:pPr>
        <w:spacing w:before="100" w:beforeAutospacing="1" w:after="100" w:afterAutospacing="1"/>
        <w:outlineLvl w:val="1"/>
        <w:rPr>
          <w:rFonts w:ascii="Arial" w:eastAsia="Times New Roman" w:hAnsi="Arial" w:cs="Arial"/>
          <w:b/>
          <w:bCs/>
          <w:color w:val="000000"/>
          <w:kern w:val="0"/>
          <w:sz w:val="22"/>
          <w:szCs w:val="22"/>
          <w:lang w:eastAsia="en-GB"/>
          <w14:ligatures w14:val="none"/>
        </w:rPr>
      </w:pPr>
      <w:bookmarkStart w:id="13" w:name="_Toc214733545"/>
      <w:r w:rsidRPr="00E81960">
        <w:rPr>
          <w:rFonts w:ascii="Arial" w:eastAsia="Times New Roman" w:hAnsi="Arial" w:cs="Arial"/>
          <w:b/>
          <w:bCs/>
          <w:color w:val="000000"/>
          <w:kern w:val="0"/>
          <w:sz w:val="22"/>
          <w:szCs w:val="22"/>
          <w:lang w:eastAsia="en-GB"/>
          <w14:ligatures w14:val="none"/>
        </w:rPr>
        <w:t>6. Gantt Chart</w:t>
      </w:r>
      <w:bookmarkEnd w:id="13"/>
    </w:p>
    <w:p w14:paraId="422116AC"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 Gantt Chart provides a visual timeline for project tasks, milestones and dependencies. It is widely recognised as a core scheduling tool in project management (Kerzner, 2021).</w:t>
      </w:r>
    </w:p>
    <w:p w14:paraId="0A6FAB70"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14" w:name="_Toc214733546"/>
      <w:r w:rsidRPr="00E81960">
        <w:rPr>
          <w:rFonts w:ascii="Arial" w:eastAsia="Times New Roman" w:hAnsi="Arial" w:cs="Arial"/>
          <w:b/>
          <w:bCs/>
          <w:color w:val="000000"/>
          <w:kern w:val="0"/>
          <w:sz w:val="22"/>
          <w:szCs w:val="22"/>
          <w:lang w:eastAsia="en-GB"/>
          <w14:ligatures w14:val="none"/>
        </w:rPr>
        <w:t>Figure 2: Gantt Chart</w:t>
      </w:r>
      <w:bookmarkEnd w:id="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6"/>
        <w:gridCol w:w="5019"/>
        <w:gridCol w:w="1811"/>
      </w:tblGrid>
      <w:tr w:rsidR="0069413C" w:rsidRPr="00E81960" w14:paraId="51FB2F08" w14:textId="77777777" w:rsidTr="0088642C">
        <w:trPr>
          <w:tblHeader/>
          <w:tblCellSpacing w:w="15" w:type="dxa"/>
        </w:trPr>
        <w:tc>
          <w:tcPr>
            <w:tcW w:w="0" w:type="auto"/>
            <w:vAlign w:val="center"/>
            <w:hideMark/>
          </w:tcPr>
          <w:p w14:paraId="7910B130"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Phase</w:t>
            </w:r>
          </w:p>
        </w:tc>
        <w:tc>
          <w:tcPr>
            <w:tcW w:w="0" w:type="auto"/>
            <w:vAlign w:val="center"/>
            <w:hideMark/>
          </w:tcPr>
          <w:p w14:paraId="106A85E9"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Tasks</w:t>
            </w:r>
          </w:p>
        </w:tc>
        <w:tc>
          <w:tcPr>
            <w:tcW w:w="0" w:type="auto"/>
            <w:vAlign w:val="center"/>
            <w:hideMark/>
          </w:tcPr>
          <w:p w14:paraId="619FFEB4"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Duration (Weeks)</w:t>
            </w:r>
          </w:p>
        </w:tc>
      </w:tr>
      <w:tr w:rsidR="0069413C" w:rsidRPr="00E81960" w14:paraId="6B2F753E" w14:textId="77777777" w:rsidTr="0088642C">
        <w:trPr>
          <w:tblCellSpacing w:w="15" w:type="dxa"/>
        </w:trPr>
        <w:tc>
          <w:tcPr>
            <w:tcW w:w="0" w:type="auto"/>
            <w:vAlign w:val="center"/>
            <w:hideMark/>
          </w:tcPr>
          <w:p w14:paraId="2C483879"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Initiation</w:t>
            </w:r>
          </w:p>
        </w:tc>
        <w:tc>
          <w:tcPr>
            <w:tcW w:w="0" w:type="auto"/>
            <w:vAlign w:val="center"/>
            <w:hideMark/>
          </w:tcPr>
          <w:p w14:paraId="69AB4961"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Objective definition, stakeholder identification, scoping</w:t>
            </w:r>
          </w:p>
        </w:tc>
        <w:tc>
          <w:tcPr>
            <w:tcW w:w="0" w:type="auto"/>
            <w:vAlign w:val="center"/>
            <w:hideMark/>
          </w:tcPr>
          <w:p w14:paraId="6B2AFCC1"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1–2</w:t>
            </w:r>
          </w:p>
        </w:tc>
      </w:tr>
      <w:tr w:rsidR="0069413C" w:rsidRPr="00E81960" w14:paraId="6B3AABFE" w14:textId="77777777" w:rsidTr="0088642C">
        <w:trPr>
          <w:tblCellSpacing w:w="15" w:type="dxa"/>
        </w:trPr>
        <w:tc>
          <w:tcPr>
            <w:tcW w:w="0" w:type="auto"/>
            <w:vAlign w:val="center"/>
            <w:hideMark/>
          </w:tcPr>
          <w:p w14:paraId="16B1B28D"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Research &amp; Analysis</w:t>
            </w:r>
          </w:p>
        </w:tc>
        <w:tc>
          <w:tcPr>
            <w:tcW w:w="0" w:type="auto"/>
            <w:vAlign w:val="center"/>
            <w:hideMark/>
          </w:tcPr>
          <w:p w14:paraId="3A1B9BC5"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Literature review, case study assessment</w:t>
            </w:r>
          </w:p>
        </w:tc>
        <w:tc>
          <w:tcPr>
            <w:tcW w:w="0" w:type="auto"/>
            <w:vAlign w:val="center"/>
            <w:hideMark/>
          </w:tcPr>
          <w:p w14:paraId="5033B885"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3–5</w:t>
            </w:r>
          </w:p>
        </w:tc>
      </w:tr>
      <w:tr w:rsidR="0069413C" w:rsidRPr="00E81960" w14:paraId="31E613A8" w14:textId="77777777" w:rsidTr="0088642C">
        <w:trPr>
          <w:tblCellSpacing w:w="15" w:type="dxa"/>
        </w:trPr>
        <w:tc>
          <w:tcPr>
            <w:tcW w:w="0" w:type="auto"/>
            <w:vAlign w:val="center"/>
            <w:hideMark/>
          </w:tcPr>
          <w:p w14:paraId="44E51BC5"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lastRenderedPageBreak/>
              <w:t>Concept Development</w:t>
            </w:r>
          </w:p>
        </w:tc>
        <w:tc>
          <w:tcPr>
            <w:tcW w:w="0" w:type="auto"/>
            <w:vAlign w:val="center"/>
            <w:hideMark/>
          </w:tcPr>
          <w:p w14:paraId="24672F02"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Concept design, sustainability integration</w:t>
            </w:r>
          </w:p>
        </w:tc>
        <w:tc>
          <w:tcPr>
            <w:tcW w:w="0" w:type="auto"/>
            <w:vAlign w:val="center"/>
            <w:hideMark/>
          </w:tcPr>
          <w:p w14:paraId="25831C6C"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6–8</w:t>
            </w:r>
          </w:p>
        </w:tc>
      </w:tr>
      <w:tr w:rsidR="0069413C" w:rsidRPr="00E81960" w14:paraId="644911A3" w14:textId="77777777" w:rsidTr="0088642C">
        <w:trPr>
          <w:tblCellSpacing w:w="15" w:type="dxa"/>
        </w:trPr>
        <w:tc>
          <w:tcPr>
            <w:tcW w:w="0" w:type="auto"/>
            <w:vAlign w:val="center"/>
            <w:hideMark/>
          </w:tcPr>
          <w:p w14:paraId="628CE540"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Planning</w:t>
            </w:r>
          </w:p>
        </w:tc>
        <w:tc>
          <w:tcPr>
            <w:tcW w:w="0" w:type="auto"/>
            <w:vAlign w:val="center"/>
            <w:hideMark/>
          </w:tcPr>
          <w:p w14:paraId="5243C48E"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Quad chart, Gantt chart, stakeholder mapping</w:t>
            </w:r>
          </w:p>
        </w:tc>
        <w:tc>
          <w:tcPr>
            <w:tcW w:w="0" w:type="auto"/>
            <w:vAlign w:val="center"/>
            <w:hideMark/>
          </w:tcPr>
          <w:p w14:paraId="0CD8628A"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9–10</w:t>
            </w:r>
          </w:p>
        </w:tc>
      </w:tr>
      <w:tr w:rsidR="0069413C" w:rsidRPr="00E81960" w14:paraId="5B5CD38A" w14:textId="77777777" w:rsidTr="0088642C">
        <w:trPr>
          <w:tblCellSpacing w:w="15" w:type="dxa"/>
        </w:trPr>
        <w:tc>
          <w:tcPr>
            <w:tcW w:w="0" w:type="auto"/>
            <w:vAlign w:val="center"/>
            <w:hideMark/>
          </w:tcPr>
          <w:p w14:paraId="62367B52"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Documentation</w:t>
            </w:r>
          </w:p>
        </w:tc>
        <w:tc>
          <w:tcPr>
            <w:tcW w:w="0" w:type="auto"/>
            <w:vAlign w:val="center"/>
            <w:hideMark/>
          </w:tcPr>
          <w:p w14:paraId="5F25E236"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Drafting PMP, revisions</w:t>
            </w:r>
          </w:p>
        </w:tc>
        <w:tc>
          <w:tcPr>
            <w:tcW w:w="0" w:type="auto"/>
            <w:vAlign w:val="center"/>
            <w:hideMark/>
          </w:tcPr>
          <w:p w14:paraId="4B642143"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11–12</w:t>
            </w:r>
          </w:p>
        </w:tc>
      </w:tr>
      <w:tr w:rsidR="0069413C" w:rsidRPr="00E81960" w14:paraId="6C288A18" w14:textId="77777777" w:rsidTr="0088642C">
        <w:trPr>
          <w:tblCellSpacing w:w="15" w:type="dxa"/>
        </w:trPr>
        <w:tc>
          <w:tcPr>
            <w:tcW w:w="0" w:type="auto"/>
            <w:vAlign w:val="center"/>
            <w:hideMark/>
          </w:tcPr>
          <w:p w14:paraId="132C4AEC"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Submission</w:t>
            </w:r>
          </w:p>
        </w:tc>
        <w:tc>
          <w:tcPr>
            <w:tcW w:w="0" w:type="auto"/>
            <w:vAlign w:val="center"/>
            <w:hideMark/>
          </w:tcPr>
          <w:p w14:paraId="254307E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Final checks and submission</w:t>
            </w:r>
          </w:p>
        </w:tc>
        <w:tc>
          <w:tcPr>
            <w:tcW w:w="0" w:type="auto"/>
            <w:vAlign w:val="center"/>
            <w:hideMark/>
          </w:tcPr>
          <w:p w14:paraId="17928C99"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13</w:t>
            </w:r>
          </w:p>
        </w:tc>
      </w:tr>
    </w:tbl>
    <w:p w14:paraId="6A46A39E" w14:textId="77777777" w:rsidR="0069413C" w:rsidRPr="00E81960" w:rsidRDefault="0069413C" w:rsidP="00E81960">
      <w:pPr>
        <w:spacing w:before="100" w:beforeAutospacing="1" w:after="100" w:afterAutospacing="1"/>
        <w:outlineLvl w:val="0"/>
        <w:rPr>
          <w:rFonts w:ascii="Arial" w:eastAsia="Times New Roman" w:hAnsi="Arial" w:cs="Arial"/>
          <w:b/>
          <w:bCs/>
          <w:color w:val="000000"/>
          <w:kern w:val="36"/>
          <w:sz w:val="22"/>
          <w:szCs w:val="22"/>
          <w:lang w:eastAsia="en-GB"/>
          <w14:ligatures w14:val="none"/>
        </w:rPr>
      </w:pPr>
      <w:bookmarkStart w:id="15" w:name="_Toc214733547"/>
      <w:r w:rsidRPr="00E81960">
        <w:rPr>
          <w:rFonts w:ascii="Arial" w:eastAsia="Times New Roman" w:hAnsi="Arial" w:cs="Arial"/>
          <w:b/>
          <w:bCs/>
          <w:color w:val="000000"/>
          <w:kern w:val="36"/>
          <w:sz w:val="22"/>
          <w:szCs w:val="22"/>
          <w:lang w:eastAsia="en-GB"/>
          <w14:ligatures w14:val="none"/>
        </w:rPr>
        <w:t>7. Stakeholder Involvement</w:t>
      </w:r>
      <w:bookmarkEnd w:id="15"/>
    </w:p>
    <w:p w14:paraId="32FFC9A1"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Stakeholder involvement is an essential component of successful project delivery, particularly within infrastructure and environmental resilience projects, where stakeholder interests, influence and expectations vary significantly (Freeman, 2010). Effective engagement enhances communication, reduces conflict, supports decision-making and aligns project outcomes with community and institutional needs (APM, 2022).</w:t>
      </w:r>
    </w:p>
    <w:p w14:paraId="19E6E82D"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16" w:name="_Toc214733548"/>
      <w:r w:rsidRPr="00E81960">
        <w:rPr>
          <w:rFonts w:ascii="Arial" w:eastAsia="Times New Roman" w:hAnsi="Arial" w:cs="Arial"/>
          <w:b/>
          <w:bCs/>
          <w:color w:val="000000"/>
          <w:kern w:val="0"/>
          <w:sz w:val="22"/>
          <w:szCs w:val="22"/>
          <w:lang w:eastAsia="en-GB"/>
          <w14:ligatures w14:val="none"/>
        </w:rPr>
        <w:t>7.1 Stakeholder Identification</w:t>
      </w:r>
      <w:bookmarkEnd w:id="16"/>
    </w:p>
    <w:p w14:paraId="4A65D326"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Key stakeholders for this project include:</w:t>
      </w:r>
    </w:p>
    <w:p w14:paraId="3F62399D" w14:textId="77777777" w:rsidR="0069413C" w:rsidRPr="00E81960" w:rsidRDefault="0069413C" w:rsidP="00E81960">
      <w:pPr>
        <w:numPr>
          <w:ilvl w:val="0"/>
          <w:numId w:val="9"/>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Local Government Authorities</w:t>
      </w:r>
      <w:r w:rsidRPr="00E81960">
        <w:rPr>
          <w:rFonts w:ascii="Arial" w:eastAsia="Times New Roman" w:hAnsi="Arial" w:cs="Arial"/>
          <w:color w:val="000000"/>
          <w:kern w:val="0"/>
          <w:sz w:val="22"/>
          <w:szCs w:val="22"/>
          <w:lang w:eastAsia="en-GB"/>
          <w14:ligatures w14:val="none"/>
        </w:rPr>
        <w:t>: responsible for urban planning, regulatory approvals and funding frameworks.</w:t>
      </w:r>
    </w:p>
    <w:p w14:paraId="36490996" w14:textId="77777777" w:rsidR="0069413C" w:rsidRPr="00E81960" w:rsidRDefault="0069413C" w:rsidP="00E81960">
      <w:pPr>
        <w:numPr>
          <w:ilvl w:val="0"/>
          <w:numId w:val="9"/>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Infrastructure and Engineering Departments</w:t>
      </w:r>
      <w:r w:rsidRPr="00E81960">
        <w:rPr>
          <w:rFonts w:ascii="Arial" w:eastAsia="Times New Roman" w:hAnsi="Arial" w:cs="Arial"/>
          <w:color w:val="000000"/>
          <w:kern w:val="0"/>
          <w:sz w:val="22"/>
          <w:szCs w:val="22"/>
          <w:lang w:eastAsia="en-GB"/>
          <w14:ligatures w14:val="none"/>
        </w:rPr>
        <w:t>: provide technical expertise and oversight.</w:t>
      </w:r>
    </w:p>
    <w:p w14:paraId="2B019942" w14:textId="77777777" w:rsidR="0069413C" w:rsidRPr="00E81960" w:rsidRDefault="0069413C" w:rsidP="00E81960">
      <w:pPr>
        <w:numPr>
          <w:ilvl w:val="0"/>
          <w:numId w:val="9"/>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Environmental Agencies</w:t>
      </w:r>
      <w:r w:rsidRPr="00E81960">
        <w:rPr>
          <w:rFonts w:ascii="Arial" w:eastAsia="Times New Roman" w:hAnsi="Arial" w:cs="Arial"/>
          <w:color w:val="000000"/>
          <w:kern w:val="0"/>
          <w:sz w:val="22"/>
          <w:szCs w:val="22"/>
          <w:lang w:eastAsia="en-GB"/>
          <w14:ligatures w14:val="none"/>
        </w:rPr>
        <w:t>: ensure that sustainability and environmental protection standards are met.</w:t>
      </w:r>
    </w:p>
    <w:p w14:paraId="776143AD" w14:textId="77777777" w:rsidR="0069413C" w:rsidRPr="00E81960" w:rsidRDefault="0069413C" w:rsidP="00E81960">
      <w:pPr>
        <w:numPr>
          <w:ilvl w:val="0"/>
          <w:numId w:val="9"/>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Local Communities and Residents</w:t>
      </w:r>
      <w:r w:rsidRPr="00E81960">
        <w:rPr>
          <w:rFonts w:ascii="Arial" w:eastAsia="Times New Roman" w:hAnsi="Arial" w:cs="Arial"/>
          <w:color w:val="000000"/>
          <w:kern w:val="0"/>
          <w:sz w:val="22"/>
          <w:szCs w:val="22"/>
          <w:lang w:eastAsia="en-GB"/>
          <w14:ligatures w14:val="none"/>
        </w:rPr>
        <w:t>: directly affected by flooding and reliant on infrastructure improvements.</w:t>
      </w:r>
    </w:p>
    <w:p w14:paraId="696E47B8" w14:textId="77777777" w:rsidR="0069413C" w:rsidRPr="00E81960" w:rsidRDefault="0069413C" w:rsidP="00E81960">
      <w:pPr>
        <w:numPr>
          <w:ilvl w:val="0"/>
          <w:numId w:val="9"/>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Emergency Services</w:t>
      </w:r>
      <w:r w:rsidRPr="00E81960">
        <w:rPr>
          <w:rFonts w:ascii="Arial" w:eastAsia="Times New Roman" w:hAnsi="Arial" w:cs="Arial"/>
          <w:color w:val="000000"/>
          <w:kern w:val="0"/>
          <w:sz w:val="22"/>
          <w:szCs w:val="22"/>
          <w:lang w:eastAsia="en-GB"/>
          <w14:ligatures w14:val="none"/>
        </w:rPr>
        <w:t>: responsible for crisis response and risk mitigation.</w:t>
      </w:r>
    </w:p>
    <w:p w14:paraId="46C2520F" w14:textId="77777777" w:rsidR="0069413C" w:rsidRPr="00E81960" w:rsidRDefault="0069413C" w:rsidP="00E81960">
      <w:pPr>
        <w:numPr>
          <w:ilvl w:val="0"/>
          <w:numId w:val="9"/>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Construction and Civil Engineering Firms</w:t>
      </w:r>
      <w:r w:rsidRPr="00E81960">
        <w:rPr>
          <w:rFonts w:ascii="Arial" w:eastAsia="Times New Roman" w:hAnsi="Arial" w:cs="Arial"/>
          <w:color w:val="000000"/>
          <w:kern w:val="0"/>
          <w:sz w:val="22"/>
          <w:szCs w:val="22"/>
          <w:lang w:eastAsia="en-GB"/>
          <w14:ligatures w14:val="none"/>
        </w:rPr>
        <w:t>: potential future implementers of the proposed concept.</w:t>
      </w:r>
    </w:p>
    <w:p w14:paraId="27D2D8BA" w14:textId="77777777" w:rsidR="0069413C" w:rsidRPr="00E81960" w:rsidRDefault="0069413C" w:rsidP="00E81960">
      <w:pPr>
        <w:numPr>
          <w:ilvl w:val="0"/>
          <w:numId w:val="9"/>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Academic and Research Institutions</w:t>
      </w:r>
      <w:r w:rsidRPr="00E81960">
        <w:rPr>
          <w:rFonts w:ascii="Arial" w:eastAsia="Times New Roman" w:hAnsi="Arial" w:cs="Arial"/>
          <w:color w:val="000000"/>
          <w:kern w:val="0"/>
          <w:sz w:val="22"/>
          <w:szCs w:val="22"/>
          <w:lang w:eastAsia="en-GB"/>
          <w14:ligatures w14:val="none"/>
        </w:rPr>
        <w:t>: provide data analysis and scientific guidance.</w:t>
      </w:r>
    </w:p>
    <w:p w14:paraId="5ED111CA"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17" w:name="_Toc214733549"/>
      <w:r w:rsidRPr="00E81960">
        <w:rPr>
          <w:rFonts w:ascii="Arial" w:eastAsia="Times New Roman" w:hAnsi="Arial" w:cs="Arial"/>
          <w:b/>
          <w:bCs/>
          <w:color w:val="000000"/>
          <w:kern w:val="0"/>
          <w:sz w:val="22"/>
          <w:szCs w:val="22"/>
          <w:lang w:eastAsia="en-GB"/>
          <w14:ligatures w14:val="none"/>
        </w:rPr>
        <w:t>7.2 Stakeholder Mapping</w:t>
      </w:r>
      <w:bookmarkEnd w:id="17"/>
    </w:p>
    <w:p w14:paraId="15A45165"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lastRenderedPageBreak/>
        <w:t>Stakeholder mapping enables evaluation of each stakeholder’s level of power and interest, facilitating tailored communication strategies (Bryson, 2018). Table 2 presents the stakeholder power-interest matrix referenced in the analysis.</w:t>
      </w:r>
    </w:p>
    <w:p w14:paraId="5BD34F74"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18" w:name="_Toc214733550"/>
      <w:r w:rsidRPr="00E81960">
        <w:rPr>
          <w:rFonts w:ascii="Arial" w:eastAsia="Times New Roman" w:hAnsi="Arial" w:cs="Arial"/>
          <w:b/>
          <w:bCs/>
          <w:color w:val="000000"/>
          <w:kern w:val="0"/>
          <w:sz w:val="22"/>
          <w:szCs w:val="22"/>
          <w:lang w:eastAsia="en-GB"/>
          <w14:ligatures w14:val="none"/>
        </w:rPr>
        <w:t>Table 2: Stakeholder Power–Interest Matrix</w:t>
      </w:r>
      <w:bookmarkEnd w:id="1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4"/>
        <w:gridCol w:w="843"/>
        <w:gridCol w:w="855"/>
        <w:gridCol w:w="2362"/>
      </w:tblGrid>
      <w:tr w:rsidR="0069413C" w:rsidRPr="00E81960" w14:paraId="79019FF8" w14:textId="77777777" w:rsidTr="0088642C">
        <w:trPr>
          <w:tblHeader/>
          <w:tblCellSpacing w:w="15" w:type="dxa"/>
        </w:trPr>
        <w:tc>
          <w:tcPr>
            <w:tcW w:w="0" w:type="auto"/>
            <w:vAlign w:val="center"/>
            <w:hideMark/>
          </w:tcPr>
          <w:p w14:paraId="549C0515"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Stakeholder Group</w:t>
            </w:r>
          </w:p>
        </w:tc>
        <w:tc>
          <w:tcPr>
            <w:tcW w:w="0" w:type="auto"/>
            <w:vAlign w:val="center"/>
            <w:hideMark/>
          </w:tcPr>
          <w:p w14:paraId="007BDEB5"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Power</w:t>
            </w:r>
          </w:p>
        </w:tc>
        <w:tc>
          <w:tcPr>
            <w:tcW w:w="0" w:type="auto"/>
            <w:vAlign w:val="center"/>
            <w:hideMark/>
          </w:tcPr>
          <w:p w14:paraId="2B1B84B2"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Interest</w:t>
            </w:r>
          </w:p>
        </w:tc>
        <w:tc>
          <w:tcPr>
            <w:tcW w:w="0" w:type="auto"/>
            <w:vAlign w:val="center"/>
            <w:hideMark/>
          </w:tcPr>
          <w:p w14:paraId="59BE6A52"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Management Strategy</w:t>
            </w:r>
          </w:p>
        </w:tc>
      </w:tr>
      <w:tr w:rsidR="0069413C" w:rsidRPr="00E81960" w14:paraId="30795FF0" w14:textId="77777777" w:rsidTr="0088642C">
        <w:trPr>
          <w:tblCellSpacing w:w="15" w:type="dxa"/>
        </w:trPr>
        <w:tc>
          <w:tcPr>
            <w:tcW w:w="0" w:type="auto"/>
            <w:vAlign w:val="center"/>
            <w:hideMark/>
          </w:tcPr>
          <w:p w14:paraId="4E62DCE3"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Local Government Authorities</w:t>
            </w:r>
          </w:p>
        </w:tc>
        <w:tc>
          <w:tcPr>
            <w:tcW w:w="0" w:type="auto"/>
            <w:vAlign w:val="center"/>
            <w:hideMark/>
          </w:tcPr>
          <w:p w14:paraId="41C0CA9B"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High</w:t>
            </w:r>
          </w:p>
        </w:tc>
        <w:tc>
          <w:tcPr>
            <w:tcW w:w="0" w:type="auto"/>
            <w:vAlign w:val="center"/>
            <w:hideMark/>
          </w:tcPr>
          <w:p w14:paraId="1C29637E"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High</w:t>
            </w:r>
          </w:p>
        </w:tc>
        <w:tc>
          <w:tcPr>
            <w:tcW w:w="0" w:type="auto"/>
            <w:vAlign w:val="center"/>
            <w:hideMark/>
          </w:tcPr>
          <w:p w14:paraId="7ADAA1AD"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Manage closely</w:t>
            </w:r>
          </w:p>
        </w:tc>
      </w:tr>
      <w:tr w:rsidR="0069413C" w:rsidRPr="00E81960" w14:paraId="1B8D66AC" w14:textId="77777777" w:rsidTr="0088642C">
        <w:trPr>
          <w:tblCellSpacing w:w="15" w:type="dxa"/>
        </w:trPr>
        <w:tc>
          <w:tcPr>
            <w:tcW w:w="0" w:type="auto"/>
            <w:vAlign w:val="center"/>
            <w:hideMark/>
          </w:tcPr>
          <w:p w14:paraId="3B6237DB"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Engineering Departments</w:t>
            </w:r>
          </w:p>
        </w:tc>
        <w:tc>
          <w:tcPr>
            <w:tcW w:w="0" w:type="auto"/>
            <w:vAlign w:val="center"/>
            <w:hideMark/>
          </w:tcPr>
          <w:p w14:paraId="420592D7"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High</w:t>
            </w:r>
          </w:p>
        </w:tc>
        <w:tc>
          <w:tcPr>
            <w:tcW w:w="0" w:type="auto"/>
            <w:vAlign w:val="center"/>
            <w:hideMark/>
          </w:tcPr>
          <w:p w14:paraId="6ADF2A7A"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0E6D8B80"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Keep satisfied</w:t>
            </w:r>
          </w:p>
        </w:tc>
      </w:tr>
      <w:tr w:rsidR="0069413C" w:rsidRPr="00E81960" w14:paraId="14BE316B" w14:textId="77777777" w:rsidTr="0088642C">
        <w:trPr>
          <w:tblCellSpacing w:w="15" w:type="dxa"/>
        </w:trPr>
        <w:tc>
          <w:tcPr>
            <w:tcW w:w="0" w:type="auto"/>
            <w:vAlign w:val="center"/>
            <w:hideMark/>
          </w:tcPr>
          <w:p w14:paraId="1AA89EAA"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Environmental Agencies</w:t>
            </w:r>
          </w:p>
        </w:tc>
        <w:tc>
          <w:tcPr>
            <w:tcW w:w="0" w:type="auto"/>
            <w:vAlign w:val="center"/>
            <w:hideMark/>
          </w:tcPr>
          <w:p w14:paraId="51DBB2DA"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74693FE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High</w:t>
            </w:r>
          </w:p>
        </w:tc>
        <w:tc>
          <w:tcPr>
            <w:tcW w:w="0" w:type="auto"/>
            <w:vAlign w:val="center"/>
            <w:hideMark/>
          </w:tcPr>
          <w:p w14:paraId="04C500D9"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Involve actively</w:t>
            </w:r>
          </w:p>
        </w:tc>
      </w:tr>
      <w:tr w:rsidR="0069413C" w:rsidRPr="00E81960" w14:paraId="12C20EC0" w14:textId="77777777" w:rsidTr="0088642C">
        <w:trPr>
          <w:tblCellSpacing w:w="15" w:type="dxa"/>
        </w:trPr>
        <w:tc>
          <w:tcPr>
            <w:tcW w:w="0" w:type="auto"/>
            <w:vAlign w:val="center"/>
            <w:hideMark/>
          </w:tcPr>
          <w:p w14:paraId="5F7A8C4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Local Communities</w:t>
            </w:r>
          </w:p>
        </w:tc>
        <w:tc>
          <w:tcPr>
            <w:tcW w:w="0" w:type="auto"/>
            <w:vAlign w:val="center"/>
            <w:hideMark/>
          </w:tcPr>
          <w:p w14:paraId="7B6407F5"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Low</w:t>
            </w:r>
          </w:p>
        </w:tc>
        <w:tc>
          <w:tcPr>
            <w:tcW w:w="0" w:type="auto"/>
            <w:vAlign w:val="center"/>
            <w:hideMark/>
          </w:tcPr>
          <w:p w14:paraId="47923A7D"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High</w:t>
            </w:r>
          </w:p>
        </w:tc>
        <w:tc>
          <w:tcPr>
            <w:tcW w:w="0" w:type="auto"/>
            <w:vAlign w:val="center"/>
            <w:hideMark/>
          </w:tcPr>
          <w:p w14:paraId="4FDAAA3F"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Keep informed</w:t>
            </w:r>
          </w:p>
        </w:tc>
      </w:tr>
      <w:tr w:rsidR="0069413C" w:rsidRPr="00E81960" w14:paraId="3F8F63AD" w14:textId="77777777" w:rsidTr="0088642C">
        <w:trPr>
          <w:tblCellSpacing w:w="15" w:type="dxa"/>
        </w:trPr>
        <w:tc>
          <w:tcPr>
            <w:tcW w:w="0" w:type="auto"/>
            <w:vAlign w:val="center"/>
            <w:hideMark/>
          </w:tcPr>
          <w:p w14:paraId="39BCA9C0"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Emergency Services</w:t>
            </w:r>
          </w:p>
        </w:tc>
        <w:tc>
          <w:tcPr>
            <w:tcW w:w="0" w:type="auto"/>
            <w:vAlign w:val="center"/>
            <w:hideMark/>
          </w:tcPr>
          <w:p w14:paraId="15C907F7"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5C4340B5"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1B163F8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Consult regularly</w:t>
            </w:r>
          </w:p>
        </w:tc>
      </w:tr>
      <w:tr w:rsidR="0069413C" w:rsidRPr="00E81960" w14:paraId="556FDE55" w14:textId="77777777" w:rsidTr="0088642C">
        <w:trPr>
          <w:tblCellSpacing w:w="15" w:type="dxa"/>
        </w:trPr>
        <w:tc>
          <w:tcPr>
            <w:tcW w:w="0" w:type="auto"/>
            <w:vAlign w:val="center"/>
            <w:hideMark/>
          </w:tcPr>
          <w:p w14:paraId="7AEFAA9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Construction Firms</w:t>
            </w:r>
          </w:p>
        </w:tc>
        <w:tc>
          <w:tcPr>
            <w:tcW w:w="0" w:type="auto"/>
            <w:vAlign w:val="center"/>
            <w:hideMark/>
          </w:tcPr>
          <w:p w14:paraId="576FDB96"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Low</w:t>
            </w:r>
          </w:p>
        </w:tc>
        <w:tc>
          <w:tcPr>
            <w:tcW w:w="0" w:type="auto"/>
            <w:vAlign w:val="center"/>
            <w:hideMark/>
          </w:tcPr>
          <w:p w14:paraId="7947F20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Low</w:t>
            </w:r>
          </w:p>
        </w:tc>
        <w:tc>
          <w:tcPr>
            <w:tcW w:w="0" w:type="auto"/>
            <w:vAlign w:val="center"/>
            <w:hideMark/>
          </w:tcPr>
          <w:p w14:paraId="581C6C3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Monitor</w:t>
            </w:r>
          </w:p>
        </w:tc>
      </w:tr>
    </w:tbl>
    <w:p w14:paraId="3FB13BBF" w14:textId="77777777" w:rsidR="0069413C" w:rsidRPr="00E81960" w:rsidRDefault="0069413C" w:rsidP="00E81960">
      <w:pPr>
        <w:rPr>
          <w:rFonts w:ascii="Arial" w:eastAsia="Times New Roman" w:hAnsi="Arial" w:cs="Arial"/>
          <w:kern w:val="0"/>
          <w:sz w:val="22"/>
          <w:szCs w:val="22"/>
          <w:lang w:eastAsia="en-GB"/>
          <w14:ligatures w14:val="none"/>
        </w:rPr>
      </w:pPr>
    </w:p>
    <w:p w14:paraId="0D4DD233"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19" w:name="_Toc214733551"/>
      <w:r w:rsidRPr="00E81960">
        <w:rPr>
          <w:rFonts w:ascii="Arial" w:eastAsia="Times New Roman" w:hAnsi="Arial" w:cs="Arial"/>
          <w:b/>
          <w:bCs/>
          <w:color w:val="000000"/>
          <w:kern w:val="0"/>
          <w:sz w:val="22"/>
          <w:szCs w:val="22"/>
          <w:lang w:eastAsia="en-GB"/>
          <w14:ligatures w14:val="none"/>
        </w:rPr>
        <w:t>7.3 Engagement Strategy</w:t>
      </w:r>
      <w:bookmarkEnd w:id="19"/>
    </w:p>
    <w:p w14:paraId="7D85B0C3"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engagement strategy follows APM’s communication guidelines and ensures that information is disseminated clearly, consistently and proportionally (APM, 2022):</w:t>
      </w:r>
    </w:p>
    <w:p w14:paraId="0CDB1890" w14:textId="77777777" w:rsidR="0069413C" w:rsidRPr="00E81960" w:rsidRDefault="0069413C" w:rsidP="00E81960">
      <w:pPr>
        <w:numPr>
          <w:ilvl w:val="0"/>
          <w:numId w:val="10"/>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High-Power / High-Interest Stakeholders</w:t>
      </w:r>
      <w:r w:rsidRPr="00E81960">
        <w:rPr>
          <w:rFonts w:ascii="Arial" w:eastAsia="Times New Roman" w:hAnsi="Arial" w:cs="Arial"/>
          <w:color w:val="000000"/>
          <w:kern w:val="0"/>
          <w:sz w:val="22"/>
          <w:szCs w:val="22"/>
          <w:lang w:eastAsia="en-GB"/>
          <w14:ligatures w14:val="none"/>
        </w:rPr>
        <w:br/>
        <w:t>Regular consultation meetings, detailed briefings and active contribution to design decisions.</w:t>
      </w:r>
    </w:p>
    <w:p w14:paraId="4C49F932" w14:textId="77777777" w:rsidR="0069413C" w:rsidRPr="00E81960" w:rsidRDefault="0069413C" w:rsidP="00E81960">
      <w:pPr>
        <w:numPr>
          <w:ilvl w:val="0"/>
          <w:numId w:val="10"/>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High-Power / Low-Interest Stakeholders</w:t>
      </w:r>
      <w:r w:rsidRPr="00E81960">
        <w:rPr>
          <w:rFonts w:ascii="Arial" w:eastAsia="Times New Roman" w:hAnsi="Arial" w:cs="Arial"/>
          <w:color w:val="000000"/>
          <w:kern w:val="0"/>
          <w:sz w:val="22"/>
          <w:szCs w:val="22"/>
          <w:lang w:eastAsia="en-GB"/>
          <w14:ligatures w14:val="none"/>
        </w:rPr>
        <w:br/>
        <w:t>Summary updates, regulatory alignment checks and formal approvals.</w:t>
      </w:r>
    </w:p>
    <w:p w14:paraId="4CE9C56F" w14:textId="77777777" w:rsidR="0069413C" w:rsidRPr="00E81960" w:rsidRDefault="0069413C" w:rsidP="00E81960">
      <w:pPr>
        <w:numPr>
          <w:ilvl w:val="0"/>
          <w:numId w:val="10"/>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Low-Power / High-Interest Stakeholders</w:t>
      </w:r>
      <w:r w:rsidRPr="00E81960">
        <w:rPr>
          <w:rFonts w:ascii="Arial" w:eastAsia="Times New Roman" w:hAnsi="Arial" w:cs="Arial"/>
          <w:color w:val="000000"/>
          <w:kern w:val="0"/>
          <w:sz w:val="22"/>
          <w:szCs w:val="22"/>
          <w:lang w:eastAsia="en-GB"/>
          <w14:ligatures w14:val="none"/>
        </w:rPr>
        <w:br/>
        <w:t>Public information releases, community workshops and access to non-technical summaries.</w:t>
      </w:r>
    </w:p>
    <w:p w14:paraId="3F481E19" w14:textId="77777777" w:rsidR="0069413C" w:rsidRPr="00E81960" w:rsidRDefault="0069413C" w:rsidP="00E81960">
      <w:pPr>
        <w:spacing w:before="100" w:beforeAutospacing="1" w:after="100" w:afterAutospacing="1"/>
        <w:outlineLvl w:val="0"/>
        <w:rPr>
          <w:rFonts w:ascii="Arial" w:eastAsia="Times New Roman" w:hAnsi="Arial" w:cs="Arial"/>
          <w:b/>
          <w:bCs/>
          <w:color w:val="000000"/>
          <w:kern w:val="36"/>
          <w:sz w:val="22"/>
          <w:szCs w:val="22"/>
          <w:lang w:eastAsia="en-GB"/>
          <w14:ligatures w14:val="none"/>
        </w:rPr>
      </w:pPr>
      <w:bookmarkStart w:id="20" w:name="_Toc214733552"/>
      <w:r w:rsidRPr="00E81960">
        <w:rPr>
          <w:rFonts w:ascii="Arial" w:eastAsia="Times New Roman" w:hAnsi="Arial" w:cs="Arial"/>
          <w:b/>
          <w:bCs/>
          <w:color w:val="000000"/>
          <w:kern w:val="36"/>
          <w:sz w:val="22"/>
          <w:szCs w:val="22"/>
          <w:lang w:eastAsia="en-GB"/>
          <w14:ligatures w14:val="none"/>
        </w:rPr>
        <w:t>8. Resource Allocation</w:t>
      </w:r>
      <w:bookmarkEnd w:id="20"/>
    </w:p>
    <w:p w14:paraId="4CB778B4"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Efficient resource allocation ensures that all project activities are supported by appropriate human, financial and informational resources. According to Kerzner (2021), resource planning enhances productivity, reduces delays and supports quality performance.</w:t>
      </w:r>
    </w:p>
    <w:p w14:paraId="359E6024"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21" w:name="_Toc214733553"/>
      <w:r w:rsidRPr="00E81960">
        <w:rPr>
          <w:rFonts w:ascii="Arial" w:eastAsia="Times New Roman" w:hAnsi="Arial" w:cs="Arial"/>
          <w:b/>
          <w:bCs/>
          <w:color w:val="000000"/>
          <w:kern w:val="0"/>
          <w:sz w:val="22"/>
          <w:szCs w:val="22"/>
          <w:lang w:eastAsia="en-GB"/>
          <w14:ligatures w14:val="none"/>
        </w:rPr>
        <w:t>8.1 Human Resources</w:t>
      </w:r>
      <w:bookmarkEnd w:id="21"/>
    </w:p>
    <w:p w14:paraId="17DB1B40"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project requires interdisciplinary expertise, including:</w:t>
      </w:r>
    </w:p>
    <w:p w14:paraId="4BB11561" w14:textId="77777777" w:rsidR="0069413C" w:rsidRPr="00E81960" w:rsidRDefault="0069413C" w:rsidP="00E81960">
      <w:pPr>
        <w:numPr>
          <w:ilvl w:val="0"/>
          <w:numId w:val="1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lastRenderedPageBreak/>
        <w:t>Project manager: oversight and coordination</w:t>
      </w:r>
    </w:p>
    <w:p w14:paraId="638E0DBE" w14:textId="77777777" w:rsidR="0069413C" w:rsidRPr="00E81960" w:rsidRDefault="0069413C" w:rsidP="00E81960">
      <w:pPr>
        <w:numPr>
          <w:ilvl w:val="0"/>
          <w:numId w:val="1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Environmental analysts: sustainability review</w:t>
      </w:r>
    </w:p>
    <w:p w14:paraId="5BB21441" w14:textId="77777777" w:rsidR="0069413C" w:rsidRPr="00E81960" w:rsidRDefault="0069413C" w:rsidP="00E81960">
      <w:pPr>
        <w:numPr>
          <w:ilvl w:val="0"/>
          <w:numId w:val="1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Civil engineers: conceptual design and risk assessment</w:t>
      </w:r>
    </w:p>
    <w:p w14:paraId="59BFE079" w14:textId="77777777" w:rsidR="0069413C" w:rsidRPr="00E81960" w:rsidRDefault="0069413C" w:rsidP="00E81960">
      <w:pPr>
        <w:numPr>
          <w:ilvl w:val="0"/>
          <w:numId w:val="1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Research analysts: literature review and data interpretation</w:t>
      </w:r>
    </w:p>
    <w:p w14:paraId="31135A26" w14:textId="77777777" w:rsidR="0069413C" w:rsidRPr="00E81960" w:rsidRDefault="0069413C" w:rsidP="00E81960">
      <w:pPr>
        <w:numPr>
          <w:ilvl w:val="0"/>
          <w:numId w:val="11"/>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Stakeholder liaison officers: communication and engagement</w:t>
      </w:r>
    </w:p>
    <w:p w14:paraId="4E7635A0"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Human resources are allocated according to the Work Breakdown Structure phases to avoid task overlap and ensure efficient workflow.</w:t>
      </w:r>
    </w:p>
    <w:p w14:paraId="27F42274"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22" w:name="_Toc214733554"/>
      <w:r w:rsidRPr="00E81960">
        <w:rPr>
          <w:rFonts w:ascii="Arial" w:eastAsia="Times New Roman" w:hAnsi="Arial" w:cs="Arial"/>
          <w:b/>
          <w:bCs/>
          <w:color w:val="000000"/>
          <w:kern w:val="0"/>
          <w:sz w:val="22"/>
          <w:szCs w:val="22"/>
          <w:lang w:eastAsia="en-GB"/>
          <w14:ligatures w14:val="none"/>
        </w:rPr>
        <w:t>8.2 Financial Resources</w:t>
      </w:r>
      <w:bookmarkEnd w:id="22"/>
    </w:p>
    <w:p w14:paraId="5BDA821F"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Although the project does not include physical construction, financial resources are assumed for:</w:t>
      </w:r>
    </w:p>
    <w:p w14:paraId="68BED220" w14:textId="77777777" w:rsidR="0069413C" w:rsidRPr="00E81960" w:rsidRDefault="0069413C" w:rsidP="00E81960">
      <w:pPr>
        <w:numPr>
          <w:ilvl w:val="0"/>
          <w:numId w:val="12"/>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Data access and analysis</w:t>
      </w:r>
    </w:p>
    <w:p w14:paraId="7B9000EB" w14:textId="77777777" w:rsidR="0069413C" w:rsidRPr="00E81960" w:rsidRDefault="0069413C" w:rsidP="00E81960">
      <w:pPr>
        <w:numPr>
          <w:ilvl w:val="0"/>
          <w:numId w:val="12"/>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Software tools for design modelling (e.g., CAD, GIS)</w:t>
      </w:r>
    </w:p>
    <w:p w14:paraId="5E803BC5" w14:textId="77777777" w:rsidR="0069413C" w:rsidRPr="00E81960" w:rsidRDefault="0069413C" w:rsidP="00E81960">
      <w:pPr>
        <w:numPr>
          <w:ilvl w:val="0"/>
          <w:numId w:val="12"/>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Academic materials and research databases</w:t>
      </w:r>
    </w:p>
    <w:p w14:paraId="7881CCE7" w14:textId="77777777" w:rsidR="0069413C" w:rsidRPr="00E81960" w:rsidRDefault="0069413C" w:rsidP="00E81960">
      <w:pPr>
        <w:numPr>
          <w:ilvl w:val="0"/>
          <w:numId w:val="12"/>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Administrative costs for stakeholder consultations</w:t>
      </w:r>
    </w:p>
    <w:p w14:paraId="269EC00B"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Budget control aligns with best practice cost-management frameworks (Lock, 2020).</w:t>
      </w:r>
    </w:p>
    <w:p w14:paraId="333A1EDE"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23" w:name="_Toc214733555"/>
      <w:r w:rsidRPr="00E81960">
        <w:rPr>
          <w:rFonts w:ascii="Arial" w:eastAsia="Times New Roman" w:hAnsi="Arial" w:cs="Arial"/>
          <w:b/>
          <w:bCs/>
          <w:color w:val="000000"/>
          <w:kern w:val="0"/>
          <w:sz w:val="22"/>
          <w:szCs w:val="22"/>
          <w:lang w:eastAsia="en-GB"/>
          <w14:ligatures w14:val="none"/>
        </w:rPr>
        <w:t>8.3 Informational and Material Resources</w:t>
      </w:r>
      <w:bookmarkEnd w:id="23"/>
    </w:p>
    <w:p w14:paraId="57BEFF51"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Key resources include:</w:t>
      </w:r>
    </w:p>
    <w:p w14:paraId="5555AA01" w14:textId="77777777" w:rsidR="0069413C" w:rsidRPr="00E81960" w:rsidRDefault="0069413C" w:rsidP="00E81960">
      <w:pPr>
        <w:numPr>
          <w:ilvl w:val="0"/>
          <w:numId w:val="1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Academic literature</w:t>
      </w:r>
    </w:p>
    <w:p w14:paraId="5267D190" w14:textId="77777777" w:rsidR="0069413C" w:rsidRPr="00E81960" w:rsidRDefault="0069413C" w:rsidP="00E81960">
      <w:pPr>
        <w:numPr>
          <w:ilvl w:val="0"/>
          <w:numId w:val="1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Engineering standards and regulatory documents</w:t>
      </w:r>
    </w:p>
    <w:p w14:paraId="73DF5C0C" w14:textId="77777777" w:rsidR="0069413C" w:rsidRPr="00E81960" w:rsidRDefault="0069413C" w:rsidP="00E81960">
      <w:pPr>
        <w:numPr>
          <w:ilvl w:val="0"/>
          <w:numId w:val="1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Flood risk datasets</w:t>
      </w:r>
    </w:p>
    <w:p w14:paraId="5ADB3749" w14:textId="77777777" w:rsidR="0069413C" w:rsidRPr="00E81960" w:rsidRDefault="0069413C" w:rsidP="00E81960">
      <w:pPr>
        <w:numPr>
          <w:ilvl w:val="0"/>
          <w:numId w:val="1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Sustainable construction guidelines</w:t>
      </w:r>
    </w:p>
    <w:p w14:paraId="26E4E056" w14:textId="77777777" w:rsidR="0069413C" w:rsidRPr="00E81960" w:rsidRDefault="0069413C" w:rsidP="00E81960">
      <w:pPr>
        <w:numPr>
          <w:ilvl w:val="0"/>
          <w:numId w:val="13"/>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Digital tools for schedule and diagram production (Gantt, WBS, Quad Chart)</w:t>
      </w:r>
    </w:p>
    <w:p w14:paraId="357EFD8A"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These resources collectively support rigorous analysis and high-quality documentation.</w:t>
      </w:r>
    </w:p>
    <w:p w14:paraId="63D156BF" w14:textId="77777777" w:rsidR="0069413C" w:rsidRPr="00E81960" w:rsidRDefault="0069413C" w:rsidP="00E81960">
      <w:pPr>
        <w:spacing w:before="100" w:beforeAutospacing="1" w:after="100" w:afterAutospacing="1"/>
        <w:outlineLvl w:val="0"/>
        <w:rPr>
          <w:rFonts w:ascii="Arial" w:eastAsia="Times New Roman" w:hAnsi="Arial" w:cs="Arial"/>
          <w:b/>
          <w:bCs/>
          <w:color w:val="000000"/>
          <w:kern w:val="36"/>
          <w:sz w:val="22"/>
          <w:szCs w:val="22"/>
          <w:lang w:eastAsia="en-GB"/>
          <w14:ligatures w14:val="none"/>
        </w:rPr>
      </w:pPr>
      <w:bookmarkStart w:id="24" w:name="_Toc214733556"/>
      <w:r w:rsidRPr="00E81960">
        <w:rPr>
          <w:rFonts w:ascii="Arial" w:eastAsia="Times New Roman" w:hAnsi="Arial" w:cs="Arial"/>
          <w:b/>
          <w:bCs/>
          <w:color w:val="000000"/>
          <w:kern w:val="36"/>
          <w:sz w:val="22"/>
          <w:szCs w:val="22"/>
          <w:lang w:eastAsia="en-GB"/>
          <w14:ligatures w14:val="none"/>
        </w:rPr>
        <w:t>9. Risk Analysis</w:t>
      </w:r>
      <w:bookmarkEnd w:id="24"/>
    </w:p>
    <w:p w14:paraId="70F9BF64"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Risk analysis is fundamental in infrastructure resilience projects, where uncertainty and environmental fluctuations present significant challenges. A structured approach supports early identification, prevention and mitigation of adverse impacts (Hillson, 2017).</w:t>
      </w:r>
    </w:p>
    <w:p w14:paraId="38304FA5"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25" w:name="_Toc214733557"/>
      <w:r w:rsidRPr="00E81960">
        <w:rPr>
          <w:rFonts w:ascii="Arial" w:eastAsia="Times New Roman" w:hAnsi="Arial" w:cs="Arial"/>
          <w:b/>
          <w:bCs/>
          <w:color w:val="000000"/>
          <w:kern w:val="0"/>
          <w:sz w:val="22"/>
          <w:szCs w:val="22"/>
          <w:lang w:eastAsia="en-GB"/>
          <w14:ligatures w14:val="none"/>
        </w:rPr>
        <w:t>9.1 Risk Identification</w:t>
      </w:r>
      <w:bookmarkEnd w:id="25"/>
    </w:p>
    <w:p w14:paraId="306C5192"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lastRenderedPageBreak/>
        <w:t>Core project risks include:</w:t>
      </w:r>
    </w:p>
    <w:p w14:paraId="468225B5" w14:textId="77777777" w:rsidR="0069413C" w:rsidRPr="00E81960" w:rsidRDefault="0069413C" w:rsidP="00E81960">
      <w:pPr>
        <w:numPr>
          <w:ilvl w:val="0"/>
          <w:numId w:val="1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Inaccurate or outdated environmental data</w:t>
      </w:r>
    </w:p>
    <w:p w14:paraId="09ED582A" w14:textId="77777777" w:rsidR="0069413C" w:rsidRPr="00E81960" w:rsidRDefault="0069413C" w:rsidP="00E81960">
      <w:pPr>
        <w:numPr>
          <w:ilvl w:val="0"/>
          <w:numId w:val="1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Stakeholder disagreement or delayed approvals</w:t>
      </w:r>
    </w:p>
    <w:p w14:paraId="715BFAB4" w14:textId="77777777" w:rsidR="0069413C" w:rsidRPr="00E81960" w:rsidRDefault="0069413C" w:rsidP="00E81960">
      <w:pPr>
        <w:numPr>
          <w:ilvl w:val="0"/>
          <w:numId w:val="1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Insufficient sustainability information</w:t>
      </w:r>
    </w:p>
    <w:p w14:paraId="70ADB51D" w14:textId="77777777" w:rsidR="0069413C" w:rsidRPr="00E81960" w:rsidRDefault="0069413C" w:rsidP="00E81960">
      <w:pPr>
        <w:numPr>
          <w:ilvl w:val="0"/>
          <w:numId w:val="1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Schedule delays due to scope expansion</w:t>
      </w:r>
    </w:p>
    <w:p w14:paraId="5309FEC3" w14:textId="77777777" w:rsidR="0069413C" w:rsidRPr="00E81960" w:rsidRDefault="0069413C" w:rsidP="00E81960">
      <w:pPr>
        <w:numPr>
          <w:ilvl w:val="0"/>
          <w:numId w:val="1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Regulatory or compliance changes</w:t>
      </w:r>
    </w:p>
    <w:p w14:paraId="417F67F7" w14:textId="77777777" w:rsidR="0069413C" w:rsidRPr="00E81960" w:rsidRDefault="0069413C" w:rsidP="00E81960">
      <w:pPr>
        <w:numPr>
          <w:ilvl w:val="0"/>
          <w:numId w:val="14"/>
        </w:numPr>
        <w:spacing w:before="100" w:beforeAutospacing="1" w:after="100" w:afterAutospacing="1"/>
        <w:jc w:val="left"/>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Limitations in secondary data availability</w:t>
      </w:r>
    </w:p>
    <w:p w14:paraId="4FC44280"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26" w:name="_Toc214733558"/>
      <w:r w:rsidRPr="00E81960">
        <w:rPr>
          <w:rFonts w:ascii="Arial" w:eastAsia="Times New Roman" w:hAnsi="Arial" w:cs="Arial"/>
          <w:b/>
          <w:bCs/>
          <w:color w:val="000000"/>
          <w:kern w:val="0"/>
          <w:sz w:val="22"/>
          <w:szCs w:val="22"/>
          <w:lang w:eastAsia="en-GB"/>
          <w14:ligatures w14:val="none"/>
        </w:rPr>
        <w:t>9.2 Risk Assessment and Mitigation</w:t>
      </w:r>
      <w:bookmarkEnd w:id="26"/>
    </w:p>
    <w:p w14:paraId="37380530"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Risk rating follows the likelihood–impact scoring model recommended by the APM Body of Knowledge (APM, 2022). Table 3 presents key risks, ratings and mitigation actions.</w:t>
      </w:r>
    </w:p>
    <w:p w14:paraId="7B2BD05C"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27" w:name="_Toc214733559"/>
      <w:r w:rsidRPr="00E81960">
        <w:rPr>
          <w:rFonts w:ascii="Arial" w:eastAsia="Times New Roman" w:hAnsi="Arial" w:cs="Arial"/>
          <w:b/>
          <w:bCs/>
          <w:color w:val="000000"/>
          <w:kern w:val="0"/>
          <w:sz w:val="22"/>
          <w:szCs w:val="22"/>
          <w:lang w:eastAsia="en-GB"/>
          <w14:ligatures w14:val="none"/>
        </w:rPr>
        <w:t>Table 3: Risk Register</w:t>
      </w:r>
      <w:bookmarkEnd w:id="2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70"/>
        <w:gridCol w:w="1160"/>
        <w:gridCol w:w="843"/>
        <w:gridCol w:w="990"/>
        <w:gridCol w:w="3763"/>
      </w:tblGrid>
      <w:tr w:rsidR="0069413C" w:rsidRPr="00E81960" w14:paraId="6FB5B9FD" w14:textId="77777777" w:rsidTr="0088642C">
        <w:trPr>
          <w:tblHeader/>
          <w:tblCellSpacing w:w="15" w:type="dxa"/>
        </w:trPr>
        <w:tc>
          <w:tcPr>
            <w:tcW w:w="0" w:type="auto"/>
            <w:vAlign w:val="center"/>
            <w:hideMark/>
          </w:tcPr>
          <w:p w14:paraId="5AE55607"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Risk</w:t>
            </w:r>
          </w:p>
        </w:tc>
        <w:tc>
          <w:tcPr>
            <w:tcW w:w="0" w:type="auto"/>
            <w:vAlign w:val="center"/>
            <w:hideMark/>
          </w:tcPr>
          <w:p w14:paraId="2B222715"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Likelihood</w:t>
            </w:r>
          </w:p>
        </w:tc>
        <w:tc>
          <w:tcPr>
            <w:tcW w:w="0" w:type="auto"/>
            <w:vAlign w:val="center"/>
            <w:hideMark/>
          </w:tcPr>
          <w:p w14:paraId="5842109E"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Impact</w:t>
            </w:r>
          </w:p>
        </w:tc>
        <w:tc>
          <w:tcPr>
            <w:tcW w:w="0" w:type="auto"/>
            <w:vAlign w:val="center"/>
            <w:hideMark/>
          </w:tcPr>
          <w:p w14:paraId="79845BE1"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Rating</w:t>
            </w:r>
          </w:p>
        </w:tc>
        <w:tc>
          <w:tcPr>
            <w:tcW w:w="0" w:type="auto"/>
            <w:vAlign w:val="center"/>
            <w:hideMark/>
          </w:tcPr>
          <w:p w14:paraId="65C5C8D0" w14:textId="77777777" w:rsidR="0069413C" w:rsidRPr="00E81960" w:rsidRDefault="0069413C" w:rsidP="00E81960">
            <w:pPr>
              <w:jc w:val="center"/>
              <w:rPr>
                <w:rFonts w:ascii="Arial" w:eastAsia="Times New Roman" w:hAnsi="Arial" w:cs="Arial"/>
                <w:b/>
                <w:bCs/>
                <w:kern w:val="0"/>
                <w:sz w:val="22"/>
                <w:szCs w:val="22"/>
                <w:lang w:eastAsia="en-GB"/>
                <w14:ligatures w14:val="none"/>
              </w:rPr>
            </w:pPr>
            <w:r w:rsidRPr="00E81960">
              <w:rPr>
                <w:rFonts w:ascii="Arial" w:eastAsia="Times New Roman" w:hAnsi="Arial" w:cs="Arial"/>
                <w:b/>
                <w:bCs/>
                <w:kern w:val="0"/>
                <w:sz w:val="22"/>
                <w:szCs w:val="22"/>
                <w:lang w:eastAsia="en-GB"/>
                <w14:ligatures w14:val="none"/>
              </w:rPr>
              <w:t>Mitigation</w:t>
            </w:r>
          </w:p>
        </w:tc>
      </w:tr>
      <w:tr w:rsidR="0069413C" w:rsidRPr="00E81960" w14:paraId="0B6443C7" w14:textId="77777777" w:rsidTr="0088642C">
        <w:trPr>
          <w:tblCellSpacing w:w="15" w:type="dxa"/>
        </w:trPr>
        <w:tc>
          <w:tcPr>
            <w:tcW w:w="0" w:type="auto"/>
            <w:vAlign w:val="center"/>
            <w:hideMark/>
          </w:tcPr>
          <w:p w14:paraId="29AD045D"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Incomplete data</w:t>
            </w:r>
          </w:p>
        </w:tc>
        <w:tc>
          <w:tcPr>
            <w:tcW w:w="0" w:type="auto"/>
            <w:vAlign w:val="center"/>
            <w:hideMark/>
          </w:tcPr>
          <w:p w14:paraId="6D8D3B86"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5E31786B"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High</w:t>
            </w:r>
          </w:p>
        </w:tc>
        <w:tc>
          <w:tcPr>
            <w:tcW w:w="0" w:type="auto"/>
            <w:vAlign w:val="center"/>
            <w:hideMark/>
          </w:tcPr>
          <w:p w14:paraId="2AE57AB6"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Major</w:t>
            </w:r>
          </w:p>
        </w:tc>
        <w:tc>
          <w:tcPr>
            <w:tcW w:w="0" w:type="auto"/>
            <w:vAlign w:val="center"/>
            <w:hideMark/>
          </w:tcPr>
          <w:p w14:paraId="40A169CA"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Use multiple data sources; cross-verify literature</w:t>
            </w:r>
          </w:p>
        </w:tc>
      </w:tr>
      <w:tr w:rsidR="0069413C" w:rsidRPr="00E81960" w14:paraId="3B2C80E3" w14:textId="77777777" w:rsidTr="0088642C">
        <w:trPr>
          <w:tblCellSpacing w:w="15" w:type="dxa"/>
        </w:trPr>
        <w:tc>
          <w:tcPr>
            <w:tcW w:w="0" w:type="auto"/>
            <w:vAlign w:val="center"/>
            <w:hideMark/>
          </w:tcPr>
          <w:p w14:paraId="2088D128"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Stakeholder conflict</w:t>
            </w:r>
          </w:p>
        </w:tc>
        <w:tc>
          <w:tcPr>
            <w:tcW w:w="0" w:type="auto"/>
            <w:vAlign w:val="center"/>
            <w:hideMark/>
          </w:tcPr>
          <w:p w14:paraId="3BCCB749"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37A0377F"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187DE406"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Moderate</w:t>
            </w:r>
          </w:p>
        </w:tc>
        <w:tc>
          <w:tcPr>
            <w:tcW w:w="0" w:type="auto"/>
            <w:vAlign w:val="center"/>
            <w:hideMark/>
          </w:tcPr>
          <w:p w14:paraId="30A16856"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Establish clear communication plan</w:t>
            </w:r>
          </w:p>
        </w:tc>
      </w:tr>
      <w:tr w:rsidR="0069413C" w:rsidRPr="00E81960" w14:paraId="12AC0EA6" w14:textId="77777777" w:rsidTr="0088642C">
        <w:trPr>
          <w:tblCellSpacing w:w="15" w:type="dxa"/>
        </w:trPr>
        <w:tc>
          <w:tcPr>
            <w:tcW w:w="0" w:type="auto"/>
            <w:vAlign w:val="center"/>
            <w:hideMark/>
          </w:tcPr>
          <w:p w14:paraId="35594F8B"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Regulatory change</w:t>
            </w:r>
          </w:p>
        </w:tc>
        <w:tc>
          <w:tcPr>
            <w:tcW w:w="0" w:type="auto"/>
            <w:vAlign w:val="center"/>
            <w:hideMark/>
          </w:tcPr>
          <w:p w14:paraId="3E4D617C"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Low</w:t>
            </w:r>
          </w:p>
        </w:tc>
        <w:tc>
          <w:tcPr>
            <w:tcW w:w="0" w:type="auto"/>
            <w:vAlign w:val="center"/>
            <w:hideMark/>
          </w:tcPr>
          <w:p w14:paraId="39A1B1A8"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High</w:t>
            </w:r>
          </w:p>
        </w:tc>
        <w:tc>
          <w:tcPr>
            <w:tcW w:w="0" w:type="auto"/>
            <w:vAlign w:val="center"/>
            <w:hideMark/>
          </w:tcPr>
          <w:p w14:paraId="0B294B2F"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Moderate</w:t>
            </w:r>
          </w:p>
        </w:tc>
        <w:tc>
          <w:tcPr>
            <w:tcW w:w="0" w:type="auto"/>
            <w:vAlign w:val="center"/>
            <w:hideMark/>
          </w:tcPr>
          <w:p w14:paraId="4A35F2AF"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Monitor policy updates; adapt scope accordingly</w:t>
            </w:r>
          </w:p>
        </w:tc>
      </w:tr>
      <w:tr w:rsidR="0069413C" w:rsidRPr="00E81960" w14:paraId="7487DB52" w14:textId="77777777" w:rsidTr="0088642C">
        <w:trPr>
          <w:tblCellSpacing w:w="15" w:type="dxa"/>
        </w:trPr>
        <w:tc>
          <w:tcPr>
            <w:tcW w:w="0" w:type="auto"/>
            <w:vAlign w:val="center"/>
            <w:hideMark/>
          </w:tcPr>
          <w:p w14:paraId="6DBABF6F"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Schedule delays</w:t>
            </w:r>
          </w:p>
        </w:tc>
        <w:tc>
          <w:tcPr>
            <w:tcW w:w="0" w:type="auto"/>
            <w:vAlign w:val="center"/>
            <w:hideMark/>
          </w:tcPr>
          <w:p w14:paraId="304EE9F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5E720D61"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587836FA"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Moderate</w:t>
            </w:r>
          </w:p>
        </w:tc>
        <w:tc>
          <w:tcPr>
            <w:tcW w:w="0" w:type="auto"/>
            <w:vAlign w:val="center"/>
            <w:hideMark/>
          </w:tcPr>
          <w:p w14:paraId="16E1EE83"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Apply buffer time; prioritise critical tasks</w:t>
            </w:r>
          </w:p>
        </w:tc>
      </w:tr>
      <w:tr w:rsidR="0069413C" w:rsidRPr="00E81960" w14:paraId="492065CB" w14:textId="77777777" w:rsidTr="0088642C">
        <w:trPr>
          <w:tblCellSpacing w:w="15" w:type="dxa"/>
        </w:trPr>
        <w:tc>
          <w:tcPr>
            <w:tcW w:w="0" w:type="auto"/>
            <w:vAlign w:val="center"/>
            <w:hideMark/>
          </w:tcPr>
          <w:p w14:paraId="1AF5E0C9"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Sustainability uncertainties</w:t>
            </w:r>
          </w:p>
        </w:tc>
        <w:tc>
          <w:tcPr>
            <w:tcW w:w="0" w:type="auto"/>
            <w:vAlign w:val="center"/>
            <w:hideMark/>
          </w:tcPr>
          <w:p w14:paraId="65BD4C91"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2A2F56CE"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High</w:t>
            </w:r>
          </w:p>
        </w:tc>
        <w:tc>
          <w:tcPr>
            <w:tcW w:w="0" w:type="auto"/>
            <w:vAlign w:val="center"/>
            <w:hideMark/>
          </w:tcPr>
          <w:p w14:paraId="7521E789"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Major</w:t>
            </w:r>
          </w:p>
        </w:tc>
        <w:tc>
          <w:tcPr>
            <w:tcW w:w="0" w:type="auto"/>
            <w:vAlign w:val="center"/>
            <w:hideMark/>
          </w:tcPr>
          <w:p w14:paraId="30BC76A5"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Consult environmental agencies early</w:t>
            </w:r>
          </w:p>
        </w:tc>
      </w:tr>
      <w:tr w:rsidR="0069413C" w:rsidRPr="00E81960" w14:paraId="3FACDC44" w14:textId="77777777" w:rsidTr="0088642C">
        <w:trPr>
          <w:tblCellSpacing w:w="15" w:type="dxa"/>
        </w:trPr>
        <w:tc>
          <w:tcPr>
            <w:tcW w:w="0" w:type="auto"/>
            <w:vAlign w:val="center"/>
            <w:hideMark/>
          </w:tcPr>
          <w:p w14:paraId="7AEDEC0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Scope creep</w:t>
            </w:r>
          </w:p>
        </w:tc>
        <w:tc>
          <w:tcPr>
            <w:tcW w:w="0" w:type="auto"/>
            <w:vAlign w:val="center"/>
            <w:hideMark/>
          </w:tcPr>
          <w:p w14:paraId="14845C67"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Low</w:t>
            </w:r>
          </w:p>
        </w:tc>
        <w:tc>
          <w:tcPr>
            <w:tcW w:w="0" w:type="auto"/>
            <w:vAlign w:val="center"/>
            <w:hideMark/>
          </w:tcPr>
          <w:p w14:paraId="34D99424"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Medium</w:t>
            </w:r>
          </w:p>
        </w:tc>
        <w:tc>
          <w:tcPr>
            <w:tcW w:w="0" w:type="auto"/>
            <w:vAlign w:val="center"/>
            <w:hideMark/>
          </w:tcPr>
          <w:p w14:paraId="1A14EFD0"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Minor</w:t>
            </w:r>
          </w:p>
        </w:tc>
        <w:tc>
          <w:tcPr>
            <w:tcW w:w="0" w:type="auto"/>
            <w:vAlign w:val="center"/>
            <w:hideMark/>
          </w:tcPr>
          <w:p w14:paraId="3040C406" w14:textId="77777777" w:rsidR="0069413C" w:rsidRPr="00E81960" w:rsidRDefault="0069413C" w:rsidP="00E81960">
            <w:pPr>
              <w:rPr>
                <w:rFonts w:ascii="Arial" w:eastAsia="Times New Roman" w:hAnsi="Arial" w:cs="Arial"/>
                <w:kern w:val="0"/>
                <w:sz w:val="22"/>
                <w:szCs w:val="22"/>
                <w:lang w:eastAsia="en-GB"/>
                <w14:ligatures w14:val="none"/>
              </w:rPr>
            </w:pPr>
            <w:r w:rsidRPr="00E81960">
              <w:rPr>
                <w:rFonts w:ascii="Arial" w:eastAsia="Times New Roman" w:hAnsi="Arial" w:cs="Arial"/>
                <w:kern w:val="0"/>
                <w:sz w:val="22"/>
                <w:szCs w:val="22"/>
                <w:lang w:eastAsia="en-GB"/>
                <w14:ligatures w14:val="none"/>
              </w:rPr>
              <w:t>Strict scope management and documentation</w:t>
            </w:r>
          </w:p>
        </w:tc>
      </w:tr>
    </w:tbl>
    <w:p w14:paraId="658AFE7C" w14:textId="77777777" w:rsidR="0069413C" w:rsidRPr="00E81960" w:rsidRDefault="0069413C" w:rsidP="00E81960">
      <w:pPr>
        <w:rPr>
          <w:rFonts w:ascii="Arial" w:eastAsia="Times New Roman" w:hAnsi="Arial" w:cs="Arial"/>
          <w:kern w:val="0"/>
          <w:sz w:val="22"/>
          <w:szCs w:val="22"/>
          <w:lang w:eastAsia="en-GB"/>
          <w14:ligatures w14:val="none"/>
        </w:rPr>
      </w:pPr>
    </w:p>
    <w:p w14:paraId="2051B676" w14:textId="77777777" w:rsidR="0069413C" w:rsidRPr="00E81960" w:rsidRDefault="0069413C" w:rsidP="00E81960">
      <w:pPr>
        <w:spacing w:before="100" w:beforeAutospacing="1" w:after="100" w:afterAutospacing="1"/>
        <w:outlineLvl w:val="2"/>
        <w:rPr>
          <w:rFonts w:ascii="Arial" w:eastAsia="Times New Roman" w:hAnsi="Arial" w:cs="Arial"/>
          <w:b/>
          <w:bCs/>
          <w:color w:val="000000"/>
          <w:kern w:val="0"/>
          <w:sz w:val="22"/>
          <w:szCs w:val="22"/>
          <w:lang w:eastAsia="en-GB"/>
          <w14:ligatures w14:val="none"/>
        </w:rPr>
      </w:pPr>
      <w:bookmarkStart w:id="28" w:name="_Toc214733560"/>
      <w:r w:rsidRPr="00E81960">
        <w:rPr>
          <w:rFonts w:ascii="Arial" w:eastAsia="Times New Roman" w:hAnsi="Arial" w:cs="Arial"/>
          <w:b/>
          <w:bCs/>
          <w:color w:val="000000"/>
          <w:kern w:val="0"/>
          <w:sz w:val="22"/>
          <w:szCs w:val="22"/>
          <w:lang w:eastAsia="en-GB"/>
          <w14:ligatures w14:val="none"/>
        </w:rPr>
        <w:t>9.3 Risk Monitoring</w:t>
      </w:r>
      <w:bookmarkEnd w:id="28"/>
    </w:p>
    <w:p w14:paraId="79D1976B"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Risk monitoring will occur at each project phase, ensuring early detection of emerging issues. A risk owner is assigned for each high-impact risk to ensure accountability, as recommended by Hillson (2017).</w:t>
      </w:r>
    </w:p>
    <w:p w14:paraId="15A3FBBC"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p>
    <w:p w14:paraId="78AAD9CE" w14:textId="77777777" w:rsidR="0069413C" w:rsidRPr="00E81960" w:rsidRDefault="0069413C" w:rsidP="00E81960">
      <w:pPr>
        <w:spacing w:before="100" w:beforeAutospacing="1" w:after="100" w:afterAutospacing="1"/>
        <w:outlineLvl w:val="0"/>
        <w:rPr>
          <w:rFonts w:ascii="Arial" w:eastAsia="Times New Roman" w:hAnsi="Arial" w:cs="Arial"/>
          <w:b/>
          <w:bCs/>
          <w:color w:val="000000"/>
          <w:kern w:val="36"/>
          <w:sz w:val="22"/>
          <w:szCs w:val="22"/>
          <w:lang w:eastAsia="en-GB"/>
          <w14:ligatures w14:val="none"/>
        </w:rPr>
      </w:pPr>
      <w:bookmarkStart w:id="29" w:name="_Toc214733561"/>
      <w:r w:rsidRPr="00E81960">
        <w:rPr>
          <w:rFonts w:ascii="Arial" w:eastAsia="Times New Roman" w:hAnsi="Arial" w:cs="Arial"/>
          <w:b/>
          <w:bCs/>
          <w:color w:val="000000"/>
          <w:kern w:val="36"/>
          <w:sz w:val="22"/>
          <w:szCs w:val="22"/>
          <w:lang w:eastAsia="en-GB"/>
          <w14:ligatures w14:val="none"/>
        </w:rPr>
        <w:lastRenderedPageBreak/>
        <w:t>10. Conclusion</w:t>
      </w:r>
      <w:bookmarkEnd w:id="29"/>
    </w:p>
    <w:p w14:paraId="4D72B071"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The Project Management Plan outlines a structured and methodical approach for delivering a flood-resilient infrastructure enhancement proposal. Through the application of recognised project management frameworks—including WBS, stakeholder mapping, Quad Chart analysis, Gantt scheduling and risk assessment—the plan demonstrates a comprehensive strategy for addressing the environmental, operational and social challenges associated with severe flood events.</w:t>
      </w:r>
    </w:p>
    <w:p w14:paraId="43E7BB96"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Stakeholder involvement, sustainability integration and risk-aware planning form the foundation of the proposed approach. The project maintains strong alignment with APM and PRINCE2 principles, ensuring that planning, governance and execution are handled with professionalism and academic rigour. The emphasis on sustainability enhances long-term value, while structured scheduling and resource allocation support efficiency and clarity.</w:t>
      </w:r>
    </w:p>
    <w:p w14:paraId="2C144FD9"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color w:val="000000"/>
          <w:kern w:val="0"/>
          <w:sz w:val="22"/>
          <w:szCs w:val="22"/>
          <w:lang w:eastAsia="en-GB"/>
          <w14:ligatures w14:val="none"/>
        </w:rPr>
        <w:t>Overall, the plan establishes a feasible and well-organised pathway for developing a conceptual infrastructure solution that strengthens community resilience and supports strategic adaptation to climate-related risks.</w:t>
      </w:r>
    </w:p>
    <w:p w14:paraId="2247EFF5" w14:textId="77777777" w:rsidR="0069413C" w:rsidRPr="00E81960" w:rsidRDefault="0069413C" w:rsidP="00E81960">
      <w:pPr>
        <w:spacing w:before="100" w:beforeAutospacing="1" w:after="100" w:afterAutospacing="1"/>
        <w:outlineLvl w:val="0"/>
        <w:rPr>
          <w:rFonts w:ascii="Arial" w:eastAsia="Times New Roman" w:hAnsi="Arial" w:cs="Arial"/>
          <w:b/>
          <w:bCs/>
          <w:color w:val="000000"/>
          <w:kern w:val="36"/>
          <w:sz w:val="22"/>
          <w:szCs w:val="22"/>
          <w:lang w:eastAsia="en-GB"/>
          <w14:ligatures w14:val="none"/>
        </w:rPr>
      </w:pPr>
      <w:bookmarkStart w:id="30" w:name="_Toc214733562"/>
      <w:r w:rsidRPr="00E81960">
        <w:rPr>
          <w:rFonts w:ascii="Arial" w:eastAsia="Times New Roman" w:hAnsi="Arial" w:cs="Arial"/>
          <w:b/>
          <w:bCs/>
          <w:color w:val="000000"/>
          <w:kern w:val="36"/>
          <w:sz w:val="22"/>
          <w:szCs w:val="22"/>
          <w:lang w:eastAsia="en-GB"/>
          <w14:ligatures w14:val="none"/>
        </w:rPr>
        <w:t>11. References</w:t>
      </w:r>
      <w:bookmarkEnd w:id="30"/>
    </w:p>
    <w:p w14:paraId="3CCD3F5A"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APM (2022)</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APM Body of Knowledge</w:t>
      </w:r>
      <w:r w:rsidRPr="00E81960">
        <w:rPr>
          <w:rFonts w:ascii="Arial" w:eastAsia="Times New Roman" w:hAnsi="Arial" w:cs="Arial"/>
          <w:color w:val="000000"/>
          <w:kern w:val="0"/>
          <w:sz w:val="22"/>
          <w:szCs w:val="22"/>
          <w:lang w:eastAsia="en-GB"/>
          <w14:ligatures w14:val="none"/>
        </w:rPr>
        <w:t>. 7th ed. Buckinghamshire: Association for Project Management.</w:t>
      </w:r>
    </w:p>
    <w:p w14:paraId="29044620"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Brown, R. (2019)</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Climate Risk Engineering in Infrastructure</w:t>
      </w:r>
      <w:r w:rsidRPr="00E81960">
        <w:rPr>
          <w:rFonts w:ascii="Arial" w:eastAsia="Times New Roman" w:hAnsi="Arial" w:cs="Arial"/>
          <w:color w:val="000000"/>
          <w:kern w:val="0"/>
          <w:sz w:val="22"/>
          <w:szCs w:val="22"/>
          <w:lang w:eastAsia="en-GB"/>
          <w14:ligatures w14:val="none"/>
        </w:rPr>
        <w:t>. London: ICE Publishing.</w:t>
      </w:r>
    </w:p>
    <w:p w14:paraId="2402F8B7"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Bryson, J. (2018)</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Strategic Planning for Public and Nonprofit Organizations</w:t>
      </w:r>
      <w:r w:rsidRPr="00E81960">
        <w:rPr>
          <w:rFonts w:ascii="Arial" w:eastAsia="Times New Roman" w:hAnsi="Arial" w:cs="Arial"/>
          <w:color w:val="000000"/>
          <w:kern w:val="0"/>
          <w:sz w:val="22"/>
          <w:szCs w:val="22"/>
          <w:lang w:eastAsia="en-GB"/>
          <w14:ligatures w14:val="none"/>
        </w:rPr>
        <w:t>. 5th ed. San Francisco: Jossey-Bass.</w:t>
      </w:r>
    </w:p>
    <w:p w14:paraId="210C5C13"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Burke, R. (2019)</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Project Management: Planning and Control Techniques</w:t>
      </w:r>
      <w:r w:rsidRPr="00E81960">
        <w:rPr>
          <w:rFonts w:ascii="Arial" w:eastAsia="Times New Roman" w:hAnsi="Arial" w:cs="Arial"/>
          <w:color w:val="000000"/>
          <w:kern w:val="0"/>
          <w:sz w:val="22"/>
          <w:szCs w:val="22"/>
          <w:lang w:eastAsia="en-GB"/>
          <w14:ligatures w14:val="none"/>
        </w:rPr>
        <w:t xml:space="preserve">. 6th </w:t>
      </w:r>
      <w:proofErr w:type="spellStart"/>
      <w:r w:rsidRPr="00E81960">
        <w:rPr>
          <w:rFonts w:ascii="Arial" w:eastAsia="Times New Roman" w:hAnsi="Arial" w:cs="Arial"/>
          <w:color w:val="000000"/>
          <w:kern w:val="0"/>
          <w:sz w:val="22"/>
          <w:szCs w:val="22"/>
          <w:lang w:eastAsia="en-GB"/>
          <w14:ligatures w14:val="none"/>
        </w:rPr>
        <w:t>edn</w:t>
      </w:r>
      <w:proofErr w:type="spellEnd"/>
      <w:r w:rsidRPr="00E81960">
        <w:rPr>
          <w:rFonts w:ascii="Arial" w:eastAsia="Times New Roman" w:hAnsi="Arial" w:cs="Arial"/>
          <w:color w:val="000000"/>
          <w:kern w:val="0"/>
          <w:sz w:val="22"/>
          <w:szCs w:val="22"/>
          <w:lang w:eastAsia="en-GB"/>
          <w14:ligatures w14:val="none"/>
        </w:rPr>
        <w:t>. Chichester: Wiley.</w:t>
      </w:r>
    </w:p>
    <w:p w14:paraId="72350557"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Freeman, R. (2010)</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Strategic Management: A Stakeholder Approach</w:t>
      </w:r>
      <w:r w:rsidRPr="00E81960">
        <w:rPr>
          <w:rFonts w:ascii="Arial" w:eastAsia="Times New Roman" w:hAnsi="Arial" w:cs="Arial"/>
          <w:color w:val="000000"/>
          <w:kern w:val="0"/>
          <w:sz w:val="22"/>
          <w:szCs w:val="22"/>
          <w:lang w:eastAsia="en-GB"/>
          <w14:ligatures w14:val="none"/>
        </w:rPr>
        <w:t>. Cambridge: Cambridge University Press.</w:t>
      </w:r>
    </w:p>
    <w:p w14:paraId="771ABC89"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Government of Canada (2023)</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National Infrastructure Resilience Framework</w:t>
      </w:r>
      <w:r w:rsidRPr="00E81960">
        <w:rPr>
          <w:rFonts w:ascii="Arial" w:eastAsia="Times New Roman" w:hAnsi="Arial" w:cs="Arial"/>
          <w:color w:val="000000"/>
          <w:kern w:val="0"/>
          <w:sz w:val="22"/>
          <w:szCs w:val="22"/>
          <w:lang w:eastAsia="en-GB"/>
          <w14:ligatures w14:val="none"/>
        </w:rPr>
        <w:t>. Ottawa: Government of Canada.</w:t>
      </w:r>
    </w:p>
    <w:p w14:paraId="57BFBD31"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lastRenderedPageBreak/>
        <w:t>Hillson, D. (2017)</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Practical Project Risk Management: The ATOM Methodology</w:t>
      </w:r>
      <w:r w:rsidRPr="00E81960">
        <w:rPr>
          <w:rFonts w:ascii="Arial" w:eastAsia="Times New Roman" w:hAnsi="Arial" w:cs="Arial"/>
          <w:color w:val="000000"/>
          <w:kern w:val="0"/>
          <w:sz w:val="22"/>
          <w:szCs w:val="22"/>
          <w:lang w:eastAsia="en-GB"/>
          <w14:ligatures w14:val="none"/>
        </w:rPr>
        <w:t xml:space="preserve">. 3rd </w:t>
      </w:r>
      <w:proofErr w:type="spellStart"/>
      <w:r w:rsidRPr="00E81960">
        <w:rPr>
          <w:rFonts w:ascii="Arial" w:eastAsia="Times New Roman" w:hAnsi="Arial" w:cs="Arial"/>
          <w:color w:val="000000"/>
          <w:kern w:val="0"/>
          <w:sz w:val="22"/>
          <w:szCs w:val="22"/>
          <w:lang w:eastAsia="en-GB"/>
          <w14:ligatures w14:val="none"/>
        </w:rPr>
        <w:t>edn</w:t>
      </w:r>
      <w:proofErr w:type="spellEnd"/>
      <w:r w:rsidRPr="00E81960">
        <w:rPr>
          <w:rFonts w:ascii="Arial" w:eastAsia="Times New Roman" w:hAnsi="Arial" w:cs="Arial"/>
          <w:color w:val="000000"/>
          <w:kern w:val="0"/>
          <w:sz w:val="22"/>
          <w:szCs w:val="22"/>
          <w:lang w:eastAsia="en-GB"/>
          <w14:ligatures w14:val="none"/>
        </w:rPr>
        <w:t>. Newtown Square, PA: Project Management Institute.</w:t>
      </w:r>
    </w:p>
    <w:p w14:paraId="71C9F084"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Kerzner, H. (2021)</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Project Management: A Systems Approach to Planning, Scheduling and Controlling</w:t>
      </w:r>
      <w:r w:rsidRPr="00E81960">
        <w:rPr>
          <w:rFonts w:ascii="Arial" w:eastAsia="Times New Roman" w:hAnsi="Arial" w:cs="Arial"/>
          <w:color w:val="000000"/>
          <w:kern w:val="0"/>
          <w:sz w:val="22"/>
          <w:szCs w:val="22"/>
          <w:lang w:eastAsia="en-GB"/>
          <w14:ligatures w14:val="none"/>
        </w:rPr>
        <w:t>. 13th ed. Hoboken: Wiley.</w:t>
      </w:r>
    </w:p>
    <w:p w14:paraId="6B1CF17C"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Lock, D. (2020)</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Project Management</w:t>
      </w:r>
      <w:r w:rsidRPr="00E81960">
        <w:rPr>
          <w:rFonts w:ascii="Arial" w:eastAsia="Times New Roman" w:hAnsi="Arial" w:cs="Arial"/>
          <w:color w:val="000000"/>
          <w:kern w:val="0"/>
          <w:sz w:val="22"/>
          <w:szCs w:val="22"/>
          <w:lang w:eastAsia="en-GB"/>
          <w14:ligatures w14:val="none"/>
        </w:rPr>
        <w:t>. 11th ed. London: Routledge.</w:t>
      </w:r>
    </w:p>
    <w:p w14:paraId="506913DD"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OGC (2017)</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Managing Successful Projects with PRINCE2</w:t>
      </w:r>
      <w:r w:rsidRPr="00E81960">
        <w:rPr>
          <w:rFonts w:ascii="Arial" w:eastAsia="Times New Roman" w:hAnsi="Arial" w:cs="Arial"/>
          <w:color w:val="000000"/>
          <w:kern w:val="0"/>
          <w:sz w:val="22"/>
          <w:szCs w:val="22"/>
          <w:lang w:eastAsia="en-GB"/>
          <w14:ligatures w14:val="none"/>
        </w:rPr>
        <w:t>. London: The Stationery Office.</w:t>
      </w:r>
    </w:p>
    <w:p w14:paraId="6A2BDBD3"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Saunders, M., Lewis, P. and Thornhill, A. (2019)</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Research Methods for Business Students</w:t>
      </w:r>
      <w:r w:rsidRPr="00E81960">
        <w:rPr>
          <w:rFonts w:ascii="Arial" w:eastAsia="Times New Roman" w:hAnsi="Arial" w:cs="Arial"/>
          <w:color w:val="000000"/>
          <w:kern w:val="0"/>
          <w:sz w:val="22"/>
          <w:szCs w:val="22"/>
          <w:lang w:eastAsia="en-GB"/>
          <w14:ligatures w14:val="none"/>
        </w:rPr>
        <w:t>. 8th ed. Harlow: Pearson.</w:t>
      </w:r>
    </w:p>
    <w:p w14:paraId="2F9D25FD"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Smith, J. (2022)</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Sustainable Construction Practices in Civil Engineering</w:t>
      </w:r>
      <w:r w:rsidRPr="00E81960">
        <w:rPr>
          <w:rFonts w:ascii="Arial" w:eastAsia="Times New Roman" w:hAnsi="Arial" w:cs="Arial"/>
          <w:color w:val="000000"/>
          <w:kern w:val="0"/>
          <w:sz w:val="22"/>
          <w:szCs w:val="22"/>
          <w:lang w:eastAsia="en-GB"/>
          <w14:ligatures w14:val="none"/>
        </w:rPr>
        <w:t>. Cham: Springer.</w:t>
      </w:r>
    </w:p>
    <w:p w14:paraId="3AC729CF"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UNFCCC (2021)</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Adaptation and Resilience in Infrastructure Planning</w:t>
      </w:r>
      <w:r w:rsidRPr="00E81960">
        <w:rPr>
          <w:rFonts w:ascii="Arial" w:eastAsia="Times New Roman" w:hAnsi="Arial" w:cs="Arial"/>
          <w:color w:val="000000"/>
          <w:kern w:val="0"/>
          <w:sz w:val="22"/>
          <w:szCs w:val="22"/>
          <w:lang w:eastAsia="en-GB"/>
          <w14:ligatures w14:val="none"/>
        </w:rPr>
        <w:t>. Bonn: United Nations Framework Convention on Climate Change.</w:t>
      </w:r>
    </w:p>
    <w:p w14:paraId="059BCE4F"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World Bank (2020)</w:t>
      </w:r>
      <w:r w:rsidRPr="00E81960">
        <w:rPr>
          <w:rFonts w:ascii="Arial" w:eastAsia="Times New Roman" w:hAnsi="Arial" w:cs="Arial"/>
          <w:color w:val="000000"/>
          <w:kern w:val="0"/>
          <w:sz w:val="22"/>
          <w:szCs w:val="22"/>
          <w:lang w:eastAsia="en-GB"/>
          <w14:ligatures w14:val="none"/>
        </w:rPr>
        <w:t> </w:t>
      </w:r>
      <w:r w:rsidRPr="00E81960">
        <w:rPr>
          <w:rFonts w:ascii="Arial" w:eastAsia="Times New Roman" w:hAnsi="Arial" w:cs="Arial"/>
          <w:i/>
          <w:iCs/>
          <w:color w:val="000000"/>
          <w:kern w:val="0"/>
          <w:sz w:val="22"/>
          <w:szCs w:val="22"/>
          <w:lang w:eastAsia="en-GB"/>
          <w14:ligatures w14:val="none"/>
        </w:rPr>
        <w:t>Building Resilient Infrastructure for Climate Adaptation</w:t>
      </w:r>
      <w:r w:rsidRPr="00E81960">
        <w:rPr>
          <w:rFonts w:ascii="Arial" w:eastAsia="Times New Roman" w:hAnsi="Arial" w:cs="Arial"/>
          <w:color w:val="000000"/>
          <w:kern w:val="0"/>
          <w:sz w:val="22"/>
          <w:szCs w:val="22"/>
          <w:lang w:eastAsia="en-GB"/>
          <w14:ligatures w14:val="none"/>
        </w:rPr>
        <w:t>. Washington, DC: World Bank Group.</w:t>
      </w:r>
    </w:p>
    <w:p w14:paraId="45465396" w14:textId="77777777" w:rsidR="0069413C" w:rsidRPr="00E81960" w:rsidRDefault="0069413C" w:rsidP="00E81960">
      <w:pPr>
        <w:spacing w:before="100" w:beforeAutospacing="1" w:after="100" w:afterAutospacing="1"/>
        <w:rPr>
          <w:rFonts w:ascii="Arial" w:eastAsia="Times New Roman" w:hAnsi="Arial" w:cs="Arial"/>
          <w:color w:val="000000"/>
          <w:kern w:val="0"/>
          <w:sz w:val="22"/>
          <w:szCs w:val="22"/>
          <w:lang w:eastAsia="en-GB"/>
          <w14:ligatures w14:val="none"/>
        </w:rPr>
      </w:pPr>
      <w:r w:rsidRPr="00E81960">
        <w:rPr>
          <w:rFonts w:ascii="Arial" w:eastAsia="Times New Roman" w:hAnsi="Arial" w:cs="Arial"/>
          <w:b/>
          <w:bCs/>
          <w:color w:val="000000"/>
          <w:kern w:val="0"/>
          <w:sz w:val="22"/>
          <w:szCs w:val="22"/>
          <w:lang w:eastAsia="en-GB"/>
          <w14:ligatures w14:val="none"/>
        </w:rPr>
        <w:t>Zhang, X. and Zhao, Z. (2020)</w:t>
      </w:r>
      <w:r w:rsidRPr="00E81960">
        <w:rPr>
          <w:rFonts w:ascii="Arial" w:eastAsia="Times New Roman" w:hAnsi="Arial" w:cs="Arial"/>
          <w:color w:val="000000"/>
          <w:kern w:val="0"/>
          <w:sz w:val="22"/>
          <w:szCs w:val="22"/>
          <w:lang w:eastAsia="en-GB"/>
          <w14:ligatures w14:val="none"/>
        </w:rPr>
        <w:t> ‘Integrated flood resilience planning in urban infrastructure’, </w:t>
      </w:r>
      <w:r w:rsidRPr="00E81960">
        <w:rPr>
          <w:rFonts w:ascii="Arial" w:eastAsia="Times New Roman" w:hAnsi="Arial" w:cs="Arial"/>
          <w:i/>
          <w:iCs/>
          <w:color w:val="000000"/>
          <w:kern w:val="0"/>
          <w:sz w:val="22"/>
          <w:szCs w:val="22"/>
          <w:lang w:eastAsia="en-GB"/>
          <w14:ligatures w14:val="none"/>
        </w:rPr>
        <w:t>Journal of Environmental Management</w:t>
      </w:r>
      <w:r w:rsidRPr="00E81960">
        <w:rPr>
          <w:rFonts w:ascii="Arial" w:eastAsia="Times New Roman" w:hAnsi="Arial" w:cs="Arial"/>
          <w:color w:val="000000"/>
          <w:kern w:val="0"/>
          <w:sz w:val="22"/>
          <w:szCs w:val="22"/>
          <w:lang w:eastAsia="en-GB"/>
          <w14:ligatures w14:val="none"/>
        </w:rPr>
        <w:t>, 260, pp. 1–12.</w:t>
      </w:r>
    </w:p>
    <w:p w14:paraId="38252B77" w14:textId="0E7FDFEB" w:rsidR="00357F91" w:rsidRPr="00E81960" w:rsidRDefault="00357F91" w:rsidP="00E81960">
      <w:pPr>
        <w:rPr>
          <w:rFonts w:ascii="Arial" w:hAnsi="Arial" w:cs="Arial"/>
          <w:sz w:val="22"/>
          <w:szCs w:val="22"/>
        </w:rPr>
      </w:pPr>
    </w:p>
    <w:sectPr w:rsidR="00357F91" w:rsidRPr="00E81960">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1FC37" w14:textId="77777777" w:rsidR="004F1AA2" w:rsidRDefault="004F1AA2" w:rsidP="00F15927">
      <w:pPr>
        <w:spacing w:line="240" w:lineRule="auto"/>
      </w:pPr>
      <w:r>
        <w:separator/>
      </w:r>
    </w:p>
  </w:endnote>
  <w:endnote w:type="continuationSeparator" w:id="0">
    <w:p w14:paraId="3B0EC751" w14:textId="77777777" w:rsidR="004F1AA2" w:rsidRDefault="004F1AA2" w:rsidP="00F159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6254662"/>
      <w:docPartObj>
        <w:docPartGallery w:val="Page Numbers (Bottom of Page)"/>
        <w:docPartUnique/>
      </w:docPartObj>
    </w:sdtPr>
    <w:sdtContent>
      <w:p w14:paraId="5088E596" w14:textId="5C78451C" w:rsidR="00F15927" w:rsidRDefault="00F15927" w:rsidP="000908C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8A3E68" w14:textId="77777777" w:rsidR="00F15927" w:rsidRDefault="00F159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88585466"/>
      <w:docPartObj>
        <w:docPartGallery w:val="Page Numbers (Bottom of Page)"/>
        <w:docPartUnique/>
      </w:docPartObj>
    </w:sdtPr>
    <w:sdtContent>
      <w:p w14:paraId="405DD6E8" w14:textId="54CCAEFE" w:rsidR="00F15927" w:rsidRDefault="00F15927" w:rsidP="000908C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0693B8" w14:textId="77777777" w:rsidR="00F15927" w:rsidRDefault="00F159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AA52D" w14:textId="77777777" w:rsidR="004F1AA2" w:rsidRDefault="004F1AA2" w:rsidP="00F15927">
      <w:pPr>
        <w:spacing w:line="240" w:lineRule="auto"/>
      </w:pPr>
      <w:r>
        <w:separator/>
      </w:r>
    </w:p>
  </w:footnote>
  <w:footnote w:type="continuationSeparator" w:id="0">
    <w:p w14:paraId="5A9A51FE" w14:textId="77777777" w:rsidR="004F1AA2" w:rsidRDefault="004F1AA2" w:rsidP="00F159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32C69"/>
    <w:multiLevelType w:val="multilevel"/>
    <w:tmpl w:val="E3C80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672BAB"/>
    <w:multiLevelType w:val="multilevel"/>
    <w:tmpl w:val="05D28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75C22"/>
    <w:multiLevelType w:val="multilevel"/>
    <w:tmpl w:val="B4D6F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10177C"/>
    <w:multiLevelType w:val="multilevel"/>
    <w:tmpl w:val="67941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360D1A"/>
    <w:multiLevelType w:val="multilevel"/>
    <w:tmpl w:val="C19C1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120FB6"/>
    <w:multiLevelType w:val="multilevel"/>
    <w:tmpl w:val="EEF033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D0129F"/>
    <w:multiLevelType w:val="multilevel"/>
    <w:tmpl w:val="FDF66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712272"/>
    <w:multiLevelType w:val="multilevel"/>
    <w:tmpl w:val="601A6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AB5596"/>
    <w:multiLevelType w:val="multilevel"/>
    <w:tmpl w:val="98C66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C10327"/>
    <w:multiLevelType w:val="multilevel"/>
    <w:tmpl w:val="22DEF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0E6B17"/>
    <w:multiLevelType w:val="multilevel"/>
    <w:tmpl w:val="556ED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B9656E"/>
    <w:multiLevelType w:val="multilevel"/>
    <w:tmpl w:val="CD666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48C1BFA"/>
    <w:multiLevelType w:val="multilevel"/>
    <w:tmpl w:val="E6CA5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432003"/>
    <w:multiLevelType w:val="multilevel"/>
    <w:tmpl w:val="8FCE5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0603294">
    <w:abstractNumId w:val="4"/>
  </w:num>
  <w:num w:numId="2" w16cid:durableId="2109503126">
    <w:abstractNumId w:val="8"/>
  </w:num>
  <w:num w:numId="3" w16cid:durableId="190340124">
    <w:abstractNumId w:val="9"/>
  </w:num>
  <w:num w:numId="4" w16cid:durableId="1691565782">
    <w:abstractNumId w:val="10"/>
  </w:num>
  <w:num w:numId="5" w16cid:durableId="1393433071">
    <w:abstractNumId w:val="12"/>
  </w:num>
  <w:num w:numId="6" w16cid:durableId="1202323918">
    <w:abstractNumId w:val="3"/>
  </w:num>
  <w:num w:numId="7" w16cid:durableId="787432680">
    <w:abstractNumId w:val="13"/>
  </w:num>
  <w:num w:numId="8" w16cid:durableId="406460996">
    <w:abstractNumId w:val="5"/>
  </w:num>
  <w:num w:numId="9" w16cid:durableId="1859611702">
    <w:abstractNumId w:val="11"/>
  </w:num>
  <w:num w:numId="10" w16cid:durableId="874345286">
    <w:abstractNumId w:val="7"/>
  </w:num>
  <w:num w:numId="11" w16cid:durableId="1432435865">
    <w:abstractNumId w:val="0"/>
  </w:num>
  <w:num w:numId="12" w16cid:durableId="1127429220">
    <w:abstractNumId w:val="1"/>
  </w:num>
  <w:num w:numId="13" w16cid:durableId="66191580">
    <w:abstractNumId w:val="2"/>
  </w:num>
  <w:num w:numId="14" w16cid:durableId="79406274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807DF"/>
    <w:rsid w:val="000C4F50"/>
    <w:rsid w:val="0014518D"/>
    <w:rsid w:val="00202035"/>
    <w:rsid w:val="00350616"/>
    <w:rsid w:val="00357F91"/>
    <w:rsid w:val="00376F04"/>
    <w:rsid w:val="00457F98"/>
    <w:rsid w:val="0049535D"/>
    <w:rsid w:val="004F1AA2"/>
    <w:rsid w:val="00544F6B"/>
    <w:rsid w:val="0069413C"/>
    <w:rsid w:val="006E654D"/>
    <w:rsid w:val="006F6105"/>
    <w:rsid w:val="00741B18"/>
    <w:rsid w:val="007553E9"/>
    <w:rsid w:val="007C03E9"/>
    <w:rsid w:val="00835E96"/>
    <w:rsid w:val="00880748"/>
    <w:rsid w:val="00AC7FC4"/>
    <w:rsid w:val="00CF4C58"/>
    <w:rsid w:val="00D25FB5"/>
    <w:rsid w:val="00E52831"/>
    <w:rsid w:val="00E81960"/>
    <w:rsid w:val="00F159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paragraph" w:styleId="Footer">
    <w:name w:val="footer"/>
    <w:basedOn w:val="Normal"/>
    <w:link w:val="FooterChar"/>
    <w:uiPriority w:val="99"/>
    <w:unhideWhenUsed/>
    <w:rsid w:val="00F15927"/>
    <w:pPr>
      <w:tabs>
        <w:tab w:val="center" w:pos="4513"/>
        <w:tab w:val="right" w:pos="9026"/>
      </w:tabs>
      <w:spacing w:line="240" w:lineRule="auto"/>
    </w:pPr>
  </w:style>
  <w:style w:type="character" w:customStyle="1" w:styleId="FooterChar">
    <w:name w:val="Footer Char"/>
    <w:basedOn w:val="DefaultParagraphFont"/>
    <w:link w:val="Footer"/>
    <w:uiPriority w:val="99"/>
    <w:rsid w:val="00F15927"/>
  </w:style>
  <w:style w:type="character" w:styleId="PageNumber">
    <w:name w:val="page number"/>
    <w:basedOn w:val="DefaultParagraphFont"/>
    <w:uiPriority w:val="99"/>
    <w:semiHidden/>
    <w:unhideWhenUsed/>
    <w:rsid w:val="00F15927"/>
  </w:style>
  <w:style w:type="paragraph" w:styleId="TOCHeading">
    <w:name w:val="TOC Heading"/>
    <w:basedOn w:val="Heading1"/>
    <w:next w:val="Normal"/>
    <w:uiPriority w:val="39"/>
    <w:unhideWhenUsed/>
    <w:qFormat/>
    <w:rsid w:val="00202035"/>
    <w:pPr>
      <w:spacing w:before="480" w:after="0" w:line="276" w:lineRule="auto"/>
      <w:jc w:val="left"/>
      <w:outlineLvl w:val="9"/>
    </w:pPr>
    <w:rPr>
      <w:b/>
      <w:bCs/>
      <w:kern w:val="0"/>
      <w:sz w:val="28"/>
      <w:szCs w:val="28"/>
      <w:lang w:val="en-US"/>
      <w14:ligatures w14:val="none"/>
    </w:rPr>
  </w:style>
  <w:style w:type="paragraph" w:styleId="TOC3">
    <w:name w:val="toc 3"/>
    <w:basedOn w:val="Normal"/>
    <w:next w:val="Normal"/>
    <w:autoRedefine/>
    <w:uiPriority w:val="39"/>
    <w:unhideWhenUsed/>
    <w:rsid w:val="00202035"/>
    <w:pPr>
      <w:ind w:left="480"/>
      <w:jc w:val="left"/>
    </w:pPr>
    <w:rPr>
      <w:rFonts w:asciiTheme="minorHAnsi" w:hAnsiTheme="minorHAnsi"/>
      <w:sz w:val="20"/>
      <w:szCs w:val="20"/>
    </w:rPr>
  </w:style>
  <w:style w:type="paragraph" w:styleId="TOC2">
    <w:name w:val="toc 2"/>
    <w:basedOn w:val="Normal"/>
    <w:next w:val="Normal"/>
    <w:autoRedefine/>
    <w:uiPriority w:val="39"/>
    <w:unhideWhenUsed/>
    <w:rsid w:val="00202035"/>
    <w:pPr>
      <w:spacing w:before="120"/>
      <w:ind w:left="240"/>
      <w:jc w:val="left"/>
    </w:pPr>
    <w:rPr>
      <w:rFonts w:asciiTheme="minorHAnsi" w:hAnsiTheme="minorHAnsi"/>
      <w:b/>
      <w:bCs/>
      <w:sz w:val="22"/>
      <w:szCs w:val="22"/>
    </w:rPr>
  </w:style>
  <w:style w:type="paragraph" w:styleId="TOC1">
    <w:name w:val="toc 1"/>
    <w:basedOn w:val="Normal"/>
    <w:next w:val="Normal"/>
    <w:autoRedefine/>
    <w:uiPriority w:val="39"/>
    <w:unhideWhenUsed/>
    <w:rsid w:val="00202035"/>
    <w:pPr>
      <w:spacing w:before="120"/>
      <w:jc w:val="left"/>
    </w:pPr>
    <w:rPr>
      <w:rFonts w:asciiTheme="minorHAnsi" w:hAnsiTheme="minorHAnsi"/>
      <w:b/>
      <w:bCs/>
      <w:i/>
      <w:iCs/>
      <w:szCs w:val="24"/>
    </w:rPr>
  </w:style>
  <w:style w:type="character" w:styleId="Hyperlink">
    <w:name w:val="Hyperlink"/>
    <w:basedOn w:val="DefaultParagraphFont"/>
    <w:uiPriority w:val="99"/>
    <w:unhideWhenUsed/>
    <w:rsid w:val="00202035"/>
    <w:rPr>
      <w:color w:val="467886" w:themeColor="hyperlink"/>
      <w:u w:val="single"/>
    </w:rPr>
  </w:style>
  <w:style w:type="paragraph" w:styleId="TOC4">
    <w:name w:val="toc 4"/>
    <w:basedOn w:val="Normal"/>
    <w:next w:val="Normal"/>
    <w:autoRedefine/>
    <w:uiPriority w:val="39"/>
    <w:semiHidden/>
    <w:unhideWhenUsed/>
    <w:rsid w:val="00202035"/>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202035"/>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202035"/>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202035"/>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202035"/>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202035"/>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81FCF-04A6-2C45-A376-2223C9F5C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16</Pages>
  <Words>3454</Words>
  <Characters>19694</Characters>
  <Application>Microsoft Office Word</Application>
  <DocSecurity>0</DocSecurity>
  <Lines>164</Lines>
  <Paragraphs>46</Paragraphs>
  <ScaleCrop>false</ScaleCrop>
  <Company/>
  <LinksUpToDate>false</LinksUpToDate>
  <CharactersWithSpaces>23102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Petrica Marin (2333794)</cp:lastModifiedBy>
  <cp:revision>15</cp:revision>
  <dcterms:created xsi:type="dcterms:W3CDTF">2025-09-21T11:14:00Z</dcterms:created>
  <dcterms:modified xsi:type="dcterms:W3CDTF">2025-11-22T19:53:00Z</dcterms:modified>
</cp:coreProperties>
</file>