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A29DC1" w14:textId="7725E829" w:rsidR="000E6538" w:rsidRPr="000E6538" w:rsidRDefault="00743A0E" w:rsidP="000E6538">
      <w:pPr>
        <w:spacing w:line="360" w:lineRule="auto"/>
        <w:jc w:val="center"/>
        <w:rPr>
          <w:rFonts w:ascii="Arial" w:hAnsi="Arial" w:cs="Arial"/>
          <w:b/>
          <w:sz w:val="24"/>
          <w:szCs w:val="24"/>
        </w:rPr>
      </w:pPr>
      <w:r w:rsidRPr="007E399F">
        <w:rPr>
          <w:rFonts w:cs="Arial"/>
          <w:noProof/>
          <w:szCs w:val="24"/>
        </w:rPr>
        <w:drawing>
          <wp:inline distT="0" distB="0" distL="0" distR="0" wp14:anchorId="0448654F" wp14:editId="68633747">
            <wp:extent cx="5689600" cy="1778635"/>
            <wp:effectExtent l="0" t="0" r="6350" b="0"/>
            <wp:docPr id="5" name="Picture 5" descr="University of Wales Trinity Saint David | V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VR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48510" cy="1797051"/>
                    </a:xfrm>
                    <a:prstGeom prst="rect">
                      <a:avLst/>
                    </a:prstGeom>
                    <a:noFill/>
                    <a:ln>
                      <a:noFill/>
                    </a:ln>
                  </pic:spPr>
                </pic:pic>
              </a:graphicData>
            </a:graphic>
          </wp:inline>
        </w:drawing>
      </w:r>
    </w:p>
    <w:p w14:paraId="7A8AE2BB" w14:textId="77777777" w:rsidR="000E6538" w:rsidRPr="000E6538" w:rsidRDefault="000E6538" w:rsidP="000E6538">
      <w:pPr>
        <w:spacing w:line="360" w:lineRule="auto"/>
        <w:jc w:val="center"/>
        <w:rPr>
          <w:rFonts w:ascii="Arial" w:hAnsi="Arial" w:cs="Arial"/>
          <w:b/>
          <w:sz w:val="24"/>
          <w:szCs w:val="24"/>
        </w:rPr>
      </w:pPr>
      <w:r w:rsidRPr="000E6538">
        <w:rPr>
          <w:rFonts w:ascii="Arial" w:hAnsi="Arial" w:cs="Arial"/>
          <w:b/>
          <w:sz w:val="24"/>
          <w:szCs w:val="24"/>
        </w:rPr>
        <w:t>COMMUNITY ENGAGEMENT</w:t>
      </w:r>
    </w:p>
    <w:p w14:paraId="3D29163F" w14:textId="77777777" w:rsidR="000E6538" w:rsidRPr="000E6538" w:rsidRDefault="000E6538" w:rsidP="000E6538">
      <w:pPr>
        <w:jc w:val="center"/>
        <w:rPr>
          <w:rFonts w:ascii="Arial" w:hAnsi="Arial" w:cs="Arial"/>
          <w:b/>
          <w:bCs/>
          <w:sz w:val="24"/>
          <w:szCs w:val="24"/>
        </w:rPr>
      </w:pPr>
      <w:r w:rsidRPr="000E6538">
        <w:rPr>
          <w:rFonts w:ascii="Arial" w:hAnsi="Arial" w:cs="Arial"/>
          <w:b/>
          <w:bCs/>
          <w:sz w:val="24"/>
          <w:szCs w:val="24"/>
        </w:rPr>
        <w:t>TASK 1: AN ESSAY ABOUT YOUR INVOLVEMENT IN THE COMMUNITY</w:t>
      </w:r>
    </w:p>
    <w:p w14:paraId="6C474188" w14:textId="77777777" w:rsidR="000E6538" w:rsidRPr="000E6538" w:rsidRDefault="000E6538" w:rsidP="000E6538">
      <w:pPr>
        <w:rPr>
          <w:rFonts w:ascii="Arial" w:hAnsi="Arial" w:cs="Arial"/>
          <w:sz w:val="24"/>
          <w:szCs w:val="24"/>
        </w:rPr>
      </w:pPr>
    </w:p>
    <w:p w14:paraId="04A9E5A9" w14:textId="7DF659AE" w:rsidR="000E6538" w:rsidRPr="000E6538" w:rsidRDefault="000E6538" w:rsidP="000E6538">
      <w:pPr>
        <w:spacing w:line="360" w:lineRule="auto"/>
        <w:jc w:val="center"/>
        <w:rPr>
          <w:rFonts w:ascii="Arial" w:hAnsi="Arial" w:cs="Arial"/>
          <w:b/>
          <w:sz w:val="24"/>
          <w:szCs w:val="24"/>
        </w:rPr>
      </w:pPr>
      <w:r w:rsidRPr="000E6538">
        <w:rPr>
          <w:rFonts w:ascii="Arial" w:hAnsi="Arial" w:cs="Arial"/>
          <w:b/>
          <w:sz w:val="24"/>
          <w:szCs w:val="24"/>
        </w:rPr>
        <w:t>MODULE CODE: LCBB4002</w:t>
      </w:r>
    </w:p>
    <w:p w14:paraId="6EDB50F5" w14:textId="6EBDC4CE" w:rsidR="000E6538" w:rsidRPr="000E6538" w:rsidRDefault="000E6538" w:rsidP="000E6538">
      <w:pPr>
        <w:spacing w:line="360" w:lineRule="auto"/>
        <w:jc w:val="center"/>
        <w:rPr>
          <w:rFonts w:ascii="Arial" w:hAnsi="Arial" w:cs="Arial"/>
          <w:b/>
          <w:sz w:val="24"/>
          <w:szCs w:val="24"/>
        </w:rPr>
      </w:pPr>
    </w:p>
    <w:p w14:paraId="01341225" w14:textId="45A8B9EE" w:rsidR="000E6538" w:rsidRPr="000E6538" w:rsidRDefault="000E6538" w:rsidP="000E6538">
      <w:pPr>
        <w:spacing w:line="360" w:lineRule="auto"/>
        <w:jc w:val="center"/>
        <w:rPr>
          <w:rFonts w:ascii="Arial" w:hAnsi="Arial" w:cs="Arial"/>
          <w:b/>
          <w:sz w:val="24"/>
          <w:szCs w:val="24"/>
        </w:rPr>
      </w:pPr>
    </w:p>
    <w:p w14:paraId="74F1CAE8" w14:textId="1F3380C1" w:rsidR="000E6538" w:rsidRDefault="000E6538" w:rsidP="000E6538">
      <w:pPr>
        <w:spacing w:line="360" w:lineRule="auto"/>
        <w:jc w:val="center"/>
        <w:rPr>
          <w:rFonts w:ascii="Arial" w:hAnsi="Arial" w:cs="Arial"/>
          <w:b/>
          <w:sz w:val="24"/>
          <w:szCs w:val="24"/>
        </w:rPr>
      </w:pPr>
    </w:p>
    <w:p w14:paraId="15DF2AD5" w14:textId="2D7AE221" w:rsidR="000E6538" w:rsidRDefault="000E6538" w:rsidP="000E6538">
      <w:pPr>
        <w:spacing w:line="360" w:lineRule="auto"/>
        <w:jc w:val="center"/>
        <w:rPr>
          <w:rFonts w:ascii="Arial" w:hAnsi="Arial" w:cs="Arial"/>
          <w:b/>
          <w:sz w:val="24"/>
          <w:szCs w:val="24"/>
        </w:rPr>
      </w:pPr>
    </w:p>
    <w:p w14:paraId="5E41E108" w14:textId="2062CFF7" w:rsidR="000E6538" w:rsidRDefault="000E6538" w:rsidP="000E6538">
      <w:pPr>
        <w:spacing w:line="360" w:lineRule="auto"/>
        <w:jc w:val="center"/>
        <w:rPr>
          <w:rFonts w:ascii="Arial" w:hAnsi="Arial" w:cs="Arial"/>
          <w:b/>
          <w:sz w:val="24"/>
          <w:szCs w:val="24"/>
        </w:rPr>
      </w:pPr>
    </w:p>
    <w:p w14:paraId="4822446C" w14:textId="65A7CF0E" w:rsidR="000E6538" w:rsidRPr="000E6538" w:rsidRDefault="000E6538" w:rsidP="000E6538">
      <w:pPr>
        <w:spacing w:line="360" w:lineRule="auto"/>
        <w:rPr>
          <w:rFonts w:ascii="Arial" w:hAnsi="Arial" w:cs="Arial"/>
          <w:b/>
          <w:sz w:val="24"/>
          <w:szCs w:val="24"/>
        </w:rPr>
      </w:pPr>
      <w:r w:rsidRPr="000E6538">
        <w:rPr>
          <w:rFonts w:ascii="Arial" w:hAnsi="Arial" w:cs="Arial"/>
          <w:b/>
          <w:sz w:val="24"/>
          <w:szCs w:val="24"/>
        </w:rPr>
        <w:t>Student Name: Dan Joita</w:t>
      </w:r>
    </w:p>
    <w:p w14:paraId="1118A383" w14:textId="7A3666F4" w:rsidR="000E6538" w:rsidRDefault="000E6538" w:rsidP="000E6538">
      <w:pPr>
        <w:spacing w:line="360" w:lineRule="auto"/>
        <w:rPr>
          <w:rFonts w:ascii="Arial" w:hAnsi="Arial" w:cs="Arial"/>
          <w:b/>
          <w:sz w:val="24"/>
          <w:szCs w:val="24"/>
        </w:rPr>
      </w:pPr>
      <w:r w:rsidRPr="000E6538">
        <w:rPr>
          <w:rFonts w:ascii="Arial" w:hAnsi="Arial" w:cs="Arial"/>
          <w:b/>
          <w:sz w:val="24"/>
          <w:szCs w:val="24"/>
        </w:rPr>
        <w:t>Student ID: 2124449</w:t>
      </w:r>
    </w:p>
    <w:p w14:paraId="14188F1C" w14:textId="6253F8A5" w:rsidR="00095368" w:rsidRPr="000E6538" w:rsidRDefault="00095368" w:rsidP="000E6538">
      <w:pPr>
        <w:spacing w:line="360" w:lineRule="auto"/>
        <w:rPr>
          <w:rFonts w:ascii="Arial" w:hAnsi="Arial" w:cs="Arial"/>
          <w:b/>
          <w:sz w:val="24"/>
          <w:szCs w:val="24"/>
        </w:rPr>
      </w:pPr>
      <w:r>
        <w:rPr>
          <w:rFonts w:ascii="Arial" w:hAnsi="Arial" w:cs="Arial"/>
          <w:b/>
          <w:sz w:val="24"/>
          <w:szCs w:val="24"/>
        </w:rPr>
        <w:t>Lecturer: Anita Nan</w:t>
      </w:r>
    </w:p>
    <w:p w14:paraId="44EC6A5D" w14:textId="3CB95A50" w:rsidR="000E6538" w:rsidRPr="000E6538" w:rsidRDefault="000E6538" w:rsidP="000E6538">
      <w:pPr>
        <w:spacing w:line="360" w:lineRule="auto"/>
        <w:rPr>
          <w:rFonts w:ascii="Arial" w:hAnsi="Arial" w:cs="Arial"/>
          <w:b/>
          <w:sz w:val="24"/>
          <w:szCs w:val="24"/>
        </w:rPr>
      </w:pPr>
      <w:r w:rsidRPr="000E6538">
        <w:rPr>
          <w:rFonts w:ascii="Arial" w:hAnsi="Arial" w:cs="Arial"/>
          <w:b/>
          <w:sz w:val="24"/>
          <w:szCs w:val="24"/>
        </w:rPr>
        <w:t xml:space="preserve"> </w:t>
      </w:r>
    </w:p>
    <w:p w14:paraId="794594E7" w14:textId="679A11C0" w:rsidR="000E6538" w:rsidRPr="000E6538" w:rsidRDefault="000E6538" w:rsidP="000E6538">
      <w:pPr>
        <w:spacing w:line="360" w:lineRule="auto"/>
        <w:rPr>
          <w:rFonts w:ascii="Arial" w:hAnsi="Arial" w:cs="Arial"/>
          <w:b/>
          <w:sz w:val="24"/>
          <w:szCs w:val="24"/>
        </w:rPr>
      </w:pPr>
      <w:r w:rsidRPr="000E6538">
        <w:rPr>
          <w:rFonts w:ascii="Arial" w:hAnsi="Arial" w:cs="Arial"/>
          <w:b/>
          <w:sz w:val="24"/>
          <w:szCs w:val="24"/>
        </w:rPr>
        <w:t xml:space="preserve">  </w:t>
      </w:r>
    </w:p>
    <w:p w14:paraId="7D6E6A95" w14:textId="77777777" w:rsidR="000E6538" w:rsidRPr="000E6538" w:rsidRDefault="000E6538" w:rsidP="000E6538">
      <w:pPr>
        <w:spacing w:line="360" w:lineRule="auto"/>
        <w:rPr>
          <w:rFonts w:ascii="Arial" w:hAnsi="Arial" w:cs="Arial"/>
          <w:b/>
          <w:sz w:val="24"/>
          <w:szCs w:val="24"/>
        </w:rPr>
      </w:pPr>
    </w:p>
    <w:p w14:paraId="0FFBE253" w14:textId="77777777" w:rsidR="000E6538" w:rsidRPr="000E6538" w:rsidRDefault="000E6538" w:rsidP="000E6538">
      <w:pPr>
        <w:spacing w:line="360" w:lineRule="auto"/>
        <w:rPr>
          <w:rFonts w:ascii="Arial" w:hAnsi="Arial" w:cs="Arial"/>
          <w:b/>
          <w:sz w:val="24"/>
          <w:szCs w:val="24"/>
        </w:rPr>
      </w:pPr>
    </w:p>
    <w:p w14:paraId="4D2637EF" w14:textId="77777777" w:rsidR="000E6538" w:rsidRPr="000E6538" w:rsidRDefault="000E6538" w:rsidP="000E6538">
      <w:pPr>
        <w:spacing w:line="360" w:lineRule="auto"/>
        <w:rPr>
          <w:rFonts w:ascii="Arial" w:hAnsi="Arial" w:cs="Arial"/>
          <w:b/>
          <w:sz w:val="24"/>
          <w:szCs w:val="24"/>
        </w:rPr>
      </w:pPr>
    </w:p>
    <w:p w14:paraId="24387619" w14:textId="77777777" w:rsidR="000E6538" w:rsidRPr="000E6538" w:rsidRDefault="000E6538" w:rsidP="00743A0E">
      <w:pPr>
        <w:spacing w:line="360" w:lineRule="auto"/>
        <w:rPr>
          <w:rFonts w:ascii="Arial" w:hAnsi="Arial" w:cs="Arial"/>
          <w:b/>
          <w:sz w:val="24"/>
          <w:szCs w:val="24"/>
        </w:rPr>
      </w:pPr>
    </w:p>
    <w:p w14:paraId="2517622B" w14:textId="77777777" w:rsidR="000E6538" w:rsidRPr="000E6538" w:rsidRDefault="000E6538" w:rsidP="000E6538">
      <w:pPr>
        <w:spacing w:line="360" w:lineRule="auto"/>
        <w:jc w:val="center"/>
        <w:rPr>
          <w:rFonts w:ascii="Arial" w:hAnsi="Arial" w:cs="Arial"/>
          <w:b/>
          <w:sz w:val="24"/>
          <w:szCs w:val="24"/>
        </w:rPr>
      </w:pPr>
    </w:p>
    <w:sdt>
      <w:sdtPr>
        <w:rPr>
          <w:rFonts w:ascii="Arial" w:eastAsiaTheme="minorHAnsi" w:hAnsi="Arial" w:cs="Arial"/>
          <w:b w:val="0"/>
          <w:bCs w:val="0"/>
          <w:color w:val="auto"/>
          <w:sz w:val="24"/>
          <w:szCs w:val="24"/>
          <w:lang w:val="en-GB"/>
        </w:rPr>
        <w:id w:val="-1570950652"/>
        <w:docPartObj>
          <w:docPartGallery w:val="Table of Contents"/>
          <w:docPartUnique/>
        </w:docPartObj>
      </w:sdtPr>
      <w:sdtEndPr>
        <w:rPr>
          <w:noProof/>
        </w:rPr>
      </w:sdtEndPr>
      <w:sdtContent>
        <w:p w14:paraId="0D1DD13C" w14:textId="77777777" w:rsidR="000E6538" w:rsidRPr="000E6538" w:rsidRDefault="000E6538" w:rsidP="000E6538">
          <w:pPr>
            <w:pStyle w:val="TOCHeading"/>
            <w:rPr>
              <w:rFonts w:ascii="Arial" w:hAnsi="Arial" w:cs="Arial"/>
              <w:color w:val="auto"/>
              <w:sz w:val="24"/>
              <w:szCs w:val="24"/>
            </w:rPr>
          </w:pPr>
          <w:r w:rsidRPr="000E6538">
            <w:rPr>
              <w:rFonts w:ascii="Arial" w:hAnsi="Arial" w:cs="Arial"/>
              <w:color w:val="auto"/>
              <w:sz w:val="24"/>
              <w:szCs w:val="24"/>
            </w:rPr>
            <w:t>Contents</w:t>
          </w:r>
        </w:p>
        <w:p w14:paraId="4BF09475" w14:textId="495A9EC8" w:rsidR="000E6538" w:rsidRPr="000E6538" w:rsidRDefault="000E6538" w:rsidP="000E6538">
          <w:pPr>
            <w:pStyle w:val="TOC1"/>
            <w:rPr>
              <w:rFonts w:eastAsiaTheme="minorEastAsia"/>
              <w:lang w:eastAsia="en-GB"/>
            </w:rPr>
          </w:pPr>
          <w:r w:rsidRPr="000E6538">
            <w:rPr>
              <w:noProof w:val="0"/>
            </w:rPr>
            <w:fldChar w:fldCharType="begin"/>
          </w:r>
          <w:r w:rsidRPr="000E6538">
            <w:instrText xml:space="preserve"> TOC \o "1-3" \h \z \u </w:instrText>
          </w:r>
          <w:r w:rsidRPr="000E6538">
            <w:rPr>
              <w:noProof w:val="0"/>
            </w:rPr>
            <w:fldChar w:fldCharType="separate"/>
          </w:r>
          <w:hyperlink w:anchor="_Toc113304500" w:history="1">
            <w:r w:rsidRPr="000E6538">
              <w:rPr>
                <w:rStyle w:val="Hyperlink"/>
                <w:b w:val="0"/>
                <w:bCs w:val="0"/>
                <w:color w:val="auto"/>
              </w:rPr>
              <w:t>Introduction</w:t>
            </w:r>
            <w:r w:rsidRPr="000E6538">
              <w:rPr>
                <w:webHidden/>
              </w:rPr>
              <w:tab/>
            </w:r>
            <w:r w:rsidRPr="000E6538">
              <w:rPr>
                <w:b w:val="0"/>
                <w:bCs w:val="0"/>
                <w:webHidden/>
              </w:rPr>
              <w:fldChar w:fldCharType="begin"/>
            </w:r>
            <w:r w:rsidRPr="000E6538">
              <w:rPr>
                <w:b w:val="0"/>
                <w:bCs w:val="0"/>
                <w:webHidden/>
              </w:rPr>
              <w:instrText xml:space="preserve"> PAGEREF _Toc113304500 \h </w:instrText>
            </w:r>
            <w:r w:rsidRPr="000E6538">
              <w:rPr>
                <w:b w:val="0"/>
                <w:bCs w:val="0"/>
                <w:webHidden/>
              </w:rPr>
            </w:r>
            <w:r w:rsidRPr="000E6538">
              <w:rPr>
                <w:b w:val="0"/>
                <w:bCs w:val="0"/>
                <w:webHidden/>
              </w:rPr>
              <w:fldChar w:fldCharType="separate"/>
            </w:r>
            <w:r w:rsidR="00095368">
              <w:rPr>
                <w:b w:val="0"/>
                <w:bCs w:val="0"/>
                <w:webHidden/>
              </w:rPr>
              <w:t>3</w:t>
            </w:r>
            <w:r w:rsidRPr="000E6538">
              <w:rPr>
                <w:b w:val="0"/>
                <w:bCs w:val="0"/>
                <w:webHidden/>
              </w:rPr>
              <w:fldChar w:fldCharType="end"/>
            </w:r>
          </w:hyperlink>
        </w:p>
        <w:p w14:paraId="677C260B" w14:textId="339DE938" w:rsidR="000E6538" w:rsidRPr="000E6538" w:rsidRDefault="000E6538" w:rsidP="000E6538">
          <w:pPr>
            <w:pStyle w:val="TOC1"/>
            <w:rPr>
              <w:rFonts w:eastAsiaTheme="minorEastAsia"/>
              <w:lang w:eastAsia="en-GB"/>
            </w:rPr>
          </w:pPr>
          <w:hyperlink w:anchor="_Toc113304501" w:history="1">
            <w:r w:rsidRPr="000E6538">
              <w:rPr>
                <w:rStyle w:val="Hyperlink"/>
                <w:b w:val="0"/>
                <w:bCs w:val="0"/>
                <w:color w:val="auto"/>
              </w:rPr>
              <w:t>Discussion</w:t>
            </w:r>
            <w:r w:rsidRPr="000E6538">
              <w:rPr>
                <w:webHidden/>
              </w:rPr>
              <w:tab/>
            </w:r>
            <w:r w:rsidRPr="000E6538">
              <w:rPr>
                <w:b w:val="0"/>
                <w:bCs w:val="0"/>
                <w:webHidden/>
              </w:rPr>
              <w:fldChar w:fldCharType="begin"/>
            </w:r>
            <w:r w:rsidRPr="000E6538">
              <w:rPr>
                <w:b w:val="0"/>
                <w:bCs w:val="0"/>
                <w:webHidden/>
              </w:rPr>
              <w:instrText xml:space="preserve"> PAGEREF _Toc113304501 \h </w:instrText>
            </w:r>
            <w:r w:rsidRPr="000E6538">
              <w:rPr>
                <w:b w:val="0"/>
                <w:bCs w:val="0"/>
                <w:webHidden/>
              </w:rPr>
            </w:r>
            <w:r w:rsidRPr="000E6538">
              <w:rPr>
                <w:b w:val="0"/>
                <w:bCs w:val="0"/>
                <w:webHidden/>
              </w:rPr>
              <w:fldChar w:fldCharType="separate"/>
            </w:r>
            <w:r w:rsidR="00095368">
              <w:rPr>
                <w:b w:val="0"/>
                <w:bCs w:val="0"/>
                <w:webHidden/>
              </w:rPr>
              <w:t>3</w:t>
            </w:r>
            <w:r w:rsidRPr="000E6538">
              <w:rPr>
                <w:b w:val="0"/>
                <w:bCs w:val="0"/>
                <w:webHidden/>
              </w:rPr>
              <w:fldChar w:fldCharType="end"/>
            </w:r>
          </w:hyperlink>
        </w:p>
        <w:p w14:paraId="20CC5029" w14:textId="08BBD962" w:rsidR="000E6538" w:rsidRPr="000E6538" w:rsidRDefault="000E6538" w:rsidP="000E6538">
          <w:pPr>
            <w:pStyle w:val="TOC1"/>
            <w:rPr>
              <w:rFonts w:eastAsiaTheme="minorEastAsia"/>
              <w:lang w:eastAsia="en-GB"/>
            </w:rPr>
          </w:pPr>
          <w:hyperlink w:anchor="_Toc113304502" w:history="1">
            <w:r w:rsidRPr="000E6538">
              <w:rPr>
                <w:rStyle w:val="Hyperlink"/>
                <w:b w:val="0"/>
                <w:bCs w:val="0"/>
                <w:color w:val="auto"/>
              </w:rPr>
              <w:t>Conclusion</w:t>
            </w:r>
            <w:r w:rsidRPr="000E6538">
              <w:rPr>
                <w:webHidden/>
              </w:rPr>
              <w:tab/>
            </w:r>
            <w:r w:rsidRPr="000E6538">
              <w:rPr>
                <w:b w:val="0"/>
                <w:bCs w:val="0"/>
                <w:webHidden/>
              </w:rPr>
              <w:fldChar w:fldCharType="begin"/>
            </w:r>
            <w:r w:rsidRPr="000E6538">
              <w:rPr>
                <w:b w:val="0"/>
                <w:bCs w:val="0"/>
                <w:webHidden/>
              </w:rPr>
              <w:instrText xml:space="preserve"> PAGEREF _Toc113304502 \h </w:instrText>
            </w:r>
            <w:r w:rsidRPr="000E6538">
              <w:rPr>
                <w:b w:val="0"/>
                <w:bCs w:val="0"/>
                <w:webHidden/>
              </w:rPr>
            </w:r>
            <w:r w:rsidRPr="000E6538">
              <w:rPr>
                <w:b w:val="0"/>
                <w:bCs w:val="0"/>
                <w:webHidden/>
              </w:rPr>
              <w:fldChar w:fldCharType="separate"/>
            </w:r>
            <w:r w:rsidR="00095368">
              <w:rPr>
                <w:b w:val="0"/>
                <w:bCs w:val="0"/>
                <w:webHidden/>
              </w:rPr>
              <w:t>8</w:t>
            </w:r>
            <w:r w:rsidRPr="000E6538">
              <w:rPr>
                <w:b w:val="0"/>
                <w:bCs w:val="0"/>
                <w:webHidden/>
              </w:rPr>
              <w:fldChar w:fldCharType="end"/>
            </w:r>
          </w:hyperlink>
        </w:p>
        <w:p w14:paraId="592BF867" w14:textId="77D43883" w:rsidR="000E6538" w:rsidRPr="000E6538" w:rsidRDefault="000E6538" w:rsidP="000E6538">
          <w:pPr>
            <w:pStyle w:val="TOC1"/>
            <w:rPr>
              <w:rFonts w:eastAsiaTheme="minorEastAsia"/>
              <w:lang w:eastAsia="en-GB"/>
            </w:rPr>
          </w:pPr>
          <w:hyperlink w:anchor="_Toc113304503" w:history="1">
            <w:r w:rsidRPr="000E6538">
              <w:rPr>
                <w:rStyle w:val="Hyperlink"/>
                <w:b w:val="0"/>
                <w:bCs w:val="0"/>
                <w:color w:val="auto"/>
              </w:rPr>
              <w:t>R</w:t>
            </w:r>
            <w:r w:rsidRPr="000E6538">
              <w:rPr>
                <w:rStyle w:val="Hyperlink"/>
                <w:b w:val="0"/>
                <w:bCs w:val="0"/>
                <w:color w:val="auto"/>
              </w:rPr>
              <w:t>eferences</w:t>
            </w:r>
            <w:r w:rsidRPr="000E6538">
              <w:rPr>
                <w:webHidden/>
              </w:rPr>
              <w:tab/>
            </w:r>
            <w:r w:rsidRPr="000E6538">
              <w:rPr>
                <w:b w:val="0"/>
                <w:bCs w:val="0"/>
                <w:webHidden/>
              </w:rPr>
              <w:fldChar w:fldCharType="begin"/>
            </w:r>
            <w:r w:rsidRPr="000E6538">
              <w:rPr>
                <w:b w:val="0"/>
                <w:bCs w:val="0"/>
                <w:webHidden/>
              </w:rPr>
              <w:instrText xml:space="preserve"> PAGEREF _Toc113304503 \h </w:instrText>
            </w:r>
            <w:r w:rsidRPr="000E6538">
              <w:rPr>
                <w:b w:val="0"/>
                <w:bCs w:val="0"/>
                <w:webHidden/>
              </w:rPr>
            </w:r>
            <w:r w:rsidRPr="000E6538">
              <w:rPr>
                <w:b w:val="0"/>
                <w:bCs w:val="0"/>
                <w:webHidden/>
              </w:rPr>
              <w:fldChar w:fldCharType="separate"/>
            </w:r>
            <w:r w:rsidR="00095368">
              <w:rPr>
                <w:b w:val="0"/>
                <w:bCs w:val="0"/>
                <w:webHidden/>
              </w:rPr>
              <w:t>9</w:t>
            </w:r>
            <w:r w:rsidRPr="000E6538">
              <w:rPr>
                <w:b w:val="0"/>
                <w:bCs w:val="0"/>
                <w:webHidden/>
              </w:rPr>
              <w:fldChar w:fldCharType="end"/>
            </w:r>
          </w:hyperlink>
        </w:p>
        <w:p w14:paraId="06E57A83" w14:textId="77777777" w:rsidR="000E6538" w:rsidRPr="000E6538" w:rsidRDefault="000E6538" w:rsidP="000E6538">
          <w:pPr>
            <w:rPr>
              <w:rFonts w:ascii="Arial" w:hAnsi="Arial" w:cs="Arial"/>
              <w:sz w:val="24"/>
              <w:szCs w:val="24"/>
            </w:rPr>
          </w:pPr>
          <w:r w:rsidRPr="000E6538">
            <w:rPr>
              <w:rFonts w:ascii="Arial" w:hAnsi="Arial" w:cs="Arial"/>
              <w:b/>
              <w:bCs/>
              <w:noProof/>
              <w:sz w:val="24"/>
              <w:szCs w:val="24"/>
            </w:rPr>
            <w:fldChar w:fldCharType="end"/>
          </w:r>
        </w:p>
      </w:sdtContent>
    </w:sdt>
    <w:p w14:paraId="2C99A711" w14:textId="77777777" w:rsidR="000E6538" w:rsidRPr="000E6538" w:rsidRDefault="000E6538" w:rsidP="000E6538">
      <w:pPr>
        <w:spacing w:line="360" w:lineRule="auto"/>
        <w:jc w:val="center"/>
        <w:rPr>
          <w:rFonts w:ascii="Arial" w:eastAsiaTheme="majorEastAsia" w:hAnsi="Arial" w:cs="Arial"/>
          <w:b/>
          <w:bCs/>
          <w:sz w:val="24"/>
          <w:szCs w:val="24"/>
        </w:rPr>
      </w:pPr>
      <w:r w:rsidRPr="000E6538">
        <w:rPr>
          <w:rFonts w:ascii="Arial" w:hAnsi="Arial" w:cs="Arial"/>
          <w:sz w:val="24"/>
          <w:szCs w:val="24"/>
        </w:rPr>
        <w:br w:type="page"/>
      </w:r>
    </w:p>
    <w:p w14:paraId="1DAB08DA" w14:textId="77777777" w:rsidR="000E6538" w:rsidRPr="000E6538" w:rsidRDefault="000E6538" w:rsidP="00095368">
      <w:pPr>
        <w:pStyle w:val="Heading1"/>
        <w:jc w:val="both"/>
        <w:rPr>
          <w:rFonts w:ascii="Arial" w:hAnsi="Arial" w:cs="Arial"/>
          <w:color w:val="auto"/>
          <w:sz w:val="24"/>
          <w:szCs w:val="24"/>
        </w:rPr>
      </w:pPr>
      <w:bookmarkStart w:id="0" w:name="_Toc113304500"/>
      <w:r w:rsidRPr="000E6538">
        <w:rPr>
          <w:rFonts w:ascii="Arial" w:hAnsi="Arial" w:cs="Arial"/>
          <w:color w:val="auto"/>
          <w:sz w:val="24"/>
          <w:szCs w:val="24"/>
        </w:rPr>
        <w:lastRenderedPageBreak/>
        <w:t>Introduction</w:t>
      </w:r>
      <w:bookmarkEnd w:id="0"/>
    </w:p>
    <w:p w14:paraId="457F4639" w14:textId="77777777" w:rsidR="000E6538" w:rsidRPr="000E6538" w:rsidRDefault="000E6538" w:rsidP="00095368">
      <w:pPr>
        <w:pStyle w:val="root-block-node"/>
        <w:spacing w:line="360" w:lineRule="auto"/>
        <w:jc w:val="both"/>
        <w:rPr>
          <w:rFonts w:ascii="Arial" w:hAnsi="Arial" w:cs="Arial"/>
        </w:rPr>
      </w:pPr>
      <w:r w:rsidRPr="000E6538">
        <w:rPr>
          <w:rFonts w:ascii="Arial" w:hAnsi="Arial" w:cs="Arial"/>
        </w:rPr>
        <w:t>The discussion on community engagement is going to be done in this essay. The definition of the community engagement concept will be provided to enable the reader to know the concept and its meaning. The discussion on the community engagement principles, standards, and the stakeholders’ participation in the community services and engagement will be held. This is because the community needs good interrelationship between the stakeholders and the community at large so that the management and development of the community can be managed as required (</w:t>
      </w:r>
      <w:proofErr w:type="spellStart"/>
      <w:r w:rsidRPr="000E6538">
        <w:rPr>
          <w:rFonts w:ascii="Arial" w:hAnsi="Arial" w:cs="Arial"/>
          <w:shd w:val="clear" w:color="auto" w:fill="FFFFFF"/>
        </w:rPr>
        <w:t>Whiteley</w:t>
      </w:r>
      <w:proofErr w:type="spellEnd"/>
      <w:r w:rsidRPr="000E6538">
        <w:rPr>
          <w:rFonts w:ascii="Arial" w:hAnsi="Arial" w:cs="Arial"/>
          <w:shd w:val="clear" w:color="auto" w:fill="FFFFFF"/>
        </w:rPr>
        <w:t xml:space="preserve"> et al., 2011)</w:t>
      </w:r>
      <w:r w:rsidRPr="000E6538">
        <w:rPr>
          <w:rFonts w:ascii="Arial" w:hAnsi="Arial" w:cs="Arial"/>
        </w:rPr>
        <w:t>.</w:t>
      </w:r>
    </w:p>
    <w:p w14:paraId="3EB5C6EF" w14:textId="77777777" w:rsidR="000E6538" w:rsidRPr="000E6538" w:rsidRDefault="000E6538" w:rsidP="00095368">
      <w:pPr>
        <w:pStyle w:val="root-block-node"/>
        <w:spacing w:line="360" w:lineRule="auto"/>
        <w:jc w:val="both"/>
        <w:outlineLvl w:val="0"/>
        <w:rPr>
          <w:rFonts w:ascii="Arial" w:hAnsi="Arial" w:cs="Arial"/>
          <w:b/>
          <w:bCs/>
        </w:rPr>
      </w:pPr>
      <w:bookmarkStart w:id="1" w:name="_Toc113304501"/>
      <w:r w:rsidRPr="000E6538">
        <w:rPr>
          <w:rFonts w:ascii="Arial" w:hAnsi="Arial" w:cs="Arial"/>
          <w:b/>
          <w:bCs/>
        </w:rPr>
        <w:t>Discussion</w:t>
      </w:r>
      <w:bookmarkEnd w:id="1"/>
    </w:p>
    <w:p w14:paraId="5E9D8A93" w14:textId="77777777" w:rsidR="000E6538" w:rsidRPr="000E6538" w:rsidRDefault="000E6538" w:rsidP="00095368">
      <w:pPr>
        <w:pStyle w:val="root-block-node"/>
        <w:spacing w:line="360" w:lineRule="auto"/>
        <w:jc w:val="both"/>
        <w:rPr>
          <w:rFonts w:ascii="Arial" w:hAnsi="Arial" w:cs="Arial"/>
          <w:b/>
          <w:bCs/>
        </w:rPr>
      </w:pPr>
      <w:r w:rsidRPr="000E6538">
        <w:rPr>
          <w:rFonts w:ascii="Arial" w:hAnsi="Arial" w:cs="Arial"/>
        </w:rPr>
        <w:t>Community management is primarily concerned with engaging the community at large in more sustainable and equitable decision making, which necessitates an efficient process and results in the deepening of relationships and trust between the government, organizations, and the community at large. In this essay, community engagement will be analysed in terms of its social media aspect. Community engagement is always based on the democratic idea, which is that there is always an issue that is known to impact the community in its decision-making when the community sticks to it. Community engagement also helps in the holding of the various promises, where public participation is known to affect or influence decision-making, which is then known to affect the provision of the services, the future vision of the community, and the sustainability of the community (</w:t>
      </w:r>
      <w:r w:rsidRPr="000E6538">
        <w:rPr>
          <w:rFonts w:ascii="Arial" w:hAnsi="Arial" w:cs="Arial"/>
          <w:shd w:val="clear" w:color="auto" w:fill="FFFFFF"/>
        </w:rPr>
        <w:t>Ojha et al., 2016)</w:t>
      </w:r>
      <w:r w:rsidRPr="000E6538">
        <w:rPr>
          <w:rFonts w:ascii="Arial" w:hAnsi="Arial" w:cs="Arial"/>
        </w:rPr>
        <w:t>. There are various definitions of community engagement in the context of the different fields in the community. But all the definitions for community engagement are highly related to the explanation of the consultation, participation, collaboration, and empowerment of a given community. The main task in the community is mutual decision-making.</w:t>
      </w:r>
    </w:p>
    <w:p w14:paraId="5CDA1BBE" w14:textId="77777777" w:rsidR="000E6538" w:rsidRPr="000E6538" w:rsidRDefault="000E6538" w:rsidP="00095368">
      <w:pPr>
        <w:pStyle w:val="root-block-node"/>
        <w:spacing w:line="360" w:lineRule="auto"/>
        <w:jc w:val="both"/>
        <w:rPr>
          <w:rFonts w:ascii="Arial" w:hAnsi="Arial" w:cs="Arial"/>
        </w:rPr>
      </w:pPr>
      <w:r w:rsidRPr="000E6538">
        <w:rPr>
          <w:rFonts w:ascii="Arial" w:hAnsi="Arial" w:cs="Arial"/>
        </w:rPr>
        <w:t xml:space="preserve">People, governments, and various organizations, whether governmental or non-governmental, are known to come together in the making of basic decisions that are known to have a positive effect on society or community. From the government and the various organizations' perspectives, community engagement is understood as the bridge or the way to work together, listening to each other, so that the </w:t>
      </w:r>
      <w:r w:rsidRPr="000E6538">
        <w:rPr>
          <w:rFonts w:ascii="Arial" w:hAnsi="Arial" w:cs="Arial"/>
        </w:rPr>
        <w:lastRenderedPageBreak/>
        <w:t>communities can build a long-term relationship that is mutual and the relationships that can help in developing meaningful solutions to complex issues (</w:t>
      </w:r>
      <w:r w:rsidRPr="000E6538">
        <w:rPr>
          <w:rFonts w:ascii="Arial" w:hAnsi="Arial" w:cs="Arial"/>
          <w:shd w:val="clear" w:color="auto" w:fill="FFFFFF"/>
        </w:rPr>
        <w:t>Keen et al., 2012)</w:t>
      </w:r>
      <w:r w:rsidRPr="000E6538">
        <w:rPr>
          <w:rFonts w:ascii="Arial" w:hAnsi="Arial" w:cs="Arial"/>
        </w:rPr>
        <w:t xml:space="preserve">. Through these mature and important relationships, the community can develop meaningful solutions to the complicated and complex issues. There is also a chance for the government in the creation of the catalogue with every aspect of the diversity that is found in the community, and this is through the central inclusivity. There are several principles that can be used to provide guidance to community management and </w:t>
      </w:r>
      <w:proofErr w:type="gramStart"/>
      <w:r w:rsidRPr="000E6538">
        <w:rPr>
          <w:rFonts w:ascii="Arial" w:hAnsi="Arial" w:cs="Arial"/>
        </w:rPr>
        <w:t>society as a whole</w:t>
      </w:r>
      <w:proofErr w:type="gramEnd"/>
      <w:r w:rsidRPr="000E6538">
        <w:rPr>
          <w:rFonts w:ascii="Arial" w:hAnsi="Arial" w:cs="Arial"/>
        </w:rPr>
        <w:t>.</w:t>
      </w:r>
    </w:p>
    <w:p w14:paraId="366728E8" w14:textId="77777777" w:rsidR="000E6538" w:rsidRPr="000E6538" w:rsidRDefault="000E6538" w:rsidP="00095368">
      <w:pPr>
        <w:pStyle w:val="root-block-node"/>
        <w:spacing w:line="360" w:lineRule="auto"/>
        <w:jc w:val="both"/>
        <w:rPr>
          <w:rFonts w:ascii="Arial" w:hAnsi="Arial" w:cs="Arial"/>
        </w:rPr>
      </w:pPr>
      <w:r w:rsidRPr="000E6538">
        <w:rPr>
          <w:rFonts w:ascii="Arial" w:hAnsi="Arial" w:cs="Arial"/>
        </w:rPr>
        <w:t>There are five basic principles that help in community engagement. These principles help in the building of value and connections among the community members. The community leaders are supposed to continuously innovate the offer that is being provided to the community as it is known to bring value to the overall societal experience (</w:t>
      </w:r>
      <w:r w:rsidRPr="000E6538">
        <w:rPr>
          <w:rFonts w:ascii="Arial" w:hAnsi="Arial" w:cs="Arial"/>
          <w:shd w:val="clear" w:color="auto" w:fill="FFFFFF"/>
        </w:rPr>
        <w:t>Ojha et al., 2016)</w:t>
      </w:r>
      <w:r w:rsidRPr="000E6538">
        <w:rPr>
          <w:rFonts w:ascii="Arial" w:hAnsi="Arial" w:cs="Arial"/>
        </w:rPr>
        <w:t>. The first principle is that there is a need for the individual to understand the community and the members that they are engaging with. There is a need for research about the customer base and the preferences in the given community in case there is a launch for the new community in the business aspect (</w:t>
      </w:r>
      <w:r w:rsidRPr="000E6538">
        <w:rPr>
          <w:rFonts w:ascii="Arial" w:hAnsi="Arial" w:cs="Arial"/>
          <w:shd w:val="clear" w:color="auto" w:fill="FFFFFF"/>
        </w:rPr>
        <w:t>Ahmed et al., 2010)</w:t>
      </w:r>
      <w:r w:rsidRPr="000E6538">
        <w:rPr>
          <w:rFonts w:ascii="Arial" w:hAnsi="Arial" w:cs="Arial"/>
        </w:rPr>
        <w:t xml:space="preserve">. This can be done by working cost-functionally with the immediate members of the community or the organisation. </w:t>
      </w:r>
    </w:p>
    <w:p w14:paraId="2E9920CD" w14:textId="77777777" w:rsidR="000E6538" w:rsidRPr="000E6538" w:rsidRDefault="000E6538" w:rsidP="00095368">
      <w:pPr>
        <w:pStyle w:val="root-block-node"/>
        <w:spacing w:line="360" w:lineRule="auto"/>
        <w:jc w:val="both"/>
        <w:rPr>
          <w:rFonts w:ascii="Arial" w:hAnsi="Arial" w:cs="Arial"/>
        </w:rPr>
      </w:pPr>
      <w:r w:rsidRPr="000E6538">
        <w:rPr>
          <w:rFonts w:ascii="Arial" w:hAnsi="Arial" w:cs="Arial"/>
        </w:rPr>
        <w:t>The understanding of the community and the personal profiles can help you and the business understand users' needs, experiences, behaviours, and goals. This data must be gathered to ascertain the value your community offers its constituents. Think about it: what unites our team? Why should these people care about each other? The more specific you’re "why," the more thoughtful your "how" may be. Become close with your colleagues. Meet them in person if you can! The foundation of your community will be stronger if you can talk to each person individually and get to know them better. To understand what motivates people's behaviour is the goal (</w:t>
      </w:r>
      <w:proofErr w:type="spellStart"/>
      <w:r w:rsidRPr="000E6538">
        <w:rPr>
          <w:rFonts w:ascii="Arial" w:hAnsi="Arial" w:cs="Arial"/>
          <w:shd w:val="clear" w:color="auto" w:fill="FFFFFF"/>
        </w:rPr>
        <w:t>Hovmand</w:t>
      </w:r>
      <w:proofErr w:type="spellEnd"/>
      <w:r w:rsidRPr="000E6538">
        <w:rPr>
          <w:rFonts w:ascii="Arial" w:hAnsi="Arial" w:cs="Arial"/>
          <w:shd w:val="clear" w:color="auto" w:fill="FFFFFF"/>
        </w:rPr>
        <w:t xml:space="preserve"> et al., 2014)</w:t>
      </w:r>
      <w:r w:rsidRPr="000E6538">
        <w:rPr>
          <w:rFonts w:ascii="Arial" w:hAnsi="Arial" w:cs="Arial"/>
        </w:rPr>
        <w:t>.</w:t>
      </w:r>
    </w:p>
    <w:p w14:paraId="438C2E1E" w14:textId="77777777" w:rsidR="000E6538" w:rsidRPr="000E6538" w:rsidRDefault="000E6538" w:rsidP="00095368">
      <w:pPr>
        <w:pStyle w:val="root-block-node"/>
        <w:spacing w:line="360" w:lineRule="auto"/>
        <w:jc w:val="both"/>
        <w:rPr>
          <w:rFonts w:ascii="Arial" w:hAnsi="Arial" w:cs="Arial"/>
        </w:rPr>
      </w:pPr>
      <w:r w:rsidRPr="000E6538">
        <w:rPr>
          <w:rFonts w:ascii="Arial" w:hAnsi="Arial" w:cs="Arial"/>
        </w:rPr>
        <w:t xml:space="preserve">The other principle is that you are supposed to make your team the star. This explains that the focus should be on the people and their connections. There is a need to give the public a shout out regarding their contributions and achievements. When the members are made more visible, it is more likely that the members and the community engagers will find and build connections in the form of genuine </w:t>
      </w:r>
      <w:r w:rsidRPr="000E6538">
        <w:rPr>
          <w:rFonts w:ascii="Arial" w:hAnsi="Arial" w:cs="Arial"/>
        </w:rPr>
        <w:lastRenderedPageBreak/>
        <w:t>relationships with people like them. This also gives a good chance to be aware of the experience and the challenges that a certain community is going through. The mission should be to bring people together and assist them in making the connections and finding the answers they require. There is also a need to focus on empowering and elevating the community members in whatever they are doing (</w:t>
      </w:r>
      <w:r w:rsidRPr="000E6538">
        <w:rPr>
          <w:rFonts w:ascii="Arial" w:hAnsi="Arial" w:cs="Arial"/>
          <w:shd w:val="clear" w:color="auto" w:fill="FFFFFF"/>
        </w:rPr>
        <w:t>Wallerstein et al., 2010)</w:t>
      </w:r>
      <w:r w:rsidRPr="000E6538">
        <w:rPr>
          <w:rFonts w:ascii="Arial" w:hAnsi="Arial" w:cs="Arial"/>
        </w:rPr>
        <w:t>.</w:t>
      </w:r>
    </w:p>
    <w:p w14:paraId="73D1FFF9" w14:textId="77777777" w:rsidR="000E6538" w:rsidRPr="000E6538" w:rsidRDefault="000E6538" w:rsidP="00095368">
      <w:pPr>
        <w:pStyle w:val="root-block-node"/>
        <w:spacing w:line="360" w:lineRule="auto"/>
        <w:jc w:val="both"/>
        <w:rPr>
          <w:rFonts w:ascii="Arial" w:hAnsi="Arial" w:cs="Arial"/>
        </w:rPr>
      </w:pPr>
      <w:r w:rsidRPr="000E6538">
        <w:rPr>
          <w:rFonts w:ascii="Arial" w:hAnsi="Arial" w:cs="Arial"/>
        </w:rPr>
        <w:t xml:space="preserve">The third principle in community management is the aspect where there is a need to make it easy for the community members to participate easily in the changes that are made in the community. When considering engagement-boosting tactics, start small. As a great way to promote conversation, start by offering topic starters in your online community spaces. </w:t>
      </w:r>
      <w:proofErr w:type="gramStart"/>
      <w:r w:rsidRPr="000E6538">
        <w:rPr>
          <w:rFonts w:ascii="Arial" w:hAnsi="Arial" w:cs="Arial"/>
        </w:rPr>
        <w:t>In order to</w:t>
      </w:r>
      <w:proofErr w:type="gramEnd"/>
      <w:r w:rsidRPr="000E6538">
        <w:rPr>
          <w:rFonts w:ascii="Arial" w:hAnsi="Arial" w:cs="Arial"/>
        </w:rPr>
        <w:t xml:space="preserve"> encourage participation from people of various ability levels, these questions should be entertaining and open-ended. Not every opportunity for community participation requires a lot of time. While some attendees might not have the time to commit to an hour-long webinar, they might still want to voice their opinions on a simple group topic. The characteristics of your neighbourhood will serve as a guide for your proposals, and as time goes on, you may increase the level of vulnerability and time you require (</w:t>
      </w:r>
      <w:r w:rsidRPr="000E6538">
        <w:rPr>
          <w:rFonts w:ascii="Arial" w:hAnsi="Arial" w:cs="Arial"/>
          <w:shd w:val="clear" w:color="auto" w:fill="FFFFFF"/>
        </w:rPr>
        <w:t>Hubert et al., 2012)</w:t>
      </w:r>
      <w:r w:rsidRPr="000E6538">
        <w:rPr>
          <w:rFonts w:ascii="Arial" w:hAnsi="Arial" w:cs="Arial"/>
        </w:rPr>
        <w:t>.</w:t>
      </w:r>
    </w:p>
    <w:p w14:paraId="5A55F3CF" w14:textId="77777777" w:rsidR="000E6538" w:rsidRPr="000E6538" w:rsidRDefault="000E6538" w:rsidP="00095368">
      <w:pPr>
        <w:pStyle w:val="root-block-node"/>
        <w:spacing w:line="360" w:lineRule="auto"/>
        <w:jc w:val="both"/>
        <w:rPr>
          <w:rFonts w:ascii="Arial" w:hAnsi="Arial" w:cs="Arial"/>
        </w:rPr>
      </w:pPr>
      <w:r w:rsidRPr="000E6538">
        <w:rPr>
          <w:rFonts w:ascii="Arial" w:hAnsi="Arial" w:cs="Arial"/>
        </w:rPr>
        <w:t>The other principle of community engagement demands the community engager to participate in the activities that are being undertaken in the community activities. This will be the basis of the motivation of the members of the community, as the interaction and the participation of the engager will be the source of the modelling of the culture and behaviour that the person wants to see from the community that is being engaged. This can also be accomplished through social media by commenting on the social media groups of the targeted communities. The contributions should also be considered as supportive, welcoming, and helpful for those people who are in society (</w:t>
      </w:r>
      <w:r w:rsidRPr="000E6538">
        <w:rPr>
          <w:rFonts w:ascii="Arial" w:hAnsi="Arial" w:cs="Arial"/>
          <w:shd w:val="clear" w:color="auto" w:fill="FFFFFF"/>
        </w:rPr>
        <w:t>Ahmed et al., 2010)</w:t>
      </w:r>
      <w:r w:rsidRPr="000E6538">
        <w:rPr>
          <w:rFonts w:ascii="Arial" w:hAnsi="Arial" w:cs="Arial"/>
        </w:rPr>
        <w:t>. The greater the influence on community participation and engagement, the more members will feel comfortable and safe, allowing them to be their true selves. This can allow the community to introduce authenticity and the genuine self.</w:t>
      </w:r>
    </w:p>
    <w:p w14:paraId="2E772BE2" w14:textId="77777777" w:rsidR="000E6538" w:rsidRPr="000E6538" w:rsidRDefault="000E6538" w:rsidP="00095368">
      <w:pPr>
        <w:pStyle w:val="root-block-node"/>
        <w:spacing w:line="360" w:lineRule="auto"/>
        <w:jc w:val="both"/>
        <w:rPr>
          <w:rFonts w:ascii="Arial" w:hAnsi="Arial" w:cs="Arial"/>
        </w:rPr>
      </w:pPr>
      <w:r w:rsidRPr="000E6538">
        <w:rPr>
          <w:rFonts w:ascii="Arial" w:hAnsi="Arial" w:cs="Arial"/>
        </w:rPr>
        <w:t xml:space="preserve">The other principle is about persistency and being consistent and thoughtful in community engagement. There is a need for the creation of the plan for the engagement process to be fully undertaken. There is a need for the creation of a </w:t>
      </w:r>
      <w:r w:rsidRPr="000E6538">
        <w:rPr>
          <w:rFonts w:ascii="Arial" w:hAnsi="Arial" w:cs="Arial"/>
        </w:rPr>
        <w:lastRenderedPageBreak/>
        <w:t xml:space="preserve">calendar of events. The calendar should be content-linked, thoughtful, and well-crafted in the form of the engagement touch points. It is crucial to monitor and assess results as part of the plan. Are others using your conversation starters in the neighbourhood? Are webinars being attended by fewer people? Examining the performance data that backs up your actions is a great way to determine what is and is not working with them. Experimentation is also supposed to be done in accordance with this principle </w:t>
      </w:r>
      <w:r w:rsidRPr="000E6538">
        <w:rPr>
          <w:rFonts w:ascii="Arial" w:hAnsi="Arial" w:cs="Arial"/>
          <w:shd w:val="clear" w:color="auto" w:fill="FFFFFF"/>
        </w:rPr>
        <w:t>(Heldman et al., 2013)</w:t>
      </w:r>
      <w:r w:rsidRPr="000E6538">
        <w:rPr>
          <w:rFonts w:ascii="Arial" w:hAnsi="Arial" w:cs="Arial"/>
        </w:rPr>
        <w:t xml:space="preserve">. Hence, there is a need to try the activity in the community before we are aware of how it is done. If the engagement rate is at its lowest point, the person is required to go back to the drawing board and figure out the appropriate method that can be used in engaging the community. </w:t>
      </w:r>
      <w:proofErr w:type="gramStart"/>
      <w:r w:rsidRPr="000E6538">
        <w:rPr>
          <w:rFonts w:ascii="Arial" w:hAnsi="Arial" w:cs="Arial"/>
        </w:rPr>
        <w:t>Last but not least</w:t>
      </w:r>
      <w:proofErr w:type="gramEnd"/>
      <w:r w:rsidRPr="000E6538">
        <w:rPr>
          <w:rFonts w:ascii="Arial" w:hAnsi="Arial" w:cs="Arial"/>
        </w:rPr>
        <w:t>, give your engagement initiatives enough time to be effective. You shouldn't expect everything you try the first time to be a huge success. Getting momentum and giving members experience they can rely on could take some time.</w:t>
      </w:r>
    </w:p>
    <w:p w14:paraId="2CDB5538" w14:textId="77777777" w:rsidR="000E6538" w:rsidRPr="000E6538" w:rsidRDefault="000E6538" w:rsidP="00095368">
      <w:pPr>
        <w:pStyle w:val="root-block-node"/>
        <w:spacing w:line="360" w:lineRule="auto"/>
        <w:jc w:val="both"/>
        <w:rPr>
          <w:rFonts w:ascii="Arial" w:hAnsi="Arial" w:cs="Arial"/>
        </w:rPr>
      </w:pPr>
      <w:r w:rsidRPr="000E6538">
        <w:rPr>
          <w:rFonts w:ascii="Arial" w:hAnsi="Arial" w:cs="Arial"/>
        </w:rPr>
        <w:t>There are various types of community engagement and, according to this essay, the discussion of digital engagement is supposed to be undertaken. The stakeholders can be reached through the social media platforms. The stakeholders are known to affect the success of the goal and the success of the community engagement. Engaging with stakeholders can be done through constant communication to ensure that everyone is on the same page, identifying the interests and existing relationships (</w:t>
      </w:r>
      <w:r w:rsidRPr="000E6538">
        <w:rPr>
          <w:rFonts w:ascii="Arial" w:hAnsi="Arial" w:cs="Arial"/>
          <w:shd w:val="clear" w:color="auto" w:fill="FFFFFF"/>
        </w:rPr>
        <w:t>Hubert et al., 2012)</w:t>
      </w:r>
      <w:r w:rsidRPr="000E6538">
        <w:rPr>
          <w:rFonts w:ascii="Arial" w:hAnsi="Arial" w:cs="Arial"/>
        </w:rPr>
        <w:t>. This will ensure that the appropriate and the right stakeholders will be received in the engagement. There is a need to survey the different stakeholders to establish the correct and effective relationship between the stakeholders and the strategies. You may leverage the connections in your network that you find through surveying stakeholders to advance the issues that are important to you. The alternative is to give priority to stakeholders' interests and sway. Any stakeholder engagement strategy must prioritise stakeholders based on their level of involvement with your company and their influence over specific issues.</w:t>
      </w:r>
    </w:p>
    <w:p w14:paraId="75611032" w14:textId="77777777" w:rsidR="000E6538" w:rsidRPr="000E6538" w:rsidRDefault="000E6538" w:rsidP="00095368">
      <w:pPr>
        <w:pStyle w:val="root-block-node"/>
        <w:spacing w:line="360" w:lineRule="auto"/>
        <w:jc w:val="both"/>
        <w:rPr>
          <w:rFonts w:ascii="Arial" w:hAnsi="Arial" w:cs="Arial"/>
        </w:rPr>
      </w:pPr>
      <w:r w:rsidRPr="000E6538">
        <w:rPr>
          <w:rFonts w:ascii="Arial" w:hAnsi="Arial" w:cs="Arial"/>
        </w:rPr>
        <w:t>There is also a need for mapping the stakeholders in the measurement of the ROI of stakeholder engagement. This is done without considering the size of the stakeholder and the stakeholder's investment in the engagement effort. This can help in tracking the activities and the progress of the engagement process (</w:t>
      </w:r>
      <w:r w:rsidRPr="000E6538">
        <w:rPr>
          <w:rFonts w:ascii="Arial" w:hAnsi="Arial" w:cs="Arial"/>
          <w:shd w:val="clear" w:color="auto" w:fill="FFFFFF"/>
        </w:rPr>
        <w:t xml:space="preserve">Keen et </w:t>
      </w:r>
      <w:r w:rsidRPr="000E6538">
        <w:rPr>
          <w:rFonts w:ascii="Arial" w:hAnsi="Arial" w:cs="Arial"/>
          <w:shd w:val="clear" w:color="auto" w:fill="FFFFFF"/>
        </w:rPr>
        <w:lastRenderedPageBreak/>
        <w:t>al., 2012)</w:t>
      </w:r>
      <w:r w:rsidRPr="000E6538">
        <w:rPr>
          <w:rFonts w:ascii="Arial" w:hAnsi="Arial" w:cs="Arial"/>
        </w:rPr>
        <w:t xml:space="preserve">. There is also a need to communicate the company's activities regularly to the stakeholders, and this can lead to the creation and launching of new products in the community at large. The last way of establishing the appropriate establishment method in the relationship between the stakeholders and the community strategies is through logging into the meetings and maintaining institutional knowledge. Use a strategy to record meetings so that information is stored in a systematic way rather than just in one person's head. Additionally, keeping a note of meetings offers benefits beyond institutional knowledge. If your team is organised by topic and numerous team members are meeting with the same lawmakers, consult the meeting minutes from past meetings. By doing this, you will avoid stepping outside the bounds and perplexing the representative and their staff. Include feedback on the meeting's efficacy and update your stakeholder map </w:t>
      </w:r>
      <w:proofErr w:type="gramStart"/>
      <w:r w:rsidRPr="000E6538">
        <w:rPr>
          <w:rFonts w:ascii="Arial" w:hAnsi="Arial" w:cs="Arial"/>
        </w:rPr>
        <w:t>in light of</w:t>
      </w:r>
      <w:proofErr w:type="gramEnd"/>
      <w:r w:rsidRPr="000E6538">
        <w:rPr>
          <w:rFonts w:ascii="Arial" w:hAnsi="Arial" w:cs="Arial"/>
        </w:rPr>
        <w:t xml:space="preserve"> how well meetings with each office went (</w:t>
      </w:r>
      <w:r w:rsidRPr="000E6538">
        <w:rPr>
          <w:rFonts w:ascii="Arial" w:hAnsi="Arial" w:cs="Arial"/>
          <w:shd w:val="clear" w:color="auto" w:fill="FFFFFF"/>
        </w:rPr>
        <w:t>Clark et al., 2010)</w:t>
      </w:r>
      <w:r w:rsidRPr="000E6538">
        <w:rPr>
          <w:rFonts w:ascii="Arial" w:hAnsi="Arial" w:cs="Arial"/>
        </w:rPr>
        <w:t>.</w:t>
      </w:r>
    </w:p>
    <w:p w14:paraId="27B7399D" w14:textId="77777777" w:rsidR="000E6538" w:rsidRPr="000E6538" w:rsidRDefault="000E6538" w:rsidP="00095368">
      <w:pPr>
        <w:pStyle w:val="root-block-node"/>
        <w:spacing w:line="360" w:lineRule="auto"/>
        <w:jc w:val="both"/>
        <w:rPr>
          <w:rFonts w:ascii="Arial" w:hAnsi="Arial" w:cs="Arial"/>
        </w:rPr>
      </w:pPr>
      <w:proofErr w:type="gramStart"/>
      <w:r w:rsidRPr="000E6538">
        <w:rPr>
          <w:rFonts w:ascii="Arial" w:hAnsi="Arial" w:cs="Arial"/>
        </w:rPr>
        <w:t>In engaging the stakeholders, there</w:t>
      </w:r>
      <w:proofErr w:type="gramEnd"/>
      <w:r w:rsidRPr="000E6538">
        <w:rPr>
          <w:rFonts w:ascii="Arial" w:hAnsi="Arial" w:cs="Arial"/>
        </w:rPr>
        <w:t xml:space="preserve"> is a need for the use of social media in community engagement. This is </w:t>
      </w:r>
      <w:proofErr w:type="gramStart"/>
      <w:r w:rsidRPr="000E6538">
        <w:rPr>
          <w:rFonts w:ascii="Arial" w:hAnsi="Arial" w:cs="Arial"/>
        </w:rPr>
        <w:t>through the use of</w:t>
      </w:r>
      <w:proofErr w:type="gramEnd"/>
      <w:r w:rsidRPr="000E6538">
        <w:rPr>
          <w:rFonts w:ascii="Arial" w:hAnsi="Arial" w:cs="Arial"/>
        </w:rPr>
        <w:t xml:space="preserve"> social media outreach to reach the stakeholders and the spam influencers. Many companies trust their social media or community manager to handle their outreach on social media. The benefit of this strategy is that it gives your campaigns a more intimate feel. Prospects are addressed by Jim, a Widgets Inc. employee, as opposed to Widgets Inc. If your business is well-known, leveraging your brand accounts for social media marketing has the benefit of appearing more official (</w:t>
      </w:r>
      <w:r w:rsidRPr="000E6538">
        <w:rPr>
          <w:rFonts w:ascii="Arial" w:hAnsi="Arial" w:cs="Arial"/>
          <w:shd w:val="clear" w:color="auto" w:fill="FFFFFF"/>
        </w:rPr>
        <w:t>Saxton et al., 2012)</w:t>
      </w:r>
      <w:r w:rsidRPr="000E6538">
        <w:rPr>
          <w:rFonts w:ascii="Arial" w:hAnsi="Arial" w:cs="Arial"/>
        </w:rPr>
        <w:t>. You might reply to the Nike account on Twitter more quickly than someone posing as an employee of the brand. The following are the various strategies that you can use social media in the outreach of the project in consideration of interpersonal skills. There is an important consideration in the consideration of the objectives of the project that coheres to the community engagement task. In social media marketing, deciding what you want to accomplish is the first step. Your goals will determine who you contact, how you create a prospect list, and how you get in touch with them. Try not to set too high targets for your initial outreach endeavour.</w:t>
      </w:r>
    </w:p>
    <w:p w14:paraId="3B2A01CB" w14:textId="77777777" w:rsidR="000E6538" w:rsidRPr="000E6538" w:rsidRDefault="000E6538" w:rsidP="00095368">
      <w:pPr>
        <w:pStyle w:val="root-block-node"/>
        <w:spacing w:line="360" w:lineRule="auto"/>
        <w:jc w:val="both"/>
        <w:rPr>
          <w:rFonts w:ascii="Arial" w:hAnsi="Arial" w:cs="Arial"/>
        </w:rPr>
      </w:pPr>
      <w:r w:rsidRPr="000E6538">
        <w:rPr>
          <w:rFonts w:ascii="Arial" w:hAnsi="Arial" w:cs="Arial"/>
        </w:rPr>
        <w:t xml:space="preserve">The other way to use social media for community engagement is by making a prospect list. This is </w:t>
      </w:r>
      <w:proofErr w:type="gramStart"/>
      <w:r w:rsidRPr="000E6538">
        <w:rPr>
          <w:rFonts w:ascii="Arial" w:hAnsi="Arial" w:cs="Arial"/>
        </w:rPr>
        <w:t>through the use of</w:t>
      </w:r>
      <w:proofErr w:type="gramEnd"/>
      <w:r w:rsidRPr="000E6538">
        <w:rPr>
          <w:rFonts w:ascii="Arial" w:hAnsi="Arial" w:cs="Arial"/>
        </w:rPr>
        <w:t xml:space="preserve"> the media platforms. This suggests that randomly browsing Twitter and messaging everyone you follow is ineffective and </w:t>
      </w:r>
      <w:r w:rsidRPr="000E6538">
        <w:rPr>
          <w:rFonts w:ascii="Arial" w:hAnsi="Arial" w:cs="Arial"/>
        </w:rPr>
        <w:lastRenderedPageBreak/>
        <w:t xml:space="preserve">makes it tough to track your efforts. There needs to be more strategic thinking. Ideally, you should look for influencers that are likely to be interested in your brand and industry and who have their own fan base. </w:t>
      </w:r>
      <w:proofErr w:type="gramStart"/>
      <w:r w:rsidRPr="000E6538">
        <w:rPr>
          <w:rFonts w:ascii="Arial" w:hAnsi="Arial" w:cs="Arial"/>
        </w:rPr>
        <w:t>In order to</w:t>
      </w:r>
      <w:proofErr w:type="gramEnd"/>
      <w:r w:rsidRPr="000E6538">
        <w:rPr>
          <w:rFonts w:ascii="Arial" w:hAnsi="Arial" w:cs="Arial"/>
        </w:rPr>
        <w:t xml:space="preserve"> define the project or industry that you are aiming for in community involvement, it is also necessary to establish the crucial tasks that may be used. The use of the various social media platforms and the focus group can help in the full acquiring of the community engagement in the </w:t>
      </w:r>
      <w:proofErr w:type="spellStart"/>
      <w:r w:rsidRPr="000E6538">
        <w:rPr>
          <w:rFonts w:ascii="Arial" w:hAnsi="Arial" w:cs="Arial"/>
        </w:rPr>
        <w:t>attiaing</w:t>
      </w:r>
      <w:proofErr w:type="spellEnd"/>
      <w:r w:rsidRPr="000E6538">
        <w:rPr>
          <w:rFonts w:ascii="Arial" w:hAnsi="Arial" w:cs="Arial"/>
        </w:rPr>
        <w:t xml:space="preserve"> of the given project. Getting your social media profiles ready for outreach is the other method. People that you connect with on social media will view your profile (</w:t>
      </w:r>
      <w:proofErr w:type="spellStart"/>
      <w:r w:rsidRPr="000E6538">
        <w:rPr>
          <w:rFonts w:ascii="Arial" w:hAnsi="Arial" w:cs="Arial"/>
          <w:shd w:val="clear" w:color="auto" w:fill="FFFFFF"/>
        </w:rPr>
        <w:t>Manetti</w:t>
      </w:r>
      <w:proofErr w:type="spellEnd"/>
      <w:r w:rsidRPr="000E6538">
        <w:rPr>
          <w:rFonts w:ascii="Arial" w:hAnsi="Arial" w:cs="Arial"/>
          <w:shd w:val="clear" w:color="auto" w:fill="FFFFFF"/>
        </w:rPr>
        <w:t xml:space="preserve"> et al., 2016)</w:t>
      </w:r>
      <w:r w:rsidRPr="000E6538">
        <w:rPr>
          <w:rFonts w:ascii="Arial" w:hAnsi="Arial" w:cs="Arial"/>
        </w:rPr>
        <w:t>. If you want to be taken seriously, your profiles need to be well-designed. The settings of the professional Instagram or Twitter bio may be used to create a range of biographies. Making a professional profile photo and describing your identity and field of work can help you achieve this. This contributes to brand protection. Then, you may encourage others to contact you by adding the URL and phone number. Making an engagement list is the next step, and it's crucial to do so before meeting with the client. Keep your social media outreach secret rather than making it public. The use of social media ads is also beneficial in this engagement (</w:t>
      </w:r>
      <w:r w:rsidRPr="000E6538">
        <w:rPr>
          <w:rFonts w:ascii="Arial" w:hAnsi="Arial" w:cs="Arial"/>
          <w:shd w:val="clear" w:color="auto" w:fill="FFFFFF"/>
        </w:rPr>
        <w:t>Melanie et al., 2014)</w:t>
      </w:r>
      <w:r w:rsidRPr="000E6538">
        <w:rPr>
          <w:rFonts w:ascii="Arial" w:hAnsi="Arial" w:cs="Arial"/>
        </w:rPr>
        <w:t>.</w:t>
      </w:r>
    </w:p>
    <w:p w14:paraId="5593A6B5" w14:textId="77777777" w:rsidR="000E6538" w:rsidRPr="000E6538" w:rsidRDefault="000E6538" w:rsidP="00095368">
      <w:pPr>
        <w:pStyle w:val="root-block-node"/>
        <w:spacing w:line="360" w:lineRule="auto"/>
        <w:jc w:val="both"/>
        <w:outlineLvl w:val="0"/>
        <w:rPr>
          <w:rFonts w:ascii="Arial" w:hAnsi="Arial" w:cs="Arial"/>
          <w:b/>
          <w:bCs/>
        </w:rPr>
      </w:pPr>
      <w:bookmarkStart w:id="2" w:name="_Toc113304502"/>
      <w:r w:rsidRPr="000E6538">
        <w:rPr>
          <w:rFonts w:ascii="Arial" w:hAnsi="Arial" w:cs="Arial"/>
          <w:b/>
          <w:bCs/>
        </w:rPr>
        <w:t>Conclusion</w:t>
      </w:r>
      <w:bookmarkEnd w:id="2"/>
    </w:p>
    <w:p w14:paraId="1C6F3F0E" w14:textId="77777777" w:rsidR="000E6538" w:rsidRPr="000E6538" w:rsidRDefault="000E6538" w:rsidP="00095368">
      <w:pPr>
        <w:pStyle w:val="root-block-node"/>
        <w:spacing w:line="360" w:lineRule="auto"/>
        <w:jc w:val="both"/>
        <w:rPr>
          <w:rFonts w:ascii="Arial" w:hAnsi="Arial" w:cs="Arial"/>
        </w:rPr>
      </w:pPr>
      <w:r w:rsidRPr="000E6538">
        <w:rPr>
          <w:rFonts w:ascii="Arial" w:hAnsi="Arial" w:cs="Arial"/>
        </w:rPr>
        <w:t xml:space="preserve">Finally, it is primarily concerned with engaging the community at large in more sustainable and equitable decision making, which necessitates an efficient process, resulting in a deeper relationship and trust between the government, organizations, and the community at large. There are five basic principles that help in community engagement. These principles help in the building of value and connections among the community members. It is recommended that stakeholders be effectively engaged </w:t>
      </w:r>
      <w:proofErr w:type="gramStart"/>
      <w:r w:rsidRPr="000E6538">
        <w:rPr>
          <w:rFonts w:ascii="Arial" w:hAnsi="Arial" w:cs="Arial"/>
        </w:rPr>
        <w:t>in the area of</w:t>
      </w:r>
      <w:proofErr w:type="gramEnd"/>
      <w:r w:rsidRPr="000E6538">
        <w:rPr>
          <w:rFonts w:ascii="Arial" w:hAnsi="Arial" w:cs="Arial"/>
        </w:rPr>
        <w:t xml:space="preserve"> social media. Social media outreach is also a factor in community engagement. </w:t>
      </w:r>
    </w:p>
    <w:p w14:paraId="72D2B2A2" w14:textId="77777777" w:rsidR="000E6538" w:rsidRPr="000E6538" w:rsidRDefault="000E6538" w:rsidP="00095368">
      <w:pPr>
        <w:pStyle w:val="root-block-node"/>
        <w:spacing w:line="360" w:lineRule="auto"/>
        <w:jc w:val="both"/>
        <w:rPr>
          <w:rFonts w:ascii="Arial" w:hAnsi="Arial" w:cs="Arial"/>
        </w:rPr>
      </w:pPr>
      <w:r w:rsidRPr="000E6538">
        <w:rPr>
          <w:rFonts w:ascii="Arial" w:hAnsi="Arial" w:cs="Arial"/>
        </w:rPr>
        <w:t> </w:t>
      </w:r>
    </w:p>
    <w:p w14:paraId="181BD3AF" w14:textId="77777777" w:rsidR="000E6538" w:rsidRPr="000E6538" w:rsidRDefault="000E6538" w:rsidP="00095368">
      <w:pPr>
        <w:spacing w:line="360" w:lineRule="auto"/>
        <w:jc w:val="both"/>
        <w:rPr>
          <w:rFonts w:ascii="Arial" w:eastAsia="Times New Roman" w:hAnsi="Arial" w:cs="Arial"/>
          <w:sz w:val="24"/>
          <w:szCs w:val="24"/>
          <w:lang w:eastAsia="en-GB"/>
        </w:rPr>
      </w:pPr>
      <w:r w:rsidRPr="000E6538">
        <w:rPr>
          <w:rFonts w:ascii="Arial" w:hAnsi="Arial" w:cs="Arial"/>
          <w:sz w:val="24"/>
          <w:szCs w:val="24"/>
        </w:rPr>
        <w:br w:type="page"/>
      </w:r>
    </w:p>
    <w:p w14:paraId="7E94AA86" w14:textId="77777777" w:rsidR="000E6538" w:rsidRPr="000E6538" w:rsidRDefault="000E6538" w:rsidP="00095368">
      <w:pPr>
        <w:pStyle w:val="Heading1"/>
        <w:spacing w:line="360" w:lineRule="auto"/>
        <w:jc w:val="both"/>
        <w:rPr>
          <w:rFonts w:ascii="Arial" w:hAnsi="Arial" w:cs="Arial"/>
          <w:color w:val="auto"/>
          <w:sz w:val="24"/>
          <w:szCs w:val="24"/>
        </w:rPr>
      </w:pPr>
      <w:bookmarkStart w:id="3" w:name="_Toc109399233"/>
      <w:bookmarkStart w:id="4" w:name="_Toc113304503"/>
      <w:r w:rsidRPr="000E6538">
        <w:rPr>
          <w:rFonts w:ascii="Arial" w:hAnsi="Arial" w:cs="Arial"/>
          <w:color w:val="auto"/>
          <w:sz w:val="24"/>
          <w:szCs w:val="24"/>
        </w:rPr>
        <w:lastRenderedPageBreak/>
        <w:t>REFERENCES</w:t>
      </w:r>
      <w:bookmarkEnd w:id="3"/>
      <w:bookmarkEnd w:id="4"/>
    </w:p>
    <w:p w14:paraId="285EE199" w14:textId="77777777" w:rsidR="000E6538" w:rsidRPr="000E6538" w:rsidRDefault="000E6538" w:rsidP="00095368">
      <w:pPr>
        <w:spacing w:line="360" w:lineRule="auto"/>
        <w:jc w:val="both"/>
        <w:rPr>
          <w:rFonts w:ascii="Arial" w:hAnsi="Arial" w:cs="Arial"/>
          <w:sz w:val="24"/>
          <w:szCs w:val="24"/>
          <w:shd w:val="clear" w:color="auto" w:fill="FFFFFF"/>
        </w:rPr>
      </w:pPr>
      <w:r w:rsidRPr="000E6538">
        <w:rPr>
          <w:rFonts w:ascii="Arial" w:hAnsi="Arial" w:cs="Arial"/>
          <w:sz w:val="24"/>
          <w:szCs w:val="24"/>
        </w:rPr>
        <w:t> </w:t>
      </w:r>
      <w:r w:rsidRPr="000E6538">
        <w:rPr>
          <w:rFonts w:ascii="Arial" w:hAnsi="Arial" w:cs="Arial"/>
          <w:sz w:val="24"/>
          <w:szCs w:val="24"/>
          <w:shd w:val="clear" w:color="auto" w:fill="FFFFFF"/>
        </w:rPr>
        <w:t>Ahmed, Syed M., and Ann-Gel S. Palermo (2010). "Community engagement in research: frameworks for education and peer review." </w:t>
      </w:r>
      <w:r w:rsidRPr="000E6538">
        <w:rPr>
          <w:rFonts w:ascii="Arial" w:hAnsi="Arial" w:cs="Arial"/>
          <w:i/>
          <w:iCs/>
          <w:sz w:val="24"/>
          <w:szCs w:val="24"/>
          <w:shd w:val="clear" w:color="auto" w:fill="FFFFFF"/>
        </w:rPr>
        <w:t>American journal of public health</w:t>
      </w:r>
      <w:r w:rsidRPr="000E6538">
        <w:rPr>
          <w:rFonts w:ascii="Arial" w:hAnsi="Arial" w:cs="Arial"/>
          <w:sz w:val="24"/>
          <w:szCs w:val="24"/>
          <w:shd w:val="clear" w:color="auto" w:fill="FFFFFF"/>
        </w:rPr>
        <w:t xml:space="preserve"> 100, no. </w:t>
      </w:r>
      <w:proofErr w:type="gramStart"/>
      <w:r w:rsidRPr="000E6538">
        <w:rPr>
          <w:rFonts w:ascii="Arial" w:hAnsi="Arial" w:cs="Arial"/>
          <w:sz w:val="24"/>
          <w:szCs w:val="24"/>
          <w:shd w:val="clear" w:color="auto" w:fill="FFFFFF"/>
        </w:rPr>
        <w:t>8 :</w:t>
      </w:r>
      <w:proofErr w:type="gramEnd"/>
      <w:r w:rsidRPr="000E6538">
        <w:rPr>
          <w:rFonts w:ascii="Arial" w:hAnsi="Arial" w:cs="Arial"/>
          <w:sz w:val="24"/>
          <w:szCs w:val="24"/>
          <w:shd w:val="clear" w:color="auto" w:fill="FFFFFF"/>
        </w:rPr>
        <w:t xml:space="preserve"> 1380-1387.</w:t>
      </w:r>
    </w:p>
    <w:p w14:paraId="5B017B6E" w14:textId="77777777" w:rsidR="000E6538" w:rsidRPr="000E6538" w:rsidRDefault="000E6538" w:rsidP="00095368">
      <w:pPr>
        <w:spacing w:line="360" w:lineRule="auto"/>
        <w:jc w:val="both"/>
        <w:rPr>
          <w:rFonts w:ascii="Arial" w:hAnsi="Arial" w:cs="Arial"/>
          <w:sz w:val="24"/>
          <w:szCs w:val="24"/>
          <w:shd w:val="clear" w:color="auto" w:fill="FFFFFF"/>
        </w:rPr>
      </w:pPr>
      <w:r w:rsidRPr="000E6538">
        <w:rPr>
          <w:rFonts w:ascii="Arial" w:hAnsi="Arial" w:cs="Arial"/>
          <w:sz w:val="24"/>
          <w:szCs w:val="24"/>
          <w:shd w:val="clear" w:color="auto" w:fill="FFFFFF"/>
        </w:rPr>
        <w:t xml:space="preserve">Clark, Shawn M., Dennis A. </w:t>
      </w:r>
      <w:proofErr w:type="spellStart"/>
      <w:r w:rsidRPr="000E6538">
        <w:rPr>
          <w:rFonts w:ascii="Arial" w:hAnsi="Arial" w:cs="Arial"/>
          <w:sz w:val="24"/>
          <w:szCs w:val="24"/>
          <w:shd w:val="clear" w:color="auto" w:fill="FFFFFF"/>
        </w:rPr>
        <w:t>Gioia</w:t>
      </w:r>
      <w:proofErr w:type="spellEnd"/>
      <w:r w:rsidRPr="000E6538">
        <w:rPr>
          <w:rFonts w:ascii="Arial" w:hAnsi="Arial" w:cs="Arial"/>
          <w:sz w:val="24"/>
          <w:szCs w:val="24"/>
          <w:shd w:val="clear" w:color="auto" w:fill="FFFFFF"/>
        </w:rPr>
        <w:t xml:space="preserve">, David J. </w:t>
      </w:r>
      <w:proofErr w:type="spellStart"/>
      <w:r w:rsidRPr="000E6538">
        <w:rPr>
          <w:rFonts w:ascii="Arial" w:hAnsi="Arial" w:cs="Arial"/>
          <w:sz w:val="24"/>
          <w:szCs w:val="24"/>
          <w:shd w:val="clear" w:color="auto" w:fill="FFFFFF"/>
        </w:rPr>
        <w:t>Ketchen</w:t>
      </w:r>
      <w:proofErr w:type="spellEnd"/>
      <w:r w:rsidRPr="000E6538">
        <w:rPr>
          <w:rFonts w:ascii="Arial" w:hAnsi="Arial" w:cs="Arial"/>
          <w:sz w:val="24"/>
          <w:szCs w:val="24"/>
          <w:shd w:val="clear" w:color="auto" w:fill="FFFFFF"/>
        </w:rPr>
        <w:t xml:space="preserve"> Jr, and James B. Thomas (2010). "Transitional identity as a facilitator of organizational identity change during a merger." </w:t>
      </w:r>
      <w:r w:rsidRPr="000E6538">
        <w:rPr>
          <w:rFonts w:ascii="Arial" w:hAnsi="Arial" w:cs="Arial"/>
          <w:i/>
          <w:iCs/>
          <w:sz w:val="24"/>
          <w:szCs w:val="24"/>
          <w:shd w:val="clear" w:color="auto" w:fill="FFFFFF"/>
        </w:rPr>
        <w:t>Administrative science quarterly</w:t>
      </w:r>
      <w:r w:rsidRPr="000E6538">
        <w:rPr>
          <w:rFonts w:ascii="Arial" w:hAnsi="Arial" w:cs="Arial"/>
          <w:sz w:val="24"/>
          <w:szCs w:val="24"/>
          <w:shd w:val="clear" w:color="auto" w:fill="FFFFFF"/>
        </w:rPr>
        <w:t> 55, no. 3: 397-438.</w:t>
      </w:r>
    </w:p>
    <w:p w14:paraId="62E9046C" w14:textId="77777777" w:rsidR="000E6538" w:rsidRPr="000E6538" w:rsidRDefault="000E6538" w:rsidP="00095368">
      <w:pPr>
        <w:spacing w:line="360" w:lineRule="auto"/>
        <w:jc w:val="both"/>
        <w:rPr>
          <w:rFonts w:ascii="Arial" w:hAnsi="Arial" w:cs="Arial"/>
          <w:sz w:val="24"/>
          <w:szCs w:val="24"/>
          <w:shd w:val="clear" w:color="auto" w:fill="FFFFFF"/>
        </w:rPr>
      </w:pPr>
      <w:r w:rsidRPr="000E6538">
        <w:rPr>
          <w:rFonts w:ascii="Arial" w:hAnsi="Arial" w:cs="Arial"/>
          <w:sz w:val="24"/>
          <w:szCs w:val="24"/>
          <w:shd w:val="clear" w:color="auto" w:fill="FFFFFF"/>
        </w:rPr>
        <w:t xml:space="preserve">Dare, M., Schirmer, J. and </w:t>
      </w:r>
      <w:proofErr w:type="spellStart"/>
      <w:r w:rsidRPr="000E6538">
        <w:rPr>
          <w:rFonts w:ascii="Arial" w:hAnsi="Arial" w:cs="Arial"/>
          <w:sz w:val="24"/>
          <w:szCs w:val="24"/>
          <w:shd w:val="clear" w:color="auto" w:fill="FFFFFF"/>
        </w:rPr>
        <w:t>Vanclay</w:t>
      </w:r>
      <w:proofErr w:type="spellEnd"/>
      <w:r w:rsidRPr="000E6538">
        <w:rPr>
          <w:rFonts w:ascii="Arial" w:hAnsi="Arial" w:cs="Arial"/>
          <w:sz w:val="24"/>
          <w:szCs w:val="24"/>
          <w:shd w:val="clear" w:color="auto" w:fill="FFFFFF"/>
        </w:rPr>
        <w:t>, F., (2014). Community engagement and social licence to operate. </w:t>
      </w:r>
      <w:r w:rsidRPr="000E6538">
        <w:rPr>
          <w:rFonts w:ascii="Arial" w:hAnsi="Arial" w:cs="Arial"/>
          <w:i/>
          <w:iCs/>
          <w:sz w:val="24"/>
          <w:szCs w:val="24"/>
          <w:shd w:val="clear" w:color="auto" w:fill="FFFFFF"/>
        </w:rPr>
        <w:t>Impact assessment and project appraisal</w:t>
      </w:r>
      <w:r w:rsidRPr="000E6538">
        <w:rPr>
          <w:rFonts w:ascii="Arial" w:hAnsi="Arial" w:cs="Arial"/>
          <w:sz w:val="24"/>
          <w:szCs w:val="24"/>
          <w:shd w:val="clear" w:color="auto" w:fill="FFFFFF"/>
        </w:rPr>
        <w:t>, </w:t>
      </w:r>
      <w:r w:rsidRPr="000E6538">
        <w:rPr>
          <w:rFonts w:ascii="Arial" w:hAnsi="Arial" w:cs="Arial"/>
          <w:i/>
          <w:iCs/>
          <w:sz w:val="24"/>
          <w:szCs w:val="24"/>
          <w:shd w:val="clear" w:color="auto" w:fill="FFFFFF"/>
        </w:rPr>
        <w:t>32</w:t>
      </w:r>
      <w:r w:rsidRPr="000E6538">
        <w:rPr>
          <w:rFonts w:ascii="Arial" w:hAnsi="Arial" w:cs="Arial"/>
          <w:sz w:val="24"/>
          <w:szCs w:val="24"/>
          <w:shd w:val="clear" w:color="auto" w:fill="FFFFFF"/>
        </w:rPr>
        <w:t>(3), pp.188-197.</w:t>
      </w:r>
    </w:p>
    <w:p w14:paraId="205B9ECB" w14:textId="77777777" w:rsidR="000E6538" w:rsidRPr="000E6538" w:rsidRDefault="000E6538" w:rsidP="00095368">
      <w:pPr>
        <w:spacing w:line="360" w:lineRule="auto"/>
        <w:jc w:val="both"/>
        <w:rPr>
          <w:rFonts w:ascii="Arial" w:hAnsi="Arial" w:cs="Arial"/>
          <w:sz w:val="24"/>
          <w:szCs w:val="24"/>
          <w:shd w:val="clear" w:color="auto" w:fill="FFFFFF"/>
        </w:rPr>
      </w:pPr>
      <w:r w:rsidRPr="000E6538">
        <w:rPr>
          <w:rFonts w:ascii="Arial" w:hAnsi="Arial" w:cs="Arial"/>
          <w:sz w:val="24"/>
          <w:szCs w:val="24"/>
          <w:shd w:val="clear" w:color="auto" w:fill="FFFFFF"/>
        </w:rPr>
        <w:t xml:space="preserve">Heldman, Amy Burnett, Jessica </w:t>
      </w:r>
      <w:proofErr w:type="spellStart"/>
      <w:r w:rsidRPr="000E6538">
        <w:rPr>
          <w:rFonts w:ascii="Arial" w:hAnsi="Arial" w:cs="Arial"/>
          <w:sz w:val="24"/>
          <w:szCs w:val="24"/>
          <w:shd w:val="clear" w:color="auto" w:fill="FFFFFF"/>
        </w:rPr>
        <w:t>Schindelar</w:t>
      </w:r>
      <w:proofErr w:type="spellEnd"/>
      <w:r w:rsidRPr="000E6538">
        <w:rPr>
          <w:rFonts w:ascii="Arial" w:hAnsi="Arial" w:cs="Arial"/>
          <w:sz w:val="24"/>
          <w:szCs w:val="24"/>
          <w:shd w:val="clear" w:color="auto" w:fill="FFFFFF"/>
        </w:rPr>
        <w:t>, and James B. Weaver (2013). "Social media engagement and public health communication: implications for public health organizations being truly “social”." </w:t>
      </w:r>
      <w:r w:rsidRPr="000E6538">
        <w:rPr>
          <w:rFonts w:ascii="Arial" w:hAnsi="Arial" w:cs="Arial"/>
          <w:i/>
          <w:iCs/>
          <w:sz w:val="24"/>
          <w:szCs w:val="24"/>
          <w:shd w:val="clear" w:color="auto" w:fill="FFFFFF"/>
        </w:rPr>
        <w:t>Public health reviews</w:t>
      </w:r>
      <w:r w:rsidRPr="000E6538">
        <w:rPr>
          <w:rFonts w:ascii="Arial" w:hAnsi="Arial" w:cs="Arial"/>
          <w:sz w:val="24"/>
          <w:szCs w:val="24"/>
          <w:shd w:val="clear" w:color="auto" w:fill="FFFFFF"/>
        </w:rPr>
        <w:t> 35.1: 1-18.</w:t>
      </w:r>
    </w:p>
    <w:p w14:paraId="75E79960" w14:textId="77777777" w:rsidR="000E6538" w:rsidRPr="000E6538" w:rsidRDefault="000E6538" w:rsidP="00095368">
      <w:pPr>
        <w:spacing w:line="360" w:lineRule="auto"/>
        <w:jc w:val="both"/>
        <w:rPr>
          <w:rFonts w:ascii="Arial" w:hAnsi="Arial" w:cs="Arial"/>
          <w:sz w:val="24"/>
          <w:szCs w:val="24"/>
          <w:shd w:val="clear" w:color="auto" w:fill="FFFFFF"/>
        </w:rPr>
      </w:pPr>
      <w:proofErr w:type="spellStart"/>
      <w:r w:rsidRPr="000E6538">
        <w:rPr>
          <w:rFonts w:ascii="Arial" w:hAnsi="Arial" w:cs="Arial"/>
          <w:sz w:val="24"/>
          <w:szCs w:val="24"/>
          <w:shd w:val="clear" w:color="auto" w:fill="FFFFFF"/>
        </w:rPr>
        <w:t>Hovmand</w:t>
      </w:r>
      <w:proofErr w:type="spellEnd"/>
      <w:r w:rsidRPr="000E6538">
        <w:rPr>
          <w:rFonts w:ascii="Arial" w:hAnsi="Arial" w:cs="Arial"/>
          <w:sz w:val="24"/>
          <w:szCs w:val="24"/>
          <w:shd w:val="clear" w:color="auto" w:fill="FFFFFF"/>
        </w:rPr>
        <w:t>, P.S., (2014). Group model building and community-based system dynamics process. In </w:t>
      </w:r>
      <w:r w:rsidRPr="000E6538">
        <w:rPr>
          <w:rFonts w:ascii="Arial" w:hAnsi="Arial" w:cs="Arial"/>
          <w:i/>
          <w:iCs/>
          <w:sz w:val="24"/>
          <w:szCs w:val="24"/>
          <w:shd w:val="clear" w:color="auto" w:fill="FFFFFF"/>
        </w:rPr>
        <w:t>Community based system dynamics</w:t>
      </w:r>
      <w:r w:rsidRPr="000E6538">
        <w:rPr>
          <w:rFonts w:ascii="Arial" w:hAnsi="Arial" w:cs="Arial"/>
          <w:sz w:val="24"/>
          <w:szCs w:val="24"/>
          <w:shd w:val="clear" w:color="auto" w:fill="FFFFFF"/>
        </w:rPr>
        <w:t> (pp. 17-30). Springer, New York, NY.</w:t>
      </w:r>
    </w:p>
    <w:p w14:paraId="50F3EA97" w14:textId="77777777" w:rsidR="000E6538" w:rsidRPr="000E6538" w:rsidRDefault="000E6538" w:rsidP="00095368">
      <w:pPr>
        <w:spacing w:line="360" w:lineRule="auto"/>
        <w:jc w:val="both"/>
        <w:rPr>
          <w:rFonts w:ascii="Arial" w:hAnsi="Arial" w:cs="Arial"/>
          <w:sz w:val="24"/>
          <w:szCs w:val="24"/>
          <w:shd w:val="clear" w:color="auto" w:fill="FFFFFF"/>
        </w:rPr>
      </w:pPr>
      <w:r w:rsidRPr="000E6538">
        <w:rPr>
          <w:rFonts w:ascii="Arial" w:hAnsi="Arial" w:cs="Arial"/>
          <w:sz w:val="24"/>
          <w:szCs w:val="24"/>
          <w:shd w:val="clear" w:color="auto" w:fill="FFFFFF"/>
        </w:rPr>
        <w:t xml:space="preserve">Keen, Meg, Valerie A. Brown, and Rob </w:t>
      </w:r>
      <w:proofErr w:type="spellStart"/>
      <w:r w:rsidRPr="000E6538">
        <w:rPr>
          <w:rFonts w:ascii="Arial" w:hAnsi="Arial" w:cs="Arial"/>
          <w:sz w:val="24"/>
          <w:szCs w:val="24"/>
          <w:shd w:val="clear" w:color="auto" w:fill="FFFFFF"/>
        </w:rPr>
        <w:t>Dyball</w:t>
      </w:r>
      <w:proofErr w:type="spellEnd"/>
      <w:r w:rsidRPr="000E6538">
        <w:rPr>
          <w:rFonts w:ascii="Arial" w:hAnsi="Arial" w:cs="Arial"/>
          <w:sz w:val="24"/>
          <w:szCs w:val="24"/>
          <w:shd w:val="clear" w:color="auto" w:fill="FFFFFF"/>
        </w:rPr>
        <w:t xml:space="preserve"> (2012). "Social learning: a new approach to environmental management." </w:t>
      </w:r>
      <w:r w:rsidRPr="000E6538">
        <w:rPr>
          <w:rFonts w:ascii="Arial" w:hAnsi="Arial" w:cs="Arial"/>
          <w:i/>
          <w:iCs/>
          <w:sz w:val="24"/>
          <w:szCs w:val="24"/>
          <w:shd w:val="clear" w:color="auto" w:fill="FFFFFF"/>
        </w:rPr>
        <w:t>Social learning in environmental management</w:t>
      </w:r>
      <w:r w:rsidRPr="000E6538">
        <w:rPr>
          <w:rFonts w:ascii="Arial" w:hAnsi="Arial" w:cs="Arial"/>
          <w:sz w:val="24"/>
          <w:szCs w:val="24"/>
          <w:shd w:val="clear" w:color="auto" w:fill="FFFFFF"/>
        </w:rPr>
        <w:t xml:space="preserve">. </w:t>
      </w:r>
      <w:proofErr w:type="gramStart"/>
      <w:r w:rsidRPr="000E6538">
        <w:rPr>
          <w:rFonts w:ascii="Arial" w:hAnsi="Arial" w:cs="Arial"/>
          <w:sz w:val="24"/>
          <w:szCs w:val="24"/>
          <w:shd w:val="clear" w:color="auto" w:fill="FFFFFF"/>
        </w:rPr>
        <w:t>Routledge,.</w:t>
      </w:r>
      <w:proofErr w:type="gramEnd"/>
      <w:r w:rsidRPr="000E6538">
        <w:rPr>
          <w:rFonts w:ascii="Arial" w:hAnsi="Arial" w:cs="Arial"/>
          <w:sz w:val="24"/>
          <w:szCs w:val="24"/>
          <w:shd w:val="clear" w:color="auto" w:fill="FFFFFF"/>
        </w:rPr>
        <w:t xml:space="preserve"> 20-38.</w:t>
      </w:r>
    </w:p>
    <w:p w14:paraId="387B804B" w14:textId="77777777" w:rsidR="000E6538" w:rsidRPr="000E6538" w:rsidRDefault="000E6538" w:rsidP="00095368">
      <w:pPr>
        <w:spacing w:line="360" w:lineRule="auto"/>
        <w:jc w:val="both"/>
        <w:rPr>
          <w:rFonts w:ascii="Arial" w:hAnsi="Arial" w:cs="Arial"/>
          <w:sz w:val="24"/>
          <w:szCs w:val="24"/>
          <w:shd w:val="clear" w:color="auto" w:fill="FFFFFF"/>
        </w:rPr>
      </w:pPr>
      <w:r w:rsidRPr="000E6538">
        <w:rPr>
          <w:rFonts w:ascii="Arial" w:hAnsi="Arial" w:cs="Arial"/>
          <w:sz w:val="24"/>
          <w:szCs w:val="24"/>
          <w:shd w:val="clear" w:color="auto" w:fill="FFFFFF"/>
        </w:rPr>
        <w:t xml:space="preserve">Lovejoy, Kristen, and Gregory D. Saxton (2012). "Information, community, and action: How </w:t>
      </w:r>
      <w:proofErr w:type="spellStart"/>
      <w:r w:rsidRPr="000E6538">
        <w:rPr>
          <w:rFonts w:ascii="Arial" w:hAnsi="Arial" w:cs="Arial"/>
          <w:sz w:val="24"/>
          <w:szCs w:val="24"/>
          <w:shd w:val="clear" w:color="auto" w:fill="FFFFFF"/>
        </w:rPr>
        <w:t>nonprofit</w:t>
      </w:r>
      <w:proofErr w:type="spellEnd"/>
      <w:r w:rsidRPr="000E6538">
        <w:rPr>
          <w:rFonts w:ascii="Arial" w:hAnsi="Arial" w:cs="Arial"/>
          <w:sz w:val="24"/>
          <w:szCs w:val="24"/>
          <w:shd w:val="clear" w:color="auto" w:fill="FFFFFF"/>
        </w:rPr>
        <w:t xml:space="preserve"> organizations use social media." </w:t>
      </w:r>
      <w:r w:rsidRPr="000E6538">
        <w:rPr>
          <w:rFonts w:ascii="Arial" w:hAnsi="Arial" w:cs="Arial"/>
          <w:i/>
          <w:iCs/>
          <w:sz w:val="24"/>
          <w:szCs w:val="24"/>
          <w:shd w:val="clear" w:color="auto" w:fill="FFFFFF"/>
        </w:rPr>
        <w:t>Journal of computer-mediated communication</w:t>
      </w:r>
      <w:r w:rsidRPr="000E6538">
        <w:rPr>
          <w:rFonts w:ascii="Arial" w:hAnsi="Arial" w:cs="Arial"/>
          <w:sz w:val="24"/>
          <w:szCs w:val="24"/>
          <w:shd w:val="clear" w:color="auto" w:fill="FFFFFF"/>
        </w:rPr>
        <w:t> </w:t>
      </w:r>
      <w:proofErr w:type="gramStart"/>
      <w:r w:rsidRPr="000E6538">
        <w:rPr>
          <w:rFonts w:ascii="Arial" w:hAnsi="Arial" w:cs="Arial"/>
          <w:sz w:val="24"/>
          <w:szCs w:val="24"/>
          <w:shd w:val="clear" w:color="auto" w:fill="FFFFFF"/>
        </w:rPr>
        <w:t>17.3 :</w:t>
      </w:r>
      <w:proofErr w:type="gramEnd"/>
      <w:r w:rsidRPr="000E6538">
        <w:rPr>
          <w:rFonts w:ascii="Arial" w:hAnsi="Arial" w:cs="Arial"/>
          <w:sz w:val="24"/>
          <w:szCs w:val="24"/>
          <w:shd w:val="clear" w:color="auto" w:fill="FFFFFF"/>
        </w:rPr>
        <w:t xml:space="preserve"> 337-353.</w:t>
      </w:r>
    </w:p>
    <w:p w14:paraId="74F58420" w14:textId="77777777" w:rsidR="000E6538" w:rsidRPr="000E6538" w:rsidRDefault="000E6538" w:rsidP="00095368">
      <w:pPr>
        <w:spacing w:line="360" w:lineRule="auto"/>
        <w:jc w:val="both"/>
        <w:rPr>
          <w:rFonts w:ascii="Arial" w:hAnsi="Arial" w:cs="Arial"/>
          <w:sz w:val="24"/>
          <w:szCs w:val="24"/>
          <w:shd w:val="clear" w:color="auto" w:fill="FFFFFF"/>
        </w:rPr>
      </w:pPr>
      <w:proofErr w:type="spellStart"/>
      <w:r w:rsidRPr="000E6538">
        <w:rPr>
          <w:rFonts w:ascii="Arial" w:hAnsi="Arial" w:cs="Arial"/>
          <w:sz w:val="24"/>
          <w:szCs w:val="24"/>
          <w:shd w:val="clear" w:color="auto" w:fill="FFFFFF"/>
        </w:rPr>
        <w:t>Manetti</w:t>
      </w:r>
      <w:proofErr w:type="spellEnd"/>
      <w:r w:rsidRPr="000E6538">
        <w:rPr>
          <w:rFonts w:ascii="Arial" w:hAnsi="Arial" w:cs="Arial"/>
          <w:sz w:val="24"/>
          <w:szCs w:val="24"/>
          <w:shd w:val="clear" w:color="auto" w:fill="FFFFFF"/>
        </w:rPr>
        <w:t>, Giacomo, and Marco Bellucci (2016). "The use of social media for engaging stakeholders in sustainability reporting." </w:t>
      </w:r>
      <w:r w:rsidRPr="000E6538">
        <w:rPr>
          <w:rFonts w:ascii="Arial" w:hAnsi="Arial" w:cs="Arial"/>
          <w:i/>
          <w:iCs/>
          <w:sz w:val="24"/>
          <w:szCs w:val="24"/>
          <w:shd w:val="clear" w:color="auto" w:fill="FFFFFF"/>
        </w:rPr>
        <w:t>Accounting, Auditing &amp; Accountability Journal</w:t>
      </w:r>
      <w:r w:rsidRPr="000E6538">
        <w:rPr>
          <w:rFonts w:ascii="Arial" w:hAnsi="Arial" w:cs="Arial"/>
          <w:sz w:val="24"/>
          <w:szCs w:val="24"/>
          <w:shd w:val="clear" w:color="auto" w:fill="FFFFFF"/>
        </w:rPr>
        <w:t>.</w:t>
      </w:r>
    </w:p>
    <w:p w14:paraId="09DAB963" w14:textId="77777777" w:rsidR="000E6538" w:rsidRPr="000E6538" w:rsidRDefault="000E6538" w:rsidP="00095368">
      <w:pPr>
        <w:spacing w:line="360" w:lineRule="auto"/>
        <w:jc w:val="both"/>
        <w:rPr>
          <w:rFonts w:ascii="Arial" w:hAnsi="Arial" w:cs="Arial"/>
          <w:sz w:val="24"/>
          <w:szCs w:val="24"/>
          <w:shd w:val="clear" w:color="auto" w:fill="FFFFFF"/>
        </w:rPr>
      </w:pPr>
      <w:r w:rsidRPr="000E6538">
        <w:rPr>
          <w:rFonts w:ascii="Arial" w:hAnsi="Arial" w:cs="Arial"/>
          <w:sz w:val="24"/>
          <w:szCs w:val="24"/>
          <w:shd w:val="clear" w:color="auto" w:fill="FFFFFF"/>
        </w:rPr>
        <w:t xml:space="preserve">Ojha, Hemant R., Rebecca Ford, Rodney J. Keenan, Digby Race, Dora </w:t>
      </w:r>
      <w:proofErr w:type="spellStart"/>
      <w:r w:rsidRPr="000E6538">
        <w:rPr>
          <w:rFonts w:ascii="Arial" w:hAnsi="Arial" w:cs="Arial"/>
          <w:sz w:val="24"/>
          <w:szCs w:val="24"/>
          <w:shd w:val="clear" w:color="auto" w:fill="FFFFFF"/>
        </w:rPr>
        <w:t>Carias</w:t>
      </w:r>
      <w:proofErr w:type="spellEnd"/>
      <w:r w:rsidRPr="000E6538">
        <w:rPr>
          <w:rFonts w:ascii="Arial" w:hAnsi="Arial" w:cs="Arial"/>
          <w:sz w:val="24"/>
          <w:szCs w:val="24"/>
          <w:shd w:val="clear" w:color="auto" w:fill="FFFFFF"/>
        </w:rPr>
        <w:t xml:space="preserve"> Vega, </w:t>
      </w:r>
      <w:proofErr w:type="spellStart"/>
      <w:r w:rsidRPr="000E6538">
        <w:rPr>
          <w:rFonts w:ascii="Arial" w:hAnsi="Arial" w:cs="Arial"/>
          <w:sz w:val="24"/>
          <w:szCs w:val="24"/>
          <w:shd w:val="clear" w:color="auto" w:fill="FFFFFF"/>
        </w:rPr>
        <w:t>Himlal</w:t>
      </w:r>
      <w:proofErr w:type="spellEnd"/>
      <w:r w:rsidRPr="000E6538">
        <w:rPr>
          <w:rFonts w:ascii="Arial" w:hAnsi="Arial" w:cs="Arial"/>
          <w:sz w:val="24"/>
          <w:szCs w:val="24"/>
          <w:shd w:val="clear" w:color="auto" w:fill="FFFFFF"/>
        </w:rPr>
        <w:t xml:space="preserve"> </w:t>
      </w:r>
      <w:proofErr w:type="spellStart"/>
      <w:r w:rsidRPr="000E6538">
        <w:rPr>
          <w:rFonts w:ascii="Arial" w:hAnsi="Arial" w:cs="Arial"/>
          <w:sz w:val="24"/>
          <w:szCs w:val="24"/>
          <w:shd w:val="clear" w:color="auto" w:fill="FFFFFF"/>
        </w:rPr>
        <w:t>Baral</w:t>
      </w:r>
      <w:proofErr w:type="spellEnd"/>
      <w:r w:rsidRPr="000E6538">
        <w:rPr>
          <w:rFonts w:ascii="Arial" w:hAnsi="Arial" w:cs="Arial"/>
          <w:sz w:val="24"/>
          <w:szCs w:val="24"/>
          <w:shd w:val="clear" w:color="auto" w:fill="FFFFFF"/>
        </w:rPr>
        <w:t xml:space="preserve">, and </w:t>
      </w:r>
      <w:proofErr w:type="spellStart"/>
      <w:r w:rsidRPr="000E6538">
        <w:rPr>
          <w:rFonts w:ascii="Arial" w:hAnsi="Arial" w:cs="Arial"/>
          <w:sz w:val="24"/>
          <w:szCs w:val="24"/>
          <w:shd w:val="clear" w:color="auto" w:fill="FFFFFF"/>
        </w:rPr>
        <w:t>Prativa</w:t>
      </w:r>
      <w:proofErr w:type="spellEnd"/>
      <w:r w:rsidRPr="000E6538">
        <w:rPr>
          <w:rFonts w:ascii="Arial" w:hAnsi="Arial" w:cs="Arial"/>
          <w:sz w:val="24"/>
          <w:szCs w:val="24"/>
          <w:shd w:val="clear" w:color="auto" w:fill="FFFFFF"/>
        </w:rPr>
        <w:t xml:space="preserve"> Sapkota. (2016) "Delocalizing communities: Changing forms of community engagement in natural resources governance." </w:t>
      </w:r>
      <w:r w:rsidRPr="000E6538">
        <w:rPr>
          <w:rFonts w:ascii="Arial" w:hAnsi="Arial" w:cs="Arial"/>
          <w:i/>
          <w:iCs/>
          <w:sz w:val="24"/>
          <w:szCs w:val="24"/>
          <w:shd w:val="clear" w:color="auto" w:fill="FFFFFF"/>
        </w:rPr>
        <w:t>World Development</w:t>
      </w:r>
      <w:r w:rsidRPr="000E6538">
        <w:rPr>
          <w:rFonts w:ascii="Arial" w:hAnsi="Arial" w:cs="Arial"/>
          <w:sz w:val="24"/>
          <w:szCs w:val="24"/>
          <w:shd w:val="clear" w:color="auto" w:fill="FFFFFF"/>
        </w:rPr>
        <w:t> </w:t>
      </w:r>
      <w:proofErr w:type="gramStart"/>
      <w:r w:rsidRPr="000E6538">
        <w:rPr>
          <w:rFonts w:ascii="Arial" w:hAnsi="Arial" w:cs="Arial"/>
          <w:sz w:val="24"/>
          <w:szCs w:val="24"/>
          <w:shd w:val="clear" w:color="auto" w:fill="FFFFFF"/>
        </w:rPr>
        <w:t>87 :</w:t>
      </w:r>
      <w:proofErr w:type="gramEnd"/>
      <w:r w:rsidRPr="000E6538">
        <w:rPr>
          <w:rFonts w:ascii="Arial" w:hAnsi="Arial" w:cs="Arial"/>
          <w:sz w:val="24"/>
          <w:szCs w:val="24"/>
          <w:shd w:val="clear" w:color="auto" w:fill="FFFFFF"/>
        </w:rPr>
        <w:t xml:space="preserve"> 274-290.</w:t>
      </w:r>
    </w:p>
    <w:p w14:paraId="2706C4E3" w14:textId="77777777" w:rsidR="000E6538" w:rsidRPr="000E6538" w:rsidRDefault="000E6538" w:rsidP="00095368">
      <w:pPr>
        <w:spacing w:line="360" w:lineRule="auto"/>
        <w:jc w:val="both"/>
        <w:rPr>
          <w:rFonts w:ascii="Arial" w:hAnsi="Arial" w:cs="Arial"/>
          <w:sz w:val="24"/>
          <w:szCs w:val="24"/>
          <w:shd w:val="clear" w:color="auto" w:fill="FFFFFF"/>
        </w:rPr>
      </w:pPr>
      <w:r w:rsidRPr="000E6538">
        <w:rPr>
          <w:rFonts w:ascii="Arial" w:hAnsi="Arial" w:cs="Arial"/>
          <w:sz w:val="24"/>
          <w:szCs w:val="24"/>
          <w:shd w:val="clear" w:color="auto" w:fill="FFFFFF"/>
        </w:rPr>
        <w:lastRenderedPageBreak/>
        <w:t>Saint-Onge, H. and Wallace, D., (2012). </w:t>
      </w:r>
      <w:r w:rsidRPr="000E6538">
        <w:rPr>
          <w:rFonts w:ascii="Arial" w:hAnsi="Arial" w:cs="Arial"/>
          <w:i/>
          <w:iCs/>
          <w:sz w:val="24"/>
          <w:szCs w:val="24"/>
          <w:shd w:val="clear" w:color="auto" w:fill="FFFFFF"/>
        </w:rPr>
        <w:t>Leveraging communities of practice for strategic advantage</w:t>
      </w:r>
      <w:r w:rsidRPr="000E6538">
        <w:rPr>
          <w:rFonts w:ascii="Arial" w:hAnsi="Arial" w:cs="Arial"/>
          <w:sz w:val="24"/>
          <w:szCs w:val="24"/>
          <w:shd w:val="clear" w:color="auto" w:fill="FFFFFF"/>
        </w:rPr>
        <w:t>. Routledge.</w:t>
      </w:r>
    </w:p>
    <w:p w14:paraId="49BBFB9A" w14:textId="77777777" w:rsidR="000E6538" w:rsidRPr="000E6538" w:rsidRDefault="000E6538" w:rsidP="00095368">
      <w:pPr>
        <w:spacing w:line="360" w:lineRule="auto"/>
        <w:jc w:val="both"/>
        <w:rPr>
          <w:rFonts w:ascii="Arial" w:hAnsi="Arial" w:cs="Arial"/>
          <w:sz w:val="24"/>
          <w:szCs w:val="24"/>
          <w:shd w:val="clear" w:color="auto" w:fill="FFFFFF"/>
        </w:rPr>
      </w:pPr>
      <w:r w:rsidRPr="000E6538">
        <w:rPr>
          <w:rFonts w:ascii="Arial" w:hAnsi="Arial" w:cs="Arial"/>
          <w:sz w:val="24"/>
          <w:szCs w:val="24"/>
          <w:shd w:val="clear" w:color="auto" w:fill="FFFFFF"/>
        </w:rPr>
        <w:t>Wallerstein, N. and Duran, B., (2010). Community-based participatory research contributions to intervention research: the intersection of science and practice to improve health equity. </w:t>
      </w:r>
      <w:r w:rsidRPr="000E6538">
        <w:rPr>
          <w:rFonts w:ascii="Arial" w:hAnsi="Arial" w:cs="Arial"/>
          <w:i/>
          <w:iCs/>
          <w:sz w:val="24"/>
          <w:szCs w:val="24"/>
          <w:shd w:val="clear" w:color="auto" w:fill="FFFFFF"/>
        </w:rPr>
        <w:t>American journal of public health</w:t>
      </w:r>
      <w:r w:rsidRPr="000E6538">
        <w:rPr>
          <w:rFonts w:ascii="Arial" w:hAnsi="Arial" w:cs="Arial"/>
          <w:sz w:val="24"/>
          <w:szCs w:val="24"/>
          <w:shd w:val="clear" w:color="auto" w:fill="FFFFFF"/>
        </w:rPr>
        <w:t>, </w:t>
      </w:r>
      <w:r w:rsidRPr="000E6538">
        <w:rPr>
          <w:rFonts w:ascii="Arial" w:hAnsi="Arial" w:cs="Arial"/>
          <w:i/>
          <w:iCs/>
          <w:sz w:val="24"/>
          <w:szCs w:val="24"/>
          <w:shd w:val="clear" w:color="auto" w:fill="FFFFFF"/>
        </w:rPr>
        <w:t>100</w:t>
      </w:r>
      <w:r w:rsidRPr="000E6538">
        <w:rPr>
          <w:rFonts w:ascii="Arial" w:hAnsi="Arial" w:cs="Arial"/>
          <w:sz w:val="24"/>
          <w:szCs w:val="24"/>
          <w:shd w:val="clear" w:color="auto" w:fill="FFFFFF"/>
        </w:rPr>
        <w:t xml:space="preserve">(S1), </w:t>
      </w:r>
      <w:proofErr w:type="gramStart"/>
      <w:r w:rsidRPr="000E6538">
        <w:rPr>
          <w:rFonts w:ascii="Arial" w:hAnsi="Arial" w:cs="Arial"/>
          <w:sz w:val="24"/>
          <w:szCs w:val="24"/>
          <w:shd w:val="clear" w:color="auto" w:fill="FFFFFF"/>
        </w:rPr>
        <w:t>pp.S</w:t>
      </w:r>
      <w:proofErr w:type="gramEnd"/>
      <w:r w:rsidRPr="000E6538">
        <w:rPr>
          <w:rFonts w:ascii="Arial" w:hAnsi="Arial" w:cs="Arial"/>
          <w:sz w:val="24"/>
          <w:szCs w:val="24"/>
          <w:shd w:val="clear" w:color="auto" w:fill="FFFFFF"/>
        </w:rPr>
        <w:t>40-S46.</w:t>
      </w:r>
    </w:p>
    <w:p w14:paraId="4BB01331" w14:textId="77777777" w:rsidR="000E6538" w:rsidRPr="000E6538" w:rsidRDefault="000E6538" w:rsidP="00095368">
      <w:pPr>
        <w:spacing w:line="360" w:lineRule="auto"/>
        <w:jc w:val="both"/>
        <w:rPr>
          <w:rFonts w:ascii="Arial" w:hAnsi="Arial" w:cs="Arial"/>
          <w:sz w:val="24"/>
          <w:szCs w:val="24"/>
        </w:rPr>
      </w:pPr>
      <w:proofErr w:type="spellStart"/>
      <w:r w:rsidRPr="000E6538">
        <w:rPr>
          <w:rFonts w:ascii="Arial" w:hAnsi="Arial" w:cs="Arial"/>
          <w:sz w:val="24"/>
          <w:szCs w:val="24"/>
          <w:shd w:val="clear" w:color="auto" w:fill="FFFFFF"/>
        </w:rPr>
        <w:t>Whiteley</w:t>
      </w:r>
      <w:proofErr w:type="spellEnd"/>
      <w:r w:rsidRPr="000E6538">
        <w:rPr>
          <w:rFonts w:ascii="Arial" w:hAnsi="Arial" w:cs="Arial"/>
          <w:sz w:val="24"/>
          <w:szCs w:val="24"/>
          <w:shd w:val="clear" w:color="auto" w:fill="FFFFFF"/>
        </w:rPr>
        <w:t>, Sara. "Talking about ‘An Accommodation’ (2011): The implications of discussion group data for community engagement and pedagogy." </w:t>
      </w:r>
      <w:r w:rsidRPr="000E6538">
        <w:rPr>
          <w:rFonts w:ascii="Arial" w:hAnsi="Arial" w:cs="Arial"/>
          <w:i/>
          <w:iCs/>
          <w:sz w:val="24"/>
          <w:szCs w:val="24"/>
          <w:shd w:val="clear" w:color="auto" w:fill="FFFFFF"/>
        </w:rPr>
        <w:t>Language and Literature</w:t>
      </w:r>
      <w:r w:rsidRPr="000E6538">
        <w:rPr>
          <w:rFonts w:ascii="Arial" w:hAnsi="Arial" w:cs="Arial"/>
          <w:sz w:val="24"/>
          <w:szCs w:val="24"/>
          <w:shd w:val="clear" w:color="auto" w:fill="FFFFFF"/>
        </w:rPr>
        <w:t> 20.3: 236-256.</w:t>
      </w:r>
    </w:p>
    <w:p w14:paraId="5194EEFA" w14:textId="77777777" w:rsidR="003061D6" w:rsidRPr="000E6538" w:rsidRDefault="003061D6" w:rsidP="00095368">
      <w:pPr>
        <w:jc w:val="both"/>
        <w:rPr>
          <w:rFonts w:ascii="Arial" w:hAnsi="Arial" w:cs="Arial"/>
          <w:sz w:val="24"/>
          <w:szCs w:val="24"/>
        </w:rPr>
      </w:pPr>
    </w:p>
    <w:sectPr w:rsidR="003061D6" w:rsidRPr="000E6538" w:rsidSect="009A61F5">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C84AF2" w14:textId="77777777" w:rsidR="00743A0E" w:rsidRDefault="00743A0E" w:rsidP="00743A0E">
      <w:pPr>
        <w:spacing w:after="0" w:line="240" w:lineRule="auto"/>
      </w:pPr>
      <w:r>
        <w:separator/>
      </w:r>
    </w:p>
  </w:endnote>
  <w:endnote w:type="continuationSeparator" w:id="0">
    <w:p w14:paraId="0FD4AF82" w14:textId="77777777" w:rsidR="00743A0E" w:rsidRDefault="00743A0E" w:rsidP="00743A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031883"/>
      <w:docPartObj>
        <w:docPartGallery w:val="Page Numbers (Bottom of Page)"/>
        <w:docPartUnique/>
      </w:docPartObj>
    </w:sdtPr>
    <w:sdtEndPr/>
    <w:sdtContent>
      <w:p w14:paraId="3CDD2D3F" w14:textId="77777777" w:rsidR="00FF0EEC" w:rsidRDefault="00743A0E">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14:paraId="0C1D99B0" w14:textId="77777777" w:rsidR="00FF0EEC" w:rsidRDefault="00743A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84059E" w14:textId="77777777" w:rsidR="00743A0E" w:rsidRDefault="00743A0E" w:rsidP="00743A0E">
      <w:pPr>
        <w:spacing w:after="0" w:line="240" w:lineRule="auto"/>
      </w:pPr>
      <w:r>
        <w:separator/>
      </w:r>
    </w:p>
  </w:footnote>
  <w:footnote w:type="continuationSeparator" w:id="0">
    <w:p w14:paraId="5D677E02" w14:textId="77777777" w:rsidR="00743A0E" w:rsidRDefault="00743A0E" w:rsidP="00743A0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538"/>
    <w:rsid w:val="00095368"/>
    <w:rsid w:val="000E6538"/>
    <w:rsid w:val="003061D6"/>
    <w:rsid w:val="00743A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CF511"/>
  <w15:chartTrackingRefBased/>
  <w15:docId w15:val="{86CDF4DC-2FD3-4DC6-B291-387CE7E99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538"/>
    <w:pPr>
      <w:spacing w:after="200" w:line="276" w:lineRule="auto"/>
    </w:pPr>
  </w:style>
  <w:style w:type="paragraph" w:styleId="Heading1">
    <w:name w:val="heading 1"/>
    <w:basedOn w:val="Normal"/>
    <w:next w:val="Normal"/>
    <w:link w:val="Heading1Char"/>
    <w:uiPriority w:val="9"/>
    <w:qFormat/>
    <w:rsid w:val="000E6538"/>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6538"/>
    <w:rPr>
      <w:rFonts w:asciiTheme="majorHAnsi" w:eastAsiaTheme="majorEastAsia" w:hAnsiTheme="majorHAnsi" w:cstheme="majorBidi"/>
      <w:b/>
      <w:bCs/>
      <w:color w:val="2F5496" w:themeColor="accent1" w:themeShade="BF"/>
      <w:sz w:val="28"/>
      <w:szCs w:val="28"/>
    </w:rPr>
  </w:style>
  <w:style w:type="character" w:styleId="Hyperlink">
    <w:name w:val="Hyperlink"/>
    <w:basedOn w:val="DefaultParagraphFont"/>
    <w:uiPriority w:val="99"/>
    <w:unhideWhenUsed/>
    <w:rsid w:val="000E6538"/>
    <w:rPr>
      <w:color w:val="0000FF"/>
      <w:u w:val="single"/>
    </w:rPr>
  </w:style>
  <w:style w:type="paragraph" w:customStyle="1" w:styleId="root-block-node">
    <w:name w:val="root-block-node"/>
    <w:basedOn w:val="Normal"/>
    <w:rsid w:val="000E653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0E65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6538"/>
  </w:style>
  <w:style w:type="paragraph" w:styleId="TOCHeading">
    <w:name w:val="TOC Heading"/>
    <w:basedOn w:val="Heading1"/>
    <w:next w:val="Normal"/>
    <w:uiPriority w:val="39"/>
    <w:unhideWhenUsed/>
    <w:qFormat/>
    <w:rsid w:val="000E6538"/>
    <w:pPr>
      <w:outlineLvl w:val="9"/>
    </w:pPr>
    <w:rPr>
      <w:lang w:val="en-US"/>
    </w:rPr>
  </w:style>
  <w:style w:type="paragraph" w:styleId="TOC1">
    <w:name w:val="toc 1"/>
    <w:basedOn w:val="Normal"/>
    <w:next w:val="Normal"/>
    <w:autoRedefine/>
    <w:uiPriority w:val="39"/>
    <w:unhideWhenUsed/>
    <w:rsid w:val="000E6538"/>
    <w:pPr>
      <w:tabs>
        <w:tab w:val="right" w:leader="dot" w:pos="9016"/>
      </w:tabs>
      <w:spacing w:after="100"/>
    </w:pPr>
    <w:rPr>
      <w:rFonts w:ascii="Arial" w:hAnsi="Arial" w:cs="Arial"/>
      <w:b/>
      <w:bCs/>
      <w:noProof/>
      <w:sz w:val="24"/>
      <w:szCs w:val="24"/>
    </w:rPr>
  </w:style>
  <w:style w:type="paragraph" w:styleId="Header">
    <w:name w:val="header"/>
    <w:basedOn w:val="Normal"/>
    <w:link w:val="HeaderChar"/>
    <w:uiPriority w:val="99"/>
    <w:unhideWhenUsed/>
    <w:rsid w:val="00743A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3A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10</Pages>
  <Words>2546</Words>
  <Characters>14516</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Joita (2124449)</dc:creator>
  <cp:keywords/>
  <dc:description/>
  <cp:lastModifiedBy>Dan Joita</cp:lastModifiedBy>
  <cp:revision>1</cp:revision>
  <cp:lastPrinted>2022-09-06T19:57:00Z</cp:lastPrinted>
  <dcterms:created xsi:type="dcterms:W3CDTF">2022-09-06T19:51:00Z</dcterms:created>
  <dcterms:modified xsi:type="dcterms:W3CDTF">2022-09-06T20:11:00Z</dcterms:modified>
</cp:coreProperties>
</file>