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454871"/>
        <w:docPartObj>
          <w:docPartGallery w:val="Cover Pages"/>
          <w:docPartUnique/>
        </w:docPartObj>
      </w:sdtPr>
      <w:sdtEndPr>
        <w:rPr>
          <w:sz w:val="36"/>
          <w:szCs w:val="36"/>
        </w:rPr>
      </w:sdtEndPr>
      <w:sdtContent>
        <w:p w14:paraId="1F40244C" w14:textId="7D494A03" w:rsidR="00302F12" w:rsidRDefault="00302F12">
          <w:pPr>
            <w:pStyle w:val="NoSpacing"/>
            <w:spacing w:before="1540" w:after="240"/>
            <w:jc w:val="center"/>
            <w:rPr>
              <w:color w:val="4472C4" w:themeColor="accent1"/>
            </w:rPr>
          </w:pPr>
          <w:r>
            <w:rPr>
              <w:noProof/>
              <w:color w:val="4472C4" w:themeColor="accent1"/>
            </w:rPr>
            <w:drawing>
              <wp:inline distT="0" distB="0" distL="0" distR="0" wp14:anchorId="178F89E4" wp14:editId="78A9A8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FA21FE798894927823C7C9B7451B6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BD4B3A" w14:textId="554EEB2C" w:rsidR="00302F12" w:rsidRDefault="00302F1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Gender, Race, Religion and Crime.</w:t>
              </w:r>
            </w:p>
          </w:sdtContent>
        </w:sdt>
        <w:sdt>
          <w:sdtPr>
            <w:rPr>
              <w:color w:val="4472C4" w:themeColor="accent1"/>
              <w:sz w:val="28"/>
              <w:szCs w:val="28"/>
            </w:rPr>
            <w:alias w:val="Subtitle"/>
            <w:tag w:val=""/>
            <w:id w:val="328029620"/>
            <w:placeholder>
              <w:docPart w:val="E665190033F349F6AD1B8CD07FC567B5"/>
            </w:placeholder>
            <w:dataBinding w:prefixMappings="xmlns:ns0='http://purl.org/dc/elements/1.1/' xmlns:ns1='http://schemas.openxmlformats.org/package/2006/metadata/core-properties' " w:xpath="/ns1:coreProperties[1]/ns0:subject[1]" w:storeItemID="{6C3C8BC8-F283-45AE-878A-BAB7291924A1}"/>
            <w:text/>
          </w:sdtPr>
          <w:sdtContent>
            <w:p w14:paraId="4AFBE52F" w14:textId="31BE1EEE" w:rsidR="00302F12" w:rsidRDefault="00302F12">
              <w:pPr>
                <w:pStyle w:val="NoSpacing"/>
                <w:jc w:val="center"/>
                <w:rPr>
                  <w:color w:val="4472C4" w:themeColor="accent1"/>
                  <w:sz w:val="28"/>
                  <w:szCs w:val="28"/>
                </w:rPr>
              </w:pPr>
              <w:r>
                <w:rPr>
                  <w:color w:val="4472C4" w:themeColor="accent1"/>
                  <w:sz w:val="28"/>
                  <w:szCs w:val="28"/>
                </w:rPr>
                <w:t>Double Deviance and double jeopardy.</w:t>
              </w:r>
            </w:p>
          </w:sdtContent>
        </w:sdt>
        <w:p w14:paraId="3C941251" w14:textId="77777777" w:rsidR="00302F12" w:rsidRDefault="00302F1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BF6F71" wp14:editId="0E22F7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6T00:00:00Z">
                                    <w:dateFormat w:val="MMMM d, yyyy"/>
                                    <w:lid w:val="en-US"/>
                                    <w:storeMappedDataAs w:val="dateTime"/>
                                    <w:calendar w:val="gregorian"/>
                                  </w:date>
                                </w:sdtPr>
                                <w:sdtContent>
                                  <w:p w14:paraId="322A1B66" w14:textId="34B205C7" w:rsidR="00302F12" w:rsidRDefault="00302F12">
                                    <w:pPr>
                                      <w:pStyle w:val="NoSpacing"/>
                                      <w:spacing w:after="40"/>
                                      <w:jc w:val="center"/>
                                      <w:rPr>
                                        <w:caps/>
                                        <w:color w:val="4472C4" w:themeColor="accent1"/>
                                        <w:sz w:val="28"/>
                                        <w:szCs w:val="28"/>
                                      </w:rPr>
                                    </w:pPr>
                                    <w:r>
                                      <w:rPr>
                                        <w:caps/>
                                        <w:color w:val="4472C4" w:themeColor="accent1"/>
                                        <w:sz w:val="28"/>
                                        <w:szCs w:val="28"/>
                                      </w:rPr>
                                      <w:t>November 6, 2022</w:t>
                                    </w:r>
                                  </w:p>
                                </w:sdtContent>
                              </w:sdt>
                              <w:p w14:paraId="1469EB4E" w14:textId="01D040E7" w:rsidR="00302F12" w:rsidRDefault="00302F1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Melenie Jane box.</w:t>
                                    </w:r>
                                  </w:sdtContent>
                                </w:sdt>
                              </w:p>
                              <w:p w14:paraId="3E74BB3F" w14:textId="02277A48" w:rsidR="00302F12" w:rsidRDefault="00302F1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BMCP 6001.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BF6F7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6T00:00:00Z">
                              <w:dateFormat w:val="MMMM d, yyyy"/>
                              <w:lid w:val="en-US"/>
                              <w:storeMappedDataAs w:val="dateTime"/>
                              <w:calendar w:val="gregorian"/>
                            </w:date>
                          </w:sdtPr>
                          <w:sdtContent>
                            <w:p w14:paraId="322A1B66" w14:textId="34B205C7" w:rsidR="00302F12" w:rsidRDefault="00302F12">
                              <w:pPr>
                                <w:pStyle w:val="NoSpacing"/>
                                <w:spacing w:after="40"/>
                                <w:jc w:val="center"/>
                                <w:rPr>
                                  <w:caps/>
                                  <w:color w:val="4472C4" w:themeColor="accent1"/>
                                  <w:sz w:val="28"/>
                                  <w:szCs w:val="28"/>
                                </w:rPr>
                              </w:pPr>
                              <w:r>
                                <w:rPr>
                                  <w:caps/>
                                  <w:color w:val="4472C4" w:themeColor="accent1"/>
                                  <w:sz w:val="28"/>
                                  <w:szCs w:val="28"/>
                                </w:rPr>
                                <w:t>November 6, 2022</w:t>
                              </w:r>
                            </w:p>
                          </w:sdtContent>
                        </w:sdt>
                        <w:p w14:paraId="1469EB4E" w14:textId="01D040E7" w:rsidR="00302F12" w:rsidRDefault="00302F1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Melenie Jane box.</w:t>
                              </w:r>
                            </w:sdtContent>
                          </w:sdt>
                        </w:p>
                        <w:p w14:paraId="3E74BB3F" w14:textId="02277A48" w:rsidR="00302F12" w:rsidRDefault="00302F1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BMCP 6001.</w:t>
                              </w:r>
                            </w:sdtContent>
                          </w:sdt>
                        </w:p>
                      </w:txbxContent>
                    </v:textbox>
                    <w10:wrap anchorx="margin" anchory="page"/>
                  </v:shape>
                </w:pict>
              </mc:Fallback>
            </mc:AlternateContent>
          </w:r>
          <w:r>
            <w:rPr>
              <w:noProof/>
              <w:color w:val="4472C4" w:themeColor="accent1"/>
            </w:rPr>
            <w:drawing>
              <wp:inline distT="0" distB="0" distL="0" distR="0" wp14:anchorId="6E6B8B20" wp14:editId="2EC544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634228" w14:textId="65049EB4" w:rsidR="00302F12" w:rsidRDefault="00302F12">
          <w:pPr>
            <w:rPr>
              <w:rFonts w:eastAsiaTheme="minorEastAsia"/>
              <w:color w:val="4472C4" w:themeColor="accent1"/>
              <w:sz w:val="36"/>
              <w:szCs w:val="36"/>
              <w:lang w:val="en-US"/>
            </w:rPr>
          </w:pPr>
          <w:r>
            <w:rPr>
              <w:rFonts w:eastAsiaTheme="minorEastAsia"/>
              <w:color w:val="4472C4" w:themeColor="accent1"/>
              <w:sz w:val="36"/>
              <w:szCs w:val="36"/>
              <w:lang w:val="en-US"/>
            </w:rPr>
            <w:br w:type="page"/>
          </w:r>
        </w:p>
      </w:sdtContent>
    </w:sdt>
    <w:p w14:paraId="3EB7F476" w14:textId="6F74D94E" w:rsidR="00302F12" w:rsidRDefault="00302F12">
      <w:pPr>
        <w:rPr>
          <w:rFonts w:ascii="Arial" w:hAnsi="Arial" w:cs="Arial"/>
          <w:sz w:val="24"/>
          <w:szCs w:val="24"/>
        </w:rPr>
      </w:pPr>
      <w:r>
        <w:rPr>
          <w:rFonts w:ascii="Arial" w:hAnsi="Arial" w:cs="Arial"/>
          <w:sz w:val="24"/>
          <w:szCs w:val="24"/>
        </w:rPr>
        <w:lastRenderedPageBreak/>
        <w:t xml:space="preserve">For this assignment critical evaluation and the idea that women would face several issues of double deviance </w:t>
      </w:r>
      <w:proofErr w:type="gramStart"/>
      <w:r>
        <w:rPr>
          <w:rFonts w:ascii="Arial" w:hAnsi="Arial" w:cs="Arial"/>
          <w:sz w:val="24"/>
          <w:szCs w:val="24"/>
        </w:rPr>
        <w:t>and also</w:t>
      </w:r>
      <w:proofErr w:type="gramEnd"/>
      <w:r>
        <w:rPr>
          <w:rFonts w:ascii="Arial" w:hAnsi="Arial" w:cs="Arial"/>
          <w:sz w:val="24"/>
          <w:szCs w:val="24"/>
        </w:rPr>
        <w:t xml:space="preserve"> double jeopardy will be looked into, also how society view women as criminal instead of being the homemaker, wife and mother.</w:t>
      </w:r>
    </w:p>
    <w:p w14:paraId="70C185C3" w14:textId="7BCAE7CC" w:rsidR="00302F12" w:rsidRDefault="00302F12">
      <w:pPr>
        <w:rPr>
          <w:rFonts w:ascii="Arial" w:hAnsi="Arial" w:cs="Arial"/>
          <w:sz w:val="24"/>
          <w:szCs w:val="24"/>
        </w:rPr>
      </w:pPr>
      <w:r>
        <w:rPr>
          <w:rFonts w:ascii="Arial" w:hAnsi="Arial" w:cs="Arial"/>
          <w:sz w:val="24"/>
          <w:szCs w:val="24"/>
        </w:rPr>
        <w:t xml:space="preserve">The word feminism was </w:t>
      </w:r>
      <w:proofErr w:type="gramStart"/>
      <w:r>
        <w:rPr>
          <w:rFonts w:ascii="Arial" w:hAnsi="Arial" w:cs="Arial"/>
          <w:sz w:val="24"/>
          <w:szCs w:val="24"/>
        </w:rPr>
        <w:t>actually a</w:t>
      </w:r>
      <w:proofErr w:type="gramEnd"/>
      <w:r>
        <w:rPr>
          <w:rFonts w:ascii="Arial" w:hAnsi="Arial" w:cs="Arial"/>
          <w:sz w:val="24"/>
          <w:szCs w:val="24"/>
        </w:rPr>
        <w:t xml:space="preserve"> French word which sometime in the 1890s was changed into English. There seemed to be an early example of the word feminism in the Oxford English Dictionary, but this had negative meanings behind it. Although the Athenaeum in 1895 referred to a woman whose flirting within the doctrines of feminism were stated to be traced upon with very good and real humour</w:t>
      </w:r>
      <w:r w:rsidR="00CC6064">
        <w:rPr>
          <w:rFonts w:ascii="Arial" w:hAnsi="Arial" w:cs="Arial"/>
          <w:sz w:val="24"/>
          <w:szCs w:val="24"/>
        </w:rPr>
        <w:t>. (Walters, M, 2005).</w:t>
      </w:r>
    </w:p>
    <w:p w14:paraId="322B68C8" w14:textId="53C46A17" w:rsidR="00CC6064" w:rsidRDefault="00CC6064">
      <w:pPr>
        <w:rPr>
          <w:rFonts w:ascii="Arial" w:hAnsi="Arial" w:cs="Arial"/>
          <w:sz w:val="24"/>
          <w:szCs w:val="24"/>
        </w:rPr>
      </w:pPr>
      <w:r>
        <w:rPr>
          <w:rFonts w:ascii="Arial" w:hAnsi="Arial" w:cs="Arial"/>
          <w:sz w:val="24"/>
          <w:szCs w:val="24"/>
        </w:rPr>
        <w:t>Feminism within Germany seems to be more socialistic. In 1908, the Daily Chronicle decided to move forward and go on to dismiss “suffragists and suffragettes” and any other phrases of feminism out of hand.</w:t>
      </w:r>
    </w:p>
    <w:p w14:paraId="11672BD7" w14:textId="35606AF9" w:rsidR="00CC6064" w:rsidRDefault="00CC6064">
      <w:pPr>
        <w:rPr>
          <w:rFonts w:ascii="Arial" w:hAnsi="Arial" w:cs="Arial"/>
          <w:sz w:val="24"/>
          <w:szCs w:val="24"/>
        </w:rPr>
      </w:pPr>
      <w:r>
        <w:rPr>
          <w:rFonts w:ascii="Arial" w:hAnsi="Arial" w:cs="Arial"/>
          <w:sz w:val="24"/>
          <w:szCs w:val="24"/>
        </w:rPr>
        <w:t>Feminism is defined as the “Advo</w:t>
      </w:r>
      <w:r w:rsidR="00E8035B">
        <w:rPr>
          <w:rFonts w:ascii="Arial" w:hAnsi="Arial" w:cs="Arial"/>
          <w:sz w:val="24"/>
          <w:szCs w:val="24"/>
        </w:rPr>
        <w:t>cacy of women’s rights on the ground of equality for the sexes. (Dyer, H, 2016).</w:t>
      </w:r>
    </w:p>
    <w:p w14:paraId="4EF4A507" w14:textId="6ED54371" w:rsidR="00E8035B" w:rsidRDefault="00E8035B">
      <w:pPr>
        <w:rPr>
          <w:rFonts w:ascii="Arial" w:hAnsi="Arial" w:cs="Arial"/>
          <w:sz w:val="24"/>
          <w:szCs w:val="24"/>
        </w:rPr>
      </w:pPr>
      <w:r>
        <w:rPr>
          <w:rFonts w:ascii="Arial" w:hAnsi="Arial" w:cs="Arial"/>
          <w:sz w:val="24"/>
          <w:szCs w:val="24"/>
        </w:rPr>
        <w:t>Women tend to make up nearly half of the population of our planet, so the above saying would mean different things to each and everyone of us. So, to put it mildly, what maybe a feminist issue within one culture, may not apply to another culture.</w:t>
      </w:r>
    </w:p>
    <w:p w14:paraId="068940CA" w14:textId="785885EC" w:rsidR="00E8035B" w:rsidRDefault="00E8035B">
      <w:pPr>
        <w:rPr>
          <w:rFonts w:ascii="Arial" w:hAnsi="Arial" w:cs="Arial"/>
          <w:sz w:val="24"/>
          <w:szCs w:val="24"/>
        </w:rPr>
      </w:pPr>
      <w:r>
        <w:rPr>
          <w:rFonts w:ascii="Arial" w:hAnsi="Arial" w:cs="Arial"/>
          <w:sz w:val="24"/>
          <w:szCs w:val="24"/>
        </w:rPr>
        <w:t>Question: When is a feminist not a feminist?</w:t>
      </w:r>
    </w:p>
    <w:p w14:paraId="771696A8" w14:textId="34FF95F7" w:rsidR="00E8035B" w:rsidRDefault="00E8035B">
      <w:pPr>
        <w:rPr>
          <w:rFonts w:ascii="Arial" w:hAnsi="Arial" w:cs="Arial"/>
          <w:sz w:val="24"/>
          <w:szCs w:val="24"/>
        </w:rPr>
      </w:pPr>
      <w:r>
        <w:rPr>
          <w:rFonts w:ascii="Arial" w:hAnsi="Arial" w:cs="Arial"/>
          <w:sz w:val="24"/>
          <w:szCs w:val="24"/>
        </w:rPr>
        <w:t>Answer: When she is a first – wave feminist.</w:t>
      </w:r>
    </w:p>
    <w:p w14:paraId="4C28E53E" w14:textId="3CFC53C4" w:rsidR="00E8035B" w:rsidRDefault="00E8035B">
      <w:pPr>
        <w:rPr>
          <w:rFonts w:ascii="Arial" w:hAnsi="Arial" w:cs="Arial"/>
          <w:sz w:val="24"/>
          <w:szCs w:val="24"/>
        </w:rPr>
      </w:pPr>
      <w:r>
        <w:rPr>
          <w:rFonts w:ascii="Arial" w:hAnsi="Arial" w:cs="Arial"/>
          <w:sz w:val="24"/>
          <w:szCs w:val="24"/>
        </w:rPr>
        <w:t xml:space="preserve">This word, first – wave feminism was an umbrella term which was applied to the women’s rights movements which originated within the West in the mid – nineteenth century. The word suffragette </w:t>
      </w:r>
      <w:r w:rsidR="004652B7">
        <w:rPr>
          <w:rFonts w:ascii="Arial" w:hAnsi="Arial" w:cs="Arial"/>
          <w:sz w:val="24"/>
          <w:szCs w:val="24"/>
        </w:rPr>
        <w:t xml:space="preserve">was used in the Daily Mail in 1906 as an insult, this was a rather patronisingly feminine twist upon the word suffragist, which around the time was a campaign word for the right with which you could vote. The </w:t>
      </w:r>
      <w:proofErr w:type="gramStart"/>
      <w:r w:rsidR="004652B7">
        <w:rPr>
          <w:rFonts w:ascii="Arial" w:hAnsi="Arial" w:cs="Arial"/>
          <w:sz w:val="24"/>
          <w:szCs w:val="24"/>
        </w:rPr>
        <w:t>main focus</w:t>
      </w:r>
      <w:proofErr w:type="gramEnd"/>
      <w:r w:rsidR="004652B7">
        <w:rPr>
          <w:rFonts w:ascii="Arial" w:hAnsi="Arial" w:cs="Arial"/>
          <w:sz w:val="24"/>
          <w:szCs w:val="24"/>
        </w:rPr>
        <w:t xml:space="preserve"> for all of this was to try and improve legislation and laws upon which the women may have a rather more equal footing with the men of this world.</w:t>
      </w:r>
    </w:p>
    <w:p w14:paraId="37265E65" w14:textId="273978BE" w:rsidR="004652B7" w:rsidRDefault="004652B7">
      <w:pPr>
        <w:rPr>
          <w:rFonts w:ascii="Arial" w:hAnsi="Arial" w:cs="Arial"/>
          <w:sz w:val="24"/>
          <w:szCs w:val="24"/>
        </w:rPr>
      </w:pPr>
      <w:r>
        <w:rPr>
          <w:rFonts w:ascii="Arial" w:hAnsi="Arial" w:cs="Arial"/>
          <w:sz w:val="24"/>
          <w:szCs w:val="24"/>
        </w:rPr>
        <w:t xml:space="preserve">There are seven key concepts of feminist criminology, these would be sex, gender, race, discrimination, equality, </w:t>
      </w:r>
      <w:proofErr w:type="gramStart"/>
      <w:r>
        <w:rPr>
          <w:rFonts w:ascii="Arial" w:hAnsi="Arial" w:cs="Arial"/>
          <w:sz w:val="24"/>
          <w:szCs w:val="24"/>
        </w:rPr>
        <w:t>difference</w:t>
      </w:r>
      <w:proofErr w:type="gramEnd"/>
      <w:r>
        <w:rPr>
          <w:rFonts w:ascii="Arial" w:hAnsi="Arial" w:cs="Arial"/>
          <w:sz w:val="24"/>
          <w:szCs w:val="24"/>
        </w:rPr>
        <w:t xml:space="preserve"> and choice. There are structures and systems that are in place that will work against individuals, these are based on those qualities </w:t>
      </w:r>
      <w:proofErr w:type="gramStart"/>
      <w:r>
        <w:rPr>
          <w:rFonts w:ascii="Arial" w:hAnsi="Arial" w:cs="Arial"/>
          <w:sz w:val="24"/>
          <w:szCs w:val="24"/>
        </w:rPr>
        <w:t>and also</w:t>
      </w:r>
      <w:proofErr w:type="gramEnd"/>
      <w:r>
        <w:rPr>
          <w:rFonts w:ascii="Arial" w:hAnsi="Arial" w:cs="Arial"/>
          <w:sz w:val="24"/>
          <w:szCs w:val="24"/>
        </w:rPr>
        <w:t xml:space="preserve"> against equality and equity.</w:t>
      </w:r>
    </w:p>
    <w:p w14:paraId="62D9D0C9" w14:textId="0EDB3401" w:rsidR="004652B7" w:rsidRDefault="004652B7">
      <w:pPr>
        <w:rPr>
          <w:rFonts w:ascii="Arial" w:hAnsi="Arial" w:cs="Arial"/>
          <w:sz w:val="24"/>
          <w:szCs w:val="24"/>
        </w:rPr>
      </w:pPr>
      <w:r>
        <w:rPr>
          <w:rFonts w:ascii="Arial" w:hAnsi="Arial" w:cs="Arial"/>
          <w:sz w:val="24"/>
          <w:szCs w:val="24"/>
        </w:rPr>
        <w:t>The main aim of feminist criminology focuses on crime, girls, and women. The characteristics of this type of criminology would emphasis on the social structures of how this would affect men and women differently, also the relationship between research and activism. There is also the interrelatedness between offending women and victimisation.</w:t>
      </w:r>
    </w:p>
    <w:p w14:paraId="0A66CBEE" w14:textId="6C56F8E0" w:rsidR="004652B7" w:rsidRDefault="004652B7">
      <w:pPr>
        <w:rPr>
          <w:rFonts w:ascii="Arial" w:hAnsi="Arial" w:cs="Arial"/>
          <w:sz w:val="24"/>
          <w:szCs w:val="24"/>
        </w:rPr>
      </w:pPr>
      <w:r>
        <w:rPr>
          <w:rFonts w:ascii="Arial" w:hAnsi="Arial" w:cs="Arial"/>
          <w:sz w:val="24"/>
          <w:szCs w:val="24"/>
        </w:rPr>
        <w:t>Within criminology we</w:t>
      </w:r>
      <w:r w:rsidR="00EA068D">
        <w:rPr>
          <w:rFonts w:ascii="Arial" w:hAnsi="Arial" w:cs="Arial"/>
          <w:sz w:val="24"/>
          <w:szCs w:val="24"/>
        </w:rPr>
        <w:t xml:space="preserve"> need a feminist approach or perspective because most guises of criminology have been to ignore women and their voices to a very large extent over the decades. </w:t>
      </w:r>
      <w:proofErr w:type="gramStart"/>
      <w:r w:rsidR="00EA068D">
        <w:rPr>
          <w:rFonts w:ascii="Arial" w:hAnsi="Arial" w:cs="Arial"/>
          <w:sz w:val="24"/>
          <w:szCs w:val="24"/>
        </w:rPr>
        <w:t>If and when</w:t>
      </w:r>
      <w:proofErr w:type="gramEnd"/>
      <w:r w:rsidR="00EA068D">
        <w:rPr>
          <w:rFonts w:ascii="Arial" w:hAnsi="Arial" w:cs="Arial"/>
          <w:sz w:val="24"/>
          <w:szCs w:val="24"/>
        </w:rPr>
        <w:t xml:space="preserve"> women are noted, they are only viewed through the eyes, comments and reflections of men or male youths. (Scraton,1990).</w:t>
      </w:r>
    </w:p>
    <w:p w14:paraId="5F96AB00" w14:textId="199E46CE" w:rsidR="00EA068D" w:rsidRDefault="00EA068D">
      <w:pPr>
        <w:rPr>
          <w:rFonts w:ascii="Arial" w:hAnsi="Arial" w:cs="Arial"/>
          <w:sz w:val="24"/>
          <w:szCs w:val="24"/>
        </w:rPr>
      </w:pPr>
      <w:r>
        <w:rPr>
          <w:rFonts w:ascii="Arial" w:hAnsi="Arial" w:cs="Arial"/>
          <w:sz w:val="24"/>
          <w:szCs w:val="24"/>
        </w:rPr>
        <w:t>There are no precise dates of a development from historical to contempo</w:t>
      </w:r>
      <w:r w:rsidR="00872630">
        <w:rPr>
          <w:rFonts w:ascii="Arial" w:hAnsi="Arial" w:cs="Arial"/>
          <w:sz w:val="24"/>
          <w:szCs w:val="24"/>
        </w:rPr>
        <w:t xml:space="preserve">rary </w:t>
      </w:r>
      <w:r>
        <w:rPr>
          <w:rFonts w:ascii="Arial" w:hAnsi="Arial" w:cs="Arial"/>
          <w:sz w:val="24"/>
          <w:szCs w:val="24"/>
        </w:rPr>
        <w:t xml:space="preserve">understandings of feminist criminology, but the early phase of contributions to this </w:t>
      </w:r>
      <w:r>
        <w:rPr>
          <w:rFonts w:ascii="Arial" w:hAnsi="Arial" w:cs="Arial"/>
          <w:sz w:val="24"/>
          <w:szCs w:val="24"/>
        </w:rPr>
        <w:lastRenderedPageBreak/>
        <w:t>may have begun in the late 1960s. The second stage of this would hopefully follow in the late 1980s.</w:t>
      </w:r>
    </w:p>
    <w:p w14:paraId="583C939A" w14:textId="73B26A89" w:rsidR="00EA068D" w:rsidRDefault="00EA068D">
      <w:pPr>
        <w:rPr>
          <w:rFonts w:ascii="Arial" w:hAnsi="Arial" w:cs="Arial"/>
          <w:sz w:val="24"/>
          <w:szCs w:val="24"/>
        </w:rPr>
      </w:pPr>
      <w:r>
        <w:rPr>
          <w:rFonts w:ascii="Arial" w:hAnsi="Arial" w:cs="Arial"/>
          <w:sz w:val="24"/>
          <w:szCs w:val="24"/>
        </w:rPr>
        <w:t>According to Frances Heidensohn (1989), women offenders appear in all categories of crime</w:t>
      </w:r>
      <w:r w:rsidR="00872630">
        <w:rPr>
          <w:rFonts w:ascii="Arial" w:hAnsi="Arial" w:cs="Arial"/>
          <w:sz w:val="24"/>
          <w:szCs w:val="24"/>
        </w:rPr>
        <w:t>, from the most serious to the least serious. Some crimes are or seem to be more dominated by men more than other types of crimes. Heidensohn suggested that only feminist critique of criminology has only focused so far on the women being invisible or are studied in a limited and very distorted type of fashion. (Heidensohn, F, 1996).</w:t>
      </w:r>
    </w:p>
    <w:p w14:paraId="1EAE02B5" w14:textId="3296FEEF" w:rsidR="00872630" w:rsidRDefault="00872630">
      <w:pPr>
        <w:rPr>
          <w:rFonts w:ascii="Arial" w:hAnsi="Arial" w:cs="Arial"/>
          <w:sz w:val="24"/>
          <w:szCs w:val="24"/>
        </w:rPr>
      </w:pPr>
      <w:r>
        <w:rPr>
          <w:rFonts w:ascii="Arial" w:hAnsi="Arial" w:cs="Arial"/>
          <w:sz w:val="24"/>
          <w:szCs w:val="24"/>
        </w:rPr>
        <w:t>Feminist criminology began to evolve when different assumptions and stereotypes of women professionals, also including woman victims and offenders.</w:t>
      </w:r>
      <w:r w:rsidR="00AC3072">
        <w:rPr>
          <w:rFonts w:ascii="Arial" w:hAnsi="Arial" w:cs="Arial"/>
          <w:sz w:val="24"/>
          <w:szCs w:val="24"/>
        </w:rPr>
        <w:t xml:space="preserve"> There is no understanding of the feminist perspective, but there are various feminist perspectives.</w:t>
      </w:r>
    </w:p>
    <w:p w14:paraId="65BED9BC" w14:textId="1BAB4B4E" w:rsidR="00AC3072" w:rsidRDefault="00AC3072">
      <w:pPr>
        <w:rPr>
          <w:rFonts w:ascii="Arial" w:hAnsi="Arial" w:cs="Arial"/>
          <w:sz w:val="24"/>
          <w:szCs w:val="24"/>
        </w:rPr>
      </w:pPr>
      <w:r>
        <w:rPr>
          <w:rFonts w:ascii="Arial" w:hAnsi="Arial" w:cs="Arial"/>
          <w:sz w:val="24"/>
          <w:szCs w:val="24"/>
        </w:rPr>
        <w:t>It is believed that men and women are of equal worth, most places or societies would tend to privilege men, as social movements which would be necessary to gain the equality between men and women. The understanding of this, is that gender will always intersect with all other social hierarchies. Most people believe there to be three major waves of feminism. (Sage publications).</w:t>
      </w:r>
    </w:p>
    <w:p w14:paraId="1574BC4A" w14:textId="3D17A5E3" w:rsidR="009C06DA" w:rsidRDefault="009C06DA">
      <w:pPr>
        <w:rPr>
          <w:rFonts w:ascii="Arial" w:hAnsi="Arial" w:cs="Arial"/>
          <w:sz w:val="24"/>
          <w:szCs w:val="24"/>
        </w:rPr>
      </w:pPr>
      <w:r>
        <w:rPr>
          <w:rFonts w:ascii="Arial" w:hAnsi="Arial" w:cs="Arial"/>
          <w:sz w:val="24"/>
          <w:szCs w:val="24"/>
        </w:rPr>
        <w:t>Heidensohn was correct to point out there being issues for feminist concern, much of the early work of Carol Smart, Women, crime, and criminology (1977) was concerned, by documenting both areas as neglect. Carol Smart was aware that if forging a niche which was called “Women and Crime” could perpetuate any marginalisation of the issues which may simultaneously draw attention to any phenomenon. This would be especially among all policy – makers, but not always in the interests of women. Carol Smart went on to develop more fully</w:t>
      </w:r>
      <w:r w:rsidR="00571459">
        <w:rPr>
          <w:rFonts w:ascii="Arial" w:hAnsi="Arial" w:cs="Arial"/>
          <w:sz w:val="24"/>
          <w:szCs w:val="24"/>
        </w:rPr>
        <w:t xml:space="preserve"> the idea of this in her later work. (Smart, C, 1989).</w:t>
      </w:r>
    </w:p>
    <w:p w14:paraId="4F43BA53" w14:textId="4D3F3C25" w:rsidR="00571459" w:rsidRDefault="00571459">
      <w:pPr>
        <w:rPr>
          <w:rFonts w:ascii="Arial" w:hAnsi="Arial" w:cs="Arial"/>
          <w:sz w:val="24"/>
          <w:szCs w:val="24"/>
        </w:rPr>
      </w:pPr>
      <w:r>
        <w:rPr>
          <w:rFonts w:ascii="Arial" w:hAnsi="Arial" w:cs="Arial"/>
          <w:sz w:val="24"/>
          <w:szCs w:val="24"/>
        </w:rPr>
        <w:t xml:space="preserve">The criminological imbalance was to be readdressed by Leonard (1982), </w:t>
      </w:r>
      <w:proofErr w:type="spellStart"/>
      <w:r>
        <w:rPr>
          <w:rFonts w:ascii="Arial" w:hAnsi="Arial" w:cs="Arial"/>
          <w:sz w:val="24"/>
          <w:szCs w:val="24"/>
        </w:rPr>
        <w:t>Naffine</w:t>
      </w:r>
      <w:proofErr w:type="spellEnd"/>
      <w:r>
        <w:rPr>
          <w:rFonts w:ascii="Arial" w:hAnsi="Arial" w:cs="Arial"/>
          <w:sz w:val="24"/>
          <w:szCs w:val="24"/>
        </w:rPr>
        <w:t xml:space="preserve"> (1987) </w:t>
      </w:r>
      <w:proofErr w:type="gramStart"/>
      <w:r>
        <w:rPr>
          <w:rFonts w:ascii="Arial" w:hAnsi="Arial" w:cs="Arial"/>
          <w:sz w:val="24"/>
          <w:szCs w:val="24"/>
        </w:rPr>
        <w:t>and also</w:t>
      </w:r>
      <w:proofErr w:type="gramEnd"/>
      <w:r>
        <w:rPr>
          <w:rFonts w:ascii="Arial" w:hAnsi="Arial" w:cs="Arial"/>
          <w:sz w:val="24"/>
          <w:szCs w:val="24"/>
        </w:rPr>
        <w:t xml:space="preserve"> Morris (1987). </w:t>
      </w:r>
      <w:proofErr w:type="gramStart"/>
      <w:r>
        <w:rPr>
          <w:rFonts w:ascii="Arial" w:hAnsi="Arial" w:cs="Arial"/>
          <w:sz w:val="24"/>
          <w:szCs w:val="24"/>
        </w:rPr>
        <w:t>All of</w:t>
      </w:r>
      <w:proofErr w:type="gramEnd"/>
      <w:r>
        <w:rPr>
          <w:rFonts w:ascii="Arial" w:hAnsi="Arial" w:cs="Arial"/>
          <w:sz w:val="24"/>
          <w:szCs w:val="24"/>
        </w:rPr>
        <w:t xml:space="preserve"> the above writers were trying to render the issue of women and crime in their own different way. When these issues are viewed from a recent vantage point, the feminist influences with the understanding and the relationship of women to that of crime has been made more diverse, </w:t>
      </w:r>
      <w:proofErr w:type="gramStart"/>
      <w:r>
        <w:rPr>
          <w:rFonts w:ascii="Arial" w:hAnsi="Arial" w:cs="Arial"/>
          <w:sz w:val="24"/>
          <w:szCs w:val="24"/>
        </w:rPr>
        <w:t>subtle</w:t>
      </w:r>
      <w:proofErr w:type="gramEnd"/>
      <w:r>
        <w:rPr>
          <w:rFonts w:ascii="Arial" w:hAnsi="Arial" w:cs="Arial"/>
          <w:sz w:val="24"/>
          <w:szCs w:val="24"/>
        </w:rPr>
        <w:t xml:space="preserve"> and also more fundamental than just making women visible.</w:t>
      </w:r>
    </w:p>
    <w:p w14:paraId="08468C2E" w14:textId="77777777" w:rsidR="000F6A71" w:rsidRDefault="000F6A71">
      <w:pPr>
        <w:rPr>
          <w:rFonts w:ascii="Arial" w:hAnsi="Arial" w:cs="Arial"/>
          <w:sz w:val="24"/>
          <w:szCs w:val="24"/>
        </w:rPr>
      </w:pPr>
      <w:r>
        <w:rPr>
          <w:rFonts w:ascii="Arial" w:hAnsi="Arial" w:cs="Arial"/>
          <w:sz w:val="24"/>
          <w:szCs w:val="24"/>
        </w:rPr>
        <w:t>The work by Pollack (1950), was concerned with understanding influences of chivalry and how this could take some play within the understanding of the under documenting of the criminality of women.</w:t>
      </w:r>
    </w:p>
    <w:p w14:paraId="0DF34896" w14:textId="3C7E769F" w:rsidR="000F6A71" w:rsidRDefault="000F6A71">
      <w:pPr>
        <w:rPr>
          <w:rFonts w:ascii="Arial" w:hAnsi="Arial" w:cs="Arial"/>
          <w:sz w:val="24"/>
          <w:szCs w:val="24"/>
        </w:rPr>
      </w:pPr>
      <w:r>
        <w:rPr>
          <w:rFonts w:ascii="Arial" w:hAnsi="Arial" w:cs="Arial"/>
          <w:sz w:val="24"/>
          <w:szCs w:val="24"/>
        </w:rPr>
        <w:t>There is a presumption that all women are discriminated against, this could be favourably or unfavourably, within the criminal justice system that has gone on to form a wealth of research in criminology.</w:t>
      </w:r>
    </w:p>
    <w:p w14:paraId="5A997EB6" w14:textId="5183841F" w:rsidR="000F6A71" w:rsidRDefault="000F6A71">
      <w:pPr>
        <w:rPr>
          <w:rFonts w:ascii="Arial" w:hAnsi="Arial" w:cs="Arial"/>
          <w:sz w:val="24"/>
          <w:szCs w:val="24"/>
        </w:rPr>
      </w:pPr>
      <w:proofErr w:type="spellStart"/>
      <w:r>
        <w:rPr>
          <w:rFonts w:ascii="Arial" w:hAnsi="Arial" w:cs="Arial"/>
          <w:sz w:val="24"/>
          <w:szCs w:val="24"/>
        </w:rPr>
        <w:t>Gelsthorpe</w:t>
      </w:r>
      <w:proofErr w:type="spellEnd"/>
      <w:r>
        <w:rPr>
          <w:rFonts w:ascii="Arial" w:hAnsi="Arial" w:cs="Arial"/>
          <w:sz w:val="24"/>
          <w:szCs w:val="24"/>
        </w:rPr>
        <w:t xml:space="preserve"> (1989) was to discover that there are organisational</w:t>
      </w:r>
      <w:r w:rsidR="009742BD">
        <w:rPr>
          <w:rFonts w:ascii="Arial" w:hAnsi="Arial" w:cs="Arial"/>
          <w:sz w:val="24"/>
          <w:szCs w:val="24"/>
        </w:rPr>
        <w:t xml:space="preserve"> influences that can affect the way females are being dealt with by most practit</w:t>
      </w:r>
      <w:r w:rsidR="008644A8">
        <w:rPr>
          <w:rFonts w:ascii="Arial" w:hAnsi="Arial" w:cs="Arial"/>
          <w:sz w:val="24"/>
          <w:szCs w:val="24"/>
        </w:rPr>
        <w:t xml:space="preserve">ioners. These were found to be rather difficult to attribute to discriminatory or even sexist practices alone, he then went on to discuss any of the key drawbacks for this anti discriminatory theme which runs through criminological work. The first of the drawbacks went on to </w:t>
      </w:r>
      <w:r w:rsidR="008644A8">
        <w:rPr>
          <w:rFonts w:ascii="Arial" w:hAnsi="Arial" w:cs="Arial"/>
          <w:sz w:val="24"/>
          <w:szCs w:val="24"/>
        </w:rPr>
        <w:lastRenderedPageBreak/>
        <w:t xml:space="preserve">document </w:t>
      </w:r>
      <w:proofErr w:type="gramStart"/>
      <w:r w:rsidR="008644A8">
        <w:rPr>
          <w:rFonts w:ascii="Arial" w:hAnsi="Arial" w:cs="Arial"/>
          <w:sz w:val="24"/>
          <w:szCs w:val="24"/>
        </w:rPr>
        <w:t>that women</w:t>
      </w:r>
      <w:proofErr w:type="gramEnd"/>
      <w:r w:rsidR="008644A8">
        <w:rPr>
          <w:rFonts w:ascii="Arial" w:hAnsi="Arial" w:cs="Arial"/>
          <w:sz w:val="24"/>
          <w:szCs w:val="24"/>
        </w:rPr>
        <w:t xml:space="preserve"> have been disregarded systematically in criminology, it could be accurate to say that criminological concerns have developed erratically over the years more than this presumes. Women have been a focus of some of the earliest work within criminology. Women were apparently not the only blind spot in criminology, but there were to be others like race for example.</w:t>
      </w:r>
    </w:p>
    <w:p w14:paraId="3D706C6F" w14:textId="23948CBE" w:rsidR="00B1511F" w:rsidRDefault="00B1511F">
      <w:pPr>
        <w:rPr>
          <w:rFonts w:ascii="Arial" w:hAnsi="Arial" w:cs="Arial"/>
          <w:sz w:val="24"/>
          <w:szCs w:val="24"/>
        </w:rPr>
      </w:pPr>
      <w:r>
        <w:rPr>
          <w:rFonts w:ascii="Arial" w:hAnsi="Arial" w:cs="Arial"/>
          <w:sz w:val="24"/>
          <w:szCs w:val="24"/>
        </w:rPr>
        <w:t xml:space="preserve">The second of these drawbacks would be the focus of sexism. This presumed that if criminological theory or practices could be emptied of sexism, then the practices </w:t>
      </w:r>
      <w:proofErr w:type="gramStart"/>
      <w:r>
        <w:rPr>
          <w:rFonts w:ascii="Arial" w:hAnsi="Arial" w:cs="Arial"/>
          <w:sz w:val="24"/>
          <w:szCs w:val="24"/>
        </w:rPr>
        <w:t>and also</w:t>
      </w:r>
      <w:proofErr w:type="gramEnd"/>
      <w:r>
        <w:rPr>
          <w:rFonts w:ascii="Arial" w:hAnsi="Arial" w:cs="Arial"/>
          <w:sz w:val="24"/>
          <w:szCs w:val="24"/>
        </w:rPr>
        <w:t xml:space="preserve"> the theories could prove to be in themselves be sound. This may return to one of the key problems to do with liberal femin</w:t>
      </w:r>
      <w:r w:rsidR="00D26587">
        <w:rPr>
          <w:rFonts w:ascii="Arial" w:hAnsi="Arial" w:cs="Arial"/>
          <w:sz w:val="24"/>
          <w:szCs w:val="24"/>
        </w:rPr>
        <w:t>ism, this fact leaves anything unchallenged with what the yardsticks of the understandings that we may be.</w:t>
      </w:r>
    </w:p>
    <w:p w14:paraId="14E80A73" w14:textId="7BA27153" w:rsidR="00D26587" w:rsidRDefault="00D26587">
      <w:pPr>
        <w:rPr>
          <w:rFonts w:ascii="Arial" w:hAnsi="Arial" w:cs="Arial"/>
          <w:sz w:val="24"/>
          <w:szCs w:val="24"/>
        </w:rPr>
      </w:pPr>
      <w:r>
        <w:rPr>
          <w:rFonts w:ascii="Arial" w:hAnsi="Arial" w:cs="Arial"/>
          <w:sz w:val="24"/>
          <w:szCs w:val="24"/>
        </w:rPr>
        <w:t xml:space="preserve">Thirdly, </w:t>
      </w:r>
      <w:proofErr w:type="gramStart"/>
      <w:r>
        <w:rPr>
          <w:rFonts w:ascii="Arial" w:hAnsi="Arial" w:cs="Arial"/>
          <w:sz w:val="24"/>
          <w:szCs w:val="24"/>
        </w:rPr>
        <w:t>the majority of</w:t>
      </w:r>
      <w:proofErr w:type="gramEnd"/>
      <w:r>
        <w:rPr>
          <w:rFonts w:ascii="Arial" w:hAnsi="Arial" w:cs="Arial"/>
          <w:sz w:val="24"/>
          <w:szCs w:val="24"/>
        </w:rPr>
        <w:t xml:space="preserve"> the work would assume that sexism can and may only apply to women. </w:t>
      </w:r>
      <w:proofErr w:type="spellStart"/>
      <w:r>
        <w:rPr>
          <w:rFonts w:ascii="Arial" w:hAnsi="Arial" w:cs="Arial"/>
          <w:sz w:val="24"/>
          <w:szCs w:val="24"/>
        </w:rPr>
        <w:t>Gelsthorpe</w:t>
      </w:r>
      <w:proofErr w:type="spellEnd"/>
      <w:r>
        <w:rPr>
          <w:rFonts w:ascii="Arial" w:hAnsi="Arial" w:cs="Arial"/>
          <w:sz w:val="24"/>
          <w:szCs w:val="24"/>
        </w:rPr>
        <w:t xml:space="preserve"> (1989) was to state that it was an “untenable” assumption about men. The complexity of any findings within this area would make it rather difficult to put into place which or any of the outcomes are down to a result of direct discrimination. (</w:t>
      </w:r>
      <w:proofErr w:type="spellStart"/>
      <w:r>
        <w:rPr>
          <w:rFonts w:ascii="Arial" w:hAnsi="Arial" w:cs="Arial"/>
          <w:sz w:val="24"/>
          <w:szCs w:val="24"/>
        </w:rPr>
        <w:t>Walklate</w:t>
      </w:r>
      <w:proofErr w:type="spellEnd"/>
      <w:r>
        <w:rPr>
          <w:rFonts w:ascii="Arial" w:hAnsi="Arial" w:cs="Arial"/>
          <w:sz w:val="24"/>
          <w:szCs w:val="24"/>
        </w:rPr>
        <w:t>, S, 2004).</w:t>
      </w:r>
    </w:p>
    <w:p w14:paraId="21E27830" w14:textId="3FD582E3" w:rsidR="00D93D5B" w:rsidRDefault="00D93D5B">
      <w:pPr>
        <w:rPr>
          <w:rFonts w:ascii="Arial" w:hAnsi="Arial" w:cs="Arial"/>
          <w:sz w:val="24"/>
          <w:szCs w:val="24"/>
        </w:rPr>
      </w:pPr>
      <w:r>
        <w:rPr>
          <w:rFonts w:ascii="Arial" w:hAnsi="Arial" w:cs="Arial"/>
          <w:sz w:val="24"/>
          <w:szCs w:val="24"/>
        </w:rPr>
        <w:t xml:space="preserve">Going back to the idea that women face issues of “double deviance and double jeopardy” is rule breaking behaviour of a kind which tends to fall out of normality within the society we live in or any of our social groups. Deviance is more commonly crime related, which as we already know is a behaviour that is law breaking. This is known as deviant behaviour, but not all deviant behaviour is or </w:t>
      </w:r>
      <w:proofErr w:type="gramStart"/>
      <w:r>
        <w:rPr>
          <w:rFonts w:ascii="Arial" w:hAnsi="Arial" w:cs="Arial"/>
          <w:sz w:val="24"/>
          <w:szCs w:val="24"/>
        </w:rPr>
        <w:t>has to</w:t>
      </w:r>
      <w:proofErr w:type="gramEnd"/>
      <w:r>
        <w:rPr>
          <w:rFonts w:ascii="Arial" w:hAnsi="Arial" w:cs="Arial"/>
          <w:sz w:val="24"/>
          <w:szCs w:val="24"/>
        </w:rPr>
        <w:t xml:space="preserve"> be criminal. Deviance would be harder to understand than crime </w:t>
      </w:r>
      <w:proofErr w:type="gramStart"/>
      <w:r>
        <w:rPr>
          <w:rFonts w:ascii="Arial" w:hAnsi="Arial" w:cs="Arial"/>
          <w:sz w:val="24"/>
          <w:szCs w:val="24"/>
        </w:rPr>
        <w:t>itself, because</w:t>
      </w:r>
      <w:proofErr w:type="gramEnd"/>
      <w:r>
        <w:rPr>
          <w:rFonts w:ascii="Arial" w:hAnsi="Arial" w:cs="Arial"/>
          <w:sz w:val="24"/>
          <w:szCs w:val="24"/>
        </w:rPr>
        <w:t xml:space="preserve"> it consists of both criminal and non – criminal acts. It has been found to be rather difficult as to what people in society or within groups define as deviant behaviour.</w:t>
      </w:r>
    </w:p>
    <w:p w14:paraId="7D0B1920" w14:textId="0FA8862E" w:rsidR="00D93D5B" w:rsidRDefault="00D93D5B">
      <w:pPr>
        <w:rPr>
          <w:rFonts w:ascii="Arial" w:hAnsi="Arial" w:cs="Arial"/>
          <w:sz w:val="24"/>
          <w:szCs w:val="24"/>
        </w:rPr>
      </w:pPr>
      <w:r>
        <w:rPr>
          <w:rFonts w:ascii="Arial" w:hAnsi="Arial" w:cs="Arial"/>
          <w:sz w:val="24"/>
          <w:szCs w:val="24"/>
        </w:rPr>
        <w:t>The key to rule breaking was defined by Downes and Rock (2007)</w:t>
      </w:r>
      <w:r w:rsidR="00A50692">
        <w:rPr>
          <w:rFonts w:ascii="Arial" w:hAnsi="Arial" w:cs="Arial"/>
          <w:sz w:val="24"/>
          <w:szCs w:val="24"/>
        </w:rPr>
        <w:t xml:space="preserve">, by stating that the law of rule breaking can be found within ambiguity, as people are becoming more unsure as to whether a certain episode can be </w:t>
      </w:r>
      <w:proofErr w:type="gramStart"/>
      <w:r w:rsidR="00A50692">
        <w:rPr>
          <w:rFonts w:ascii="Arial" w:hAnsi="Arial" w:cs="Arial"/>
          <w:sz w:val="24"/>
          <w:szCs w:val="24"/>
        </w:rPr>
        <w:t>really deviant</w:t>
      </w:r>
      <w:proofErr w:type="gramEnd"/>
      <w:r w:rsidR="00A50692">
        <w:rPr>
          <w:rFonts w:ascii="Arial" w:hAnsi="Arial" w:cs="Arial"/>
          <w:sz w:val="24"/>
          <w:szCs w:val="24"/>
        </w:rPr>
        <w:t xml:space="preserve"> or what deviance actually means. The judgement which this would be based upon depends upon the context this occurs in</w:t>
      </w:r>
      <w:r w:rsidR="008568E8">
        <w:rPr>
          <w:rFonts w:ascii="Arial" w:hAnsi="Arial" w:cs="Arial"/>
          <w:sz w:val="24"/>
          <w:szCs w:val="24"/>
        </w:rPr>
        <w:t>, who that person would be, also what is known about them and what if any motives there may have been.</w:t>
      </w:r>
    </w:p>
    <w:p w14:paraId="4F304A88" w14:textId="24DE1BD5" w:rsidR="008568E8" w:rsidRDefault="008568E8">
      <w:pPr>
        <w:rPr>
          <w:rFonts w:ascii="Arial" w:hAnsi="Arial" w:cs="Arial"/>
          <w:sz w:val="24"/>
          <w:szCs w:val="24"/>
        </w:rPr>
      </w:pPr>
      <w:r>
        <w:rPr>
          <w:rFonts w:ascii="Arial" w:hAnsi="Arial" w:cs="Arial"/>
          <w:sz w:val="24"/>
          <w:szCs w:val="24"/>
        </w:rPr>
        <w:t xml:space="preserve">Deviance would just simply refer to an idea that is socially constructed as to </w:t>
      </w:r>
      <w:proofErr w:type="gramStart"/>
      <w:r>
        <w:rPr>
          <w:rFonts w:ascii="Arial" w:hAnsi="Arial" w:cs="Arial"/>
          <w:sz w:val="24"/>
          <w:szCs w:val="24"/>
        </w:rPr>
        <w:t>whether or not</w:t>
      </w:r>
      <w:proofErr w:type="gramEnd"/>
      <w:r>
        <w:rPr>
          <w:rFonts w:ascii="Arial" w:hAnsi="Arial" w:cs="Arial"/>
          <w:sz w:val="24"/>
          <w:szCs w:val="24"/>
        </w:rPr>
        <w:t xml:space="preserve"> an act of most sorts is seen as being deviant. This mostly </w:t>
      </w:r>
      <w:proofErr w:type="gramStart"/>
      <w:r>
        <w:rPr>
          <w:rFonts w:ascii="Arial" w:hAnsi="Arial" w:cs="Arial"/>
          <w:sz w:val="24"/>
          <w:szCs w:val="24"/>
        </w:rPr>
        <w:t>has to</w:t>
      </w:r>
      <w:proofErr w:type="gramEnd"/>
      <w:r>
        <w:rPr>
          <w:rFonts w:ascii="Arial" w:hAnsi="Arial" w:cs="Arial"/>
          <w:sz w:val="24"/>
          <w:szCs w:val="24"/>
        </w:rPr>
        <w:t xml:space="preserve"> depend upon the place, the group who has witnessed this particular act and of course its historical period. (Thompson, K, 2020).</w:t>
      </w:r>
    </w:p>
    <w:p w14:paraId="14E0FE28" w14:textId="14704907" w:rsidR="008568E8" w:rsidRDefault="008568E8">
      <w:pPr>
        <w:rPr>
          <w:rFonts w:ascii="Arial" w:hAnsi="Arial" w:cs="Arial"/>
          <w:sz w:val="24"/>
          <w:szCs w:val="24"/>
        </w:rPr>
      </w:pPr>
      <w:r>
        <w:rPr>
          <w:rFonts w:ascii="Arial" w:hAnsi="Arial" w:cs="Arial"/>
          <w:sz w:val="24"/>
          <w:szCs w:val="24"/>
        </w:rPr>
        <w:t xml:space="preserve">Strain theory is a deviant behaviour which is brought about by a certain outcome of distress which is believed to be experienced when an individual is deprived of ways in which they </w:t>
      </w:r>
      <w:proofErr w:type="gramStart"/>
      <w:r>
        <w:rPr>
          <w:rFonts w:ascii="Arial" w:hAnsi="Arial" w:cs="Arial"/>
          <w:sz w:val="24"/>
          <w:szCs w:val="24"/>
        </w:rPr>
        <w:t>are able to</w:t>
      </w:r>
      <w:proofErr w:type="gramEnd"/>
      <w:r>
        <w:rPr>
          <w:rFonts w:ascii="Arial" w:hAnsi="Arial" w:cs="Arial"/>
          <w:sz w:val="24"/>
          <w:szCs w:val="24"/>
        </w:rPr>
        <w:t xml:space="preserve"> obtain any sort of valued goals in their life. The strain theory is a concept which was developed by the American</w:t>
      </w:r>
      <w:r w:rsidR="00FB0A3A">
        <w:rPr>
          <w:rFonts w:ascii="Arial" w:hAnsi="Arial" w:cs="Arial"/>
          <w:sz w:val="24"/>
          <w:szCs w:val="24"/>
        </w:rPr>
        <w:t xml:space="preserve"> sociologist Robert K. Merton. The concept behind this would be connected to the functionalist perspective within deviance, plus Emile Durkheim’s theory of anomie. Merton was to discover that societies can be brought together by two core aspects.</w:t>
      </w:r>
      <w:r w:rsidR="00E63D9A">
        <w:rPr>
          <w:rFonts w:ascii="Arial" w:hAnsi="Arial" w:cs="Arial"/>
          <w:sz w:val="24"/>
          <w:szCs w:val="24"/>
        </w:rPr>
        <w:t xml:space="preserve"> These two aspects are known as cultural and social structure. Within the cultural aspect, the values, identities, </w:t>
      </w:r>
      <w:proofErr w:type="gramStart"/>
      <w:r w:rsidR="00E63D9A">
        <w:rPr>
          <w:rFonts w:ascii="Arial" w:hAnsi="Arial" w:cs="Arial"/>
          <w:sz w:val="24"/>
          <w:szCs w:val="24"/>
        </w:rPr>
        <w:t>goals</w:t>
      </w:r>
      <w:proofErr w:type="gramEnd"/>
      <w:r w:rsidR="00E63D9A">
        <w:rPr>
          <w:rFonts w:ascii="Arial" w:hAnsi="Arial" w:cs="Arial"/>
          <w:sz w:val="24"/>
          <w:szCs w:val="24"/>
        </w:rPr>
        <w:t xml:space="preserve"> and beliefs are developed. These then form to become our social structures that can give a means for the public to be able to achieve goals and to live </w:t>
      </w:r>
      <w:r w:rsidR="00E63D9A">
        <w:rPr>
          <w:rFonts w:ascii="Arial" w:hAnsi="Arial" w:cs="Arial"/>
          <w:sz w:val="24"/>
          <w:szCs w:val="24"/>
        </w:rPr>
        <w:lastRenderedPageBreak/>
        <w:t xml:space="preserve">within a positive identity. Deviant behaviour is brought about by the lack of means for people to achieve any or </w:t>
      </w:r>
      <w:proofErr w:type="gramStart"/>
      <w:r w:rsidR="00E63D9A">
        <w:rPr>
          <w:rFonts w:ascii="Arial" w:hAnsi="Arial" w:cs="Arial"/>
          <w:sz w:val="24"/>
          <w:szCs w:val="24"/>
        </w:rPr>
        <w:t>all of</w:t>
      </w:r>
      <w:proofErr w:type="gramEnd"/>
      <w:r w:rsidR="00E63D9A">
        <w:rPr>
          <w:rFonts w:ascii="Arial" w:hAnsi="Arial" w:cs="Arial"/>
          <w:sz w:val="24"/>
          <w:szCs w:val="24"/>
        </w:rPr>
        <w:t xml:space="preserve"> their culturally valued goals within life.</w:t>
      </w:r>
      <w:r w:rsidR="00A27218">
        <w:rPr>
          <w:rFonts w:ascii="Arial" w:hAnsi="Arial" w:cs="Arial"/>
          <w:sz w:val="24"/>
          <w:szCs w:val="24"/>
        </w:rPr>
        <w:t xml:space="preserve"> (Crossman, A, 2019).</w:t>
      </w:r>
    </w:p>
    <w:p w14:paraId="1B6C1E13" w14:textId="0823E762" w:rsidR="00A27218" w:rsidRDefault="00A27218">
      <w:pPr>
        <w:rPr>
          <w:rFonts w:ascii="Arial" w:hAnsi="Arial" w:cs="Arial"/>
          <w:sz w:val="24"/>
          <w:szCs w:val="24"/>
        </w:rPr>
      </w:pPr>
      <w:r>
        <w:rPr>
          <w:rFonts w:ascii="Arial" w:hAnsi="Arial" w:cs="Arial"/>
          <w:sz w:val="24"/>
          <w:szCs w:val="24"/>
        </w:rPr>
        <w:t xml:space="preserve">One of the things about crime rates is that they are measured by the way in which men outnumber woman in the rates of offending. Gender, nevertheless, was given very little attention even by the standards of new and emerging radical criminology. After this, </w:t>
      </w:r>
      <w:proofErr w:type="gramStart"/>
      <w:r>
        <w:rPr>
          <w:rFonts w:ascii="Arial" w:hAnsi="Arial" w:cs="Arial"/>
          <w:sz w:val="24"/>
          <w:szCs w:val="24"/>
        </w:rPr>
        <w:t>a number of</w:t>
      </w:r>
      <w:proofErr w:type="gramEnd"/>
      <w:r>
        <w:rPr>
          <w:rFonts w:ascii="Arial" w:hAnsi="Arial" w:cs="Arial"/>
          <w:sz w:val="24"/>
          <w:szCs w:val="24"/>
        </w:rPr>
        <w:t xml:space="preserve"> studies started to appear to try and fill any gaps and the deficiencies that had been identified. This was to focus on areas and topics like the issue of </w:t>
      </w:r>
      <w:r w:rsidR="00A34F8E">
        <w:rPr>
          <w:rFonts w:ascii="Arial" w:hAnsi="Arial" w:cs="Arial"/>
          <w:sz w:val="24"/>
          <w:szCs w:val="24"/>
        </w:rPr>
        <w:t>theories of mainstream criminology and how this maybe adapted to try and explain the crimes that women commit or at least the low crime rates. (Leonard: 1982).</w:t>
      </w:r>
    </w:p>
    <w:p w14:paraId="647040D0" w14:textId="387426D9" w:rsidR="00A34F8E" w:rsidRDefault="00A34F8E">
      <w:pPr>
        <w:rPr>
          <w:rFonts w:ascii="Arial" w:hAnsi="Arial" w:cs="Arial"/>
          <w:sz w:val="24"/>
          <w:szCs w:val="24"/>
        </w:rPr>
      </w:pPr>
      <w:r>
        <w:rPr>
          <w:rFonts w:ascii="Arial" w:hAnsi="Arial" w:cs="Arial"/>
          <w:sz w:val="24"/>
          <w:szCs w:val="24"/>
        </w:rPr>
        <w:t xml:space="preserve">One of the other studies would have been issued with </w:t>
      </w:r>
      <w:r w:rsidR="00C37998">
        <w:rPr>
          <w:rFonts w:ascii="Arial" w:hAnsi="Arial" w:cs="Arial"/>
          <w:sz w:val="24"/>
          <w:szCs w:val="24"/>
        </w:rPr>
        <w:t>empirical research on girls and women and what their involvement is within crime. This would be a study such as that of delinquent girls who are in gangs. (Campbell, 1984).</w:t>
      </w:r>
    </w:p>
    <w:p w14:paraId="5B031CA3" w14:textId="79D62EC1" w:rsidR="00C37998" w:rsidRDefault="00C37998">
      <w:pPr>
        <w:rPr>
          <w:rFonts w:ascii="Arial" w:hAnsi="Arial" w:cs="Arial"/>
          <w:sz w:val="24"/>
          <w:szCs w:val="24"/>
        </w:rPr>
      </w:pPr>
      <w:r>
        <w:rPr>
          <w:rFonts w:ascii="Arial" w:hAnsi="Arial" w:cs="Arial"/>
          <w:sz w:val="24"/>
          <w:szCs w:val="24"/>
        </w:rPr>
        <w:t xml:space="preserve"> In conclusion to this there does not seem to be an actual answer to the question of double deviance or double jeopardy within the criminal aspect of how women are portrayed in the system. There does, however, seem to be a lot about women and crime in general. More research and further studies would generally be needed</w:t>
      </w:r>
      <w:r w:rsidR="00F032D6">
        <w:rPr>
          <w:rFonts w:ascii="Arial" w:hAnsi="Arial" w:cs="Arial"/>
          <w:sz w:val="24"/>
          <w:szCs w:val="24"/>
        </w:rPr>
        <w:t xml:space="preserve"> </w:t>
      </w:r>
      <w:proofErr w:type="gramStart"/>
      <w:r w:rsidR="00F032D6">
        <w:rPr>
          <w:rFonts w:ascii="Arial" w:hAnsi="Arial" w:cs="Arial"/>
          <w:sz w:val="24"/>
          <w:szCs w:val="24"/>
        </w:rPr>
        <w:t>and also</w:t>
      </w:r>
      <w:proofErr w:type="gramEnd"/>
      <w:r w:rsidR="00F032D6">
        <w:rPr>
          <w:rFonts w:ascii="Arial" w:hAnsi="Arial" w:cs="Arial"/>
          <w:sz w:val="24"/>
          <w:szCs w:val="24"/>
        </w:rPr>
        <w:t xml:space="preserve"> useful to try and evaluate the question of whether double deviance and double jeopardy would exist in the way that all women are portrayed within the criminal justice system.</w:t>
      </w:r>
    </w:p>
    <w:p w14:paraId="28CC8D7D" w14:textId="4A5CB320" w:rsidR="00717EAD" w:rsidRDefault="00717EAD">
      <w:pPr>
        <w:rPr>
          <w:rFonts w:ascii="Arial" w:hAnsi="Arial" w:cs="Arial"/>
          <w:sz w:val="24"/>
          <w:szCs w:val="24"/>
        </w:rPr>
      </w:pPr>
    </w:p>
    <w:p w14:paraId="6150ADBC" w14:textId="37F0C1C1" w:rsidR="00717EAD" w:rsidRDefault="00717EAD">
      <w:pPr>
        <w:rPr>
          <w:rFonts w:ascii="Arial" w:hAnsi="Arial" w:cs="Arial"/>
          <w:sz w:val="24"/>
          <w:szCs w:val="24"/>
        </w:rPr>
      </w:pPr>
      <w:r>
        <w:rPr>
          <w:rFonts w:ascii="Arial" w:hAnsi="Arial" w:cs="Arial"/>
          <w:sz w:val="24"/>
          <w:szCs w:val="24"/>
        </w:rPr>
        <w:t>Coleman, C, Norris, C (2004) Introducing Criminology. Oregon: Willan Publishing.</w:t>
      </w:r>
    </w:p>
    <w:p w14:paraId="2A45DA6A" w14:textId="234FE574" w:rsidR="00717EAD" w:rsidRDefault="00717EAD">
      <w:pPr>
        <w:rPr>
          <w:rFonts w:ascii="Arial" w:hAnsi="Arial" w:cs="Arial"/>
          <w:sz w:val="24"/>
          <w:szCs w:val="24"/>
        </w:rPr>
      </w:pPr>
      <w:r>
        <w:rPr>
          <w:rFonts w:ascii="Arial" w:hAnsi="Arial" w:cs="Arial"/>
          <w:sz w:val="24"/>
          <w:szCs w:val="24"/>
        </w:rPr>
        <w:t xml:space="preserve">Dyer, H (2016) The Little Book of Feminism. London: </w:t>
      </w:r>
      <w:proofErr w:type="spellStart"/>
      <w:r>
        <w:rPr>
          <w:rFonts w:ascii="Arial" w:hAnsi="Arial" w:cs="Arial"/>
          <w:sz w:val="24"/>
          <w:szCs w:val="24"/>
        </w:rPr>
        <w:t>Summersdale</w:t>
      </w:r>
      <w:proofErr w:type="spellEnd"/>
      <w:r>
        <w:rPr>
          <w:rFonts w:ascii="Arial" w:hAnsi="Arial" w:cs="Arial"/>
          <w:sz w:val="24"/>
          <w:szCs w:val="24"/>
        </w:rPr>
        <w:t xml:space="preserve"> Publishers.</w:t>
      </w:r>
    </w:p>
    <w:p w14:paraId="4B22638A" w14:textId="061BE45B" w:rsidR="00717EAD" w:rsidRDefault="00717EAD">
      <w:pPr>
        <w:rPr>
          <w:rFonts w:ascii="Arial" w:hAnsi="Arial" w:cs="Arial"/>
          <w:sz w:val="24"/>
          <w:szCs w:val="24"/>
        </w:rPr>
      </w:pPr>
      <w:r>
        <w:rPr>
          <w:rFonts w:ascii="Arial" w:hAnsi="Arial" w:cs="Arial"/>
          <w:sz w:val="24"/>
          <w:szCs w:val="24"/>
        </w:rPr>
        <w:t>Heidensohn, F (1996) Women and Crime. London: Macmillan Press LTD.</w:t>
      </w:r>
    </w:p>
    <w:p w14:paraId="7714218A" w14:textId="318642E3" w:rsidR="00717EAD" w:rsidRDefault="00717EAD">
      <w:pPr>
        <w:rPr>
          <w:rFonts w:ascii="Arial" w:hAnsi="Arial" w:cs="Arial"/>
          <w:sz w:val="24"/>
          <w:szCs w:val="24"/>
        </w:rPr>
      </w:pPr>
      <w:proofErr w:type="spellStart"/>
      <w:r>
        <w:rPr>
          <w:rFonts w:ascii="Arial" w:hAnsi="Arial" w:cs="Arial"/>
          <w:sz w:val="24"/>
          <w:szCs w:val="24"/>
        </w:rPr>
        <w:t>Walklate</w:t>
      </w:r>
      <w:proofErr w:type="spellEnd"/>
      <w:r>
        <w:rPr>
          <w:rFonts w:ascii="Arial" w:hAnsi="Arial" w:cs="Arial"/>
          <w:sz w:val="24"/>
          <w:szCs w:val="24"/>
        </w:rPr>
        <w:t>, S (2004) Gender, Crime and Criminal Justice. Devon: Willan Publishing.</w:t>
      </w:r>
    </w:p>
    <w:p w14:paraId="06C0B94A" w14:textId="5BAD87E9" w:rsidR="00717EAD" w:rsidRDefault="00717EAD">
      <w:pPr>
        <w:rPr>
          <w:rFonts w:ascii="Arial" w:hAnsi="Arial" w:cs="Arial"/>
          <w:sz w:val="24"/>
          <w:szCs w:val="24"/>
        </w:rPr>
      </w:pPr>
      <w:r>
        <w:rPr>
          <w:rFonts w:ascii="Arial" w:hAnsi="Arial" w:cs="Arial"/>
          <w:sz w:val="24"/>
          <w:szCs w:val="24"/>
        </w:rPr>
        <w:t>Walters, M (2005) Feminism, a very short introduction. United States: Oxford University Press.</w:t>
      </w:r>
    </w:p>
    <w:p w14:paraId="2B43D661" w14:textId="64840DD2" w:rsidR="00717EAD" w:rsidRDefault="00717EAD">
      <w:pPr>
        <w:rPr>
          <w:rFonts w:ascii="Arial" w:hAnsi="Arial" w:cs="Arial"/>
          <w:sz w:val="24"/>
          <w:szCs w:val="24"/>
        </w:rPr>
      </w:pPr>
    </w:p>
    <w:p w14:paraId="39130F2D" w14:textId="27C79AF5" w:rsidR="00717EAD" w:rsidRDefault="00985BD6">
      <w:pPr>
        <w:rPr>
          <w:rFonts w:ascii="Arial" w:hAnsi="Arial" w:cs="Arial"/>
          <w:sz w:val="24"/>
          <w:szCs w:val="24"/>
        </w:rPr>
      </w:pPr>
      <w:hyperlink r:id="rId7" w:history="1">
        <w:r w:rsidRPr="00CA5087">
          <w:rPr>
            <w:rStyle w:val="Hyperlink"/>
            <w:rFonts w:ascii="Arial" w:hAnsi="Arial" w:cs="Arial"/>
            <w:sz w:val="24"/>
            <w:szCs w:val="24"/>
          </w:rPr>
          <w:t>https://www.thoughtco.com/structural- strain- theory-3026632</w:t>
        </w:r>
      </w:hyperlink>
    </w:p>
    <w:p w14:paraId="28AAA2A3" w14:textId="497ADF4F" w:rsidR="00985BD6" w:rsidRDefault="00985BD6">
      <w:pPr>
        <w:rPr>
          <w:rFonts w:ascii="Arial" w:hAnsi="Arial" w:cs="Arial"/>
          <w:sz w:val="24"/>
          <w:szCs w:val="24"/>
        </w:rPr>
      </w:pPr>
      <w:hyperlink r:id="rId8" w:history="1">
        <w:r w:rsidRPr="00CA5087">
          <w:rPr>
            <w:rStyle w:val="Hyperlink"/>
            <w:rFonts w:ascii="Arial" w:hAnsi="Arial" w:cs="Arial"/>
            <w:sz w:val="24"/>
            <w:szCs w:val="24"/>
          </w:rPr>
          <w:t>https://revisesociology.com/2020/10/28/what-is-deviance#:~:text=deviance%20refers%20to%20rule-breaki</w:t>
        </w:r>
      </w:hyperlink>
      <w:r>
        <w:rPr>
          <w:rFonts w:ascii="Arial" w:hAnsi="Arial" w:cs="Arial"/>
          <w:sz w:val="24"/>
          <w:szCs w:val="24"/>
        </w:rPr>
        <w:t>...</w:t>
      </w:r>
    </w:p>
    <w:p w14:paraId="2D40B2E2" w14:textId="77777777" w:rsidR="00985BD6" w:rsidRPr="00302F12" w:rsidRDefault="00985BD6">
      <w:pPr>
        <w:rPr>
          <w:rFonts w:ascii="Arial" w:hAnsi="Arial" w:cs="Arial"/>
          <w:sz w:val="24"/>
          <w:szCs w:val="24"/>
        </w:rPr>
      </w:pPr>
    </w:p>
    <w:sectPr w:rsidR="00985BD6" w:rsidRPr="00302F12" w:rsidSect="00302F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F12"/>
    <w:rsid w:val="000F6A71"/>
    <w:rsid w:val="00302F12"/>
    <w:rsid w:val="004652B7"/>
    <w:rsid w:val="00571459"/>
    <w:rsid w:val="00717EAD"/>
    <w:rsid w:val="008568E8"/>
    <w:rsid w:val="008644A8"/>
    <w:rsid w:val="00872630"/>
    <w:rsid w:val="009742BD"/>
    <w:rsid w:val="00985BD6"/>
    <w:rsid w:val="009C06DA"/>
    <w:rsid w:val="00A27218"/>
    <w:rsid w:val="00A34F8E"/>
    <w:rsid w:val="00A50692"/>
    <w:rsid w:val="00AC3072"/>
    <w:rsid w:val="00B1511F"/>
    <w:rsid w:val="00C37998"/>
    <w:rsid w:val="00CC6064"/>
    <w:rsid w:val="00D26587"/>
    <w:rsid w:val="00D93D5B"/>
    <w:rsid w:val="00E63D9A"/>
    <w:rsid w:val="00E8035B"/>
    <w:rsid w:val="00EA068D"/>
    <w:rsid w:val="00F032D6"/>
    <w:rsid w:val="00FB0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17D4E"/>
  <w15:chartTrackingRefBased/>
  <w15:docId w15:val="{4758FE18-5012-426F-8CF6-A22C2358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2F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2F12"/>
    <w:rPr>
      <w:rFonts w:eastAsiaTheme="minorEastAsia"/>
      <w:lang w:val="en-US"/>
    </w:rPr>
  </w:style>
  <w:style w:type="character" w:styleId="Hyperlink">
    <w:name w:val="Hyperlink"/>
    <w:basedOn w:val="DefaultParagraphFont"/>
    <w:uiPriority w:val="99"/>
    <w:unhideWhenUsed/>
    <w:rsid w:val="00717EAD"/>
    <w:rPr>
      <w:color w:val="0563C1" w:themeColor="hyperlink"/>
      <w:u w:val="single"/>
    </w:rPr>
  </w:style>
  <w:style w:type="character" w:styleId="UnresolvedMention">
    <w:name w:val="Unresolved Mention"/>
    <w:basedOn w:val="DefaultParagraphFont"/>
    <w:uiPriority w:val="99"/>
    <w:semiHidden/>
    <w:unhideWhenUsed/>
    <w:rsid w:val="00717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isesociology.com/2020/10/28/what-is-deviance#:~:text=deviance%20refers%20to%20rule-breaki" TargetMode="External"/><Relationship Id="rId3" Type="http://schemas.openxmlformats.org/officeDocument/2006/relationships/settings" Target="settings.xml"/><Relationship Id="rId7" Type="http://schemas.openxmlformats.org/officeDocument/2006/relationships/hyperlink" Target="https://www.thoughtco.com/structural-%20strain-%20theory-30266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A21FE798894927823C7C9B7451B665"/>
        <w:category>
          <w:name w:val="General"/>
          <w:gallery w:val="placeholder"/>
        </w:category>
        <w:types>
          <w:type w:val="bbPlcHdr"/>
        </w:types>
        <w:behaviors>
          <w:behavior w:val="content"/>
        </w:behaviors>
        <w:guid w:val="{2CFF4F15-3FEC-4117-9904-B18E331FF629}"/>
      </w:docPartPr>
      <w:docPartBody>
        <w:p w:rsidR="00000000" w:rsidRDefault="00C76045" w:rsidP="00C76045">
          <w:pPr>
            <w:pStyle w:val="3FA21FE798894927823C7C9B7451B665"/>
          </w:pPr>
          <w:r>
            <w:rPr>
              <w:rFonts w:asciiTheme="majorHAnsi" w:eastAsiaTheme="majorEastAsia" w:hAnsiTheme="majorHAnsi" w:cstheme="majorBidi"/>
              <w:caps/>
              <w:color w:val="4472C4" w:themeColor="accent1"/>
              <w:sz w:val="80"/>
              <w:szCs w:val="80"/>
            </w:rPr>
            <w:t>[Document title]</w:t>
          </w:r>
        </w:p>
      </w:docPartBody>
    </w:docPart>
    <w:docPart>
      <w:docPartPr>
        <w:name w:val="E665190033F349F6AD1B8CD07FC567B5"/>
        <w:category>
          <w:name w:val="General"/>
          <w:gallery w:val="placeholder"/>
        </w:category>
        <w:types>
          <w:type w:val="bbPlcHdr"/>
        </w:types>
        <w:behaviors>
          <w:behavior w:val="content"/>
        </w:behaviors>
        <w:guid w:val="{0181F73A-B840-4D15-A2A1-BC33F33DE9BA}"/>
      </w:docPartPr>
      <w:docPartBody>
        <w:p w:rsidR="00000000" w:rsidRDefault="00C76045" w:rsidP="00C76045">
          <w:pPr>
            <w:pStyle w:val="E665190033F349F6AD1B8CD07FC567B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045"/>
    <w:rsid w:val="00C76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A21FE798894927823C7C9B7451B665">
    <w:name w:val="3FA21FE798894927823C7C9B7451B665"/>
    <w:rsid w:val="00C76045"/>
  </w:style>
  <w:style w:type="paragraph" w:customStyle="1" w:styleId="E665190033F349F6AD1B8CD07FC567B5">
    <w:name w:val="E665190033F349F6AD1B8CD07FC567B5"/>
    <w:rsid w:val="00C760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2022-11-06T00:00:00</PublishDate>
  <Abstract/>
  <CompanyAddress>BMCP 6001.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1747</Words>
  <Characters>9963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Gender, Race, Religion and Crime.</vt:lpstr>
    </vt:vector>
  </TitlesOfParts>
  <Company>Melenie Jane box.</Company>
  <LinksUpToDate>false</LinksUpToDate>
  <CharactersWithSpaces>11687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Race, Religion and Crime.</dc:title>
  <dc:subject>Double Deviance and double jeopardy.</dc:subject>
  <dc:creator>Melenie Jane Box</dc:creator>
  <cp:keywords/>
  <dc:description/>
  <cp:lastModifiedBy>Melenie Jane Box</cp:lastModifiedBy>
  <cp:revision>2</cp:revision>
  <dcterms:created xsi:type="dcterms:W3CDTF">2022-11-06T19:56:00Z</dcterms:created>
  <dcterms:modified xsi:type="dcterms:W3CDTF">2022-11-06T19:56:00Z</dcterms:modified>
</cp:coreProperties>
</file>