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DD891" w14:textId="77777777" w:rsidR="000A461D" w:rsidRPr="000A461D" w:rsidRDefault="000A461D" w:rsidP="000A461D">
      <w:pPr>
        <w:spacing w:after="0" w:line="240" w:lineRule="auto"/>
        <w:jc w:val="center"/>
        <w:textAlignment w:val="baseline"/>
        <w:rPr>
          <w:rFonts w:ascii="Segoe UI" w:eastAsia="Times New Roman" w:hAnsi="Segoe UI" w:cs="Segoe UI"/>
          <w:color w:val="000000"/>
          <w:sz w:val="18"/>
          <w:szCs w:val="18"/>
          <w:lang w:eastAsia="en-GB"/>
        </w:rPr>
      </w:pPr>
      <w:r w:rsidRPr="000A461D">
        <w:rPr>
          <w:rFonts w:ascii="Arial" w:eastAsia="Times New Roman" w:hAnsi="Arial" w:cs="Arial"/>
          <w:b/>
          <w:bCs/>
          <w:color w:val="000000"/>
          <w:sz w:val="28"/>
          <w:szCs w:val="28"/>
          <w:lang w:eastAsia="en-GB"/>
        </w:rPr>
        <w:t>Task 3</w:t>
      </w:r>
      <w:r w:rsidRPr="000A461D">
        <w:rPr>
          <w:rFonts w:ascii="Arial" w:eastAsia="Times New Roman" w:hAnsi="Arial" w:cs="Arial"/>
          <w:color w:val="000000"/>
          <w:sz w:val="28"/>
          <w:szCs w:val="28"/>
          <w:lang w:eastAsia="en-GB"/>
        </w:rPr>
        <w:t> </w:t>
      </w:r>
    </w:p>
    <w:p w14:paraId="0BA9F417" w14:textId="77777777" w:rsidR="000A461D" w:rsidRPr="000A461D" w:rsidRDefault="000A461D" w:rsidP="000A461D">
      <w:pPr>
        <w:spacing w:after="0" w:line="240" w:lineRule="auto"/>
        <w:jc w:val="center"/>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8"/>
          <w:szCs w:val="28"/>
          <w:lang w:eastAsia="en-GB"/>
        </w:rPr>
        <w:t> </w:t>
      </w:r>
    </w:p>
    <w:p w14:paraId="1205DFCA" w14:textId="77777777" w:rsidR="000A461D" w:rsidRPr="000A461D" w:rsidRDefault="000A461D" w:rsidP="000A461D">
      <w:pPr>
        <w:spacing w:after="0" w:line="240" w:lineRule="auto"/>
        <w:jc w:val="center"/>
        <w:textAlignment w:val="baseline"/>
        <w:rPr>
          <w:rFonts w:ascii="Segoe UI" w:eastAsia="Times New Roman" w:hAnsi="Segoe UI" w:cs="Segoe UI"/>
          <w:color w:val="000000"/>
          <w:sz w:val="18"/>
          <w:szCs w:val="18"/>
          <w:lang w:eastAsia="en-GB"/>
        </w:rPr>
      </w:pPr>
      <w:r w:rsidRPr="000A461D">
        <w:rPr>
          <w:rFonts w:ascii="Arial" w:eastAsia="Times New Roman" w:hAnsi="Arial" w:cs="Arial"/>
          <w:b/>
          <w:bCs/>
          <w:sz w:val="28"/>
          <w:szCs w:val="28"/>
          <w:lang w:eastAsia="en-GB"/>
        </w:rPr>
        <w:t>Safeguarding and working in complex situations – Case Study</w:t>
      </w:r>
      <w:r w:rsidRPr="000A461D">
        <w:rPr>
          <w:rFonts w:ascii="Arial" w:eastAsia="Times New Roman" w:hAnsi="Arial" w:cs="Arial"/>
          <w:sz w:val="28"/>
          <w:szCs w:val="28"/>
          <w:lang w:eastAsia="en-GB"/>
        </w:rPr>
        <w:t> </w:t>
      </w:r>
    </w:p>
    <w:p w14:paraId="0666FC29" w14:textId="77777777" w:rsidR="000A461D" w:rsidRPr="000A461D" w:rsidRDefault="000A461D" w:rsidP="000A461D">
      <w:pPr>
        <w:spacing w:after="0" w:line="240" w:lineRule="auto"/>
        <w:textAlignment w:val="baseline"/>
        <w:rPr>
          <w:rFonts w:ascii="Segoe UI" w:eastAsia="Times New Roman" w:hAnsi="Segoe UI" w:cs="Segoe UI"/>
          <w:color w:val="000000"/>
          <w:sz w:val="18"/>
          <w:szCs w:val="18"/>
          <w:lang w:eastAsia="en-GB"/>
        </w:rPr>
      </w:pPr>
      <w:r w:rsidRPr="000A461D">
        <w:rPr>
          <w:rFonts w:ascii="Arial" w:eastAsia="Times New Roman" w:hAnsi="Arial" w:cs="Arial"/>
          <w:sz w:val="24"/>
          <w:szCs w:val="24"/>
          <w:lang w:eastAsia="en-GB"/>
        </w:rPr>
        <w:t> </w:t>
      </w:r>
    </w:p>
    <w:p w14:paraId="37E47814" w14:textId="77777777" w:rsidR="000A461D" w:rsidRPr="000A461D" w:rsidRDefault="000A461D" w:rsidP="000A461D">
      <w:pPr>
        <w:spacing w:after="0" w:line="240" w:lineRule="auto"/>
        <w:textAlignment w:val="baseline"/>
        <w:rPr>
          <w:rFonts w:ascii="Segoe UI" w:eastAsia="Times New Roman" w:hAnsi="Segoe UI" w:cs="Segoe UI"/>
          <w:color w:val="000000"/>
          <w:sz w:val="18"/>
          <w:szCs w:val="18"/>
          <w:lang w:eastAsia="en-GB"/>
        </w:rPr>
      </w:pPr>
      <w:r w:rsidRPr="000A461D">
        <w:rPr>
          <w:rFonts w:ascii="Arial" w:eastAsia="Times New Roman" w:hAnsi="Arial" w:cs="Arial"/>
          <w:b/>
          <w:bCs/>
          <w:sz w:val="24"/>
          <w:szCs w:val="24"/>
          <w:lang w:eastAsia="en-GB"/>
        </w:rPr>
        <w:t>Guidance;</w:t>
      </w:r>
      <w:r w:rsidRPr="000A461D">
        <w:rPr>
          <w:rFonts w:ascii="Arial" w:eastAsia="Times New Roman" w:hAnsi="Arial" w:cs="Arial"/>
          <w:sz w:val="24"/>
          <w:szCs w:val="24"/>
          <w:lang w:eastAsia="en-GB"/>
        </w:rPr>
        <w:t> </w:t>
      </w:r>
    </w:p>
    <w:p w14:paraId="52DF602C"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i/>
          <w:iCs/>
          <w:color w:val="000000"/>
          <w:sz w:val="24"/>
          <w:szCs w:val="24"/>
          <w:lang w:eastAsia="en-GB"/>
        </w:rPr>
        <w:t>Please ensure that you meet the National Occupational Standards and assigned Learning Outcomes for this task (see appendix 5 and 6 of the handbook). </w:t>
      </w:r>
      <w:r w:rsidRPr="000A461D">
        <w:rPr>
          <w:rFonts w:ascii="Arial" w:eastAsia="Times New Roman" w:hAnsi="Arial" w:cs="Arial"/>
          <w:color w:val="000000"/>
          <w:sz w:val="24"/>
          <w:szCs w:val="24"/>
          <w:lang w:eastAsia="en-GB"/>
        </w:rPr>
        <w:t> </w:t>
      </w:r>
    </w:p>
    <w:p w14:paraId="5E7947B5"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sz w:val="24"/>
          <w:szCs w:val="24"/>
          <w:lang w:eastAsia="en-GB"/>
        </w:rPr>
        <w:t> </w:t>
      </w:r>
    </w:p>
    <w:p w14:paraId="6DC0CEC8" w14:textId="77777777" w:rsidR="000A461D" w:rsidRPr="000A461D" w:rsidRDefault="000A461D" w:rsidP="000A461D">
      <w:pPr>
        <w:spacing w:after="0" w:line="240" w:lineRule="auto"/>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Question: </w:t>
      </w:r>
    </w:p>
    <w:p w14:paraId="18C9BB4E" w14:textId="77777777" w:rsidR="000A461D" w:rsidRPr="000A461D" w:rsidRDefault="000A461D" w:rsidP="000A461D">
      <w:pPr>
        <w:spacing w:after="0" w:line="240" w:lineRule="auto"/>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Complete a critically reflective case study based on an assessment that you have undertaken with others, in your own area of work, concerning the safeguarding of either an adult or a child. You must demonstrate how the case relates to or could relate to safeguarding legislation, policies, strategies and procedures (including demonstrating an understanding of the interface between social services provision in Wales with the United Kingdom, the European Union (EU) and outside the EU).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0E236180" w14:textId="77777777" w:rsidR="000A461D" w:rsidRPr="000A461D" w:rsidRDefault="000A461D" w:rsidP="000A461D">
      <w:pPr>
        <w:spacing w:after="0" w:line="240" w:lineRule="auto"/>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 </w:t>
      </w:r>
    </w:p>
    <w:p w14:paraId="7E602DE2" w14:textId="77777777" w:rsidR="000A461D" w:rsidRPr="000A461D" w:rsidRDefault="000A461D" w:rsidP="000A461D">
      <w:pPr>
        <w:spacing w:after="0" w:line="240" w:lineRule="auto"/>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 </w:t>
      </w:r>
    </w:p>
    <w:p w14:paraId="4ACD34C2" w14:textId="77777777" w:rsidR="000A461D" w:rsidRPr="000A461D" w:rsidRDefault="000A461D" w:rsidP="000A461D">
      <w:pPr>
        <w:spacing w:after="0" w:line="240" w:lineRule="auto"/>
        <w:textAlignment w:val="baseline"/>
        <w:rPr>
          <w:rFonts w:ascii="Segoe UI" w:eastAsia="Times New Roman" w:hAnsi="Segoe UI" w:cs="Segoe UI"/>
          <w:color w:val="000000"/>
          <w:sz w:val="18"/>
          <w:szCs w:val="18"/>
          <w:lang w:eastAsia="en-GB"/>
        </w:rPr>
      </w:pPr>
      <w:r w:rsidRPr="000A461D">
        <w:rPr>
          <w:rFonts w:ascii="Arial" w:eastAsia="Times New Roman" w:hAnsi="Arial" w:cs="Arial"/>
          <w:i/>
          <w:iCs/>
          <w:color w:val="000000"/>
          <w:sz w:val="24"/>
          <w:szCs w:val="24"/>
          <w:lang w:eastAsia="en-GB"/>
        </w:rPr>
        <w:t>4000 words</w:t>
      </w:r>
      <w:r w:rsidRPr="000A461D">
        <w:rPr>
          <w:rFonts w:ascii="Arial" w:eastAsia="Times New Roman" w:hAnsi="Arial" w:cs="Arial"/>
          <w:color w:val="000000"/>
          <w:sz w:val="24"/>
          <w:szCs w:val="24"/>
          <w:lang w:eastAsia="en-GB"/>
        </w:rPr>
        <w:t> </w:t>
      </w:r>
      <w:r w:rsidRPr="000A461D">
        <w:rPr>
          <w:rFonts w:ascii="Arial" w:eastAsia="Times New Roman" w:hAnsi="Arial" w:cs="Arial"/>
          <w:i/>
          <w:iCs/>
          <w:color w:val="000000"/>
          <w:sz w:val="24"/>
          <w:szCs w:val="24"/>
          <w:lang w:eastAsia="en-GB"/>
        </w:rPr>
        <w:t>(+/- 10%: include your actual word count at the end of each section).</w:t>
      </w:r>
      <w:r w:rsidRPr="000A461D">
        <w:rPr>
          <w:rFonts w:ascii="Arial" w:eastAsia="Times New Roman" w:hAnsi="Arial" w:cs="Arial"/>
          <w:color w:val="000000"/>
          <w:sz w:val="24"/>
          <w:szCs w:val="24"/>
          <w:lang w:eastAsia="en-GB"/>
        </w:rPr>
        <w:t> </w:t>
      </w:r>
    </w:p>
    <w:p w14:paraId="3D6DC17B"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This safeguarding case study examines a complex assessment with “Mr 2,” a sixty-seven-year-old man who lives in rural Wales on top of a hill, presenting with intertwined physical vulnerability, a history of relational trauma, and increasing emotional risk within his marriage. Born with chondrodysplasia, a congenital condition affecting the growth of bone and cartilage, Mr 2 grew up with visible difference, short stature and mobility challenges that required frequent medical interventions throughout childhood (</w:t>
      </w:r>
      <w:proofErr w:type="spellStart"/>
      <w:r w:rsidRPr="000A461D">
        <w:rPr>
          <w:rFonts w:ascii="Arial" w:eastAsia="Times New Roman" w:hAnsi="Arial" w:cs="Arial"/>
          <w:color w:val="000000"/>
          <w:sz w:val="24"/>
          <w:szCs w:val="24"/>
          <w:lang w:eastAsia="en-GB"/>
        </w:rPr>
        <w:t>Doctronic</w:t>
      </w:r>
      <w:proofErr w:type="spellEnd"/>
      <w:r w:rsidRPr="000A461D">
        <w:rPr>
          <w:rFonts w:ascii="Arial" w:eastAsia="Times New Roman" w:hAnsi="Arial" w:cs="Arial"/>
          <w:color w:val="000000"/>
          <w:sz w:val="24"/>
          <w:szCs w:val="24"/>
          <w:lang w:eastAsia="en-GB"/>
        </w:rPr>
        <w:t> Medical Review, 2023). These experiences were formative as they shaped his sense of self (Ainsworth et al., 1978). They cultivated coping strategies centred on compliance, conflict avoidance and maintaining harmony at personal cost (Kaufman, 1996). However, that left him with the enduring belief that he must work harder than others to be accepted. Now in older age, his electronic frailty index score of 0.194 places him within the mild frailty range, signalling reduced physiological reserve and heightened susceptibility to stress (Vision Health, 2026). In safeguarding terms, disability and frailty are not merely background descriptors. They materially increase both the probability and potential impact of harm. Also, they inform every ethical and legal decision made in the course of social work practice (UK Parliament, 2010). </w:t>
      </w:r>
    </w:p>
    <w:p w14:paraId="36A45EB4"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 xml:space="preserve">As therapeutic rapport developed, Mr 2 disclosed that his wife frequently shouted at him late at night and again in the morning. Additionally, when intoxicated she could throw objects, become verbally aggressive, and had slapped him on occasion. According to Mr 2, he lived in a state of anticipatory anxiety, walking on eggshells to prevent escalation. One recent incident, he declined to accompany wife out while the cleaner attended the home. According to Mr2, his wife does not like being around the home when the cleaner is busy with house duties. Mr 2 said he felt fatigued that morning. This was however followed by intense anger from his wife. Mr 2 later minimised his concerns about her behaviour to avoid further conflict. He also described a wider pattern of denigration by a brother-in-law who belittled him for his </w:t>
      </w:r>
      <w:r w:rsidRPr="000A461D">
        <w:rPr>
          <w:rFonts w:ascii="Arial" w:eastAsia="Times New Roman" w:hAnsi="Arial" w:cs="Arial"/>
          <w:color w:val="000000"/>
          <w:sz w:val="24"/>
          <w:szCs w:val="24"/>
          <w:lang w:eastAsia="en-GB"/>
        </w:rPr>
        <w:lastRenderedPageBreak/>
        <w:t>height. He sometimes belittles him in front of the eleven-year-old daughter (the brother in-law's child). He also believed that there was a historical financial exploitation from his brother in-law via indirect requests framed as the child’s needs. Mr 2 has begun to redirect any such financial approaches to his wife to reduce personal pressure. In addition, although he retains strong emotional investment in the marriage, he does not believe his wife is in love with him. He fears the losses that separation would entail after many years together. He experiences guilt at the mere thought of change because both he and his wife were raised in Christian traditions. The traditions emphases permanence, endurance and personal sacrifice within marriage (Mahoney et al., 2001). When we explored definitions of verbal, emotional and physical abuse and the nature of controlling behaviour, Mr 2 was shocked to recognise that his experiences met the criteria for abuse. He acknowledged a longstanding tendency to over comply with family demands and a nascent commitment to setting boundaries. He also named one longstanding friendship, meeting a female friend on Fridays, as a lifeline against isolation. His friend knows his situation and has encouraged him to leave. </w:t>
      </w:r>
    </w:p>
    <w:p w14:paraId="5AD2031E"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To understand this pattern in context, I constructed an eco-map that situated the marital dyad at the centre and revealed sparse protective family ties (Hartman, 1995). Mr 2 has distant, sporadic contact with one sister and none with the other. His recollections of childhood are punctuated by unprotected harm. A younger sister who used to regularly hit him without provocation. His assumption being that her behaviour was probably driven by jealousy because his hospital admissions drew parental attention. His school experiences in which classmates physically humiliated him while teachers failed to intervene. These episodes amounted to profound shame and violation at a formative age, occurring in a context where adults witnessed harm yet did not protect him (</w:t>
      </w:r>
      <w:proofErr w:type="spellStart"/>
      <w:r w:rsidRPr="000A461D">
        <w:rPr>
          <w:rFonts w:ascii="Arial" w:eastAsia="Times New Roman" w:hAnsi="Arial" w:cs="Arial"/>
          <w:color w:val="000000"/>
          <w:sz w:val="24"/>
          <w:szCs w:val="24"/>
          <w:lang w:eastAsia="en-GB"/>
        </w:rPr>
        <w:t>Scheff</w:t>
      </w:r>
      <w:proofErr w:type="spellEnd"/>
      <w:r w:rsidRPr="000A461D">
        <w:rPr>
          <w:rFonts w:ascii="Arial" w:eastAsia="Times New Roman" w:hAnsi="Arial" w:cs="Arial"/>
          <w:color w:val="000000"/>
          <w:sz w:val="24"/>
          <w:szCs w:val="24"/>
          <w:lang w:eastAsia="en-GB"/>
        </w:rPr>
        <w:t>, 2000; Kaufman, 1996). Psychologically, repeated, unchallenged exposure to such events can consolidate toxic shame (</w:t>
      </w:r>
      <w:proofErr w:type="spellStart"/>
      <w:r w:rsidRPr="000A461D">
        <w:rPr>
          <w:rFonts w:ascii="Arial" w:eastAsia="Times New Roman" w:hAnsi="Arial" w:cs="Arial"/>
          <w:color w:val="000000"/>
          <w:sz w:val="24"/>
          <w:szCs w:val="24"/>
          <w:lang w:eastAsia="en-GB"/>
        </w:rPr>
        <w:t>Scheff</w:t>
      </w:r>
      <w:proofErr w:type="spellEnd"/>
      <w:r w:rsidRPr="000A461D">
        <w:rPr>
          <w:rFonts w:ascii="Arial" w:eastAsia="Times New Roman" w:hAnsi="Arial" w:cs="Arial"/>
          <w:color w:val="000000"/>
          <w:sz w:val="24"/>
          <w:szCs w:val="24"/>
          <w:lang w:eastAsia="en-GB"/>
        </w:rPr>
        <w:t xml:space="preserve">, 2000). It fuels objectification of the self and embed expectations of powerlessness within relationships. From a theoretical standpoint, these events plausibly shaped Mr 2’s internal working models in attachment theory suggesting that if responsible adults do not intervene, the child learns that expressing need or protest does not bring protection (Cassidy and Shaver, 2016). Over time this can tilt development toward anxious or avoidant strategies, where safety depends on not drawing attention, not upsetting others and suppressing one’s own needs (Bowlby, 1988). In parallel, trauma theory helps explain the move to appeasement and minimisation (Herman, 1992). When protest repeatedly fails, the nervous system learns that silence and compliance reduce danger. This is consistent with accounts of threat responses in which appease or fawn behaviours emerge to preserve proximity and reduce harm when fight or flight are untenable (Van der Kolk, 2014). In Mr 2’s narrative, these dynamics are visible in the way he learned to be agreeable, useful and emotionally contained. That is an adaptation that maximised short term safety in unsafe environments. Learning theory also illuminates the pattern. Through operant conditioning, being nice and laughing along with jokes at his expense were negatively reinforcing they reduced the immediate punishment of ridicule or exclusion (Skinner, 1953). Therefore, the behaviours were repeated. Over years this contingency can harden into a rule. For example. “If I am unfailingly pleasant and accommodating, people will let me stay,” which looks like pro-sociality but functions as a survival strategy (Herman, 1992). In adulthood, this learned rule can be mislabelled as resilience. In truth, it is strategic submission, an exquisitely intelligent adaptation to hostile settings that, later obscures the line between caring for others and colluding in one’s own erasure. Cognitively, the </w:t>
      </w:r>
      <w:r w:rsidRPr="000A461D">
        <w:rPr>
          <w:rFonts w:ascii="Arial" w:eastAsia="Times New Roman" w:hAnsi="Arial" w:cs="Arial"/>
          <w:color w:val="000000"/>
          <w:sz w:val="24"/>
          <w:szCs w:val="24"/>
          <w:lang w:eastAsia="en-GB"/>
        </w:rPr>
        <w:lastRenderedPageBreak/>
        <w:t>childhood pattern likely fed schema level beliefs in schema therapy such as defectiveness or shame, subjugation, and self-sacrifice or approval seeking (Young et al., 2003). These schemas neatly organise adult behaviour. For example. tolerating degrading comments, accepting jokes as if they were harmless. In addition, doing favours at personal cost and rationalising others’ temper to remain included. Learned helplessness offers a complementary layer indicating that repeated, uncontrollable harm without rescue can produce a generalised expectation that action does not change outcomes (Seligman, 1975). So, making passivity and minimisation feel like the only viable options. In Mr 2’s marriage, these schemas and expectancies help explain why he long framed abuse as family stress. Therefore, naming it as abuse arrived with shock, guilt and an urgent wish to re-establish emotional safety (</w:t>
      </w:r>
      <w:proofErr w:type="spellStart"/>
      <w:r w:rsidRPr="000A461D">
        <w:rPr>
          <w:rFonts w:ascii="Arial" w:eastAsia="Times New Roman" w:hAnsi="Arial" w:cs="Arial"/>
          <w:color w:val="000000"/>
          <w:sz w:val="24"/>
          <w:szCs w:val="24"/>
          <w:lang w:eastAsia="en-GB"/>
        </w:rPr>
        <w:t>Janoff</w:t>
      </w:r>
      <w:proofErr w:type="spellEnd"/>
      <w:r w:rsidRPr="000A461D">
        <w:rPr>
          <w:rFonts w:ascii="Arial" w:eastAsia="Times New Roman" w:hAnsi="Arial" w:cs="Arial"/>
          <w:color w:val="000000"/>
          <w:sz w:val="24"/>
          <w:szCs w:val="24"/>
          <w:lang w:eastAsia="en-GB"/>
        </w:rPr>
        <w:noBreakHyphen/>
        <w:t>Bulman, 1992). These childhood experiences also help explain why Mr 2’s insight was accompanied by physiological shifts in the session. When he finally off loaded and then sought repeated reassurance, his body signalled both exposure and attempted self-regulation through deeper, elongated exhalations (van der Kolk, 2014). In Schön’s reflection in action, I slowed pace and re-stated the frame to re-create the protection he never had as a child (Schön, 1983). In reflection on action, I formalised a cool down period and brief written summaries to anchor safety. The Johari Window which is a tool that creates self-awareness was</w:t>
      </w:r>
      <w:r w:rsidRPr="000A461D">
        <w:rPr>
          <w:rFonts w:ascii="Arial" w:eastAsia="Times New Roman" w:hAnsi="Arial" w:cs="Arial"/>
          <w:color w:val="FF0000"/>
          <w:sz w:val="24"/>
          <w:szCs w:val="24"/>
          <w:lang w:eastAsia="en-GB"/>
        </w:rPr>
        <w:t> </w:t>
      </w:r>
      <w:r w:rsidRPr="000A461D">
        <w:rPr>
          <w:rFonts w:ascii="Arial" w:eastAsia="Times New Roman" w:hAnsi="Arial" w:cs="Arial"/>
          <w:color w:val="000000"/>
          <w:sz w:val="24"/>
          <w:szCs w:val="24"/>
          <w:lang w:eastAsia="en-GB"/>
        </w:rPr>
        <w:t>applicable to his circumstance (</w:t>
      </w:r>
      <w:proofErr w:type="spellStart"/>
      <w:r w:rsidRPr="000A461D">
        <w:rPr>
          <w:rFonts w:ascii="Arial" w:eastAsia="Times New Roman" w:hAnsi="Arial" w:cs="Arial"/>
          <w:color w:val="000000"/>
          <w:sz w:val="24"/>
          <w:szCs w:val="24"/>
          <w:lang w:eastAsia="en-GB"/>
        </w:rPr>
        <w:t>Luft</w:t>
      </w:r>
      <w:proofErr w:type="spellEnd"/>
      <w:r w:rsidRPr="000A461D">
        <w:rPr>
          <w:rFonts w:ascii="Arial" w:eastAsia="Times New Roman" w:hAnsi="Arial" w:cs="Arial"/>
          <w:color w:val="000000"/>
          <w:sz w:val="24"/>
          <w:szCs w:val="24"/>
          <w:lang w:eastAsia="en-GB"/>
        </w:rPr>
        <w:t xml:space="preserve"> and </w:t>
      </w:r>
      <w:proofErr w:type="spellStart"/>
      <w:r w:rsidRPr="000A461D">
        <w:rPr>
          <w:rFonts w:ascii="Arial" w:eastAsia="Times New Roman" w:hAnsi="Arial" w:cs="Arial"/>
          <w:color w:val="000000"/>
          <w:sz w:val="24"/>
          <w:szCs w:val="24"/>
          <w:lang w:eastAsia="en-GB"/>
        </w:rPr>
        <w:t>Ingham</w:t>
      </w:r>
      <w:proofErr w:type="spellEnd"/>
      <w:r w:rsidRPr="000A461D">
        <w:rPr>
          <w:rFonts w:ascii="Arial" w:eastAsia="Times New Roman" w:hAnsi="Arial" w:cs="Arial"/>
          <w:color w:val="000000"/>
          <w:sz w:val="24"/>
          <w:szCs w:val="24"/>
          <w:lang w:eastAsia="en-GB"/>
        </w:rPr>
        <w:t>, 1955). For example, life experiences that were long hidden, including the shame, the coercion and the childhood humiliations, moved carefully into the open area with boundaries clear enough to prevent re-traumatisation. That movement widened not only knowledge but agency because it allowed Mr 2 to hold a more coherent story about what happened and what is happening now, without demanding decisions he is not ready to make. Finally, Mr 2’s observation that no one had ever offered him space to talk about his emotions is clinically significant. Prolonged emotional invalidation can blunt mentalising and create </w:t>
      </w:r>
      <w:proofErr w:type="spellStart"/>
      <w:r w:rsidRPr="000A461D">
        <w:rPr>
          <w:rFonts w:ascii="Arial" w:eastAsia="Times New Roman" w:hAnsi="Arial" w:cs="Arial"/>
          <w:color w:val="000000"/>
          <w:sz w:val="24"/>
          <w:szCs w:val="24"/>
          <w:lang w:eastAsia="en-GB"/>
        </w:rPr>
        <w:t>alexithymic</w:t>
      </w:r>
      <w:proofErr w:type="spellEnd"/>
      <w:r w:rsidRPr="000A461D">
        <w:rPr>
          <w:rFonts w:ascii="Arial" w:eastAsia="Times New Roman" w:hAnsi="Arial" w:cs="Arial"/>
          <w:color w:val="000000"/>
          <w:sz w:val="24"/>
          <w:szCs w:val="24"/>
          <w:lang w:eastAsia="en-GB"/>
        </w:rPr>
        <w:t xml:space="preserve"> tendencies (Taylor, </w:t>
      </w:r>
      <w:proofErr w:type="spellStart"/>
      <w:r w:rsidRPr="000A461D">
        <w:rPr>
          <w:rFonts w:ascii="Arial" w:eastAsia="Times New Roman" w:hAnsi="Arial" w:cs="Arial"/>
          <w:color w:val="000000"/>
          <w:sz w:val="24"/>
          <w:szCs w:val="24"/>
          <w:lang w:eastAsia="en-GB"/>
        </w:rPr>
        <w:t>Bagby</w:t>
      </w:r>
      <w:proofErr w:type="spellEnd"/>
      <w:r w:rsidRPr="000A461D">
        <w:rPr>
          <w:rFonts w:ascii="Arial" w:eastAsia="Times New Roman" w:hAnsi="Arial" w:cs="Arial"/>
          <w:color w:val="000000"/>
          <w:sz w:val="24"/>
          <w:szCs w:val="24"/>
          <w:lang w:eastAsia="en-GB"/>
        </w:rPr>
        <w:t xml:space="preserve"> and Parker, 1997).</w:t>
      </w:r>
      <w:r w:rsidRPr="000A461D">
        <w:rPr>
          <w:rFonts w:ascii="Arial" w:eastAsia="Times New Roman" w:hAnsi="Arial" w:cs="Arial"/>
          <w:color w:val="FF0000"/>
          <w:sz w:val="24"/>
          <w:szCs w:val="24"/>
          <w:lang w:eastAsia="en-GB"/>
        </w:rPr>
        <w:t> </w:t>
      </w:r>
      <w:r w:rsidRPr="000A461D">
        <w:rPr>
          <w:rFonts w:ascii="Arial" w:eastAsia="Times New Roman" w:hAnsi="Arial" w:cs="Arial"/>
          <w:color w:val="000000"/>
          <w:sz w:val="24"/>
          <w:szCs w:val="24"/>
          <w:lang w:eastAsia="en-GB"/>
        </w:rPr>
        <w:t>Therefore, the internal states feel either irrelevant or dangerous to voice. Creating an emotionally literate space where feelings are named, legitimised and bounded by clear safeguards, directly counters this developmental neglect (Siegel, 2012). It is also where resilience can be redefined explaining not endurance at all costs, but the capacity to recognise harm, recruit support and protect oneself without losing one’s core values. </w:t>
      </w:r>
    </w:p>
    <w:p w14:paraId="45CE8D09"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Risk assessment demanded that I balance Mr 2’s subjective sense of safety with an objective appraisal of the harm he described (Harris and Fallot, 2001). Emotional abuse is frequently minimised by those experiencing it, particularly when overt physical violence is intermittent (Stark, 2007). The legal framework recognises precisely this problem. Domestic abuse law (2021) conceptualises abuse not only as discrete incidents but also as coercive and controlling behaviour, patterns of intimidation, isolation and degradation that erode autonomy over time. Within this framework, the nature of Mr 2’s experiences were unequivocally abusive even prior to any current serious injury. The Wales Safeguarding Procedures</w:t>
      </w:r>
      <w:r w:rsidRPr="000A461D">
        <w:rPr>
          <w:rFonts w:ascii="Arial" w:eastAsia="Times New Roman" w:hAnsi="Arial" w:cs="Arial"/>
          <w:color w:val="FF0000"/>
          <w:sz w:val="24"/>
          <w:szCs w:val="24"/>
          <w:lang w:eastAsia="en-GB"/>
        </w:rPr>
        <w:t> </w:t>
      </w:r>
      <w:r w:rsidRPr="000A461D">
        <w:rPr>
          <w:rFonts w:ascii="Arial" w:eastAsia="Times New Roman" w:hAnsi="Arial" w:cs="Arial"/>
          <w:color w:val="000000"/>
          <w:sz w:val="24"/>
          <w:szCs w:val="24"/>
          <w:lang w:eastAsia="en-GB"/>
        </w:rPr>
        <w:t>emphasise proportionate response and multi-agency collaboration (Welsh Government, 2016). They also make explicit that adults with capacity can and do choose to live with a degree of risk. However, this does not absolve practitioners of responsibility but rather re-orients our duties toward clear information, safety planning, dynamic risk review and readiness to act if thresholds are crossed. </w:t>
      </w:r>
    </w:p>
    <w:p w14:paraId="200564C5"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Safeguarding in Wales follows its own legal framework, set by the Social Services and Well</w:t>
      </w:r>
      <w:r w:rsidRPr="000A461D">
        <w:rPr>
          <w:rFonts w:ascii="Arial" w:eastAsia="Times New Roman" w:hAnsi="Arial" w:cs="Arial"/>
          <w:color w:val="000000"/>
          <w:sz w:val="24"/>
          <w:szCs w:val="24"/>
          <w:lang w:eastAsia="en-GB"/>
        </w:rPr>
        <w:noBreakHyphen/>
        <w:t xml:space="preserve">being (Wales) Act 2014 and the Wales Safeguarding Procedures. </w:t>
      </w:r>
      <w:r w:rsidRPr="000A461D">
        <w:rPr>
          <w:rFonts w:ascii="Arial" w:eastAsia="Times New Roman" w:hAnsi="Arial" w:cs="Arial"/>
          <w:color w:val="000000"/>
          <w:sz w:val="24"/>
          <w:szCs w:val="24"/>
          <w:lang w:eastAsia="en-GB"/>
        </w:rPr>
        <w:lastRenderedPageBreak/>
        <w:t>The focus is on wellbeing, fairness, shared decision</w:t>
      </w:r>
      <w:r w:rsidRPr="000A461D">
        <w:rPr>
          <w:rFonts w:ascii="Arial" w:eastAsia="Times New Roman" w:hAnsi="Arial" w:cs="Arial"/>
          <w:color w:val="000000"/>
          <w:sz w:val="24"/>
          <w:szCs w:val="24"/>
          <w:lang w:eastAsia="en-GB"/>
        </w:rPr>
        <w:noBreakHyphen/>
        <w:t>making and language needs. This differs from England’s Care Act system and is especially relevant in my area, where people may access medical services across the Welsh/English border due to close geographical proximity. Although the UK is no longer in the EU, safeguarding still follows European human rights law which protects citizens dignity and freedom from harm (Human Rights Act 1998). The UK GDPR and international human rights standards, supporting a careful, rights</w:t>
      </w:r>
      <w:r w:rsidRPr="000A461D">
        <w:rPr>
          <w:rFonts w:ascii="Arial" w:eastAsia="Times New Roman" w:hAnsi="Arial" w:cs="Arial"/>
          <w:color w:val="000000"/>
          <w:sz w:val="24"/>
          <w:szCs w:val="24"/>
          <w:lang w:eastAsia="en-GB"/>
        </w:rPr>
        <w:noBreakHyphen/>
        <w:t>based approach that respects choice while ensuring protection and readiness to act if risk increases (Data Protection Act 2018). </w:t>
      </w:r>
    </w:p>
    <w:p w14:paraId="09F78C85"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Since any decision to refer Mr 2 as an Adult at Risk required either his consent or a threshold of serious risk justifying action without consent, I completed a decision specific mental capacity assessment in accordance with the Mental Capacity Act 2005. Mr 2 understood, retained and weighed the safeguarding information and communicated clearly that he did not wish for a referral on that day. Emotional ambivalence was evident, but it did not impair his decisional abilities. Respecting his </w:t>
      </w:r>
      <w:proofErr w:type="spellStart"/>
      <w:r w:rsidRPr="000A461D">
        <w:rPr>
          <w:rFonts w:ascii="Arial" w:eastAsia="Times New Roman" w:hAnsi="Arial" w:cs="Arial"/>
          <w:color w:val="000000"/>
          <w:sz w:val="24"/>
          <w:szCs w:val="24"/>
          <w:lang w:eastAsia="en-GB"/>
        </w:rPr>
        <w:t>capacitous</w:t>
      </w:r>
      <w:proofErr w:type="spellEnd"/>
      <w:r w:rsidRPr="000A461D">
        <w:rPr>
          <w:rFonts w:ascii="Arial" w:eastAsia="Times New Roman" w:hAnsi="Arial" w:cs="Arial"/>
          <w:color w:val="000000"/>
          <w:sz w:val="24"/>
          <w:szCs w:val="24"/>
          <w:lang w:eastAsia="en-GB"/>
        </w:rPr>
        <w:t> refusal was ethically demanding because the harm was real, yet it was also legally and professionally appropriate provided the plan preserved safety and established explicit escalation criteria. I therefore recorded the rationale, discussed it in supervision, and implemented a stabilisation first plan. For example, revisiting consent as insight and readiness evolve and embedding a dynamic review cycle. Cocreating safety steps for periods of intoxication by identifying safe rooms and exits. Keeping a charged phone to hand and establishing who to contact and encouraging re engagement with primary care to monitor fatigue, stress and any stress related health changes. I also discussed, non-directive, male inclusive domestic abuse supports that Mr 2 could choose to access later. I also clarified that in the event of immediate danger the correct pathway is 999. Where proportionate information sharing is justified under Welsh procedures and data protection law, it must be necessary, minimal and time limited (Social Care Wales, 2019; UK GDPR; Data Protection Act 2018).  </w:t>
      </w:r>
    </w:p>
    <w:p w14:paraId="78D69192"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It was important to understand Mr 2’s protected characteristics to make sure practice was fair and non</w:t>
      </w:r>
      <w:r w:rsidRPr="000A461D">
        <w:rPr>
          <w:rFonts w:ascii="Arial" w:eastAsia="Times New Roman" w:hAnsi="Arial" w:cs="Arial"/>
          <w:color w:val="000000"/>
          <w:sz w:val="24"/>
          <w:szCs w:val="24"/>
          <w:lang w:eastAsia="en-GB"/>
        </w:rPr>
        <w:noBreakHyphen/>
        <w:t>oppressive (Equality Act, 2010, Welsh Government, 2011). As an older, disabled man raised in a Christian tradition, he negotiates an intersection of vulnerabilities that shape his perception of abuse, his sense of agency and his access to support. Gendered barriers for male survivors remain a critical, often hidden, layer of safeguarding complexity</w:t>
      </w:r>
      <w:r w:rsidRPr="000A461D">
        <w:rPr>
          <w:rFonts w:ascii="Arial" w:eastAsia="Times New Roman" w:hAnsi="Arial" w:cs="Arial"/>
          <w:color w:val="00B050"/>
          <w:sz w:val="24"/>
          <w:szCs w:val="24"/>
          <w:lang w:eastAsia="en-GB"/>
        </w:rPr>
        <w:t> </w:t>
      </w:r>
      <w:r w:rsidRPr="000A461D">
        <w:rPr>
          <w:rFonts w:ascii="Arial" w:eastAsia="Times New Roman" w:hAnsi="Arial" w:cs="Arial"/>
          <w:color w:val="000000"/>
          <w:sz w:val="24"/>
          <w:szCs w:val="24"/>
          <w:lang w:eastAsia="en-GB"/>
        </w:rPr>
        <w:t>(Older People’s Commissioner for Wales, 2023;  </w:t>
      </w:r>
    </w:p>
    <w:p w14:paraId="5A9B8446"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Wallace, 2022; Welsh Government, 2025). </w:t>
      </w:r>
    </w:p>
    <w:p w14:paraId="1B2E638C"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Although safeguarding law applies equally to all genders, men can face added barriers to recognising and speaking about abuse, including shame, fear of not being believed, and expectations to cope alone. For Mr 2, these barriers added to earlier coping patterns of minimising harm and avoiding conflict. Understanding this helped me respond in a supportive, non</w:t>
      </w:r>
      <w:r w:rsidRPr="000A461D">
        <w:rPr>
          <w:rFonts w:ascii="Arial" w:eastAsia="Times New Roman" w:hAnsi="Arial" w:cs="Arial"/>
          <w:color w:val="000000"/>
          <w:sz w:val="24"/>
          <w:szCs w:val="24"/>
          <w:lang w:eastAsia="en-GB"/>
        </w:rPr>
        <w:noBreakHyphen/>
        <w:t>judgemental way and avoid misinterpreting his hesitation as resistance rather than as a trauma</w:t>
      </w:r>
      <w:r w:rsidRPr="000A461D">
        <w:rPr>
          <w:rFonts w:ascii="Arial" w:eastAsia="Times New Roman" w:hAnsi="Arial" w:cs="Arial"/>
          <w:color w:val="000000"/>
          <w:sz w:val="24"/>
          <w:szCs w:val="24"/>
          <w:lang w:eastAsia="en-GB"/>
        </w:rPr>
        <w:noBreakHyphen/>
        <w:t>based response. </w:t>
      </w:r>
    </w:p>
    <w:p w14:paraId="5DADBDD6"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 </w:t>
      </w:r>
    </w:p>
    <w:p w14:paraId="6D589B9F"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Using an eco</w:t>
      </w:r>
      <w:r w:rsidRPr="000A461D">
        <w:rPr>
          <w:rFonts w:ascii="Arial" w:eastAsia="Times New Roman" w:hAnsi="Arial" w:cs="Arial"/>
          <w:color w:val="000000"/>
          <w:sz w:val="24"/>
          <w:szCs w:val="24"/>
          <w:lang w:eastAsia="en-GB"/>
        </w:rPr>
        <w:noBreakHyphen/>
        <w:t>map helped me clearly see where risk and protection sat in Mr 2’s life. The main source of harm was the marital relationship, characterised by shouting, intimidation, silencing and alcohol</w:t>
      </w:r>
      <w:r w:rsidRPr="000A461D">
        <w:rPr>
          <w:rFonts w:ascii="Arial" w:eastAsia="Times New Roman" w:hAnsi="Arial" w:cs="Arial"/>
          <w:color w:val="000000"/>
          <w:sz w:val="24"/>
          <w:szCs w:val="24"/>
          <w:lang w:eastAsia="en-GB"/>
        </w:rPr>
        <w:noBreakHyphen/>
        <w:t>related volatility. Family support was limited, with strained sibling relationships and ongoing belittlement and financial pressure from a brother</w:t>
      </w:r>
      <w:r w:rsidRPr="000A461D">
        <w:rPr>
          <w:rFonts w:ascii="Arial" w:eastAsia="Times New Roman" w:hAnsi="Arial" w:cs="Arial"/>
          <w:color w:val="000000"/>
          <w:sz w:val="24"/>
          <w:szCs w:val="24"/>
          <w:lang w:eastAsia="en-GB"/>
        </w:rPr>
        <w:noBreakHyphen/>
        <w:t>in</w:t>
      </w:r>
      <w:r w:rsidRPr="000A461D">
        <w:rPr>
          <w:rFonts w:ascii="Arial" w:eastAsia="Times New Roman" w:hAnsi="Arial" w:cs="Arial"/>
          <w:color w:val="000000"/>
          <w:sz w:val="24"/>
          <w:szCs w:val="24"/>
          <w:lang w:eastAsia="en-GB"/>
        </w:rPr>
        <w:noBreakHyphen/>
        <w:t xml:space="preserve">law. In contrast, two protective factors were evident: a longstanding friendship that reduced isolation and provided emotional support, and primary care, which offered a safe and accessible point for monitoring stress and health </w:t>
      </w:r>
      <w:r w:rsidRPr="000A461D">
        <w:rPr>
          <w:rFonts w:ascii="Arial" w:eastAsia="Times New Roman" w:hAnsi="Arial" w:cs="Arial"/>
          <w:color w:val="000000"/>
          <w:sz w:val="24"/>
          <w:szCs w:val="24"/>
          <w:lang w:eastAsia="en-GB"/>
        </w:rPr>
        <w:lastRenderedPageBreak/>
        <w:t>impacts. Small changes, such as recognising abuse, redirecting financial requests, arranging GP review and agreeing safety check</w:t>
      </w:r>
      <w:r w:rsidRPr="000A461D">
        <w:rPr>
          <w:rFonts w:ascii="Arial" w:eastAsia="Times New Roman" w:hAnsi="Arial" w:cs="Arial"/>
          <w:color w:val="000000"/>
          <w:sz w:val="24"/>
          <w:szCs w:val="24"/>
          <w:lang w:eastAsia="en-GB"/>
        </w:rPr>
        <w:noBreakHyphen/>
        <w:t>ins, showed early strengthening of protective supports and informed proportionate safeguarding planning. </w:t>
      </w:r>
    </w:p>
    <w:p w14:paraId="7B571DA4"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In reflection, the ecomap organises the outer world while the Johari Window structured how I worked with Mr 2’s inner world. What was known and shared, what was kept hidden, what sat in his blind spots and what remained unknown. At first the open area was small. Mr 2’s story arrived as family stress and tiredness, and much of the harm lived in the hidden pane as unspoken fear, shame and a lifetime of strategic niceness. As trust grew, the open pane expanded: he named shouting, belittling, silencing, isolation and, eventually, episodic physical assaults. My task was to widen this pane ethically, not aggressively, by making the professional frame transparent through clear explanation of confidentiality and its limits, capacity considerations and proportionate thresholds in Wales, by pacing conversation to avoid overwhelm and by offering brief written summaries, English or Welsh as preferred, that stabilised memory and control. The moment he disclosed that he had thought about leaving the marriage, then startled at his own words and withdrew, marked a delicate movement from hidden toward open. Treating that thought as an incipient edge of openness, validating its meaning without converting it into a plan, kept the open pane from collapsing under emotional load and preserved autonomy. The blind pane required deliberate attention from me. Holding statutory authority carries the risk that my micro behaviours, such as pressing pace when I feel worried, over reassuring in ways that over promise, and subtly favouring action-oriented talk, could be experienced as pressure. Supervision helped me notice and soften these cues, hand decision pace back to Mr 2 and maintain language discipline such as “confidential within professional boundaries; I will only share without consent if there is a serious risk of harm or if others are at risk.” Mr 2’s own blind spots were equally important: long standing frames that coded coercion as marital difficulty, minimised intimidation because injury was intermittent or cast his strategic submission as resilience. Gently testing these interpretations, linking present fear to earlier unprotected harm and contrasting endurance with safety seeking, helped convert blind spots into shared understanding without humiliation. The unknown pane, including how faith and safety might be reconciled, what new boundaries would feel like in practice and how stress might interact with frailty, was curated rather than forced. We built containers for exploration: a dynamic safety plan with early warning signs and agreed actions, non-directive invitations to men’s services and consented GP oversight to catch stress related health effects early. In each session I used reflection in action to regulate pace and tone, noticing Mr 2’s deepening exhalations and meeting his repeated reassurance seeking with honest boundaries and calm summaries. Reflection on action then translated into predictable structures that protect both of us: an upfront mini frame that covers confidentiality, limits and language choice, a brief cool down window when disclosures are heavy and micro summaries that Mr 2 can keep privately. </w:t>
      </w:r>
    </w:p>
    <w:p w14:paraId="58191895"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The Transtheoretical Model helped me to pace the safeguarding work appropriately. Mr 2 was assessed as being in the contemplation stage, recognising abusive patterns while feeling significant ambivalence linked to emotional attachment, faith</w:t>
      </w:r>
      <w:r w:rsidRPr="000A461D">
        <w:rPr>
          <w:rFonts w:ascii="Arial" w:eastAsia="Times New Roman" w:hAnsi="Arial" w:cs="Arial"/>
          <w:color w:val="000000"/>
          <w:sz w:val="24"/>
          <w:szCs w:val="24"/>
          <w:lang w:eastAsia="en-GB"/>
        </w:rPr>
        <w:noBreakHyphen/>
        <w:t>based values and fear of loss. This meant prioritising validation and safety</w:t>
      </w:r>
      <w:r w:rsidRPr="000A461D">
        <w:rPr>
          <w:rFonts w:ascii="Arial" w:eastAsia="Times New Roman" w:hAnsi="Arial" w:cs="Arial"/>
          <w:color w:val="000000"/>
          <w:sz w:val="24"/>
          <w:szCs w:val="24"/>
          <w:lang w:eastAsia="en-GB"/>
        </w:rPr>
        <w:noBreakHyphen/>
        <w:t>focused work rather than pushing for action, allowing risk to be reduced without increasing pressure (Prochaska and DiClemente, 1983). </w:t>
      </w:r>
    </w:p>
    <w:p w14:paraId="55D0FDA5"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 xml:space="preserve">Within Wales, language is not a peripheral courtesy but a legal right. The Welsh Language Measure establishes Welsh and English on an equal footing and requires </w:t>
      </w:r>
      <w:r w:rsidRPr="000A461D">
        <w:rPr>
          <w:rFonts w:ascii="Arial" w:eastAsia="Times New Roman" w:hAnsi="Arial" w:cs="Arial"/>
          <w:color w:val="000000"/>
          <w:sz w:val="24"/>
          <w:szCs w:val="24"/>
          <w:lang w:eastAsia="en-GB"/>
        </w:rPr>
        <w:lastRenderedPageBreak/>
        <w:t>the active offer, so that a person’s language choice is made explicit and easy rather than hidden behind reluctance to ask. Most of Mr 2’s conversations proceeded in English by preference; nonetheless, naming the option to receive written summaries or conduct discussions in Welsh formed part of his dignity and participation. Working in Wales also entails attention to domestic abuse legislation and strategy that impose duties to prevent, protect and support. While one Act is titled in gendered terms, service delivery is inclusive, and male survivors require pathways designed without stigma. Equality and human rights considerations run alongside: equalities law protects Mr 2 in relation to age, disability, sex and religion; human rights law frames freedom from degrading treatment and respect for private and family life; and data protection law provides a legal basis for proportionate, lawful information sharing. Beyond the UK, the European Convention on Human Rights informs a rights-based approach; internationally, human rights instruments reinforce the triad of autonomy, protection and participation that this case demanded. These frameworks were not added as a formalistic appendix; they actively shaped the contingencies, the choice preserving stance, the documentation of thresholds and the expectation that multi agency help remains available, proportionate and ready should risk escalate. </w:t>
      </w:r>
    </w:p>
    <w:p w14:paraId="4D9F83E6"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Methodologically I combined relationship-based practice, trauma informed working, strengths-based approaches, non-directive signposting, safety planning and capacity led decision making. Relationship based practice was vital because trustworthy, empathic and attuned communication created a space in which Mr 2 could move from a generic description of family stress to naming shouting, belittling, silencing and isolation. Strengths based work acknowledged his academic identity, his endurance and the persistence of friendship that had resisted attempts at isolation, assets that support self-efficacy and change readiness. Motivational interviewing consistent dialogue supported exploration of ambivalence without persuasion or pressure. Safety planning consolidated small, actionable steps that did not require him to adopt an identity he was not ready to inhabit. The eco map, as a working tool rather than a static diagram, kept supports and stressors visible so that the plan remained anchored in the real relational world he inhabits. </w:t>
      </w:r>
    </w:p>
    <w:p w14:paraId="7B93EA0A"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 xml:space="preserve">Schön’s reflection in action and reflection on action structured my reflective discipline during and after key sessions. There was a notable moment when Mr 2 realised how much he had off loaded and began to ask for reassurance repeatedly that the space was safe and the information would go no further. In action, I recognised the interplay of vulnerability, shame and fear that often follows a sudden increase in insight. My first task was containment: stabilise the emotional temperature of the room, reaffirm the confidentiality frame and its legal limits, and summarise non judgementally what I had heard to help him integrate rather than fragment. I slowed my pace, softened my tone, and explicitly normalised the need for reassurance after significant disclosure. I noticed his breathing become slower with extended exhalations, a spontaneous self-regulation strategy, and mirrored a calmer cadence without imposing a technique that could feel clinical or intrusive. On action, I reviewed the precise wording I use around confidentiality to ensure it is accurate, rights based and policy aligned, psychological safety within professional boundaries, not absolute secrecy, and I decided to formalise a short cool down window at the end of high intensity sessions to consolidate containment. The Johari Window augmented this reflective work by giving a practical account of how disclosure, feedback and unspoken dynamics ebb and flow in safeguarding conversations. At the outset, the open area is often small because both practitioner and person are guarded; as trust developed, ours gently widened. Mr 2 moved from non-specific family stress to naming shouting, belittling, silencing and </w:t>
      </w:r>
      <w:r w:rsidRPr="000A461D">
        <w:rPr>
          <w:rFonts w:ascii="Arial" w:eastAsia="Times New Roman" w:hAnsi="Arial" w:cs="Arial"/>
          <w:color w:val="000000"/>
          <w:sz w:val="24"/>
          <w:szCs w:val="24"/>
          <w:lang w:eastAsia="en-GB"/>
        </w:rPr>
        <w:lastRenderedPageBreak/>
        <w:t>isolation; I made my professional frame transparent by stating confidentiality boundaries, legal limits, capacity considerations and proportionate thresholds in Wales. The hidden area surged forward when he admitted, perhaps for the first time in his life, that he had thought about leaving his wife. Rather than leveraging this insight for action, I treated it as an incipient edge of openness to be revisited at his pace. Validating the thought as meaningful without insisting on a plan protected autonomy and prevented overload. The blind area, what others may see in me that I do not, required attention in supervision, particularly micro behaviours that could communicate urgency or paternalism. The unknown area, including the future implications of experimenting with boundaries, the interplay of faith and safety and the cumulative effect of stress on frailty, was curated rather than forced. Structures for safe exploration were put in place, including a dynamic safety plan with early warning signs, a standing invitation to review options without commitment and primary care monitoring with consent. </w:t>
      </w:r>
    </w:p>
    <w:p w14:paraId="74867984"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Ethical tensions were ever present. The central dilemma was how to maintain a rights-based stance that respects a </w:t>
      </w:r>
      <w:proofErr w:type="spellStart"/>
      <w:r w:rsidRPr="000A461D">
        <w:rPr>
          <w:rFonts w:ascii="Arial" w:eastAsia="Times New Roman" w:hAnsi="Arial" w:cs="Arial"/>
          <w:color w:val="000000"/>
          <w:sz w:val="24"/>
          <w:szCs w:val="24"/>
          <w:lang w:eastAsia="en-GB"/>
        </w:rPr>
        <w:t>capacitous</w:t>
      </w:r>
      <w:proofErr w:type="spellEnd"/>
      <w:r w:rsidRPr="000A461D">
        <w:rPr>
          <w:rFonts w:ascii="Arial" w:eastAsia="Times New Roman" w:hAnsi="Arial" w:cs="Arial"/>
          <w:color w:val="000000"/>
          <w:sz w:val="24"/>
          <w:szCs w:val="24"/>
          <w:lang w:eastAsia="en-GB"/>
        </w:rPr>
        <w:t> refusal in the face of clear harm. The answer lay in relentless proportionality. This meant neither a withdrawal from safeguarding nor an imposition of formal processes against the person’s wishes, but an ethically precise stance that holds safety and choice together. This included transparent recording of thresholds for without consent information sharing, explicit triggers for escalation such as new injuries, credible threats, significant escalation, evidence of capacity loss or risks to others, and a living plan that emphasised collaboration rather than prescription. The professional standards of Social Care Wales expect exactly this balance: promote voice, choice and control; protect people from harm; respect rights; and practise in an anti-discriminatory, person-centred manner. Working with male survivors also required vigilance against gendered assumptions that can invisibles their experiences or drive practice toward disbelief. Disability and ageing added further layers: reasonable adjustments are not optional; frailty aware safety planning and accessible communication are part of safeguarding dignity, not ancillary to it. </w:t>
      </w:r>
    </w:p>
    <w:p w14:paraId="65F0AEC4"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Multi agency working remained crucial even in the absence of a formal referral. Safeguarding is a shared responsibility that extends beyond statutory enquiry. With consent, primary care can act as a protective anchor: practical adjustments for easier access, review of sleep disturbance and fatigue, documentation of injuries if they occur, and attentiveness to stress related health impacts. Specialist domestic abuse services for men should remain available without pressure; a single, confidential point of access can increase take up when readiness shifts. Police and statutory safeguarding routes must remain immediately available for any escalation that crosses serious risk thresholds. Across agencies, the legal tests for information sharing are the same: necessity, proportionality, minimality and time limitation, all recorded with rationale. </w:t>
      </w:r>
    </w:p>
    <w:p w14:paraId="5D6D921B"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color w:val="000000"/>
          <w:sz w:val="24"/>
          <w:szCs w:val="24"/>
          <w:lang w:eastAsia="en-GB"/>
        </w:rPr>
        <w:t xml:space="preserve">In practical terms, we agreed to manage the situation over the next four weeks within a right based, least restrictive safeguarding frame. The work will continue to empower Mr 2 to recognise abusive patterns clearly and consistently, to practise safe, self-determined language for naming the behaviour, including, if and when he feels safe enough, telling his wife that the behaviour is abusive, and to activate support pathways at his pace. This includes re-establishing easier access with primary care, maintaining a discreet safety plan for nights when alcohol related volatility is likely, and contacting male inclusive domestic abuse services using low visibility routes that protect dignity and privacy. We agreed regular check ins and dynamic risk review during the </w:t>
      </w:r>
      <w:proofErr w:type="gramStart"/>
      <w:r w:rsidRPr="000A461D">
        <w:rPr>
          <w:rFonts w:ascii="Arial" w:eastAsia="Times New Roman" w:hAnsi="Arial" w:cs="Arial"/>
          <w:color w:val="000000"/>
          <w:sz w:val="24"/>
          <w:szCs w:val="24"/>
          <w:lang w:eastAsia="en-GB"/>
        </w:rPr>
        <w:t>four week</w:t>
      </w:r>
      <w:proofErr w:type="gramEnd"/>
      <w:r w:rsidRPr="000A461D">
        <w:rPr>
          <w:rFonts w:ascii="Arial" w:eastAsia="Times New Roman" w:hAnsi="Arial" w:cs="Arial"/>
          <w:color w:val="000000"/>
          <w:sz w:val="24"/>
          <w:szCs w:val="24"/>
          <w:lang w:eastAsia="en-GB"/>
        </w:rPr>
        <w:t xml:space="preserve"> period, with explicit escalation thresholds: if risk increases to </w:t>
      </w:r>
      <w:r w:rsidRPr="000A461D">
        <w:rPr>
          <w:rFonts w:ascii="Arial" w:eastAsia="Times New Roman" w:hAnsi="Arial" w:cs="Arial"/>
          <w:color w:val="000000"/>
          <w:sz w:val="24"/>
          <w:szCs w:val="24"/>
          <w:lang w:eastAsia="en-GB"/>
        </w:rPr>
        <w:lastRenderedPageBreak/>
        <w:t>serious or imminent harm, or if others become at risk, I will make a safeguarding referral to Social Services without consent in line with Welsh statutory duties, and I will communicate that decision to Mr 2 immediately, explaining the legal basis, the scope of information sharing and the next steps. In the meantime, the four-week plan holds safety and autonomy together: accurate recognition of abuse, controlled disclosure in his own words, live links to services and clear contingencies if thresholds are crossed, so that help remains not only available but already attuned to who he is. </w:t>
      </w:r>
    </w:p>
    <w:p w14:paraId="4F8B0E25" w14:textId="212F6258" w:rsidR="000A461D" w:rsidRDefault="000A461D" w:rsidP="000A461D">
      <w:pPr>
        <w:spacing w:after="0" w:line="240" w:lineRule="auto"/>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 </w:t>
      </w:r>
    </w:p>
    <w:p w14:paraId="31DC974C" w14:textId="34A30D26" w:rsidR="000A461D" w:rsidRPr="000A461D" w:rsidRDefault="000A461D" w:rsidP="000A461D">
      <w:pPr>
        <w:spacing w:after="0" w:line="240" w:lineRule="auto"/>
        <w:jc w:val="both"/>
        <w:textAlignment w:val="baseline"/>
        <w:rPr>
          <w:rFonts w:ascii="Segoe UI" w:eastAsia="Times New Roman" w:hAnsi="Segoe UI" w:cs="Segoe UI"/>
          <w:b/>
          <w:bCs/>
          <w:color w:val="000000" w:themeColor="text1"/>
          <w:sz w:val="18"/>
          <w:szCs w:val="18"/>
          <w:lang w:eastAsia="en-GB"/>
        </w:rPr>
      </w:pPr>
      <w:r w:rsidRPr="000A461D">
        <w:rPr>
          <w:rFonts w:ascii="Arial" w:eastAsia="Times New Roman" w:hAnsi="Arial" w:cs="Arial"/>
          <w:b/>
          <w:bCs/>
          <w:color w:val="000000" w:themeColor="text1"/>
          <w:sz w:val="24"/>
          <w:szCs w:val="24"/>
          <w:lang w:eastAsia="en-GB"/>
        </w:rPr>
        <w:t>Word Count: 3994</w:t>
      </w:r>
    </w:p>
    <w:p w14:paraId="24AA7058"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w:eastAsia="Times New Roman" w:hAnsi="Arial" w:cs="Arial"/>
          <w:b/>
          <w:bCs/>
          <w:color w:val="000000"/>
          <w:sz w:val="24"/>
          <w:szCs w:val="24"/>
          <w:lang w:eastAsia="en-GB"/>
        </w:rPr>
        <w:t>References:</w:t>
      </w:r>
      <w:r w:rsidRPr="000A461D">
        <w:rPr>
          <w:rFonts w:ascii="Arial" w:eastAsia="Times New Roman" w:hAnsi="Arial" w:cs="Arial"/>
          <w:color w:val="000000"/>
          <w:sz w:val="24"/>
          <w:szCs w:val="24"/>
          <w:lang w:eastAsia="en-GB"/>
        </w:rPr>
        <w:t> </w:t>
      </w:r>
    </w:p>
    <w:p w14:paraId="39A49DB6" w14:textId="77777777" w:rsidR="000A461D" w:rsidRPr="000A461D" w:rsidRDefault="000A461D" w:rsidP="000A461D">
      <w:pPr>
        <w:numPr>
          <w:ilvl w:val="0"/>
          <w:numId w:val="1"/>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Ainsworth, M.D.S., </w:t>
      </w:r>
      <w:proofErr w:type="spellStart"/>
      <w:r w:rsidRPr="000A461D">
        <w:rPr>
          <w:rFonts w:ascii="Arial" w:eastAsia="Times New Roman" w:hAnsi="Arial" w:cs="Arial"/>
          <w:color w:val="000000"/>
          <w:sz w:val="24"/>
          <w:szCs w:val="24"/>
          <w:lang w:eastAsia="en-GB"/>
        </w:rPr>
        <w:t>Blehar</w:t>
      </w:r>
      <w:proofErr w:type="spellEnd"/>
      <w:r w:rsidRPr="000A461D">
        <w:rPr>
          <w:rFonts w:ascii="Arial" w:eastAsia="Times New Roman" w:hAnsi="Arial" w:cs="Arial"/>
          <w:color w:val="000000"/>
          <w:sz w:val="24"/>
          <w:szCs w:val="24"/>
          <w:lang w:eastAsia="en-GB"/>
        </w:rPr>
        <w:t>, M.C., Waters, E. and Wall, S. (1978) </w:t>
      </w:r>
      <w:r w:rsidRPr="000A461D">
        <w:rPr>
          <w:rFonts w:ascii="Arial" w:eastAsia="Times New Roman" w:hAnsi="Arial" w:cs="Arial"/>
          <w:i/>
          <w:iCs/>
          <w:color w:val="000000"/>
          <w:sz w:val="24"/>
          <w:szCs w:val="24"/>
          <w:lang w:eastAsia="en-GB"/>
        </w:rPr>
        <w:t>Patterns of attachment: a psychological study of the strange situation</w:t>
      </w:r>
      <w:r w:rsidRPr="000A461D">
        <w:rPr>
          <w:rFonts w:ascii="Arial" w:eastAsia="Times New Roman" w:hAnsi="Arial" w:cs="Arial"/>
          <w:color w:val="000000"/>
          <w:sz w:val="24"/>
          <w:szCs w:val="24"/>
          <w:lang w:eastAsia="en-GB"/>
        </w:rPr>
        <w:t>. Hillsdale, NJ: Erlbaum. </w:t>
      </w:r>
    </w:p>
    <w:p w14:paraId="7B431C5D" w14:textId="77777777" w:rsidR="000A461D" w:rsidRPr="000A461D" w:rsidRDefault="000A461D" w:rsidP="000A461D">
      <w:pPr>
        <w:numPr>
          <w:ilvl w:val="0"/>
          <w:numId w:val="2"/>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Bowlby, J. (1988) </w:t>
      </w:r>
      <w:r w:rsidRPr="000A461D">
        <w:rPr>
          <w:rFonts w:ascii="Arial" w:eastAsia="Times New Roman" w:hAnsi="Arial" w:cs="Arial"/>
          <w:i/>
          <w:iCs/>
          <w:color w:val="000000"/>
          <w:sz w:val="24"/>
          <w:szCs w:val="24"/>
          <w:lang w:eastAsia="en-GB"/>
        </w:rPr>
        <w:t>A secure base: parent–child attachment and healthy human development</w:t>
      </w:r>
      <w:r w:rsidRPr="000A461D">
        <w:rPr>
          <w:rFonts w:ascii="Arial" w:eastAsia="Times New Roman" w:hAnsi="Arial" w:cs="Arial"/>
          <w:color w:val="000000"/>
          <w:sz w:val="24"/>
          <w:szCs w:val="24"/>
          <w:lang w:eastAsia="en-GB"/>
        </w:rPr>
        <w:t>. London: Routledge. </w:t>
      </w:r>
    </w:p>
    <w:p w14:paraId="58A42667" w14:textId="77777777" w:rsidR="000A461D" w:rsidRPr="000A461D" w:rsidRDefault="000A461D" w:rsidP="000A461D">
      <w:pPr>
        <w:numPr>
          <w:ilvl w:val="0"/>
          <w:numId w:val="3"/>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Cassidy, J. and Shaver, P.R. (eds.) (2016) </w:t>
      </w:r>
      <w:r w:rsidRPr="000A461D">
        <w:rPr>
          <w:rFonts w:ascii="Arial" w:eastAsia="Times New Roman" w:hAnsi="Arial" w:cs="Arial"/>
          <w:i/>
          <w:iCs/>
          <w:color w:val="000000"/>
          <w:sz w:val="24"/>
          <w:szCs w:val="24"/>
          <w:lang w:eastAsia="en-GB"/>
        </w:rPr>
        <w:t>Handbook of attachment: theory, research, and clinical applications</w:t>
      </w:r>
      <w:r w:rsidRPr="000A461D">
        <w:rPr>
          <w:rFonts w:ascii="Arial" w:eastAsia="Times New Roman" w:hAnsi="Arial" w:cs="Arial"/>
          <w:color w:val="000000"/>
          <w:sz w:val="24"/>
          <w:szCs w:val="24"/>
          <w:lang w:eastAsia="en-GB"/>
        </w:rPr>
        <w:t>. 3rd </w:t>
      </w:r>
      <w:proofErr w:type="spellStart"/>
      <w:r w:rsidRPr="000A461D">
        <w:rPr>
          <w:rFonts w:ascii="Arial" w:eastAsia="Times New Roman" w:hAnsi="Arial" w:cs="Arial"/>
          <w:color w:val="000000"/>
          <w:sz w:val="24"/>
          <w:szCs w:val="24"/>
          <w:lang w:eastAsia="en-GB"/>
        </w:rPr>
        <w:t>edn</w:t>
      </w:r>
      <w:proofErr w:type="spellEnd"/>
      <w:r w:rsidRPr="000A461D">
        <w:rPr>
          <w:rFonts w:ascii="Arial" w:eastAsia="Times New Roman" w:hAnsi="Arial" w:cs="Arial"/>
          <w:color w:val="000000"/>
          <w:sz w:val="24"/>
          <w:szCs w:val="24"/>
          <w:lang w:eastAsia="en-GB"/>
        </w:rPr>
        <w:t>. New York: Guilford Press. </w:t>
      </w:r>
    </w:p>
    <w:p w14:paraId="2C6218C2" w14:textId="77777777" w:rsidR="000A461D" w:rsidRPr="000A461D" w:rsidRDefault="000A461D" w:rsidP="000A461D">
      <w:pPr>
        <w:numPr>
          <w:ilvl w:val="0"/>
          <w:numId w:val="4"/>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Department for Constitutional Affairs (2007) </w:t>
      </w:r>
      <w:r w:rsidRPr="000A461D">
        <w:rPr>
          <w:rFonts w:ascii="Arial" w:eastAsia="Times New Roman" w:hAnsi="Arial" w:cs="Arial"/>
          <w:i/>
          <w:iCs/>
          <w:color w:val="000000"/>
          <w:sz w:val="24"/>
          <w:szCs w:val="24"/>
          <w:lang w:eastAsia="en-GB"/>
        </w:rPr>
        <w:t>Mental Capacity Act 2005 Code of Practice</w:t>
      </w:r>
      <w:r w:rsidRPr="000A461D">
        <w:rPr>
          <w:rFonts w:ascii="Arial" w:eastAsia="Times New Roman" w:hAnsi="Arial" w:cs="Arial"/>
          <w:color w:val="000000"/>
          <w:sz w:val="24"/>
          <w:szCs w:val="24"/>
          <w:lang w:eastAsia="en-GB"/>
        </w:rPr>
        <w:t>. London: The Stationery Office. </w:t>
      </w:r>
    </w:p>
    <w:p w14:paraId="4A5C8E10" w14:textId="77777777" w:rsidR="000A461D" w:rsidRPr="000A461D" w:rsidRDefault="000A461D" w:rsidP="000A461D">
      <w:pPr>
        <w:numPr>
          <w:ilvl w:val="0"/>
          <w:numId w:val="5"/>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Domestic Abuse Act 2021 (c.17). London: The Stationery Office. Available at: </w:t>
      </w:r>
      <w:hyperlink r:id="rId7" w:tgtFrame="_blank" w:history="1">
        <w:r w:rsidRPr="000A461D">
          <w:rPr>
            <w:rFonts w:ascii="Arial" w:eastAsia="Times New Roman" w:hAnsi="Arial" w:cs="Arial"/>
            <w:color w:val="0000FF"/>
            <w:sz w:val="24"/>
            <w:szCs w:val="24"/>
            <w:u w:val="single"/>
            <w:lang w:eastAsia="en-GB"/>
          </w:rPr>
          <w:t>https://www.legislation.gov.uk/ukpga/2021/17/part/1/enacted</w:t>
        </w:r>
      </w:hyperlink>
      <w:r w:rsidRPr="000A461D">
        <w:rPr>
          <w:rFonts w:ascii="Arial" w:eastAsia="Times New Roman" w:hAnsi="Arial" w:cs="Arial"/>
          <w:color w:val="000000"/>
          <w:sz w:val="24"/>
          <w:szCs w:val="24"/>
          <w:lang w:eastAsia="en-GB"/>
        </w:rPr>
        <w:t> </w:t>
      </w:r>
    </w:p>
    <w:p w14:paraId="5BC2CF82" w14:textId="77777777" w:rsidR="000A461D" w:rsidRPr="000A461D" w:rsidRDefault="000A461D" w:rsidP="000A461D">
      <w:pPr>
        <w:numPr>
          <w:ilvl w:val="0"/>
          <w:numId w:val="6"/>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Equality Act 2010. London: The Stationery Office. </w:t>
      </w:r>
    </w:p>
    <w:p w14:paraId="5B9F83F1" w14:textId="77777777" w:rsidR="000A461D" w:rsidRPr="000A461D" w:rsidRDefault="000A461D" w:rsidP="000A461D">
      <w:pPr>
        <w:numPr>
          <w:ilvl w:val="0"/>
          <w:numId w:val="7"/>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Hartman, A. (1995) ‘Diagrammatic assessment of family relationships’, </w:t>
      </w:r>
      <w:r w:rsidRPr="000A461D">
        <w:rPr>
          <w:rFonts w:ascii="Arial" w:eastAsia="Times New Roman" w:hAnsi="Arial" w:cs="Arial"/>
          <w:i/>
          <w:iCs/>
          <w:color w:val="000000"/>
          <w:sz w:val="24"/>
          <w:szCs w:val="24"/>
          <w:lang w:eastAsia="en-GB"/>
        </w:rPr>
        <w:t>Families in Society</w:t>
      </w:r>
      <w:r w:rsidRPr="000A461D">
        <w:rPr>
          <w:rFonts w:ascii="Arial" w:eastAsia="Times New Roman" w:hAnsi="Arial" w:cs="Arial"/>
          <w:color w:val="000000"/>
          <w:sz w:val="24"/>
          <w:szCs w:val="24"/>
          <w:lang w:eastAsia="en-GB"/>
        </w:rPr>
        <w:t>, 76(2), pp. 111–122. </w:t>
      </w:r>
    </w:p>
    <w:p w14:paraId="1195ACF7" w14:textId="77777777" w:rsidR="000A461D" w:rsidRPr="000A461D" w:rsidRDefault="000A461D" w:rsidP="000A461D">
      <w:pPr>
        <w:numPr>
          <w:ilvl w:val="0"/>
          <w:numId w:val="8"/>
        </w:numPr>
        <w:spacing w:after="0" w:line="240" w:lineRule="auto"/>
        <w:ind w:left="1080" w:firstLine="0"/>
        <w:jc w:val="both"/>
        <w:textAlignment w:val="baseline"/>
        <w:rPr>
          <w:rFonts w:ascii="Arial" w:eastAsia="Times New Roman" w:hAnsi="Arial" w:cs="Arial"/>
          <w:color w:val="000000"/>
          <w:sz w:val="24"/>
          <w:szCs w:val="24"/>
          <w:lang w:eastAsia="en-GB"/>
        </w:rPr>
      </w:pPr>
      <w:proofErr w:type="spellStart"/>
      <w:r w:rsidRPr="000A461D">
        <w:rPr>
          <w:rFonts w:ascii="Arial" w:eastAsia="Times New Roman" w:hAnsi="Arial" w:cs="Arial"/>
          <w:color w:val="000000"/>
          <w:sz w:val="24"/>
          <w:szCs w:val="24"/>
          <w:lang w:eastAsia="en-GB"/>
        </w:rPr>
        <w:t>Janoff</w:t>
      </w:r>
      <w:proofErr w:type="spellEnd"/>
      <w:r w:rsidRPr="000A461D">
        <w:rPr>
          <w:rFonts w:ascii="Arial" w:eastAsia="Times New Roman" w:hAnsi="Arial" w:cs="Arial"/>
          <w:color w:val="000000"/>
          <w:sz w:val="24"/>
          <w:szCs w:val="24"/>
          <w:lang w:eastAsia="en-GB"/>
        </w:rPr>
        <w:noBreakHyphen/>
        <w:t>Bulman, R. (1992) </w:t>
      </w:r>
      <w:r w:rsidRPr="000A461D">
        <w:rPr>
          <w:rFonts w:ascii="Arial" w:eastAsia="Times New Roman" w:hAnsi="Arial" w:cs="Arial"/>
          <w:i/>
          <w:iCs/>
          <w:color w:val="000000"/>
          <w:sz w:val="24"/>
          <w:szCs w:val="24"/>
          <w:lang w:eastAsia="en-GB"/>
        </w:rPr>
        <w:t>Shattered assumptions: towards a new psychology of trauma</w:t>
      </w:r>
      <w:r w:rsidRPr="000A461D">
        <w:rPr>
          <w:rFonts w:ascii="Arial" w:eastAsia="Times New Roman" w:hAnsi="Arial" w:cs="Arial"/>
          <w:color w:val="000000"/>
          <w:sz w:val="24"/>
          <w:szCs w:val="24"/>
          <w:lang w:eastAsia="en-GB"/>
        </w:rPr>
        <w:t>. New York: Free Press. </w:t>
      </w:r>
    </w:p>
    <w:p w14:paraId="36192F3C" w14:textId="77777777" w:rsidR="000A461D" w:rsidRPr="000A461D" w:rsidRDefault="000A461D" w:rsidP="000A461D">
      <w:pPr>
        <w:numPr>
          <w:ilvl w:val="0"/>
          <w:numId w:val="9"/>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 xml:space="preserve">Mahoney, A., Pargament, K.I., </w:t>
      </w:r>
      <w:proofErr w:type="spellStart"/>
      <w:r w:rsidRPr="000A461D">
        <w:rPr>
          <w:rFonts w:ascii="Arial" w:eastAsia="Times New Roman" w:hAnsi="Arial" w:cs="Arial"/>
          <w:color w:val="000000"/>
          <w:sz w:val="24"/>
          <w:szCs w:val="24"/>
          <w:lang w:eastAsia="en-GB"/>
        </w:rPr>
        <w:t>Tarakeshwar</w:t>
      </w:r>
      <w:proofErr w:type="spellEnd"/>
      <w:r w:rsidRPr="000A461D">
        <w:rPr>
          <w:rFonts w:ascii="Arial" w:eastAsia="Times New Roman" w:hAnsi="Arial" w:cs="Arial"/>
          <w:color w:val="000000"/>
          <w:sz w:val="24"/>
          <w:szCs w:val="24"/>
          <w:lang w:eastAsia="en-GB"/>
        </w:rPr>
        <w:t>, N. and Swank, A.B. (2001) ‘Religion in the home in the 1980s and 1990s: a meta</w:t>
      </w:r>
      <w:r w:rsidRPr="000A461D">
        <w:rPr>
          <w:rFonts w:ascii="Arial" w:eastAsia="Times New Roman" w:hAnsi="Arial" w:cs="Arial"/>
          <w:color w:val="000000"/>
          <w:sz w:val="24"/>
          <w:szCs w:val="24"/>
          <w:lang w:eastAsia="en-GB"/>
        </w:rPr>
        <w:noBreakHyphen/>
        <w:t>analytic review and conceptual analysis of links between religion, marriage, and parenting’, </w:t>
      </w:r>
      <w:r w:rsidRPr="000A461D">
        <w:rPr>
          <w:rFonts w:ascii="Arial" w:eastAsia="Times New Roman" w:hAnsi="Arial" w:cs="Arial"/>
          <w:i/>
          <w:iCs/>
          <w:color w:val="000000"/>
          <w:sz w:val="24"/>
          <w:szCs w:val="24"/>
          <w:lang w:eastAsia="en-GB"/>
        </w:rPr>
        <w:t>Journal of Family Psychology</w:t>
      </w:r>
      <w:r w:rsidRPr="000A461D">
        <w:rPr>
          <w:rFonts w:ascii="Arial" w:eastAsia="Times New Roman" w:hAnsi="Arial" w:cs="Arial"/>
          <w:color w:val="000000"/>
          <w:sz w:val="24"/>
          <w:szCs w:val="24"/>
          <w:lang w:eastAsia="en-GB"/>
        </w:rPr>
        <w:t>, 15(4), pp. 559–596. </w:t>
      </w:r>
    </w:p>
    <w:p w14:paraId="7F35F0C7" w14:textId="77777777" w:rsidR="000A461D" w:rsidRPr="000A461D" w:rsidRDefault="000A461D" w:rsidP="000A461D">
      <w:pPr>
        <w:numPr>
          <w:ilvl w:val="0"/>
          <w:numId w:val="10"/>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Prochaska, J.O. and DiClemente, C.C. (1983) ‘Stages and processes of self</w:t>
      </w:r>
      <w:r w:rsidRPr="000A461D">
        <w:rPr>
          <w:rFonts w:ascii="Arial" w:eastAsia="Times New Roman" w:hAnsi="Arial" w:cs="Arial"/>
          <w:color w:val="000000"/>
          <w:sz w:val="24"/>
          <w:szCs w:val="24"/>
          <w:lang w:eastAsia="en-GB"/>
        </w:rPr>
        <w:noBreakHyphen/>
        <w:t>change of smoking: toward an integrative model of change’, </w:t>
      </w:r>
      <w:r w:rsidRPr="000A461D">
        <w:rPr>
          <w:rFonts w:ascii="Arial" w:eastAsia="Times New Roman" w:hAnsi="Arial" w:cs="Arial"/>
          <w:i/>
          <w:iCs/>
          <w:color w:val="000000"/>
          <w:sz w:val="24"/>
          <w:szCs w:val="24"/>
          <w:lang w:eastAsia="en-GB"/>
        </w:rPr>
        <w:t>Journal of Consulting and Clinical Psychology</w:t>
      </w:r>
      <w:r w:rsidRPr="000A461D">
        <w:rPr>
          <w:rFonts w:ascii="Arial" w:eastAsia="Times New Roman" w:hAnsi="Arial" w:cs="Arial"/>
          <w:color w:val="000000"/>
          <w:sz w:val="24"/>
          <w:szCs w:val="24"/>
          <w:lang w:eastAsia="en-GB"/>
        </w:rPr>
        <w:t>, 51(3), pp. 390–395. </w:t>
      </w:r>
      <w:hyperlink r:id="rId8" w:tgtFrame="_blank" w:history="1">
        <w:r w:rsidRPr="000A461D">
          <w:rPr>
            <w:rFonts w:ascii="Arial" w:eastAsia="Times New Roman" w:hAnsi="Arial" w:cs="Arial"/>
            <w:color w:val="0000FF"/>
            <w:sz w:val="24"/>
            <w:szCs w:val="24"/>
            <w:u w:val="single"/>
            <w:lang w:eastAsia="en-GB"/>
          </w:rPr>
          <w:t>https://doi.org/10.1037/0022-006X.51.3.390</w:t>
        </w:r>
      </w:hyperlink>
      <w:r w:rsidRPr="000A461D">
        <w:rPr>
          <w:rFonts w:ascii="Arial" w:eastAsia="Times New Roman" w:hAnsi="Arial" w:cs="Arial"/>
          <w:color w:val="000000"/>
          <w:sz w:val="24"/>
          <w:szCs w:val="24"/>
          <w:lang w:eastAsia="en-GB"/>
        </w:rPr>
        <w:t> </w:t>
      </w:r>
    </w:p>
    <w:p w14:paraId="5362F648" w14:textId="77777777" w:rsidR="000A461D" w:rsidRPr="000A461D" w:rsidRDefault="000A461D" w:rsidP="000A461D">
      <w:pPr>
        <w:numPr>
          <w:ilvl w:val="0"/>
          <w:numId w:val="11"/>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Older People’s Commissioner for Wales (2023) </w:t>
      </w:r>
      <w:r w:rsidRPr="000A461D">
        <w:rPr>
          <w:rFonts w:ascii="Arial" w:eastAsia="Times New Roman" w:hAnsi="Arial" w:cs="Arial"/>
          <w:i/>
          <w:iCs/>
          <w:color w:val="000000"/>
          <w:sz w:val="24"/>
          <w:szCs w:val="24"/>
          <w:lang w:eastAsia="en-GB"/>
        </w:rPr>
        <w:t>Improving support and services for older men experiencing domestic abuse</w:t>
      </w:r>
      <w:r w:rsidRPr="000A461D">
        <w:rPr>
          <w:rFonts w:ascii="Arial" w:eastAsia="Times New Roman" w:hAnsi="Arial" w:cs="Arial"/>
          <w:color w:val="000000"/>
          <w:sz w:val="24"/>
          <w:szCs w:val="24"/>
          <w:lang w:eastAsia="en-GB"/>
        </w:rPr>
        <w:t>. Cardiff: OPCW. Available at: </w:t>
      </w:r>
      <w:hyperlink r:id="rId9" w:tgtFrame="_blank" w:history="1">
        <w:r w:rsidRPr="000A461D">
          <w:rPr>
            <w:rFonts w:ascii="Arial" w:eastAsia="Times New Roman" w:hAnsi="Arial" w:cs="Arial"/>
            <w:color w:val="0000FF"/>
            <w:sz w:val="24"/>
            <w:szCs w:val="24"/>
            <w:u w:val="single"/>
            <w:lang w:eastAsia="en-GB"/>
          </w:rPr>
          <w:t>https://olderpeople.wales/wp-content/uploads/2023/08/Improving-support-and-services-for-older-men-experiencing-domestic-abuse-Update-Report.pdf</w:t>
        </w:r>
      </w:hyperlink>
      <w:r w:rsidRPr="000A461D">
        <w:rPr>
          <w:rFonts w:ascii="Arial" w:eastAsia="Times New Roman" w:hAnsi="Arial" w:cs="Arial"/>
          <w:color w:val="000000"/>
          <w:sz w:val="24"/>
          <w:szCs w:val="24"/>
          <w:lang w:eastAsia="en-GB"/>
        </w:rPr>
        <w:t> (Accessed: 2 April 2026) </w:t>
      </w:r>
    </w:p>
    <w:p w14:paraId="168F08E4" w14:textId="77777777" w:rsidR="000A461D" w:rsidRPr="000A461D" w:rsidRDefault="000A461D" w:rsidP="000A461D">
      <w:pPr>
        <w:numPr>
          <w:ilvl w:val="0"/>
          <w:numId w:val="12"/>
        </w:numPr>
        <w:spacing w:after="0" w:line="240" w:lineRule="auto"/>
        <w:ind w:left="1080" w:firstLine="0"/>
        <w:jc w:val="both"/>
        <w:textAlignment w:val="baseline"/>
        <w:rPr>
          <w:rFonts w:ascii="Arial" w:eastAsia="Times New Roman" w:hAnsi="Arial" w:cs="Arial"/>
          <w:color w:val="000000"/>
          <w:sz w:val="24"/>
          <w:szCs w:val="24"/>
          <w:lang w:eastAsia="en-GB"/>
        </w:rPr>
      </w:pPr>
      <w:proofErr w:type="spellStart"/>
      <w:r w:rsidRPr="000A461D">
        <w:rPr>
          <w:rFonts w:ascii="Arial" w:eastAsia="Times New Roman" w:hAnsi="Arial" w:cs="Arial"/>
          <w:color w:val="000000"/>
          <w:sz w:val="24"/>
          <w:szCs w:val="24"/>
          <w:lang w:eastAsia="en-GB"/>
        </w:rPr>
        <w:t>Scheff</w:t>
      </w:r>
      <w:proofErr w:type="spellEnd"/>
      <w:r w:rsidRPr="000A461D">
        <w:rPr>
          <w:rFonts w:ascii="Arial" w:eastAsia="Times New Roman" w:hAnsi="Arial" w:cs="Arial"/>
          <w:color w:val="000000"/>
          <w:sz w:val="24"/>
          <w:szCs w:val="24"/>
          <w:lang w:eastAsia="en-GB"/>
        </w:rPr>
        <w:t>, T.J. (2000) ‘Shame and the social bond: a sociological theory’, </w:t>
      </w:r>
      <w:r w:rsidRPr="000A461D">
        <w:rPr>
          <w:rFonts w:ascii="Arial" w:eastAsia="Times New Roman" w:hAnsi="Arial" w:cs="Arial"/>
          <w:i/>
          <w:iCs/>
          <w:color w:val="000000"/>
          <w:sz w:val="24"/>
          <w:szCs w:val="24"/>
          <w:lang w:eastAsia="en-GB"/>
        </w:rPr>
        <w:t>Sociological Theory</w:t>
      </w:r>
      <w:r w:rsidRPr="000A461D">
        <w:rPr>
          <w:rFonts w:ascii="Arial" w:eastAsia="Times New Roman" w:hAnsi="Arial" w:cs="Arial"/>
          <w:color w:val="000000"/>
          <w:sz w:val="24"/>
          <w:szCs w:val="24"/>
          <w:lang w:eastAsia="en-GB"/>
        </w:rPr>
        <w:t>, 18(1), pp. 84–99. </w:t>
      </w:r>
      <w:hyperlink r:id="rId10" w:tgtFrame="_blank" w:history="1">
        <w:r w:rsidRPr="000A461D">
          <w:rPr>
            <w:rFonts w:ascii="Arial" w:eastAsia="Times New Roman" w:hAnsi="Arial" w:cs="Arial"/>
            <w:color w:val="0000FF"/>
            <w:sz w:val="24"/>
            <w:szCs w:val="24"/>
            <w:u w:val="single"/>
            <w:lang w:eastAsia="en-GB"/>
          </w:rPr>
          <w:t>https://doi.org/10.1111/0735-2751.00089</w:t>
        </w:r>
      </w:hyperlink>
      <w:r w:rsidRPr="000A461D">
        <w:rPr>
          <w:rFonts w:ascii="Arial" w:eastAsia="Times New Roman" w:hAnsi="Arial" w:cs="Arial"/>
          <w:color w:val="000000"/>
          <w:sz w:val="24"/>
          <w:szCs w:val="24"/>
          <w:lang w:eastAsia="en-GB"/>
        </w:rPr>
        <w:t> </w:t>
      </w:r>
    </w:p>
    <w:p w14:paraId="0854D96A" w14:textId="77777777" w:rsidR="000A461D" w:rsidRPr="000A461D" w:rsidRDefault="000A461D" w:rsidP="000A461D">
      <w:pPr>
        <w:numPr>
          <w:ilvl w:val="0"/>
          <w:numId w:val="13"/>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Schön, D.A. (1983) </w:t>
      </w:r>
      <w:r w:rsidRPr="000A461D">
        <w:rPr>
          <w:rFonts w:ascii="Arial" w:eastAsia="Times New Roman" w:hAnsi="Arial" w:cs="Arial"/>
          <w:i/>
          <w:iCs/>
          <w:color w:val="000000"/>
          <w:sz w:val="24"/>
          <w:szCs w:val="24"/>
          <w:lang w:eastAsia="en-GB"/>
        </w:rPr>
        <w:t>The reflective practitioner: how professionals think in action</w:t>
      </w:r>
      <w:r w:rsidRPr="000A461D">
        <w:rPr>
          <w:rFonts w:ascii="Arial" w:eastAsia="Times New Roman" w:hAnsi="Arial" w:cs="Arial"/>
          <w:color w:val="000000"/>
          <w:sz w:val="24"/>
          <w:szCs w:val="24"/>
          <w:lang w:eastAsia="en-GB"/>
        </w:rPr>
        <w:t>. New York: Basic Books. </w:t>
      </w:r>
    </w:p>
    <w:p w14:paraId="3A256F08" w14:textId="77777777" w:rsidR="000A461D" w:rsidRPr="000A461D" w:rsidRDefault="000A461D" w:rsidP="000A461D">
      <w:pPr>
        <w:numPr>
          <w:ilvl w:val="0"/>
          <w:numId w:val="14"/>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Seligman, M.E.P. (1975) </w:t>
      </w:r>
      <w:r w:rsidRPr="000A461D">
        <w:rPr>
          <w:rFonts w:ascii="Arial" w:eastAsia="Times New Roman" w:hAnsi="Arial" w:cs="Arial"/>
          <w:i/>
          <w:iCs/>
          <w:color w:val="000000"/>
          <w:sz w:val="24"/>
          <w:szCs w:val="24"/>
          <w:lang w:eastAsia="en-GB"/>
        </w:rPr>
        <w:t>Helplessness: on depression, development, and death</w:t>
      </w:r>
      <w:r w:rsidRPr="000A461D">
        <w:rPr>
          <w:rFonts w:ascii="Arial" w:eastAsia="Times New Roman" w:hAnsi="Arial" w:cs="Arial"/>
          <w:color w:val="000000"/>
          <w:sz w:val="24"/>
          <w:szCs w:val="24"/>
          <w:lang w:eastAsia="en-GB"/>
        </w:rPr>
        <w:t>. San Francisco: W.H. Freeman. </w:t>
      </w:r>
    </w:p>
    <w:p w14:paraId="4921503C" w14:textId="77777777" w:rsidR="000A461D" w:rsidRPr="000A461D" w:rsidRDefault="000A461D" w:rsidP="000A461D">
      <w:pPr>
        <w:numPr>
          <w:ilvl w:val="0"/>
          <w:numId w:val="15"/>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Siegel, D.J. (2012) </w:t>
      </w:r>
      <w:r w:rsidRPr="000A461D">
        <w:rPr>
          <w:rFonts w:ascii="Arial" w:eastAsia="Times New Roman" w:hAnsi="Arial" w:cs="Arial"/>
          <w:i/>
          <w:iCs/>
          <w:color w:val="000000"/>
          <w:sz w:val="24"/>
          <w:szCs w:val="24"/>
          <w:lang w:eastAsia="en-GB"/>
        </w:rPr>
        <w:t>The developing mind: how relationships and the brain interact to shape who we are</w:t>
      </w:r>
      <w:r w:rsidRPr="000A461D">
        <w:rPr>
          <w:rFonts w:ascii="Arial" w:eastAsia="Times New Roman" w:hAnsi="Arial" w:cs="Arial"/>
          <w:color w:val="000000"/>
          <w:sz w:val="24"/>
          <w:szCs w:val="24"/>
          <w:lang w:eastAsia="en-GB"/>
        </w:rPr>
        <w:t>. 2nd </w:t>
      </w:r>
      <w:proofErr w:type="spellStart"/>
      <w:r w:rsidRPr="000A461D">
        <w:rPr>
          <w:rFonts w:ascii="Arial" w:eastAsia="Times New Roman" w:hAnsi="Arial" w:cs="Arial"/>
          <w:color w:val="000000"/>
          <w:sz w:val="24"/>
          <w:szCs w:val="24"/>
          <w:lang w:eastAsia="en-GB"/>
        </w:rPr>
        <w:t>edn</w:t>
      </w:r>
      <w:proofErr w:type="spellEnd"/>
      <w:r w:rsidRPr="000A461D">
        <w:rPr>
          <w:rFonts w:ascii="Arial" w:eastAsia="Times New Roman" w:hAnsi="Arial" w:cs="Arial"/>
          <w:color w:val="000000"/>
          <w:sz w:val="24"/>
          <w:szCs w:val="24"/>
          <w:lang w:eastAsia="en-GB"/>
        </w:rPr>
        <w:t>. New York: Guilford Press. </w:t>
      </w:r>
    </w:p>
    <w:p w14:paraId="1E0FEED5" w14:textId="77777777" w:rsidR="000A461D" w:rsidRPr="000A461D" w:rsidRDefault="000A461D" w:rsidP="000A461D">
      <w:pPr>
        <w:numPr>
          <w:ilvl w:val="0"/>
          <w:numId w:val="16"/>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lastRenderedPageBreak/>
        <w:t>Skinner, B.F. (1953) </w:t>
      </w:r>
      <w:r w:rsidRPr="000A461D">
        <w:rPr>
          <w:rFonts w:ascii="Arial" w:eastAsia="Times New Roman" w:hAnsi="Arial" w:cs="Arial"/>
          <w:i/>
          <w:iCs/>
          <w:color w:val="000000"/>
          <w:sz w:val="24"/>
          <w:szCs w:val="24"/>
          <w:lang w:eastAsia="en-GB"/>
        </w:rPr>
        <w:t>Science and human behaviour</w:t>
      </w:r>
      <w:r w:rsidRPr="000A461D">
        <w:rPr>
          <w:rFonts w:ascii="Arial" w:eastAsia="Times New Roman" w:hAnsi="Arial" w:cs="Arial"/>
          <w:color w:val="000000"/>
          <w:sz w:val="24"/>
          <w:szCs w:val="24"/>
          <w:lang w:eastAsia="en-GB"/>
        </w:rPr>
        <w:t>. New York: Macmillan. </w:t>
      </w:r>
    </w:p>
    <w:p w14:paraId="644A1D78" w14:textId="77777777" w:rsidR="000A461D" w:rsidRPr="000A461D" w:rsidRDefault="000A461D" w:rsidP="000A461D">
      <w:pPr>
        <w:numPr>
          <w:ilvl w:val="0"/>
          <w:numId w:val="17"/>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Social Care Wales (2019) </w:t>
      </w:r>
      <w:r w:rsidRPr="000A461D">
        <w:rPr>
          <w:rFonts w:ascii="Arial" w:eastAsia="Times New Roman" w:hAnsi="Arial" w:cs="Arial"/>
          <w:i/>
          <w:iCs/>
          <w:color w:val="000000"/>
          <w:sz w:val="24"/>
          <w:szCs w:val="24"/>
          <w:lang w:eastAsia="en-GB"/>
        </w:rPr>
        <w:t>Wales Safeguarding Procedures</w:t>
      </w:r>
      <w:r w:rsidRPr="000A461D">
        <w:rPr>
          <w:rFonts w:ascii="Arial" w:eastAsia="Times New Roman" w:hAnsi="Arial" w:cs="Arial"/>
          <w:color w:val="000000"/>
          <w:sz w:val="24"/>
          <w:szCs w:val="24"/>
          <w:lang w:eastAsia="en-GB"/>
        </w:rPr>
        <w:t>. Available at: </w:t>
      </w:r>
      <w:hyperlink r:id="rId11" w:tgtFrame="_blank" w:history="1">
        <w:r w:rsidRPr="000A461D">
          <w:rPr>
            <w:rFonts w:ascii="Arial" w:eastAsia="Times New Roman" w:hAnsi="Arial" w:cs="Arial"/>
            <w:color w:val="0000FF"/>
            <w:sz w:val="24"/>
            <w:szCs w:val="24"/>
            <w:u w:val="single"/>
            <w:lang w:eastAsia="en-GB"/>
          </w:rPr>
          <w:t>https://safeguarding.wales/</w:t>
        </w:r>
      </w:hyperlink>
      <w:r w:rsidRPr="000A461D">
        <w:rPr>
          <w:rFonts w:ascii="Arial" w:eastAsia="Times New Roman" w:hAnsi="Arial" w:cs="Arial"/>
          <w:color w:val="000000"/>
          <w:sz w:val="24"/>
          <w:szCs w:val="24"/>
          <w:lang w:eastAsia="en-GB"/>
        </w:rPr>
        <w:t> (Accessed: 2 April 2026). </w:t>
      </w:r>
    </w:p>
    <w:p w14:paraId="0A59785D" w14:textId="77777777" w:rsidR="000A461D" w:rsidRPr="000A461D" w:rsidRDefault="000A461D" w:rsidP="000A461D">
      <w:pPr>
        <w:numPr>
          <w:ilvl w:val="0"/>
          <w:numId w:val="18"/>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Stark, E. (2007) </w:t>
      </w:r>
      <w:r w:rsidRPr="000A461D">
        <w:rPr>
          <w:rFonts w:ascii="Arial" w:eastAsia="Times New Roman" w:hAnsi="Arial" w:cs="Arial"/>
          <w:i/>
          <w:iCs/>
          <w:color w:val="000000"/>
          <w:sz w:val="24"/>
          <w:szCs w:val="24"/>
          <w:lang w:eastAsia="en-GB"/>
        </w:rPr>
        <w:t>Coercive control: how men entrap women in personal life</w:t>
      </w:r>
      <w:r w:rsidRPr="000A461D">
        <w:rPr>
          <w:rFonts w:ascii="Arial" w:eastAsia="Times New Roman" w:hAnsi="Arial" w:cs="Arial"/>
          <w:color w:val="000000"/>
          <w:sz w:val="24"/>
          <w:szCs w:val="24"/>
          <w:lang w:eastAsia="en-GB"/>
        </w:rPr>
        <w:t>. Oxford: Oxford University Press. </w:t>
      </w:r>
    </w:p>
    <w:p w14:paraId="256B2D40" w14:textId="77777777" w:rsidR="000A461D" w:rsidRPr="000A461D" w:rsidRDefault="000A461D" w:rsidP="000A461D">
      <w:pPr>
        <w:numPr>
          <w:ilvl w:val="0"/>
          <w:numId w:val="19"/>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 xml:space="preserve">Taylor, G.J., </w:t>
      </w:r>
      <w:proofErr w:type="spellStart"/>
      <w:r w:rsidRPr="000A461D">
        <w:rPr>
          <w:rFonts w:ascii="Arial" w:eastAsia="Times New Roman" w:hAnsi="Arial" w:cs="Arial"/>
          <w:color w:val="000000"/>
          <w:sz w:val="24"/>
          <w:szCs w:val="24"/>
          <w:lang w:eastAsia="en-GB"/>
        </w:rPr>
        <w:t>Bagby</w:t>
      </w:r>
      <w:proofErr w:type="spellEnd"/>
      <w:r w:rsidRPr="000A461D">
        <w:rPr>
          <w:rFonts w:ascii="Arial" w:eastAsia="Times New Roman" w:hAnsi="Arial" w:cs="Arial"/>
          <w:color w:val="000000"/>
          <w:sz w:val="24"/>
          <w:szCs w:val="24"/>
          <w:lang w:eastAsia="en-GB"/>
        </w:rPr>
        <w:t>, R.M. and Parker, J.D.A. (1997) </w:t>
      </w:r>
      <w:r w:rsidRPr="000A461D">
        <w:rPr>
          <w:rFonts w:ascii="Arial" w:eastAsia="Times New Roman" w:hAnsi="Arial" w:cs="Arial"/>
          <w:i/>
          <w:iCs/>
          <w:color w:val="000000"/>
          <w:sz w:val="24"/>
          <w:szCs w:val="24"/>
          <w:lang w:eastAsia="en-GB"/>
        </w:rPr>
        <w:t>Disorders of affect regulation: alexithymia in medical and psychiatric illness</w:t>
      </w:r>
      <w:r w:rsidRPr="000A461D">
        <w:rPr>
          <w:rFonts w:ascii="Arial" w:eastAsia="Times New Roman" w:hAnsi="Arial" w:cs="Arial"/>
          <w:color w:val="000000"/>
          <w:sz w:val="24"/>
          <w:szCs w:val="24"/>
          <w:lang w:eastAsia="en-GB"/>
        </w:rPr>
        <w:t>. Cambridge: Cambridge University Press. </w:t>
      </w:r>
    </w:p>
    <w:p w14:paraId="1BB3C333" w14:textId="77777777" w:rsidR="000A461D" w:rsidRPr="000A461D" w:rsidRDefault="000A461D" w:rsidP="000A461D">
      <w:pPr>
        <w:numPr>
          <w:ilvl w:val="0"/>
          <w:numId w:val="20"/>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Kaufman, G. (1996) </w:t>
      </w:r>
      <w:r w:rsidRPr="000A461D">
        <w:rPr>
          <w:rFonts w:ascii="Arial" w:eastAsia="Times New Roman" w:hAnsi="Arial" w:cs="Arial"/>
          <w:i/>
          <w:iCs/>
          <w:color w:val="000000"/>
          <w:sz w:val="24"/>
          <w:szCs w:val="24"/>
          <w:lang w:eastAsia="en-GB"/>
        </w:rPr>
        <w:t>The psychology of shame: theory and treatment of shame</w:t>
      </w:r>
      <w:r w:rsidRPr="000A461D">
        <w:rPr>
          <w:rFonts w:ascii="Arial" w:eastAsia="Times New Roman" w:hAnsi="Arial" w:cs="Arial"/>
          <w:i/>
          <w:iCs/>
          <w:color w:val="000000"/>
          <w:sz w:val="24"/>
          <w:szCs w:val="24"/>
          <w:lang w:eastAsia="en-GB"/>
        </w:rPr>
        <w:noBreakHyphen/>
        <w:t>based syndromes</w:t>
      </w:r>
      <w:r w:rsidRPr="000A461D">
        <w:rPr>
          <w:rFonts w:ascii="Arial" w:eastAsia="Times New Roman" w:hAnsi="Arial" w:cs="Arial"/>
          <w:color w:val="000000"/>
          <w:sz w:val="24"/>
          <w:szCs w:val="24"/>
          <w:lang w:eastAsia="en-GB"/>
        </w:rPr>
        <w:t>. 2nd </w:t>
      </w:r>
      <w:proofErr w:type="spellStart"/>
      <w:r w:rsidRPr="000A461D">
        <w:rPr>
          <w:rFonts w:ascii="Arial" w:eastAsia="Times New Roman" w:hAnsi="Arial" w:cs="Arial"/>
          <w:color w:val="000000"/>
          <w:sz w:val="24"/>
          <w:szCs w:val="24"/>
          <w:lang w:eastAsia="en-GB"/>
        </w:rPr>
        <w:t>edn</w:t>
      </w:r>
      <w:proofErr w:type="spellEnd"/>
      <w:r w:rsidRPr="000A461D">
        <w:rPr>
          <w:rFonts w:ascii="Arial" w:eastAsia="Times New Roman" w:hAnsi="Arial" w:cs="Arial"/>
          <w:color w:val="000000"/>
          <w:sz w:val="24"/>
          <w:szCs w:val="24"/>
          <w:lang w:eastAsia="en-GB"/>
        </w:rPr>
        <w:t>. New York: Springer. </w:t>
      </w:r>
    </w:p>
    <w:p w14:paraId="5A5431ED" w14:textId="77777777" w:rsidR="000A461D" w:rsidRPr="000A461D" w:rsidRDefault="000A461D" w:rsidP="000A461D">
      <w:pPr>
        <w:numPr>
          <w:ilvl w:val="0"/>
          <w:numId w:val="21"/>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Van der Kolk, B.A. (2014) </w:t>
      </w:r>
      <w:r w:rsidRPr="000A461D">
        <w:rPr>
          <w:rFonts w:ascii="Arial" w:eastAsia="Times New Roman" w:hAnsi="Arial" w:cs="Arial"/>
          <w:i/>
          <w:iCs/>
          <w:color w:val="000000"/>
          <w:sz w:val="24"/>
          <w:szCs w:val="24"/>
          <w:lang w:eastAsia="en-GB"/>
        </w:rPr>
        <w:t>The body keeps the score: brain, mind, and body in the healing of trauma</w:t>
      </w:r>
      <w:r w:rsidRPr="000A461D">
        <w:rPr>
          <w:rFonts w:ascii="Arial" w:eastAsia="Times New Roman" w:hAnsi="Arial" w:cs="Arial"/>
          <w:color w:val="000000"/>
          <w:sz w:val="24"/>
          <w:szCs w:val="24"/>
          <w:lang w:eastAsia="en-GB"/>
        </w:rPr>
        <w:t>. London: Penguin. </w:t>
      </w:r>
    </w:p>
    <w:p w14:paraId="6B0C25FD" w14:textId="77777777" w:rsidR="000A461D" w:rsidRPr="000A461D" w:rsidRDefault="000A461D" w:rsidP="000A461D">
      <w:pPr>
        <w:numPr>
          <w:ilvl w:val="0"/>
          <w:numId w:val="22"/>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Vision Health (2026) </w:t>
      </w:r>
      <w:r w:rsidRPr="000A461D">
        <w:rPr>
          <w:rFonts w:ascii="Arial" w:eastAsia="Times New Roman" w:hAnsi="Arial" w:cs="Arial"/>
          <w:i/>
          <w:iCs/>
          <w:color w:val="000000"/>
          <w:sz w:val="24"/>
          <w:szCs w:val="24"/>
          <w:lang w:eastAsia="en-GB"/>
        </w:rPr>
        <w:t>Electronic Frailty Index (</w:t>
      </w:r>
      <w:proofErr w:type="spellStart"/>
      <w:r w:rsidRPr="000A461D">
        <w:rPr>
          <w:rFonts w:ascii="Arial" w:eastAsia="Times New Roman" w:hAnsi="Arial" w:cs="Arial"/>
          <w:i/>
          <w:iCs/>
          <w:color w:val="000000"/>
          <w:sz w:val="24"/>
          <w:szCs w:val="24"/>
          <w:lang w:eastAsia="en-GB"/>
        </w:rPr>
        <w:t>eFI</w:t>
      </w:r>
      <w:proofErr w:type="spellEnd"/>
      <w:r w:rsidRPr="000A461D">
        <w:rPr>
          <w:rFonts w:ascii="Arial" w:eastAsia="Times New Roman" w:hAnsi="Arial" w:cs="Arial"/>
          <w:i/>
          <w:iCs/>
          <w:color w:val="000000"/>
          <w:sz w:val="24"/>
          <w:szCs w:val="24"/>
          <w:lang w:eastAsia="en-GB"/>
        </w:rPr>
        <w:t>) Calculator and Stratification Tool</w:t>
      </w:r>
      <w:r w:rsidRPr="000A461D">
        <w:rPr>
          <w:rFonts w:ascii="Arial" w:eastAsia="Times New Roman" w:hAnsi="Arial" w:cs="Arial"/>
          <w:color w:val="000000"/>
          <w:sz w:val="24"/>
          <w:szCs w:val="24"/>
          <w:lang w:eastAsia="en-GB"/>
        </w:rPr>
        <w:t>. Available at: </w:t>
      </w:r>
      <w:hyperlink r:id="rId12" w:tgtFrame="_blank" w:history="1">
        <w:r w:rsidRPr="000A461D">
          <w:rPr>
            <w:rFonts w:ascii="Arial" w:eastAsia="Times New Roman" w:hAnsi="Arial" w:cs="Arial"/>
            <w:color w:val="0000FF"/>
            <w:sz w:val="24"/>
            <w:szCs w:val="24"/>
            <w:u w:val="single"/>
            <w:lang w:eastAsia="en-GB"/>
          </w:rPr>
          <w:t>https://help.visionhealth.co.uk</w:t>
        </w:r>
      </w:hyperlink>
      <w:r w:rsidRPr="000A461D">
        <w:rPr>
          <w:rFonts w:ascii="Arial" w:eastAsia="Times New Roman" w:hAnsi="Arial" w:cs="Arial"/>
          <w:color w:val="000000"/>
          <w:sz w:val="24"/>
          <w:szCs w:val="24"/>
          <w:lang w:eastAsia="en-GB"/>
        </w:rPr>
        <w:t> (Accessed: 25 February 2026). </w:t>
      </w:r>
    </w:p>
    <w:p w14:paraId="4C1A5365" w14:textId="77777777" w:rsidR="000A461D" w:rsidRPr="000A461D" w:rsidRDefault="000A461D" w:rsidP="000A461D">
      <w:pPr>
        <w:numPr>
          <w:ilvl w:val="0"/>
          <w:numId w:val="23"/>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UK GDPR (2018) </w:t>
      </w:r>
      <w:r w:rsidRPr="000A461D">
        <w:rPr>
          <w:rFonts w:ascii="Arial" w:eastAsia="Times New Roman" w:hAnsi="Arial" w:cs="Arial"/>
          <w:i/>
          <w:iCs/>
          <w:color w:val="000000"/>
          <w:sz w:val="24"/>
          <w:szCs w:val="24"/>
          <w:lang w:eastAsia="en-GB"/>
        </w:rPr>
        <w:t>Retained Regulation (EU) 2016/679 as incorporated into UK law</w:t>
      </w:r>
      <w:r w:rsidRPr="000A461D">
        <w:rPr>
          <w:rFonts w:ascii="Arial" w:eastAsia="Times New Roman" w:hAnsi="Arial" w:cs="Arial"/>
          <w:color w:val="000000"/>
          <w:sz w:val="24"/>
          <w:szCs w:val="24"/>
          <w:lang w:eastAsia="en-GB"/>
        </w:rPr>
        <w:t>. London: The Stationery Office. </w:t>
      </w:r>
    </w:p>
    <w:p w14:paraId="28FE2687" w14:textId="77777777" w:rsidR="000A461D" w:rsidRPr="000A461D" w:rsidRDefault="000A461D" w:rsidP="000A461D">
      <w:pPr>
        <w:numPr>
          <w:ilvl w:val="0"/>
          <w:numId w:val="24"/>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UK Parliament (2010) </w:t>
      </w:r>
      <w:r w:rsidRPr="000A461D">
        <w:rPr>
          <w:rFonts w:ascii="Arial" w:eastAsia="Times New Roman" w:hAnsi="Arial" w:cs="Arial"/>
          <w:i/>
          <w:iCs/>
          <w:color w:val="000000"/>
          <w:sz w:val="24"/>
          <w:szCs w:val="24"/>
          <w:lang w:eastAsia="en-GB"/>
        </w:rPr>
        <w:t>Equality Act 2010</w:t>
      </w:r>
      <w:r w:rsidRPr="000A461D">
        <w:rPr>
          <w:rFonts w:ascii="Arial" w:eastAsia="Times New Roman" w:hAnsi="Arial" w:cs="Arial"/>
          <w:color w:val="000000"/>
          <w:sz w:val="24"/>
          <w:szCs w:val="24"/>
          <w:lang w:eastAsia="en-GB"/>
        </w:rPr>
        <w:t>. Available at: </w:t>
      </w:r>
      <w:hyperlink r:id="rId13" w:tgtFrame="_blank" w:history="1">
        <w:r w:rsidRPr="000A461D">
          <w:rPr>
            <w:rFonts w:ascii="Arial" w:eastAsia="Times New Roman" w:hAnsi="Arial" w:cs="Arial"/>
            <w:color w:val="0000FF"/>
            <w:sz w:val="24"/>
            <w:szCs w:val="24"/>
            <w:u w:val="single"/>
            <w:lang w:eastAsia="en-GB"/>
          </w:rPr>
          <w:t>https://www.legislation.gov.uk</w:t>
        </w:r>
      </w:hyperlink>
      <w:r w:rsidRPr="000A461D">
        <w:rPr>
          <w:rFonts w:ascii="Arial" w:eastAsia="Times New Roman" w:hAnsi="Arial" w:cs="Arial"/>
          <w:color w:val="000000"/>
          <w:sz w:val="24"/>
          <w:szCs w:val="24"/>
          <w:lang w:eastAsia="en-GB"/>
        </w:rPr>
        <w:t> (Accessed: 25 February 2026). </w:t>
      </w:r>
    </w:p>
    <w:p w14:paraId="3918E4E8" w14:textId="77777777" w:rsidR="000A461D" w:rsidRPr="000A461D" w:rsidRDefault="000A461D" w:rsidP="000A461D">
      <w:pPr>
        <w:numPr>
          <w:ilvl w:val="0"/>
          <w:numId w:val="25"/>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United Nations (2006) </w:t>
      </w:r>
      <w:r w:rsidRPr="000A461D">
        <w:rPr>
          <w:rFonts w:ascii="Arial" w:eastAsia="Times New Roman" w:hAnsi="Arial" w:cs="Arial"/>
          <w:i/>
          <w:iCs/>
          <w:color w:val="000000"/>
          <w:sz w:val="24"/>
          <w:szCs w:val="24"/>
          <w:lang w:eastAsia="en-GB"/>
        </w:rPr>
        <w:t>Convention on the Rights of Persons with Disabilities</w:t>
      </w:r>
      <w:r w:rsidRPr="000A461D">
        <w:rPr>
          <w:rFonts w:ascii="Arial" w:eastAsia="Times New Roman" w:hAnsi="Arial" w:cs="Arial"/>
          <w:color w:val="000000"/>
          <w:sz w:val="24"/>
          <w:szCs w:val="24"/>
          <w:lang w:eastAsia="en-GB"/>
        </w:rPr>
        <w:t>. New York: United Nations. </w:t>
      </w:r>
    </w:p>
    <w:p w14:paraId="0B126649" w14:textId="77777777" w:rsidR="000A461D" w:rsidRPr="000A461D" w:rsidRDefault="000A461D" w:rsidP="000A461D">
      <w:pPr>
        <w:numPr>
          <w:ilvl w:val="0"/>
          <w:numId w:val="26"/>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Young, J.E., </w:t>
      </w:r>
      <w:proofErr w:type="spellStart"/>
      <w:r w:rsidRPr="000A461D">
        <w:rPr>
          <w:rFonts w:ascii="Arial" w:eastAsia="Times New Roman" w:hAnsi="Arial" w:cs="Arial"/>
          <w:color w:val="000000"/>
          <w:sz w:val="24"/>
          <w:szCs w:val="24"/>
          <w:lang w:eastAsia="en-GB"/>
        </w:rPr>
        <w:t>Klosko</w:t>
      </w:r>
      <w:proofErr w:type="spellEnd"/>
      <w:r w:rsidRPr="000A461D">
        <w:rPr>
          <w:rFonts w:ascii="Arial" w:eastAsia="Times New Roman" w:hAnsi="Arial" w:cs="Arial"/>
          <w:color w:val="000000"/>
          <w:sz w:val="24"/>
          <w:szCs w:val="24"/>
          <w:lang w:eastAsia="en-GB"/>
        </w:rPr>
        <w:t xml:space="preserve">, J.S. and </w:t>
      </w:r>
      <w:proofErr w:type="spellStart"/>
      <w:r w:rsidRPr="000A461D">
        <w:rPr>
          <w:rFonts w:ascii="Arial" w:eastAsia="Times New Roman" w:hAnsi="Arial" w:cs="Arial"/>
          <w:color w:val="000000"/>
          <w:sz w:val="24"/>
          <w:szCs w:val="24"/>
          <w:lang w:eastAsia="en-GB"/>
        </w:rPr>
        <w:t>Weishaar</w:t>
      </w:r>
      <w:proofErr w:type="spellEnd"/>
      <w:r w:rsidRPr="000A461D">
        <w:rPr>
          <w:rFonts w:ascii="Arial" w:eastAsia="Times New Roman" w:hAnsi="Arial" w:cs="Arial"/>
          <w:color w:val="000000"/>
          <w:sz w:val="24"/>
          <w:szCs w:val="24"/>
          <w:lang w:eastAsia="en-GB"/>
        </w:rPr>
        <w:t>, M.E. (2003) </w:t>
      </w:r>
      <w:r w:rsidRPr="000A461D">
        <w:rPr>
          <w:rFonts w:ascii="Arial" w:eastAsia="Times New Roman" w:hAnsi="Arial" w:cs="Arial"/>
          <w:i/>
          <w:iCs/>
          <w:color w:val="000000"/>
          <w:sz w:val="24"/>
          <w:szCs w:val="24"/>
          <w:lang w:eastAsia="en-GB"/>
        </w:rPr>
        <w:t>Schema therapy: a practitioner’s guide</w:t>
      </w:r>
      <w:r w:rsidRPr="000A461D">
        <w:rPr>
          <w:rFonts w:ascii="Arial" w:eastAsia="Times New Roman" w:hAnsi="Arial" w:cs="Arial"/>
          <w:color w:val="000000"/>
          <w:sz w:val="24"/>
          <w:szCs w:val="24"/>
          <w:lang w:eastAsia="en-GB"/>
        </w:rPr>
        <w:t>. New York: Guilford Press. </w:t>
      </w:r>
    </w:p>
    <w:p w14:paraId="5BEAB55E" w14:textId="77777777" w:rsidR="000A461D" w:rsidRPr="000A461D" w:rsidRDefault="000A461D" w:rsidP="000A461D">
      <w:pPr>
        <w:numPr>
          <w:ilvl w:val="0"/>
          <w:numId w:val="27"/>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Wallace, S. (2022) </w:t>
      </w:r>
      <w:r w:rsidRPr="000A461D">
        <w:rPr>
          <w:rFonts w:ascii="Arial" w:eastAsia="Times New Roman" w:hAnsi="Arial" w:cs="Arial"/>
          <w:i/>
          <w:iCs/>
          <w:color w:val="000000"/>
          <w:sz w:val="24"/>
          <w:szCs w:val="24"/>
          <w:lang w:eastAsia="en-GB"/>
        </w:rPr>
        <w:t>An investigation into the needs of men experiencing domestic abuse and current service provision in Wales</w:t>
      </w:r>
      <w:r w:rsidRPr="000A461D">
        <w:rPr>
          <w:rFonts w:ascii="Arial" w:eastAsia="Times New Roman" w:hAnsi="Arial" w:cs="Arial"/>
          <w:color w:val="000000"/>
          <w:sz w:val="24"/>
          <w:szCs w:val="24"/>
          <w:lang w:eastAsia="en-GB"/>
        </w:rPr>
        <w:t>. Doctoral thesis. University of South Wales. </w:t>
      </w:r>
    </w:p>
    <w:p w14:paraId="563CAF7D" w14:textId="77777777" w:rsidR="000A461D" w:rsidRPr="000A461D" w:rsidRDefault="000A461D" w:rsidP="000A461D">
      <w:pPr>
        <w:numPr>
          <w:ilvl w:val="0"/>
          <w:numId w:val="28"/>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Welsh Government (2025) </w:t>
      </w:r>
      <w:r w:rsidRPr="000A461D">
        <w:rPr>
          <w:rFonts w:ascii="Arial" w:eastAsia="Times New Roman" w:hAnsi="Arial" w:cs="Arial"/>
          <w:i/>
          <w:iCs/>
          <w:color w:val="000000"/>
          <w:sz w:val="24"/>
          <w:szCs w:val="24"/>
          <w:lang w:eastAsia="en-GB"/>
        </w:rPr>
        <w:t>Cafcass Cymru domestic abuse guidance: gender and abuse</w:t>
      </w:r>
      <w:r w:rsidRPr="000A461D">
        <w:rPr>
          <w:rFonts w:ascii="Arial" w:eastAsia="Times New Roman" w:hAnsi="Arial" w:cs="Arial"/>
          <w:color w:val="000000"/>
          <w:sz w:val="24"/>
          <w:szCs w:val="24"/>
          <w:lang w:eastAsia="en-GB"/>
        </w:rPr>
        <w:t>. Cardiff: Welsh Government. Available at: </w:t>
      </w:r>
      <w:hyperlink r:id="rId14" w:tgtFrame="_blank" w:history="1">
        <w:r w:rsidRPr="000A461D">
          <w:rPr>
            <w:rFonts w:ascii="Arial" w:eastAsia="Times New Roman" w:hAnsi="Arial" w:cs="Arial"/>
            <w:color w:val="0000FF"/>
            <w:sz w:val="24"/>
            <w:szCs w:val="24"/>
            <w:u w:val="single"/>
            <w:lang w:eastAsia="en-GB"/>
          </w:rPr>
          <w:t>https://www.gov.wales/sites/default/files/publications/2025-05/04-cafcass-cymru-domestic-abuse-guidance-gender-abuse.pdf</w:t>
        </w:r>
      </w:hyperlink>
      <w:r w:rsidRPr="000A461D">
        <w:rPr>
          <w:rFonts w:ascii="Arial" w:eastAsia="Times New Roman" w:hAnsi="Arial" w:cs="Arial"/>
          <w:color w:val="000000"/>
          <w:sz w:val="24"/>
          <w:szCs w:val="24"/>
          <w:lang w:eastAsia="en-GB"/>
        </w:rPr>
        <w:t> (Accessed: 2 April 2026). </w:t>
      </w:r>
    </w:p>
    <w:p w14:paraId="71252E2A" w14:textId="77777777" w:rsidR="000A461D" w:rsidRPr="000A461D" w:rsidRDefault="000A461D" w:rsidP="000A461D">
      <w:pPr>
        <w:numPr>
          <w:ilvl w:val="0"/>
          <w:numId w:val="29"/>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Welsh Government (2011) </w:t>
      </w:r>
      <w:r w:rsidRPr="000A461D">
        <w:rPr>
          <w:rFonts w:ascii="Arial" w:eastAsia="Times New Roman" w:hAnsi="Arial" w:cs="Arial"/>
          <w:i/>
          <w:iCs/>
          <w:color w:val="000000"/>
          <w:sz w:val="24"/>
          <w:szCs w:val="24"/>
          <w:lang w:eastAsia="en-GB"/>
        </w:rPr>
        <w:t>Public sector equality duty: guidance for public authorities in Wales</w:t>
      </w:r>
      <w:r w:rsidRPr="000A461D">
        <w:rPr>
          <w:rFonts w:ascii="Arial" w:eastAsia="Times New Roman" w:hAnsi="Arial" w:cs="Arial"/>
          <w:color w:val="000000"/>
          <w:sz w:val="24"/>
          <w:szCs w:val="24"/>
          <w:lang w:eastAsia="en-GB"/>
        </w:rPr>
        <w:t>. Cardiff: Welsh Government. </w:t>
      </w:r>
    </w:p>
    <w:p w14:paraId="3A6906B5" w14:textId="77777777" w:rsidR="000A461D" w:rsidRPr="000A461D" w:rsidRDefault="000A461D" w:rsidP="000A461D">
      <w:pPr>
        <w:numPr>
          <w:ilvl w:val="0"/>
          <w:numId w:val="30"/>
        </w:numPr>
        <w:spacing w:after="0" w:line="240" w:lineRule="auto"/>
        <w:ind w:left="1080" w:firstLine="0"/>
        <w:jc w:val="both"/>
        <w:textAlignment w:val="baseline"/>
        <w:rPr>
          <w:rFonts w:ascii="Arial" w:eastAsia="Times New Roman" w:hAnsi="Arial" w:cs="Arial"/>
          <w:color w:val="000000"/>
          <w:sz w:val="24"/>
          <w:szCs w:val="24"/>
          <w:lang w:eastAsia="en-GB"/>
        </w:rPr>
      </w:pPr>
      <w:r w:rsidRPr="000A461D">
        <w:rPr>
          <w:rFonts w:ascii="Arial" w:eastAsia="Times New Roman" w:hAnsi="Arial" w:cs="Arial"/>
          <w:color w:val="000000"/>
          <w:sz w:val="24"/>
          <w:szCs w:val="24"/>
          <w:lang w:eastAsia="en-GB"/>
        </w:rPr>
        <w:t>Welsh Government (2016) </w:t>
      </w:r>
      <w:r w:rsidRPr="000A461D">
        <w:rPr>
          <w:rFonts w:ascii="Arial" w:eastAsia="Times New Roman" w:hAnsi="Arial" w:cs="Arial"/>
          <w:i/>
          <w:iCs/>
          <w:color w:val="000000"/>
          <w:sz w:val="24"/>
          <w:szCs w:val="24"/>
          <w:lang w:eastAsia="en-GB"/>
        </w:rPr>
        <w:t>Working together to safeguard people: volume 1 – introduction and overview</w:t>
      </w:r>
      <w:r w:rsidRPr="000A461D">
        <w:rPr>
          <w:rFonts w:ascii="Arial" w:eastAsia="Times New Roman" w:hAnsi="Arial" w:cs="Arial"/>
          <w:color w:val="000000"/>
          <w:sz w:val="24"/>
          <w:szCs w:val="24"/>
          <w:lang w:eastAsia="en-GB"/>
        </w:rPr>
        <w:t>. Cardiff: Welsh Government. Available at: </w:t>
      </w:r>
      <w:hyperlink r:id="rId15" w:tgtFrame="_blank" w:history="1">
        <w:r w:rsidRPr="000A461D">
          <w:rPr>
            <w:rFonts w:ascii="Arial" w:eastAsia="Times New Roman" w:hAnsi="Arial" w:cs="Arial"/>
            <w:color w:val="0000FF"/>
            <w:sz w:val="24"/>
            <w:szCs w:val="24"/>
            <w:u w:val="single"/>
            <w:lang w:eastAsia="en-GB"/>
          </w:rPr>
          <w:t>https://www.gov.wales/working-together-safeguard-people</w:t>
        </w:r>
      </w:hyperlink>
      <w:r w:rsidRPr="000A461D">
        <w:rPr>
          <w:rFonts w:ascii="Arial" w:eastAsia="Times New Roman" w:hAnsi="Arial" w:cs="Arial"/>
          <w:color w:val="000000"/>
          <w:sz w:val="24"/>
          <w:szCs w:val="24"/>
          <w:lang w:eastAsia="en-GB"/>
        </w:rPr>
        <w:t> (Accessed: 2 April 2026). </w:t>
      </w:r>
    </w:p>
    <w:p w14:paraId="6A33148F" w14:textId="77777777" w:rsidR="000A461D" w:rsidRPr="000A461D" w:rsidRDefault="000A461D" w:rsidP="000A461D">
      <w:pPr>
        <w:spacing w:after="0" w:line="240" w:lineRule="auto"/>
        <w:jc w:val="both"/>
        <w:textAlignment w:val="baseline"/>
        <w:rPr>
          <w:rFonts w:ascii="Segoe UI" w:eastAsia="Times New Roman" w:hAnsi="Segoe UI" w:cs="Segoe UI"/>
          <w:color w:val="000000"/>
          <w:sz w:val="18"/>
          <w:szCs w:val="18"/>
          <w:lang w:eastAsia="en-GB"/>
        </w:rPr>
      </w:pPr>
      <w:r w:rsidRPr="000A461D">
        <w:rPr>
          <w:rFonts w:ascii="Arial Nova" w:eastAsia="Times New Roman" w:hAnsi="Arial Nova" w:cs="Segoe UI"/>
          <w:color w:val="000000"/>
          <w:sz w:val="24"/>
          <w:szCs w:val="24"/>
          <w:lang w:eastAsia="en-GB"/>
        </w:rPr>
        <w:t> </w:t>
      </w:r>
    </w:p>
    <w:p w14:paraId="625FC161" w14:textId="77777777" w:rsidR="009D3687" w:rsidRPr="000A461D" w:rsidRDefault="009D3687" w:rsidP="000A461D"/>
    <w:sectPr w:rsidR="009D3687" w:rsidRPr="000A461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DFCD3" w14:textId="77777777" w:rsidR="00821AFB" w:rsidRDefault="00821AFB" w:rsidP="00B20558">
      <w:pPr>
        <w:spacing w:after="0" w:line="240" w:lineRule="auto"/>
      </w:pPr>
      <w:r>
        <w:separator/>
      </w:r>
    </w:p>
  </w:endnote>
  <w:endnote w:type="continuationSeparator" w:id="0">
    <w:p w14:paraId="102ED397" w14:textId="77777777" w:rsidR="00821AFB" w:rsidRDefault="00821AFB" w:rsidP="00B20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4E13D" w14:textId="77777777" w:rsidR="00B20558" w:rsidRDefault="00B20558">
    <w:pPr>
      <w:pStyle w:val="Footer"/>
    </w:pPr>
  </w:p>
  <w:p w14:paraId="3B11A4BF" w14:textId="77777777" w:rsidR="006879D6" w:rsidRDefault="006879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B400D" w14:textId="77777777" w:rsidR="00821AFB" w:rsidRDefault="00821AFB" w:rsidP="00B20558">
      <w:pPr>
        <w:spacing w:after="0" w:line="240" w:lineRule="auto"/>
      </w:pPr>
      <w:r>
        <w:separator/>
      </w:r>
    </w:p>
  </w:footnote>
  <w:footnote w:type="continuationSeparator" w:id="0">
    <w:p w14:paraId="54CF2AA6" w14:textId="77777777" w:rsidR="00821AFB" w:rsidRDefault="00821AFB" w:rsidP="00B205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C71EE"/>
    <w:multiLevelType w:val="multilevel"/>
    <w:tmpl w:val="223CAD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7D42A0"/>
    <w:multiLevelType w:val="multilevel"/>
    <w:tmpl w:val="92320F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C366D"/>
    <w:multiLevelType w:val="multilevel"/>
    <w:tmpl w:val="498606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2D2A11"/>
    <w:multiLevelType w:val="multilevel"/>
    <w:tmpl w:val="0BB6886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E1594D"/>
    <w:multiLevelType w:val="multilevel"/>
    <w:tmpl w:val="63C011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283B63"/>
    <w:multiLevelType w:val="multilevel"/>
    <w:tmpl w:val="E402B5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3B61EC"/>
    <w:multiLevelType w:val="multilevel"/>
    <w:tmpl w:val="E3B058D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C52806"/>
    <w:multiLevelType w:val="multilevel"/>
    <w:tmpl w:val="685051D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CA6C19"/>
    <w:multiLevelType w:val="multilevel"/>
    <w:tmpl w:val="8BB297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BF0CF4"/>
    <w:multiLevelType w:val="multilevel"/>
    <w:tmpl w:val="4100EC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0F6A87"/>
    <w:multiLevelType w:val="multilevel"/>
    <w:tmpl w:val="3A66BD5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FA0A40"/>
    <w:multiLevelType w:val="multilevel"/>
    <w:tmpl w:val="E4D8D8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B80A88"/>
    <w:multiLevelType w:val="multilevel"/>
    <w:tmpl w:val="79261EF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2935CF"/>
    <w:multiLevelType w:val="multilevel"/>
    <w:tmpl w:val="0630C59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C14F29"/>
    <w:multiLevelType w:val="multilevel"/>
    <w:tmpl w:val="1C368D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590BB8"/>
    <w:multiLevelType w:val="multilevel"/>
    <w:tmpl w:val="9E3044D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DC1029"/>
    <w:multiLevelType w:val="multilevel"/>
    <w:tmpl w:val="4B46153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FB0E40"/>
    <w:multiLevelType w:val="multilevel"/>
    <w:tmpl w:val="AD3A2B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6166AF"/>
    <w:multiLevelType w:val="multilevel"/>
    <w:tmpl w:val="3CB450A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357C05"/>
    <w:multiLevelType w:val="multilevel"/>
    <w:tmpl w:val="27D453A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DB41D7"/>
    <w:multiLevelType w:val="multilevel"/>
    <w:tmpl w:val="1D7C79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B850A1"/>
    <w:multiLevelType w:val="multilevel"/>
    <w:tmpl w:val="F9FA97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024E83"/>
    <w:multiLevelType w:val="multilevel"/>
    <w:tmpl w:val="95A41E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C314D3"/>
    <w:multiLevelType w:val="multilevel"/>
    <w:tmpl w:val="13B2EB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146831"/>
    <w:multiLevelType w:val="multilevel"/>
    <w:tmpl w:val="DEA4E6E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FD36EA"/>
    <w:multiLevelType w:val="multilevel"/>
    <w:tmpl w:val="DD1029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6416F7"/>
    <w:multiLevelType w:val="multilevel"/>
    <w:tmpl w:val="5FFCD2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7D137D"/>
    <w:multiLevelType w:val="multilevel"/>
    <w:tmpl w:val="8A2C35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C92507"/>
    <w:multiLevelType w:val="multilevel"/>
    <w:tmpl w:val="51823F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1517DE"/>
    <w:multiLevelType w:val="multilevel"/>
    <w:tmpl w:val="CA0E313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29"/>
  </w:num>
  <w:num w:numId="3">
    <w:abstractNumId w:val="1"/>
  </w:num>
  <w:num w:numId="4">
    <w:abstractNumId w:val="0"/>
  </w:num>
  <w:num w:numId="5">
    <w:abstractNumId w:val="16"/>
  </w:num>
  <w:num w:numId="6">
    <w:abstractNumId w:val="28"/>
  </w:num>
  <w:num w:numId="7">
    <w:abstractNumId w:val="8"/>
  </w:num>
  <w:num w:numId="8">
    <w:abstractNumId w:val="6"/>
  </w:num>
  <w:num w:numId="9">
    <w:abstractNumId w:val="23"/>
  </w:num>
  <w:num w:numId="10">
    <w:abstractNumId w:val="27"/>
  </w:num>
  <w:num w:numId="11">
    <w:abstractNumId w:val="17"/>
  </w:num>
  <w:num w:numId="12">
    <w:abstractNumId w:val="25"/>
  </w:num>
  <w:num w:numId="13">
    <w:abstractNumId w:val="26"/>
  </w:num>
  <w:num w:numId="14">
    <w:abstractNumId w:val="15"/>
  </w:num>
  <w:num w:numId="15">
    <w:abstractNumId w:val="24"/>
  </w:num>
  <w:num w:numId="16">
    <w:abstractNumId w:val="13"/>
  </w:num>
  <w:num w:numId="17">
    <w:abstractNumId w:val="5"/>
  </w:num>
  <w:num w:numId="18">
    <w:abstractNumId w:val="22"/>
  </w:num>
  <w:num w:numId="19">
    <w:abstractNumId w:val="18"/>
  </w:num>
  <w:num w:numId="20">
    <w:abstractNumId w:val="7"/>
  </w:num>
  <w:num w:numId="21">
    <w:abstractNumId w:val="19"/>
  </w:num>
  <w:num w:numId="22">
    <w:abstractNumId w:val="9"/>
  </w:num>
  <w:num w:numId="23">
    <w:abstractNumId w:val="3"/>
  </w:num>
  <w:num w:numId="24">
    <w:abstractNumId w:val="4"/>
  </w:num>
  <w:num w:numId="25">
    <w:abstractNumId w:val="14"/>
  </w:num>
  <w:num w:numId="26">
    <w:abstractNumId w:val="20"/>
  </w:num>
  <w:num w:numId="27">
    <w:abstractNumId w:val="2"/>
  </w:num>
  <w:num w:numId="28">
    <w:abstractNumId w:val="12"/>
  </w:num>
  <w:num w:numId="29">
    <w:abstractNumId w:val="11"/>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7FB5"/>
    <w:rsid w:val="000A461D"/>
    <w:rsid w:val="00134974"/>
    <w:rsid w:val="00147FB5"/>
    <w:rsid w:val="00151AB3"/>
    <w:rsid w:val="001B7254"/>
    <w:rsid w:val="001E630F"/>
    <w:rsid w:val="00566AB9"/>
    <w:rsid w:val="006879D6"/>
    <w:rsid w:val="00745384"/>
    <w:rsid w:val="00800497"/>
    <w:rsid w:val="00821AFB"/>
    <w:rsid w:val="00940C7E"/>
    <w:rsid w:val="009559B4"/>
    <w:rsid w:val="009D3687"/>
    <w:rsid w:val="00B20558"/>
    <w:rsid w:val="00E20EFC"/>
    <w:rsid w:val="00F018D1"/>
    <w:rsid w:val="00F94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D11A1"/>
  <w15:chartTrackingRefBased/>
  <w15:docId w15:val="{05A493C0-58CD-4871-AE5A-2E57D8AAE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05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558"/>
  </w:style>
  <w:style w:type="paragraph" w:styleId="Footer">
    <w:name w:val="footer"/>
    <w:basedOn w:val="Normal"/>
    <w:link w:val="FooterChar"/>
    <w:uiPriority w:val="99"/>
    <w:unhideWhenUsed/>
    <w:rsid w:val="00B205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558"/>
  </w:style>
  <w:style w:type="paragraph" w:customStyle="1" w:styleId="msonormal0">
    <w:name w:val="msonormal"/>
    <w:basedOn w:val="Normal"/>
    <w:rsid w:val="000A46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0A46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0A461D"/>
  </w:style>
  <w:style w:type="character" w:customStyle="1" w:styleId="normaltextrun">
    <w:name w:val="normaltextrun"/>
    <w:basedOn w:val="DefaultParagraphFont"/>
    <w:rsid w:val="000A461D"/>
  </w:style>
  <w:style w:type="character" w:customStyle="1" w:styleId="eop">
    <w:name w:val="eop"/>
    <w:basedOn w:val="DefaultParagraphFont"/>
    <w:rsid w:val="000A461D"/>
  </w:style>
  <w:style w:type="paragraph" w:customStyle="1" w:styleId="outlineelement">
    <w:name w:val="outlineelement"/>
    <w:basedOn w:val="Normal"/>
    <w:rsid w:val="000A46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A461D"/>
    <w:rPr>
      <w:color w:val="0000FF"/>
      <w:u w:val="single"/>
    </w:rPr>
  </w:style>
  <w:style w:type="character" w:styleId="FollowedHyperlink">
    <w:name w:val="FollowedHyperlink"/>
    <w:basedOn w:val="DefaultParagraphFont"/>
    <w:uiPriority w:val="99"/>
    <w:semiHidden/>
    <w:unhideWhenUsed/>
    <w:rsid w:val="000A461D"/>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775997">
      <w:bodyDiv w:val="1"/>
      <w:marLeft w:val="0"/>
      <w:marRight w:val="0"/>
      <w:marTop w:val="0"/>
      <w:marBottom w:val="0"/>
      <w:divBdr>
        <w:top w:val="none" w:sz="0" w:space="0" w:color="auto"/>
        <w:left w:val="none" w:sz="0" w:space="0" w:color="auto"/>
        <w:bottom w:val="none" w:sz="0" w:space="0" w:color="auto"/>
        <w:right w:val="none" w:sz="0" w:space="0" w:color="auto"/>
      </w:divBdr>
      <w:divsChild>
        <w:div w:id="375157154">
          <w:marLeft w:val="0"/>
          <w:marRight w:val="0"/>
          <w:marTop w:val="0"/>
          <w:marBottom w:val="0"/>
          <w:divBdr>
            <w:top w:val="none" w:sz="0" w:space="0" w:color="auto"/>
            <w:left w:val="none" w:sz="0" w:space="0" w:color="auto"/>
            <w:bottom w:val="none" w:sz="0" w:space="0" w:color="auto"/>
            <w:right w:val="none" w:sz="0" w:space="0" w:color="auto"/>
          </w:divBdr>
        </w:div>
        <w:div w:id="200821883">
          <w:marLeft w:val="0"/>
          <w:marRight w:val="0"/>
          <w:marTop w:val="0"/>
          <w:marBottom w:val="0"/>
          <w:divBdr>
            <w:top w:val="none" w:sz="0" w:space="0" w:color="auto"/>
            <w:left w:val="none" w:sz="0" w:space="0" w:color="auto"/>
            <w:bottom w:val="none" w:sz="0" w:space="0" w:color="auto"/>
            <w:right w:val="none" w:sz="0" w:space="0" w:color="auto"/>
          </w:divBdr>
        </w:div>
        <w:div w:id="782502046">
          <w:marLeft w:val="0"/>
          <w:marRight w:val="0"/>
          <w:marTop w:val="0"/>
          <w:marBottom w:val="0"/>
          <w:divBdr>
            <w:top w:val="none" w:sz="0" w:space="0" w:color="auto"/>
            <w:left w:val="none" w:sz="0" w:space="0" w:color="auto"/>
            <w:bottom w:val="none" w:sz="0" w:space="0" w:color="auto"/>
            <w:right w:val="none" w:sz="0" w:space="0" w:color="auto"/>
          </w:divBdr>
        </w:div>
        <w:div w:id="394164734">
          <w:marLeft w:val="0"/>
          <w:marRight w:val="0"/>
          <w:marTop w:val="0"/>
          <w:marBottom w:val="0"/>
          <w:divBdr>
            <w:top w:val="none" w:sz="0" w:space="0" w:color="auto"/>
            <w:left w:val="none" w:sz="0" w:space="0" w:color="auto"/>
            <w:bottom w:val="none" w:sz="0" w:space="0" w:color="auto"/>
            <w:right w:val="none" w:sz="0" w:space="0" w:color="auto"/>
          </w:divBdr>
        </w:div>
        <w:div w:id="1079407531">
          <w:marLeft w:val="0"/>
          <w:marRight w:val="0"/>
          <w:marTop w:val="0"/>
          <w:marBottom w:val="0"/>
          <w:divBdr>
            <w:top w:val="none" w:sz="0" w:space="0" w:color="auto"/>
            <w:left w:val="none" w:sz="0" w:space="0" w:color="auto"/>
            <w:bottom w:val="none" w:sz="0" w:space="0" w:color="auto"/>
            <w:right w:val="none" w:sz="0" w:space="0" w:color="auto"/>
          </w:divBdr>
        </w:div>
        <w:div w:id="554708167">
          <w:marLeft w:val="0"/>
          <w:marRight w:val="0"/>
          <w:marTop w:val="0"/>
          <w:marBottom w:val="0"/>
          <w:divBdr>
            <w:top w:val="none" w:sz="0" w:space="0" w:color="auto"/>
            <w:left w:val="none" w:sz="0" w:space="0" w:color="auto"/>
            <w:bottom w:val="none" w:sz="0" w:space="0" w:color="auto"/>
            <w:right w:val="none" w:sz="0" w:space="0" w:color="auto"/>
          </w:divBdr>
        </w:div>
        <w:div w:id="1739547996">
          <w:marLeft w:val="0"/>
          <w:marRight w:val="0"/>
          <w:marTop w:val="0"/>
          <w:marBottom w:val="0"/>
          <w:divBdr>
            <w:top w:val="none" w:sz="0" w:space="0" w:color="auto"/>
            <w:left w:val="none" w:sz="0" w:space="0" w:color="auto"/>
            <w:bottom w:val="none" w:sz="0" w:space="0" w:color="auto"/>
            <w:right w:val="none" w:sz="0" w:space="0" w:color="auto"/>
          </w:divBdr>
        </w:div>
        <w:div w:id="802892574">
          <w:marLeft w:val="0"/>
          <w:marRight w:val="0"/>
          <w:marTop w:val="0"/>
          <w:marBottom w:val="0"/>
          <w:divBdr>
            <w:top w:val="none" w:sz="0" w:space="0" w:color="auto"/>
            <w:left w:val="none" w:sz="0" w:space="0" w:color="auto"/>
            <w:bottom w:val="none" w:sz="0" w:space="0" w:color="auto"/>
            <w:right w:val="none" w:sz="0" w:space="0" w:color="auto"/>
          </w:divBdr>
          <w:divsChild>
            <w:div w:id="738747924">
              <w:marLeft w:val="0"/>
              <w:marRight w:val="0"/>
              <w:marTop w:val="0"/>
              <w:marBottom w:val="0"/>
              <w:divBdr>
                <w:top w:val="none" w:sz="0" w:space="0" w:color="auto"/>
                <w:left w:val="none" w:sz="0" w:space="0" w:color="auto"/>
                <w:bottom w:val="none" w:sz="0" w:space="0" w:color="auto"/>
                <w:right w:val="none" w:sz="0" w:space="0" w:color="auto"/>
              </w:divBdr>
            </w:div>
            <w:div w:id="1062292767">
              <w:marLeft w:val="0"/>
              <w:marRight w:val="0"/>
              <w:marTop w:val="0"/>
              <w:marBottom w:val="0"/>
              <w:divBdr>
                <w:top w:val="none" w:sz="0" w:space="0" w:color="auto"/>
                <w:left w:val="none" w:sz="0" w:space="0" w:color="auto"/>
                <w:bottom w:val="none" w:sz="0" w:space="0" w:color="auto"/>
                <w:right w:val="none" w:sz="0" w:space="0" w:color="auto"/>
              </w:divBdr>
            </w:div>
            <w:div w:id="713039386">
              <w:marLeft w:val="0"/>
              <w:marRight w:val="0"/>
              <w:marTop w:val="0"/>
              <w:marBottom w:val="0"/>
              <w:divBdr>
                <w:top w:val="none" w:sz="0" w:space="0" w:color="auto"/>
                <w:left w:val="none" w:sz="0" w:space="0" w:color="auto"/>
                <w:bottom w:val="none" w:sz="0" w:space="0" w:color="auto"/>
                <w:right w:val="none" w:sz="0" w:space="0" w:color="auto"/>
              </w:divBdr>
            </w:div>
            <w:div w:id="1801606509">
              <w:marLeft w:val="0"/>
              <w:marRight w:val="0"/>
              <w:marTop w:val="0"/>
              <w:marBottom w:val="0"/>
              <w:divBdr>
                <w:top w:val="none" w:sz="0" w:space="0" w:color="auto"/>
                <w:left w:val="none" w:sz="0" w:space="0" w:color="auto"/>
                <w:bottom w:val="none" w:sz="0" w:space="0" w:color="auto"/>
                <w:right w:val="none" w:sz="0" w:space="0" w:color="auto"/>
              </w:divBdr>
            </w:div>
            <w:div w:id="1722633247">
              <w:marLeft w:val="0"/>
              <w:marRight w:val="0"/>
              <w:marTop w:val="0"/>
              <w:marBottom w:val="0"/>
              <w:divBdr>
                <w:top w:val="none" w:sz="0" w:space="0" w:color="auto"/>
                <w:left w:val="none" w:sz="0" w:space="0" w:color="auto"/>
                <w:bottom w:val="none" w:sz="0" w:space="0" w:color="auto"/>
                <w:right w:val="none" w:sz="0" w:space="0" w:color="auto"/>
              </w:divBdr>
            </w:div>
            <w:div w:id="1478231034">
              <w:marLeft w:val="0"/>
              <w:marRight w:val="0"/>
              <w:marTop w:val="0"/>
              <w:marBottom w:val="0"/>
              <w:divBdr>
                <w:top w:val="none" w:sz="0" w:space="0" w:color="auto"/>
                <w:left w:val="none" w:sz="0" w:space="0" w:color="auto"/>
                <w:bottom w:val="none" w:sz="0" w:space="0" w:color="auto"/>
                <w:right w:val="none" w:sz="0" w:space="0" w:color="auto"/>
              </w:divBdr>
            </w:div>
            <w:div w:id="338506408">
              <w:marLeft w:val="0"/>
              <w:marRight w:val="0"/>
              <w:marTop w:val="0"/>
              <w:marBottom w:val="0"/>
              <w:divBdr>
                <w:top w:val="none" w:sz="0" w:space="0" w:color="auto"/>
                <w:left w:val="none" w:sz="0" w:space="0" w:color="auto"/>
                <w:bottom w:val="none" w:sz="0" w:space="0" w:color="auto"/>
                <w:right w:val="none" w:sz="0" w:space="0" w:color="auto"/>
              </w:divBdr>
            </w:div>
            <w:div w:id="2061705347">
              <w:marLeft w:val="0"/>
              <w:marRight w:val="0"/>
              <w:marTop w:val="0"/>
              <w:marBottom w:val="0"/>
              <w:divBdr>
                <w:top w:val="none" w:sz="0" w:space="0" w:color="auto"/>
                <w:left w:val="none" w:sz="0" w:space="0" w:color="auto"/>
                <w:bottom w:val="none" w:sz="0" w:space="0" w:color="auto"/>
                <w:right w:val="none" w:sz="0" w:space="0" w:color="auto"/>
              </w:divBdr>
            </w:div>
            <w:div w:id="1621766779">
              <w:marLeft w:val="0"/>
              <w:marRight w:val="0"/>
              <w:marTop w:val="0"/>
              <w:marBottom w:val="0"/>
              <w:divBdr>
                <w:top w:val="none" w:sz="0" w:space="0" w:color="auto"/>
                <w:left w:val="none" w:sz="0" w:space="0" w:color="auto"/>
                <w:bottom w:val="none" w:sz="0" w:space="0" w:color="auto"/>
                <w:right w:val="none" w:sz="0" w:space="0" w:color="auto"/>
              </w:divBdr>
            </w:div>
            <w:div w:id="586766295">
              <w:marLeft w:val="0"/>
              <w:marRight w:val="0"/>
              <w:marTop w:val="0"/>
              <w:marBottom w:val="0"/>
              <w:divBdr>
                <w:top w:val="none" w:sz="0" w:space="0" w:color="auto"/>
                <w:left w:val="none" w:sz="0" w:space="0" w:color="auto"/>
                <w:bottom w:val="none" w:sz="0" w:space="0" w:color="auto"/>
                <w:right w:val="none" w:sz="0" w:space="0" w:color="auto"/>
              </w:divBdr>
            </w:div>
            <w:div w:id="2030796544">
              <w:marLeft w:val="0"/>
              <w:marRight w:val="0"/>
              <w:marTop w:val="0"/>
              <w:marBottom w:val="0"/>
              <w:divBdr>
                <w:top w:val="none" w:sz="0" w:space="0" w:color="auto"/>
                <w:left w:val="none" w:sz="0" w:space="0" w:color="auto"/>
                <w:bottom w:val="none" w:sz="0" w:space="0" w:color="auto"/>
                <w:right w:val="none" w:sz="0" w:space="0" w:color="auto"/>
              </w:divBdr>
            </w:div>
            <w:div w:id="1672752198">
              <w:marLeft w:val="0"/>
              <w:marRight w:val="0"/>
              <w:marTop w:val="0"/>
              <w:marBottom w:val="0"/>
              <w:divBdr>
                <w:top w:val="none" w:sz="0" w:space="0" w:color="auto"/>
                <w:left w:val="none" w:sz="0" w:space="0" w:color="auto"/>
                <w:bottom w:val="none" w:sz="0" w:space="0" w:color="auto"/>
                <w:right w:val="none" w:sz="0" w:space="0" w:color="auto"/>
              </w:divBdr>
            </w:div>
            <w:div w:id="193739826">
              <w:marLeft w:val="0"/>
              <w:marRight w:val="0"/>
              <w:marTop w:val="0"/>
              <w:marBottom w:val="0"/>
              <w:divBdr>
                <w:top w:val="none" w:sz="0" w:space="0" w:color="auto"/>
                <w:left w:val="none" w:sz="0" w:space="0" w:color="auto"/>
                <w:bottom w:val="none" w:sz="0" w:space="0" w:color="auto"/>
                <w:right w:val="none" w:sz="0" w:space="0" w:color="auto"/>
              </w:divBdr>
            </w:div>
            <w:div w:id="1583296718">
              <w:marLeft w:val="0"/>
              <w:marRight w:val="0"/>
              <w:marTop w:val="0"/>
              <w:marBottom w:val="0"/>
              <w:divBdr>
                <w:top w:val="none" w:sz="0" w:space="0" w:color="auto"/>
                <w:left w:val="none" w:sz="0" w:space="0" w:color="auto"/>
                <w:bottom w:val="none" w:sz="0" w:space="0" w:color="auto"/>
                <w:right w:val="none" w:sz="0" w:space="0" w:color="auto"/>
              </w:divBdr>
            </w:div>
            <w:div w:id="1535922452">
              <w:marLeft w:val="0"/>
              <w:marRight w:val="0"/>
              <w:marTop w:val="0"/>
              <w:marBottom w:val="0"/>
              <w:divBdr>
                <w:top w:val="none" w:sz="0" w:space="0" w:color="auto"/>
                <w:left w:val="none" w:sz="0" w:space="0" w:color="auto"/>
                <w:bottom w:val="none" w:sz="0" w:space="0" w:color="auto"/>
                <w:right w:val="none" w:sz="0" w:space="0" w:color="auto"/>
              </w:divBdr>
            </w:div>
            <w:div w:id="45222653">
              <w:marLeft w:val="0"/>
              <w:marRight w:val="0"/>
              <w:marTop w:val="0"/>
              <w:marBottom w:val="0"/>
              <w:divBdr>
                <w:top w:val="none" w:sz="0" w:space="0" w:color="auto"/>
                <w:left w:val="none" w:sz="0" w:space="0" w:color="auto"/>
                <w:bottom w:val="none" w:sz="0" w:space="0" w:color="auto"/>
                <w:right w:val="none" w:sz="0" w:space="0" w:color="auto"/>
              </w:divBdr>
            </w:div>
            <w:div w:id="604121873">
              <w:marLeft w:val="0"/>
              <w:marRight w:val="0"/>
              <w:marTop w:val="0"/>
              <w:marBottom w:val="0"/>
              <w:divBdr>
                <w:top w:val="none" w:sz="0" w:space="0" w:color="auto"/>
                <w:left w:val="none" w:sz="0" w:space="0" w:color="auto"/>
                <w:bottom w:val="none" w:sz="0" w:space="0" w:color="auto"/>
                <w:right w:val="none" w:sz="0" w:space="0" w:color="auto"/>
              </w:divBdr>
            </w:div>
            <w:div w:id="1212032530">
              <w:marLeft w:val="0"/>
              <w:marRight w:val="0"/>
              <w:marTop w:val="0"/>
              <w:marBottom w:val="0"/>
              <w:divBdr>
                <w:top w:val="none" w:sz="0" w:space="0" w:color="auto"/>
                <w:left w:val="none" w:sz="0" w:space="0" w:color="auto"/>
                <w:bottom w:val="none" w:sz="0" w:space="0" w:color="auto"/>
                <w:right w:val="none" w:sz="0" w:space="0" w:color="auto"/>
              </w:divBdr>
            </w:div>
            <w:div w:id="34739529">
              <w:marLeft w:val="0"/>
              <w:marRight w:val="0"/>
              <w:marTop w:val="0"/>
              <w:marBottom w:val="0"/>
              <w:divBdr>
                <w:top w:val="none" w:sz="0" w:space="0" w:color="auto"/>
                <w:left w:val="none" w:sz="0" w:space="0" w:color="auto"/>
                <w:bottom w:val="none" w:sz="0" w:space="0" w:color="auto"/>
                <w:right w:val="none" w:sz="0" w:space="0" w:color="auto"/>
              </w:divBdr>
            </w:div>
            <w:div w:id="779371524">
              <w:marLeft w:val="0"/>
              <w:marRight w:val="0"/>
              <w:marTop w:val="0"/>
              <w:marBottom w:val="0"/>
              <w:divBdr>
                <w:top w:val="none" w:sz="0" w:space="0" w:color="auto"/>
                <w:left w:val="none" w:sz="0" w:space="0" w:color="auto"/>
                <w:bottom w:val="none" w:sz="0" w:space="0" w:color="auto"/>
                <w:right w:val="none" w:sz="0" w:space="0" w:color="auto"/>
              </w:divBdr>
            </w:div>
            <w:div w:id="1683125463">
              <w:marLeft w:val="0"/>
              <w:marRight w:val="0"/>
              <w:marTop w:val="0"/>
              <w:marBottom w:val="0"/>
              <w:divBdr>
                <w:top w:val="none" w:sz="0" w:space="0" w:color="auto"/>
                <w:left w:val="none" w:sz="0" w:space="0" w:color="auto"/>
                <w:bottom w:val="none" w:sz="0" w:space="0" w:color="auto"/>
                <w:right w:val="none" w:sz="0" w:space="0" w:color="auto"/>
              </w:divBdr>
            </w:div>
            <w:div w:id="2130584833">
              <w:marLeft w:val="0"/>
              <w:marRight w:val="0"/>
              <w:marTop w:val="0"/>
              <w:marBottom w:val="0"/>
              <w:divBdr>
                <w:top w:val="none" w:sz="0" w:space="0" w:color="auto"/>
                <w:left w:val="none" w:sz="0" w:space="0" w:color="auto"/>
                <w:bottom w:val="none" w:sz="0" w:space="0" w:color="auto"/>
                <w:right w:val="none" w:sz="0" w:space="0" w:color="auto"/>
              </w:divBdr>
            </w:div>
            <w:div w:id="486361662">
              <w:marLeft w:val="0"/>
              <w:marRight w:val="0"/>
              <w:marTop w:val="0"/>
              <w:marBottom w:val="0"/>
              <w:divBdr>
                <w:top w:val="none" w:sz="0" w:space="0" w:color="auto"/>
                <w:left w:val="none" w:sz="0" w:space="0" w:color="auto"/>
                <w:bottom w:val="none" w:sz="0" w:space="0" w:color="auto"/>
                <w:right w:val="none" w:sz="0" w:space="0" w:color="auto"/>
              </w:divBdr>
            </w:div>
            <w:div w:id="1239245934">
              <w:marLeft w:val="0"/>
              <w:marRight w:val="0"/>
              <w:marTop w:val="0"/>
              <w:marBottom w:val="0"/>
              <w:divBdr>
                <w:top w:val="none" w:sz="0" w:space="0" w:color="auto"/>
                <w:left w:val="none" w:sz="0" w:space="0" w:color="auto"/>
                <w:bottom w:val="none" w:sz="0" w:space="0" w:color="auto"/>
                <w:right w:val="none" w:sz="0" w:space="0" w:color="auto"/>
              </w:divBdr>
            </w:div>
            <w:div w:id="108473234">
              <w:marLeft w:val="0"/>
              <w:marRight w:val="0"/>
              <w:marTop w:val="0"/>
              <w:marBottom w:val="0"/>
              <w:divBdr>
                <w:top w:val="none" w:sz="0" w:space="0" w:color="auto"/>
                <w:left w:val="none" w:sz="0" w:space="0" w:color="auto"/>
                <w:bottom w:val="none" w:sz="0" w:space="0" w:color="auto"/>
                <w:right w:val="none" w:sz="0" w:space="0" w:color="auto"/>
              </w:divBdr>
            </w:div>
            <w:div w:id="274218234">
              <w:marLeft w:val="0"/>
              <w:marRight w:val="0"/>
              <w:marTop w:val="0"/>
              <w:marBottom w:val="0"/>
              <w:divBdr>
                <w:top w:val="none" w:sz="0" w:space="0" w:color="auto"/>
                <w:left w:val="none" w:sz="0" w:space="0" w:color="auto"/>
                <w:bottom w:val="none" w:sz="0" w:space="0" w:color="auto"/>
                <w:right w:val="none" w:sz="0" w:space="0" w:color="auto"/>
              </w:divBdr>
            </w:div>
            <w:div w:id="42488304">
              <w:marLeft w:val="0"/>
              <w:marRight w:val="0"/>
              <w:marTop w:val="0"/>
              <w:marBottom w:val="0"/>
              <w:divBdr>
                <w:top w:val="none" w:sz="0" w:space="0" w:color="auto"/>
                <w:left w:val="none" w:sz="0" w:space="0" w:color="auto"/>
                <w:bottom w:val="none" w:sz="0" w:space="0" w:color="auto"/>
                <w:right w:val="none" w:sz="0" w:space="0" w:color="auto"/>
              </w:divBdr>
            </w:div>
            <w:div w:id="1091387133">
              <w:marLeft w:val="0"/>
              <w:marRight w:val="0"/>
              <w:marTop w:val="0"/>
              <w:marBottom w:val="0"/>
              <w:divBdr>
                <w:top w:val="none" w:sz="0" w:space="0" w:color="auto"/>
                <w:left w:val="none" w:sz="0" w:space="0" w:color="auto"/>
                <w:bottom w:val="none" w:sz="0" w:space="0" w:color="auto"/>
                <w:right w:val="none" w:sz="0" w:space="0" w:color="auto"/>
              </w:divBdr>
            </w:div>
            <w:div w:id="1030767023">
              <w:marLeft w:val="0"/>
              <w:marRight w:val="0"/>
              <w:marTop w:val="0"/>
              <w:marBottom w:val="0"/>
              <w:divBdr>
                <w:top w:val="none" w:sz="0" w:space="0" w:color="auto"/>
                <w:left w:val="none" w:sz="0" w:space="0" w:color="auto"/>
                <w:bottom w:val="none" w:sz="0" w:space="0" w:color="auto"/>
                <w:right w:val="none" w:sz="0" w:space="0" w:color="auto"/>
              </w:divBdr>
            </w:div>
            <w:div w:id="548614239">
              <w:marLeft w:val="0"/>
              <w:marRight w:val="0"/>
              <w:marTop w:val="0"/>
              <w:marBottom w:val="0"/>
              <w:divBdr>
                <w:top w:val="none" w:sz="0" w:space="0" w:color="auto"/>
                <w:left w:val="none" w:sz="0" w:space="0" w:color="auto"/>
                <w:bottom w:val="none" w:sz="0" w:space="0" w:color="auto"/>
                <w:right w:val="none" w:sz="0" w:space="0" w:color="auto"/>
              </w:divBdr>
            </w:div>
            <w:div w:id="1362633099">
              <w:marLeft w:val="0"/>
              <w:marRight w:val="0"/>
              <w:marTop w:val="0"/>
              <w:marBottom w:val="0"/>
              <w:divBdr>
                <w:top w:val="none" w:sz="0" w:space="0" w:color="auto"/>
                <w:left w:val="none" w:sz="0" w:space="0" w:color="auto"/>
                <w:bottom w:val="none" w:sz="0" w:space="0" w:color="auto"/>
                <w:right w:val="none" w:sz="0" w:space="0" w:color="auto"/>
              </w:divBdr>
            </w:div>
            <w:div w:id="1580359337">
              <w:marLeft w:val="0"/>
              <w:marRight w:val="0"/>
              <w:marTop w:val="0"/>
              <w:marBottom w:val="0"/>
              <w:divBdr>
                <w:top w:val="none" w:sz="0" w:space="0" w:color="auto"/>
                <w:left w:val="none" w:sz="0" w:space="0" w:color="auto"/>
                <w:bottom w:val="none" w:sz="0" w:space="0" w:color="auto"/>
                <w:right w:val="none" w:sz="0" w:space="0" w:color="auto"/>
              </w:divBdr>
            </w:div>
            <w:div w:id="1011449559">
              <w:marLeft w:val="0"/>
              <w:marRight w:val="0"/>
              <w:marTop w:val="0"/>
              <w:marBottom w:val="0"/>
              <w:divBdr>
                <w:top w:val="none" w:sz="0" w:space="0" w:color="auto"/>
                <w:left w:val="none" w:sz="0" w:space="0" w:color="auto"/>
                <w:bottom w:val="none" w:sz="0" w:space="0" w:color="auto"/>
                <w:right w:val="none" w:sz="0" w:space="0" w:color="auto"/>
              </w:divBdr>
            </w:div>
            <w:div w:id="763845374">
              <w:marLeft w:val="0"/>
              <w:marRight w:val="0"/>
              <w:marTop w:val="0"/>
              <w:marBottom w:val="0"/>
              <w:divBdr>
                <w:top w:val="none" w:sz="0" w:space="0" w:color="auto"/>
                <w:left w:val="none" w:sz="0" w:space="0" w:color="auto"/>
                <w:bottom w:val="none" w:sz="0" w:space="0" w:color="auto"/>
                <w:right w:val="none" w:sz="0" w:space="0" w:color="auto"/>
              </w:divBdr>
            </w:div>
            <w:div w:id="672880048">
              <w:marLeft w:val="0"/>
              <w:marRight w:val="0"/>
              <w:marTop w:val="0"/>
              <w:marBottom w:val="0"/>
              <w:divBdr>
                <w:top w:val="none" w:sz="0" w:space="0" w:color="auto"/>
                <w:left w:val="none" w:sz="0" w:space="0" w:color="auto"/>
                <w:bottom w:val="none" w:sz="0" w:space="0" w:color="auto"/>
                <w:right w:val="none" w:sz="0" w:space="0" w:color="auto"/>
              </w:divBdr>
            </w:div>
            <w:div w:id="182283187">
              <w:marLeft w:val="0"/>
              <w:marRight w:val="0"/>
              <w:marTop w:val="0"/>
              <w:marBottom w:val="0"/>
              <w:divBdr>
                <w:top w:val="none" w:sz="0" w:space="0" w:color="auto"/>
                <w:left w:val="none" w:sz="0" w:space="0" w:color="auto"/>
                <w:bottom w:val="none" w:sz="0" w:space="0" w:color="auto"/>
                <w:right w:val="none" w:sz="0" w:space="0" w:color="auto"/>
              </w:divBdr>
            </w:div>
            <w:div w:id="1565870712">
              <w:marLeft w:val="0"/>
              <w:marRight w:val="0"/>
              <w:marTop w:val="0"/>
              <w:marBottom w:val="0"/>
              <w:divBdr>
                <w:top w:val="none" w:sz="0" w:space="0" w:color="auto"/>
                <w:left w:val="none" w:sz="0" w:space="0" w:color="auto"/>
                <w:bottom w:val="none" w:sz="0" w:space="0" w:color="auto"/>
                <w:right w:val="none" w:sz="0" w:space="0" w:color="auto"/>
              </w:divBdr>
            </w:div>
            <w:div w:id="893538459">
              <w:marLeft w:val="0"/>
              <w:marRight w:val="0"/>
              <w:marTop w:val="0"/>
              <w:marBottom w:val="0"/>
              <w:divBdr>
                <w:top w:val="none" w:sz="0" w:space="0" w:color="auto"/>
                <w:left w:val="none" w:sz="0" w:space="0" w:color="auto"/>
                <w:bottom w:val="none" w:sz="0" w:space="0" w:color="auto"/>
                <w:right w:val="none" w:sz="0" w:space="0" w:color="auto"/>
              </w:divBdr>
            </w:div>
            <w:div w:id="1660618821">
              <w:marLeft w:val="0"/>
              <w:marRight w:val="0"/>
              <w:marTop w:val="0"/>
              <w:marBottom w:val="0"/>
              <w:divBdr>
                <w:top w:val="none" w:sz="0" w:space="0" w:color="auto"/>
                <w:left w:val="none" w:sz="0" w:space="0" w:color="auto"/>
                <w:bottom w:val="none" w:sz="0" w:space="0" w:color="auto"/>
                <w:right w:val="none" w:sz="0" w:space="0" w:color="auto"/>
              </w:divBdr>
            </w:div>
            <w:div w:id="666710516">
              <w:marLeft w:val="0"/>
              <w:marRight w:val="0"/>
              <w:marTop w:val="0"/>
              <w:marBottom w:val="0"/>
              <w:divBdr>
                <w:top w:val="none" w:sz="0" w:space="0" w:color="auto"/>
                <w:left w:val="none" w:sz="0" w:space="0" w:color="auto"/>
                <w:bottom w:val="none" w:sz="0" w:space="0" w:color="auto"/>
                <w:right w:val="none" w:sz="0" w:space="0" w:color="auto"/>
              </w:divBdr>
            </w:div>
            <w:div w:id="2125079810">
              <w:marLeft w:val="0"/>
              <w:marRight w:val="0"/>
              <w:marTop w:val="0"/>
              <w:marBottom w:val="0"/>
              <w:divBdr>
                <w:top w:val="none" w:sz="0" w:space="0" w:color="auto"/>
                <w:left w:val="none" w:sz="0" w:space="0" w:color="auto"/>
                <w:bottom w:val="none" w:sz="0" w:space="0" w:color="auto"/>
                <w:right w:val="none" w:sz="0" w:space="0" w:color="auto"/>
              </w:divBdr>
            </w:div>
            <w:div w:id="73164714">
              <w:marLeft w:val="0"/>
              <w:marRight w:val="0"/>
              <w:marTop w:val="0"/>
              <w:marBottom w:val="0"/>
              <w:divBdr>
                <w:top w:val="none" w:sz="0" w:space="0" w:color="auto"/>
                <w:left w:val="none" w:sz="0" w:space="0" w:color="auto"/>
                <w:bottom w:val="none" w:sz="0" w:space="0" w:color="auto"/>
                <w:right w:val="none" w:sz="0" w:space="0" w:color="auto"/>
              </w:divBdr>
            </w:div>
            <w:div w:id="1866942031">
              <w:marLeft w:val="0"/>
              <w:marRight w:val="0"/>
              <w:marTop w:val="0"/>
              <w:marBottom w:val="0"/>
              <w:divBdr>
                <w:top w:val="none" w:sz="0" w:space="0" w:color="auto"/>
                <w:left w:val="none" w:sz="0" w:space="0" w:color="auto"/>
                <w:bottom w:val="none" w:sz="0" w:space="0" w:color="auto"/>
                <w:right w:val="none" w:sz="0" w:space="0" w:color="auto"/>
              </w:divBdr>
            </w:div>
            <w:div w:id="1757244355">
              <w:marLeft w:val="0"/>
              <w:marRight w:val="0"/>
              <w:marTop w:val="0"/>
              <w:marBottom w:val="0"/>
              <w:divBdr>
                <w:top w:val="none" w:sz="0" w:space="0" w:color="auto"/>
                <w:left w:val="none" w:sz="0" w:space="0" w:color="auto"/>
                <w:bottom w:val="none" w:sz="0" w:space="0" w:color="auto"/>
                <w:right w:val="none" w:sz="0" w:space="0" w:color="auto"/>
              </w:divBdr>
            </w:div>
            <w:div w:id="1032463954">
              <w:marLeft w:val="0"/>
              <w:marRight w:val="0"/>
              <w:marTop w:val="0"/>
              <w:marBottom w:val="0"/>
              <w:divBdr>
                <w:top w:val="none" w:sz="0" w:space="0" w:color="auto"/>
                <w:left w:val="none" w:sz="0" w:space="0" w:color="auto"/>
                <w:bottom w:val="none" w:sz="0" w:space="0" w:color="auto"/>
                <w:right w:val="none" w:sz="0" w:space="0" w:color="auto"/>
              </w:divBdr>
            </w:div>
            <w:div w:id="1187864578">
              <w:marLeft w:val="0"/>
              <w:marRight w:val="0"/>
              <w:marTop w:val="0"/>
              <w:marBottom w:val="0"/>
              <w:divBdr>
                <w:top w:val="none" w:sz="0" w:space="0" w:color="auto"/>
                <w:left w:val="none" w:sz="0" w:space="0" w:color="auto"/>
                <w:bottom w:val="none" w:sz="0" w:space="0" w:color="auto"/>
                <w:right w:val="none" w:sz="0" w:space="0" w:color="auto"/>
              </w:divBdr>
            </w:div>
            <w:div w:id="160237860">
              <w:marLeft w:val="0"/>
              <w:marRight w:val="0"/>
              <w:marTop w:val="0"/>
              <w:marBottom w:val="0"/>
              <w:divBdr>
                <w:top w:val="none" w:sz="0" w:space="0" w:color="auto"/>
                <w:left w:val="none" w:sz="0" w:space="0" w:color="auto"/>
                <w:bottom w:val="none" w:sz="0" w:space="0" w:color="auto"/>
                <w:right w:val="none" w:sz="0" w:space="0" w:color="auto"/>
              </w:divBdr>
            </w:div>
            <w:div w:id="855382208">
              <w:marLeft w:val="0"/>
              <w:marRight w:val="0"/>
              <w:marTop w:val="0"/>
              <w:marBottom w:val="0"/>
              <w:divBdr>
                <w:top w:val="none" w:sz="0" w:space="0" w:color="auto"/>
                <w:left w:val="none" w:sz="0" w:space="0" w:color="auto"/>
                <w:bottom w:val="none" w:sz="0" w:space="0" w:color="auto"/>
                <w:right w:val="none" w:sz="0" w:space="0" w:color="auto"/>
              </w:divBdr>
            </w:div>
            <w:div w:id="1317800267">
              <w:marLeft w:val="0"/>
              <w:marRight w:val="0"/>
              <w:marTop w:val="0"/>
              <w:marBottom w:val="0"/>
              <w:divBdr>
                <w:top w:val="none" w:sz="0" w:space="0" w:color="auto"/>
                <w:left w:val="none" w:sz="0" w:space="0" w:color="auto"/>
                <w:bottom w:val="none" w:sz="0" w:space="0" w:color="auto"/>
                <w:right w:val="none" w:sz="0" w:space="0" w:color="auto"/>
              </w:divBdr>
            </w:div>
            <w:div w:id="218521655">
              <w:marLeft w:val="0"/>
              <w:marRight w:val="0"/>
              <w:marTop w:val="0"/>
              <w:marBottom w:val="0"/>
              <w:divBdr>
                <w:top w:val="none" w:sz="0" w:space="0" w:color="auto"/>
                <w:left w:val="none" w:sz="0" w:space="0" w:color="auto"/>
                <w:bottom w:val="none" w:sz="0" w:space="0" w:color="auto"/>
                <w:right w:val="none" w:sz="0" w:space="0" w:color="auto"/>
              </w:divBdr>
            </w:div>
            <w:div w:id="498425064">
              <w:marLeft w:val="0"/>
              <w:marRight w:val="0"/>
              <w:marTop w:val="0"/>
              <w:marBottom w:val="0"/>
              <w:divBdr>
                <w:top w:val="none" w:sz="0" w:space="0" w:color="auto"/>
                <w:left w:val="none" w:sz="0" w:space="0" w:color="auto"/>
                <w:bottom w:val="none" w:sz="0" w:space="0" w:color="auto"/>
                <w:right w:val="none" w:sz="0" w:space="0" w:color="auto"/>
              </w:divBdr>
            </w:div>
            <w:div w:id="1959413091">
              <w:marLeft w:val="0"/>
              <w:marRight w:val="0"/>
              <w:marTop w:val="0"/>
              <w:marBottom w:val="0"/>
              <w:divBdr>
                <w:top w:val="none" w:sz="0" w:space="0" w:color="auto"/>
                <w:left w:val="none" w:sz="0" w:space="0" w:color="auto"/>
                <w:bottom w:val="none" w:sz="0" w:space="0" w:color="auto"/>
                <w:right w:val="none" w:sz="0" w:space="0" w:color="auto"/>
              </w:divBdr>
            </w:div>
            <w:div w:id="1368605619">
              <w:marLeft w:val="0"/>
              <w:marRight w:val="0"/>
              <w:marTop w:val="0"/>
              <w:marBottom w:val="0"/>
              <w:divBdr>
                <w:top w:val="none" w:sz="0" w:space="0" w:color="auto"/>
                <w:left w:val="none" w:sz="0" w:space="0" w:color="auto"/>
                <w:bottom w:val="none" w:sz="0" w:space="0" w:color="auto"/>
                <w:right w:val="none" w:sz="0" w:space="0" w:color="auto"/>
              </w:divBdr>
            </w:div>
            <w:div w:id="1041129683">
              <w:marLeft w:val="0"/>
              <w:marRight w:val="0"/>
              <w:marTop w:val="0"/>
              <w:marBottom w:val="0"/>
              <w:divBdr>
                <w:top w:val="none" w:sz="0" w:space="0" w:color="auto"/>
                <w:left w:val="none" w:sz="0" w:space="0" w:color="auto"/>
                <w:bottom w:val="none" w:sz="0" w:space="0" w:color="auto"/>
                <w:right w:val="none" w:sz="0" w:space="0" w:color="auto"/>
              </w:divBdr>
            </w:div>
            <w:div w:id="1093740197">
              <w:marLeft w:val="0"/>
              <w:marRight w:val="0"/>
              <w:marTop w:val="0"/>
              <w:marBottom w:val="0"/>
              <w:divBdr>
                <w:top w:val="none" w:sz="0" w:space="0" w:color="auto"/>
                <w:left w:val="none" w:sz="0" w:space="0" w:color="auto"/>
                <w:bottom w:val="none" w:sz="0" w:space="0" w:color="auto"/>
                <w:right w:val="none" w:sz="0" w:space="0" w:color="auto"/>
              </w:divBdr>
            </w:div>
            <w:div w:id="929390253">
              <w:marLeft w:val="0"/>
              <w:marRight w:val="0"/>
              <w:marTop w:val="0"/>
              <w:marBottom w:val="0"/>
              <w:divBdr>
                <w:top w:val="none" w:sz="0" w:space="0" w:color="auto"/>
                <w:left w:val="none" w:sz="0" w:space="0" w:color="auto"/>
                <w:bottom w:val="none" w:sz="0" w:space="0" w:color="auto"/>
                <w:right w:val="none" w:sz="0" w:space="0" w:color="auto"/>
              </w:divBdr>
            </w:div>
          </w:divsChild>
        </w:div>
        <w:div w:id="1152797876">
          <w:marLeft w:val="0"/>
          <w:marRight w:val="0"/>
          <w:marTop w:val="0"/>
          <w:marBottom w:val="0"/>
          <w:divBdr>
            <w:top w:val="none" w:sz="0" w:space="0" w:color="auto"/>
            <w:left w:val="none" w:sz="0" w:space="0" w:color="auto"/>
            <w:bottom w:val="none" w:sz="0" w:space="0" w:color="auto"/>
            <w:right w:val="none" w:sz="0" w:space="0" w:color="auto"/>
          </w:divBdr>
        </w:div>
      </w:divsChild>
    </w:div>
    <w:div w:id="1894001270">
      <w:bodyDiv w:val="1"/>
      <w:marLeft w:val="0"/>
      <w:marRight w:val="0"/>
      <w:marTop w:val="0"/>
      <w:marBottom w:val="0"/>
      <w:divBdr>
        <w:top w:val="none" w:sz="0" w:space="0" w:color="auto"/>
        <w:left w:val="none" w:sz="0" w:space="0" w:color="auto"/>
        <w:bottom w:val="none" w:sz="0" w:space="0" w:color="auto"/>
        <w:right w:val="none" w:sz="0" w:space="0" w:color="auto"/>
      </w:divBdr>
      <w:divsChild>
        <w:div w:id="604581040">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22-006X.51.3.390" TargetMode="External"/><Relationship Id="rId13" Type="http://schemas.openxmlformats.org/officeDocument/2006/relationships/hyperlink" Target="https://www.legislation.gov.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21/17/part/1/enacted" TargetMode="External"/><Relationship Id="rId12" Type="http://schemas.openxmlformats.org/officeDocument/2006/relationships/hyperlink" Target="https://help.visionhealth.co.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afeguarding.wales/" TargetMode="External"/><Relationship Id="rId5" Type="http://schemas.openxmlformats.org/officeDocument/2006/relationships/footnotes" Target="footnotes.xml"/><Relationship Id="rId15" Type="http://schemas.openxmlformats.org/officeDocument/2006/relationships/hyperlink" Target="https://www.gov.wales/working-together-safeguard-people" TargetMode="External"/><Relationship Id="rId10" Type="http://schemas.openxmlformats.org/officeDocument/2006/relationships/hyperlink" Target="https://doi.org/10.1111/0735-2751.00089" TargetMode="External"/><Relationship Id="rId4" Type="http://schemas.openxmlformats.org/officeDocument/2006/relationships/webSettings" Target="webSettings.xml"/><Relationship Id="rId9" Type="http://schemas.openxmlformats.org/officeDocument/2006/relationships/hyperlink" Target="https://olderpeople.wales/wp-content/uploads/2023/08/Improving-support-and-services-for-older-men-experiencing-domestic-abuse-Update-Report.pdf" TargetMode="External"/><Relationship Id="rId14" Type="http://schemas.openxmlformats.org/officeDocument/2006/relationships/hyperlink" Target="https://www.gov.wales/sites/default/files/publications/2025-05/04-cafcass-cymru-domestic-abuse-guidance-gender-abus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4965</Words>
  <Characters>28303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33202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Tomiak (BCUHB - Adult Mental Health &amp; Social Care)</dc:creator>
  <cp:keywords/>
  <dc:description/>
  <cp:lastModifiedBy>Lydia</cp:lastModifiedBy>
  <cp:revision>2</cp:revision>
  <dcterms:created xsi:type="dcterms:W3CDTF">2026-07-16T09:31:00Z</dcterms:created>
  <dcterms:modified xsi:type="dcterms:W3CDTF">2026-07-16T09:31:00Z</dcterms:modified>
</cp:coreProperties>
</file>