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072E" w:rsidRPr="00137A0C" w:rsidRDefault="00137A0C">
      <w:pPr>
        <w:rPr>
          <w:b/>
        </w:rPr>
      </w:pPr>
      <w:r w:rsidRPr="00137A0C">
        <w:rPr>
          <w:b/>
        </w:rPr>
        <w:t>Risk Management</w:t>
      </w:r>
    </w:p>
    <w:p w:rsidR="00137A0C" w:rsidRPr="00137A0C" w:rsidRDefault="006036C3" w:rsidP="00137A0C">
      <w:pPr>
        <w:pStyle w:val="body"/>
        <w:numPr>
          <w:ilvl w:val="0"/>
          <w:numId w:val="1"/>
        </w:numPr>
        <w:rPr>
          <w:rFonts w:asciiTheme="minorHAnsi" w:hAnsiTheme="minorHAnsi"/>
          <w:i/>
          <w:szCs w:val="22"/>
        </w:rPr>
      </w:pPr>
      <w:r>
        <w:rPr>
          <w:rFonts w:asciiTheme="minorHAnsi" w:hAnsiTheme="minorHAnsi"/>
          <w:i/>
          <w:szCs w:val="22"/>
        </w:rPr>
        <w:t>The Splash</w:t>
      </w:r>
      <w:r w:rsidR="00137A0C" w:rsidRPr="00137A0C">
        <w:rPr>
          <w:rFonts w:asciiTheme="minorHAnsi" w:hAnsiTheme="minorHAnsi"/>
          <w:i/>
          <w:szCs w:val="22"/>
        </w:rPr>
        <w:t xml:space="preserve"> Holiday Company specializes in the provision of holidays which involve water sports of various types. There are three major divisions with the following lines of business:</w:t>
      </w:r>
    </w:p>
    <w:p w:rsidR="00137A0C" w:rsidRPr="00137A0C" w:rsidRDefault="00137A0C" w:rsidP="00137A0C">
      <w:pPr>
        <w:pStyle w:val="body"/>
        <w:ind w:firstLine="0"/>
        <w:rPr>
          <w:rFonts w:asciiTheme="minorHAnsi" w:hAnsiTheme="minorHAnsi"/>
          <w:i/>
          <w:szCs w:val="22"/>
        </w:rPr>
      </w:pPr>
    </w:p>
    <w:p w:rsidR="00137A0C" w:rsidRPr="00137A0C" w:rsidRDefault="00137A0C" w:rsidP="00137A0C">
      <w:pPr>
        <w:pStyle w:val="body"/>
        <w:numPr>
          <w:ilvl w:val="0"/>
          <w:numId w:val="2"/>
        </w:numPr>
        <w:rPr>
          <w:rFonts w:asciiTheme="minorHAnsi" w:hAnsiTheme="minorHAnsi"/>
          <w:i/>
          <w:szCs w:val="22"/>
        </w:rPr>
      </w:pPr>
      <w:r w:rsidRPr="00137A0C">
        <w:rPr>
          <w:rFonts w:asciiTheme="minorHAnsi" w:hAnsiTheme="minorHAnsi"/>
          <w:i/>
          <w:szCs w:val="22"/>
        </w:rPr>
        <w:t>boat holidays on canals</w:t>
      </w:r>
    </w:p>
    <w:p w:rsidR="00137A0C" w:rsidRPr="00137A0C" w:rsidRDefault="00137A0C" w:rsidP="00137A0C">
      <w:pPr>
        <w:pStyle w:val="body"/>
        <w:numPr>
          <w:ilvl w:val="0"/>
          <w:numId w:val="2"/>
        </w:numPr>
        <w:rPr>
          <w:rFonts w:asciiTheme="minorHAnsi" w:hAnsiTheme="minorHAnsi"/>
          <w:i/>
          <w:szCs w:val="22"/>
        </w:rPr>
      </w:pPr>
      <w:r w:rsidRPr="00137A0C">
        <w:rPr>
          <w:rFonts w:asciiTheme="minorHAnsi" w:hAnsiTheme="minorHAnsi"/>
          <w:i/>
          <w:szCs w:val="22"/>
        </w:rPr>
        <w:t xml:space="preserve">villa holidays in various parts of the </w:t>
      </w:r>
      <w:smartTag w:uri="urn:schemas-microsoft-com:office:smarttags" w:element="place">
        <w:r w:rsidRPr="00137A0C">
          <w:rPr>
            <w:rFonts w:asciiTheme="minorHAnsi" w:hAnsiTheme="minorHAnsi"/>
            <w:i/>
            <w:szCs w:val="22"/>
          </w:rPr>
          <w:t>Mediterranean</w:t>
        </w:r>
      </w:smartTag>
      <w:r w:rsidRPr="00137A0C">
        <w:rPr>
          <w:rFonts w:asciiTheme="minorHAnsi" w:hAnsiTheme="minorHAnsi"/>
          <w:i/>
          <w:szCs w:val="22"/>
        </w:rPr>
        <w:t xml:space="preserve"> which involve sailing in some way</w:t>
      </w:r>
    </w:p>
    <w:p w:rsidR="00137A0C" w:rsidRPr="00137A0C" w:rsidRDefault="00137A0C" w:rsidP="00137A0C">
      <w:pPr>
        <w:pStyle w:val="body"/>
        <w:numPr>
          <w:ilvl w:val="0"/>
          <w:numId w:val="2"/>
        </w:numPr>
        <w:rPr>
          <w:rFonts w:asciiTheme="minorHAnsi" w:hAnsiTheme="minorHAnsi"/>
          <w:i/>
          <w:szCs w:val="22"/>
        </w:rPr>
      </w:pPr>
      <w:r w:rsidRPr="00137A0C">
        <w:rPr>
          <w:rFonts w:asciiTheme="minorHAnsi" w:hAnsiTheme="minorHAnsi"/>
          <w:i/>
          <w:szCs w:val="22"/>
        </w:rPr>
        <w:t xml:space="preserve">canoeing holidays in </w:t>
      </w:r>
      <w:smartTag w:uri="urn:schemas-microsoft-com:office:smarttags" w:element="country-region">
        <w:smartTag w:uri="urn:schemas-microsoft-com:office:smarttags" w:element="place">
          <w:r w:rsidRPr="00137A0C">
            <w:rPr>
              <w:rFonts w:asciiTheme="minorHAnsi" w:hAnsiTheme="minorHAnsi"/>
              <w:i/>
              <w:szCs w:val="22"/>
            </w:rPr>
            <w:t>France</w:t>
          </w:r>
        </w:smartTag>
      </w:smartTag>
    </w:p>
    <w:p w:rsidR="00137A0C" w:rsidRPr="00137A0C" w:rsidRDefault="00137A0C" w:rsidP="00137A0C">
      <w:pPr>
        <w:pStyle w:val="body"/>
        <w:ind w:left="927" w:firstLine="0"/>
        <w:rPr>
          <w:rFonts w:asciiTheme="minorHAnsi" w:hAnsiTheme="minorHAnsi"/>
          <w:i/>
          <w:szCs w:val="22"/>
        </w:rPr>
      </w:pPr>
    </w:p>
    <w:p w:rsidR="00137A0C" w:rsidRPr="00137A0C" w:rsidRDefault="006036C3" w:rsidP="00137A0C">
      <w:pPr>
        <w:pStyle w:val="body"/>
        <w:ind w:left="567" w:firstLine="0"/>
        <w:rPr>
          <w:rFonts w:asciiTheme="minorHAnsi" w:hAnsiTheme="minorHAnsi"/>
          <w:i/>
          <w:szCs w:val="22"/>
        </w:rPr>
      </w:pPr>
      <w:r>
        <w:rPr>
          <w:rFonts w:asciiTheme="minorHAnsi" w:hAnsiTheme="minorHAnsi"/>
          <w:i/>
          <w:szCs w:val="22"/>
        </w:rPr>
        <w:t>Splash</w:t>
      </w:r>
      <w:r w:rsidR="00137A0C" w:rsidRPr="00137A0C">
        <w:rPr>
          <w:rFonts w:asciiTheme="minorHAnsi" w:hAnsiTheme="minorHAnsi"/>
          <w:i/>
          <w:szCs w:val="22"/>
        </w:rPr>
        <w:t xml:space="preserve"> Holiday</w:t>
      </w:r>
      <w:r>
        <w:rPr>
          <w:rFonts w:asciiTheme="minorHAnsi" w:hAnsiTheme="minorHAnsi"/>
          <w:i/>
          <w:szCs w:val="22"/>
        </w:rPr>
        <w:t>s</w:t>
      </w:r>
      <w:r w:rsidR="00137A0C" w:rsidRPr="00137A0C">
        <w:rPr>
          <w:rFonts w:asciiTheme="minorHAnsi" w:hAnsiTheme="minorHAnsi"/>
          <w:i/>
          <w:szCs w:val="22"/>
        </w:rPr>
        <w:t xml:space="preserve"> feel that they are particularly appealing to a young active market and that having the facility for customers to book via the web is essential. They call in IT consultants to advise them on their IT strategy. The consultants advise them that before they can have a web presence, they need to have a conventional IT-based booking system to support their telesales operation first. Because of the specialized nature of their business, an off-the-shelf application would not be suitable and that they would need to have a specially written software application, based on a client-server architecture. The top priority needs to be given for a system to support villa holiday bookings because this has the largest number of customers and generates the most revenue.</w:t>
      </w:r>
    </w:p>
    <w:p w:rsidR="00137A0C" w:rsidRPr="00137A0C" w:rsidRDefault="00137A0C" w:rsidP="00137A0C">
      <w:pPr>
        <w:pStyle w:val="body"/>
        <w:rPr>
          <w:rFonts w:asciiTheme="minorHAnsi" w:hAnsiTheme="minorHAnsi"/>
          <w:i/>
          <w:szCs w:val="22"/>
        </w:rPr>
      </w:pPr>
    </w:p>
    <w:p w:rsidR="00137A0C" w:rsidRPr="00137A0C" w:rsidRDefault="006036C3" w:rsidP="00137A0C">
      <w:pPr>
        <w:pStyle w:val="body"/>
        <w:ind w:left="567" w:firstLine="0"/>
        <w:rPr>
          <w:rFonts w:asciiTheme="minorHAnsi" w:hAnsiTheme="minorHAnsi"/>
          <w:i/>
          <w:szCs w:val="22"/>
        </w:rPr>
      </w:pPr>
      <w:r>
        <w:rPr>
          <w:rFonts w:asciiTheme="minorHAnsi" w:hAnsiTheme="minorHAnsi"/>
          <w:i/>
          <w:szCs w:val="22"/>
        </w:rPr>
        <w:t>Splash</w:t>
      </w:r>
      <w:r w:rsidR="00137A0C" w:rsidRPr="00137A0C">
        <w:rPr>
          <w:rFonts w:asciiTheme="minorHAnsi" w:hAnsiTheme="minorHAnsi"/>
          <w:i/>
          <w:szCs w:val="22"/>
        </w:rPr>
        <w:t xml:space="preserve"> Holiday</w:t>
      </w:r>
      <w:r>
        <w:rPr>
          <w:rFonts w:asciiTheme="minorHAnsi" w:hAnsiTheme="minorHAnsi"/>
          <w:i/>
          <w:szCs w:val="22"/>
        </w:rPr>
        <w:t>s</w:t>
      </w:r>
      <w:r w:rsidR="00137A0C" w:rsidRPr="00137A0C">
        <w:rPr>
          <w:rFonts w:asciiTheme="minorHAnsi" w:hAnsiTheme="minorHAnsi"/>
          <w:i/>
          <w:szCs w:val="22"/>
        </w:rPr>
        <w:t xml:space="preserve"> have some in-house IT development staff, but these are inexperienced in client server technology. To meet this short-fall, contractors are employed. </w:t>
      </w:r>
    </w:p>
    <w:p w:rsidR="00137A0C" w:rsidRPr="00137A0C" w:rsidRDefault="00137A0C" w:rsidP="00137A0C">
      <w:pPr>
        <w:pStyle w:val="body"/>
        <w:ind w:left="567" w:firstLine="0"/>
        <w:rPr>
          <w:rFonts w:asciiTheme="minorHAnsi" w:hAnsiTheme="minorHAnsi"/>
          <w:i/>
          <w:szCs w:val="22"/>
        </w:rPr>
      </w:pPr>
      <w:r w:rsidRPr="00137A0C">
        <w:rPr>
          <w:rFonts w:asciiTheme="minorHAnsi" w:hAnsiTheme="minorHAnsi"/>
          <w:i/>
          <w:szCs w:val="22"/>
        </w:rPr>
        <w:tab/>
        <w:t>It turns out that development takes much longer than planned. Much of this delay occurs at acceptance testing when the users find many errors and performance shortcomings, which require extensive rework. Part of the problem relates to getting the best performance out of the new architecture, which has a particular impact on response times which are initially unacceptable to staff who are dealing with customers over the phone. The contractors are not closely monitored and some of the code that they produce is found to have many careless mistakes and to be poorly structured and documented. This makes it difficult to make changes to the software after the contractors have left on the expiry of their contracts.</w:t>
      </w:r>
    </w:p>
    <w:p w:rsidR="00137A0C" w:rsidRPr="00137A0C" w:rsidRDefault="00137A0C" w:rsidP="00137A0C">
      <w:pPr>
        <w:pStyle w:val="body"/>
        <w:ind w:left="567" w:firstLine="0"/>
        <w:rPr>
          <w:rFonts w:asciiTheme="minorHAnsi" w:hAnsiTheme="minorHAnsi"/>
          <w:i/>
          <w:szCs w:val="22"/>
        </w:rPr>
      </w:pPr>
    </w:p>
    <w:p w:rsidR="00137A0C" w:rsidRPr="00137A0C" w:rsidRDefault="00137A0C" w:rsidP="00137A0C">
      <w:pPr>
        <w:pStyle w:val="body"/>
        <w:ind w:left="567" w:firstLine="0"/>
        <w:rPr>
          <w:rFonts w:asciiTheme="minorHAnsi" w:hAnsiTheme="minorHAnsi"/>
          <w:i/>
          <w:szCs w:val="22"/>
        </w:rPr>
      </w:pPr>
      <w:r w:rsidRPr="00137A0C">
        <w:rPr>
          <w:rFonts w:asciiTheme="minorHAnsi" w:hAnsiTheme="minorHAnsi"/>
          <w:i/>
          <w:szCs w:val="22"/>
        </w:rPr>
        <w:tab/>
        <w:t>The villa booking system can only be implemented at the beginning of a holiday season and the deadli</w:t>
      </w:r>
      <w:r w:rsidR="00F96F86">
        <w:rPr>
          <w:rFonts w:asciiTheme="minorHAnsi" w:hAnsiTheme="minorHAnsi"/>
          <w:i/>
          <w:szCs w:val="22"/>
        </w:rPr>
        <w:t>ne for the beginning of the 2019 to 2020</w:t>
      </w:r>
      <w:bookmarkStart w:id="0" w:name="_GoBack"/>
      <w:bookmarkEnd w:id="0"/>
      <w:r w:rsidRPr="00137A0C">
        <w:rPr>
          <w:rFonts w:asciiTheme="minorHAnsi" w:hAnsiTheme="minorHAnsi"/>
          <w:i/>
          <w:szCs w:val="22"/>
        </w:rPr>
        <w:t xml:space="preserve"> season is missed, leading to a 12 month delay in the implementation. The delay in implementation seems to encourage the users to ask for further modifications to the original requirements which adds even more to development costs.</w:t>
      </w:r>
    </w:p>
    <w:p w:rsidR="00137A0C" w:rsidRPr="00137A0C" w:rsidRDefault="00137A0C" w:rsidP="00137A0C">
      <w:pPr>
        <w:pStyle w:val="body"/>
        <w:rPr>
          <w:rFonts w:asciiTheme="minorHAnsi" w:hAnsiTheme="minorHAnsi"/>
          <w:i/>
          <w:szCs w:val="22"/>
        </w:rPr>
      </w:pPr>
    </w:p>
    <w:p w:rsidR="00137A0C" w:rsidRPr="00137A0C" w:rsidRDefault="00137A0C" w:rsidP="00137A0C">
      <w:pPr>
        <w:pStyle w:val="body"/>
        <w:ind w:left="567" w:firstLine="0"/>
        <w:rPr>
          <w:rFonts w:asciiTheme="minorHAnsi" w:hAnsiTheme="minorHAnsi"/>
          <w:i/>
          <w:szCs w:val="22"/>
        </w:rPr>
      </w:pPr>
      <w:r w:rsidRPr="00137A0C">
        <w:rPr>
          <w:rFonts w:asciiTheme="minorHAnsi" w:hAnsiTheme="minorHAnsi"/>
          <w:i/>
          <w:szCs w:val="22"/>
        </w:rPr>
        <w:tab/>
        <w:t xml:space="preserve">The delays in implementing this application mean that the other scheduled IT development for other lines of business have to be put back. Managers of customer-facing business functions at </w:t>
      </w:r>
      <w:r w:rsidR="006036C3">
        <w:rPr>
          <w:rFonts w:asciiTheme="minorHAnsi" w:hAnsiTheme="minorHAnsi"/>
          <w:i/>
          <w:szCs w:val="22"/>
        </w:rPr>
        <w:t>Splash</w:t>
      </w:r>
      <w:r w:rsidRPr="00137A0C">
        <w:rPr>
          <w:rFonts w:asciiTheme="minorHAnsi" w:hAnsiTheme="minorHAnsi"/>
          <w:i/>
          <w:szCs w:val="22"/>
        </w:rPr>
        <w:t xml:space="preserve"> Holiday are suggesting that the whole IT function should be completely outsourced.</w:t>
      </w:r>
    </w:p>
    <w:p w:rsidR="00137A0C" w:rsidRPr="00137A0C" w:rsidRDefault="00137A0C" w:rsidP="00137A0C">
      <w:pPr>
        <w:pStyle w:val="body"/>
        <w:ind w:left="567" w:firstLine="0"/>
        <w:rPr>
          <w:rFonts w:asciiTheme="minorHAnsi" w:hAnsiTheme="minorHAnsi"/>
          <w:i/>
          <w:szCs w:val="22"/>
        </w:rPr>
      </w:pPr>
    </w:p>
    <w:p w:rsidR="00137A0C" w:rsidRPr="00137A0C" w:rsidRDefault="00137A0C" w:rsidP="00137A0C">
      <w:pPr>
        <w:pStyle w:val="body"/>
        <w:numPr>
          <w:ilvl w:val="1"/>
          <w:numId w:val="1"/>
        </w:numPr>
        <w:rPr>
          <w:rFonts w:asciiTheme="minorHAnsi" w:hAnsiTheme="minorHAnsi"/>
          <w:i/>
          <w:szCs w:val="22"/>
        </w:rPr>
      </w:pPr>
      <w:r w:rsidRPr="00137A0C">
        <w:rPr>
          <w:rFonts w:asciiTheme="minorHAnsi" w:hAnsiTheme="minorHAnsi"/>
          <w:i/>
          <w:szCs w:val="22"/>
        </w:rPr>
        <w:t>List the key events and actions in this scenario (in time order)</w:t>
      </w:r>
    </w:p>
    <w:p w:rsidR="00137A0C" w:rsidRPr="00137A0C" w:rsidRDefault="00137A0C" w:rsidP="00137A0C">
      <w:pPr>
        <w:pStyle w:val="body"/>
        <w:numPr>
          <w:ilvl w:val="1"/>
          <w:numId w:val="1"/>
        </w:numPr>
        <w:rPr>
          <w:rFonts w:asciiTheme="minorHAnsi" w:hAnsiTheme="minorHAnsi" w:cs="Arial"/>
          <w:i/>
          <w:szCs w:val="22"/>
        </w:rPr>
      </w:pPr>
      <w:r w:rsidRPr="00137A0C">
        <w:rPr>
          <w:rFonts w:asciiTheme="minorHAnsi" w:hAnsiTheme="minorHAnsi" w:cs="Arial"/>
          <w:i/>
          <w:szCs w:val="22"/>
        </w:rPr>
        <w:t>Draw up a causal map which analyses the reasons for the problems faced by Wet Holiday.</w:t>
      </w:r>
    </w:p>
    <w:p w:rsidR="00137A0C" w:rsidRPr="00137A0C" w:rsidRDefault="00137A0C" w:rsidP="00137A0C">
      <w:pPr>
        <w:pStyle w:val="body"/>
        <w:numPr>
          <w:ilvl w:val="1"/>
          <w:numId w:val="1"/>
        </w:numPr>
        <w:rPr>
          <w:rFonts w:asciiTheme="minorHAnsi" w:hAnsiTheme="minorHAnsi" w:cs="Arial"/>
          <w:i/>
          <w:szCs w:val="22"/>
        </w:rPr>
      </w:pPr>
      <w:r w:rsidRPr="00137A0C">
        <w:rPr>
          <w:rFonts w:asciiTheme="minorHAnsi" w:hAnsiTheme="minorHAnsi" w:cs="Arial"/>
          <w:i/>
          <w:szCs w:val="22"/>
        </w:rPr>
        <w:t>Use the causal map to identify interventions which could have prevented the problems arising.</w:t>
      </w:r>
    </w:p>
    <w:p w:rsidR="00137A0C" w:rsidRPr="00137A0C" w:rsidRDefault="00137A0C" w:rsidP="00137A0C">
      <w:pPr>
        <w:pStyle w:val="body"/>
        <w:numPr>
          <w:ilvl w:val="1"/>
          <w:numId w:val="1"/>
        </w:numPr>
        <w:rPr>
          <w:rFonts w:asciiTheme="minorHAnsi" w:hAnsiTheme="minorHAnsi" w:cs="Arial"/>
          <w:i/>
          <w:szCs w:val="22"/>
        </w:rPr>
      </w:pPr>
      <w:proofErr w:type="gramStart"/>
      <w:r w:rsidRPr="00137A0C">
        <w:rPr>
          <w:rFonts w:asciiTheme="minorHAnsi" w:hAnsiTheme="minorHAnsi" w:cs="Arial"/>
          <w:i/>
          <w:szCs w:val="22"/>
        </w:rPr>
        <w:t>identify</w:t>
      </w:r>
      <w:proofErr w:type="gramEnd"/>
      <w:r w:rsidRPr="00137A0C">
        <w:rPr>
          <w:rFonts w:asciiTheme="minorHAnsi" w:hAnsiTheme="minorHAnsi" w:cs="Arial"/>
          <w:i/>
          <w:szCs w:val="22"/>
        </w:rPr>
        <w:t xml:space="preserve"> risks under the four headings of Actors, Technology, Structure and Tasks</w:t>
      </w:r>
      <w:r w:rsidR="00905A96">
        <w:rPr>
          <w:rFonts w:asciiTheme="minorHAnsi" w:hAnsiTheme="minorHAnsi" w:cs="Arial"/>
          <w:i/>
          <w:szCs w:val="22"/>
        </w:rPr>
        <w:t xml:space="preserve"> (or pairs such as Actor-Technology) </w:t>
      </w:r>
      <w:r w:rsidRPr="00137A0C">
        <w:rPr>
          <w:rFonts w:asciiTheme="minorHAnsi" w:hAnsiTheme="minorHAnsi" w:cs="Arial"/>
          <w:i/>
          <w:szCs w:val="22"/>
        </w:rPr>
        <w:t xml:space="preserve"> for the </w:t>
      </w:r>
      <w:r w:rsidR="006036C3">
        <w:rPr>
          <w:rFonts w:asciiTheme="minorHAnsi" w:hAnsiTheme="minorHAnsi" w:cs="Arial"/>
          <w:i/>
          <w:szCs w:val="22"/>
        </w:rPr>
        <w:t>Splash</w:t>
      </w:r>
      <w:r w:rsidRPr="00137A0C">
        <w:rPr>
          <w:rFonts w:asciiTheme="minorHAnsi" w:hAnsiTheme="minorHAnsi" w:cs="Arial"/>
          <w:i/>
          <w:szCs w:val="22"/>
        </w:rPr>
        <w:t xml:space="preserve"> Holiday scenario.</w:t>
      </w:r>
    </w:p>
    <w:p w:rsidR="00137A0C" w:rsidRPr="00137A0C" w:rsidRDefault="00137A0C" w:rsidP="00137A0C">
      <w:pPr>
        <w:pStyle w:val="body"/>
        <w:ind w:left="720" w:firstLine="0"/>
        <w:rPr>
          <w:rFonts w:asciiTheme="minorHAnsi" w:hAnsiTheme="minorHAnsi" w:cs="Arial"/>
          <w:i/>
          <w:szCs w:val="22"/>
        </w:rPr>
      </w:pPr>
    </w:p>
    <w:p w:rsidR="00905A96" w:rsidRDefault="00905A96">
      <w:pPr>
        <w:rPr>
          <w:rFonts w:eastAsia="Times New Roman" w:cs="Arial"/>
          <w:i/>
          <w:lang w:val="en-US" w:eastAsia="en-GB"/>
        </w:rPr>
      </w:pPr>
      <w:r>
        <w:rPr>
          <w:rFonts w:cs="Arial"/>
          <w:i/>
        </w:rPr>
        <w:br w:type="page"/>
      </w:r>
    </w:p>
    <w:p w:rsidR="00137A0C" w:rsidRPr="00137A0C" w:rsidRDefault="00137A0C" w:rsidP="00137A0C">
      <w:pPr>
        <w:pStyle w:val="body"/>
        <w:numPr>
          <w:ilvl w:val="0"/>
          <w:numId w:val="1"/>
        </w:numPr>
        <w:rPr>
          <w:rFonts w:asciiTheme="minorHAnsi" w:hAnsiTheme="minorHAnsi" w:cs="Arial"/>
          <w:i/>
          <w:szCs w:val="22"/>
        </w:rPr>
      </w:pPr>
      <w:r w:rsidRPr="00137A0C">
        <w:rPr>
          <w:rFonts w:asciiTheme="minorHAnsi" w:hAnsiTheme="minorHAnsi" w:cs="Arial"/>
          <w:i/>
          <w:szCs w:val="22"/>
        </w:rPr>
        <w:lastRenderedPageBreak/>
        <w:t xml:space="preserve">Mo is a systems analyst who is gathering requirements for an application which will record details of the training undertaken by fire fighters in the client fire brigade. Details of the training units successfully completed by fire fighters are to be input to the application by trainers who are themselves senior and active fire-fighters. Mo needs to interview a trainer to obtain his/her requirements. Because of the senior fire fighters’ other duties the interview has to be arranged two weeks in advance. There is then a 20% chance of the fire fighter being unable to attend the interview because of an emergency call-out. Each week that the project is delayed costs the fire brigade approximately £1000. </w:t>
      </w:r>
    </w:p>
    <w:p w:rsidR="00137A0C" w:rsidRPr="00137A0C" w:rsidRDefault="00137A0C" w:rsidP="00137A0C">
      <w:pPr>
        <w:pStyle w:val="body"/>
        <w:ind w:firstLine="0"/>
        <w:rPr>
          <w:rFonts w:asciiTheme="minorHAnsi" w:hAnsiTheme="minorHAnsi" w:cs="Arial"/>
          <w:i/>
          <w:szCs w:val="22"/>
        </w:rPr>
      </w:pPr>
    </w:p>
    <w:p w:rsidR="00137A0C" w:rsidRPr="00137A0C" w:rsidRDefault="00137A0C" w:rsidP="00137A0C">
      <w:pPr>
        <w:pStyle w:val="body"/>
        <w:numPr>
          <w:ilvl w:val="1"/>
          <w:numId w:val="1"/>
        </w:numPr>
        <w:tabs>
          <w:tab w:val="num" w:pos="993"/>
        </w:tabs>
        <w:ind w:hanging="711"/>
        <w:rPr>
          <w:rFonts w:asciiTheme="minorHAnsi" w:hAnsiTheme="minorHAnsi" w:cs="Arial"/>
          <w:i/>
          <w:szCs w:val="22"/>
        </w:rPr>
      </w:pPr>
      <w:r w:rsidRPr="00137A0C">
        <w:rPr>
          <w:rFonts w:asciiTheme="minorHAnsi" w:hAnsiTheme="minorHAnsi" w:cs="Arial"/>
          <w:i/>
          <w:szCs w:val="22"/>
        </w:rPr>
        <w:t>Provide an estimate of the risk exposure (as a financial value) for the risk that the senior fire fighter might not be able to attend at the times needed.</w:t>
      </w:r>
    </w:p>
    <w:p w:rsidR="00137A0C" w:rsidRPr="00137A0C" w:rsidRDefault="00137A0C" w:rsidP="00137A0C">
      <w:pPr>
        <w:pStyle w:val="body"/>
        <w:tabs>
          <w:tab w:val="num" w:pos="993"/>
        </w:tabs>
        <w:ind w:left="564" w:firstLine="0"/>
        <w:rPr>
          <w:rFonts w:asciiTheme="minorHAnsi" w:hAnsiTheme="minorHAnsi" w:cs="Arial"/>
          <w:szCs w:val="22"/>
        </w:rPr>
      </w:pPr>
    </w:p>
    <w:p w:rsidR="00137A0C" w:rsidRPr="00137A0C" w:rsidRDefault="00137A0C" w:rsidP="00137A0C">
      <w:pPr>
        <w:pStyle w:val="body"/>
        <w:numPr>
          <w:ilvl w:val="1"/>
          <w:numId w:val="1"/>
        </w:numPr>
        <w:tabs>
          <w:tab w:val="num" w:pos="993"/>
        </w:tabs>
        <w:ind w:hanging="711"/>
        <w:rPr>
          <w:rFonts w:asciiTheme="minorHAnsi" w:hAnsiTheme="minorHAnsi" w:cs="Arial"/>
          <w:i/>
          <w:szCs w:val="22"/>
        </w:rPr>
      </w:pPr>
      <w:r w:rsidRPr="00137A0C">
        <w:rPr>
          <w:rFonts w:asciiTheme="minorHAnsi" w:hAnsiTheme="minorHAnsi" w:cs="Arial"/>
          <w:i/>
          <w:szCs w:val="22"/>
        </w:rPr>
        <w:t>Suggest possible risk mitigation actions.</w:t>
      </w:r>
    </w:p>
    <w:p w:rsidR="00137A0C" w:rsidRDefault="00137A0C">
      <w:pPr>
        <w:rPr>
          <w:rFonts w:cs="Arial"/>
        </w:rPr>
      </w:pPr>
    </w:p>
    <w:p w:rsidR="001C602F" w:rsidRDefault="001C602F" w:rsidP="001C602F">
      <w:r>
        <w:t xml:space="preserve">3. </w:t>
      </w:r>
    </w:p>
    <w:p w:rsidR="001C602F" w:rsidRPr="000E0812" w:rsidRDefault="001C602F" w:rsidP="001C602F">
      <w:r>
        <w:t>In assessing project risks, t</w:t>
      </w:r>
      <w:r w:rsidRPr="000E0812">
        <w:t>hree estimates are produced for each activity</w:t>
      </w:r>
    </w:p>
    <w:p w:rsidR="001C602F" w:rsidRPr="000E0812" w:rsidRDefault="001C602F" w:rsidP="001C602F">
      <w:pPr>
        <w:ind w:left="360"/>
        <w:rPr>
          <w:i/>
          <w:iCs/>
        </w:rPr>
      </w:pPr>
      <w:r w:rsidRPr="000E0812">
        <w:rPr>
          <w:i/>
          <w:iCs/>
        </w:rPr>
        <w:t xml:space="preserve">Most likely time (m) </w:t>
      </w:r>
    </w:p>
    <w:p w:rsidR="001C602F" w:rsidRPr="000E0812" w:rsidRDefault="001C602F" w:rsidP="001C602F">
      <w:pPr>
        <w:ind w:left="360"/>
      </w:pPr>
      <w:r w:rsidRPr="000E0812">
        <w:rPr>
          <w:i/>
          <w:iCs/>
        </w:rPr>
        <w:t>Optimistic time (a)</w:t>
      </w:r>
      <w:r w:rsidRPr="000E0812">
        <w:t xml:space="preserve"> </w:t>
      </w:r>
    </w:p>
    <w:p w:rsidR="001C602F" w:rsidRPr="000E0812" w:rsidRDefault="001C602F" w:rsidP="001C602F">
      <w:pPr>
        <w:ind w:left="360"/>
      </w:pPr>
      <w:r w:rsidRPr="000E0812">
        <w:rPr>
          <w:i/>
          <w:iCs/>
        </w:rPr>
        <w:t>Pessimistic (b)</w:t>
      </w:r>
      <w:r w:rsidRPr="000E0812">
        <w:t xml:space="preserve"> </w:t>
      </w:r>
    </w:p>
    <w:p w:rsidR="001C602F" w:rsidRDefault="001C602F" w:rsidP="001C602F"/>
    <w:tbl>
      <w:tblPr>
        <w:tblW w:w="6464" w:type="dxa"/>
        <w:tblCellSpacing w:w="0" w:type="dxa"/>
        <w:tblCellMar>
          <w:left w:w="0" w:type="dxa"/>
          <w:right w:w="0" w:type="dxa"/>
        </w:tblCellMar>
        <w:tblLook w:val="0000" w:firstRow="0" w:lastRow="0" w:firstColumn="0" w:lastColumn="0" w:noHBand="0" w:noVBand="0"/>
      </w:tblPr>
      <w:tblGrid>
        <w:gridCol w:w="1296"/>
        <w:gridCol w:w="1292"/>
        <w:gridCol w:w="1292"/>
        <w:gridCol w:w="1292"/>
        <w:gridCol w:w="1292"/>
      </w:tblGrid>
      <w:tr w:rsidR="001C602F" w:rsidRPr="00200CAE" w:rsidTr="003B781B">
        <w:trPr>
          <w:trHeight w:val="408"/>
          <w:tblCellSpacing w:w="0" w:type="dxa"/>
        </w:trPr>
        <w:tc>
          <w:tcPr>
            <w:tcW w:w="1296" w:type="dxa"/>
            <w:tcBorders>
              <w:top w:val="single" w:sz="12" w:space="0" w:color="000000"/>
              <w:left w:val="single" w:sz="12" w:space="0" w:color="000000"/>
              <w:bottom w:val="single" w:sz="6" w:space="0" w:color="000000"/>
              <w:right w:val="single" w:sz="6" w:space="0" w:color="000000"/>
            </w:tcBorders>
          </w:tcPr>
          <w:p w:rsidR="001C602F" w:rsidRPr="00200CAE" w:rsidRDefault="001C602F" w:rsidP="003B781B">
            <w:r w:rsidRPr="00200CAE">
              <w:t>Task</w:t>
            </w:r>
          </w:p>
        </w:tc>
        <w:tc>
          <w:tcPr>
            <w:tcW w:w="1292" w:type="dxa"/>
            <w:tcBorders>
              <w:top w:val="single" w:sz="12" w:space="0" w:color="000000"/>
              <w:left w:val="single" w:sz="6" w:space="0" w:color="000000"/>
              <w:bottom w:val="single" w:sz="6" w:space="0" w:color="000000"/>
              <w:right w:val="single" w:sz="6" w:space="0" w:color="000000"/>
            </w:tcBorders>
          </w:tcPr>
          <w:p w:rsidR="001C602F" w:rsidRPr="00200CAE" w:rsidRDefault="001C602F" w:rsidP="003B781B">
            <w:r>
              <w:t>a</w:t>
            </w:r>
          </w:p>
        </w:tc>
        <w:tc>
          <w:tcPr>
            <w:tcW w:w="1292" w:type="dxa"/>
            <w:tcBorders>
              <w:top w:val="single" w:sz="12" w:space="0" w:color="000000"/>
              <w:left w:val="single" w:sz="6" w:space="0" w:color="000000"/>
              <w:bottom w:val="single" w:sz="6" w:space="0" w:color="000000"/>
              <w:right w:val="single" w:sz="6" w:space="0" w:color="000000"/>
            </w:tcBorders>
          </w:tcPr>
          <w:p w:rsidR="001C602F" w:rsidRPr="00200CAE" w:rsidRDefault="001C602F" w:rsidP="003B781B">
            <w:r>
              <w:t>M</w:t>
            </w:r>
          </w:p>
        </w:tc>
        <w:tc>
          <w:tcPr>
            <w:tcW w:w="1292" w:type="dxa"/>
            <w:tcBorders>
              <w:top w:val="single" w:sz="12" w:space="0" w:color="000000"/>
              <w:left w:val="single" w:sz="6" w:space="0" w:color="000000"/>
              <w:bottom w:val="single" w:sz="6" w:space="0" w:color="000000"/>
              <w:right w:val="single" w:sz="6" w:space="0" w:color="000000"/>
            </w:tcBorders>
          </w:tcPr>
          <w:p w:rsidR="001C602F" w:rsidRPr="00200CAE" w:rsidRDefault="001C602F" w:rsidP="003B781B">
            <w:r w:rsidRPr="00200CAE">
              <w:t>b</w:t>
            </w:r>
          </w:p>
        </w:tc>
        <w:tc>
          <w:tcPr>
            <w:tcW w:w="1292" w:type="dxa"/>
            <w:tcBorders>
              <w:top w:val="single" w:sz="12" w:space="0" w:color="000000"/>
              <w:left w:val="single" w:sz="6" w:space="0" w:color="000000"/>
              <w:bottom w:val="single" w:sz="6" w:space="0" w:color="000000"/>
              <w:right w:val="single" w:sz="6" w:space="0" w:color="000000"/>
            </w:tcBorders>
          </w:tcPr>
          <w:p w:rsidR="001C602F" w:rsidRPr="00200CAE" w:rsidRDefault="001C602F" w:rsidP="003B781B">
            <w:r>
              <w:t>Predecessor</w:t>
            </w:r>
          </w:p>
        </w:tc>
      </w:tr>
      <w:tr w:rsidR="001C602F" w:rsidRPr="00200CAE" w:rsidTr="003B781B">
        <w:trPr>
          <w:trHeight w:val="306"/>
          <w:tblCellSpacing w:w="0" w:type="dxa"/>
        </w:trPr>
        <w:tc>
          <w:tcPr>
            <w:tcW w:w="1296" w:type="dxa"/>
            <w:tcBorders>
              <w:top w:val="single" w:sz="6" w:space="0" w:color="000000"/>
              <w:left w:val="single" w:sz="12" w:space="0" w:color="000000"/>
              <w:bottom w:val="single" w:sz="6" w:space="0" w:color="000000"/>
              <w:right w:val="single" w:sz="6" w:space="0" w:color="000000"/>
            </w:tcBorders>
          </w:tcPr>
          <w:p w:rsidR="001C602F" w:rsidRPr="00200CAE" w:rsidRDefault="001C602F" w:rsidP="003B781B">
            <w:r w:rsidRPr="00200CAE">
              <w:t>A</w:t>
            </w:r>
          </w:p>
        </w:tc>
        <w:tc>
          <w:tcPr>
            <w:tcW w:w="1292" w:type="dxa"/>
            <w:tcBorders>
              <w:top w:val="single" w:sz="6" w:space="0" w:color="000000"/>
              <w:left w:val="single" w:sz="6" w:space="0" w:color="000000"/>
              <w:bottom w:val="single" w:sz="6" w:space="0" w:color="000000"/>
              <w:right w:val="single" w:sz="6" w:space="0" w:color="000000"/>
            </w:tcBorders>
          </w:tcPr>
          <w:p w:rsidR="001C602F" w:rsidRPr="00200CAE" w:rsidRDefault="001C602F" w:rsidP="003B781B">
            <w:r>
              <w:t>5</w:t>
            </w:r>
          </w:p>
        </w:tc>
        <w:tc>
          <w:tcPr>
            <w:tcW w:w="1292" w:type="dxa"/>
            <w:tcBorders>
              <w:top w:val="single" w:sz="6" w:space="0" w:color="000000"/>
              <w:left w:val="single" w:sz="6" w:space="0" w:color="000000"/>
              <w:bottom w:val="single" w:sz="6" w:space="0" w:color="000000"/>
              <w:right w:val="single" w:sz="6" w:space="0" w:color="000000"/>
            </w:tcBorders>
          </w:tcPr>
          <w:p w:rsidR="001C602F" w:rsidRDefault="001C602F" w:rsidP="003B781B">
            <w:r>
              <w:t>7</w:t>
            </w:r>
          </w:p>
        </w:tc>
        <w:tc>
          <w:tcPr>
            <w:tcW w:w="1292" w:type="dxa"/>
            <w:tcBorders>
              <w:top w:val="single" w:sz="6" w:space="0" w:color="000000"/>
              <w:left w:val="single" w:sz="6" w:space="0" w:color="000000"/>
              <w:bottom w:val="single" w:sz="6" w:space="0" w:color="000000"/>
              <w:right w:val="single" w:sz="6" w:space="0" w:color="000000"/>
            </w:tcBorders>
          </w:tcPr>
          <w:p w:rsidR="001C602F" w:rsidRPr="00200CAE" w:rsidRDefault="001C602F" w:rsidP="003B781B">
            <w:r>
              <w:t>10</w:t>
            </w:r>
          </w:p>
        </w:tc>
        <w:tc>
          <w:tcPr>
            <w:tcW w:w="1292" w:type="dxa"/>
            <w:tcBorders>
              <w:top w:val="single" w:sz="6" w:space="0" w:color="000000"/>
              <w:left w:val="single" w:sz="6" w:space="0" w:color="000000"/>
              <w:bottom w:val="single" w:sz="6" w:space="0" w:color="000000"/>
              <w:right w:val="single" w:sz="6" w:space="0" w:color="000000"/>
            </w:tcBorders>
          </w:tcPr>
          <w:p w:rsidR="001C602F" w:rsidRDefault="001C602F" w:rsidP="003B781B"/>
        </w:tc>
      </w:tr>
      <w:tr w:rsidR="001C602F" w:rsidRPr="00200CAE" w:rsidTr="003B781B">
        <w:trPr>
          <w:trHeight w:val="344"/>
          <w:tblCellSpacing w:w="0" w:type="dxa"/>
        </w:trPr>
        <w:tc>
          <w:tcPr>
            <w:tcW w:w="1296" w:type="dxa"/>
            <w:tcBorders>
              <w:top w:val="single" w:sz="6" w:space="0" w:color="000000"/>
              <w:left w:val="single" w:sz="12" w:space="0" w:color="000000"/>
              <w:bottom w:val="single" w:sz="6" w:space="0" w:color="000000"/>
              <w:right w:val="single" w:sz="6" w:space="0" w:color="000000"/>
            </w:tcBorders>
          </w:tcPr>
          <w:p w:rsidR="001C602F" w:rsidRPr="00200CAE" w:rsidRDefault="001C602F" w:rsidP="003B781B">
            <w:r w:rsidRPr="00200CAE">
              <w:t>B</w:t>
            </w:r>
          </w:p>
        </w:tc>
        <w:tc>
          <w:tcPr>
            <w:tcW w:w="1292" w:type="dxa"/>
            <w:tcBorders>
              <w:top w:val="single" w:sz="6" w:space="0" w:color="000000"/>
              <w:left w:val="single" w:sz="6" w:space="0" w:color="000000"/>
              <w:bottom w:val="single" w:sz="6" w:space="0" w:color="000000"/>
              <w:right w:val="single" w:sz="6" w:space="0" w:color="000000"/>
            </w:tcBorders>
          </w:tcPr>
          <w:p w:rsidR="001C602F" w:rsidRPr="00200CAE" w:rsidRDefault="001C602F" w:rsidP="003B781B">
            <w:r>
              <w:t>3</w:t>
            </w:r>
          </w:p>
        </w:tc>
        <w:tc>
          <w:tcPr>
            <w:tcW w:w="1292" w:type="dxa"/>
            <w:tcBorders>
              <w:top w:val="single" w:sz="6" w:space="0" w:color="000000"/>
              <w:left w:val="single" w:sz="6" w:space="0" w:color="000000"/>
              <w:bottom w:val="single" w:sz="6" w:space="0" w:color="000000"/>
              <w:right w:val="single" w:sz="6" w:space="0" w:color="000000"/>
            </w:tcBorders>
          </w:tcPr>
          <w:p w:rsidR="001C602F" w:rsidRDefault="001C602F" w:rsidP="003B781B">
            <w:r>
              <w:t>4</w:t>
            </w:r>
          </w:p>
        </w:tc>
        <w:tc>
          <w:tcPr>
            <w:tcW w:w="1292" w:type="dxa"/>
            <w:tcBorders>
              <w:top w:val="single" w:sz="6" w:space="0" w:color="000000"/>
              <w:left w:val="single" w:sz="6" w:space="0" w:color="000000"/>
              <w:bottom w:val="single" w:sz="6" w:space="0" w:color="000000"/>
              <w:right w:val="single" w:sz="6" w:space="0" w:color="000000"/>
            </w:tcBorders>
          </w:tcPr>
          <w:p w:rsidR="001C602F" w:rsidRPr="00200CAE" w:rsidRDefault="001C602F" w:rsidP="003B781B">
            <w:r>
              <w:t>7</w:t>
            </w:r>
          </w:p>
        </w:tc>
        <w:tc>
          <w:tcPr>
            <w:tcW w:w="1292" w:type="dxa"/>
            <w:tcBorders>
              <w:top w:val="single" w:sz="6" w:space="0" w:color="000000"/>
              <w:left w:val="single" w:sz="6" w:space="0" w:color="000000"/>
              <w:bottom w:val="single" w:sz="6" w:space="0" w:color="000000"/>
              <w:right w:val="single" w:sz="6" w:space="0" w:color="000000"/>
            </w:tcBorders>
          </w:tcPr>
          <w:p w:rsidR="001C602F" w:rsidRDefault="001C602F" w:rsidP="003B781B">
            <w:r>
              <w:t>A</w:t>
            </w:r>
          </w:p>
        </w:tc>
      </w:tr>
      <w:tr w:rsidR="001C602F" w:rsidRPr="00200CAE" w:rsidTr="003B781B">
        <w:trPr>
          <w:trHeight w:val="327"/>
          <w:tblCellSpacing w:w="0" w:type="dxa"/>
        </w:trPr>
        <w:tc>
          <w:tcPr>
            <w:tcW w:w="1296" w:type="dxa"/>
            <w:tcBorders>
              <w:top w:val="single" w:sz="6" w:space="0" w:color="000000"/>
              <w:left w:val="single" w:sz="12" w:space="0" w:color="000000"/>
              <w:bottom w:val="single" w:sz="12" w:space="0" w:color="000000"/>
              <w:right w:val="single" w:sz="6" w:space="0" w:color="000000"/>
            </w:tcBorders>
          </w:tcPr>
          <w:p w:rsidR="001C602F" w:rsidRPr="00200CAE" w:rsidRDefault="001C602F" w:rsidP="003B781B">
            <w:r>
              <w:t>C</w:t>
            </w:r>
          </w:p>
        </w:tc>
        <w:tc>
          <w:tcPr>
            <w:tcW w:w="1292" w:type="dxa"/>
            <w:tcBorders>
              <w:top w:val="single" w:sz="6" w:space="0" w:color="000000"/>
              <w:left w:val="single" w:sz="6" w:space="0" w:color="000000"/>
              <w:bottom w:val="single" w:sz="12" w:space="0" w:color="000000"/>
              <w:right w:val="single" w:sz="6" w:space="0" w:color="000000"/>
            </w:tcBorders>
          </w:tcPr>
          <w:p w:rsidR="001C602F" w:rsidRPr="00200CAE" w:rsidRDefault="001C602F" w:rsidP="003B781B">
            <w:r>
              <w:t>4</w:t>
            </w:r>
          </w:p>
        </w:tc>
        <w:tc>
          <w:tcPr>
            <w:tcW w:w="1292" w:type="dxa"/>
            <w:tcBorders>
              <w:top w:val="single" w:sz="6" w:space="0" w:color="000000"/>
              <w:left w:val="single" w:sz="6" w:space="0" w:color="000000"/>
              <w:bottom w:val="single" w:sz="12" w:space="0" w:color="000000"/>
              <w:right w:val="single" w:sz="6" w:space="0" w:color="000000"/>
            </w:tcBorders>
          </w:tcPr>
          <w:p w:rsidR="001C602F" w:rsidRDefault="001C602F" w:rsidP="003B781B">
            <w:r>
              <w:t>5</w:t>
            </w:r>
          </w:p>
        </w:tc>
        <w:tc>
          <w:tcPr>
            <w:tcW w:w="1292" w:type="dxa"/>
            <w:tcBorders>
              <w:top w:val="single" w:sz="6" w:space="0" w:color="000000"/>
              <w:left w:val="single" w:sz="6" w:space="0" w:color="000000"/>
              <w:bottom w:val="single" w:sz="12" w:space="0" w:color="000000"/>
              <w:right w:val="single" w:sz="6" w:space="0" w:color="000000"/>
            </w:tcBorders>
          </w:tcPr>
          <w:p w:rsidR="001C602F" w:rsidRPr="00200CAE" w:rsidRDefault="001C602F" w:rsidP="003B781B">
            <w:r>
              <w:t>7</w:t>
            </w:r>
          </w:p>
        </w:tc>
        <w:tc>
          <w:tcPr>
            <w:tcW w:w="1292" w:type="dxa"/>
            <w:tcBorders>
              <w:top w:val="single" w:sz="6" w:space="0" w:color="000000"/>
              <w:left w:val="single" w:sz="6" w:space="0" w:color="000000"/>
              <w:bottom w:val="single" w:sz="12" w:space="0" w:color="000000"/>
              <w:right w:val="single" w:sz="6" w:space="0" w:color="000000"/>
            </w:tcBorders>
          </w:tcPr>
          <w:p w:rsidR="001C602F" w:rsidRDefault="001C602F" w:rsidP="003B781B">
            <w:r>
              <w:t>B</w:t>
            </w:r>
          </w:p>
        </w:tc>
      </w:tr>
      <w:tr w:rsidR="001C602F" w:rsidRPr="00200CAE" w:rsidTr="003B781B">
        <w:trPr>
          <w:trHeight w:val="327"/>
          <w:tblCellSpacing w:w="0" w:type="dxa"/>
        </w:trPr>
        <w:tc>
          <w:tcPr>
            <w:tcW w:w="1296" w:type="dxa"/>
            <w:tcBorders>
              <w:top w:val="single" w:sz="6" w:space="0" w:color="000000"/>
              <w:left w:val="single" w:sz="12" w:space="0" w:color="000000"/>
              <w:bottom w:val="single" w:sz="12" w:space="0" w:color="000000"/>
              <w:right w:val="single" w:sz="6" w:space="0" w:color="000000"/>
            </w:tcBorders>
          </w:tcPr>
          <w:p w:rsidR="001C602F" w:rsidRPr="00200CAE" w:rsidRDefault="001C602F" w:rsidP="003B781B">
            <w:r>
              <w:t>D</w:t>
            </w:r>
          </w:p>
        </w:tc>
        <w:tc>
          <w:tcPr>
            <w:tcW w:w="1292" w:type="dxa"/>
            <w:tcBorders>
              <w:top w:val="single" w:sz="6" w:space="0" w:color="000000"/>
              <w:left w:val="single" w:sz="6" w:space="0" w:color="000000"/>
              <w:bottom w:val="single" w:sz="12" w:space="0" w:color="000000"/>
              <w:right w:val="single" w:sz="6" w:space="0" w:color="000000"/>
            </w:tcBorders>
          </w:tcPr>
          <w:p w:rsidR="001C602F" w:rsidRPr="00200CAE" w:rsidRDefault="001C602F" w:rsidP="003B781B">
            <w:r>
              <w:t>6</w:t>
            </w:r>
          </w:p>
        </w:tc>
        <w:tc>
          <w:tcPr>
            <w:tcW w:w="1292" w:type="dxa"/>
            <w:tcBorders>
              <w:top w:val="single" w:sz="6" w:space="0" w:color="000000"/>
              <w:left w:val="single" w:sz="6" w:space="0" w:color="000000"/>
              <w:bottom w:val="single" w:sz="12" w:space="0" w:color="000000"/>
              <w:right w:val="single" w:sz="6" w:space="0" w:color="000000"/>
            </w:tcBorders>
          </w:tcPr>
          <w:p w:rsidR="001C602F" w:rsidRDefault="001C602F" w:rsidP="003B781B">
            <w:r>
              <w:t>7</w:t>
            </w:r>
          </w:p>
        </w:tc>
        <w:tc>
          <w:tcPr>
            <w:tcW w:w="1292" w:type="dxa"/>
            <w:tcBorders>
              <w:top w:val="single" w:sz="6" w:space="0" w:color="000000"/>
              <w:left w:val="single" w:sz="6" w:space="0" w:color="000000"/>
              <w:bottom w:val="single" w:sz="12" w:space="0" w:color="000000"/>
              <w:right w:val="single" w:sz="6" w:space="0" w:color="000000"/>
            </w:tcBorders>
          </w:tcPr>
          <w:p w:rsidR="001C602F" w:rsidRPr="00200CAE" w:rsidRDefault="001C602F" w:rsidP="003B781B">
            <w:r>
              <w:t>9</w:t>
            </w:r>
          </w:p>
        </w:tc>
        <w:tc>
          <w:tcPr>
            <w:tcW w:w="1292" w:type="dxa"/>
            <w:tcBorders>
              <w:top w:val="single" w:sz="6" w:space="0" w:color="000000"/>
              <w:left w:val="single" w:sz="6" w:space="0" w:color="000000"/>
              <w:bottom w:val="single" w:sz="12" w:space="0" w:color="000000"/>
              <w:right w:val="single" w:sz="6" w:space="0" w:color="000000"/>
            </w:tcBorders>
          </w:tcPr>
          <w:p w:rsidR="001C602F" w:rsidRDefault="001C602F" w:rsidP="003B781B"/>
        </w:tc>
      </w:tr>
      <w:tr w:rsidR="001C602F" w:rsidRPr="00200CAE" w:rsidTr="003B781B">
        <w:trPr>
          <w:trHeight w:val="327"/>
          <w:tblCellSpacing w:w="0" w:type="dxa"/>
        </w:trPr>
        <w:tc>
          <w:tcPr>
            <w:tcW w:w="1296" w:type="dxa"/>
            <w:tcBorders>
              <w:top w:val="single" w:sz="6" w:space="0" w:color="000000"/>
              <w:left w:val="single" w:sz="12" w:space="0" w:color="000000"/>
              <w:bottom w:val="single" w:sz="12" w:space="0" w:color="000000"/>
              <w:right w:val="single" w:sz="6" w:space="0" w:color="000000"/>
            </w:tcBorders>
          </w:tcPr>
          <w:p w:rsidR="001C602F" w:rsidRPr="00200CAE" w:rsidRDefault="001C602F" w:rsidP="003B781B">
            <w:r>
              <w:t>E</w:t>
            </w:r>
          </w:p>
        </w:tc>
        <w:tc>
          <w:tcPr>
            <w:tcW w:w="1292" w:type="dxa"/>
            <w:tcBorders>
              <w:top w:val="single" w:sz="6" w:space="0" w:color="000000"/>
              <w:left w:val="single" w:sz="6" w:space="0" w:color="000000"/>
              <w:bottom w:val="single" w:sz="12" w:space="0" w:color="000000"/>
              <w:right w:val="single" w:sz="6" w:space="0" w:color="000000"/>
            </w:tcBorders>
          </w:tcPr>
          <w:p w:rsidR="001C602F" w:rsidRPr="00200CAE" w:rsidRDefault="001C602F" w:rsidP="003B781B">
            <w:r>
              <w:t>5</w:t>
            </w:r>
          </w:p>
        </w:tc>
        <w:tc>
          <w:tcPr>
            <w:tcW w:w="1292" w:type="dxa"/>
            <w:tcBorders>
              <w:top w:val="single" w:sz="6" w:space="0" w:color="000000"/>
              <w:left w:val="single" w:sz="6" w:space="0" w:color="000000"/>
              <w:bottom w:val="single" w:sz="12" w:space="0" w:color="000000"/>
              <w:right w:val="single" w:sz="6" w:space="0" w:color="000000"/>
            </w:tcBorders>
          </w:tcPr>
          <w:p w:rsidR="001C602F" w:rsidRDefault="001C602F" w:rsidP="003B781B">
            <w:r>
              <w:t>6</w:t>
            </w:r>
          </w:p>
        </w:tc>
        <w:tc>
          <w:tcPr>
            <w:tcW w:w="1292" w:type="dxa"/>
            <w:tcBorders>
              <w:top w:val="single" w:sz="6" w:space="0" w:color="000000"/>
              <w:left w:val="single" w:sz="6" w:space="0" w:color="000000"/>
              <w:bottom w:val="single" w:sz="12" w:space="0" w:color="000000"/>
              <w:right w:val="single" w:sz="6" w:space="0" w:color="000000"/>
            </w:tcBorders>
          </w:tcPr>
          <w:p w:rsidR="001C602F" w:rsidRPr="00200CAE" w:rsidRDefault="001C602F" w:rsidP="003B781B">
            <w:r>
              <w:t>7</w:t>
            </w:r>
          </w:p>
        </w:tc>
        <w:tc>
          <w:tcPr>
            <w:tcW w:w="1292" w:type="dxa"/>
            <w:tcBorders>
              <w:top w:val="single" w:sz="6" w:space="0" w:color="000000"/>
              <w:left w:val="single" w:sz="6" w:space="0" w:color="000000"/>
              <w:bottom w:val="single" w:sz="12" w:space="0" w:color="000000"/>
              <w:right w:val="single" w:sz="6" w:space="0" w:color="000000"/>
            </w:tcBorders>
          </w:tcPr>
          <w:p w:rsidR="001C602F" w:rsidRDefault="001C602F" w:rsidP="003B781B">
            <w:r>
              <w:t>D</w:t>
            </w:r>
          </w:p>
        </w:tc>
      </w:tr>
      <w:tr w:rsidR="001C602F" w:rsidRPr="00200CAE" w:rsidTr="003B781B">
        <w:trPr>
          <w:trHeight w:val="327"/>
          <w:tblCellSpacing w:w="0" w:type="dxa"/>
        </w:trPr>
        <w:tc>
          <w:tcPr>
            <w:tcW w:w="1296" w:type="dxa"/>
            <w:tcBorders>
              <w:top w:val="single" w:sz="6" w:space="0" w:color="000000"/>
              <w:left w:val="single" w:sz="12" w:space="0" w:color="000000"/>
              <w:bottom w:val="single" w:sz="12" w:space="0" w:color="000000"/>
              <w:right w:val="single" w:sz="6" w:space="0" w:color="000000"/>
            </w:tcBorders>
          </w:tcPr>
          <w:p w:rsidR="001C602F" w:rsidRDefault="001C602F" w:rsidP="003B781B">
            <w:r>
              <w:t>F</w:t>
            </w:r>
          </w:p>
        </w:tc>
        <w:tc>
          <w:tcPr>
            <w:tcW w:w="1292" w:type="dxa"/>
            <w:tcBorders>
              <w:top w:val="single" w:sz="6" w:space="0" w:color="000000"/>
              <w:left w:val="single" w:sz="6" w:space="0" w:color="000000"/>
              <w:bottom w:val="single" w:sz="12" w:space="0" w:color="000000"/>
              <w:right w:val="single" w:sz="6" w:space="0" w:color="000000"/>
            </w:tcBorders>
          </w:tcPr>
          <w:p w:rsidR="001C602F" w:rsidRDefault="001C602F" w:rsidP="003B781B">
            <w:r>
              <w:t>2</w:t>
            </w:r>
          </w:p>
        </w:tc>
        <w:tc>
          <w:tcPr>
            <w:tcW w:w="1292" w:type="dxa"/>
            <w:tcBorders>
              <w:top w:val="single" w:sz="6" w:space="0" w:color="000000"/>
              <w:left w:val="single" w:sz="6" w:space="0" w:color="000000"/>
              <w:bottom w:val="single" w:sz="12" w:space="0" w:color="000000"/>
              <w:right w:val="single" w:sz="6" w:space="0" w:color="000000"/>
            </w:tcBorders>
          </w:tcPr>
          <w:p w:rsidR="001C602F" w:rsidRDefault="001C602F" w:rsidP="003B781B">
            <w:r>
              <w:t>2</w:t>
            </w:r>
          </w:p>
        </w:tc>
        <w:tc>
          <w:tcPr>
            <w:tcW w:w="1292" w:type="dxa"/>
            <w:tcBorders>
              <w:top w:val="single" w:sz="6" w:space="0" w:color="000000"/>
              <w:left w:val="single" w:sz="6" w:space="0" w:color="000000"/>
              <w:bottom w:val="single" w:sz="12" w:space="0" w:color="000000"/>
              <w:right w:val="single" w:sz="6" w:space="0" w:color="000000"/>
            </w:tcBorders>
          </w:tcPr>
          <w:p w:rsidR="001C602F" w:rsidRDefault="001C602F" w:rsidP="003B781B">
            <w:r>
              <w:t>4</w:t>
            </w:r>
          </w:p>
        </w:tc>
        <w:tc>
          <w:tcPr>
            <w:tcW w:w="1292" w:type="dxa"/>
            <w:tcBorders>
              <w:top w:val="single" w:sz="6" w:space="0" w:color="000000"/>
              <w:left w:val="single" w:sz="6" w:space="0" w:color="000000"/>
              <w:bottom w:val="single" w:sz="12" w:space="0" w:color="000000"/>
              <w:right w:val="single" w:sz="6" w:space="0" w:color="000000"/>
            </w:tcBorders>
          </w:tcPr>
          <w:p w:rsidR="001C602F" w:rsidRDefault="001C602F" w:rsidP="003B781B">
            <w:r>
              <w:t>E</w:t>
            </w:r>
          </w:p>
        </w:tc>
      </w:tr>
      <w:tr w:rsidR="001C602F" w:rsidRPr="00200CAE" w:rsidTr="003B781B">
        <w:trPr>
          <w:trHeight w:val="327"/>
          <w:tblCellSpacing w:w="0" w:type="dxa"/>
        </w:trPr>
        <w:tc>
          <w:tcPr>
            <w:tcW w:w="1296" w:type="dxa"/>
            <w:tcBorders>
              <w:top w:val="single" w:sz="6" w:space="0" w:color="000000"/>
              <w:left w:val="single" w:sz="12" w:space="0" w:color="000000"/>
              <w:bottom w:val="single" w:sz="12" w:space="0" w:color="000000"/>
              <w:right w:val="single" w:sz="6" w:space="0" w:color="000000"/>
            </w:tcBorders>
          </w:tcPr>
          <w:p w:rsidR="001C602F" w:rsidRDefault="001C602F" w:rsidP="003B781B">
            <w:r>
              <w:t>G</w:t>
            </w:r>
          </w:p>
        </w:tc>
        <w:tc>
          <w:tcPr>
            <w:tcW w:w="1292" w:type="dxa"/>
            <w:tcBorders>
              <w:top w:val="single" w:sz="6" w:space="0" w:color="000000"/>
              <w:left w:val="single" w:sz="6" w:space="0" w:color="000000"/>
              <w:bottom w:val="single" w:sz="12" w:space="0" w:color="000000"/>
              <w:right w:val="single" w:sz="6" w:space="0" w:color="000000"/>
            </w:tcBorders>
          </w:tcPr>
          <w:p w:rsidR="001C602F" w:rsidRDefault="001C602F" w:rsidP="003B781B">
            <w:r>
              <w:t>3</w:t>
            </w:r>
          </w:p>
        </w:tc>
        <w:tc>
          <w:tcPr>
            <w:tcW w:w="1292" w:type="dxa"/>
            <w:tcBorders>
              <w:top w:val="single" w:sz="6" w:space="0" w:color="000000"/>
              <w:left w:val="single" w:sz="6" w:space="0" w:color="000000"/>
              <w:bottom w:val="single" w:sz="12" w:space="0" w:color="000000"/>
              <w:right w:val="single" w:sz="6" w:space="0" w:color="000000"/>
            </w:tcBorders>
          </w:tcPr>
          <w:p w:rsidR="001C602F" w:rsidRDefault="001C602F" w:rsidP="003B781B">
            <w:r>
              <w:t>4</w:t>
            </w:r>
          </w:p>
        </w:tc>
        <w:tc>
          <w:tcPr>
            <w:tcW w:w="1292" w:type="dxa"/>
            <w:tcBorders>
              <w:top w:val="single" w:sz="6" w:space="0" w:color="000000"/>
              <w:left w:val="single" w:sz="6" w:space="0" w:color="000000"/>
              <w:bottom w:val="single" w:sz="12" w:space="0" w:color="000000"/>
              <w:right w:val="single" w:sz="6" w:space="0" w:color="000000"/>
            </w:tcBorders>
          </w:tcPr>
          <w:p w:rsidR="001C602F" w:rsidRDefault="001C602F" w:rsidP="003B781B">
            <w:r>
              <w:t>6</w:t>
            </w:r>
          </w:p>
        </w:tc>
        <w:tc>
          <w:tcPr>
            <w:tcW w:w="1292" w:type="dxa"/>
            <w:tcBorders>
              <w:top w:val="single" w:sz="6" w:space="0" w:color="000000"/>
              <w:left w:val="single" w:sz="6" w:space="0" w:color="000000"/>
              <w:bottom w:val="single" w:sz="12" w:space="0" w:color="000000"/>
              <w:right w:val="single" w:sz="6" w:space="0" w:color="000000"/>
            </w:tcBorders>
          </w:tcPr>
          <w:p w:rsidR="001C602F" w:rsidRDefault="001C602F" w:rsidP="003B781B"/>
        </w:tc>
      </w:tr>
      <w:tr w:rsidR="001C602F" w:rsidRPr="00200CAE" w:rsidTr="003B781B">
        <w:trPr>
          <w:trHeight w:val="327"/>
          <w:tblCellSpacing w:w="0" w:type="dxa"/>
        </w:trPr>
        <w:tc>
          <w:tcPr>
            <w:tcW w:w="1296" w:type="dxa"/>
            <w:tcBorders>
              <w:top w:val="single" w:sz="6" w:space="0" w:color="000000"/>
              <w:left w:val="single" w:sz="12" w:space="0" w:color="000000"/>
              <w:bottom w:val="single" w:sz="12" w:space="0" w:color="000000"/>
              <w:right w:val="single" w:sz="6" w:space="0" w:color="000000"/>
            </w:tcBorders>
          </w:tcPr>
          <w:p w:rsidR="001C602F" w:rsidRDefault="001C602F" w:rsidP="003B781B">
            <w:r>
              <w:t>H</w:t>
            </w:r>
          </w:p>
        </w:tc>
        <w:tc>
          <w:tcPr>
            <w:tcW w:w="1292" w:type="dxa"/>
            <w:tcBorders>
              <w:top w:val="single" w:sz="6" w:space="0" w:color="000000"/>
              <w:left w:val="single" w:sz="6" w:space="0" w:color="000000"/>
              <w:bottom w:val="single" w:sz="12" w:space="0" w:color="000000"/>
              <w:right w:val="single" w:sz="6" w:space="0" w:color="000000"/>
            </w:tcBorders>
          </w:tcPr>
          <w:p w:rsidR="001C602F" w:rsidRDefault="001C602F" w:rsidP="003B781B">
            <w:r>
              <w:t>3</w:t>
            </w:r>
          </w:p>
        </w:tc>
        <w:tc>
          <w:tcPr>
            <w:tcW w:w="1292" w:type="dxa"/>
            <w:tcBorders>
              <w:top w:val="single" w:sz="6" w:space="0" w:color="000000"/>
              <w:left w:val="single" w:sz="6" w:space="0" w:color="000000"/>
              <w:bottom w:val="single" w:sz="12" w:space="0" w:color="000000"/>
              <w:right w:val="single" w:sz="6" w:space="0" w:color="000000"/>
            </w:tcBorders>
          </w:tcPr>
          <w:p w:rsidR="001C602F" w:rsidRDefault="001C602F" w:rsidP="003B781B">
            <w:r>
              <w:t>5</w:t>
            </w:r>
          </w:p>
        </w:tc>
        <w:tc>
          <w:tcPr>
            <w:tcW w:w="1292" w:type="dxa"/>
            <w:tcBorders>
              <w:top w:val="single" w:sz="6" w:space="0" w:color="000000"/>
              <w:left w:val="single" w:sz="6" w:space="0" w:color="000000"/>
              <w:bottom w:val="single" w:sz="12" w:space="0" w:color="000000"/>
              <w:right w:val="single" w:sz="6" w:space="0" w:color="000000"/>
            </w:tcBorders>
          </w:tcPr>
          <w:p w:rsidR="001C602F" w:rsidRDefault="001C602F" w:rsidP="003B781B">
            <w:r>
              <w:t>9</w:t>
            </w:r>
          </w:p>
        </w:tc>
        <w:tc>
          <w:tcPr>
            <w:tcW w:w="1292" w:type="dxa"/>
            <w:tcBorders>
              <w:top w:val="single" w:sz="6" w:space="0" w:color="000000"/>
              <w:left w:val="single" w:sz="6" w:space="0" w:color="000000"/>
              <w:bottom w:val="single" w:sz="12" w:space="0" w:color="000000"/>
              <w:right w:val="single" w:sz="6" w:space="0" w:color="000000"/>
            </w:tcBorders>
          </w:tcPr>
          <w:p w:rsidR="001C602F" w:rsidRDefault="001C602F" w:rsidP="003B781B">
            <w:r>
              <w:t>G</w:t>
            </w:r>
          </w:p>
        </w:tc>
      </w:tr>
      <w:tr w:rsidR="001C602F" w:rsidRPr="00200CAE" w:rsidTr="003B781B">
        <w:trPr>
          <w:trHeight w:val="327"/>
          <w:tblCellSpacing w:w="0" w:type="dxa"/>
        </w:trPr>
        <w:tc>
          <w:tcPr>
            <w:tcW w:w="1296" w:type="dxa"/>
            <w:tcBorders>
              <w:top w:val="single" w:sz="6" w:space="0" w:color="000000"/>
              <w:left w:val="single" w:sz="12" w:space="0" w:color="000000"/>
              <w:bottom w:val="single" w:sz="12" w:space="0" w:color="000000"/>
              <w:right w:val="single" w:sz="6" w:space="0" w:color="000000"/>
            </w:tcBorders>
          </w:tcPr>
          <w:p w:rsidR="001C602F" w:rsidRDefault="001C602F" w:rsidP="003B781B">
            <w:r>
              <w:t>I</w:t>
            </w:r>
          </w:p>
        </w:tc>
        <w:tc>
          <w:tcPr>
            <w:tcW w:w="1292" w:type="dxa"/>
            <w:tcBorders>
              <w:top w:val="single" w:sz="6" w:space="0" w:color="000000"/>
              <w:left w:val="single" w:sz="6" w:space="0" w:color="000000"/>
              <w:bottom w:val="single" w:sz="12" w:space="0" w:color="000000"/>
              <w:right w:val="single" w:sz="6" w:space="0" w:color="000000"/>
            </w:tcBorders>
          </w:tcPr>
          <w:p w:rsidR="001C602F" w:rsidRDefault="001C602F" w:rsidP="003B781B">
            <w:r>
              <w:t>3</w:t>
            </w:r>
          </w:p>
        </w:tc>
        <w:tc>
          <w:tcPr>
            <w:tcW w:w="1292" w:type="dxa"/>
            <w:tcBorders>
              <w:top w:val="single" w:sz="6" w:space="0" w:color="000000"/>
              <w:left w:val="single" w:sz="6" w:space="0" w:color="000000"/>
              <w:bottom w:val="single" w:sz="12" w:space="0" w:color="000000"/>
              <w:right w:val="single" w:sz="6" w:space="0" w:color="000000"/>
            </w:tcBorders>
          </w:tcPr>
          <w:p w:rsidR="001C602F" w:rsidRDefault="001C602F" w:rsidP="003B781B">
            <w:r>
              <w:t>3</w:t>
            </w:r>
          </w:p>
        </w:tc>
        <w:tc>
          <w:tcPr>
            <w:tcW w:w="1292" w:type="dxa"/>
            <w:tcBorders>
              <w:top w:val="single" w:sz="6" w:space="0" w:color="000000"/>
              <w:left w:val="single" w:sz="6" w:space="0" w:color="000000"/>
              <w:bottom w:val="single" w:sz="12" w:space="0" w:color="000000"/>
              <w:right w:val="single" w:sz="6" w:space="0" w:color="000000"/>
            </w:tcBorders>
          </w:tcPr>
          <w:p w:rsidR="001C602F" w:rsidRDefault="001C602F" w:rsidP="003B781B">
            <w:r>
              <w:t>6</w:t>
            </w:r>
          </w:p>
        </w:tc>
        <w:tc>
          <w:tcPr>
            <w:tcW w:w="1292" w:type="dxa"/>
            <w:tcBorders>
              <w:top w:val="single" w:sz="6" w:space="0" w:color="000000"/>
              <w:left w:val="single" w:sz="6" w:space="0" w:color="000000"/>
              <w:bottom w:val="single" w:sz="12" w:space="0" w:color="000000"/>
              <w:right w:val="single" w:sz="6" w:space="0" w:color="000000"/>
            </w:tcBorders>
          </w:tcPr>
          <w:p w:rsidR="001C602F" w:rsidRDefault="001C602F" w:rsidP="003B781B">
            <w:r>
              <w:t>H</w:t>
            </w:r>
          </w:p>
        </w:tc>
      </w:tr>
      <w:tr w:rsidR="001C602F" w:rsidRPr="00200CAE" w:rsidTr="003B781B">
        <w:trPr>
          <w:trHeight w:val="327"/>
          <w:tblCellSpacing w:w="0" w:type="dxa"/>
        </w:trPr>
        <w:tc>
          <w:tcPr>
            <w:tcW w:w="1296" w:type="dxa"/>
            <w:tcBorders>
              <w:top w:val="single" w:sz="6" w:space="0" w:color="000000"/>
              <w:left w:val="single" w:sz="12" w:space="0" w:color="000000"/>
              <w:bottom w:val="single" w:sz="12" w:space="0" w:color="000000"/>
              <w:right w:val="single" w:sz="6" w:space="0" w:color="000000"/>
            </w:tcBorders>
          </w:tcPr>
          <w:p w:rsidR="001C602F" w:rsidRPr="00200CAE" w:rsidRDefault="001C602F" w:rsidP="003B781B">
            <w:r>
              <w:t>J</w:t>
            </w:r>
          </w:p>
        </w:tc>
        <w:tc>
          <w:tcPr>
            <w:tcW w:w="1292" w:type="dxa"/>
            <w:tcBorders>
              <w:top w:val="single" w:sz="6" w:space="0" w:color="000000"/>
              <w:left w:val="single" w:sz="6" w:space="0" w:color="000000"/>
              <w:bottom w:val="single" w:sz="12" w:space="0" w:color="000000"/>
              <w:right w:val="single" w:sz="6" w:space="0" w:color="000000"/>
            </w:tcBorders>
          </w:tcPr>
          <w:p w:rsidR="001C602F" w:rsidRPr="00200CAE" w:rsidRDefault="001C602F" w:rsidP="003B781B">
            <w:r>
              <w:t>2</w:t>
            </w:r>
          </w:p>
        </w:tc>
        <w:tc>
          <w:tcPr>
            <w:tcW w:w="1292" w:type="dxa"/>
            <w:tcBorders>
              <w:top w:val="single" w:sz="6" w:space="0" w:color="000000"/>
              <w:left w:val="single" w:sz="6" w:space="0" w:color="000000"/>
              <w:bottom w:val="single" w:sz="12" w:space="0" w:color="000000"/>
              <w:right w:val="single" w:sz="6" w:space="0" w:color="000000"/>
            </w:tcBorders>
          </w:tcPr>
          <w:p w:rsidR="001C602F" w:rsidRDefault="001C602F" w:rsidP="003B781B">
            <w:r>
              <w:t>3</w:t>
            </w:r>
          </w:p>
        </w:tc>
        <w:tc>
          <w:tcPr>
            <w:tcW w:w="1292" w:type="dxa"/>
            <w:tcBorders>
              <w:top w:val="single" w:sz="6" w:space="0" w:color="000000"/>
              <w:left w:val="single" w:sz="6" w:space="0" w:color="000000"/>
              <w:bottom w:val="single" w:sz="12" w:space="0" w:color="000000"/>
              <w:right w:val="single" w:sz="6" w:space="0" w:color="000000"/>
            </w:tcBorders>
          </w:tcPr>
          <w:p w:rsidR="001C602F" w:rsidRPr="00200CAE" w:rsidRDefault="001C602F" w:rsidP="003B781B">
            <w:r>
              <w:t>5</w:t>
            </w:r>
          </w:p>
        </w:tc>
        <w:tc>
          <w:tcPr>
            <w:tcW w:w="1292" w:type="dxa"/>
            <w:tcBorders>
              <w:top w:val="single" w:sz="6" w:space="0" w:color="000000"/>
              <w:left w:val="single" w:sz="6" w:space="0" w:color="000000"/>
              <w:bottom w:val="single" w:sz="12" w:space="0" w:color="000000"/>
              <w:right w:val="single" w:sz="6" w:space="0" w:color="000000"/>
            </w:tcBorders>
          </w:tcPr>
          <w:p w:rsidR="001C602F" w:rsidRDefault="001C602F" w:rsidP="003B781B">
            <w:r>
              <w:t>C,F,J</w:t>
            </w:r>
          </w:p>
        </w:tc>
      </w:tr>
    </w:tbl>
    <w:p w:rsidR="001C602F" w:rsidRDefault="001C602F" w:rsidP="001C602F"/>
    <w:p w:rsidR="001C602F" w:rsidRDefault="001C602F" w:rsidP="001C602F">
      <w:r>
        <w:lastRenderedPageBreak/>
        <w:t xml:space="preserve">For each activity, calculate the expected time and activity standard deviation. For the paths through the project, calculate total expected duration and standard deviation and present using the PERT analysis tools in Microsoft Project.  </w:t>
      </w:r>
    </w:p>
    <w:p w:rsidR="001C602F" w:rsidRPr="004704DB" w:rsidRDefault="001C602F" w:rsidP="001C602F">
      <w:r>
        <w:t xml:space="preserve"> </w:t>
      </w:r>
    </w:p>
    <w:p w:rsidR="001C602F" w:rsidRPr="00137A0C" w:rsidRDefault="001C602F">
      <w:pPr>
        <w:rPr>
          <w:rFonts w:cs="Arial"/>
        </w:rPr>
      </w:pPr>
    </w:p>
    <w:p w:rsidR="00137A0C" w:rsidRPr="00137A0C" w:rsidRDefault="00137A0C">
      <w:pPr>
        <w:rPr>
          <w:rFonts w:cs="Arial"/>
        </w:rPr>
      </w:pPr>
    </w:p>
    <w:sectPr w:rsidR="00137A0C" w:rsidRPr="00137A0C">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4282A" w:rsidRDefault="00A4282A" w:rsidP="00137A0C">
      <w:pPr>
        <w:spacing w:after="0" w:line="240" w:lineRule="auto"/>
      </w:pPr>
      <w:r>
        <w:separator/>
      </w:r>
    </w:p>
  </w:endnote>
  <w:endnote w:type="continuationSeparator" w:id="0">
    <w:p w:rsidR="00A4282A" w:rsidRDefault="00A4282A" w:rsidP="00137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4282A" w:rsidRDefault="00A4282A" w:rsidP="00137A0C">
      <w:pPr>
        <w:spacing w:after="0" w:line="240" w:lineRule="auto"/>
      </w:pPr>
      <w:r>
        <w:separator/>
      </w:r>
    </w:p>
  </w:footnote>
  <w:footnote w:type="continuationSeparator" w:id="0">
    <w:p w:rsidR="00A4282A" w:rsidRDefault="00A4282A" w:rsidP="00137A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37A0C" w:rsidRPr="00137A0C" w:rsidRDefault="00137A0C">
    <w:pPr>
      <w:pStyle w:val="Header"/>
      <w:rPr>
        <w:u w:val="single"/>
      </w:rPr>
    </w:pPr>
    <w:r w:rsidRPr="00137A0C">
      <w:rPr>
        <w:u w:val="single"/>
      </w:rPr>
      <w:t>MSc Applied Computing</w:t>
    </w:r>
    <w:r w:rsidRPr="00137A0C">
      <w:rPr>
        <w:u w:val="single"/>
      </w:rPr>
      <w:tab/>
      <w:t>Project Management</w:t>
    </w:r>
    <w:r w:rsidRPr="00137A0C">
      <w:rPr>
        <w:u w:val="single"/>
      </w:rPr>
      <w:tab/>
      <w:t>Sue Maw</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EB4C9F"/>
    <w:multiLevelType w:val="hybridMultilevel"/>
    <w:tmpl w:val="565A2D9A"/>
    <w:lvl w:ilvl="0" w:tplc="08090001">
      <w:start w:val="1"/>
      <w:numFmt w:val="bullet"/>
      <w:lvlText w:val=""/>
      <w:lvlJc w:val="left"/>
      <w:pPr>
        <w:tabs>
          <w:tab w:val="num" w:pos="1287"/>
        </w:tabs>
        <w:ind w:left="1287" w:hanging="360"/>
      </w:pPr>
      <w:rPr>
        <w:rFonts w:ascii="Symbol" w:hAnsi="Symbol" w:hint="default"/>
      </w:rPr>
    </w:lvl>
    <w:lvl w:ilvl="1" w:tplc="DF8468D2">
      <w:start w:val="1"/>
      <w:numFmt w:val="lowerLetter"/>
      <w:lvlText w:val="%2)"/>
      <w:lvlJc w:val="left"/>
      <w:pPr>
        <w:tabs>
          <w:tab w:val="num" w:pos="2202"/>
        </w:tabs>
        <w:ind w:left="2202" w:hanging="555"/>
      </w:pPr>
      <w:rPr>
        <w:rFonts w:hint="default"/>
      </w:rPr>
    </w:lvl>
    <w:lvl w:ilvl="2" w:tplc="0809001B" w:tentative="1">
      <w:start w:val="1"/>
      <w:numFmt w:val="lowerRoman"/>
      <w:lvlText w:val="%3."/>
      <w:lvlJc w:val="right"/>
      <w:pPr>
        <w:tabs>
          <w:tab w:val="num" w:pos="2727"/>
        </w:tabs>
        <w:ind w:left="2727" w:hanging="180"/>
      </w:pPr>
    </w:lvl>
    <w:lvl w:ilvl="3" w:tplc="0809000F" w:tentative="1">
      <w:start w:val="1"/>
      <w:numFmt w:val="decimal"/>
      <w:lvlText w:val="%4."/>
      <w:lvlJc w:val="left"/>
      <w:pPr>
        <w:tabs>
          <w:tab w:val="num" w:pos="3447"/>
        </w:tabs>
        <w:ind w:left="3447" w:hanging="360"/>
      </w:pPr>
    </w:lvl>
    <w:lvl w:ilvl="4" w:tplc="08090019" w:tentative="1">
      <w:start w:val="1"/>
      <w:numFmt w:val="lowerLetter"/>
      <w:lvlText w:val="%5."/>
      <w:lvlJc w:val="left"/>
      <w:pPr>
        <w:tabs>
          <w:tab w:val="num" w:pos="4167"/>
        </w:tabs>
        <w:ind w:left="4167" w:hanging="360"/>
      </w:pPr>
    </w:lvl>
    <w:lvl w:ilvl="5" w:tplc="0809001B" w:tentative="1">
      <w:start w:val="1"/>
      <w:numFmt w:val="lowerRoman"/>
      <w:lvlText w:val="%6."/>
      <w:lvlJc w:val="right"/>
      <w:pPr>
        <w:tabs>
          <w:tab w:val="num" w:pos="4887"/>
        </w:tabs>
        <w:ind w:left="4887" w:hanging="180"/>
      </w:pPr>
    </w:lvl>
    <w:lvl w:ilvl="6" w:tplc="0809000F" w:tentative="1">
      <w:start w:val="1"/>
      <w:numFmt w:val="decimal"/>
      <w:lvlText w:val="%7."/>
      <w:lvlJc w:val="left"/>
      <w:pPr>
        <w:tabs>
          <w:tab w:val="num" w:pos="5607"/>
        </w:tabs>
        <w:ind w:left="5607" w:hanging="360"/>
      </w:pPr>
    </w:lvl>
    <w:lvl w:ilvl="7" w:tplc="08090019" w:tentative="1">
      <w:start w:val="1"/>
      <w:numFmt w:val="lowerLetter"/>
      <w:lvlText w:val="%8."/>
      <w:lvlJc w:val="left"/>
      <w:pPr>
        <w:tabs>
          <w:tab w:val="num" w:pos="6327"/>
        </w:tabs>
        <w:ind w:left="6327" w:hanging="360"/>
      </w:pPr>
    </w:lvl>
    <w:lvl w:ilvl="8" w:tplc="0809001B" w:tentative="1">
      <w:start w:val="1"/>
      <w:numFmt w:val="lowerRoman"/>
      <w:lvlText w:val="%9."/>
      <w:lvlJc w:val="right"/>
      <w:pPr>
        <w:tabs>
          <w:tab w:val="num" w:pos="7047"/>
        </w:tabs>
        <w:ind w:left="7047" w:hanging="180"/>
      </w:pPr>
    </w:lvl>
  </w:abstractNum>
  <w:abstractNum w:abstractNumId="1" w15:restartNumberingAfterBreak="0">
    <w:nsid w:val="6F817D0E"/>
    <w:multiLevelType w:val="hybridMultilevel"/>
    <w:tmpl w:val="C34E43CE"/>
    <w:lvl w:ilvl="0" w:tplc="A2BCAF98">
      <w:start w:val="1"/>
      <w:numFmt w:val="decimal"/>
      <w:lvlText w:val="%1."/>
      <w:lvlJc w:val="left"/>
      <w:pPr>
        <w:tabs>
          <w:tab w:val="num" w:pos="570"/>
        </w:tabs>
        <w:ind w:left="570" w:hanging="570"/>
      </w:pPr>
      <w:rPr>
        <w:rFonts w:hint="default"/>
      </w:rPr>
    </w:lvl>
    <w:lvl w:ilvl="1" w:tplc="DF8468D2">
      <w:start w:val="1"/>
      <w:numFmt w:val="lowerLetter"/>
      <w:lvlText w:val="%2)"/>
      <w:lvlJc w:val="left"/>
      <w:pPr>
        <w:tabs>
          <w:tab w:val="num" w:pos="1275"/>
        </w:tabs>
        <w:ind w:left="1275" w:hanging="555"/>
      </w:pPr>
      <w:rPr>
        <w:rFonts w:hint="default"/>
      </w:rPr>
    </w:lvl>
    <w:lvl w:ilvl="2" w:tplc="0809001B">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7A0C"/>
    <w:rsid w:val="00137A0C"/>
    <w:rsid w:val="00172566"/>
    <w:rsid w:val="001C602F"/>
    <w:rsid w:val="0033537D"/>
    <w:rsid w:val="006036C3"/>
    <w:rsid w:val="00905A96"/>
    <w:rsid w:val="00A4282A"/>
    <w:rsid w:val="00A97455"/>
    <w:rsid w:val="00CF7834"/>
    <w:rsid w:val="00F620DE"/>
    <w:rsid w:val="00F96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14:docId w14:val="250E3AEE"/>
  <w15:docId w15:val="{11E4E66A-6C12-484D-ADE5-1D61C46FD6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7A0C"/>
    <w:pPr>
      <w:shd w:val="clear" w:color="auto" w:fill="FBD4B4" w:themeFill="accent6" w:themeFillTint="66"/>
      <w:tabs>
        <w:tab w:val="center" w:pos="4513"/>
        <w:tab w:val="right" w:pos="9026"/>
      </w:tabs>
      <w:spacing w:after="0" w:line="240" w:lineRule="auto"/>
    </w:pPr>
  </w:style>
  <w:style w:type="character" w:customStyle="1" w:styleId="HeaderChar">
    <w:name w:val="Header Char"/>
    <w:basedOn w:val="DefaultParagraphFont"/>
    <w:link w:val="Header"/>
    <w:uiPriority w:val="99"/>
    <w:rsid w:val="00137A0C"/>
    <w:rPr>
      <w:shd w:val="clear" w:color="auto" w:fill="FBD4B4" w:themeFill="accent6" w:themeFillTint="66"/>
    </w:rPr>
  </w:style>
  <w:style w:type="paragraph" w:styleId="Footer">
    <w:name w:val="footer"/>
    <w:basedOn w:val="Normal"/>
    <w:link w:val="FooterChar"/>
    <w:uiPriority w:val="99"/>
    <w:unhideWhenUsed/>
    <w:rsid w:val="00137A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7A0C"/>
  </w:style>
  <w:style w:type="paragraph" w:customStyle="1" w:styleId="body">
    <w:name w:val="body"/>
    <w:basedOn w:val="Normal"/>
    <w:link w:val="bodyChar"/>
    <w:rsid w:val="00137A0C"/>
    <w:pPr>
      <w:spacing w:after="0" w:line="260" w:lineRule="exact"/>
      <w:ind w:firstLine="200"/>
      <w:jc w:val="both"/>
    </w:pPr>
    <w:rPr>
      <w:rFonts w:ascii="Times" w:eastAsia="Times New Roman" w:hAnsi="Times" w:cs="Times New Roman"/>
      <w:szCs w:val="20"/>
      <w:lang w:val="en-US" w:eastAsia="en-GB"/>
    </w:rPr>
  </w:style>
  <w:style w:type="character" w:customStyle="1" w:styleId="bodyChar">
    <w:name w:val="body Char"/>
    <w:basedOn w:val="DefaultParagraphFont"/>
    <w:link w:val="body"/>
    <w:rsid w:val="00137A0C"/>
    <w:rPr>
      <w:rFonts w:ascii="Times" w:eastAsia="Times New Roman" w:hAnsi="Times" w:cs="Times New Roman"/>
      <w:szCs w:val="20"/>
      <w:lang w:val="en-US" w:eastAsia="en-GB"/>
    </w:rPr>
  </w:style>
  <w:style w:type="paragraph" w:styleId="BalloonText">
    <w:name w:val="Balloon Text"/>
    <w:basedOn w:val="Normal"/>
    <w:link w:val="BalloonTextChar"/>
    <w:uiPriority w:val="99"/>
    <w:semiHidden/>
    <w:unhideWhenUsed/>
    <w:rsid w:val="00F96F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6F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669</Words>
  <Characters>3818</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Maw, Sue</dc:creator>
  <cp:lastModifiedBy>Sue Maw</cp:lastModifiedBy>
  <cp:revision>2</cp:revision>
  <cp:lastPrinted>2019-01-31T09:01:00Z</cp:lastPrinted>
  <dcterms:created xsi:type="dcterms:W3CDTF">2019-01-31T09:03:00Z</dcterms:created>
  <dcterms:modified xsi:type="dcterms:W3CDTF">2019-01-31T09:03:00Z</dcterms:modified>
</cp:coreProperties>
</file>