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36E7B" w14:textId="77777777" w:rsidR="003B2B04" w:rsidRDefault="009748A4" w:rsidP="009748A4">
      <w:pPr>
        <w:pStyle w:val="Heading1"/>
      </w:pPr>
      <w:r>
        <w:t>Character Dossier</w:t>
      </w:r>
    </w:p>
    <w:p w14:paraId="37922DBD" w14:textId="77777777" w:rsidR="009748A4" w:rsidRDefault="009748A4" w:rsidP="009748A4"/>
    <w:p w14:paraId="7DF18951" w14:textId="1E5516EB" w:rsidR="009748A4" w:rsidRDefault="003C2ED1" w:rsidP="009748A4">
      <w:r>
        <w:t>I will be playing the part of the Satrap of Babylonia</w:t>
      </w:r>
      <w:r w:rsidR="008D518F">
        <w:t xml:space="preserve">. My character is Graeco-Macedonian as the upper administration </w:t>
      </w:r>
      <w:r w:rsidR="00142576">
        <w:t xml:space="preserve">of the Seleucid kingdom was predominantly led by </w:t>
      </w:r>
      <w:r w:rsidR="00A07B51">
        <w:t>Greeks and Macedonians</w:t>
      </w:r>
      <w:r w:rsidR="00BF63A1">
        <w:t xml:space="preserve"> while the Seleucid state did also somewhat encourage </w:t>
      </w:r>
      <w:r w:rsidR="000B71AE">
        <w:t>native appointments</w:t>
      </w:r>
      <w:r w:rsidR="005045B0">
        <w:t xml:space="preserve"> in the regions</w:t>
      </w:r>
      <w:r w:rsidR="00BF63A1">
        <w:t xml:space="preserve"> they ruled over</w:t>
      </w:r>
      <w:r w:rsidR="00572ECF">
        <w:rPr>
          <w:rStyle w:val="FootnoteReference"/>
        </w:rPr>
        <w:footnoteReference w:id="1"/>
      </w:r>
      <w:r w:rsidR="00BF63A1">
        <w:t>, primarily in the eastern provinces Iranians were sometimes appointed to satrapies</w:t>
      </w:r>
      <w:r w:rsidR="00572ECF">
        <w:rPr>
          <w:rStyle w:val="FootnoteReference"/>
        </w:rPr>
        <w:footnoteReference w:id="2"/>
      </w:r>
      <w:r w:rsidR="00BF63A1">
        <w:t>. Thus, despite a local culture character being considered I found it more likely that this core and crucial province of the kingdom</w:t>
      </w:r>
      <w:r w:rsidR="00263AF8">
        <w:t xml:space="preserve"> containing a royal palace, would have a Graeco-Macedonian satrap.</w:t>
      </w:r>
    </w:p>
    <w:p w14:paraId="1911914C" w14:textId="16A6E83B" w:rsidR="00C84067" w:rsidRDefault="00F879BB" w:rsidP="009748A4">
      <w:r>
        <w:t>I imagine my character as dark haired and blue eyed</w:t>
      </w:r>
      <w:r w:rsidR="00F0284D">
        <w:t xml:space="preserve"> with a dark olive</w:t>
      </w:r>
      <w:r w:rsidR="00B81690">
        <w:t>-</w:t>
      </w:r>
      <w:r w:rsidR="00F0284D">
        <w:t xml:space="preserve">skinned complexion </w:t>
      </w:r>
      <w:proofErr w:type="gramStart"/>
      <w:r w:rsidR="00FD2FB1">
        <w:t>as a result of</w:t>
      </w:r>
      <w:proofErr w:type="gramEnd"/>
      <w:r w:rsidR="00FD2FB1">
        <w:t xml:space="preserve"> </w:t>
      </w:r>
      <w:r w:rsidR="00CE2E72">
        <w:t>prolonged exposure to</w:t>
      </w:r>
      <w:r w:rsidR="00FD2FB1">
        <w:t xml:space="preserve"> </w:t>
      </w:r>
      <w:r w:rsidR="00280774">
        <w:t xml:space="preserve">a </w:t>
      </w:r>
      <w:r w:rsidR="00FD2FB1">
        <w:t>Mesopotamian</w:t>
      </w:r>
      <w:r w:rsidR="00834926">
        <w:t xml:space="preserve"> climate.</w:t>
      </w:r>
      <w:r w:rsidR="006D6A1F">
        <w:t xml:space="preserve"> Which would have been a fact of life for most Seleucid </w:t>
      </w:r>
      <w:r w:rsidR="0016064A">
        <w:t xml:space="preserve">nobles who, when traveling the empire would in the most part be exposed to far harsher </w:t>
      </w:r>
      <w:r w:rsidR="00B81690">
        <w:t>heat and exposure compared to their forebears in Macedonia.</w:t>
      </w:r>
      <w:r w:rsidR="00FD2FB1">
        <w:t xml:space="preserve"> </w:t>
      </w:r>
    </w:p>
    <w:p w14:paraId="2A3FABB3" w14:textId="770C6C54" w:rsidR="00D83A24" w:rsidRDefault="00D066C5" w:rsidP="009748A4">
      <w:r>
        <w:t xml:space="preserve">My character is the Satrap of Babylonia which is the central region of the Seleucid Kingdom the cross roads of the Kingdom. Being in such a central position </w:t>
      </w:r>
      <w:proofErr w:type="spellStart"/>
      <w:r>
        <w:t>Seleucus</w:t>
      </w:r>
      <w:proofErr w:type="spellEnd"/>
      <w:r>
        <w:t xml:space="preserve"> I established Seleucia on the Tigris as his eastern capital within the province whic</w:t>
      </w:r>
      <w:r w:rsidR="000A7150">
        <w:t>h</w:t>
      </w:r>
      <w:r>
        <w:t xml:space="preserve"> by this period has replaced Babylon as the primary city in the region containing a royal palace which would have been occupied by myself, the satrap (unless the royal family was resident) and been the headquarters of the administration for the city and region</w:t>
      </w:r>
      <w:r w:rsidR="007B1BE0">
        <w:rPr>
          <w:rStyle w:val="FootnoteReference"/>
        </w:rPr>
        <w:footnoteReference w:id="3"/>
      </w:r>
      <w:r w:rsidR="00A748C8">
        <w:t xml:space="preserve">. </w:t>
      </w:r>
      <w:r w:rsidR="007B1BE0">
        <w:t xml:space="preserve"> </w:t>
      </w:r>
      <w:r w:rsidR="00FF7929">
        <w:t xml:space="preserve">This region </w:t>
      </w:r>
      <w:r w:rsidR="007F6096">
        <w:t>has both strategic and economic prominence.</w:t>
      </w:r>
    </w:p>
    <w:p w14:paraId="1C0642B2" w14:textId="09CC0282" w:rsidR="00327D9C" w:rsidRDefault="00B82E15" w:rsidP="009748A4">
      <w:r>
        <w:t>For one t</w:t>
      </w:r>
      <w:r w:rsidR="007B1BE0">
        <w:t xml:space="preserve">his region was vital as trade flowing from the east to the west known as the silk road passed through this region which was known for its vast </w:t>
      </w:r>
      <w:proofErr w:type="spellStart"/>
      <w:r w:rsidR="007B1BE0">
        <w:t>metropoli</w:t>
      </w:r>
      <w:r w:rsidR="001F6C5E">
        <w:t>es</w:t>
      </w:r>
      <w:proofErr w:type="spellEnd"/>
      <w:r w:rsidR="007B1BE0">
        <w:t xml:space="preserve"> meaning its population was the greatest of any region in the Kingdom, rivalling that of Egypt during the same period</w:t>
      </w:r>
      <w:r w:rsidR="00620B99">
        <w:rPr>
          <w:rStyle w:val="FootnoteReference"/>
        </w:rPr>
        <w:footnoteReference w:id="4"/>
      </w:r>
      <w:r w:rsidR="007B1BE0">
        <w:t xml:space="preserve">. </w:t>
      </w:r>
      <w:r w:rsidR="00367091">
        <w:t xml:space="preserve">This </w:t>
      </w:r>
      <w:r w:rsidR="007B1BE0">
        <w:t>made the region very important to retain control of</w:t>
      </w:r>
      <w:r w:rsidR="00367091">
        <w:t xml:space="preserve"> as</w:t>
      </w:r>
      <w:r w:rsidR="007B1BE0">
        <w:t xml:space="preserve"> its population could also be a threat </w:t>
      </w:r>
      <w:r w:rsidR="00F67A47">
        <w:t>because of their large number</w:t>
      </w:r>
      <w:r w:rsidR="00C71D33">
        <w:rPr>
          <w:rStyle w:val="FootnoteReference"/>
        </w:rPr>
        <w:footnoteReference w:id="5"/>
      </w:r>
      <w:r w:rsidR="00F67A47">
        <w:t>. They needed</w:t>
      </w:r>
      <w:r w:rsidR="007B1BE0">
        <w:t xml:space="preserve"> to be kept docile in order to retain stability and prosperity necessary for the sizeable contribution the region would’ve made in taxes to the royal treasury. </w:t>
      </w:r>
      <w:r w:rsidR="0059196F" w:rsidRPr="0059196F">
        <w:t>The estimated annual revenue of this being in the region 6000-7000 silver talents, the highest of any Seleucid satrapy</w:t>
      </w:r>
      <w:r w:rsidR="0059196F">
        <w:rPr>
          <w:rStyle w:val="FootnoteReference"/>
        </w:rPr>
        <w:footnoteReference w:id="6"/>
      </w:r>
      <w:r w:rsidR="0059196F" w:rsidRPr="0059196F">
        <w:t>.</w:t>
      </w:r>
    </w:p>
    <w:p w14:paraId="79B9187D" w14:textId="615A0057" w:rsidR="00BB0D71" w:rsidRDefault="00704E23" w:rsidP="009748A4">
      <w:r>
        <w:t xml:space="preserve">In terms of economy </w:t>
      </w:r>
      <w:r w:rsidR="007B1BE0">
        <w:t>the existence of two of the royal mints in the region</w:t>
      </w:r>
      <w:r w:rsidR="002777DD" w:rsidRPr="002777DD">
        <w:t xml:space="preserve"> </w:t>
      </w:r>
      <w:r w:rsidR="002777DD">
        <w:t>is worthy of note.</w:t>
      </w:r>
      <w:r w:rsidR="007B1BE0">
        <w:t xml:space="preserve"> </w:t>
      </w:r>
      <w:r w:rsidR="002777DD">
        <w:t>They</w:t>
      </w:r>
      <w:r w:rsidR="007B1BE0">
        <w:t xml:space="preserve"> were of vital importance to the economy of the Kingdom</w:t>
      </w:r>
      <w:r w:rsidR="002777DD">
        <w:t xml:space="preserve"> as they allowed for the </w:t>
      </w:r>
      <w:r w:rsidR="00D22B43">
        <w:t xml:space="preserve">soldiers to be paid and help maintain the stability of the kingdom resulting </w:t>
      </w:r>
      <w:r w:rsidR="003E4A1F">
        <w:t>in higher</w:t>
      </w:r>
      <w:r w:rsidR="007B1BE0">
        <w:t xml:space="preserve"> prestige of the King</w:t>
      </w:r>
      <w:r w:rsidR="00E5677B">
        <w:t>. H</w:t>
      </w:r>
      <w:r w:rsidR="007B1BE0">
        <w:t xml:space="preserve">istorically the threat to and seizure of these mints by </w:t>
      </w:r>
      <w:proofErr w:type="spellStart"/>
      <w:r w:rsidR="007B1BE0">
        <w:t>Molon</w:t>
      </w:r>
      <w:proofErr w:type="spellEnd"/>
      <w:r w:rsidR="007B1BE0">
        <w:t xml:space="preserve"> forced Antiochus to march on Babylonia for fear this occupation would ruin the Kingdom’s finances</w:t>
      </w:r>
      <w:r w:rsidR="00E5677B">
        <w:rPr>
          <w:rStyle w:val="FootnoteReference"/>
        </w:rPr>
        <w:footnoteReference w:id="7"/>
      </w:r>
      <w:r w:rsidR="003E4A1F">
        <w:t>.</w:t>
      </w:r>
    </w:p>
    <w:p w14:paraId="2B5E4698" w14:textId="360931F7" w:rsidR="00D066C5" w:rsidRDefault="00622554" w:rsidP="009748A4">
      <w:r>
        <w:t>Also,</w:t>
      </w:r>
      <w:r w:rsidR="00E0760B">
        <w:t xml:space="preserve"> </w:t>
      </w:r>
      <w:r w:rsidR="007B1BE0">
        <w:t xml:space="preserve">Babylonia was famed for its agricultural output given its position in the ‘fertile crescent’ and was responsible for </w:t>
      </w:r>
      <w:r w:rsidR="0020459E">
        <w:t xml:space="preserve">much </w:t>
      </w:r>
      <w:r w:rsidR="007B1BE0">
        <w:t>of the food production of the Kingdom, and thus vital for keeping the rest of the Kingdom and most importantly the various military contingents on campaign well fed.</w:t>
      </w:r>
    </w:p>
    <w:p w14:paraId="7AE113BC" w14:textId="5AA83BB7" w:rsidR="00472669" w:rsidRDefault="007B1BE0" w:rsidP="009748A4">
      <w:r>
        <w:lastRenderedPageBreak/>
        <w:t xml:space="preserve">The title of ‘satrap’ had general responsibilities as administrator and defender of the province under his jurisdiction on the Kings authority and in his absence. This involved domestically the </w:t>
      </w:r>
      <w:r w:rsidR="00F0213A">
        <w:t xml:space="preserve">primary aims of the </w:t>
      </w:r>
      <w:r>
        <w:t>collection of taxes</w:t>
      </w:r>
      <w:r w:rsidR="00F0213A">
        <w:t xml:space="preserve"> and</w:t>
      </w:r>
      <w:r>
        <w:t xml:space="preserve"> the maintaining of civil order</w:t>
      </w:r>
      <w:r w:rsidR="00F0213A">
        <w:t xml:space="preserve">. </w:t>
      </w:r>
    </w:p>
    <w:p w14:paraId="67F72DD5" w14:textId="18199D41" w:rsidR="006F7162" w:rsidRDefault="00622554" w:rsidP="009748A4">
      <w:proofErr w:type="gramStart"/>
      <w:r>
        <w:t>In regard to</w:t>
      </w:r>
      <w:proofErr w:type="gramEnd"/>
      <w:r w:rsidR="004F5D6F">
        <w:t xml:space="preserve"> </w:t>
      </w:r>
      <w:r w:rsidR="00F0213A">
        <w:t xml:space="preserve">the collection of taxes, lesser officials were sent out to collect a proportion of the of the annual earnings or production of the population, I have used the term production here because payments were sometimes in kind due to the dominance of agriculture in rural economies of the period and especially the region. </w:t>
      </w:r>
    </w:p>
    <w:p w14:paraId="1BE66FD4" w14:textId="66B8D5E9" w:rsidR="007B1BE0" w:rsidRDefault="006F7162" w:rsidP="009748A4">
      <w:r>
        <w:t>C</w:t>
      </w:r>
      <w:r w:rsidR="00F0213A">
        <w:t>ivil order was maintained through the proper financing and conducting of religious ceremonies and events</w:t>
      </w:r>
      <w:r w:rsidR="00DC65F9">
        <w:t>.</w:t>
      </w:r>
      <w:r w:rsidR="00F0213A">
        <w:t xml:space="preserve"> </w:t>
      </w:r>
      <w:r w:rsidR="00DC65F9">
        <w:t>P</w:t>
      </w:r>
      <w:r w:rsidR="00F0213A">
        <w:t xml:space="preserve">rimarily of the Babylonian tradition but also Hellenic in the Greek dominated colonies, while in some case the two were merged in the case of Greek theatres being designed in the style of Babylonian pyramids, </w:t>
      </w:r>
      <w:proofErr w:type="gramStart"/>
      <w:r w:rsidR="00F0213A">
        <w:t>so as to</w:t>
      </w:r>
      <w:proofErr w:type="gramEnd"/>
      <w:r w:rsidR="00F0213A">
        <w:t xml:space="preserve"> accommodate both cultures and syncretise traditions thus keeping both population groups contented. The satrap as the King’s representative would have been central to many public religious ceremonies as was the Babylonian tradition which often required a king to conduct such rites</w:t>
      </w:r>
      <w:r w:rsidR="00AE7518">
        <w:rPr>
          <w:rStyle w:val="FootnoteReference"/>
        </w:rPr>
        <w:footnoteReference w:id="8"/>
      </w:r>
      <w:r w:rsidR="00F0213A">
        <w:t xml:space="preserve">, although a satrap would likely have had the </w:t>
      </w:r>
      <w:r w:rsidR="0025500D">
        <w:t>king’s</w:t>
      </w:r>
      <w:r w:rsidR="00F0213A">
        <w:t xml:space="preserve"> authority to do so in his absence, the auspices of which would too have been vital for securing the loyalty and cooperation of the predominantly Babylonian population.</w:t>
      </w:r>
    </w:p>
    <w:p w14:paraId="2A5E22E5" w14:textId="345EF0F4" w:rsidR="00F0213A" w:rsidRDefault="00F0213A" w:rsidP="009748A4">
      <w:r>
        <w:t xml:space="preserve">It was also the role of the satrap to maintain the security of his satrapy in the </w:t>
      </w:r>
      <w:r w:rsidR="0025500D">
        <w:t>king’s</w:t>
      </w:r>
      <w:r>
        <w:t xml:space="preserve"> absence, whilst the monarch would often personally meet incursion or send a closely trusted general, there were garrison forces and military settlers which could be called upon in times of emergency to provide more immediate relief</w:t>
      </w:r>
      <w:r w:rsidR="00841D3D">
        <w:rPr>
          <w:rStyle w:val="FootnoteReference"/>
        </w:rPr>
        <w:footnoteReference w:id="9"/>
      </w:r>
      <w:r w:rsidR="006E2E1C">
        <w:t xml:space="preserve">. These forces were solely meant for defensive purpose although not always as in the case of </w:t>
      </w:r>
      <w:proofErr w:type="spellStart"/>
      <w:r w:rsidR="006E2E1C">
        <w:t>Molon</w:t>
      </w:r>
      <w:proofErr w:type="spellEnd"/>
      <w:r w:rsidR="006E2E1C">
        <w:t xml:space="preserve"> mobilising his Median forces for the occupation of Babylonia towards the end of the 3</w:t>
      </w:r>
      <w:r w:rsidR="006E2E1C" w:rsidRPr="006E2E1C">
        <w:rPr>
          <w:vertAlign w:val="superscript"/>
        </w:rPr>
        <w:t>rd</w:t>
      </w:r>
      <w:r w:rsidR="006E2E1C">
        <w:t xml:space="preserve"> century</w:t>
      </w:r>
      <w:r w:rsidR="00A5633B">
        <w:rPr>
          <w:rStyle w:val="FootnoteReference"/>
        </w:rPr>
        <w:footnoteReference w:id="10"/>
      </w:r>
      <w:r w:rsidR="006E2E1C">
        <w:t xml:space="preserve">, the fact that several royally sanctioned forces were eliminated by him indicates that the forces at </w:t>
      </w:r>
      <w:proofErr w:type="spellStart"/>
      <w:r w:rsidR="006E2E1C">
        <w:t>Molons</w:t>
      </w:r>
      <w:proofErr w:type="spellEnd"/>
      <w:r w:rsidR="006E2E1C">
        <w:t xml:space="preserve"> disposal were sizeable enough to be a severe threat to the Kingdom as a whole, and certainly more than a localised insurrection.</w:t>
      </w:r>
    </w:p>
    <w:p w14:paraId="5BBFD215" w14:textId="24443F26" w:rsidR="006E2E1C" w:rsidRDefault="006E2E1C" w:rsidP="009748A4">
      <w:r>
        <w:t>While in the sources I have found no mention of the satrap of Babylonia there evidently was a satrapy of the region usually how</w:t>
      </w:r>
      <w:r w:rsidR="005D1B33">
        <w:t>hgb</w:t>
      </w:r>
      <w:r>
        <w:t xml:space="preserve">ever, this was under the control of a close family member of the King who would also be awarded the title of </w:t>
      </w:r>
      <w:proofErr w:type="spellStart"/>
      <w:r>
        <w:t>Strategos</w:t>
      </w:r>
      <w:proofErr w:type="spellEnd"/>
      <w:r>
        <w:t xml:space="preserve"> of the Upper Satrapies, meaning a high command of all the satrapies from Babylonia east to the frontiers of the Kingdom, administered from the palace at Seleucia on the Tigris, an example of this is Prince Antiochus later Antiochus III of our period.</w:t>
      </w:r>
      <w:r>
        <w:rPr>
          <w:rStyle w:val="FootnoteReference"/>
        </w:rPr>
        <w:footnoteReference w:id="11"/>
      </w:r>
    </w:p>
    <w:p w14:paraId="69375CCF" w14:textId="0BF06065" w:rsidR="00257748" w:rsidRDefault="00257748" w:rsidP="009748A4"/>
    <w:p w14:paraId="1FAECB73" w14:textId="0FBFBC91" w:rsidR="00257748" w:rsidRDefault="00257748" w:rsidP="009748A4"/>
    <w:p w14:paraId="49B1CC95" w14:textId="45025C07" w:rsidR="00257748" w:rsidRDefault="00257748" w:rsidP="009748A4"/>
    <w:p w14:paraId="0691419A" w14:textId="0D8E683F" w:rsidR="00257748" w:rsidRDefault="00257748" w:rsidP="009748A4"/>
    <w:p w14:paraId="2B41EE50" w14:textId="1B603A19" w:rsidR="00257748" w:rsidRDefault="00257748" w:rsidP="009748A4"/>
    <w:p w14:paraId="55A18C0D" w14:textId="77777777" w:rsidR="00257748" w:rsidRDefault="00257748" w:rsidP="009748A4"/>
    <w:p w14:paraId="4430090A" w14:textId="77777777" w:rsidR="008A7766" w:rsidRDefault="001B025E" w:rsidP="008A7766">
      <w:r>
        <w:lastRenderedPageBreak/>
        <w:t>Bibliography:</w:t>
      </w:r>
      <w:r>
        <w:br/>
      </w:r>
      <w:proofErr w:type="spellStart"/>
      <w:r w:rsidR="008A7766">
        <w:t>Aperghis</w:t>
      </w:r>
      <w:proofErr w:type="spellEnd"/>
      <w:r w:rsidR="008A7766">
        <w:t xml:space="preserve">, G.G. 2004, </w:t>
      </w:r>
      <w:r w:rsidR="008A7766" w:rsidRPr="00D82F11">
        <w:rPr>
          <w:i/>
        </w:rPr>
        <w:t xml:space="preserve">The </w:t>
      </w:r>
      <w:proofErr w:type="spellStart"/>
      <w:r w:rsidR="008A7766" w:rsidRPr="00D82F11">
        <w:rPr>
          <w:i/>
        </w:rPr>
        <w:t>Seleukid</w:t>
      </w:r>
      <w:proofErr w:type="spellEnd"/>
      <w:r w:rsidR="008A7766" w:rsidRPr="00D82F11">
        <w:rPr>
          <w:i/>
        </w:rPr>
        <w:t xml:space="preserve"> Royal Economy: The Finances and Financial Administration of the </w:t>
      </w:r>
      <w:proofErr w:type="spellStart"/>
      <w:r w:rsidR="008A7766" w:rsidRPr="00D82F11">
        <w:rPr>
          <w:i/>
        </w:rPr>
        <w:t>Seleukid</w:t>
      </w:r>
      <w:proofErr w:type="spellEnd"/>
      <w:r w:rsidR="008A7766" w:rsidRPr="00D82F11">
        <w:rPr>
          <w:i/>
        </w:rPr>
        <w:t xml:space="preserve"> Empire</w:t>
      </w:r>
      <w:r w:rsidR="008A7766">
        <w:t>, Chicago: Chicago University Press</w:t>
      </w:r>
    </w:p>
    <w:p w14:paraId="30AE9187" w14:textId="77777777" w:rsidR="008A7766" w:rsidRDefault="008A7766" w:rsidP="008A7766">
      <w:r>
        <w:t>Bar-</w:t>
      </w:r>
      <w:proofErr w:type="spellStart"/>
      <w:r>
        <w:t>Kochva</w:t>
      </w:r>
      <w:proofErr w:type="spellEnd"/>
      <w:r>
        <w:t xml:space="preserve">, B. 1976, </w:t>
      </w:r>
      <w:r w:rsidRPr="000A6C5B">
        <w:rPr>
          <w:i/>
        </w:rPr>
        <w:t>The Seleucid Army: Organisation &amp; Tactics in the Great Campaigns,</w:t>
      </w:r>
      <w:r>
        <w:t xml:space="preserve"> Cambridge: Cambridge University Press</w:t>
      </w:r>
    </w:p>
    <w:p w14:paraId="6AA38ED8" w14:textId="77777777" w:rsidR="008A7766" w:rsidRPr="00E96667" w:rsidRDefault="008A7766" w:rsidP="008A7766">
      <w:r>
        <w:t xml:space="preserve">Bevan, E.R. 1902, </w:t>
      </w:r>
      <w:r w:rsidRPr="00E053BE">
        <w:rPr>
          <w:i/>
        </w:rPr>
        <w:t xml:space="preserve">The House of </w:t>
      </w:r>
      <w:proofErr w:type="spellStart"/>
      <w:r w:rsidRPr="00E053BE">
        <w:rPr>
          <w:i/>
        </w:rPr>
        <w:t>Seleucus</w:t>
      </w:r>
      <w:proofErr w:type="spellEnd"/>
      <w:r w:rsidRPr="00E053BE">
        <w:rPr>
          <w:i/>
        </w:rPr>
        <w:t xml:space="preserve"> Volume II,</w:t>
      </w:r>
      <w:r>
        <w:rPr>
          <w:i/>
        </w:rPr>
        <w:t xml:space="preserve"> </w:t>
      </w:r>
      <w:r>
        <w:t>London: Routledge and Kegan Paul</w:t>
      </w:r>
    </w:p>
    <w:p w14:paraId="60BFD637" w14:textId="77777777" w:rsidR="008A7766" w:rsidRDefault="008A7766" w:rsidP="008A7766">
      <w:r>
        <w:t xml:space="preserve">Dreyer, B. 2011, </w:t>
      </w:r>
      <w:r>
        <w:rPr>
          <w:i/>
        </w:rPr>
        <w:t xml:space="preserve">How to Become a ‘Relative’ of the King: Careers and Hierarchy at the Court of Antiochus III, </w:t>
      </w:r>
      <w:r>
        <w:t xml:space="preserve">The American Journal of Philology, </w:t>
      </w:r>
      <w:r w:rsidRPr="00813796">
        <w:t>Vol. 132, No. 1</w:t>
      </w:r>
      <w:r>
        <w:t>, 45-57</w:t>
      </w:r>
    </w:p>
    <w:p w14:paraId="122875DD" w14:textId="77777777" w:rsidR="002E0E7D" w:rsidRDefault="002E0E7D" w:rsidP="002E0E7D">
      <w:proofErr w:type="spellStart"/>
      <w:r>
        <w:t>Mehl</w:t>
      </w:r>
      <w:proofErr w:type="spellEnd"/>
      <w:r>
        <w:t xml:space="preserve"> and </w:t>
      </w:r>
      <w:proofErr w:type="spellStart"/>
      <w:r>
        <w:t>Weissenburger</w:t>
      </w:r>
      <w:proofErr w:type="spellEnd"/>
      <w:r>
        <w:t xml:space="preserve"> “</w:t>
      </w:r>
      <w:proofErr w:type="spellStart"/>
      <w:r>
        <w:t>Molon</w:t>
      </w:r>
      <w:proofErr w:type="spellEnd"/>
      <w:r>
        <w:t xml:space="preserve">” 2006, Brill’s New </w:t>
      </w:r>
      <w:proofErr w:type="spellStart"/>
      <w:r>
        <w:t>Pauly</w:t>
      </w:r>
      <w:proofErr w:type="spellEnd"/>
      <w:r>
        <w:t xml:space="preserve">, Antiquity volumes </w:t>
      </w:r>
      <w:hyperlink r:id="rId7" w:history="1">
        <w:r w:rsidRPr="00AC255C">
          <w:rPr>
            <w:rStyle w:val="Hyperlink"/>
          </w:rPr>
          <w:t xml:space="preserve">http://dx.doi.org/10.1163/1574-9347_bnp_e808510 </w:t>
        </w:r>
      </w:hyperlink>
      <w:r>
        <w:t xml:space="preserve"> (Accessed: 13 February 2018)</w:t>
      </w:r>
    </w:p>
    <w:p w14:paraId="15B6A579" w14:textId="77777777" w:rsidR="002E0E7D" w:rsidRPr="00CA0ECF" w:rsidRDefault="002E0E7D" w:rsidP="002E0E7D">
      <w:proofErr w:type="spellStart"/>
      <w:r>
        <w:t>Pirngruber</w:t>
      </w:r>
      <w:proofErr w:type="spellEnd"/>
      <w:r>
        <w:t xml:space="preserve">, R. 2017, </w:t>
      </w:r>
      <w:r w:rsidRPr="00100E90">
        <w:rPr>
          <w:i/>
        </w:rPr>
        <w:t>The Economy of Late Achaemenid and Seleucid Babylonia</w:t>
      </w:r>
      <w:r>
        <w:rPr>
          <w:i/>
        </w:rPr>
        <w:t xml:space="preserve">, </w:t>
      </w:r>
      <w:r>
        <w:t xml:space="preserve">Cambridge: Cambridge University Press </w:t>
      </w:r>
    </w:p>
    <w:p w14:paraId="26C790FB" w14:textId="77777777" w:rsidR="002E0E7D" w:rsidRPr="003806E3" w:rsidRDefault="002E0E7D" w:rsidP="002E0E7D">
      <w:proofErr w:type="spellStart"/>
      <w:r>
        <w:t>Ristvet</w:t>
      </w:r>
      <w:proofErr w:type="spellEnd"/>
      <w:r>
        <w:t xml:space="preserve">, L. 2014, </w:t>
      </w:r>
      <w:r w:rsidRPr="00E053BE">
        <w:rPr>
          <w:i/>
        </w:rPr>
        <w:t>Between ritual an</w:t>
      </w:r>
      <w:bookmarkStart w:id="0" w:name="_GoBack"/>
      <w:bookmarkEnd w:id="0"/>
      <w:r w:rsidRPr="00E053BE">
        <w:rPr>
          <w:i/>
        </w:rPr>
        <w:t>d theatre: political performance in Seleucid Babylonia,</w:t>
      </w:r>
      <w:r>
        <w:rPr>
          <w:i/>
        </w:rPr>
        <w:t xml:space="preserve"> </w:t>
      </w:r>
      <w:r>
        <w:t>World Archaeology, 46:2, 256-269</w:t>
      </w:r>
    </w:p>
    <w:p w14:paraId="05701D01" w14:textId="438B02A0" w:rsidR="001B025E" w:rsidRDefault="001B025E" w:rsidP="001B025E">
      <w:proofErr w:type="spellStart"/>
      <w:r>
        <w:t>Wiesehöfer</w:t>
      </w:r>
      <w:proofErr w:type="spellEnd"/>
      <w:r>
        <w:t>, J</w:t>
      </w:r>
      <w:r>
        <w:t>.</w:t>
      </w:r>
      <w:r>
        <w:t xml:space="preserve"> “Parthia”</w:t>
      </w:r>
      <w:r w:rsidR="000535D7">
        <w:t xml:space="preserve"> 2006</w:t>
      </w:r>
      <w:r>
        <w:t>,</w:t>
      </w:r>
      <w:r w:rsidR="000535D7">
        <w:t xml:space="preserve"> </w:t>
      </w:r>
      <w:r>
        <w:t xml:space="preserve">Brill’s New </w:t>
      </w:r>
      <w:proofErr w:type="spellStart"/>
      <w:r>
        <w:t>Pauly</w:t>
      </w:r>
      <w:proofErr w:type="spellEnd"/>
      <w:r>
        <w:t>, Antiquity volumes</w:t>
      </w:r>
      <w:r w:rsidR="000535D7">
        <w:t>.</w:t>
      </w:r>
      <w:r w:rsidR="00CA4FB9">
        <w:t xml:space="preserve"> </w:t>
      </w:r>
      <w:hyperlink r:id="rId8" w:history="1">
        <w:r w:rsidR="00CA4FB9" w:rsidRPr="00AC255C">
          <w:rPr>
            <w:rStyle w:val="Hyperlink"/>
          </w:rPr>
          <w:t>http://dx.doi.org.ezproxy.uwtsd.ac.uk/10.1163/1574-9347_bnp_e909140</w:t>
        </w:r>
      </w:hyperlink>
      <w:r w:rsidR="00CA4FB9">
        <w:t xml:space="preserve"> (Accessed: 13 February 2018)</w:t>
      </w:r>
    </w:p>
    <w:p w14:paraId="76E49822" w14:textId="77777777" w:rsidR="004C6D61" w:rsidRPr="009748A4" w:rsidRDefault="004C6D61" w:rsidP="001B025E"/>
    <w:sectPr w:rsidR="004C6D61" w:rsidRPr="009748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2D5DB" w14:textId="77777777" w:rsidR="00A941EB" w:rsidRDefault="00A941EB" w:rsidP="00D900FA">
      <w:pPr>
        <w:spacing w:after="0" w:line="240" w:lineRule="auto"/>
      </w:pPr>
      <w:r>
        <w:separator/>
      </w:r>
    </w:p>
  </w:endnote>
  <w:endnote w:type="continuationSeparator" w:id="0">
    <w:p w14:paraId="1FF86D5C" w14:textId="77777777" w:rsidR="00A941EB" w:rsidRDefault="00A941EB" w:rsidP="00D90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6E8E6" w14:textId="77777777" w:rsidR="00A941EB" w:rsidRDefault="00A941EB" w:rsidP="00D900FA">
      <w:pPr>
        <w:spacing w:after="0" w:line="240" w:lineRule="auto"/>
      </w:pPr>
      <w:r>
        <w:separator/>
      </w:r>
    </w:p>
  </w:footnote>
  <w:footnote w:type="continuationSeparator" w:id="0">
    <w:p w14:paraId="7414E476" w14:textId="77777777" w:rsidR="00A941EB" w:rsidRDefault="00A941EB" w:rsidP="00D900FA">
      <w:pPr>
        <w:spacing w:after="0" w:line="240" w:lineRule="auto"/>
      </w:pPr>
      <w:r>
        <w:continuationSeparator/>
      </w:r>
    </w:p>
  </w:footnote>
  <w:footnote w:id="1">
    <w:p w14:paraId="37B2B4BB" w14:textId="6119D895" w:rsidR="00572ECF" w:rsidRDefault="00572ECF" w:rsidP="005A6A62">
      <w:r>
        <w:rPr>
          <w:rStyle w:val="FootnoteReference"/>
        </w:rPr>
        <w:footnoteRef/>
      </w:r>
      <w:r>
        <w:t xml:space="preserve"> </w:t>
      </w:r>
      <w:proofErr w:type="spellStart"/>
      <w:r w:rsidR="00227B03" w:rsidRPr="005A6A62">
        <w:rPr>
          <w:lang w:eastAsia="en-GB"/>
        </w:rPr>
        <w:t>Wiesehöfer</w:t>
      </w:r>
      <w:proofErr w:type="spellEnd"/>
      <w:r w:rsidR="00227B03" w:rsidRPr="005A6A62">
        <w:t xml:space="preserve"> 2006</w:t>
      </w:r>
    </w:p>
  </w:footnote>
  <w:footnote w:id="2">
    <w:p w14:paraId="5D4955AA" w14:textId="50C29C5C" w:rsidR="00572ECF" w:rsidRDefault="00572ECF">
      <w:pPr>
        <w:pStyle w:val="FootnoteText"/>
      </w:pPr>
      <w:r>
        <w:rPr>
          <w:rStyle w:val="FootnoteReference"/>
        </w:rPr>
        <w:footnoteRef/>
      </w:r>
      <w:r>
        <w:t xml:space="preserve"> </w:t>
      </w:r>
      <w:proofErr w:type="spellStart"/>
      <w:r w:rsidR="00227B03" w:rsidRPr="005A6A62">
        <w:rPr>
          <w:lang w:eastAsia="en-GB"/>
        </w:rPr>
        <w:t>Wiesehöfer</w:t>
      </w:r>
      <w:proofErr w:type="spellEnd"/>
      <w:r w:rsidR="00227B03" w:rsidRPr="005A6A62">
        <w:t xml:space="preserve"> 2006</w:t>
      </w:r>
    </w:p>
  </w:footnote>
  <w:footnote w:id="3">
    <w:p w14:paraId="014A4D51" w14:textId="1B430F38" w:rsidR="007B1BE0" w:rsidRDefault="007B1BE0">
      <w:pPr>
        <w:pStyle w:val="FootnoteText"/>
      </w:pPr>
      <w:r>
        <w:rPr>
          <w:rStyle w:val="FootnoteReference"/>
        </w:rPr>
        <w:footnoteRef/>
      </w:r>
      <w:r>
        <w:t xml:space="preserve"> </w:t>
      </w:r>
      <w:r w:rsidR="004E2A3E">
        <w:t>Dreyer 2011</w:t>
      </w:r>
      <w:r w:rsidR="00041D0E">
        <w:t>:</w:t>
      </w:r>
      <w:r w:rsidR="00B519CA">
        <w:t xml:space="preserve"> 50</w:t>
      </w:r>
    </w:p>
  </w:footnote>
  <w:footnote w:id="4">
    <w:p w14:paraId="7A4329B5" w14:textId="76AB9335" w:rsidR="00620B99" w:rsidRDefault="00620B99">
      <w:pPr>
        <w:pStyle w:val="FootnoteText"/>
      </w:pPr>
      <w:r>
        <w:rPr>
          <w:rStyle w:val="FootnoteReference"/>
        </w:rPr>
        <w:footnoteRef/>
      </w:r>
      <w:r>
        <w:t xml:space="preserve"> </w:t>
      </w:r>
      <w:proofErr w:type="spellStart"/>
      <w:r w:rsidR="003703B6">
        <w:t>Pirngruber</w:t>
      </w:r>
      <w:proofErr w:type="spellEnd"/>
      <w:r w:rsidR="001B672D">
        <w:t xml:space="preserve"> 2017</w:t>
      </w:r>
      <w:r w:rsidR="00041D0E">
        <w:t>:</w:t>
      </w:r>
      <w:r w:rsidR="00446F53">
        <w:t xml:space="preserve"> 26</w:t>
      </w:r>
    </w:p>
  </w:footnote>
  <w:footnote w:id="5">
    <w:p w14:paraId="58F5D22E" w14:textId="176F5FE9" w:rsidR="00C71D33" w:rsidRDefault="00C71D33">
      <w:pPr>
        <w:pStyle w:val="FootnoteText"/>
      </w:pPr>
      <w:r>
        <w:rPr>
          <w:rStyle w:val="FootnoteReference"/>
        </w:rPr>
        <w:footnoteRef/>
      </w:r>
      <w:r>
        <w:t xml:space="preserve"> </w:t>
      </w:r>
      <w:proofErr w:type="spellStart"/>
      <w:r w:rsidR="00446F53">
        <w:t>Pirngruber</w:t>
      </w:r>
      <w:proofErr w:type="spellEnd"/>
      <w:r w:rsidR="00446F53">
        <w:t xml:space="preserve"> 2017</w:t>
      </w:r>
      <w:r w:rsidR="00257748">
        <w:t>:</w:t>
      </w:r>
      <w:r w:rsidR="00446F53">
        <w:t xml:space="preserve"> 26</w:t>
      </w:r>
    </w:p>
  </w:footnote>
  <w:footnote w:id="6">
    <w:p w14:paraId="7288E76D" w14:textId="2A561935" w:rsidR="0059196F" w:rsidRDefault="0059196F">
      <w:pPr>
        <w:pStyle w:val="FootnoteText"/>
      </w:pPr>
      <w:r>
        <w:rPr>
          <w:rStyle w:val="FootnoteReference"/>
        </w:rPr>
        <w:footnoteRef/>
      </w:r>
      <w:r>
        <w:t xml:space="preserve"> </w:t>
      </w:r>
      <w:proofErr w:type="spellStart"/>
      <w:r w:rsidR="00353421">
        <w:t>Aperghis</w:t>
      </w:r>
      <w:proofErr w:type="spellEnd"/>
      <w:r w:rsidR="00353421">
        <w:t xml:space="preserve"> 2004</w:t>
      </w:r>
      <w:r w:rsidR="00257748">
        <w:t>:</w:t>
      </w:r>
      <w:r w:rsidR="00353421">
        <w:t xml:space="preserve"> 257</w:t>
      </w:r>
    </w:p>
  </w:footnote>
  <w:footnote w:id="7">
    <w:p w14:paraId="77600526" w14:textId="55155F85" w:rsidR="00E5677B" w:rsidRDefault="00E5677B">
      <w:pPr>
        <w:pStyle w:val="FootnoteText"/>
      </w:pPr>
      <w:r>
        <w:rPr>
          <w:rStyle w:val="FootnoteReference"/>
        </w:rPr>
        <w:footnoteRef/>
      </w:r>
      <w:r>
        <w:t xml:space="preserve"> </w:t>
      </w:r>
      <w:proofErr w:type="spellStart"/>
      <w:r w:rsidR="00BA29A7">
        <w:t>Mehl</w:t>
      </w:r>
      <w:proofErr w:type="spellEnd"/>
      <w:r w:rsidR="00BA29A7">
        <w:t xml:space="preserve"> and </w:t>
      </w:r>
      <w:proofErr w:type="spellStart"/>
      <w:r w:rsidR="00BA29A7">
        <w:t>Weissenburger</w:t>
      </w:r>
      <w:proofErr w:type="spellEnd"/>
      <w:r w:rsidR="00BA29A7">
        <w:t xml:space="preserve"> 2006</w:t>
      </w:r>
    </w:p>
  </w:footnote>
  <w:footnote w:id="8">
    <w:p w14:paraId="27E72ED7" w14:textId="65269429" w:rsidR="00AE7518" w:rsidRDefault="00AE7518">
      <w:pPr>
        <w:pStyle w:val="FootnoteText"/>
      </w:pPr>
      <w:r>
        <w:rPr>
          <w:rStyle w:val="FootnoteReference"/>
        </w:rPr>
        <w:footnoteRef/>
      </w:r>
      <w:r>
        <w:t xml:space="preserve"> </w:t>
      </w:r>
      <w:proofErr w:type="spellStart"/>
      <w:r w:rsidR="00FC325D">
        <w:t>Ristvet</w:t>
      </w:r>
      <w:proofErr w:type="spellEnd"/>
      <w:r w:rsidR="00FC325D">
        <w:t xml:space="preserve"> </w:t>
      </w:r>
      <w:r w:rsidR="00BC3E74">
        <w:t>2014</w:t>
      </w:r>
      <w:r w:rsidR="00257748">
        <w:t xml:space="preserve">: </w:t>
      </w:r>
      <w:r w:rsidR="006762FC">
        <w:t>256</w:t>
      </w:r>
    </w:p>
  </w:footnote>
  <w:footnote w:id="9">
    <w:p w14:paraId="311D9B68" w14:textId="709BCE3F" w:rsidR="00841D3D" w:rsidRDefault="00841D3D">
      <w:pPr>
        <w:pStyle w:val="FootnoteText"/>
      </w:pPr>
      <w:r>
        <w:rPr>
          <w:rStyle w:val="FootnoteReference"/>
        </w:rPr>
        <w:footnoteRef/>
      </w:r>
      <w:r>
        <w:t xml:space="preserve"> </w:t>
      </w:r>
      <w:r w:rsidR="00906DEE">
        <w:t>Bar-</w:t>
      </w:r>
      <w:proofErr w:type="spellStart"/>
      <w:r w:rsidR="00906DEE">
        <w:t>Kochva</w:t>
      </w:r>
      <w:proofErr w:type="spellEnd"/>
      <w:r w:rsidR="0073526C">
        <w:t xml:space="preserve"> 1976</w:t>
      </w:r>
      <w:r w:rsidR="00257748">
        <w:t>:</w:t>
      </w:r>
      <w:r w:rsidR="0073526C">
        <w:t xml:space="preserve"> 33</w:t>
      </w:r>
    </w:p>
  </w:footnote>
  <w:footnote w:id="10">
    <w:p w14:paraId="70F2F6C7" w14:textId="2BA858DB" w:rsidR="00A5633B" w:rsidRDefault="00A5633B">
      <w:pPr>
        <w:pStyle w:val="FootnoteText"/>
      </w:pPr>
      <w:r>
        <w:rPr>
          <w:rStyle w:val="FootnoteReference"/>
        </w:rPr>
        <w:footnoteRef/>
      </w:r>
      <w:r>
        <w:t xml:space="preserve"> </w:t>
      </w:r>
      <w:proofErr w:type="spellStart"/>
      <w:r w:rsidR="004C6D61">
        <w:t>Mehl</w:t>
      </w:r>
      <w:proofErr w:type="spellEnd"/>
      <w:r w:rsidR="004C6D61">
        <w:t xml:space="preserve"> and </w:t>
      </w:r>
      <w:proofErr w:type="spellStart"/>
      <w:r w:rsidR="004C6D61">
        <w:t>Weissenburger</w:t>
      </w:r>
      <w:proofErr w:type="spellEnd"/>
      <w:r w:rsidR="004C6D61">
        <w:t xml:space="preserve"> 2006</w:t>
      </w:r>
    </w:p>
  </w:footnote>
  <w:footnote w:id="11">
    <w:p w14:paraId="57F51445" w14:textId="28A0B283" w:rsidR="006E2E1C" w:rsidRDefault="006E2E1C">
      <w:pPr>
        <w:pStyle w:val="FootnoteText"/>
      </w:pPr>
      <w:r>
        <w:rPr>
          <w:rStyle w:val="FootnoteReference"/>
        </w:rPr>
        <w:footnoteRef/>
      </w:r>
      <w:r>
        <w:t xml:space="preserve"> </w:t>
      </w:r>
      <w:r w:rsidR="00721040">
        <w:t>Dreyer</w:t>
      </w:r>
      <w:r w:rsidR="00C460EB">
        <w:t xml:space="preserve"> 2011:</w:t>
      </w:r>
      <w:r w:rsidR="003A781B">
        <w:t xml:space="preserve"> 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8A4"/>
    <w:rsid w:val="00020A99"/>
    <w:rsid w:val="000308BC"/>
    <w:rsid w:val="000349C1"/>
    <w:rsid w:val="00041D0E"/>
    <w:rsid w:val="000535D7"/>
    <w:rsid w:val="000646EE"/>
    <w:rsid w:val="00086E92"/>
    <w:rsid w:val="000A6C5B"/>
    <w:rsid w:val="000A7150"/>
    <w:rsid w:val="000B71AE"/>
    <w:rsid w:val="000E429D"/>
    <w:rsid w:val="000E7934"/>
    <w:rsid w:val="00100E90"/>
    <w:rsid w:val="00137DCF"/>
    <w:rsid w:val="00142576"/>
    <w:rsid w:val="0016064A"/>
    <w:rsid w:val="0016133A"/>
    <w:rsid w:val="001B025E"/>
    <w:rsid w:val="001B4111"/>
    <w:rsid w:val="001B672D"/>
    <w:rsid w:val="001E332F"/>
    <w:rsid w:val="001F6C5E"/>
    <w:rsid w:val="0020459E"/>
    <w:rsid w:val="00227B03"/>
    <w:rsid w:val="00240004"/>
    <w:rsid w:val="0025500D"/>
    <w:rsid w:val="00257748"/>
    <w:rsid w:val="00263AF8"/>
    <w:rsid w:val="002777DD"/>
    <w:rsid w:val="00280774"/>
    <w:rsid w:val="002E0E7D"/>
    <w:rsid w:val="002F421D"/>
    <w:rsid w:val="00327D9C"/>
    <w:rsid w:val="0034078B"/>
    <w:rsid w:val="00353421"/>
    <w:rsid w:val="00367091"/>
    <w:rsid w:val="003703B6"/>
    <w:rsid w:val="003806E3"/>
    <w:rsid w:val="003A781B"/>
    <w:rsid w:val="003B2B04"/>
    <w:rsid w:val="003C2ED1"/>
    <w:rsid w:val="003D3CD0"/>
    <w:rsid w:val="003D58ED"/>
    <w:rsid w:val="003E4A1F"/>
    <w:rsid w:val="004257B9"/>
    <w:rsid w:val="00446F53"/>
    <w:rsid w:val="00452AD8"/>
    <w:rsid w:val="004563D5"/>
    <w:rsid w:val="00472669"/>
    <w:rsid w:val="00475512"/>
    <w:rsid w:val="004B7E04"/>
    <w:rsid w:val="004C401B"/>
    <w:rsid w:val="004C6D61"/>
    <w:rsid w:val="004D44ED"/>
    <w:rsid w:val="004E2A3E"/>
    <w:rsid w:val="004F420F"/>
    <w:rsid w:val="004F5D6F"/>
    <w:rsid w:val="005045B0"/>
    <w:rsid w:val="00531F94"/>
    <w:rsid w:val="0055027E"/>
    <w:rsid w:val="00571348"/>
    <w:rsid w:val="00572ECF"/>
    <w:rsid w:val="0059196F"/>
    <w:rsid w:val="00597E55"/>
    <w:rsid w:val="005A6A62"/>
    <w:rsid w:val="005D1B33"/>
    <w:rsid w:val="005D26D3"/>
    <w:rsid w:val="00620B99"/>
    <w:rsid w:val="00622554"/>
    <w:rsid w:val="006762FC"/>
    <w:rsid w:val="006D6A1F"/>
    <w:rsid w:val="006E2E1C"/>
    <w:rsid w:val="006F7162"/>
    <w:rsid w:val="00704E23"/>
    <w:rsid w:val="00721040"/>
    <w:rsid w:val="00727F3B"/>
    <w:rsid w:val="0073526C"/>
    <w:rsid w:val="00777620"/>
    <w:rsid w:val="00785B97"/>
    <w:rsid w:val="007B1BE0"/>
    <w:rsid w:val="007F6096"/>
    <w:rsid w:val="00813796"/>
    <w:rsid w:val="00834926"/>
    <w:rsid w:val="00841D3D"/>
    <w:rsid w:val="00842AAC"/>
    <w:rsid w:val="00896D65"/>
    <w:rsid w:val="008A7766"/>
    <w:rsid w:val="008C79F3"/>
    <w:rsid w:val="008D518F"/>
    <w:rsid w:val="008E592E"/>
    <w:rsid w:val="00906DEE"/>
    <w:rsid w:val="00942003"/>
    <w:rsid w:val="0097252B"/>
    <w:rsid w:val="009748A4"/>
    <w:rsid w:val="00981B3D"/>
    <w:rsid w:val="009A1729"/>
    <w:rsid w:val="009A2144"/>
    <w:rsid w:val="009B4675"/>
    <w:rsid w:val="00A07B51"/>
    <w:rsid w:val="00A1474E"/>
    <w:rsid w:val="00A24BC4"/>
    <w:rsid w:val="00A31115"/>
    <w:rsid w:val="00A5633B"/>
    <w:rsid w:val="00A748C8"/>
    <w:rsid w:val="00A87626"/>
    <w:rsid w:val="00A941EB"/>
    <w:rsid w:val="00AE31A1"/>
    <w:rsid w:val="00AE7518"/>
    <w:rsid w:val="00B519CA"/>
    <w:rsid w:val="00B636F2"/>
    <w:rsid w:val="00B64FB1"/>
    <w:rsid w:val="00B65A4D"/>
    <w:rsid w:val="00B71AF1"/>
    <w:rsid w:val="00B81690"/>
    <w:rsid w:val="00B82E15"/>
    <w:rsid w:val="00BA29A7"/>
    <w:rsid w:val="00BB0D71"/>
    <w:rsid w:val="00BC3E74"/>
    <w:rsid w:val="00BD2C3D"/>
    <w:rsid w:val="00BF63A1"/>
    <w:rsid w:val="00C35337"/>
    <w:rsid w:val="00C460EB"/>
    <w:rsid w:val="00C71D33"/>
    <w:rsid w:val="00C84067"/>
    <w:rsid w:val="00C971B2"/>
    <w:rsid w:val="00CA0ECF"/>
    <w:rsid w:val="00CA3406"/>
    <w:rsid w:val="00CA4FB9"/>
    <w:rsid w:val="00CE2E72"/>
    <w:rsid w:val="00D066C5"/>
    <w:rsid w:val="00D22B43"/>
    <w:rsid w:val="00D50D70"/>
    <w:rsid w:val="00D82F11"/>
    <w:rsid w:val="00D83A24"/>
    <w:rsid w:val="00D900FA"/>
    <w:rsid w:val="00DC42F9"/>
    <w:rsid w:val="00DC4C4C"/>
    <w:rsid w:val="00DC65F9"/>
    <w:rsid w:val="00E053BE"/>
    <w:rsid w:val="00E0760B"/>
    <w:rsid w:val="00E5677B"/>
    <w:rsid w:val="00E96667"/>
    <w:rsid w:val="00EE1FE6"/>
    <w:rsid w:val="00F0213A"/>
    <w:rsid w:val="00F0284D"/>
    <w:rsid w:val="00F030F7"/>
    <w:rsid w:val="00F67A47"/>
    <w:rsid w:val="00F879BB"/>
    <w:rsid w:val="00F93DBB"/>
    <w:rsid w:val="00FC325D"/>
    <w:rsid w:val="00FC4EF7"/>
    <w:rsid w:val="00FD2FB1"/>
    <w:rsid w:val="00FE64B5"/>
    <w:rsid w:val="00FE66AD"/>
    <w:rsid w:val="00FF7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74F85"/>
  <w15:chartTrackingRefBased/>
  <w15:docId w15:val="{5DF392AF-DA21-4521-A9B3-998EE7CCC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8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748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8A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748A4"/>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D900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00FA"/>
    <w:rPr>
      <w:sz w:val="20"/>
      <w:szCs w:val="20"/>
    </w:rPr>
  </w:style>
  <w:style w:type="character" w:styleId="FootnoteReference">
    <w:name w:val="footnote reference"/>
    <w:basedOn w:val="DefaultParagraphFont"/>
    <w:uiPriority w:val="99"/>
    <w:semiHidden/>
    <w:unhideWhenUsed/>
    <w:rsid w:val="00D900FA"/>
    <w:rPr>
      <w:vertAlign w:val="superscript"/>
    </w:rPr>
  </w:style>
  <w:style w:type="character" w:customStyle="1" w:styleId="citationitalic">
    <w:name w:val="citationitalic"/>
    <w:basedOn w:val="DefaultParagraphFont"/>
    <w:rsid w:val="005A6A62"/>
  </w:style>
  <w:style w:type="character" w:styleId="Hyperlink">
    <w:name w:val="Hyperlink"/>
    <w:basedOn w:val="DefaultParagraphFont"/>
    <w:uiPriority w:val="99"/>
    <w:unhideWhenUsed/>
    <w:rsid w:val="00C35337"/>
    <w:rPr>
      <w:color w:val="0000FF"/>
      <w:u w:val="single"/>
    </w:rPr>
  </w:style>
  <w:style w:type="character" w:styleId="UnresolvedMention">
    <w:name w:val="Unresolved Mention"/>
    <w:basedOn w:val="DefaultParagraphFont"/>
    <w:uiPriority w:val="99"/>
    <w:semiHidden/>
    <w:unhideWhenUsed/>
    <w:rsid w:val="004C6D6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943235">
      <w:bodyDiv w:val="1"/>
      <w:marLeft w:val="0"/>
      <w:marRight w:val="0"/>
      <w:marTop w:val="0"/>
      <w:marBottom w:val="0"/>
      <w:divBdr>
        <w:top w:val="none" w:sz="0" w:space="0" w:color="auto"/>
        <w:left w:val="none" w:sz="0" w:space="0" w:color="auto"/>
        <w:bottom w:val="none" w:sz="0" w:space="0" w:color="auto"/>
        <w:right w:val="none" w:sz="0" w:space="0" w:color="auto"/>
      </w:divBdr>
      <w:divsChild>
        <w:div w:id="741370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ezproxy.uwtsd.ac.uk/10.1163/1574-9347_bnp_e909140" TargetMode="External"/><Relationship Id="rId3" Type="http://schemas.openxmlformats.org/officeDocument/2006/relationships/settings" Target="settings.xml"/><Relationship Id="rId7" Type="http://schemas.openxmlformats.org/officeDocument/2006/relationships/hyperlink" Target="http://dx.doi.org/10.1163/1574-9347_bnp_e808510%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0B3896-5463-4EB6-88CD-85A1E5E97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3</Pages>
  <Words>1030</Words>
  <Characters>5874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McGregor</dc:creator>
  <cp:keywords/>
  <dc:description/>
  <cp:lastModifiedBy>Bradley McGregor</cp:lastModifiedBy>
  <cp:revision>153</cp:revision>
  <dcterms:created xsi:type="dcterms:W3CDTF">2018-02-10T14:03:00Z</dcterms:created>
  <dcterms:modified xsi:type="dcterms:W3CDTF">2018-02-13T19:48:00Z</dcterms:modified>
</cp:coreProperties>
</file>