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19ED532" w14:textId="2EA2B2C6" w:rsidR="008F203D" w:rsidRDefault="008F203D" w:rsidP="008F203D">
      <w:r>
        <w:t>Refl</w:t>
      </w:r>
      <w:bookmarkStart w:id="0" w:name="_GoBack"/>
      <w:bookmarkEnd w:id="0"/>
      <w:r>
        <w:t>ective Essay:</w:t>
      </w:r>
    </w:p>
    <w:p w14:paraId="163C13E1" w14:textId="77777777" w:rsidR="008F203D" w:rsidRDefault="008F203D" w:rsidP="008F203D"/>
    <w:p w14:paraId="03743F31" w14:textId="7B44B762" w:rsidR="0091290F" w:rsidRDefault="008F203D" w:rsidP="008F203D">
      <w:r>
        <w:t>Being part of Amazing Grace, the musical by Mal Pope, was honestly one of the most intense and rewarding experiences I've ever had. I juggled multiple roles—Beth, a Gossip Woman, a French doctor, and even a miner—each one challenging me to quickly shift gears emotionally and mentally. It wasn’t just about learning lines; it was about stepping into someone else's shoes again and again and truly understanding what made each character tick. My journey didn’t stop at acting. I got the chance to help direct the mining accident scene, which pushed me to think creatively and collaboratively. And when a few cast members fell ill right before the final shows, I unexpectedly ended up backstage, making sure everything ran smoothly. That moment reminded me how much trust and teamwork go into live performance. All of these roles—on and off stage—helped me grow in ways I didn’t expect. They taught me to stay grounded under pressure, speak up with confidence, and connect more deeply with the themes of the story: resilience, change, and finding hope in the darkest places. In this essay, I want to share how this experience not only challenged me artistically but also shaped the person I'm becoming.</w:t>
      </w:r>
    </w:p>
    <w:p w14:paraId="5428979A" w14:textId="6B65FEA5" w:rsidR="008F203D" w:rsidRPr="008F203D" w:rsidRDefault="008F203D" w:rsidP="008F203D">
      <w:r w:rsidRPr="008F203D">
        <w:t xml:space="preserve">The Welsh Revival of 1904–1905, led by Evan Roberts, marked a turning point in Welsh church culture and stands at the heart of </w:t>
      </w:r>
      <w:r w:rsidRPr="008F203D">
        <w:rPr>
          <w:i/>
          <w:iCs/>
        </w:rPr>
        <w:t>Amazing Grace</w:t>
      </w:r>
      <w:r w:rsidRPr="008F203D">
        <w:t xml:space="preserve">, the musical by Mal Pope. At the time, Nonconformist chapels were central to community life, with worship often unfolding in spontaneous, emotionally charged gatherings. Scenes of </w:t>
      </w:r>
      <w:r>
        <w:t>extreme</w:t>
      </w:r>
      <w:r w:rsidRPr="008F203D">
        <w:t xml:space="preserve"> prayer, heartfelt confessions, and Welsh hymns, so characteristic of the era, are vividly reimagined on stage (Jones, 2004).</w:t>
      </w:r>
    </w:p>
    <w:p w14:paraId="19C17CE0" w14:textId="1B0548F5" w:rsidR="008F203D" w:rsidRDefault="008F203D" w:rsidP="008F203D">
      <w:r w:rsidRPr="008F203D">
        <w:t xml:space="preserve">Evan Roberts, formerly a coal miner, believed he was divinely chosen to ignite spiritual change across the nation. His messages—focused on personal salvation, repentance, and the power of the Holy Spirit—resonated deeply, frequently transforming lives (Evans, 2004). These themes are </w:t>
      </w:r>
      <w:r>
        <w:t>found</w:t>
      </w:r>
      <w:r w:rsidRPr="008F203D">
        <w:t xml:space="preserve"> throughout </w:t>
      </w:r>
      <w:r w:rsidRPr="008F203D">
        <w:rPr>
          <w:i/>
          <w:iCs/>
        </w:rPr>
        <w:t>Amazing Grace</w:t>
      </w:r>
      <w:r w:rsidRPr="008F203D">
        <w:t xml:space="preserve">, with moments of community reckoning and redemption echoing the real-world revival. Beyond the pulpit, the movement had effects on </w:t>
      </w:r>
      <w:r>
        <w:t xml:space="preserve">  </w:t>
      </w:r>
      <w:r w:rsidRPr="008F203D">
        <w:t>society—crime rates plummeted, public houses emptied, and long-overdue debts were repaid, reflecting how faith rippled through everyday behaviour (Morgan, 1981). This social awakening is paralleled in the musical’s depiction of the mining community’s hardships and eventual spiritual renewal.</w:t>
      </w:r>
      <w:r>
        <w:t xml:space="preserve"> </w:t>
      </w:r>
      <w:r w:rsidRPr="008F203D">
        <w:t xml:space="preserve">By placing Evan Roberts at its core, </w:t>
      </w:r>
      <w:r w:rsidRPr="008F203D">
        <w:rPr>
          <w:i/>
          <w:iCs/>
        </w:rPr>
        <w:t>Amazing Grace</w:t>
      </w:r>
      <w:r w:rsidRPr="008F203D">
        <w:t xml:space="preserve"> offers not only a powerful portrayal of the revival’s emotional depth but also a tribute to its enduring impact on Welsh identity and faith tradition (Davies, 1999).</w:t>
      </w:r>
    </w:p>
    <w:p w14:paraId="58BC243A" w14:textId="567F6510" w:rsidR="00116783" w:rsidRDefault="00116783" w:rsidP="00116783">
      <w:r>
        <w:t xml:space="preserve">Portraying a miner in Amazing Grace was one of the most challenging roles I’ve ever taken on, largely because the world of 1904 Wales felt so distant from the one, I know. As someone who has never lived through the hardships, danger, and deep-rooted camaraderie of coal mining life, I had to immerse myself in research and emotional exploration to truly grasp what these men endured. Early 20th-century mining communities in Wales were tightly knit, shaped by poverty, relentless labour, and a powerful dependence on faith and chapel life for strength and hope (Morgan, 1981). To really develop my character, I studied historical photographs, watched documentaries, and read detailed accounts of life in the South Wales coalfields (Williams, 1998). My grandad also being a miner previously meant I could ask him what specific situations such as the mining accident scene would have felt like. These helped me begin to understand not just the physical toll, but the emotional resilience of the miners. On stage, I adjusted my physicality—moving with weight and weariness—to embody the exhaustion of someone accustomed to punishing manual work and 12/14-hour days. What added even more depth to my performance was understanding how central religion </w:t>
      </w:r>
      <w:r>
        <w:lastRenderedPageBreak/>
        <w:t xml:space="preserve">and revival were to their lives, The 1904 Revival offered a sense of dignity and spiritual purpose to many working-class people amid such hardship (Jones, 2004), and connecting with that mindset allowed me to approach the role with greater knowledge of what a miners lifestyle in 1904 would have been like. </w:t>
      </w:r>
    </w:p>
    <w:p w14:paraId="56D51F97" w14:textId="6324C302" w:rsidR="00116783" w:rsidRDefault="00116783" w:rsidP="00116783">
      <w:r>
        <w:t xml:space="preserve">Playing a congregation member (Beth) in *Amazing Grace* called for a unique kind of focus—unlike my other roles, this wasn’t about inhabiting one individual with a detailed backstory, but about embodying an entire community defined by faith, struggle, and spiritual awakening. To prepare, I immersed myself in imagining how people in 1904 Wales would have experienced chapel services, particularly during the emotionally charged moments of the Welsh Revival. These gatherings weren’t formal or restrained—they overflowed with raw emotion, fervent prayer, and spontaneous singing (Evans, 2004). To better capture that atmosphere, I studied first-hand accounts of Evan Roberts’ revival meetings, where congregants would openly weep, shout “Amen,” or collapse in spiritual surrender (Jones, 2004). I also watched footage and </w:t>
      </w:r>
      <w:proofErr w:type="spellStart"/>
      <w:r>
        <w:t>reenactments</w:t>
      </w:r>
      <w:proofErr w:type="spellEnd"/>
      <w:r>
        <w:t xml:space="preserve"> of Welsh </w:t>
      </w:r>
      <w:proofErr w:type="spellStart"/>
      <w:r>
        <w:t>Cymanfa</w:t>
      </w:r>
      <w:proofErr w:type="spellEnd"/>
      <w:r>
        <w:t xml:space="preserve"> </w:t>
      </w:r>
      <w:proofErr w:type="spellStart"/>
      <w:r>
        <w:t>Ganu</w:t>
      </w:r>
      <w:proofErr w:type="spellEnd"/>
      <w:r>
        <w:t xml:space="preserve"> festivals, where entire congregations joined in powerful, harmonious hymn singing, driven by deep conviction and heartfelt emotion (Davies, 1999). Although I didn’t have spoken lines, I quickly realised that non-verbal performance—body language, facial expression, and collective energy—was vital in conveying the revival’s impact. Whether silently praying, singing with intensity, or expressing awe at the movement unfolding around me, I focused on reacting truthfully, grounding every moment in the emotional reality of the time. Through this role, I learned that sometimes it’s not what you say, but how deeply you feel that can bring history to life on stage.</w:t>
      </w:r>
    </w:p>
    <w:p w14:paraId="660C571E" w14:textId="77777777" w:rsidR="00CA1F4E" w:rsidRDefault="00CA1F4E" w:rsidP="00CA1F4E"/>
    <w:p w14:paraId="66C2D0C9" w14:textId="6EAF814C" w:rsidR="008F203D" w:rsidRDefault="00CA1F4E" w:rsidP="008F203D">
      <w:r>
        <w:t>Taking on the role of the French doctor who examines Evan Roberts in *Amazing Grace* was a distinctly different challenge from the others I faced. Unlike the Welsh characters grounded in faith and community, this figure entered the story as an outsider—clinical, sceptical, and driven by reason rather than belief. Historically, Evan Roberts’ dramatic withdrawal from public preaching raised serious concerns about his mental and physical well-being (Evans, 2004), and my character echoed that rational perspective: someone viewing Evan not as a spiritual leader, but as a patient. To bring authenticity to the role, I explored how early 20th-century physicians understood psychological and emotional states. Concepts like religious ecstasy or spiritual visions were often interpreted through the lens of hysteria or exhaustion, given how limited and biased mental health frameworks were at the time (Jones, 2004). I also studied the emerging field of European psychiatry, particularly developments in France where pioneers like Jean-Martin Charcot were beginning to investigate the link between mind and body (Goetz, 1995). This research shaped my portrayal—a calm, analytical presence who appears composed but struggles to grasp the emotional and spiritual depth of what’s unfolding. My performance intentionally leaned into detachment, offering a contrast to the revival’s intensity and drawing out the tension between scientific scepticism and religious experience. Ultimately, this role helped me reflect on how differently people interpret extraordinary moments—some through faith, others through fact—and how that divide can both challenge and deepen a story’s impact.</w:t>
      </w:r>
    </w:p>
    <w:p w14:paraId="0E52C3C2" w14:textId="77777777" w:rsidR="008F203D" w:rsidRDefault="008F203D" w:rsidP="008F203D"/>
    <w:p w14:paraId="39FFEBE8" w14:textId="77777777" w:rsidR="00CA1F4E" w:rsidRDefault="00CA1F4E" w:rsidP="008F203D"/>
    <w:p w14:paraId="3A2F6525" w14:textId="27FCC5B7" w:rsidR="00CA1F4E" w:rsidRDefault="00CA1F4E" w:rsidP="00CA1F4E">
      <w:pPr>
        <w:tabs>
          <w:tab w:val="left" w:pos="2096"/>
        </w:tabs>
      </w:pPr>
      <w:r>
        <w:t xml:space="preserve">Portraying the Gossip Woman in the song *Read All About It* from Amazing Grace was a fascinating challenge, largely because the role embodied the public’s intense curiosity and </w:t>
      </w:r>
      <w:r>
        <w:lastRenderedPageBreak/>
        <w:t>critical gaze directed at Evan Roberts during the Welsh Revival. This moment in the musical sheds light on how media coverage and community chatter began spinning rumours and sensational stories about Evan, revealing society’s complicated response to his sudden fame (Thomas, 2010). To build the character, I delved into how early 20th-century Welsh newspapers often sensationalized religious events to grab attention (Williams, 2008). I also explored how gossip circulated within tight-knit mining communities—fast-moving, emotionally charged, and frequently distorted (Huws, 2006). These insights helped me approach the role with theatrical exaggeration: expressive movements, sharp gestures, and an energetic stage presence that reflected the blend of intrigue, judgment, and excitement typical of gossip culture. Through this role, I gained a clearer sense of the immense pressure Evan Roberts must have felt—not just from his spiritual mission, but from the constant scrutiny and narrative-shaping forces of public opinion and media influence (Evans, 2013). It made me think more deeply about how quickly stories can be reshaped, misunderstood, or magnified when fame and faith collide.</w:t>
      </w:r>
    </w:p>
    <w:p w14:paraId="296825DA" w14:textId="77777777" w:rsidR="000E2DE1" w:rsidRDefault="000E2DE1" w:rsidP="000E2DE1">
      <w:pPr>
        <w:tabs>
          <w:tab w:val="left" w:pos="2096"/>
        </w:tabs>
      </w:pPr>
    </w:p>
    <w:p w14:paraId="7574FCE7" w14:textId="601C704A" w:rsidR="00CA1F4E" w:rsidRDefault="000E2DE1" w:rsidP="000E2DE1">
      <w:pPr>
        <w:tabs>
          <w:tab w:val="left" w:pos="2096"/>
        </w:tabs>
      </w:pPr>
      <w:r>
        <w:t>Helping to direct the mining accident scene in *Amazing Grace* was easily one of the most demanding and rewarding aspects of my involvement in the production. The challenge lay in capturing the raw danger and confusion that miners faced, while balancing practical concerns like timing, safety, and emotional realism. I had to stay mentally agile—making quick decisions about actors’ movements, coordinating sound and lighting cues, and managing the tension that made the scene feel both urgent and believable (Stanley, 2015). To prepare, I explored accounts of historical mining disasters in early 20th-century Wales, learning about the panic, bravery, and heartbreak that defined those moments (Williams, 2011). That research helped me guide the cast toward genuine emotional responses. I also studied stage directing techniques that focus on pacing, tension, and the art of controlled chaos (Baldwin, 2013), which became crucial tools in building the scene’s intensity. Through this experience, I discovered just how vital clear communication and adaptability are in live theatre—especially when dealing with emotionally heavy material. More than anything, the process deepened my respect for the resilience of mining communities and the strength they found in each other during moments of crisis.</w:t>
      </w:r>
    </w:p>
    <w:p w14:paraId="5D37DAEC" w14:textId="77777777" w:rsidR="00F023BF" w:rsidRDefault="00F023BF" w:rsidP="00F023BF"/>
    <w:p w14:paraId="2B8FEC96" w14:textId="64084216" w:rsidR="00F023BF" w:rsidRDefault="00F023BF" w:rsidP="00F023BF">
      <w:r>
        <w:t>Stepping into a backstage role for the final two performances of Amazing Grace was a surprising turn—but one that became one of the most rewarding parts of the entire production. Originally cast as an onstage performer, I found myself suddenly immersed in the behind-the-scenes world, and it offered a fresh perspective on the teamwork and precision required to keep a show running smoothly. From managing props and executing cues to assisting with quick costume changes and coordinating with lighting and sound crews, I quickly learned how vital backstage work is to the success of a performance. Navigating this fast-paced environment taught me the value of organisation, clear communication, and staying composed under pressure (Baldwin, 2013). It wasn’t just about logistics—it was about creating a space where performers felt supported and the production could shine without a hitch. I discovered how much I enjoy solving problems quietly behind the scenes, contributing to the magic of theatre in a different but equally impactful way.</w:t>
      </w:r>
    </w:p>
    <w:p w14:paraId="4B73FE46" w14:textId="77777777" w:rsidR="00F023BF" w:rsidRDefault="00F023BF" w:rsidP="00F023BF"/>
    <w:p w14:paraId="79DCA161" w14:textId="02AC9C1D" w:rsidR="00F023BF" w:rsidRDefault="00F023BF" w:rsidP="00F023BF">
      <w:r>
        <w:t xml:space="preserve">This experience didn’t just shift my role—it solidified my passion for stage management. I realised how it beautifully blends my love for performance with my strengths in leadership </w:t>
      </w:r>
      <w:r>
        <w:lastRenderedPageBreak/>
        <w:t>and collaboration, and I left the show more certain than ever that it’s a path I want to explore further.</w:t>
      </w:r>
    </w:p>
    <w:p w14:paraId="235277D3" w14:textId="09347DEF" w:rsidR="00F023BF" w:rsidRDefault="00F023BF" w:rsidP="00F023BF">
      <w:r>
        <w:t>Reflecting on the rehearsal process and performances of *Amazing Grace*, I’m struck by how much the experience has shaped me—not just as a performer, but as a creative thinker and collaborator. Taking on multiple onstage roles, supporting backstage, and helping direct key scenes challenged me to be flexible, communicative, and confident in ways I hadn’t anticipated. Switching between characters like Beth, the miner, and the French doctor kept me on my toes, each role teaching me something new about emotional depth, physicality, and storytelling. Directing the mining accident scene became a turning point, offering a glimpse into the craft of stage design and the impact of emotionally charged theatre. At the same time, stepping backstage for the final shows opened my eyes to the importance of quiet leadership—ensuring cues, costumes, and coordination came together seamlessly. That experience sparked a genuine interest in stage management and gave me newfound appreciation for the invisible threads that hold a production together. More than anything, being part of this historically rich musical deepened my understanding of Welsh culture and the transformative power of theatre. *Amazing Grace* wasn’t just a project—it was a living story that connected me to a community, a heritage, and my own evolving creative potential. I finish this journey with stronger skills, a clearer sense of direction, and immense gratitude for every moment spent bringing the show to life.</w:t>
      </w:r>
    </w:p>
    <w:p w14:paraId="31AECE65" w14:textId="77777777" w:rsidR="00F023BF" w:rsidRDefault="00F023BF" w:rsidP="008F203D"/>
    <w:p w14:paraId="05253501" w14:textId="77777777" w:rsidR="00CA1F4E" w:rsidRDefault="00CA1F4E" w:rsidP="008F203D"/>
    <w:p w14:paraId="05654D99" w14:textId="6456415E" w:rsidR="008F203D" w:rsidRDefault="008F203D" w:rsidP="008F203D"/>
    <w:p w14:paraId="39322FAB" w14:textId="77777777" w:rsidR="008F203D" w:rsidRDefault="008F203D" w:rsidP="008F203D"/>
    <w:p w14:paraId="40BBA966" w14:textId="4C20CCB4" w:rsidR="008F203D" w:rsidRPr="008F203D" w:rsidRDefault="008F203D" w:rsidP="008F203D">
      <w:pPr>
        <w:rPr>
          <w:b/>
          <w:bCs/>
        </w:rPr>
      </w:pPr>
      <w:r>
        <w:rPr>
          <w:b/>
          <w:bCs/>
        </w:rPr>
        <w:t>R</w:t>
      </w:r>
      <w:r w:rsidRPr="008F203D">
        <w:rPr>
          <w:b/>
          <w:bCs/>
        </w:rPr>
        <w:t>eferences</w:t>
      </w:r>
      <w:r>
        <w:rPr>
          <w:b/>
          <w:bCs/>
        </w:rPr>
        <w:t>:</w:t>
      </w:r>
    </w:p>
    <w:p w14:paraId="7A5E742F" w14:textId="77777777" w:rsidR="008F203D" w:rsidRPr="008F203D" w:rsidRDefault="008F203D" w:rsidP="008F203D">
      <w:pPr>
        <w:numPr>
          <w:ilvl w:val="0"/>
          <w:numId w:val="1"/>
        </w:numPr>
      </w:pPr>
      <w:r w:rsidRPr="008F203D">
        <w:t xml:space="preserve">Davies, D. (1999) </w:t>
      </w:r>
      <w:r w:rsidRPr="008F203D">
        <w:rPr>
          <w:i/>
          <w:iCs/>
        </w:rPr>
        <w:t>A History of Wales</w:t>
      </w:r>
      <w:r w:rsidRPr="008F203D">
        <w:t>. London: Penguin Books.</w:t>
      </w:r>
    </w:p>
    <w:p w14:paraId="491D347B" w14:textId="77777777" w:rsidR="000E2DE1" w:rsidRDefault="008F203D" w:rsidP="000E2DE1">
      <w:pPr>
        <w:numPr>
          <w:ilvl w:val="0"/>
          <w:numId w:val="1"/>
        </w:numPr>
      </w:pPr>
      <w:r w:rsidRPr="008F203D">
        <w:t xml:space="preserve">Morgan, K. O. (1981) </w:t>
      </w:r>
      <w:r w:rsidRPr="008F203D">
        <w:rPr>
          <w:i/>
          <w:iCs/>
        </w:rPr>
        <w:t>Rebirth of a Nation: Wales 1880–1980</w:t>
      </w:r>
      <w:r w:rsidRPr="008F203D">
        <w:t>. Oxford: Oxford University Press.</w:t>
      </w:r>
    </w:p>
    <w:p w14:paraId="399A3FE0" w14:textId="127261C3" w:rsidR="00CA1F4E" w:rsidRDefault="00116783" w:rsidP="000E2DE1">
      <w:pPr>
        <w:numPr>
          <w:ilvl w:val="0"/>
          <w:numId w:val="1"/>
        </w:numPr>
      </w:pPr>
      <w:r w:rsidRPr="000E2DE1">
        <w:rPr>
          <w:rFonts w:hAnsi="Symbol"/>
        </w:rPr>
        <w:t>J</w:t>
      </w:r>
      <w:r>
        <w:t xml:space="preserve">ones, R. (2004) </w:t>
      </w:r>
      <w:r w:rsidRPr="000E2DE1">
        <w:rPr>
          <w:rStyle w:val="Emphasis"/>
          <w:rFonts w:eastAsiaTheme="majorEastAsia"/>
        </w:rPr>
        <w:t>The 1904–1905 Revival: A Study in Welsh Religious History</w:t>
      </w:r>
      <w:r>
        <w:t>. Swansea: Gomer Press</w:t>
      </w:r>
    </w:p>
    <w:p w14:paraId="2882B63D" w14:textId="4618AC93" w:rsidR="00CA1F4E" w:rsidRDefault="00116783" w:rsidP="000E2DE1">
      <w:pPr>
        <w:pStyle w:val="NormalWeb"/>
        <w:numPr>
          <w:ilvl w:val="0"/>
          <w:numId w:val="1"/>
        </w:numPr>
      </w:pPr>
      <w:r>
        <w:t xml:space="preserve"> Morgan, K. O. (1981) </w:t>
      </w:r>
      <w:r>
        <w:rPr>
          <w:rStyle w:val="Emphasis"/>
          <w:rFonts w:eastAsiaTheme="majorEastAsia"/>
        </w:rPr>
        <w:t>Rebirth of a Nation: Wales 1880–1980</w:t>
      </w:r>
      <w:r>
        <w:t>. Oxford: Oxford University Press.</w:t>
      </w:r>
    </w:p>
    <w:p w14:paraId="2FBC0EB4" w14:textId="10101EE4" w:rsidR="00CA1F4E" w:rsidRDefault="00116783" w:rsidP="000E2DE1">
      <w:pPr>
        <w:pStyle w:val="NormalWeb"/>
        <w:numPr>
          <w:ilvl w:val="0"/>
          <w:numId w:val="1"/>
        </w:numPr>
      </w:pPr>
      <w:r>
        <w:t xml:space="preserve"> Williams, C. (1998) </w:t>
      </w:r>
      <w:r>
        <w:rPr>
          <w:rStyle w:val="Emphasis"/>
          <w:rFonts w:eastAsiaTheme="majorEastAsia"/>
        </w:rPr>
        <w:t>Capitalism, Community and Conflict: The South Wales Coalfield 1898–1947</w:t>
      </w:r>
      <w:r>
        <w:t>. Cardiff: University of Wales Press.</w:t>
      </w:r>
    </w:p>
    <w:p w14:paraId="2127B8C9" w14:textId="24BBF3C9" w:rsidR="00CA1F4E" w:rsidRDefault="00116783" w:rsidP="000E2DE1">
      <w:pPr>
        <w:pStyle w:val="NormalWeb"/>
        <w:numPr>
          <w:ilvl w:val="0"/>
          <w:numId w:val="1"/>
        </w:numPr>
      </w:pPr>
      <w:r>
        <w:t xml:space="preserve">Jones, R. (2004) </w:t>
      </w:r>
      <w:r w:rsidRPr="00116783">
        <w:rPr>
          <w:rStyle w:val="Emphasis"/>
          <w:rFonts w:eastAsiaTheme="majorEastAsia"/>
        </w:rPr>
        <w:t>The 1904–1905 Revival: A Study in Welsh Religious History</w:t>
      </w:r>
      <w:r>
        <w:t>. Swansea: Gomer Press.</w:t>
      </w:r>
    </w:p>
    <w:p w14:paraId="7A657ED6" w14:textId="42680B8C" w:rsidR="00CA1F4E" w:rsidRDefault="00CA1F4E" w:rsidP="000E2DE1">
      <w:pPr>
        <w:pStyle w:val="NormalWeb"/>
        <w:numPr>
          <w:ilvl w:val="0"/>
          <w:numId w:val="1"/>
        </w:numPr>
      </w:pPr>
      <w:r>
        <w:t xml:space="preserve">Evans, E. (2004) </w:t>
      </w:r>
      <w:r>
        <w:rPr>
          <w:rStyle w:val="Emphasis"/>
          <w:rFonts w:eastAsiaTheme="majorEastAsia"/>
        </w:rPr>
        <w:t>The Welsh Revival: Its Origin and Development</w:t>
      </w:r>
      <w:r>
        <w:t>. Cardiff: University of Wales Press.</w:t>
      </w:r>
    </w:p>
    <w:p w14:paraId="7D10F1EE" w14:textId="77777777" w:rsidR="00CA1F4E" w:rsidRDefault="00CA1F4E" w:rsidP="00CA1F4E">
      <w:pPr>
        <w:pStyle w:val="NormalWeb"/>
        <w:numPr>
          <w:ilvl w:val="0"/>
          <w:numId w:val="1"/>
        </w:numPr>
      </w:pPr>
      <w:r>
        <w:t xml:space="preserve">Goetz, C. G. (1995) </w:t>
      </w:r>
      <w:r>
        <w:rPr>
          <w:rStyle w:val="Emphasis"/>
          <w:rFonts w:eastAsiaTheme="majorEastAsia"/>
        </w:rPr>
        <w:t>Charcot: Constructing Neurology</w:t>
      </w:r>
      <w:r>
        <w:t>. Oxford: Oxford University Press.</w:t>
      </w:r>
    </w:p>
    <w:p w14:paraId="04D916CB" w14:textId="0FC6A843" w:rsidR="00CA1F4E" w:rsidRDefault="00CA1F4E" w:rsidP="00CA1F4E">
      <w:pPr>
        <w:pStyle w:val="NormalWeb"/>
        <w:numPr>
          <w:ilvl w:val="0"/>
          <w:numId w:val="1"/>
        </w:numPr>
      </w:pPr>
      <w:r>
        <w:t xml:space="preserve">Evans, D. (2013) </w:t>
      </w:r>
      <w:r>
        <w:rPr>
          <w:rStyle w:val="Emphasis"/>
          <w:rFonts w:eastAsiaTheme="majorEastAsia"/>
        </w:rPr>
        <w:t>Wales and the Media: A Historical Overview</w:t>
      </w:r>
      <w:r>
        <w:t>. Cardiff: University of Wales Press.</w:t>
      </w:r>
    </w:p>
    <w:p w14:paraId="0F43C414" w14:textId="77777777" w:rsidR="00CA1F4E" w:rsidRDefault="00CA1F4E" w:rsidP="00CA1F4E">
      <w:pPr>
        <w:pStyle w:val="NormalWeb"/>
        <w:numPr>
          <w:ilvl w:val="0"/>
          <w:numId w:val="1"/>
        </w:numPr>
      </w:pPr>
      <w:r>
        <w:t xml:space="preserve">Huws, R. (2006) </w:t>
      </w:r>
      <w:r>
        <w:rPr>
          <w:rStyle w:val="Emphasis"/>
          <w:rFonts w:eastAsiaTheme="majorEastAsia"/>
        </w:rPr>
        <w:t>Community and Communication in Welsh Mining Towns</w:t>
      </w:r>
      <w:r>
        <w:t>. Aberystwyth: Cambrian Publications.</w:t>
      </w:r>
    </w:p>
    <w:p w14:paraId="25E5EB77" w14:textId="77777777" w:rsidR="00CA1F4E" w:rsidRDefault="00CA1F4E" w:rsidP="00CA1F4E">
      <w:pPr>
        <w:pStyle w:val="NormalWeb"/>
        <w:numPr>
          <w:ilvl w:val="0"/>
          <w:numId w:val="1"/>
        </w:numPr>
      </w:pPr>
      <w:r>
        <w:lastRenderedPageBreak/>
        <w:t xml:space="preserve">Thomas, G. (2010) </w:t>
      </w:r>
      <w:r w:rsidRPr="00CA1F4E">
        <w:rPr>
          <w:rStyle w:val="Emphasis"/>
          <w:rFonts w:eastAsiaTheme="majorEastAsia"/>
        </w:rPr>
        <w:t>Religion and Society in Wales, 1900–1950</w:t>
      </w:r>
      <w:r>
        <w:t>. Cardiff: University of Wales Press.</w:t>
      </w:r>
    </w:p>
    <w:p w14:paraId="03F54364" w14:textId="5918C261" w:rsidR="00CA1F4E" w:rsidRDefault="00CA1F4E" w:rsidP="00CA1F4E">
      <w:pPr>
        <w:pStyle w:val="NormalWeb"/>
        <w:numPr>
          <w:ilvl w:val="0"/>
          <w:numId w:val="1"/>
        </w:numPr>
      </w:pPr>
      <w:r>
        <w:t xml:space="preserve"> Williams, M. (2008) </w:t>
      </w:r>
      <w:r w:rsidRPr="00CA1F4E">
        <w:rPr>
          <w:rStyle w:val="Emphasis"/>
          <w:rFonts w:eastAsiaTheme="majorEastAsia"/>
        </w:rPr>
        <w:t>The Welsh Press and Public Opinion</w:t>
      </w:r>
      <w:r>
        <w:t>. Swansea: Gomer Press.</w:t>
      </w:r>
    </w:p>
    <w:p w14:paraId="2A09F06C" w14:textId="76E5F3EE" w:rsidR="000E2DE1" w:rsidRDefault="000E2DE1" w:rsidP="000E2DE1">
      <w:pPr>
        <w:pStyle w:val="NormalWeb"/>
        <w:numPr>
          <w:ilvl w:val="0"/>
          <w:numId w:val="1"/>
        </w:numPr>
      </w:pPr>
      <w:r>
        <w:t xml:space="preserve"> Baldwin, C. (2013) </w:t>
      </w:r>
      <w:r>
        <w:rPr>
          <w:rStyle w:val="Emphasis"/>
          <w:rFonts w:eastAsiaTheme="majorEastAsia"/>
        </w:rPr>
        <w:t>Stagecraft: The Art of Theatre Production</w:t>
      </w:r>
      <w:r>
        <w:t>. London: Routledge.</w:t>
      </w:r>
    </w:p>
    <w:p w14:paraId="5A591748" w14:textId="7D5EE2D3" w:rsidR="000E2DE1" w:rsidRDefault="000E2DE1" w:rsidP="000E2DE1">
      <w:pPr>
        <w:pStyle w:val="NormalWeb"/>
        <w:numPr>
          <w:ilvl w:val="0"/>
          <w:numId w:val="1"/>
        </w:numPr>
      </w:pPr>
      <w:r>
        <w:t xml:space="preserve">Stanley, J. (2015) </w:t>
      </w:r>
      <w:r>
        <w:rPr>
          <w:rStyle w:val="Emphasis"/>
          <w:rFonts w:eastAsiaTheme="majorEastAsia"/>
        </w:rPr>
        <w:t>Directing for Theatre: Practical Approaches</w:t>
      </w:r>
      <w:r>
        <w:t>. Oxford: Oxford University Press.</w:t>
      </w:r>
    </w:p>
    <w:p w14:paraId="26DEF9E7" w14:textId="35850645" w:rsidR="000E2DE1" w:rsidRDefault="000E2DE1" w:rsidP="000E2DE1">
      <w:pPr>
        <w:pStyle w:val="NormalWeb"/>
        <w:numPr>
          <w:ilvl w:val="0"/>
          <w:numId w:val="1"/>
        </w:numPr>
      </w:pPr>
      <w:r>
        <w:t xml:space="preserve">Williams, T. (2011) </w:t>
      </w:r>
      <w:r>
        <w:rPr>
          <w:rStyle w:val="Emphasis"/>
          <w:rFonts w:eastAsiaTheme="majorEastAsia"/>
        </w:rPr>
        <w:t>Coal, Community and Conflict: The History of Welsh Mining</w:t>
      </w:r>
      <w:r>
        <w:t>. Cardiff: University of Wales Press.</w:t>
      </w:r>
    </w:p>
    <w:p w14:paraId="66275723" w14:textId="77777777" w:rsidR="00F023BF" w:rsidRDefault="00F023BF" w:rsidP="00F023BF">
      <w:pPr>
        <w:pStyle w:val="NormalWeb"/>
        <w:numPr>
          <w:ilvl w:val="0"/>
          <w:numId w:val="1"/>
        </w:numPr>
      </w:pPr>
      <w:r>
        <w:t xml:space="preserve">Baldwin, C. (2013) </w:t>
      </w:r>
      <w:r>
        <w:rPr>
          <w:rStyle w:val="Emphasis"/>
          <w:rFonts w:eastAsiaTheme="majorEastAsia"/>
        </w:rPr>
        <w:t>Stagecraft: The Art of Theatre Production</w:t>
      </w:r>
      <w:r>
        <w:t>. London: Routledge.</w:t>
      </w:r>
    </w:p>
    <w:p w14:paraId="402F6314" w14:textId="77777777" w:rsidR="00CA1F4E" w:rsidRDefault="00CA1F4E" w:rsidP="00F023BF">
      <w:pPr>
        <w:pStyle w:val="NormalWeb"/>
        <w:ind w:left="720"/>
      </w:pPr>
    </w:p>
    <w:p w14:paraId="730E77D6" w14:textId="77777777" w:rsidR="00116783" w:rsidRPr="008F203D" w:rsidRDefault="00116783" w:rsidP="00CA1F4E">
      <w:pPr>
        <w:ind w:left="720"/>
      </w:pPr>
    </w:p>
    <w:p w14:paraId="30D4923A" w14:textId="77777777" w:rsidR="008F203D" w:rsidRPr="008F203D" w:rsidRDefault="008F203D" w:rsidP="008F203D"/>
    <w:p w14:paraId="5C368BF1" w14:textId="77777777" w:rsidR="008F203D" w:rsidRDefault="008F203D" w:rsidP="008F203D"/>
    <w:p w14:paraId="5C7E7B15" w14:textId="77777777" w:rsidR="008F203D" w:rsidRDefault="008F203D" w:rsidP="008F203D"/>
    <w:sectPr w:rsidR="008F203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B69E378" w14:textId="77777777" w:rsidR="008F203D" w:rsidRDefault="008F203D" w:rsidP="008F203D">
      <w:pPr>
        <w:spacing w:after="0" w:line="240" w:lineRule="auto"/>
      </w:pPr>
      <w:r>
        <w:separator/>
      </w:r>
    </w:p>
  </w:endnote>
  <w:endnote w:type="continuationSeparator" w:id="0">
    <w:p w14:paraId="07DF7904" w14:textId="77777777" w:rsidR="008F203D" w:rsidRDefault="008F203D" w:rsidP="008F20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FE3C648" w14:textId="77777777" w:rsidR="008F203D" w:rsidRDefault="008F203D" w:rsidP="008F203D">
      <w:pPr>
        <w:spacing w:after="0" w:line="240" w:lineRule="auto"/>
      </w:pPr>
      <w:r>
        <w:separator/>
      </w:r>
    </w:p>
  </w:footnote>
  <w:footnote w:type="continuationSeparator" w:id="0">
    <w:p w14:paraId="4E7AB42B" w14:textId="77777777" w:rsidR="008F203D" w:rsidRDefault="008F203D" w:rsidP="008F20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A5EDF7" w14:textId="4FCD694E" w:rsidR="008F203D" w:rsidRDefault="00915308">
    <w:pPr>
      <w:pStyle w:val="Header"/>
    </w:pPr>
    <w:r>
      <w:t xml:space="preserve">Final Production ADPB6003                                                                      Megan Holborn </w:t>
    </w:r>
  </w:p>
  <w:p w14:paraId="5CAB68AD" w14:textId="77777777" w:rsidR="008F203D" w:rsidRDefault="008F203D">
    <w:pPr>
      <w:pStyle w:val="Header"/>
    </w:pPr>
  </w:p>
  <w:p w14:paraId="23C0BC4A" w14:textId="77777777" w:rsidR="008F203D" w:rsidRDefault="008F203D">
    <w:pPr>
      <w:pStyle w:val="Header"/>
    </w:pPr>
  </w:p>
  <w:p w14:paraId="1BDD78F8" w14:textId="77777777" w:rsidR="008F203D" w:rsidRDefault="008F20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7006E31"/>
    <w:multiLevelType w:val="multilevel"/>
    <w:tmpl w:val="16287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D250C06"/>
    <w:multiLevelType w:val="multilevel"/>
    <w:tmpl w:val="831A050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3E7289E"/>
    <w:multiLevelType w:val="multilevel"/>
    <w:tmpl w:val="DD0CD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F203D"/>
    <w:rsid w:val="000E2DE1"/>
    <w:rsid w:val="00116783"/>
    <w:rsid w:val="008F203D"/>
    <w:rsid w:val="0091290F"/>
    <w:rsid w:val="00915308"/>
    <w:rsid w:val="00AF495C"/>
    <w:rsid w:val="00C84693"/>
    <w:rsid w:val="00CA1F4E"/>
    <w:rsid w:val="00EB7BC1"/>
    <w:rsid w:val="00F023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CEE3A"/>
  <w15:chartTrackingRefBased/>
  <w15:docId w15:val="{14CFF6E3-22B2-46DE-A5FF-8D64448ACE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F203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F203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203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203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203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203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203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203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203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20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F20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20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20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20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20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20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20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203D"/>
    <w:rPr>
      <w:rFonts w:eastAsiaTheme="majorEastAsia" w:cstheme="majorBidi"/>
      <w:color w:val="272727" w:themeColor="text1" w:themeTint="D8"/>
    </w:rPr>
  </w:style>
  <w:style w:type="paragraph" w:styleId="Title">
    <w:name w:val="Title"/>
    <w:basedOn w:val="Normal"/>
    <w:next w:val="Normal"/>
    <w:link w:val="TitleChar"/>
    <w:uiPriority w:val="10"/>
    <w:qFormat/>
    <w:rsid w:val="008F203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20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203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20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203D"/>
    <w:pPr>
      <w:spacing w:before="160"/>
      <w:jc w:val="center"/>
    </w:pPr>
    <w:rPr>
      <w:i/>
      <w:iCs/>
      <w:color w:val="404040" w:themeColor="text1" w:themeTint="BF"/>
    </w:rPr>
  </w:style>
  <w:style w:type="character" w:customStyle="1" w:styleId="QuoteChar">
    <w:name w:val="Quote Char"/>
    <w:basedOn w:val="DefaultParagraphFont"/>
    <w:link w:val="Quote"/>
    <w:uiPriority w:val="29"/>
    <w:rsid w:val="008F203D"/>
    <w:rPr>
      <w:i/>
      <w:iCs/>
      <w:color w:val="404040" w:themeColor="text1" w:themeTint="BF"/>
    </w:rPr>
  </w:style>
  <w:style w:type="paragraph" w:styleId="ListParagraph">
    <w:name w:val="List Paragraph"/>
    <w:basedOn w:val="Normal"/>
    <w:uiPriority w:val="34"/>
    <w:qFormat/>
    <w:rsid w:val="008F203D"/>
    <w:pPr>
      <w:ind w:left="720"/>
      <w:contextualSpacing/>
    </w:pPr>
  </w:style>
  <w:style w:type="character" w:styleId="IntenseEmphasis">
    <w:name w:val="Intense Emphasis"/>
    <w:basedOn w:val="DefaultParagraphFont"/>
    <w:uiPriority w:val="21"/>
    <w:qFormat/>
    <w:rsid w:val="008F203D"/>
    <w:rPr>
      <w:i/>
      <w:iCs/>
      <w:color w:val="0F4761" w:themeColor="accent1" w:themeShade="BF"/>
    </w:rPr>
  </w:style>
  <w:style w:type="paragraph" w:styleId="IntenseQuote">
    <w:name w:val="Intense Quote"/>
    <w:basedOn w:val="Normal"/>
    <w:next w:val="Normal"/>
    <w:link w:val="IntenseQuoteChar"/>
    <w:uiPriority w:val="30"/>
    <w:qFormat/>
    <w:rsid w:val="008F203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203D"/>
    <w:rPr>
      <w:i/>
      <w:iCs/>
      <w:color w:val="0F4761" w:themeColor="accent1" w:themeShade="BF"/>
    </w:rPr>
  </w:style>
  <w:style w:type="character" w:styleId="IntenseReference">
    <w:name w:val="Intense Reference"/>
    <w:basedOn w:val="DefaultParagraphFont"/>
    <w:uiPriority w:val="32"/>
    <w:qFormat/>
    <w:rsid w:val="008F203D"/>
    <w:rPr>
      <w:b/>
      <w:bCs/>
      <w:smallCaps/>
      <w:color w:val="0F4761" w:themeColor="accent1" w:themeShade="BF"/>
      <w:spacing w:val="5"/>
    </w:rPr>
  </w:style>
  <w:style w:type="paragraph" w:styleId="Header">
    <w:name w:val="header"/>
    <w:basedOn w:val="Normal"/>
    <w:link w:val="HeaderChar"/>
    <w:uiPriority w:val="99"/>
    <w:unhideWhenUsed/>
    <w:rsid w:val="008F20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203D"/>
  </w:style>
  <w:style w:type="paragraph" w:styleId="Footer">
    <w:name w:val="footer"/>
    <w:basedOn w:val="Normal"/>
    <w:link w:val="FooterChar"/>
    <w:uiPriority w:val="99"/>
    <w:unhideWhenUsed/>
    <w:rsid w:val="008F20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203D"/>
  </w:style>
  <w:style w:type="paragraph" w:styleId="NormalWeb">
    <w:name w:val="Normal (Web)"/>
    <w:basedOn w:val="Normal"/>
    <w:uiPriority w:val="99"/>
    <w:semiHidden/>
    <w:unhideWhenUsed/>
    <w:rsid w:val="001167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1678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224905">
      <w:bodyDiv w:val="1"/>
      <w:marLeft w:val="0"/>
      <w:marRight w:val="0"/>
      <w:marTop w:val="0"/>
      <w:marBottom w:val="0"/>
      <w:divBdr>
        <w:top w:val="none" w:sz="0" w:space="0" w:color="auto"/>
        <w:left w:val="none" w:sz="0" w:space="0" w:color="auto"/>
        <w:bottom w:val="none" w:sz="0" w:space="0" w:color="auto"/>
        <w:right w:val="none" w:sz="0" w:space="0" w:color="auto"/>
      </w:divBdr>
    </w:div>
    <w:div w:id="82266393">
      <w:bodyDiv w:val="1"/>
      <w:marLeft w:val="0"/>
      <w:marRight w:val="0"/>
      <w:marTop w:val="0"/>
      <w:marBottom w:val="0"/>
      <w:divBdr>
        <w:top w:val="none" w:sz="0" w:space="0" w:color="auto"/>
        <w:left w:val="none" w:sz="0" w:space="0" w:color="auto"/>
        <w:bottom w:val="none" w:sz="0" w:space="0" w:color="auto"/>
        <w:right w:val="none" w:sz="0" w:space="0" w:color="auto"/>
      </w:divBdr>
    </w:div>
    <w:div w:id="101848078">
      <w:bodyDiv w:val="1"/>
      <w:marLeft w:val="0"/>
      <w:marRight w:val="0"/>
      <w:marTop w:val="0"/>
      <w:marBottom w:val="0"/>
      <w:divBdr>
        <w:top w:val="none" w:sz="0" w:space="0" w:color="auto"/>
        <w:left w:val="none" w:sz="0" w:space="0" w:color="auto"/>
        <w:bottom w:val="none" w:sz="0" w:space="0" w:color="auto"/>
        <w:right w:val="none" w:sz="0" w:space="0" w:color="auto"/>
      </w:divBdr>
    </w:div>
    <w:div w:id="161893788">
      <w:bodyDiv w:val="1"/>
      <w:marLeft w:val="0"/>
      <w:marRight w:val="0"/>
      <w:marTop w:val="0"/>
      <w:marBottom w:val="0"/>
      <w:divBdr>
        <w:top w:val="none" w:sz="0" w:space="0" w:color="auto"/>
        <w:left w:val="none" w:sz="0" w:space="0" w:color="auto"/>
        <w:bottom w:val="none" w:sz="0" w:space="0" w:color="auto"/>
        <w:right w:val="none" w:sz="0" w:space="0" w:color="auto"/>
      </w:divBdr>
      <w:divsChild>
        <w:div w:id="751051281">
          <w:marLeft w:val="0"/>
          <w:marRight w:val="0"/>
          <w:marTop w:val="0"/>
          <w:marBottom w:val="0"/>
          <w:divBdr>
            <w:top w:val="none" w:sz="0" w:space="0" w:color="auto"/>
            <w:left w:val="none" w:sz="0" w:space="0" w:color="auto"/>
            <w:bottom w:val="none" w:sz="0" w:space="0" w:color="auto"/>
            <w:right w:val="none" w:sz="0" w:space="0" w:color="auto"/>
          </w:divBdr>
          <w:divsChild>
            <w:div w:id="1669138794">
              <w:marLeft w:val="0"/>
              <w:marRight w:val="0"/>
              <w:marTop w:val="0"/>
              <w:marBottom w:val="0"/>
              <w:divBdr>
                <w:top w:val="none" w:sz="0" w:space="0" w:color="auto"/>
                <w:left w:val="none" w:sz="0" w:space="0" w:color="auto"/>
                <w:bottom w:val="none" w:sz="0" w:space="0" w:color="auto"/>
                <w:right w:val="none" w:sz="0" w:space="0" w:color="auto"/>
              </w:divBdr>
              <w:divsChild>
                <w:div w:id="334694360">
                  <w:marLeft w:val="0"/>
                  <w:marRight w:val="0"/>
                  <w:marTop w:val="0"/>
                  <w:marBottom w:val="0"/>
                  <w:divBdr>
                    <w:top w:val="none" w:sz="0" w:space="0" w:color="auto"/>
                    <w:left w:val="none" w:sz="0" w:space="0" w:color="auto"/>
                    <w:bottom w:val="none" w:sz="0" w:space="0" w:color="auto"/>
                    <w:right w:val="none" w:sz="0" w:space="0" w:color="auto"/>
                  </w:divBdr>
                  <w:divsChild>
                    <w:div w:id="1515803754">
                      <w:marLeft w:val="0"/>
                      <w:marRight w:val="0"/>
                      <w:marTop w:val="0"/>
                      <w:marBottom w:val="0"/>
                      <w:divBdr>
                        <w:top w:val="none" w:sz="0" w:space="0" w:color="auto"/>
                        <w:left w:val="none" w:sz="0" w:space="0" w:color="auto"/>
                        <w:bottom w:val="none" w:sz="0" w:space="0" w:color="auto"/>
                        <w:right w:val="none" w:sz="0" w:space="0" w:color="auto"/>
                      </w:divBdr>
                      <w:divsChild>
                        <w:div w:id="1760713777">
                          <w:marLeft w:val="0"/>
                          <w:marRight w:val="0"/>
                          <w:marTop w:val="0"/>
                          <w:marBottom w:val="0"/>
                          <w:divBdr>
                            <w:top w:val="none" w:sz="0" w:space="0" w:color="auto"/>
                            <w:left w:val="none" w:sz="0" w:space="0" w:color="auto"/>
                            <w:bottom w:val="none" w:sz="0" w:space="0" w:color="auto"/>
                            <w:right w:val="none" w:sz="0" w:space="0" w:color="auto"/>
                          </w:divBdr>
                          <w:divsChild>
                            <w:div w:id="535849387">
                              <w:marLeft w:val="0"/>
                              <w:marRight w:val="0"/>
                              <w:marTop w:val="0"/>
                              <w:marBottom w:val="0"/>
                              <w:divBdr>
                                <w:top w:val="none" w:sz="0" w:space="0" w:color="auto"/>
                                <w:left w:val="none" w:sz="0" w:space="0" w:color="auto"/>
                                <w:bottom w:val="none" w:sz="0" w:space="0" w:color="auto"/>
                                <w:right w:val="none" w:sz="0" w:space="0" w:color="auto"/>
                              </w:divBdr>
                              <w:divsChild>
                                <w:div w:id="1821649673">
                                  <w:marLeft w:val="0"/>
                                  <w:marRight w:val="0"/>
                                  <w:marTop w:val="0"/>
                                  <w:marBottom w:val="0"/>
                                  <w:divBdr>
                                    <w:top w:val="none" w:sz="0" w:space="0" w:color="auto"/>
                                    <w:left w:val="none" w:sz="0" w:space="0" w:color="auto"/>
                                    <w:bottom w:val="none" w:sz="0" w:space="0" w:color="auto"/>
                                    <w:right w:val="none" w:sz="0" w:space="0" w:color="auto"/>
                                  </w:divBdr>
                                  <w:divsChild>
                                    <w:div w:id="1976179697">
                                      <w:marLeft w:val="0"/>
                                      <w:marRight w:val="0"/>
                                      <w:marTop w:val="0"/>
                                      <w:marBottom w:val="0"/>
                                      <w:divBdr>
                                        <w:top w:val="none" w:sz="0" w:space="0" w:color="auto"/>
                                        <w:left w:val="none" w:sz="0" w:space="0" w:color="auto"/>
                                        <w:bottom w:val="none" w:sz="0" w:space="0" w:color="auto"/>
                                        <w:right w:val="none" w:sz="0" w:space="0" w:color="auto"/>
                                      </w:divBdr>
                                      <w:divsChild>
                                        <w:div w:id="1857033347">
                                          <w:marLeft w:val="0"/>
                                          <w:marRight w:val="0"/>
                                          <w:marTop w:val="0"/>
                                          <w:marBottom w:val="0"/>
                                          <w:divBdr>
                                            <w:top w:val="none" w:sz="0" w:space="0" w:color="auto"/>
                                            <w:left w:val="none" w:sz="0" w:space="0" w:color="auto"/>
                                            <w:bottom w:val="none" w:sz="0" w:space="0" w:color="auto"/>
                                            <w:right w:val="none" w:sz="0" w:space="0" w:color="auto"/>
                                          </w:divBdr>
                                          <w:divsChild>
                                            <w:div w:id="105470591">
                                              <w:marLeft w:val="0"/>
                                              <w:marRight w:val="0"/>
                                              <w:marTop w:val="0"/>
                                              <w:marBottom w:val="0"/>
                                              <w:divBdr>
                                                <w:top w:val="none" w:sz="0" w:space="0" w:color="auto"/>
                                                <w:left w:val="none" w:sz="0" w:space="0" w:color="auto"/>
                                                <w:bottom w:val="none" w:sz="0" w:space="0" w:color="auto"/>
                                                <w:right w:val="none" w:sz="0" w:space="0" w:color="auto"/>
                                              </w:divBdr>
                                              <w:divsChild>
                                                <w:div w:id="470370095">
                                                  <w:marLeft w:val="0"/>
                                                  <w:marRight w:val="0"/>
                                                  <w:marTop w:val="0"/>
                                                  <w:marBottom w:val="0"/>
                                                  <w:divBdr>
                                                    <w:top w:val="none" w:sz="0" w:space="0" w:color="auto"/>
                                                    <w:left w:val="none" w:sz="0" w:space="0" w:color="auto"/>
                                                    <w:bottom w:val="none" w:sz="0" w:space="0" w:color="auto"/>
                                                    <w:right w:val="none" w:sz="0" w:space="0" w:color="auto"/>
                                                  </w:divBdr>
                                                  <w:divsChild>
                                                    <w:div w:id="1738934123">
                                                      <w:marLeft w:val="0"/>
                                                      <w:marRight w:val="0"/>
                                                      <w:marTop w:val="0"/>
                                                      <w:marBottom w:val="0"/>
                                                      <w:divBdr>
                                                        <w:top w:val="none" w:sz="0" w:space="0" w:color="auto"/>
                                                        <w:left w:val="none" w:sz="0" w:space="0" w:color="auto"/>
                                                        <w:bottom w:val="none" w:sz="0" w:space="0" w:color="auto"/>
                                                        <w:right w:val="none" w:sz="0" w:space="0" w:color="auto"/>
                                                      </w:divBdr>
                                                      <w:divsChild>
                                                        <w:div w:id="572080595">
                                                          <w:marLeft w:val="0"/>
                                                          <w:marRight w:val="0"/>
                                                          <w:marTop w:val="0"/>
                                                          <w:marBottom w:val="0"/>
                                                          <w:divBdr>
                                                            <w:top w:val="none" w:sz="0" w:space="0" w:color="auto"/>
                                                            <w:left w:val="none" w:sz="0" w:space="0" w:color="auto"/>
                                                            <w:bottom w:val="none" w:sz="0" w:space="0" w:color="auto"/>
                                                            <w:right w:val="none" w:sz="0" w:space="0" w:color="auto"/>
                                                          </w:divBdr>
                                                          <w:divsChild>
                                                            <w:div w:id="2078429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577401599">
      <w:bodyDiv w:val="1"/>
      <w:marLeft w:val="0"/>
      <w:marRight w:val="0"/>
      <w:marTop w:val="0"/>
      <w:marBottom w:val="0"/>
      <w:divBdr>
        <w:top w:val="none" w:sz="0" w:space="0" w:color="auto"/>
        <w:left w:val="none" w:sz="0" w:space="0" w:color="auto"/>
        <w:bottom w:val="none" w:sz="0" w:space="0" w:color="auto"/>
        <w:right w:val="none" w:sz="0" w:space="0" w:color="auto"/>
      </w:divBdr>
      <w:divsChild>
        <w:div w:id="536939718">
          <w:marLeft w:val="0"/>
          <w:marRight w:val="0"/>
          <w:marTop w:val="0"/>
          <w:marBottom w:val="0"/>
          <w:divBdr>
            <w:top w:val="none" w:sz="0" w:space="0" w:color="auto"/>
            <w:left w:val="none" w:sz="0" w:space="0" w:color="auto"/>
            <w:bottom w:val="none" w:sz="0" w:space="0" w:color="auto"/>
            <w:right w:val="none" w:sz="0" w:space="0" w:color="auto"/>
          </w:divBdr>
          <w:divsChild>
            <w:div w:id="2142651291">
              <w:marLeft w:val="0"/>
              <w:marRight w:val="0"/>
              <w:marTop w:val="0"/>
              <w:marBottom w:val="0"/>
              <w:divBdr>
                <w:top w:val="none" w:sz="0" w:space="0" w:color="auto"/>
                <w:left w:val="none" w:sz="0" w:space="0" w:color="auto"/>
                <w:bottom w:val="none" w:sz="0" w:space="0" w:color="auto"/>
                <w:right w:val="none" w:sz="0" w:space="0" w:color="auto"/>
              </w:divBdr>
              <w:divsChild>
                <w:div w:id="1891576465">
                  <w:marLeft w:val="0"/>
                  <w:marRight w:val="0"/>
                  <w:marTop w:val="0"/>
                  <w:marBottom w:val="0"/>
                  <w:divBdr>
                    <w:top w:val="none" w:sz="0" w:space="0" w:color="auto"/>
                    <w:left w:val="none" w:sz="0" w:space="0" w:color="auto"/>
                    <w:bottom w:val="none" w:sz="0" w:space="0" w:color="auto"/>
                    <w:right w:val="none" w:sz="0" w:space="0" w:color="auto"/>
                  </w:divBdr>
                  <w:divsChild>
                    <w:div w:id="1569460972">
                      <w:marLeft w:val="0"/>
                      <w:marRight w:val="0"/>
                      <w:marTop w:val="0"/>
                      <w:marBottom w:val="0"/>
                      <w:divBdr>
                        <w:top w:val="none" w:sz="0" w:space="0" w:color="auto"/>
                        <w:left w:val="none" w:sz="0" w:space="0" w:color="auto"/>
                        <w:bottom w:val="none" w:sz="0" w:space="0" w:color="auto"/>
                        <w:right w:val="none" w:sz="0" w:space="0" w:color="auto"/>
                      </w:divBdr>
                      <w:divsChild>
                        <w:div w:id="159589164">
                          <w:marLeft w:val="0"/>
                          <w:marRight w:val="0"/>
                          <w:marTop w:val="0"/>
                          <w:marBottom w:val="0"/>
                          <w:divBdr>
                            <w:top w:val="none" w:sz="0" w:space="0" w:color="auto"/>
                            <w:left w:val="none" w:sz="0" w:space="0" w:color="auto"/>
                            <w:bottom w:val="none" w:sz="0" w:space="0" w:color="auto"/>
                            <w:right w:val="none" w:sz="0" w:space="0" w:color="auto"/>
                          </w:divBdr>
                          <w:divsChild>
                            <w:div w:id="969554117">
                              <w:marLeft w:val="0"/>
                              <w:marRight w:val="0"/>
                              <w:marTop w:val="0"/>
                              <w:marBottom w:val="0"/>
                              <w:divBdr>
                                <w:top w:val="none" w:sz="0" w:space="0" w:color="auto"/>
                                <w:left w:val="none" w:sz="0" w:space="0" w:color="auto"/>
                                <w:bottom w:val="none" w:sz="0" w:space="0" w:color="auto"/>
                                <w:right w:val="none" w:sz="0" w:space="0" w:color="auto"/>
                              </w:divBdr>
                              <w:divsChild>
                                <w:div w:id="264776488">
                                  <w:marLeft w:val="0"/>
                                  <w:marRight w:val="0"/>
                                  <w:marTop w:val="0"/>
                                  <w:marBottom w:val="0"/>
                                  <w:divBdr>
                                    <w:top w:val="none" w:sz="0" w:space="0" w:color="auto"/>
                                    <w:left w:val="none" w:sz="0" w:space="0" w:color="auto"/>
                                    <w:bottom w:val="none" w:sz="0" w:space="0" w:color="auto"/>
                                    <w:right w:val="none" w:sz="0" w:space="0" w:color="auto"/>
                                  </w:divBdr>
                                  <w:divsChild>
                                    <w:div w:id="1830636353">
                                      <w:marLeft w:val="0"/>
                                      <w:marRight w:val="0"/>
                                      <w:marTop w:val="0"/>
                                      <w:marBottom w:val="0"/>
                                      <w:divBdr>
                                        <w:top w:val="none" w:sz="0" w:space="0" w:color="auto"/>
                                        <w:left w:val="none" w:sz="0" w:space="0" w:color="auto"/>
                                        <w:bottom w:val="none" w:sz="0" w:space="0" w:color="auto"/>
                                        <w:right w:val="none" w:sz="0" w:space="0" w:color="auto"/>
                                      </w:divBdr>
                                      <w:divsChild>
                                        <w:div w:id="131682286">
                                          <w:marLeft w:val="0"/>
                                          <w:marRight w:val="0"/>
                                          <w:marTop w:val="0"/>
                                          <w:marBottom w:val="0"/>
                                          <w:divBdr>
                                            <w:top w:val="none" w:sz="0" w:space="0" w:color="auto"/>
                                            <w:left w:val="none" w:sz="0" w:space="0" w:color="auto"/>
                                            <w:bottom w:val="none" w:sz="0" w:space="0" w:color="auto"/>
                                            <w:right w:val="none" w:sz="0" w:space="0" w:color="auto"/>
                                          </w:divBdr>
                                          <w:divsChild>
                                            <w:div w:id="16515412">
                                              <w:marLeft w:val="0"/>
                                              <w:marRight w:val="0"/>
                                              <w:marTop w:val="0"/>
                                              <w:marBottom w:val="0"/>
                                              <w:divBdr>
                                                <w:top w:val="none" w:sz="0" w:space="0" w:color="auto"/>
                                                <w:left w:val="none" w:sz="0" w:space="0" w:color="auto"/>
                                                <w:bottom w:val="none" w:sz="0" w:space="0" w:color="auto"/>
                                                <w:right w:val="none" w:sz="0" w:space="0" w:color="auto"/>
                                              </w:divBdr>
                                              <w:divsChild>
                                                <w:div w:id="162669093">
                                                  <w:marLeft w:val="0"/>
                                                  <w:marRight w:val="0"/>
                                                  <w:marTop w:val="0"/>
                                                  <w:marBottom w:val="0"/>
                                                  <w:divBdr>
                                                    <w:top w:val="none" w:sz="0" w:space="0" w:color="auto"/>
                                                    <w:left w:val="none" w:sz="0" w:space="0" w:color="auto"/>
                                                    <w:bottom w:val="none" w:sz="0" w:space="0" w:color="auto"/>
                                                    <w:right w:val="none" w:sz="0" w:space="0" w:color="auto"/>
                                                  </w:divBdr>
                                                  <w:divsChild>
                                                    <w:div w:id="1277250298">
                                                      <w:marLeft w:val="0"/>
                                                      <w:marRight w:val="0"/>
                                                      <w:marTop w:val="0"/>
                                                      <w:marBottom w:val="0"/>
                                                      <w:divBdr>
                                                        <w:top w:val="none" w:sz="0" w:space="0" w:color="auto"/>
                                                        <w:left w:val="none" w:sz="0" w:space="0" w:color="auto"/>
                                                        <w:bottom w:val="none" w:sz="0" w:space="0" w:color="auto"/>
                                                        <w:right w:val="none" w:sz="0" w:space="0" w:color="auto"/>
                                                      </w:divBdr>
                                                      <w:divsChild>
                                                        <w:div w:id="26755218">
                                                          <w:marLeft w:val="0"/>
                                                          <w:marRight w:val="0"/>
                                                          <w:marTop w:val="0"/>
                                                          <w:marBottom w:val="0"/>
                                                          <w:divBdr>
                                                            <w:top w:val="none" w:sz="0" w:space="0" w:color="auto"/>
                                                            <w:left w:val="none" w:sz="0" w:space="0" w:color="auto"/>
                                                            <w:bottom w:val="none" w:sz="0" w:space="0" w:color="auto"/>
                                                            <w:right w:val="none" w:sz="0" w:space="0" w:color="auto"/>
                                                          </w:divBdr>
                                                          <w:divsChild>
                                                            <w:div w:id="423764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33023785">
      <w:bodyDiv w:val="1"/>
      <w:marLeft w:val="0"/>
      <w:marRight w:val="0"/>
      <w:marTop w:val="0"/>
      <w:marBottom w:val="0"/>
      <w:divBdr>
        <w:top w:val="none" w:sz="0" w:space="0" w:color="auto"/>
        <w:left w:val="none" w:sz="0" w:space="0" w:color="auto"/>
        <w:bottom w:val="none" w:sz="0" w:space="0" w:color="auto"/>
        <w:right w:val="none" w:sz="0" w:space="0" w:color="auto"/>
      </w:divBdr>
    </w:div>
    <w:div w:id="1383406882">
      <w:bodyDiv w:val="1"/>
      <w:marLeft w:val="0"/>
      <w:marRight w:val="0"/>
      <w:marTop w:val="0"/>
      <w:marBottom w:val="0"/>
      <w:divBdr>
        <w:top w:val="none" w:sz="0" w:space="0" w:color="auto"/>
        <w:left w:val="none" w:sz="0" w:space="0" w:color="auto"/>
        <w:bottom w:val="none" w:sz="0" w:space="0" w:color="auto"/>
        <w:right w:val="none" w:sz="0" w:space="0" w:color="auto"/>
      </w:divBdr>
    </w:div>
    <w:div w:id="1530099271">
      <w:bodyDiv w:val="1"/>
      <w:marLeft w:val="0"/>
      <w:marRight w:val="0"/>
      <w:marTop w:val="0"/>
      <w:marBottom w:val="0"/>
      <w:divBdr>
        <w:top w:val="none" w:sz="0" w:space="0" w:color="auto"/>
        <w:left w:val="none" w:sz="0" w:space="0" w:color="auto"/>
        <w:bottom w:val="none" w:sz="0" w:space="0" w:color="auto"/>
        <w:right w:val="none" w:sz="0" w:space="0" w:color="auto"/>
      </w:divBdr>
    </w:div>
    <w:div w:id="1664550898">
      <w:bodyDiv w:val="1"/>
      <w:marLeft w:val="0"/>
      <w:marRight w:val="0"/>
      <w:marTop w:val="0"/>
      <w:marBottom w:val="0"/>
      <w:divBdr>
        <w:top w:val="none" w:sz="0" w:space="0" w:color="auto"/>
        <w:left w:val="none" w:sz="0" w:space="0" w:color="auto"/>
        <w:bottom w:val="none" w:sz="0" w:space="0" w:color="auto"/>
        <w:right w:val="none" w:sz="0" w:space="0" w:color="auto"/>
      </w:divBdr>
    </w:div>
    <w:div w:id="1856726694">
      <w:bodyDiv w:val="1"/>
      <w:marLeft w:val="0"/>
      <w:marRight w:val="0"/>
      <w:marTop w:val="0"/>
      <w:marBottom w:val="0"/>
      <w:divBdr>
        <w:top w:val="none" w:sz="0" w:space="0" w:color="auto"/>
        <w:left w:val="none" w:sz="0" w:space="0" w:color="auto"/>
        <w:bottom w:val="none" w:sz="0" w:space="0" w:color="auto"/>
        <w:right w:val="none" w:sz="0" w:space="0" w:color="auto"/>
      </w:divBdr>
    </w:div>
    <w:div w:id="1886209125">
      <w:bodyDiv w:val="1"/>
      <w:marLeft w:val="0"/>
      <w:marRight w:val="0"/>
      <w:marTop w:val="0"/>
      <w:marBottom w:val="0"/>
      <w:divBdr>
        <w:top w:val="none" w:sz="0" w:space="0" w:color="auto"/>
        <w:left w:val="none" w:sz="0" w:space="0" w:color="auto"/>
        <w:bottom w:val="none" w:sz="0" w:space="0" w:color="auto"/>
        <w:right w:val="none" w:sz="0" w:space="0" w:color="auto"/>
      </w:divBdr>
    </w:div>
    <w:div w:id="2005468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63</TotalTime>
  <Pages>5</Pages>
  <Words>2149</Words>
  <Characters>12252</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maddie perkins</dc:creator>
  <cp:keywords/>
  <dc:description/>
  <cp:lastModifiedBy>Guest Service2</cp:lastModifiedBy>
  <cp:revision>2</cp:revision>
  <dcterms:created xsi:type="dcterms:W3CDTF">2025-07-03T23:44:00Z</dcterms:created>
  <dcterms:modified xsi:type="dcterms:W3CDTF">2025-07-04T15:11:00Z</dcterms:modified>
</cp:coreProperties>
</file>