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17F87CA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2D36DD9B" w14:textId="3CF18BF0" w:rsidR="006F40C0" w:rsidRDefault="00276E57" w:rsidP="006F40C0">
      <w:pPr>
        <w:jc w:val="center"/>
        <w:rPr>
          <w:rFonts w:ascii="Aptos" w:hAnsi="Aptos"/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90CF4A4" wp14:editId="6EF0FCC0">
            <wp:simplePos x="0" y="0"/>
            <wp:positionH relativeFrom="page">
              <wp:posOffset>1759527</wp:posOffset>
            </wp:positionH>
            <wp:positionV relativeFrom="paragraph">
              <wp:posOffset>250825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29C77EE" w14:textId="66B15AB4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97D7937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1D16489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6983955C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11A0007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229D013E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0F4D37C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05D302AE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7A87DF6D" w14:textId="2062B553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49934060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1196C62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75FA659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06C58B78" w14:textId="4854B843" w:rsidR="00A44586" w:rsidRPr="0067255D" w:rsidRDefault="006F40C0" w:rsidP="0080167E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Student name</w:t>
      </w:r>
      <w:r w:rsidRPr="0067255D">
        <w:rPr>
          <w:rFonts w:ascii="Aptos" w:hAnsi="Aptos" w:cs="Arial"/>
          <w:sz w:val="36"/>
          <w:szCs w:val="36"/>
          <w:lang w:val="nl-NL"/>
        </w:rPr>
        <w:t>:</w:t>
      </w:r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276E57" w:rsidRPr="0067255D">
        <w:rPr>
          <w:rFonts w:ascii="Aptos" w:hAnsi="Aptos" w:cs="Arial"/>
          <w:sz w:val="36"/>
          <w:szCs w:val="36"/>
          <w:lang w:val="nl-NL"/>
        </w:rPr>
        <w:t>sameena</w:t>
      </w:r>
      <w:proofErr w:type="spellEnd"/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276E57" w:rsidRPr="0067255D">
        <w:rPr>
          <w:rFonts w:ascii="Aptos" w:hAnsi="Aptos" w:cs="Arial"/>
          <w:sz w:val="36"/>
          <w:szCs w:val="36"/>
          <w:lang w:val="nl-NL"/>
        </w:rPr>
        <w:t>shahban</w:t>
      </w:r>
      <w:proofErr w:type="spellEnd"/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</w:p>
    <w:p w14:paraId="6CB95AA8" w14:textId="3886109A" w:rsidR="006F40C0" w:rsidRPr="0067255D" w:rsidRDefault="006F40C0" w:rsidP="0080167E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Student ID</w:t>
      </w:r>
      <w:r w:rsidRPr="0067255D">
        <w:rPr>
          <w:rFonts w:ascii="Aptos" w:hAnsi="Aptos" w:cs="Arial"/>
          <w:sz w:val="36"/>
          <w:szCs w:val="36"/>
          <w:lang w:val="nl-NL"/>
        </w:rPr>
        <w:t>:</w:t>
      </w:r>
      <w:r w:rsidR="0067255D">
        <w:rPr>
          <w:rFonts w:ascii="Aptos" w:hAnsi="Aptos" w:cs="Arial"/>
          <w:sz w:val="36"/>
          <w:szCs w:val="36"/>
          <w:lang w:val="nl-NL"/>
        </w:rPr>
        <w:t xml:space="preserve"> </w:t>
      </w:r>
      <w:r w:rsidR="00276E57" w:rsidRPr="0067255D">
        <w:rPr>
          <w:rFonts w:ascii="Aptos" w:hAnsi="Aptos" w:cs="Arial"/>
          <w:sz w:val="36"/>
          <w:szCs w:val="36"/>
          <w:lang w:val="nl-NL"/>
        </w:rPr>
        <w:t>2325941</w:t>
      </w:r>
    </w:p>
    <w:p w14:paraId="1DD7D4D2" w14:textId="232E5B8E" w:rsidR="006F40C0" w:rsidRDefault="006F40C0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Module name</w:t>
      </w:r>
      <w:r w:rsidRPr="0067255D">
        <w:rPr>
          <w:rFonts w:ascii="Aptos" w:hAnsi="Aptos" w:cs="Arial"/>
          <w:sz w:val="36"/>
          <w:szCs w:val="36"/>
          <w:lang w:val="nl-NL"/>
        </w:rPr>
        <w:t xml:space="preserve">: </w:t>
      </w:r>
      <w:r w:rsidR="0067255D">
        <w:rPr>
          <w:rFonts w:ascii="Aptos" w:hAnsi="Aptos" w:cs="Arial"/>
          <w:sz w:val="36"/>
          <w:szCs w:val="36"/>
          <w:lang w:val="nl-NL"/>
        </w:rPr>
        <w:t xml:space="preserve">BSc </w:t>
      </w:r>
      <w:r w:rsidR="0080167E">
        <w:rPr>
          <w:rFonts w:ascii="Aptos" w:hAnsi="Aptos" w:cs="Arial"/>
          <w:sz w:val="36"/>
          <w:szCs w:val="36"/>
          <w:lang w:val="nl-NL"/>
        </w:rPr>
        <w:t>H</w:t>
      </w:r>
      <w:r w:rsidR="00CB39CC">
        <w:rPr>
          <w:rFonts w:ascii="Aptos" w:hAnsi="Aptos" w:cs="Arial"/>
          <w:sz w:val="36"/>
          <w:szCs w:val="36"/>
          <w:lang w:val="nl-NL"/>
        </w:rPr>
        <w:t xml:space="preserve">ealth </w:t>
      </w:r>
      <w:proofErr w:type="spellStart"/>
      <w:r w:rsidR="00CB39CC">
        <w:rPr>
          <w:rFonts w:ascii="Aptos" w:hAnsi="Aptos" w:cs="Arial"/>
          <w:sz w:val="36"/>
          <w:szCs w:val="36"/>
          <w:lang w:val="nl-NL"/>
        </w:rPr>
        <w:t>and</w:t>
      </w:r>
      <w:proofErr w:type="spellEnd"/>
      <w:r w:rsidR="00CB39CC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80167E">
        <w:rPr>
          <w:rFonts w:ascii="Aptos" w:hAnsi="Aptos" w:cs="Arial"/>
          <w:sz w:val="36"/>
          <w:szCs w:val="36"/>
          <w:lang w:val="nl-NL"/>
        </w:rPr>
        <w:t>S</w:t>
      </w:r>
      <w:r w:rsidR="00CB39CC">
        <w:rPr>
          <w:rFonts w:ascii="Aptos" w:hAnsi="Aptos" w:cs="Arial"/>
          <w:sz w:val="36"/>
          <w:szCs w:val="36"/>
          <w:lang w:val="nl-NL"/>
        </w:rPr>
        <w:t>oci</w:t>
      </w:r>
      <w:r w:rsidR="00A44586">
        <w:rPr>
          <w:rFonts w:ascii="Aptos" w:hAnsi="Aptos" w:cs="Arial"/>
          <w:sz w:val="36"/>
          <w:szCs w:val="36"/>
          <w:lang w:val="nl-NL"/>
        </w:rPr>
        <w:t>a</w:t>
      </w:r>
      <w:r w:rsidR="00CB39CC">
        <w:rPr>
          <w:rFonts w:ascii="Aptos" w:hAnsi="Aptos" w:cs="Arial"/>
          <w:sz w:val="36"/>
          <w:szCs w:val="36"/>
          <w:lang w:val="nl-NL"/>
        </w:rPr>
        <w:t>l</w:t>
      </w:r>
      <w:proofErr w:type="spellEnd"/>
      <w:r w:rsidR="00CB39CC">
        <w:rPr>
          <w:rFonts w:ascii="Aptos" w:hAnsi="Aptos" w:cs="Arial"/>
          <w:sz w:val="36"/>
          <w:szCs w:val="36"/>
          <w:lang w:val="nl-NL"/>
        </w:rPr>
        <w:t xml:space="preserve"> </w:t>
      </w:r>
      <w:r w:rsidR="0080167E">
        <w:rPr>
          <w:rFonts w:ascii="Aptos" w:hAnsi="Aptos" w:cs="Arial"/>
          <w:sz w:val="36"/>
          <w:szCs w:val="36"/>
          <w:lang w:val="nl-NL"/>
        </w:rPr>
        <w:t>C</w:t>
      </w:r>
      <w:r w:rsidR="00CB39CC">
        <w:rPr>
          <w:rFonts w:ascii="Aptos" w:hAnsi="Aptos" w:cs="Arial"/>
          <w:sz w:val="36"/>
          <w:szCs w:val="36"/>
          <w:lang w:val="nl-NL"/>
        </w:rPr>
        <w:t xml:space="preserve">are independent project </w:t>
      </w:r>
    </w:p>
    <w:p w14:paraId="5F675FC6" w14:textId="2AAD670E" w:rsidR="007968E4" w:rsidRDefault="007968E4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b/>
          <w:bCs/>
          <w:sz w:val="36"/>
          <w:szCs w:val="36"/>
          <w:lang w:val="nl-NL"/>
        </w:rPr>
      </w:pPr>
      <w:r>
        <w:rPr>
          <w:rFonts w:ascii="Aptos" w:hAnsi="Aptos" w:cs="Arial"/>
          <w:b/>
          <w:bCs/>
          <w:sz w:val="36"/>
          <w:szCs w:val="36"/>
          <w:lang w:val="nl-NL"/>
        </w:rPr>
        <w:t>B</w:t>
      </w:r>
      <w:r w:rsidR="0080167E">
        <w:rPr>
          <w:rFonts w:ascii="Aptos" w:hAnsi="Aptos" w:cs="Arial"/>
          <w:b/>
          <w:bCs/>
          <w:sz w:val="36"/>
          <w:szCs w:val="36"/>
          <w:lang w:val="nl-NL"/>
        </w:rPr>
        <w:t>MHP6020</w:t>
      </w:r>
    </w:p>
    <w:p w14:paraId="03151450" w14:textId="77777777" w:rsidR="0080167E" w:rsidRPr="0067255D" w:rsidRDefault="0080167E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</w:p>
    <w:p w14:paraId="60C4DD3D" w14:textId="77777777" w:rsidR="006F40C0" w:rsidRPr="0067255D" w:rsidRDefault="006F40C0">
      <w:pPr>
        <w:rPr>
          <w:sz w:val="36"/>
          <w:szCs w:val="36"/>
        </w:rPr>
      </w:pPr>
      <w:r w:rsidRPr="0067255D">
        <w:rPr>
          <w:sz w:val="36"/>
          <w:szCs w:val="36"/>
        </w:rPr>
        <w:br w:type="page"/>
      </w: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6D7E0958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3A5F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67BFBF7" w14:textId="0E6F5963" w:rsidR="00E254E2" w:rsidRDefault="00C90854">
            <w:pPr>
              <w:spacing w:before="120" w:after="120"/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lastRenderedPageBreak/>
              <w:t xml:space="preserve">To what extent does </w:t>
            </w: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t>delayed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t xml:space="preserve"> autism diagnosis affect the wellbeing and development of children and their families in the UK?</w:t>
            </w:r>
          </w:p>
        </w:tc>
      </w:tr>
    </w:tbl>
    <w:p w14:paraId="17397446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173"/>
        <w:gridCol w:w="120"/>
        <w:gridCol w:w="5173"/>
      </w:tblGrid>
      <w:tr w:rsidR="00E254E2" w14:paraId="43A3E365" w14:textId="77777777">
        <w:trPr>
          <w:cantSplit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B7F9E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22E6C49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01  Introduction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and Research Aim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19FCF19B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07B24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7CD8CEB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02  Search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Strategy</w:t>
            </w:r>
          </w:p>
        </w:tc>
      </w:tr>
      <w:tr w:rsidR="00E254E2" w14:paraId="6814EF93" w14:textId="77777777">
        <w:trPr>
          <w:cantSplit/>
          <w:trHeight w:val="3300"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DF0F6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157733C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This dissertation uses a literature review to examine evidence on delayed autism diagnosis in the UK. Academic research, clinical guidance and policy sources were searched, evaluated and analysed.</w:t>
            </w:r>
          </w:p>
          <w:p w14:paraId="12EC7A99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Aim: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To investigate the extent to which delayed autism diagnosis affects the wellbeing and development of children and their families in the UK (Aveyard, 2023).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15280319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CE9D6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3B0B87F3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 structured strategy was developed from the research question. Terms included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autism diagnosis, delayed autism diagnosis, autism assessment, diagnostic delay, waiting times, wellbeing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and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family support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446B3767" w14:textId="77777777" w:rsidR="00E254E2" w:rsidRDefault="00C90854">
            <w:pPr>
              <w:spacing w:after="3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Boolean operators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combined terms:</w:t>
            </w:r>
          </w:p>
          <w:p w14:paraId="60393C8A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AND: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linked key concepts</w:t>
            </w:r>
          </w:p>
          <w:p w14:paraId="0ED456F9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OR: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combined alternative terms</w:t>
            </w:r>
          </w:p>
          <w:p w14:paraId="031943F6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NOT: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excluded unrelated results</w:t>
            </w:r>
          </w:p>
          <w:p w14:paraId="7B50DC00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Example: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autism AND delayed diagnosis AND children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(Aveyard, 2023; Bramer et al., 2018).</w:t>
            </w:r>
          </w:p>
        </w:tc>
      </w:tr>
    </w:tbl>
    <w:p w14:paraId="0637C9AD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91"/>
        <w:gridCol w:w="115"/>
        <w:gridCol w:w="6560"/>
      </w:tblGrid>
      <w:tr w:rsidR="00E254E2" w14:paraId="7BC402D8" w14:textId="77777777">
        <w:trPr>
          <w:cantSplit/>
        </w:trPr>
        <w:tc>
          <w:tcPr>
            <w:tcW w:w="39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7B4FA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5409B36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03  Searching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for Information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3A8F2449" w14:textId="77777777" w:rsidR="00E254E2" w:rsidRDefault="00E254E2"/>
        </w:tc>
        <w:tc>
          <w:tcPr>
            <w:tcW w:w="644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E7D5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06FCACE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04  Picture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/ Graph / Visual Aid / Statistics</w:t>
            </w:r>
          </w:p>
        </w:tc>
      </w:tr>
      <w:tr w:rsidR="00E254E2" w14:paraId="0124C44E" w14:textId="77777777" w:rsidTr="006F40C0">
        <w:trPr>
          <w:cantSplit/>
          <w:trHeight w:val="7663"/>
        </w:trPr>
        <w:tc>
          <w:tcPr>
            <w:tcW w:w="39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BE1F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9AE19A6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Literature was searched using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PubMed, CINAHL, Google Scholar and the UWTSD Library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. Professional and policy sources came from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NICE, the NHS and UK government websites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171AAE7A" w14:textId="77777777" w:rsidR="00E254E2" w:rsidRDefault="00C90854">
            <w:pPr>
              <w:spacing w:after="3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Searches were refined by:</w:t>
            </w:r>
          </w:p>
          <w:p w14:paraId="75A4487F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Publication date</w:t>
            </w:r>
          </w:p>
          <w:p w14:paraId="3A7E2999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Peer review</w:t>
            </w:r>
          </w:p>
          <w:p w14:paraId="150E96FF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Children and young people</w:t>
            </w:r>
          </w:p>
          <w:p w14:paraId="6BC361E4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UK relevance</w:t>
            </w:r>
          </w:p>
          <w:p w14:paraId="418F5CF1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Autism diagnosis and assessment</w:t>
            </w:r>
          </w:p>
          <w:p w14:paraId="33ED5FCB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Wellbeing and family experiences</w:t>
            </w:r>
          </w:p>
          <w:p w14:paraId="3480CB35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(Booth, Sutton and Papaioannou, 2016)</w:t>
            </w:r>
          </w:p>
          <w:p w14:paraId="4C008FA3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NICE guidance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provided a UK benchmark for autism assessment (NICE, 2017).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4C9342D2" w14:textId="77777777" w:rsidR="00E254E2" w:rsidRDefault="00E254E2"/>
        </w:tc>
        <w:tc>
          <w:tcPr>
            <w:tcW w:w="644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AF0E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48774DA0" w14:textId="77777777" w:rsidR="00E254E2" w:rsidRDefault="00C90854">
            <w:pPr>
              <w:spacing w:before="40" w:after="60"/>
            </w:pPr>
            <w:r>
              <w:rPr>
                <w:noProof/>
              </w:rPr>
              <w:drawing>
                <wp:inline distT="0" distB="0" distL="0" distR="0" wp14:anchorId="53672F57" wp14:editId="54528C36">
                  <wp:extent cx="3810000" cy="1108364"/>
                  <wp:effectExtent l="0" t="0" r="0" b="0"/>
                  <wp:docPr id="1" name="fig.png" descr="Screenshot" title="Screensh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39532" cy="1116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E9DD13" w14:textId="77777777" w:rsidR="00E254E2" w:rsidRDefault="00C90854">
            <w:pPr>
              <w:spacing w:before="40" w:after="160"/>
              <w:rPr>
                <w:rFonts w:ascii="Arial" w:eastAsia="Arial" w:hAnsi="Arial" w:cs="Arial"/>
                <w:i/>
                <w:iCs/>
                <w:sz w:val="19"/>
                <w:szCs w:val="19"/>
              </w:rPr>
            </w:pPr>
            <w:r>
              <w:rPr>
                <w:rFonts w:ascii="Arial" w:eastAsia="Arial" w:hAnsi="Arial" w:cs="Arial"/>
                <w:i/>
                <w:iCs/>
                <w:sz w:val="19"/>
                <w:szCs w:val="19"/>
              </w:rPr>
              <w:t>Figure 1: Autism referral waiting times in England, June 2026 (NHS England, 2026).</w:t>
            </w:r>
          </w:p>
          <w:p w14:paraId="2770BB6F" w14:textId="5AC193FE" w:rsidR="006F40C0" w:rsidRPr="006F40C0" w:rsidRDefault="006F40C0">
            <w:pPr>
              <w:spacing w:before="40" w:after="160"/>
              <w:rPr>
                <w:rFonts w:ascii="Arial" w:eastAsia="Arial" w:hAnsi="Arial" w:cs="Arial"/>
                <w:b/>
                <w:bCs/>
                <w:i/>
                <w:iCs/>
              </w:rPr>
            </w:pPr>
            <w:r w:rsidRPr="006F40C0">
              <w:rPr>
                <w:rStyle w:val="Strong"/>
                <w:rFonts w:ascii="Arial" w:hAnsi="Arial" w:cs="Arial"/>
                <w:color w:val="000000"/>
              </w:rPr>
              <w:t>3.5 YEARS</w:t>
            </w:r>
            <w:r w:rsidRPr="006F40C0">
              <w:rPr>
                <w:rFonts w:ascii="Arial" w:hAnsi="Arial" w:cs="Arial"/>
                <w:color w:val="000000"/>
              </w:rPr>
              <w:br/>
              <w:t>Average delay between parents first approaching a health professional and their child receiving an autism diagnosis.</w:t>
            </w:r>
            <w:r w:rsidRPr="006F40C0">
              <w:rPr>
                <w:rFonts w:ascii="Arial" w:hAnsi="Arial" w:cs="Arial"/>
                <w:color w:val="000000"/>
              </w:rPr>
              <w:br/>
            </w:r>
            <w:r w:rsidRPr="006F40C0">
              <w:rPr>
                <w:rStyle w:val="Strong"/>
                <w:rFonts w:ascii="Arial" w:hAnsi="Arial" w:cs="Arial"/>
                <w:b w:val="0"/>
                <w:bCs w:val="0"/>
                <w:color w:val="000000"/>
              </w:rPr>
              <w:t>(Crane et al., 2016)</w:t>
            </w:r>
          </w:p>
          <w:p w14:paraId="4A252A64" w14:textId="77777777" w:rsidR="006F40C0" w:rsidRDefault="006F40C0">
            <w:pPr>
              <w:spacing w:before="40" w:after="160"/>
            </w:pPr>
          </w:p>
          <w:p w14:paraId="5DD2F599" w14:textId="77777777" w:rsidR="00E254E2" w:rsidRDefault="00C90854">
            <w:pPr>
              <w:spacing w:before="40" w:after="60"/>
            </w:pPr>
            <w:r>
              <w:rPr>
                <w:noProof/>
              </w:rPr>
              <w:drawing>
                <wp:inline distT="0" distB="0" distL="0" distR="0" wp14:anchorId="07F96D8D" wp14:editId="4D349FCE">
                  <wp:extent cx="3987249" cy="2202873"/>
                  <wp:effectExtent l="0" t="0" r="635" b="0"/>
                  <wp:docPr id="584399152" name="themes.png" descr="Screenshot" title="Screensh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24758" cy="22788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A8B9004" w14:textId="77777777" w:rsidR="00E254E2" w:rsidRDefault="00C90854">
      <w:r>
        <w:br w:type="page"/>
      </w: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2418561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F6DB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720E5AF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lastRenderedPageBreak/>
              <w:t>05  Research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Validation and Analysis</w:t>
            </w:r>
          </w:p>
        </w:tc>
      </w:tr>
      <w:tr w:rsidR="00E254E2" w14:paraId="2A315A52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CE8F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4ABC9A8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Research validation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checks that information is credible, relevant, accurate and suitable. The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CRAAP Test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assessed Currency, Relevance, Authority, Accuracy and Purpose (Blakeslee, 2004).</w:t>
            </w:r>
          </w:p>
          <w:p w14:paraId="5D64244C" w14:textId="77777777" w:rsidR="00E254E2" w:rsidRDefault="00C90854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Benefit: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reduces the use of unreliable information.  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Limitation: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no tool removes researcher judgement or bias.</w:t>
            </w:r>
          </w:p>
          <w:p w14:paraId="65D15185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Ten sources were assessed and five selected for detailed analysis. Findings were compared and grouped into three themes for Chapter 4 (Braun and Clarke, 2006).</w:t>
            </w:r>
          </w:p>
        </w:tc>
      </w:tr>
    </w:tbl>
    <w:p w14:paraId="4262D10F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173"/>
        <w:gridCol w:w="120"/>
        <w:gridCol w:w="5173"/>
      </w:tblGrid>
      <w:tr w:rsidR="00E254E2" w14:paraId="1F452CA2" w14:textId="77777777">
        <w:trPr>
          <w:cantSplit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E9E6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63FAFB0C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06  Inclusion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Criteria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2E7DE9F4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2427A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F851361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07  Exclusion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Criteria</w:t>
            </w:r>
          </w:p>
        </w:tc>
      </w:tr>
      <w:tr w:rsidR="00E254E2" w14:paraId="148A8586" w14:textId="77777777">
        <w:trPr>
          <w:cantSplit/>
          <w:trHeight w:val="5600"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DF3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3BCE05C3" w14:textId="77777777" w:rsidR="00E254E2" w:rsidRDefault="00C90854">
            <w:pPr>
              <w:spacing w:after="5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were included when they met these criteria:</w:t>
            </w:r>
          </w:p>
          <w:p w14:paraId="69BFEB8B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Peer-reviewed research, mainly from the last 10 years</w:t>
            </w:r>
          </w:p>
          <w:p w14:paraId="02BC2E4F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Studies involving children and young people</w:t>
            </w:r>
          </w:p>
          <w:p w14:paraId="08493504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Research on autism diagnosis, assessment or delay</w:t>
            </w:r>
          </w:p>
          <w:p w14:paraId="7B83834A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Evidence on wellbeing, development or family experiences</w:t>
            </w:r>
          </w:p>
          <w:p w14:paraId="7F509E7D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UK-based research, plus relevant NICE, government and professional sources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52DD12A0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8DC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6206FA7" w14:textId="77777777" w:rsidR="00E254E2" w:rsidRDefault="00C90854">
            <w:pPr>
              <w:spacing w:after="5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were excluded when they met these criteria:</w:t>
            </w:r>
          </w:p>
          <w:p w14:paraId="2567FFE2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not relevant to the research question</w:t>
            </w:r>
          </w:p>
          <w:p w14:paraId="21D04D02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Duplicate sources</w:t>
            </w:r>
          </w:p>
          <w:p w14:paraId="4F26F947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Adult-only studies with no link to children or families</w:t>
            </w:r>
          </w:p>
          <w:p w14:paraId="2535F16F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Unsupported opinion</w:t>
            </w:r>
          </w:p>
          <w:p w14:paraId="217C0498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Non-UK research not relevant to the UK context</w:t>
            </w:r>
          </w:p>
          <w:p w14:paraId="2DC909D2" w14:textId="77777777" w:rsidR="00E254E2" w:rsidRDefault="00C90854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Older research not needed for methodological or historical context</w:t>
            </w:r>
          </w:p>
        </w:tc>
      </w:tr>
    </w:tbl>
    <w:p w14:paraId="21311D0E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1819579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3A5F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4345E7A" w14:textId="77777777" w:rsidR="00E254E2" w:rsidRDefault="00C90854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08  Ethical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Considerations</w:t>
            </w:r>
          </w:p>
        </w:tc>
      </w:tr>
      <w:tr w:rsidR="00E254E2" w14:paraId="4C378F6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6ECF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F424401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Secondary research must use, evaluate and present evidence honestly, responsibly and fairly, respecting original authors (Ruggiano and Perry, 2019).</w:t>
            </w:r>
          </w:p>
        </w:tc>
      </w:tr>
    </w:tbl>
    <w:p w14:paraId="0A85A011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093"/>
        <w:gridCol w:w="2093"/>
        <w:gridCol w:w="2093"/>
        <w:gridCol w:w="2093"/>
        <w:gridCol w:w="2094"/>
      </w:tblGrid>
      <w:tr w:rsidR="00E254E2" w14:paraId="420D586E" w14:textId="77777777">
        <w:trPr>
          <w:cantSplit/>
        </w:trPr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2F6DB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435A5563" w14:textId="77777777" w:rsidR="00E254E2" w:rsidRDefault="00C90854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Intellectual Property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7B4FA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B8A8D0E" w14:textId="77777777" w:rsidR="00E254E2" w:rsidRDefault="00C90854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Privacy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2E7D5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D5246FA" w14:textId="77777777" w:rsidR="00E254E2" w:rsidRDefault="00C90854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Data Integrity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E07B24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879A616" w14:textId="77777777" w:rsidR="00E254E2" w:rsidRDefault="00C90854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Compliance</w:t>
            </w:r>
          </w:p>
        </w:tc>
        <w:tc>
          <w:tcPr>
            <w:tcW w:w="2094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C2427A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DE5557C" w14:textId="77777777" w:rsidR="00E254E2" w:rsidRDefault="00C90854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Informed Consent</w:t>
            </w:r>
          </w:p>
        </w:tc>
      </w:tr>
      <w:tr w:rsidR="00E254E2" w14:paraId="2437B6E5" w14:textId="77777777">
        <w:trPr>
          <w:cantSplit/>
          <w:trHeight w:val="3000"/>
        </w:trPr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DCE8F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5063A65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Cite all sources; avoid plagiarism.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E9DFF3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AFB04A4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Only published literature used; no personal data collected.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DAF0E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AEDDA25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Use credible sources; consider limitations.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FBE5D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1D6C417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Follow university, copyright and data protection rules.</w:t>
            </w:r>
          </w:p>
        </w:tc>
        <w:tc>
          <w:tcPr>
            <w:tcW w:w="2094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F8DC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72D6990" w14:textId="77777777" w:rsidR="00E254E2" w:rsidRDefault="00C90854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No participants or primary data, so not required.</w:t>
            </w:r>
          </w:p>
        </w:tc>
      </w:tr>
    </w:tbl>
    <w:p w14:paraId="08703328" w14:textId="77777777" w:rsidR="00C90854" w:rsidRDefault="00C90854"/>
    <w:p w14:paraId="3E97A226" w14:textId="77777777" w:rsidR="006F40C0" w:rsidRDefault="006F40C0"/>
    <w:p w14:paraId="265D45ED" w14:textId="77777777" w:rsidR="006F40C0" w:rsidRDefault="006F40C0"/>
    <w:p w14:paraId="1E24913A" w14:textId="77777777" w:rsidR="006F40C0" w:rsidRDefault="006F40C0"/>
    <w:p w14:paraId="34E41455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13FA48C1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64D149A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7F579929" w14:textId="03C5CCC3" w:rsidR="006F40C0" w:rsidRPr="006F40C0" w:rsidRDefault="006F40C0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References</w:t>
      </w:r>
    </w:p>
    <w:p w14:paraId="5FE81099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Aveyard, H. (2023)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Doing a Literature Review in Health and Social Care: A Practical Guide</w:t>
      </w:r>
      <w:r w:rsidRPr="00AE79A9">
        <w:rPr>
          <w:rFonts w:ascii="Arial" w:hAnsi="Arial" w:cs="Arial"/>
          <w:color w:val="000000"/>
          <w:sz w:val="22"/>
          <w:szCs w:val="22"/>
        </w:rPr>
        <w:t xml:space="preserve">. 5th </w:t>
      </w:r>
      <w:proofErr w:type="spellStart"/>
      <w:r w:rsidRPr="00AE79A9">
        <w:rPr>
          <w:rFonts w:ascii="Arial" w:hAnsi="Arial" w:cs="Arial"/>
          <w:color w:val="000000"/>
          <w:sz w:val="22"/>
          <w:szCs w:val="22"/>
        </w:rPr>
        <w:t>edn</w:t>
      </w:r>
      <w:proofErr w:type="spellEnd"/>
      <w:r w:rsidRPr="00AE79A9">
        <w:rPr>
          <w:rFonts w:ascii="Arial" w:hAnsi="Arial" w:cs="Arial"/>
          <w:color w:val="000000"/>
          <w:sz w:val="22"/>
          <w:szCs w:val="22"/>
        </w:rPr>
        <w:t>. Maidenhead: Open University Press.</w:t>
      </w:r>
    </w:p>
    <w:p w14:paraId="64D1B46B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Blakeslee, S. (2004) ‘The CRAAP Test’,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LOEX Quarterly</w:t>
      </w:r>
      <w:r w:rsidRPr="00AE79A9">
        <w:rPr>
          <w:rFonts w:ascii="Arial" w:hAnsi="Arial" w:cs="Arial"/>
          <w:color w:val="000000"/>
          <w:sz w:val="22"/>
          <w:szCs w:val="22"/>
        </w:rPr>
        <w:t>, 31(3), article 4.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8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https://commons.emich.edu/loexquarterly/vol31/iss3/4/</w:t>
        </w:r>
      </w:hyperlink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5C0349DB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Booth, A., Sutton, A. and Papaioannou, D. (2016)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Systematic Approaches to a Successful Literature Review</w:t>
      </w:r>
      <w:r w:rsidRPr="00AE79A9">
        <w:rPr>
          <w:rFonts w:ascii="Arial" w:hAnsi="Arial" w:cs="Arial"/>
          <w:color w:val="000000"/>
          <w:sz w:val="22"/>
          <w:szCs w:val="22"/>
        </w:rPr>
        <w:t xml:space="preserve">. 2nd </w:t>
      </w:r>
      <w:proofErr w:type="spellStart"/>
      <w:r w:rsidRPr="00AE79A9">
        <w:rPr>
          <w:rFonts w:ascii="Arial" w:hAnsi="Arial" w:cs="Arial"/>
          <w:color w:val="000000"/>
          <w:sz w:val="22"/>
          <w:szCs w:val="22"/>
        </w:rPr>
        <w:t>edn</w:t>
      </w:r>
      <w:proofErr w:type="spellEnd"/>
      <w:r w:rsidRPr="00AE79A9">
        <w:rPr>
          <w:rFonts w:ascii="Arial" w:hAnsi="Arial" w:cs="Arial"/>
          <w:color w:val="000000"/>
          <w:sz w:val="22"/>
          <w:szCs w:val="22"/>
        </w:rPr>
        <w:t>. London: SAGE.</w:t>
      </w:r>
    </w:p>
    <w:p w14:paraId="0535405C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 xml:space="preserve">Bramer, W.M., de Jonge, G.B., </w:t>
      </w:r>
      <w:proofErr w:type="spellStart"/>
      <w:r w:rsidRPr="00AE79A9">
        <w:rPr>
          <w:rFonts w:ascii="Arial" w:hAnsi="Arial" w:cs="Arial"/>
          <w:color w:val="000000"/>
          <w:sz w:val="22"/>
          <w:szCs w:val="22"/>
        </w:rPr>
        <w:t>Rethlefsen</w:t>
      </w:r>
      <w:proofErr w:type="spellEnd"/>
      <w:r w:rsidRPr="00AE79A9">
        <w:rPr>
          <w:rFonts w:ascii="Arial" w:hAnsi="Arial" w:cs="Arial"/>
          <w:color w:val="000000"/>
          <w:sz w:val="22"/>
          <w:szCs w:val="22"/>
        </w:rPr>
        <w:t>, M.L., Mast, F. and Kleijnen, J. (2018) ‘A systematic approach to searching: an efficient and complete method to develop literature searches’,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Journal of the Medical Library Association</w:t>
      </w:r>
      <w:r w:rsidRPr="00AE79A9">
        <w:rPr>
          <w:rFonts w:ascii="Arial" w:hAnsi="Arial" w:cs="Arial"/>
          <w:color w:val="000000"/>
          <w:sz w:val="22"/>
          <w:szCs w:val="22"/>
        </w:rPr>
        <w:t>, 106(4), pp. 531–541.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9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https://doi.org/10.5195/jmla.2018.283</w:t>
        </w:r>
      </w:hyperlink>
    </w:p>
    <w:p w14:paraId="66F2CF2E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Braun, V. and Clarke, V. (2006) ‘Using thematic analysis in psychology’,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Qualitative Research in Psychology</w:t>
      </w:r>
      <w:r w:rsidRPr="00AE79A9">
        <w:rPr>
          <w:rFonts w:ascii="Arial" w:hAnsi="Arial" w:cs="Arial"/>
          <w:color w:val="000000"/>
          <w:sz w:val="22"/>
          <w:szCs w:val="22"/>
        </w:rPr>
        <w:t>, 3(2), pp. 77–101.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0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</w:p>
    <w:p w14:paraId="0C02F5AD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Crane, L., Chester, J.W., Goddard, L., Henry, L.A. and Hill, E.L. (2016) ‘Experiences of autism diagnosis: A survey of over 1000 parents in the United Kingdom’,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Autism</w:t>
      </w:r>
      <w:r w:rsidRPr="00AE79A9">
        <w:rPr>
          <w:rFonts w:ascii="Arial" w:hAnsi="Arial" w:cs="Arial"/>
          <w:color w:val="000000"/>
          <w:sz w:val="22"/>
          <w:szCs w:val="22"/>
        </w:rPr>
        <w:t>, 20(2), pp. 153–162.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1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https://doi.org/10.1177/1362361315573636</w:t>
        </w:r>
      </w:hyperlink>
    </w:p>
    <w:p w14:paraId="689798C8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National Institute for Health and Care Excellence (2017)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gramStart"/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Autism spectrum disorder</w:t>
      </w:r>
      <w:proofErr w:type="gramEnd"/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 xml:space="preserve"> in under 19s: recognition, referral and diagnosis (CG128)</w:t>
      </w:r>
      <w:r w:rsidRPr="00AE79A9">
        <w:rPr>
          <w:rFonts w:ascii="Arial" w:hAnsi="Arial" w:cs="Arial"/>
          <w:color w:val="000000"/>
          <w:sz w:val="22"/>
          <w:szCs w:val="22"/>
        </w:rPr>
        <w:t>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2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https://www.nice.org.uk/guidance/cg128</w:t>
        </w:r>
      </w:hyperlink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1ACD0D92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NHS England (2026)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Autism Statistics, July 2025 to June 2026</w:t>
      </w:r>
      <w:r w:rsidRPr="00AE79A9">
        <w:rPr>
          <w:rFonts w:ascii="Arial" w:hAnsi="Arial" w:cs="Arial"/>
          <w:color w:val="000000"/>
          <w:sz w:val="22"/>
          <w:szCs w:val="22"/>
        </w:rPr>
        <w:t>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3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https://digital.nhs.uk/data-and-information/publications/statistical/autism-statistics/july-2025-to-june-2026</w:t>
        </w:r>
      </w:hyperlink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478E5682" w14:textId="77777777" w:rsidR="00AE79A9" w:rsidRPr="00AE79A9" w:rsidRDefault="00AE79A9" w:rsidP="00AE79A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E79A9">
        <w:rPr>
          <w:rFonts w:ascii="Arial" w:hAnsi="Arial" w:cs="Arial"/>
          <w:color w:val="000000"/>
          <w:sz w:val="22"/>
          <w:szCs w:val="22"/>
        </w:rPr>
        <w:t>Ruggiano, N. and Perry, T.E. (2019) ‘Conducting secondary analysis of qualitative data: Should we, can we, and how?’,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AE79A9">
        <w:rPr>
          <w:rStyle w:val="Emphasis"/>
          <w:rFonts w:ascii="Arial" w:hAnsi="Arial" w:cs="Arial"/>
          <w:color w:val="000000"/>
          <w:sz w:val="22"/>
          <w:szCs w:val="22"/>
        </w:rPr>
        <w:t>Qualitative Social Work</w:t>
      </w:r>
      <w:r w:rsidRPr="00AE79A9">
        <w:rPr>
          <w:rFonts w:ascii="Arial" w:hAnsi="Arial" w:cs="Arial"/>
          <w:color w:val="000000"/>
          <w:sz w:val="22"/>
          <w:szCs w:val="22"/>
        </w:rPr>
        <w:t>, 18(1), pp. 81–97. Available at:</w:t>
      </w:r>
      <w:r w:rsidRPr="00AE79A9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4" w:history="1">
        <w:r w:rsidRPr="00AE79A9">
          <w:rPr>
            <w:rStyle w:val="Hyperlink"/>
            <w:rFonts w:ascii="Arial" w:hAnsi="Arial" w:cs="Arial"/>
            <w:sz w:val="22"/>
            <w:szCs w:val="22"/>
          </w:rPr>
          <w:t>https://doi.org/10.1177/1473325017700701</w:t>
        </w:r>
      </w:hyperlink>
    </w:p>
    <w:p w14:paraId="78E6697E" w14:textId="77777777" w:rsidR="006F40C0" w:rsidRPr="00AE79A9" w:rsidRDefault="006F40C0" w:rsidP="00AE79A9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F40C0" w:rsidRPr="00AE79A9">
      <w:pgSz w:w="11906" w:h="16838"/>
      <w:pgMar w:top="500" w:right="720" w:bottom="500" w:left="72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9B34C41"/>
    <w:multiLevelType w:val="hybridMultilevel"/>
    <w:tmpl w:val="42D8D244"/>
    <w:lvl w:ilvl="0" w:tplc="11844CA4">
      <w:start w:val="1"/>
      <w:numFmt w:val="bullet"/>
      <w:lvlText w:val="●"/>
      <w:lvlJc w:val="left"/>
      <w:pPr>
        <w:ind w:left="720" w:hanging="360"/>
      </w:pPr>
    </w:lvl>
    <w:lvl w:ilvl="1" w:tplc="BCD834D0">
      <w:start w:val="1"/>
      <w:numFmt w:val="bullet"/>
      <w:lvlText w:val="○"/>
      <w:lvlJc w:val="left"/>
      <w:pPr>
        <w:ind w:left="1440" w:hanging="360"/>
      </w:pPr>
    </w:lvl>
    <w:lvl w:ilvl="2" w:tplc="8BB4F1FA">
      <w:start w:val="1"/>
      <w:numFmt w:val="bullet"/>
      <w:lvlText w:val="■"/>
      <w:lvlJc w:val="left"/>
      <w:pPr>
        <w:ind w:left="2160" w:hanging="360"/>
      </w:pPr>
    </w:lvl>
    <w:lvl w:ilvl="3" w:tplc="A6FC9546">
      <w:start w:val="1"/>
      <w:numFmt w:val="bullet"/>
      <w:lvlText w:val="●"/>
      <w:lvlJc w:val="left"/>
      <w:pPr>
        <w:ind w:left="2880" w:hanging="360"/>
      </w:pPr>
    </w:lvl>
    <w:lvl w:ilvl="4" w:tplc="0254C74A">
      <w:start w:val="1"/>
      <w:numFmt w:val="bullet"/>
      <w:lvlText w:val="○"/>
      <w:lvlJc w:val="left"/>
      <w:pPr>
        <w:ind w:left="3600" w:hanging="360"/>
      </w:pPr>
    </w:lvl>
    <w:lvl w:ilvl="5" w:tplc="1E1EB27C">
      <w:start w:val="1"/>
      <w:numFmt w:val="bullet"/>
      <w:lvlText w:val="■"/>
      <w:lvlJc w:val="left"/>
      <w:pPr>
        <w:ind w:left="4320" w:hanging="360"/>
      </w:pPr>
    </w:lvl>
    <w:lvl w:ilvl="6" w:tplc="F30241DC">
      <w:start w:val="1"/>
      <w:numFmt w:val="bullet"/>
      <w:lvlText w:val="●"/>
      <w:lvlJc w:val="left"/>
      <w:pPr>
        <w:ind w:left="5040" w:hanging="360"/>
      </w:pPr>
    </w:lvl>
    <w:lvl w:ilvl="7" w:tplc="E806E258">
      <w:start w:val="1"/>
      <w:numFmt w:val="bullet"/>
      <w:lvlText w:val="●"/>
      <w:lvlJc w:val="left"/>
      <w:pPr>
        <w:ind w:left="5760" w:hanging="360"/>
      </w:pPr>
    </w:lvl>
    <w:lvl w:ilvl="8" w:tplc="107A67A8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5A77455D"/>
    <w:multiLevelType w:val="hybridMultilevel"/>
    <w:tmpl w:val="7B4219E6"/>
    <w:lvl w:ilvl="0" w:tplc="E5E2A6EC">
      <w:start w:val="1"/>
      <w:numFmt w:val="bullet"/>
      <w:lvlText w:val="•"/>
      <w:lvlJc w:val="left"/>
      <w:pPr>
        <w:ind w:left="360" w:hanging="220"/>
      </w:pPr>
    </w:lvl>
    <w:lvl w:ilvl="1" w:tplc="2702F558">
      <w:numFmt w:val="decimal"/>
      <w:lvlText w:val=""/>
      <w:lvlJc w:val="left"/>
    </w:lvl>
    <w:lvl w:ilvl="2" w:tplc="F080EBAE">
      <w:numFmt w:val="decimal"/>
      <w:lvlText w:val=""/>
      <w:lvlJc w:val="left"/>
    </w:lvl>
    <w:lvl w:ilvl="3" w:tplc="021EA0CC">
      <w:numFmt w:val="decimal"/>
      <w:lvlText w:val=""/>
      <w:lvlJc w:val="left"/>
    </w:lvl>
    <w:lvl w:ilvl="4" w:tplc="1C2076AA">
      <w:numFmt w:val="decimal"/>
      <w:lvlText w:val=""/>
      <w:lvlJc w:val="left"/>
    </w:lvl>
    <w:lvl w:ilvl="5" w:tplc="F97A8710">
      <w:numFmt w:val="decimal"/>
      <w:lvlText w:val=""/>
      <w:lvlJc w:val="left"/>
    </w:lvl>
    <w:lvl w:ilvl="6" w:tplc="169E10B8">
      <w:numFmt w:val="decimal"/>
      <w:lvlText w:val=""/>
      <w:lvlJc w:val="left"/>
    </w:lvl>
    <w:lvl w:ilvl="7" w:tplc="D3FAC68A">
      <w:numFmt w:val="decimal"/>
      <w:lvlText w:val=""/>
      <w:lvlJc w:val="left"/>
    </w:lvl>
    <w:lvl w:ilvl="8" w:tplc="51E05DD8">
      <w:numFmt w:val="decimal"/>
      <w:lvlText w:val=""/>
      <w:lvlJc w:val="left"/>
    </w:lvl>
  </w:abstractNum>
  <w:num w:numId="1" w16cid:durableId="157891409">
    <w:abstractNumId w:val="0"/>
    <w:lvlOverride w:ilvl="0">
      <w:startOverride w:val="1"/>
    </w:lvlOverride>
  </w:num>
  <w:num w:numId="2" w16cid:durableId="345787072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54E2"/>
    <w:rsid w:val="00276E57"/>
    <w:rsid w:val="0061273A"/>
    <w:rsid w:val="0067255D"/>
    <w:rsid w:val="006F40C0"/>
    <w:rsid w:val="007968E4"/>
    <w:rsid w:val="0080167E"/>
    <w:rsid w:val="00A44586"/>
    <w:rsid w:val="00AE79A9"/>
    <w:rsid w:val="00CB39CC"/>
    <w:rsid w:val="00E208C4"/>
    <w:rsid w:val="00E254E2"/>
    <w:rsid w:val="00E72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19557E"/>
  <w15:docId w15:val="{3D59CBE4-9C3C-0343-AF07-B7C46CC10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customStyle="1" w:styleId="isselectedend">
    <w:name w:val="isselectedend"/>
    <w:basedOn w:val="Normal"/>
    <w:rsid w:val="006F40C0"/>
    <w:pPr>
      <w:spacing w:before="100" w:beforeAutospacing="1" w:after="100" w:afterAutospacing="1"/>
    </w:pPr>
    <w:rPr>
      <w:sz w:val="24"/>
      <w:szCs w:val="24"/>
    </w:rPr>
  </w:style>
  <w:style w:type="character" w:customStyle="1" w:styleId="apple-converted-space">
    <w:name w:val="apple-converted-space"/>
    <w:basedOn w:val="DefaultParagraphFont"/>
    <w:rsid w:val="006F40C0"/>
  </w:style>
  <w:style w:type="character" w:styleId="Emphasis">
    <w:name w:val="Emphasis"/>
    <w:basedOn w:val="DefaultParagraphFont"/>
    <w:uiPriority w:val="20"/>
    <w:qFormat/>
    <w:rsid w:val="006F40C0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F40C0"/>
    <w:pPr>
      <w:spacing w:before="100" w:beforeAutospacing="1" w:after="100" w:afterAutospacing="1"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6F40C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.emich.edu/loexquarterly/vol31/iss3/4/" TargetMode="External"/><Relationship Id="rId13" Type="http://schemas.openxmlformats.org/officeDocument/2006/relationships/hyperlink" Target="https://digital.nhs.uk/data-and-information/publications/statistical/autism-statistics/july-2025-to-june-2026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nice.org.uk/guidance/cg128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doi.org/10.1177/1362361315573636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oi.org/10.1191/1478088706qp063o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5195/jmla.2018.283" TargetMode="External"/><Relationship Id="rId14" Type="http://schemas.openxmlformats.org/officeDocument/2006/relationships/hyperlink" Target="https://doi.org/10.1177/14733250177007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878</Words>
  <Characters>5010</Characters>
  <Application>Microsoft Office Word</Application>
  <DocSecurity>0</DocSecurity>
  <Lines>41</Lines>
  <Paragraphs>11</Paragraphs>
  <ScaleCrop>false</ScaleCrop>
  <Company/>
  <LinksUpToDate>false</LinksUpToDate>
  <CharactersWithSpaces>5877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Sameena Shahban (2325941)</cp:lastModifiedBy>
  <cp:revision>11</cp:revision>
  <dcterms:created xsi:type="dcterms:W3CDTF">2026-10-05T05:20:00Z</dcterms:created>
  <dcterms:modified xsi:type="dcterms:W3CDTF">2026-10-23T09:57:00Z</dcterms:modified>
</cp:coreProperties>
</file>