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57883" w14:textId="1DB6BF9A" w:rsidR="00673F58" w:rsidRDefault="00DD6C93">
      <w:r>
        <w:t xml:space="preserve">Monks wrote historical narratives in the Middle Ages for a large variety of purposes; initially, the reason was because monks had dedicated their lives to the </w:t>
      </w:r>
      <w:r w:rsidR="000D72EB">
        <w:t>monastery, and it gave them something to spend long hours doing</w:t>
      </w:r>
      <w:r w:rsidR="00987800">
        <w:t xml:space="preserve"> – the process of copying and writing and abbreviating were very laborious and time consuming, allowing them to spend many hours meditating</w:t>
      </w:r>
      <w:r w:rsidR="000D72EB">
        <w:t xml:space="preserve">. </w:t>
      </w:r>
      <w:r w:rsidR="00987800">
        <w:t>Additionally, it also became used to spread not only worldly information as well as the word of the Lord, but also to record valuable information at the request of kings and royalty. This is how medieval bestiaries, books of hours and astrology books were created, and often illuminated by the same or familiar monks. They were used to write historical narratives because monks had great loyalty to the church as well as the state, so many believed they offered a wholly unbiased opinion towards history – equally, churches were seen as places of community, and often had the only available public libraries in towns, ensuring that anyone seeking information could find it in one place.</w:t>
      </w:r>
    </w:p>
    <w:p w14:paraId="78E939FB" w14:textId="3786DA3F" w:rsidR="00C66BD0" w:rsidRDefault="00AA1EB0" w:rsidP="00C66BD0">
      <w:r>
        <w:t>Monks wrote narratives in the Middle Ages partially because they found it deeply important for the future,</w:t>
      </w:r>
      <w:r w:rsidR="00987800">
        <w:t xml:space="preserve"> as well as frequently under commission from people in power. The most common example of th</w:t>
      </w:r>
      <w:r w:rsidR="002A5E67">
        <w:t>i</w:t>
      </w:r>
      <w:r w:rsidR="00987800">
        <w:t>s is the Domesday Book commissioned by William the Conqueror – it covers a census of everyone in England as well as some of Wales,</w:t>
      </w:r>
      <w:r w:rsidR="00516255">
        <w:t xml:space="preserve"> written by unnamed monks. The name itself offers religious connotation – the people of the time named it themselves, as a reference to Judgement Day and how there is no arguing with the book itself. This referencing can be found in Richard Fitzneal’s</w:t>
      </w:r>
      <w:r w:rsidR="00516255">
        <w:rPr>
          <w:rStyle w:val="FootnoteReference"/>
        </w:rPr>
        <w:footnoteReference w:id="1"/>
      </w:r>
      <w:r w:rsidR="00516255">
        <w:t xml:space="preserve"> </w:t>
      </w:r>
      <w:proofErr w:type="spellStart"/>
      <w:r w:rsidR="00516255">
        <w:rPr>
          <w:i/>
          <w:iCs/>
        </w:rPr>
        <w:t>Dialogus</w:t>
      </w:r>
      <w:proofErr w:type="spellEnd"/>
      <w:r w:rsidR="00516255">
        <w:rPr>
          <w:i/>
          <w:iCs/>
        </w:rPr>
        <w:t xml:space="preserve"> de </w:t>
      </w:r>
      <w:r w:rsidR="00516255" w:rsidRPr="00516255">
        <w:rPr>
          <w:i/>
          <w:iCs/>
        </w:rPr>
        <w:t>Scaccario</w:t>
      </w:r>
      <w:r w:rsidR="00516255">
        <w:rPr>
          <w:i/>
          <w:iCs/>
        </w:rPr>
        <w:t xml:space="preserve">, </w:t>
      </w:r>
      <w:r w:rsidR="00516255">
        <w:t>in which he states ‘For this reason we call this book the ‘book of judgements’, not because it contains decisions made in controversial cases, but because from it, as from the Last Judgement, there is no further appeal.’</w:t>
      </w:r>
      <w:r w:rsidR="00516255">
        <w:rPr>
          <w:rStyle w:val="FootnoteReference"/>
        </w:rPr>
        <w:footnoteReference w:id="2"/>
      </w:r>
      <w:r w:rsidR="00516255">
        <w:t xml:space="preserve"> This emphasises in how high regard the monk’s narratives were held – in the writing of the Domesday book, it is seen that the greater public respects the certainty of it and accepts it as surely as they would accept God’s decision of the weight of their soul on Judgement Day.  </w:t>
      </w:r>
      <w:r w:rsidR="002A5E67">
        <w:t xml:space="preserve">Books of Hours were also commonly found around many cathedrals in England, which also dictated information as mundane as the monks’ daily schedule, but found great importance in noting such information daily. The idea of daily dictation can be attributed to their need to dictate history, and proof that the monks found it highly important to keep note of things. </w:t>
      </w:r>
      <w:r>
        <w:t xml:space="preserve">They used these books to allow </w:t>
      </w:r>
      <w:proofErr w:type="gramStart"/>
      <w:r>
        <w:t>those forthcoming</w:t>
      </w:r>
      <w:proofErr w:type="gramEnd"/>
      <w:r>
        <w:t xml:space="preserve"> to have the information they had in the present day, so that when they passed, the future generations would still have that information.</w:t>
      </w:r>
      <w:r w:rsidR="00C66BD0">
        <w:t xml:space="preserve"> Author Karen Stober writes of a similar idea, stating ‘Across the network there were traces of new writing, still a mix of narrative and documents, and some continuing to turn over the matter of their origins but more of it digesting the testimony of more recent times, to establish order over, and some authority in, the past </w:t>
      </w:r>
      <w:r w:rsidR="00C66BD0">
        <w:lastRenderedPageBreak/>
        <w:t>just passing out of living memory.’</w:t>
      </w:r>
      <w:r w:rsidR="00C66BD0">
        <w:rPr>
          <w:rStyle w:val="FootnoteReference"/>
        </w:rPr>
        <w:footnoteReference w:id="3"/>
      </w:r>
      <w:r>
        <w:t xml:space="preserve"> </w:t>
      </w:r>
      <w:r w:rsidR="00C66BD0">
        <w:t xml:space="preserve">Her writing here suggests of a community of people who rely on keeping the past alive, and further their ideas in such by keeping their present alive for those in the future. The monks in their present times saw that they would rather record everything they could find than have some small and vital piece of information slip into the past – it also allowed for people living in the </w:t>
      </w:r>
      <w:r w:rsidR="00192FE9">
        <w:t>M</w:t>
      </w:r>
      <w:r w:rsidR="00C66BD0">
        <w:t xml:space="preserve">iddle </w:t>
      </w:r>
      <w:r w:rsidR="00192FE9">
        <w:t>A</w:t>
      </w:r>
      <w:r w:rsidR="00C66BD0">
        <w:t>ges to feel as though they had control in their lives and the lives of those living in the future. Equally, a</w:t>
      </w:r>
      <w:r w:rsidR="002A5E67">
        <w:t xml:space="preserve">lthough the emphasis was on writing, they also illuminated their manuscripts in order to allow easier reading – allowing historians to analyse drawn schedules, visualising how monks bought parchment and wrote on them for the further production of more manuscripts, how they prayed and what for, even how they buried their dead – they found it all vitally important to pass the information down for future </w:t>
      </w:r>
      <w:r w:rsidR="00C66BD0">
        <w:t>readers and students of religion.</w:t>
      </w:r>
    </w:p>
    <w:p w14:paraId="3909F87E" w14:textId="7165AC60" w:rsidR="003E0DE5" w:rsidRDefault="00C66BD0" w:rsidP="00C66BD0">
      <w:r>
        <w:t>In addition</w:t>
      </w:r>
      <w:r w:rsidR="00427566">
        <w:t xml:space="preserve"> to the </w:t>
      </w:r>
      <w:r>
        <w:t>future</w:t>
      </w:r>
      <w:r w:rsidR="00427566">
        <w:t xml:space="preserve">, writing historical narratives was important for the present as well. </w:t>
      </w:r>
      <w:r>
        <w:t xml:space="preserve">Although the Domesday book benefitted individuals in the future, its main purpose was to show William the Conqueror who his subjects were and what land they owned. This would </w:t>
      </w:r>
      <w:r w:rsidR="00192FE9">
        <w:t>help settle legal battles, as those who struggled to agree on which land ended where would simply consult a monk who would find it written down.</w:t>
      </w:r>
      <w:r>
        <w:t xml:space="preserve"> </w:t>
      </w:r>
      <w:r w:rsidR="00953BC7">
        <w:t>There was also a good sense of family history – if a child was perhaps lost, there may have been a good chance you could find out who it belonged to once an adult if you searched through the historical books.</w:t>
      </w:r>
      <w:r w:rsidR="003E0DE5">
        <w:t xml:space="preserve"> There may even be a history of how certain people ended up in certain places – especially monks that were hermits, they would devote their lives to writing historical narratives of their tales and experiences. One such story can be found in Benedict of Auxerre, who was told in a vision by St Germanus to leave his convent and travel to England, ‘taking with him the smuggled relic of Germanus’ finger […] arrived in 1069 or 1070 at Selby, where he built a small dwelling for himself with branches and leaves and settled as a hermit.’</w:t>
      </w:r>
      <w:r w:rsidR="003E0DE5">
        <w:rPr>
          <w:rStyle w:val="FootnoteReference"/>
        </w:rPr>
        <w:footnoteReference w:id="4"/>
      </w:r>
      <w:r w:rsidR="003E0DE5">
        <w:t xml:space="preserve"> This evidences how monks would take great pilgrimages and end up in entirely new places – although they did not always become hermits, they were often welcomed in to other convents themselves – and yet the travelling of information was vital to writing the historical narratives they wrote. It may have documented their own life, or the lives of people they exchanged letters with, but the spreading of information around the globe in their present day was necessary for their historical narratives to be as open-minded and factual as possible. Had a monk writing about a tiger never seen, heard or talked to anyone who had been near a tiger before, the historical narrative offered by their bestiary would be untrustworthy and </w:t>
      </w:r>
      <w:r w:rsidR="003E0DE5">
        <w:lastRenderedPageBreak/>
        <w:t xml:space="preserve">inaccurate – therefore, </w:t>
      </w:r>
      <w:r w:rsidR="0076483C">
        <w:t>the greater sources offered, the more reliable the historical narrative.</w:t>
      </w:r>
    </w:p>
    <w:p w14:paraId="7A75B115" w14:textId="156FD8C0" w:rsidR="00B64DEF" w:rsidRDefault="00B64DEF">
      <w:r>
        <w:t xml:space="preserve">Another reason historical narratives were written by monks in the Middle Ages was </w:t>
      </w:r>
      <w:r w:rsidR="00C573A8">
        <w:t>due to the reverence of religion in medieval society. Monks and friars, the holy people of the church, were people who dedicated their lives to the Lord and therefore could not be dishonest.</w:t>
      </w:r>
      <w:r>
        <w:t xml:space="preserve"> </w:t>
      </w:r>
      <w:r w:rsidR="00C573A8">
        <w:t>This, paired alongside their access to a high number of books in the monastic libraries, made them readily</w:t>
      </w:r>
      <w:r w:rsidR="0055660F">
        <w:t xml:space="preserve"> </w:t>
      </w:r>
      <w:r w:rsidR="00C573A8">
        <w:t xml:space="preserve">available and easily reliable narrative writers. Bede the Venerable, a medieval monk and author, became highly attested for his writings as he was not only a monk but a literate and well-read individual. As part of his book </w:t>
      </w:r>
      <w:r w:rsidR="00C573A8">
        <w:rPr>
          <w:i/>
          <w:iCs/>
        </w:rPr>
        <w:t xml:space="preserve">The Ages of Man: A Study in Medieval Writing and Thought, </w:t>
      </w:r>
      <w:r w:rsidR="00C573A8">
        <w:t xml:space="preserve">author J.A. Burrow analyses Bede’s </w:t>
      </w:r>
      <w:r w:rsidR="004F4EC2">
        <w:t xml:space="preserve">writing in relation to the ages of man, but poignantly writes ‘Whatever his exact source may have been, Bede evidently had access in his monastic library at Wearmouth-Jarrow to Hippocratic material; and the De </w:t>
      </w:r>
      <w:proofErr w:type="spellStart"/>
      <w:r w:rsidR="004F4EC2">
        <w:t>Temporum</w:t>
      </w:r>
      <w:proofErr w:type="spellEnd"/>
      <w:r w:rsidR="004F4EC2">
        <w:t xml:space="preserve"> Ratione itself would have made the Fours further available.’</w:t>
      </w:r>
      <w:r w:rsidR="004F4EC2">
        <w:rPr>
          <w:rStyle w:val="FootnoteReference"/>
        </w:rPr>
        <w:footnoteReference w:id="5"/>
      </w:r>
      <w:r w:rsidR="00516B53">
        <w:t xml:space="preserve"> </w:t>
      </w:r>
      <w:r w:rsidR="004F4EC2">
        <w:t>The monastic libraries, whilst accessible to the public, would then likely have mostly been analysed by the monks themselves, leaving Bede’s writing to narrate a history that is well supported and evidenced by the texts he himself read, if not his own experiences. Religiously significant events, such as the case of William Cragh</w:t>
      </w:r>
      <w:r w:rsidR="0055660F">
        <w:rPr>
          <w:rStyle w:val="FootnoteReference"/>
        </w:rPr>
        <w:footnoteReference w:id="6"/>
      </w:r>
      <w:r w:rsidR="004F4EC2">
        <w:t>, would also be highly dictated and most trusted to be written by monks, as they were the closest to God. Many saints were trusted to write and illuminate manuscripts – the religious affiliation helped to perpetuate the strong faith felt by the medieval society of the time.</w:t>
      </w:r>
      <w:r w:rsidR="003E0DE5">
        <w:t xml:space="preserve"> </w:t>
      </w:r>
      <w:r w:rsidR="004F4EC2">
        <w:t>Death within religion also played a large role in monks leading historical narratives, as they were often the ones keeping track of who had donated to the church an</w:t>
      </w:r>
      <w:r w:rsidR="00582A36">
        <w:t xml:space="preserve">d therefore getting prayers frequently from the members of the church. This may allow for monks and friars to judge whether someone had done enough good deeds to justify getting to heaven, or rather if they had donated enough to receive additional prayers that they would. </w:t>
      </w:r>
      <w:r w:rsidR="003E0DE5">
        <w:t xml:space="preserve">Therefore, </w:t>
      </w:r>
      <w:r w:rsidR="00582A36">
        <w:t>monks as writers benefitted both the church (with the monetary gain allowing them to continue offering public services) as well as the people (calming their nerves and believing they will make it into heaven regardless). The practice of writing as a meditative practice for monks is also analysed within the context of Luther</w:t>
      </w:r>
      <w:r w:rsidR="00582A36">
        <w:rPr>
          <w:rStyle w:val="FootnoteReference"/>
        </w:rPr>
        <w:footnoteReference w:id="7"/>
      </w:r>
      <w:r w:rsidR="00582A36">
        <w:t xml:space="preserve"> by Mark Chinca, where he states ‘the training and discipline of the soul through a regimen of vigilance, meditation, and remembrance of the last end […] was directed to the service of God and the conquest of heaven through the “bloodless martyrdom” of work, study and prayer.’</w:t>
      </w:r>
      <w:r w:rsidR="00582A36">
        <w:rPr>
          <w:rStyle w:val="FootnoteReference"/>
        </w:rPr>
        <w:footnoteReference w:id="8"/>
      </w:r>
      <w:r w:rsidR="00582A36">
        <w:t xml:space="preserve"> </w:t>
      </w:r>
      <w:r w:rsidR="00AC6778">
        <w:t xml:space="preserve">This shows how monks writing </w:t>
      </w:r>
      <w:r w:rsidR="00AC6778">
        <w:lastRenderedPageBreak/>
        <w:t>historical narratives not only held a religious connection to society, but also to those that dedicated their lives to the church.</w:t>
      </w:r>
    </w:p>
    <w:p w14:paraId="42A504EF" w14:textId="49A1E74F" w:rsidR="004F4EC2" w:rsidRDefault="00516B53">
      <w:r>
        <w:t xml:space="preserve">Monks </w:t>
      </w:r>
      <w:r w:rsidR="00AC6778">
        <w:t xml:space="preserve">being in control of historical narratives also allowed for the informative dictation of things that had not yet been written down before. Bestiaries and astrology books were often written in collaboration with those in other convents who offered their </w:t>
      </w:r>
      <w:proofErr w:type="gramStart"/>
      <w:r w:rsidR="00AC6778">
        <w:t>knowledge, and</w:t>
      </w:r>
      <w:proofErr w:type="gramEnd"/>
      <w:r w:rsidR="00AC6778">
        <w:t xml:space="preserve"> then copied and rewritten in their own words into many other versions of the manuscripts. The idea of copying was studied by author Matthew Fisher in his book </w:t>
      </w:r>
      <w:r w:rsidR="00AC6778">
        <w:rPr>
          <w:i/>
          <w:iCs/>
        </w:rPr>
        <w:t xml:space="preserve">Scribal Authorship and the Writing of History in Medieval England, </w:t>
      </w:r>
      <w:r w:rsidR="00AC6778">
        <w:t>where he debates the legitimacy of authors and ownership in the society where copying manuscripts was frequent to do. He debates this idea, ‘Copying, too, is not a de-historicized or idealized process, and the transformation by which an original becomes a copy is not generic.’</w:t>
      </w:r>
      <w:r w:rsidR="00AC6778">
        <w:rPr>
          <w:rStyle w:val="FootnoteReference"/>
        </w:rPr>
        <w:footnoteReference w:id="9"/>
      </w:r>
      <w:r w:rsidR="00AC6778">
        <w:t xml:space="preserve"> Fisher implies that copies being whole replicas of the original text does not change their meaning but may change the context in which they were written – in this sense subverting the initial idea of monks being wholly in charge of their historical narratives. </w:t>
      </w:r>
      <w:r w:rsidR="003961C4">
        <w:t>He goes on to write ‘Malicious, or more commonly, ignorant transformations tend to dominate discussions of the work of scribes. But medieval scribes were also in a position to emend and correct the texts they copied, and to save authors from their own errors.’</w:t>
      </w:r>
      <w:r w:rsidR="003961C4">
        <w:rPr>
          <w:rStyle w:val="FootnoteReference"/>
        </w:rPr>
        <w:footnoteReference w:id="10"/>
      </w:r>
      <w:r w:rsidR="00C573A8">
        <w:t xml:space="preserve"> </w:t>
      </w:r>
      <w:r w:rsidR="003961C4">
        <w:t xml:space="preserve">This implies that copiers of monks’ texts are rather adding on to what was previously there, and the amending of texts, such as the fixing of mistakes upon re-publication and rewriting is equally as valid as the monks in charge of the historical narratives themselves. In </w:t>
      </w:r>
      <w:r w:rsidR="004F4EC2">
        <w:t>this instance, it was the job of the monks to continue to immortalise the power of writing, and to teach people how to read and write for future reference</w:t>
      </w:r>
      <w:r w:rsidR="003961C4">
        <w:t xml:space="preserve"> – the young who are taught to write may have become the scribes that copy the texts to redistribute them. </w:t>
      </w:r>
      <w:r w:rsidR="004F4EC2">
        <w:t>This way, the documents that were used to help later down the line would be able to be read by the common person.</w:t>
      </w:r>
      <w:r w:rsidR="003961C4">
        <w:t xml:space="preserve"> Equally, smaller books such as travel texts would have been written by monks and those who had partaken in pilgrimages, offering advice to those seeking to follow the same path and travel – their narratives offer something informative and guiding, teaching people wh</w:t>
      </w:r>
      <w:r w:rsidR="0055660F">
        <w:t>ich</w:t>
      </w:r>
      <w:r w:rsidR="003961C4">
        <w:t xml:space="preserve"> inns to stop in at and which bread is the cheapest, as they would have written from lived experience. Therefore, monks would have been especially trustworthy historical sources.</w:t>
      </w:r>
    </w:p>
    <w:p w14:paraId="15F5BE08" w14:textId="633394CB" w:rsidR="00CD4416" w:rsidRDefault="00CD4416">
      <w:r>
        <w:t>Ultimately, monks wrote historical narratives for a variety of different reasons.</w:t>
      </w:r>
      <w:r w:rsidR="003961C4">
        <w:t xml:space="preserve"> The likes of Luther and Bede were looked up to for their knowledge of meditation, dedication to their religion and ability to write. Monasteries all over England offered public libraries to their towns and education to their citizens, and short books were written</w:t>
      </w:r>
      <w:r>
        <w:t xml:space="preserve"> to assist those going on their own journeys in the future to find what they need and to help educate them</w:t>
      </w:r>
      <w:r w:rsidR="003961C4">
        <w:t xml:space="preserve">. They were trustworthy for their easy accessibility to knowledge, their dedication </w:t>
      </w:r>
      <w:r w:rsidR="003961C4">
        <w:lastRenderedPageBreak/>
        <w:t xml:space="preserve">to their faith, and their commitment to </w:t>
      </w:r>
      <w:r w:rsidR="009F09AC">
        <w:t xml:space="preserve">take note of everything important they believed would be of use. This allowed them to settle debates over land and </w:t>
      </w:r>
      <w:proofErr w:type="gramStart"/>
      <w:r w:rsidR="009F09AC">
        <w:t>money, and</w:t>
      </w:r>
      <w:proofErr w:type="gramEnd"/>
      <w:r w:rsidR="009F09AC">
        <w:t xml:space="preserve"> put people’s minds to rest about their afterlives – proving that monks writing historical narratives was a vital part of their job and highly respected in history.</w:t>
      </w:r>
    </w:p>
    <w:p w14:paraId="43E51CFF" w14:textId="77777777" w:rsidR="00451A97" w:rsidRDefault="00451A97"/>
    <w:p w14:paraId="6AD717C4" w14:textId="7E60B878" w:rsidR="00451A97" w:rsidRDefault="00451A97">
      <w:pPr>
        <w:rPr>
          <w:u w:val="single"/>
        </w:rPr>
      </w:pPr>
      <w:r w:rsidRPr="00451A97">
        <w:rPr>
          <w:u w:val="single"/>
        </w:rPr>
        <w:t>Bibliography</w:t>
      </w:r>
    </w:p>
    <w:p w14:paraId="7BB8AB14" w14:textId="022FBFEA" w:rsidR="00451A97" w:rsidRDefault="00451A97" w:rsidP="00451A97">
      <w:r>
        <w:t xml:space="preserve">Burrow, J. A, </w:t>
      </w:r>
      <w:r>
        <w:rPr>
          <w:i/>
          <w:iCs/>
        </w:rPr>
        <w:t xml:space="preserve">The Ages of </w:t>
      </w:r>
      <w:proofErr w:type="gramStart"/>
      <w:r>
        <w:rPr>
          <w:i/>
          <w:iCs/>
        </w:rPr>
        <w:t>Man</w:t>
      </w:r>
      <w:r>
        <w:rPr>
          <w:rFonts w:ascii="Arial" w:hAnsi="Arial" w:cs="Arial"/>
          <w:i/>
          <w:iCs/>
        </w:rPr>
        <w:t> </w:t>
      </w:r>
      <w:r>
        <w:rPr>
          <w:i/>
          <w:iCs/>
        </w:rPr>
        <w:t>:</w:t>
      </w:r>
      <w:proofErr w:type="gramEnd"/>
      <w:r>
        <w:rPr>
          <w:i/>
          <w:iCs/>
        </w:rPr>
        <w:t xml:space="preserve"> A Study in Medieval Writing and Thought</w:t>
      </w:r>
      <w:r>
        <w:t xml:space="preserve"> (Clarendon Press, 1988)</w:t>
      </w:r>
    </w:p>
    <w:p w14:paraId="67B8E1BE" w14:textId="2DE5079F" w:rsidR="00451A97" w:rsidRDefault="00451A97" w:rsidP="00451A97">
      <w:proofErr w:type="spellStart"/>
      <w:r>
        <w:t>Chinca</w:t>
      </w:r>
      <w:proofErr w:type="spellEnd"/>
      <w:r>
        <w:t xml:space="preserve">, Mark, </w:t>
      </w:r>
      <w:r>
        <w:rPr>
          <w:i/>
          <w:iCs/>
        </w:rPr>
        <w:t xml:space="preserve">Meditating Death in Medieval and Early Modern Devotional </w:t>
      </w:r>
      <w:proofErr w:type="gramStart"/>
      <w:r>
        <w:rPr>
          <w:i/>
          <w:iCs/>
        </w:rPr>
        <w:t>Writing</w:t>
      </w:r>
      <w:r>
        <w:rPr>
          <w:rFonts w:ascii="Arial" w:hAnsi="Arial" w:cs="Arial"/>
          <w:i/>
          <w:iCs/>
        </w:rPr>
        <w:t> </w:t>
      </w:r>
      <w:r>
        <w:rPr>
          <w:i/>
          <w:iCs/>
        </w:rPr>
        <w:t>:</w:t>
      </w:r>
      <w:proofErr w:type="gramEnd"/>
      <w:r>
        <w:rPr>
          <w:i/>
          <w:iCs/>
        </w:rPr>
        <w:t xml:space="preserve"> From Bonaventure to Luther</w:t>
      </w:r>
      <w:r>
        <w:t>, First edition. (Oxford University Press, 2020)</w:t>
      </w:r>
    </w:p>
    <w:p w14:paraId="7791F939" w14:textId="62900DAD" w:rsidR="00451A97" w:rsidRDefault="00451A97" w:rsidP="00451A97">
      <w:r>
        <w:t xml:space="preserve">Critten, Rory G, and Juliette Vuille, </w:t>
      </w:r>
      <w:r>
        <w:rPr>
          <w:i/>
          <w:iCs/>
        </w:rPr>
        <w:t xml:space="preserve">The Power of Words in Late Medieval Devotional and Mystical </w:t>
      </w:r>
      <w:proofErr w:type="gramStart"/>
      <w:r>
        <w:rPr>
          <w:i/>
          <w:iCs/>
        </w:rPr>
        <w:t>Writing</w:t>
      </w:r>
      <w:r>
        <w:rPr>
          <w:rFonts w:ascii="Arial" w:hAnsi="Arial" w:cs="Arial"/>
          <w:i/>
          <w:iCs/>
        </w:rPr>
        <w:t> </w:t>
      </w:r>
      <w:r>
        <w:rPr>
          <w:i/>
          <w:iCs/>
        </w:rPr>
        <w:t>:</w:t>
      </w:r>
      <w:proofErr w:type="gramEnd"/>
      <w:r>
        <w:rPr>
          <w:i/>
          <w:iCs/>
        </w:rPr>
        <w:t xml:space="preserve"> Essays in Honour of Denis Renevey.</w:t>
      </w:r>
      <w:r>
        <w:t>, 1st ed. (</w:t>
      </w:r>
      <w:proofErr w:type="spellStart"/>
      <w:r>
        <w:t>Brepols</w:t>
      </w:r>
      <w:proofErr w:type="spellEnd"/>
      <w:r>
        <w:t xml:space="preserve"> Publishers, 2025)</w:t>
      </w:r>
    </w:p>
    <w:p w14:paraId="268F1B95" w14:textId="49A50D6F" w:rsidR="00451A97" w:rsidRDefault="00451A97" w:rsidP="00451A97">
      <w:r>
        <w:t xml:space="preserve">DeGregorio, Scott, </w:t>
      </w:r>
      <w:r>
        <w:rPr>
          <w:i/>
          <w:iCs/>
        </w:rPr>
        <w:t>Innovation and Tradition in the Writings of the Venerable Bede</w:t>
      </w:r>
      <w:r>
        <w:t>, 1st ed. (West Virginia University Press, 2006)</w:t>
      </w:r>
    </w:p>
    <w:p w14:paraId="4270EEF7" w14:textId="1028790D" w:rsidR="00451A97" w:rsidRDefault="00451A97" w:rsidP="00451A97">
      <w:r>
        <w:t xml:space="preserve">Diem, Albrecht, </w:t>
      </w:r>
      <w:r>
        <w:rPr>
          <w:i/>
          <w:iCs/>
        </w:rPr>
        <w:t xml:space="preserve">The Pursuit of Salvation. Community, Space, and Discipline in Early Medieval </w:t>
      </w:r>
      <w:proofErr w:type="gramStart"/>
      <w:r>
        <w:rPr>
          <w:i/>
          <w:iCs/>
        </w:rPr>
        <w:t>Monasticism</w:t>
      </w:r>
      <w:r>
        <w:rPr>
          <w:rFonts w:ascii="Arial" w:hAnsi="Arial" w:cs="Arial"/>
          <w:i/>
          <w:iCs/>
        </w:rPr>
        <w:t> </w:t>
      </w:r>
      <w:r>
        <w:rPr>
          <w:i/>
          <w:iCs/>
        </w:rPr>
        <w:t>:</w:t>
      </w:r>
      <w:proofErr w:type="gramEnd"/>
      <w:r>
        <w:rPr>
          <w:i/>
          <w:iCs/>
        </w:rPr>
        <w:t xml:space="preserve"> With a Critical Edition and Translation of the Regula </w:t>
      </w:r>
      <w:proofErr w:type="spellStart"/>
      <w:r>
        <w:rPr>
          <w:i/>
          <w:iCs/>
        </w:rPr>
        <w:t>Cuiusdam</w:t>
      </w:r>
      <w:proofErr w:type="spellEnd"/>
      <w:r>
        <w:rPr>
          <w:i/>
          <w:iCs/>
        </w:rPr>
        <w:t xml:space="preserve"> Ad </w:t>
      </w:r>
      <w:proofErr w:type="spellStart"/>
      <w:r>
        <w:rPr>
          <w:i/>
          <w:iCs/>
        </w:rPr>
        <w:t>Uirgines</w:t>
      </w:r>
      <w:proofErr w:type="spellEnd"/>
      <w:r>
        <w:rPr>
          <w:i/>
          <w:iCs/>
        </w:rPr>
        <w:t>.</w:t>
      </w:r>
      <w:r>
        <w:t xml:space="preserve"> (</w:t>
      </w:r>
      <w:proofErr w:type="spellStart"/>
      <w:r>
        <w:t>Brepols</w:t>
      </w:r>
      <w:proofErr w:type="spellEnd"/>
      <w:r>
        <w:t xml:space="preserve"> Publishers, 2021)</w:t>
      </w:r>
    </w:p>
    <w:p w14:paraId="7EF96364" w14:textId="4935AA1E" w:rsidR="00451A97" w:rsidRDefault="00451A97" w:rsidP="00451A97">
      <w:r>
        <w:t xml:space="preserve">Fisher, Matthew, </w:t>
      </w:r>
      <w:r>
        <w:rPr>
          <w:i/>
          <w:iCs/>
        </w:rPr>
        <w:t>Scribal Authorship and the Writing of History in Medieval England</w:t>
      </w:r>
      <w:r>
        <w:t xml:space="preserve"> (Ohio State University Press, 2012)</w:t>
      </w:r>
    </w:p>
    <w:p w14:paraId="5D2D163F" w14:textId="1396729E" w:rsidR="00451A97" w:rsidRDefault="00451A97" w:rsidP="00451A97">
      <w:r>
        <w:t xml:space="preserve">Heydenreich, Aura, and others, </w:t>
      </w:r>
      <w:r>
        <w:rPr>
          <w:i/>
          <w:iCs/>
        </w:rPr>
        <w:t xml:space="preserve">Writing the </w:t>
      </w:r>
      <w:proofErr w:type="gramStart"/>
      <w:r>
        <w:rPr>
          <w:i/>
          <w:iCs/>
        </w:rPr>
        <w:t>Heavens</w:t>
      </w:r>
      <w:r>
        <w:rPr>
          <w:rFonts w:ascii="Arial" w:hAnsi="Arial" w:cs="Arial"/>
          <w:i/>
          <w:iCs/>
        </w:rPr>
        <w:t> </w:t>
      </w:r>
      <w:r>
        <w:rPr>
          <w:i/>
          <w:iCs/>
        </w:rPr>
        <w:t>:</w:t>
      </w:r>
      <w:proofErr w:type="gramEnd"/>
      <w:r>
        <w:rPr>
          <w:i/>
          <w:iCs/>
        </w:rPr>
        <w:t xml:space="preserve"> Celestial Observation in Medieval and Early Modern Literature.</w:t>
      </w:r>
      <w:r>
        <w:t>, 1st ed. (Walter de Gruyter GmbH, 2024)</w:t>
      </w:r>
    </w:p>
    <w:p w14:paraId="6DA5CF42" w14:textId="69A0A856" w:rsidR="00451A97" w:rsidRDefault="00451A97" w:rsidP="00451A97">
      <w:r>
        <w:t xml:space="preserve">Kennedy, Ruth, and Simon Meecham-Jones, eds., </w:t>
      </w:r>
      <w:r>
        <w:rPr>
          <w:i/>
          <w:iCs/>
        </w:rPr>
        <w:t>Authority and Subjugation in Writing of Medieval Wales</w:t>
      </w:r>
      <w:r>
        <w:t xml:space="preserve"> (Palgrave Macmillan, 2008)</w:t>
      </w:r>
    </w:p>
    <w:p w14:paraId="47F5F964" w14:textId="77777777" w:rsidR="00451A97" w:rsidRDefault="00451A97" w:rsidP="00451A97">
      <w:proofErr w:type="spellStart"/>
      <w:r>
        <w:t>Stöber</w:t>
      </w:r>
      <w:proofErr w:type="spellEnd"/>
      <w:r>
        <w:t xml:space="preserve">, Karen, Julie Kerr, and Emilia Jamroziak, eds., </w:t>
      </w:r>
      <w:r>
        <w:rPr>
          <w:i/>
          <w:iCs/>
        </w:rPr>
        <w:t xml:space="preserve">Monastic Life in the Medieval British </w:t>
      </w:r>
      <w:proofErr w:type="gramStart"/>
      <w:r>
        <w:rPr>
          <w:i/>
          <w:iCs/>
        </w:rPr>
        <w:t>Isles</w:t>
      </w:r>
      <w:r>
        <w:rPr>
          <w:rFonts w:ascii="Arial" w:hAnsi="Arial" w:cs="Arial"/>
          <w:i/>
          <w:iCs/>
        </w:rPr>
        <w:t> </w:t>
      </w:r>
      <w:r>
        <w:rPr>
          <w:i/>
          <w:iCs/>
        </w:rPr>
        <w:t>:</w:t>
      </w:r>
      <w:proofErr w:type="gramEnd"/>
      <w:r>
        <w:rPr>
          <w:i/>
          <w:iCs/>
        </w:rPr>
        <w:t xml:space="preserve"> Essays in Honour of Janet Burton</w:t>
      </w:r>
      <w:r>
        <w:t>, 1st ed. (University of Wales Press, 2018)</w:t>
      </w:r>
    </w:p>
    <w:p w14:paraId="7726BA0F" w14:textId="7883A82F" w:rsidR="00451A97" w:rsidRPr="00451A97" w:rsidRDefault="00451A97"/>
    <w:sectPr w:rsidR="00451A97" w:rsidRPr="00451A9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7611B" w14:textId="77777777" w:rsidR="000809D1" w:rsidRDefault="000809D1" w:rsidP="00427566">
      <w:pPr>
        <w:spacing w:after="0" w:line="240" w:lineRule="auto"/>
      </w:pPr>
      <w:r>
        <w:separator/>
      </w:r>
    </w:p>
  </w:endnote>
  <w:endnote w:type="continuationSeparator" w:id="0">
    <w:p w14:paraId="170F8235" w14:textId="77777777" w:rsidR="000809D1" w:rsidRDefault="000809D1" w:rsidP="00427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49794" w14:textId="77777777" w:rsidR="000809D1" w:rsidRDefault="000809D1" w:rsidP="00427566">
      <w:pPr>
        <w:spacing w:after="0" w:line="240" w:lineRule="auto"/>
      </w:pPr>
      <w:r>
        <w:separator/>
      </w:r>
    </w:p>
  </w:footnote>
  <w:footnote w:type="continuationSeparator" w:id="0">
    <w:p w14:paraId="7D22E5B8" w14:textId="77777777" w:rsidR="000809D1" w:rsidRDefault="000809D1" w:rsidP="00427566">
      <w:pPr>
        <w:spacing w:after="0" w:line="240" w:lineRule="auto"/>
      </w:pPr>
      <w:r>
        <w:continuationSeparator/>
      </w:r>
    </w:p>
  </w:footnote>
  <w:footnote w:id="1">
    <w:p w14:paraId="5CC1C557" w14:textId="3B9172DA" w:rsidR="00516255" w:rsidRPr="00BB3530" w:rsidRDefault="00516255">
      <w:pPr>
        <w:pStyle w:val="FootnoteText"/>
      </w:pPr>
      <w:r>
        <w:rPr>
          <w:rStyle w:val="FootnoteReference"/>
        </w:rPr>
        <w:footnoteRef/>
      </w:r>
      <w:r>
        <w:t xml:space="preserve"> </w:t>
      </w:r>
      <w:r w:rsidR="00BB3530">
        <w:t xml:space="preserve">Richard Fitzneal (1130-1198)- </w:t>
      </w:r>
      <w:r>
        <w:t xml:space="preserve">Henry II’s treasurer of England, </w:t>
      </w:r>
      <w:r w:rsidR="00BB3530">
        <w:t xml:space="preserve">the author of </w:t>
      </w:r>
      <w:proofErr w:type="spellStart"/>
      <w:r w:rsidR="00BB3530" w:rsidRPr="00BB3530">
        <w:rPr>
          <w:i/>
          <w:iCs/>
        </w:rPr>
        <w:t>D</w:t>
      </w:r>
      <w:r w:rsidRPr="00BB3530">
        <w:rPr>
          <w:i/>
          <w:iCs/>
        </w:rPr>
        <w:t>ialogus</w:t>
      </w:r>
      <w:proofErr w:type="spellEnd"/>
      <w:r w:rsidRPr="00BB3530">
        <w:rPr>
          <w:i/>
          <w:iCs/>
        </w:rPr>
        <w:t xml:space="preserve"> de </w:t>
      </w:r>
      <w:r w:rsidR="00BB3530" w:rsidRPr="00BB3530">
        <w:rPr>
          <w:i/>
          <w:iCs/>
        </w:rPr>
        <w:t>S</w:t>
      </w:r>
      <w:r w:rsidRPr="00BB3530">
        <w:rPr>
          <w:i/>
          <w:iCs/>
        </w:rPr>
        <w:t>caccario</w:t>
      </w:r>
      <w:r w:rsidR="00BB3530">
        <w:t>, the first administrative treatise of the Middle Ages.</w:t>
      </w:r>
    </w:p>
  </w:footnote>
  <w:footnote w:id="2">
    <w:p w14:paraId="18F3B96A" w14:textId="592B8089" w:rsidR="00516255" w:rsidRPr="001B168D" w:rsidRDefault="00516255">
      <w:pPr>
        <w:pStyle w:val="FootnoteText"/>
        <w:rPr>
          <w:lang w:val="fr-FR"/>
        </w:rPr>
      </w:pPr>
      <w:r>
        <w:rPr>
          <w:rStyle w:val="FootnoteReference"/>
        </w:rPr>
        <w:footnoteRef/>
      </w:r>
      <w:r w:rsidRPr="001B168D">
        <w:rPr>
          <w:lang w:val="fr-FR"/>
        </w:rPr>
        <w:t xml:space="preserve"> </w:t>
      </w:r>
      <w:proofErr w:type="spellStart"/>
      <w:r w:rsidR="00BB3530" w:rsidRPr="001B168D">
        <w:rPr>
          <w:lang w:val="fr-FR"/>
        </w:rPr>
        <w:t>Fitzneal</w:t>
      </w:r>
      <w:proofErr w:type="spellEnd"/>
      <w:r w:rsidR="00BB3530" w:rsidRPr="001B168D">
        <w:rPr>
          <w:lang w:val="fr-FR"/>
        </w:rPr>
        <w:t xml:space="preserve">, </w:t>
      </w:r>
      <w:proofErr w:type="spellStart"/>
      <w:r w:rsidRPr="001B168D">
        <w:rPr>
          <w:i/>
          <w:iCs/>
          <w:lang w:val="fr-FR"/>
        </w:rPr>
        <w:t>Dialogus</w:t>
      </w:r>
      <w:proofErr w:type="spellEnd"/>
      <w:r w:rsidRPr="001B168D">
        <w:rPr>
          <w:i/>
          <w:iCs/>
          <w:lang w:val="fr-FR"/>
        </w:rPr>
        <w:t xml:space="preserve"> de </w:t>
      </w:r>
      <w:proofErr w:type="spellStart"/>
      <w:r w:rsidR="00BB3530" w:rsidRPr="001B168D">
        <w:rPr>
          <w:i/>
          <w:iCs/>
          <w:lang w:val="fr-FR"/>
        </w:rPr>
        <w:t>S</w:t>
      </w:r>
      <w:r w:rsidRPr="001B168D">
        <w:rPr>
          <w:i/>
          <w:iCs/>
          <w:lang w:val="fr-FR"/>
        </w:rPr>
        <w:t>caccario</w:t>
      </w:r>
      <w:proofErr w:type="spellEnd"/>
      <w:r w:rsidR="00BB3530" w:rsidRPr="001B168D">
        <w:rPr>
          <w:i/>
          <w:iCs/>
          <w:lang w:val="fr-FR"/>
        </w:rPr>
        <w:t xml:space="preserve"> (Dialogue </w:t>
      </w:r>
      <w:proofErr w:type="spellStart"/>
      <w:r w:rsidR="001B168D">
        <w:rPr>
          <w:i/>
          <w:iCs/>
          <w:lang w:val="fr-FR"/>
        </w:rPr>
        <w:t>C</w:t>
      </w:r>
      <w:r w:rsidR="00BB3530" w:rsidRPr="001B168D">
        <w:rPr>
          <w:i/>
          <w:iCs/>
          <w:lang w:val="fr-FR"/>
        </w:rPr>
        <w:t>oncerning</w:t>
      </w:r>
      <w:proofErr w:type="spellEnd"/>
      <w:r w:rsidR="00BB3530" w:rsidRPr="001B168D">
        <w:rPr>
          <w:i/>
          <w:iCs/>
          <w:lang w:val="fr-FR"/>
        </w:rPr>
        <w:t xml:space="preserve"> the </w:t>
      </w:r>
      <w:proofErr w:type="spellStart"/>
      <w:r w:rsidR="00BB3530" w:rsidRPr="001B168D">
        <w:rPr>
          <w:i/>
          <w:iCs/>
          <w:lang w:val="fr-FR"/>
        </w:rPr>
        <w:t>Exchequer</w:t>
      </w:r>
      <w:proofErr w:type="spellEnd"/>
      <w:r w:rsidR="00BB3530" w:rsidRPr="001B168D">
        <w:rPr>
          <w:i/>
          <w:iCs/>
          <w:lang w:val="fr-FR"/>
        </w:rPr>
        <w:t>)</w:t>
      </w:r>
      <w:r w:rsidR="001B168D">
        <w:rPr>
          <w:lang w:val="fr-FR"/>
        </w:rPr>
        <w:t xml:space="preserve">, </w:t>
      </w:r>
      <w:proofErr w:type="spellStart"/>
      <w:r w:rsidR="001B168D">
        <w:rPr>
          <w:lang w:val="fr-FR"/>
        </w:rPr>
        <w:t>published</w:t>
      </w:r>
      <w:proofErr w:type="spellEnd"/>
      <w:r w:rsidR="001B168D">
        <w:rPr>
          <w:lang w:val="fr-FR"/>
        </w:rPr>
        <w:t xml:space="preserve"> 1180</w:t>
      </w:r>
    </w:p>
  </w:footnote>
  <w:footnote w:id="3">
    <w:p w14:paraId="4FC085E9" w14:textId="3D9BED4F" w:rsidR="00C66BD0" w:rsidRPr="00BB3530" w:rsidRDefault="00C66BD0" w:rsidP="00FC6332">
      <w:pPr>
        <w:rPr>
          <w:sz w:val="20"/>
          <w:szCs w:val="20"/>
        </w:rPr>
      </w:pPr>
      <w:r w:rsidRPr="00BB3530">
        <w:rPr>
          <w:rStyle w:val="FootnoteReference"/>
          <w:sz w:val="20"/>
          <w:szCs w:val="20"/>
        </w:rPr>
        <w:footnoteRef/>
      </w:r>
      <w:r w:rsidRPr="00BB3530">
        <w:rPr>
          <w:sz w:val="20"/>
          <w:szCs w:val="20"/>
        </w:rPr>
        <w:t xml:space="preserve"> </w:t>
      </w:r>
      <w:r w:rsidR="00FC6332" w:rsidRPr="00BB3530">
        <w:rPr>
          <w:sz w:val="20"/>
          <w:szCs w:val="20"/>
        </w:rPr>
        <w:t xml:space="preserve">Karen </w:t>
      </w:r>
      <w:r w:rsidR="00FC6332" w:rsidRPr="00BB3530">
        <w:rPr>
          <w:sz w:val="20"/>
          <w:szCs w:val="20"/>
        </w:rPr>
        <w:t xml:space="preserve">Stöber, Julie Kerr, and Emilia Jamroziak, eds., </w:t>
      </w:r>
      <w:r w:rsidR="00FC6332" w:rsidRPr="00BB3530">
        <w:rPr>
          <w:i/>
          <w:iCs/>
          <w:sz w:val="20"/>
          <w:szCs w:val="20"/>
        </w:rPr>
        <w:t xml:space="preserve">Monastic Life in the Medieval British </w:t>
      </w:r>
      <w:proofErr w:type="gramStart"/>
      <w:r w:rsidR="00FC6332" w:rsidRPr="00BB3530">
        <w:rPr>
          <w:i/>
          <w:iCs/>
          <w:sz w:val="20"/>
          <w:szCs w:val="20"/>
        </w:rPr>
        <w:t>Isles</w:t>
      </w:r>
      <w:r w:rsidR="00FC6332" w:rsidRPr="00BB3530">
        <w:rPr>
          <w:rFonts w:ascii="Arial" w:hAnsi="Arial" w:cs="Arial"/>
          <w:i/>
          <w:iCs/>
          <w:sz w:val="20"/>
          <w:szCs w:val="20"/>
        </w:rPr>
        <w:t> </w:t>
      </w:r>
      <w:r w:rsidR="00FC6332" w:rsidRPr="00BB3530">
        <w:rPr>
          <w:i/>
          <w:iCs/>
          <w:sz w:val="20"/>
          <w:szCs w:val="20"/>
        </w:rPr>
        <w:t>:</w:t>
      </w:r>
      <w:proofErr w:type="gramEnd"/>
      <w:r w:rsidR="00FC6332" w:rsidRPr="00BB3530">
        <w:rPr>
          <w:i/>
          <w:iCs/>
          <w:sz w:val="20"/>
          <w:szCs w:val="20"/>
        </w:rPr>
        <w:t xml:space="preserve"> Essays in Honour of Janet Burton</w:t>
      </w:r>
      <w:r w:rsidR="00FC6332" w:rsidRPr="00BB3530">
        <w:rPr>
          <w:sz w:val="20"/>
          <w:szCs w:val="20"/>
        </w:rPr>
        <w:t>, 1st ed. (University of Wales Press, 2018)</w:t>
      </w:r>
      <w:r w:rsidR="00FC6332" w:rsidRPr="00BB3530">
        <w:rPr>
          <w:sz w:val="20"/>
          <w:szCs w:val="20"/>
        </w:rPr>
        <w:t>, p.36</w:t>
      </w:r>
    </w:p>
  </w:footnote>
  <w:footnote w:id="4">
    <w:p w14:paraId="2081DB6F" w14:textId="77722315" w:rsidR="003E0DE5" w:rsidRPr="00FC6332" w:rsidRDefault="003E0DE5" w:rsidP="00FC6332">
      <w:pPr>
        <w:rPr>
          <w:sz w:val="20"/>
          <w:szCs w:val="20"/>
        </w:rPr>
      </w:pPr>
      <w:r w:rsidRPr="00BB3530">
        <w:rPr>
          <w:rStyle w:val="FootnoteReference"/>
          <w:sz w:val="20"/>
          <w:szCs w:val="20"/>
        </w:rPr>
        <w:footnoteRef/>
      </w:r>
      <w:r w:rsidRPr="00BB3530">
        <w:rPr>
          <w:sz w:val="20"/>
          <w:szCs w:val="20"/>
        </w:rPr>
        <w:t xml:space="preserve"> E</w:t>
      </w:r>
      <w:r w:rsidR="00FC6332" w:rsidRPr="00BB3530">
        <w:rPr>
          <w:sz w:val="20"/>
          <w:szCs w:val="20"/>
        </w:rPr>
        <w:t>.A Jones,</w:t>
      </w:r>
      <w:r w:rsidR="00FC6332" w:rsidRPr="00BB3530">
        <w:rPr>
          <w:sz w:val="20"/>
          <w:szCs w:val="20"/>
        </w:rPr>
        <w:t xml:space="preserve"> Rory G</w:t>
      </w:r>
      <w:r w:rsidR="00FC6332" w:rsidRPr="00BB3530">
        <w:rPr>
          <w:sz w:val="20"/>
          <w:szCs w:val="20"/>
        </w:rPr>
        <w:t xml:space="preserve"> Critten</w:t>
      </w:r>
      <w:r w:rsidR="00FC6332" w:rsidRPr="00BB3530">
        <w:rPr>
          <w:sz w:val="20"/>
          <w:szCs w:val="20"/>
        </w:rPr>
        <w:t xml:space="preserve">, and Juliette Vuille, </w:t>
      </w:r>
      <w:r w:rsidR="00FC6332" w:rsidRPr="00BB3530">
        <w:rPr>
          <w:i/>
          <w:iCs/>
          <w:sz w:val="20"/>
          <w:szCs w:val="20"/>
        </w:rPr>
        <w:t xml:space="preserve">The Power of Words in Late Medieval Devotional and Mystical </w:t>
      </w:r>
      <w:proofErr w:type="gramStart"/>
      <w:r w:rsidR="00FC6332" w:rsidRPr="00BB3530">
        <w:rPr>
          <w:i/>
          <w:iCs/>
          <w:sz w:val="20"/>
          <w:szCs w:val="20"/>
        </w:rPr>
        <w:t>Writing</w:t>
      </w:r>
      <w:r w:rsidR="00FC6332" w:rsidRPr="00BB3530">
        <w:rPr>
          <w:rFonts w:ascii="Arial" w:hAnsi="Arial" w:cs="Arial"/>
          <w:i/>
          <w:iCs/>
          <w:sz w:val="20"/>
          <w:szCs w:val="20"/>
        </w:rPr>
        <w:t> </w:t>
      </w:r>
      <w:r w:rsidR="00FC6332" w:rsidRPr="00BB3530">
        <w:rPr>
          <w:i/>
          <w:iCs/>
          <w:sz w:val="20"/>
          <w:szCs w:val="20"/>
        </w:rPr>
        <w:t>:</w:t>
      </w:r>
      <w:proofErr w:type="gramEnd"/>
      <w:r w:rsidR="00FC6332" w:rsidRPr="00BB3530">
        <w:rPr>
          <w:i/>
          <w:iCs/>
          <w:sz w:val="20"/>
          <w:szCs w:val="20"/>
        </w:rPr>
        <w:t xml:space="preserve"> Essays in Honour of Denis Renevey.</w:t>
      </w:r>
      <w:r w:rsidR="00FC6332" w:rsidRPr="00BB3530">
        <w:rPr>
          <w:sz w:val="20"/>
          <w:szCs w:val="20"/>
        </w:rPr>
        <w:t>, 1st ed. (</w:t>
      </w:r>
      <w:proofErr w:type="spellStart"/>
      <w:r w:rsidR="00FC6332" w:rsidRPr="00BB3530">
        <w:rPr>
          <w:sz w:val="20"/>
          <w:szCs w:val="20"/>
        </w:rPr>
        <w:t>Brepols</w:t>
      </w:r>
      <w:proofErr w:type="spellEnd"/>
      <w:r w:rsidR="00FC6332" w:rsidRPr="00BB3530">
        <w:rPr>
          <w:sz w:val="20"/>
          <w:szCs w:val="20"/>
        </w:rPr>
        <w:t xml:space="preserve"> Publishers, 2025)</w:t>
      </w:r>
      <w:r w:rsidR="00FC6332" w:rsidRPr="00BB3530">
        <w:rPr>
          <w:sz w:val="20"/>
          <w:szCs w:val="20"/>
        </w:rPr>
        <w:t>, p.</w:t>
      </w:r>
      <w:r w:rsidRPr="00BB3530">
        <w:rPr>
          <w:sz w:val="20"/>
          <w:szCs w:val="20"/>
        </w:rPr>
        <w:t>193</w:t>
      </w:r>
    </w:p>
  </w:footnote>
  <w:footnote w:id="5">
    <w:p w14:paraId="6C13C922" w14:textId="4E181D1B" w:rsidR="00BB3530" w:rsidRPr="00FC6332" w:rsidRDefault="004F4EC2" w:rsidP="00FC6332">
      <w:pPr>
        <w:rPr>
          <w:sz w:val="20"/>
          <w:szCs w:val="20"/>
        </w:rPr>
      </w:pPr>
      <w:r w:rsidRPr="00FC6332">
        <w:rPr>
          <w:rStyle w:val="FootnoteReference"/>
          <w:sz w:val="20"/>
          <w:szCs w:val="20"/>
        </w:rPr>
        <w:footnoteRef/>
      </w:r>
      <w:r w:rsidRPr="00FC6332">
        <w:rPr>
          <w:sz w:val="20"/>
          <w:szCs w:val="20"/>
        </w:rPr>
        <w:t xml:space="preserve"> </w:t>
      </w:r>
      <w:r w:rsidR="00FC6332" w:rsidRPr="00FC6332">
        <w:rPr>
          <w:sz w:val="20"/>
          <w:szCs w:val="20"/>
        </w:rPr>
        <w:t xml:space="preserve">J.A. </w:t>
      </w:r>
      <w:r w:rsidR="00FC6332" w:rsidRPr="00FC6332">
        <w:rPr>
          <w:sz w:val="20"/>
          <w:szCs w:val="20"/>
        </w:rPr>
        <w:t xml:space="preserve">Burrow, </w:t>
      </w:r>
      <w:r w:rsidR="00FC6332" w:rsidRPr="00FC6332">
        <w:rPr>
          <w:i/>
          <w:iCs/>
          <w:sz w:val="20"/>
          <w:szCs w:val="20"/>
        </w:rPr>
        <w:t xml:space="preserve">The Ages of </w:t>
      </w:r>
      <w:proofErr w:type="gramStart"/>
      <w:r w:rsidR="00FC6332" w:rsidRPr="00FC6332">
        <w:rPr>
          <w:i/>
          <w:iCs/>
          <w:sz w:val="20"/>
          <w:szCs w:val="20"/>
        </w:rPr>
        <w:t>Man</w:t>
      </w:r>
      <w:r w:rsidR="00FC6332" w:rsidRPr="00FC6332">
        <w:rPr>
          <w:rFonts w:ascii="Arial" w:hAnsi="Arial" w:cs="Arial"/>
          <w:i/>
          <w:iCs/>
          <w:sz w:val="20"/>
          <w:szCs w:val="20"/>
        </w:rPr>
        <w:t> </w:t>
      </w:r>
      <w:r w:rsidR="00FC6332" w:rsidRPr="00FC6332">
        <w:rPr>
          <w:i/>
          <w:iCs/>
          <w:sz w:val="20"/>
          <w:szCs w:val="20"/>
        </w:rPr>
        <w:t>:</w:t>
      </w:r>
      <w:proofErr w:type="gramEnd"/>
      <w:r w:rsidR="00FC6332" w:rsidRPr="00FC6332">
        <w:rPr>
          <w:i/>
          <w:iCs/>
          <w:sz w:val="20"/>
          <w:szCs w:val="20"/>
        </w:rPr>
        <w:t xml:space="preserve"> A Study in Medieval Writing and Thought</w:t>
      </w:r>
      <w:r w:rsidR="00FC6332" w:rsidRPr="00FC6332">
        <w:rPr>
          <w:sz w:val="20"/>
          <w:szCs w:val="20"/>
        </w:rPr>
        <w:t xml:space="preserve"> (Clarendon Press, 1988)</w:t>
      </w:r>
      <w:r w:rsidR="00FC6332">
        <w:rPr>
          <w:sz w:val="20"/>
          <w:szCs w:val="20"/>
        </w:rPr>
        <w:t>,</w:t>
      </w:r>
      <w:r w:rsidR="00FC6332" w:rsidRPr="00FC6332">
        <w:rPr>
          <w:sz w:val="20"/>
          <w:szCs w:val="20"/>
        </w:rPr>
        <w:t xml:space="preserve"> </w:t>
      </w:r>
      <w:r w:rsidRPr="00FC6332">
        <w:rPr>
          <w:sz w:val="20"/>
          <w:szCs w:val="20"/>
        </w:rPr>
        <w:t>p</w:t>
      </w:r>
      <w:r w:rsidR="00FC6332">
        <w:rPr>
          <w:sz w:val="20"/>
          <w:szCs w:val="20"/>
        </w:rPr>
        <w:t>.</w:t>
      </w:r>
      <w:r w:rsidRPr="00FC6332">
        <w:rPr>
          <w:sz w:val="20"/>
          <w:szCs w:val="20"/>
        </w:rPr>
        <w:t>15</w:t>
      </w:r>
    </w:p>
  </w:footnote>
  <w:footnote w:id="6">
    <w:p w14:paraId="7EDAF7E4" w14:textId="09A81FAF" w:rsidR="0055660F" w:rsidRDefault="0055660F">
      <w:pPr>
        <w:pStyle w:val="FootnoteText"/>
      </w:pPr>
      <w:r>
        <w:rPr>
          <w:rStyle w:val="FootnoteReference"/>
        </w:rPr>
        <w:footnoteRef/>
      </w:r>
      <w:r>
        <w:t xml:space="preserve"> </w:t>
      </w:r>
      <w:r w:rsidR="00FC6332">
        <w:t xml:space="preserve">The Case of Twice-Hanged </w:t>
      </w:r>
      <w:r>
        <w:t xml:space="preserve">William </w:t>
      </w:r>
      <w:r w:rsidR="00FC6332">
        <w:t>C</w:t>
      </w:r>
      <w:r>
        <w:t>ragh</w:t>
      </w:r>
      <w:r w:rsidR="00FC6332">
        <w:t xml:space="preserve">, </w:t>
      </w:r>
      <w:r w:rsidR="00FC6332">
        <w:rPr>
          <w:i/>
          <w:iCs/>
        </w:rPr>
        <w:t xml:space="preserve">The Twice-Hanged William Cragh, </w:t>
      </w:r>
      <w:r w:rsidR="00FC6332">
        <w:t>ed. And trans. Harriett Webster, City Witness Project</w:t>
      </w:r>
    </w:p>
  </w:footnote>
  <w:footnote w:id="7">
    <w:p w14:paraId="3AE8B664" w14:textId="13B5AC88" w:rsidR="00582A36" w:rsidRPr="00FC6332" w:rsidRDefault="00582A36">
      <w:pPr>
        <w:pStyle w:val="FootnoteText"/>
      </w:pPr>
      <w:r>
        <w:rPr>
          <w:rStyle w:val="FootnoteReference"/>
        </w:rPr>
        <w:footnoteRef/>
      </w:r>
      <w:r w:rsidRPr="00FC6332">
        <w:t xml:space="preserve"> Martin </w:t>
      </w:r>
      <w:r w:rsidR="00FC6332" w:rsidRPr="00FC6332">
        <w:t>Luther (1483-1546) – An Augustinian f</w:t>
      </w:r>
      <w:r w:rsidR="00FC6332">
        <w:t>riar and theologian whose writings and beliefs formed the basis of Lutheranism.</w:t>
      </w:r>
    </w:p>
  </w:footnote>
  <w:footnote w:id="8">
    <w:p w14:paraId="607DA955" w14:textId="1F98E757" w:rsidR="00582A36" w:rsidRPr="00FC6332" w:rsidRDefault="00582A36" w:rsidP="00FC6332">
      <w:pPr>
        <w:rPr>
          <w:sz w:val="20"/>
          <w:szCs w:val="20"/>
        </w:rPr>
      </w:pPr>
      <w:r w:rsidRPr="00FC6332">
        <w:rPr>
          <w:rStyle w:val="FootnoteReference"/>
          <w:sz w:val="20"/>
          <w:szCs w:val="20"/>
        </w:rPr>
        <w:footnoteRef/>
      </w:r>
      <w:r w:rsidRPr="00FC6332">
        <w:rPr>
          <w:sz w:val="20"/>
          <w:szCs w:val="20"/>
        </w:rPr>
        <w:t xml:space="preserve"> </w:t>
      </w:r>
      <w:r w:rsidR="00FC6332" w:rsidRPr="00FC6332">
        <w:rPr>
          <w:sz w:val="20"/>
          <w:szCs w:val="20"/>
        </w:rPr>
        <w:t>Mark</w:t>
      </w:r>
      <w:r w:rsidR="00FC6332">
        <w:rPr>
          <w:sz w:val="20"/>
          <w:szCs w:val="20"/>
        </w:rPr>
        <w:t xml:space="preserve"> Chinca</w:t>
      </w:r>
      <w:r w:rsidR="00FC6332" w:rsidRPr="00FC6332">
        <w:rPr>
          <w:sz w:val="20"/>
          <w:szCs w:val="20"/>
        </w:rPr>
        <w:t xml:space="preserve">, </w:t>
      </w:r>
      <w:r w:rsidR="00FC6332" w:rsidRPr="00FC6332">
        <w:rPr>
          <w:i/>
          <w:iCs/>
          <w:sz w:val="20"/>
          <w:szCs w:val="20"/>
        </w:rPr>
        <w:t xml:space="preserve">Meditating Death in Medieval and Early Modern Devotional </w:t>
      </w:r>
      <w:proofErr w:type="gramStart"/>
      <w:r w:rsidR="00FC6332" w:rsidRPr="00FC6332">
        <w:rPr>
          <w:i/>
          <w:iCs/>
          <w:sz w:val="20"/>
          <w:szCs w:val="20"/>
        </w:rPr>
        <w:t>Writing</w:t>
      </w:r>
      <w:r w:rsidR="00FC6332" w:rsidRPr="00FC6332">
        <w:rPr>
          <w:rFonts w:ascii="Arial" w:hAnsi="Arial" w:cs="Arial"/>
          <w:i/>
          <w:iCs/>
          <w:sz w:val="20"/>
          <w:szCs w:val="20"/>
        </w:rPr>
        <w:t> </w:t>
      </w:r>
      <w:r w:rsidR="00FC6332" w:rsidRPr="00FC6332">
        <w:rPr>
          <w:i/>
          <w:iCs/>
          <w:sz w:val="20"/>
          <w:szCs w:val="20"/>
        </w:rPr>
        <w:t>:</w:t>
      </w:r>
      <w:proofErr w:type="gramEnd"/>
      <w:r w:rsidR="00FC6332" w:rsidRPr="00FC6332">
        <w:rPr>
          <w:i/>
          <w:iCs/>
          <w:sz w:val="20"/>
          <w:szCs w:val="20"/>
        </w:rPr>
        <w:t xml:space="preserve"> From Bonaventure to Luther</w:t>
      </w:r>
      <w:r w:rsidR="00FC6332" w:rsidRPr="00FC6332">
        <w:rPr>
          <w:sz w:val="20"/>
          <w:szCs w:val="20"/>
        </w:rPr>
        <w:t>, First edition. (Oxford University Press, 2020)</w:t>
      </w:r>
      <w:r w:rsidR="00FC6332">
        <w:rPr>
          <w:sz w:val="20"/>
          <w:szCs w:val="20"/>
        </w:rPr>
        <w:t xml:space="preserve"> [last accessed 3/1/25]</w:t>
      </w:r>
    </w:p>
  </w:footnote>
  <w:footnote w:id="9">
    <w:p w14:paraId="10B0EAFE" w14:textId="073F56A7" w:rsidR="00AC6778" w:rsidRPr="00BB3530" w:rsidRDefault="00AC6778" w:rsidP="00BB3530">
      <w:pPr>
        <w:rPr>
          <w:sz w:val="20"/>
          <w:szCs w:val="20"/>
        </w:rPr>
      </w:pPr>
      <w:r w:rsidRPr="00BB3530">
        <w:rPr>
          <w:rStyle w:val="FootnoteReference"/>
          <w:sz w:val="20"/>
          <w:szCs w:val="20"/>
        </w:rPr>
        <w:footnoteRef/>
      </w:r>
      <w:r w:rsidRPr="00BB3530">
        <w:rPr>
          <w:sz w:val="20"/>
          <w:szCs w:val="20"/>
        </w:rPr>
        <w:t xml:space="preserve"> </w:t>
      </w:r>
      <w:r w:rsidR="00BB3530" w:rsidRPr="00BB3530">
        <w:rPr>
          <w:sz w:val="20"/>
          <w:szCs w:val="20"/>
        </w:rPr>
        <w:t>Matthew</w:t>
      </w:r>
      <w:r w:rsidR="00BB3530" w:rsidRPr="00BB3530">
        <w:rPr>
          <w:sz w:val="20"/>
          <w:szCs w:val="20"/>
        </w:rPr>
        <w:t xml:space="preserve"> Fisher</w:t>
      </w:r>
      <w:r w:rsidR="00BB3530" w:rsidRPr="00BB3530">
        <w:rPr>
          <w:sz w:val="20"/>
          <w:szCs w:val="20"/>
        </w:rPr>
        <w:t xml:space="preserve">, </w:t>
      </w:r>
      <w:r w:rsidR="00BB3530" w:rsidRPr="00BB3530">
        <w:rPr>
          <w:i/>
          <w:iCs/>
          <w:sz w:val="20"/>
          <w:szCs w:val="20"/>
        </w:rPr>
        <w:t>Scribal Authorship and the Writing of History in Medieval England</w:t>
      </w:r>
      <w:r w:rsidR="00BB3530" w:rsidRPr="00BB3530">
        <w:rPr>
          <w:sz w:val="20"/>
          <w:szCs w:val="20"/>
        </w:rPr>
        <w:t xml:space="preserve"> (Ohio State University Press, 2012)</w:t>
      </w:r>
      <w:r w:rsidR="00BB3530" w:rsidRPr="00BB3530">
        <w:rPr>
          <w:sz w:val="20"/>
          <w:szCs w:val="20"/>
        </w:rPr>
        <w:t xml:space="preserve">, </w:t>
      </w:r>
      <w:r w:rsidRPr="00BB3530">
        <w:rPr>
          <w:sz w:val="20"/>
          <w:szCs w:val="20"/>
        </w:rPr>
        <w:t>p</w:t>
      </w:r>
      <w:r w:rsidR="00BB3530" w:rsidRPr="00BB3530">
        <w:rPr>
          <w:sz w:val="20"/>
          <w:szCs w:val="20"/>
        </w:rPr>
        <w:t>.</w:t>
      </w:r>
      <w:r w:rsidRPr="00BB3530">
        <w:rPr>
          <w:sz w:val="20"/>
          <w:szCs w:val="20"/>
        </w:rPr>
        <w:t>15</w:t>
      </w:r>
    </w:p>
  </w:footnote>
  <w:footnote w:id="10">
    <w:p w14:paraId="5AAC3CCD" w14:textId="08A06859" w:rsidR="003961C4" w:rsidRDefault="003961C4">
      <w:pPr>
        <w:pStyle w:val="FootnoteText"/>
      </w:pPr>
      <w:r>
        <w:rPr>
          <w:rStyle w:val="FootnoteReference"/>
        </w:rPr>
        <w:footnoteRef/>
      </w:r>
      <w:r>
        <w:t xml:space="preserve"> Fisher,</w:t>
      </w:r>
      <w:r w:rsidR="00BB3530">
        <w:t xml:space="preserve"> </w:t>
      </w:r>
      <w:r w:rsidR="00BB3530">
        <w:rPr>
          <w:i/>
          <w:iCs/>
        </w:rPr>
        <w:t>Scribal Authorship,</w:t>
      </w:r>
      <w:r w:rsidR="00BB3530">
        <w:t xml:space="preserve"> </w:t>
      </w:r>
      <w:r>
        <w:t>p</w:t>
      </w:r>
      <w:r w:rsidR="00BB3530">
        <w:t>.</w:t>
      </w:r>
      <w:r>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75FC" w14:textId="4DBB8AE4" w:rsidR="00E84954" w:rsidRDefault="00E84954">
    <w:pPr>
      <w:pStyle w:val="Header"/>
    </w:pPr>
    <w:r>
      <w:t>Flynn Theisler</w:t>
    </w:r>
  </w:p>
  <w:p w14:paraId="6C1BFB73" w14:textId="2DB85BEB" w:rsidR="00E84954" w:rsidRDefault="00E84954">
    <w:pPr>
      <w:pStyle w:val="Header"/>
    </w:pPr>
    <w:r>
      <w:t>2503772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C93"/>
    <w:rsid w:val="00026011"/>
    <w:rsid w:val="000809D1"/>
    <w:rsid w:val="000A5013"/>
    <w:rsid w:val="000D72EB"/>
    <w:rsid w:val="00192FE9"/>
    <w:rsid w:val="001B168D"/>
    <w:rsid w:val="00272472"/>
    <w:rsid w:val="002A5E67"/>
    <w:rsid w:val="003961C4"/>
    <w:rsid w:val="003E0DE5"/>
    <w:rsid w:val="0041382A"/>
    <w:rsid w:val="00427566"/>
    <w:rsid w:val="00451A97"/>
    <w:rsid w:val="004F4EC2"/>
    <w:rsid w:val="00516255"/>
    <w:rsid w:val="00516B53"/>
    <w:rsid w:val="0055660F"/>
    <w:rsid w:val="00582A36"/>
    <w:rsid w:val="005C7B68"/>
    <w:rsid w:val="005F3581"/>
    <w:rsid w:val="00673F58"/>
    <w:rsid w:val="0076483C"/>
    <w:rsid w:val="00953BC7"/>
    <w:rsid w:val="00982D06"/>
    <w:rsid w:val="00987800"/>
    <w:rsid w:val="009D2F58"/>
    <w:rsid w:val="009F09AC"/>
    <w:rsid w:val="00AA1EB0"/>
    <w:rsid w:val="00AC6778"/>
    <w:rsid w:val="00B64DEF"/>
    <w:rsid w:val="00BB3530"/>
    <w:rsid w:val="00BE53FC"/>
    <w:rsid w:val="00C573A8"/>
    <w:rsid w:val="00C66BD0"/>
    <w:rsid w:val="00CD4416"/>
    <w:rsid w:val="00DD6C93"/>
    <w:rsid w:val="00E84954"/>
    <w:rsid w:val="00F74155"/>
    <w:rsid w:val="00F854A8"/>
    <w:rsid w:val="00FC6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A9C14B"/>
  <w15:chartTrackingRefBased/>
  <w15:docId w15:val="{883437DD-3669-4075-A8E2-FF564FCEE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6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6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C93"/>
    <w:rPr>
      <w:rFonts w:eastAsiaTheme="majorEastAsia" w:cstheme="majorBidi"/>
      <w:color w:val="272727" w:themeColor="text1" w:themeTint="D8"/>
    </w:rPr>
  </w:style>
  <w:style w:type="paragraph" w:styleId="Title">
    <w:name w:val="Title"/>
    <w:basedOn w:val="Normal"/>
    <w:next w:val="Normal"/>
    <w:link w:val="TitleChar"/>
    <w:uiPriority w:val="10"/>
    <w:qFormat/>
    <w:rsid w:val="00DD6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C93"/>
    <w:pPr>
      <w:spacing w:before="160"/>
      <w:jc w:val="center"/>
    </w:pPr>
    <w:rPr>
      <w:i/>
      <w:iCs/>
      <w:color w:val="404040" w:themeColor="text1" w:themeTint="BF"/>
    </w:rPr>
  </w:style>
  <w:style w:type="character" w:customStyle="1" w:styleId="QuoteChar">
    <w:name w:val="Quote Char"/>
    <w:basedOn w:val="DefaultParagraphFont"/>
    <w:link w:val="Quote"/>
    <w:uiPriority w:val="29"/>
    <w:rsid w:val="00DD6C93"/>
    <w:rPr>
      <w:i/>
      <w:iCs/>
      <w:color w:val="404040" w:themeColor="text1" w:themeTint="BF"/>
    </w:rPr>
  </w:style>
  <w:style w:type="paragraph" w:styleId="ListParagraph">
    <w:name w:val="List Paragraph"/>
    <w:basedOn w:val="Normal"/>
    <w:uiPriority w:val="34"/>
    <w:qFormat/>
    <w:rsid w:val="00DD6C93"/>
    <w:pPr>
      <w:ind w:left="720"/>
      <w:contextualSpacing/>
    </w:pPr>
  </w:style>
  <w:style w:type="character" w:styleId="IntenseEmphasis">
    <w:name w:val="Intense Emphasis"/>
    <w:basedOn w:val="DefaultParagraphFont"/>
    <w:uiPriority w:val="21"/>
    <w:qFormat/>
    <w:rsid w:val="00DD6C93"/>
    <w:rPr>
      <w:i/>
      <w:iCs/>
      <w:color w:val="0F4761" w:themeColor="accent1" w:themeShade="BF"/>
    </w:rPr>
  </w:style>
  <w:style w:type="paragraph" w:styleId="IntenseQuote">
    <w:name w:val="Intense Quote"/>
    <w:basedOn w:val="Normal"/>
    <w:next w:val="Normal"/>
    <w:link w:val="IntenseQuoteChar"/>
    <w:uiPriority w:val="30"/>
    <w:qFormat/>
    <w:rsid w:val="00DD6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C93"/>
    <w:rPr>
      <w:i/>
      <w:iCs/>
      <w:color w:val="0F4761" w:themeColor="accent1" w:themeShade="BF"/>
    </w:rPr>
  </w:style>
  <w:style w:type="character" w:styleId="IntenseReference">
    <w:name w:val="Intense Reference"/>
    <w:basedOn w:val="DefaultParagraphFont"/>
    <w:uiPriority w:val="32"/>
    <w:qFormat/>
    <w:rsid w:val="00DD6C93"/>
    <w:rPr>
      <w:b/>
      <w:bCs/>
      <w:smallCaps/>
      <w:color w:val="0F4761" w:themeColor="accent1" w:themeShade="BF"/>
      <w:spacing w:val="5"/>
    </w:rPr>
  </w:style>
  <w:style w:type="paragraph" w:styleId="FootnoteText">
    <w:name w:val="footnote text"/>
    <w:basedOn w:val="Normal"/>
    <w:link w:val="FootnoteTextChar"/>
    <w:uiPriority w:val="99"/>
    <w:semiHidden/>
    <w:unhideWhenUsed/>
    <w:rsid w:val="004275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7566"/>
    <w:rPr>
      <w:sz w:val="20"/>
      <w:szCs w:val="20"/>
    </w:rPr>
  </w:style>
  <w:style w:type="character" w:styleId="FootnoteReference">
    <w:name w:val="footnote reference"/>
    <w:basedOn w:val="DefaultParagraphFont"/>
    <w:uiPriority w:val="99"/>
    <w:semiHidden/>
    <w:unhideWhenUsed/>
    <w:rsid w:val="00427566"/>
    <w:rPr>
      <w:vertAlign w:val="superscript"/>
    </w:rPr>
  </w:style>
  <w:style w:type="paragraph" w:styleId="Header">
    <w:name w:val="header"/>
    <w:basedOn w:val="Normal"/>
    <w:link w:val="HeaderChar"/>
    <w:uiPriority w:val="99"/>
    <w:unhideWhenUsed/>
    <w:rsid w:val="00E84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954"/>
  </w:style>
  <w:style w:type="paragraph" w:styleId="Footer">
    <w:name w:val="footer"/>
    <w:basedOn w:val="Normal"/>
    <w:link w:val="FooterChar"/>
    <w:uiPriority w:val="99"/>
    <w:unhideWhenUsed/>
    <w:rsid w:val="00E84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1AA9A-D5E8-4BE9-AF59-4BBB26F7A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2002</Words>
  <Characters>11416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cp:keywords/>
  <dc:description/>
  <cp:lastModifiedBy>Flynn Theisler (2503772)</cp:lastModifiedBy>
  <cp:revision>45</cp:revision>
  <dcterms:created xsi:type="dcterms:W3CDTF">2026-01-01T18:13:00Z</dcterms:created>
  <dcterms:modified xsi:type="dcterms:W3CDTF">2026-01-04T14:24:00Z</dcterms:modified>
</cp:coreProperties>
</file>