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spacing w:line="360" w:lineRule="auto"/>
        <w:jc w:val="both"/>
        <w:rPr>
          <w:rFonts w:cstheme="majorHAnsi"/>
          <w:sz w:val="28"/>
          <w:szCs w:val="28"/>
        </w:rPr>
      </w:pPr>
      <w:r>
        <w:rPr>
          <w:rFonts w:cstheme="majorHAnsi"/>
          <w:sz w:val="28"/>
          <w:szCs w:val="28"/>
        </w:rPr>
        <w:t xml:space="preserve"> Chapter Two: Literature Review</w:t>
      </w:r>
    </w:p>
    <w:p>
      <w:pPr>
        <w:spacing w:line="360" w:lineRule="auto"/>
        <w:jc w:val="both"/>
      </w:pPr>
    </w:p>
    <w:p>
      <w:pPr>
        <w:pStyle w:val="3"/>
        <w:spacing w:line="360" w:lineRule="auto"/>
        <w:jc w:val="both"/>
        <w:rPr>
          <w:rFonts w:cstheme="majorHAnsi"/>
          <w:sz w:val="24"/>
          <w:szCs w:val="24"/>
        </w:rPr>
      </w:pPr>
      <w:bookmarkStart w:id="0" w:name="_Toc41856608"/>
      <w:r>
        <w:rPr>
          <w:rFonts w:cstheme="majorHAnsi"/>
          <w:sz w:val="24"/>
          <w:szCs w:val="24"/>
        </w:rPr>
        <w:t>2.1 Introduction</w:t>
      </w:r>
      <w:bookmarkEnd w:id="0"/>
    </w:p>
    <w:p>
      <w:pPr>
        <w:spacing w:line="360" w:lineRule="auto"/>
        <w:ind w:firstLine="720"/>
        <w:jc w:val="both"/>
      </w:pPr>
    </w:p>
    <w:p>
      <w:pPr>
        <w:spacing w:line="360" w:lineRule="auto"/>
        <w:jc w:val="both"/>
        <w:rPr>
          <w:rFonts w:hint="eastAsia"/>
        </w:rPr>
      </w:pPr>
      <w:r>
        <w:rPr>
          <w:rFonts w:hint="eastAsia"/>
        </w:rPr>
        <w:t xml:space="preserve">The purpose of this chapter is to review the current strategies adopted by companies in new media marketing. With the development of science and technology, the emergence of the new media industry has brought many companies more directions in marketing. So this chapter will complete the first goal of this paper: </w:t>
      </w:r>
    </w:p>
    <w:p>
      <w:pPr>
        <w:spacing w:line="360" w:lineRule="auto"/>
        <w:jc w:val="both"/>
        <w:rPr>
          <w:rFonts w:hint="eastAsia"/>
        </w:rPr>
      </w:pPr>
    </w:p>
    <w:p>
      <w:pPr>
        <w:spacing w:line="360" w:lineRule="auto"/>
        <w:jc w:val="both"/>
        <w:rPr>
          <w:rFonts w:hint="default" w:eastAsia="宋体"/>
          <w:i/>
          <w:iCs/>
          <w:lang w:val="en-US" w:eastAsia="zh-CN"/>
        </w:rPr>
      </w:pPr>
      <w:r>
        <w:rPr>
          <w:rFonts w:hint="default" w:eastAsia="宋体"/>
          <w:i/>
          <w:iCs/>
          <w:lang w:val="en-US" w:eastAsia="zh-CN"/>
        </w:rPr>
        <w:t>“</w:t>
      </w:r>
      <w:r>
        <w:rPr>
          <w:rFonts w:hint="eastAsia"/>
          <w:i/>
          <w:iCs/>
        </w:rPr>
        <w:t>The purpose of this survey is to investigate Nike's approach and influence in new media marketing. Firstly, investigate the situation of products, promotions, channels, pricing and consumer satisfaction under the channel; Then , analysis competition environment in Nike</w:t>
      </w:r>
      <w:r>
        <w:rPr>
          <w:rFonts w:hint="eastAsia" w:eastAsia="宋体"/>
          <w:i/>
          <w:iCs/>
          <w:lang w:val="en-US" w:eastAsia="zh-CN"/>
        </w:rPr>
        <w:t>.</w:t>
      </w:r>
      <w:r>
        <w:rPr>
          <w:rFonts w:hint="default" w:eastAsia="宋体"/>
          <w:i/>
          <w:iCs/>
          <w:lang w:val="en-US" w:eastAsia="zh-CN"/>
        </w:rPr>
        <w:t>”</w:t>
      </w:r>
    </w:p>
    <w:p>
      <w:pPr>
        <w:spacing w:line="360" w:lineRule="auto"/>
        <w:ind w:firstLine="720"/>
        <w:jc w:val="both"/>
      </w:pPr>
    </w:p>
    <w:p>
      <w:pPr>
        <w:spacing w:line="360" w:lineRule="auto"/>
        <w:ind w:firstLine="720" w:firstLineChars="300"/>
        <w:jc w:val="both"/>
      </w:pPr>
      <w:r>
        <w:t>The literature review below is comprised of sources obtained from Google Scholar and the University of Wales Trinity Saint David’s (UWTSD) online library. These sources include academic journals and prior primary research in the topic area. Search terms included: ‘</w:t>
      </w:r>
      <w:r>
        <w:rPr>
          <w:rFonts w:hint="eastAsia" w:eastAsia="宋体"/>
          <w:lang w:val="en-US" w:eastAsia="zh-CN"/>
        </w:rPr>
        <w:t>Nike</w:t>
      </w:r>
      <w:r>
        <w:t>’, ‘</w:t>
      </w:r>
      <w:r>
        <w:rPr>
          <w:rFonts w:hint="eastAsia" w:eastAsia="宋体"/>
          <w:lang w:val="en-US" w:eastAsia="zh-CN"/>
        </w:rPr>
        <w:t>new media</w:t>
      </w:r>
      <w:r>
        <w:t>’, ‘</w:t>
      </w:r>
      <w:r>
        <w:rPr>
          <w:rFonts w:hint="eastAsia" w:eastAsia="宋体"/>
          <w:lang w:val="en-US" w:eastAsia="zh-CN"/>
        </w:rPr>
        <w:t>social media marketing</w:t>
      </w:r>
      <w:r>
        <w:t>’, ‘</w:t>
      </w:r>
      <w:r>
        <w:rPr>
          <w:rFonts w:hint="eastAsia" w:eastAsia="宋体"/>
          <w:lang w:val="en-US" w:eastAsia="zh-CN"/>
        </w:rPr>
        <w:t>o2o strategy</w:t>
      </w:r>
      <w:r>
        <w:t>’, and ‘</w:t>
      </w:r>
      <w:r>
        <w:rPr>
          <w:rFonts w:hint="eastAsia" w:eastAsia="宋体"/>
          <w:lang w:val="en-US" w:eastAsia="zh-CN"/>
        </w:rPr>
        <w:t>advertising marketing strategy</w:t>
      </w:r>
      <w:r>
        <w:t xml:space="preserve">’. </w:t>
      </w:r>
    </w:p>
    <w:p>
      <w:pPr>
        <w:spacing w:line="360" w:lineRule="auto"/>
        <w:jc w:val="both"/>
      </w:pPr>
    </w:p>
    <w:p>
      <w:pPr>
        <w:pStyle w:val="3"/>
        <w:spacing w:line="360" w:lineRule="auto"/>
        <w:jc w:val="both"/>
        <w:rPr>
          <w:rFonts w:cstheme="majorHAnsi"/>
          <w:sz w:val="24"/>
          <w:szCs w:val="24"/>
        </w:rPr>
      </w:pPr>
      <w:bookmarkStart w:id="1" w:name="_Toc41856609"/>
      <w:r>
        <w:rPr>
          <w:rFonts w:cstheme="majorHAnsi"/>
          <w:sz w:val="24"/>
          <w:szCs w:val="24"/>
        </w:rPr>
        <w:t xml:space="preserve">2.2 </w:t>
      </w:r>
      <w:bookmarkEnd w:id="1"/>
      <w:r>
        <w:rPr>
          <w:rFonts w:hint="eastAsia" w:cstheme="majorHAnsi"/>
          <w:sz w:val="24"/>
          <w:szCs w:val="24"/>
          <w:lang w:val="en-US" w:eastAsia="zh-CN"/>
        </w:rPr>
        <w:t>O2O marketing strategy</w:t>
      </w:r>
      <w:r>
        <w:rPr>
          <w:rFonts w:cstheme="majorHAnsi"/>
          <w:sz w:val="24"/>
          <w:szCs w:val="24"/>
        </w:rPr>
        <w:t xml:space="preserve"> </w:t>
      </w:r>
    </w:p>
    <w:p>
      <w:pPr>
        <w:spacing w:line="360" w:lineRule="auto"/>
        <w:jc w:val="both"/>
        <w:rPr>
          <w:b/>
          <w:bCs/>
          <w:u w:val="single"/>
        </w:rPr>
      </w:pPr>
    </w:p>
    <w:p>
      <w:pPr>
        <w:bidi w:val="0"/>
        <w:ind w:firstLine="480" w:firstLineChars="200"/>
        <w:rPr>
          <w:rFonts w:hint="default"/>
        </w:rPr>
      </w:pPr>
      <w:r>
        <w:rPr>
          <w:rFonts w:hint="default"/>
        </w:rPr>
        <w:t>Scottish Qualifications Authority (2013) Marketing: An Introduction 3rd ed.China Mordent Economics Publishing House</w:t>
      </w:r>
      <w:r>
        <w:rPr>
          <w:rFonts w:hint="eastAsia" w:eastAsia="宋体"/>
          <w:lang w:val="en-US" w:eastAsia="zh-CN"/>
        </w:rPr>
        <w:t xml:space="preserve">. </w:t>
      </w:r>
      <w:r>
        <w:rPr>
          <w:rFonts w:hint="default"/>
        </w:rPr>
        <w:t>O2O can be called online to offline; this business model is the combination of online virtual economy and real economy. This strategy particularly places emphasis on satisfying customer’s needs and giving the good shopping experience to customers. It connects the offline opportunities with the Internet and makes the Internet become the “front-desk”. It identifies customers online through different channels, such as emails, social media, online apps, or internet advertising, and entice those customers to consume in the entity shops. In addition, O2O can be called the offline to online as well, it is opposite of online to offline, it uses the off-line marketing campaign to entice customers to consume in the Internet.</w:t>
      </w:r>
    </w:p>
    <w:p>
      <w:pPr>
        <w:bidi w:val="0"/>
        <w:rPr>
          <w:rFonts w:hint="eastAsia" w:eastAsia="宋体"/>
          <w:lang w:val="en-US" w:eastAsia="zh-CN"/>
        </w:rPr>
      </w:pPr>
    </w:p>
    <w:p>
      <w:pPr>
        <w:bidi w:val="0"/>
        <w:rPr>
          <w:rFonts w:hint="eastAsia" w:eastAsia="宋体"/>
          <w:lang w:val="en-US" w:eastAsia="zh-CN"/>
        </w:rPr>
      </w:pPr>
    </w:p>
    <w:p>
      <w:pPr>
        <w:bidi w:val="0"/>
        <w:ind w:firstLine="480" w:firstLineChars="200"/>
        <w:rPr>
          <w:rFonts w:hint="eastAsia" w:eastAsia="宋体"/>
          <w:lang w:val="en-US" w:eastAsia="zh-CN"/>
        </w:rPr>
      </w:pPr>
      <w:r>
        <w:rPr>
          <w:rFonts w:hint="eastAsia" w:eastAsia="宋体"/>
          <w:lang w:val="en-US" w:eastAsia="zh-CN"/>
        </w:rPr>
        <w:t>Phang, Tan, Sutanto, Magagn (2014) define Online to offline (O2O) commerce is a business combination model that includes both online and offline channels; the advantage of the online channel is that it can drive offline sales and coupon redemption.With the popularization of information technology, O2O commerce has become localized and integrates internet or mobile technology for linking online shopping and front-line transactions to entice consumers to make purchases in physical establishments. Compared to traditional ecommerce ap\proaches, such as B2C and C2C, the approach of O2O focuses on linking online transactions to local services, such as restaurants, cinemas, gyms,tourism, beauty salons, spa shops and other service-oriented products.Although the abovementioned approaches provide online purchase and payment services, traditional ecommerce delivers goods or services directly to customers, while O2O provides services at brick and mortar businesses with offline logistics (Yan, 2013).</w:t>
      </w:r>
    </w:p>
    <w:p>
      <w:pPr>
        <w:bidi w:val="0"/>
        <w:ind w:firstLine="480" w:firstLineChars="200"/>
        <w:rPr>
          <w:rFonts w:hint="eastAsia" w:eastAsia="宋体"/>
          <w:lang w:val="en-US" w:eastAsia="zh-CN"/>
        </w:rPr>
      </w:pPr>
    </w:p>
    <w:p>
      <w:pPr>
        <w:bidi w:val="0"/>
        <w:ind w:firstLine="480" w:firstLineChars="200"/>
        <w:rPr>
          <w:rFonts w:hint="default"/>
        </w:rPr>
      </w:pPr>
      <w:r>
        <w:rPr>
          <w:rFonts w:hint="default"/>
        </w:rPr>
        <w:t>O2O has a little different from the traditional e-commerce of “Online market and logistics distribution mode”. Based on the above-mentioned model, O2O adds the “go to the experience centers”. The experience centers strengthen the “off-line” part and give a deeper shopping experience to customers. Those Experience centers are the places that merchants give the real product experience. It helps customers to have a zero distance contacts with products and enjoy the services of products. The O2O experience centers are a little different with traditional entity shops; it focuses more on the experience of benefit of products.</w:t>
      </w:r>
    </w:p>
    <w:p>
      <w:pPr>
        <w:bidi w:val="0"/>
        <w:ind w:firstLine="480" w:firstLineChars="200"/>
        <w:rPr>
          <w:rFonts w:hint="default" w:eastAsia="宋体"/>
          <w:lang w:val="en-US" w:eastAsia="zh-CN"/>
        </w:rPr>
      </w:pPr>
    </w:p>
    <w:p>
      <w:pPr>
        <w:bidi w:val="0"/>
        <w:ind w:firstLine="480" w:firstLineChars="200"/>
        <w:rPr>
          <w:rFonts w:hint="default" w:eastAsia="宋体"/>
          <w:lang w:val="en-US" w:eastAsia="zh-CN"/>
        </w:rPr>
      </w:pPr>
      <w:r>
        <w:rPr>
          <w:rFonts w:hint="default" w:eastAsia="宋体"/>
          <w:lang w:val="en-US" w:eastAsia="zh-CN"/>
        </w:rPr>
        <w:t>O2O market, enterprises and retailers need to focus on building a</w:t>
      </w:r>
      <w:r>
        <w:rPr>
          <w:rFonts w:hint="eastAsia" w:eastAsia="宋体"/>
          <w:lang w:val="en-US" w:eastAsia="zh-CN"/>
        </w:rPr>
        <w:t xml:space="preserve"> </w:t>
      </w:r>
      <w:r>
        <w:rPr>
          <w:rFonts w:hint="default" w:eastAsia="宋体"/>
          <w:lang w:val="en-US" w:eastAsia="zh-CN"/>
        </w:rPr>
        <w:t>seamless experience between online and offline interactions to acquire</w:t>
      </w:r>
      <w:r>
        <w:rPr>
          <w:rFonts w:hint="eastAsia" w:eastAsia="宋体"/>
          <w:lang w:val="en-US" w:eastAsia="zh-CN"/>
        </w:rPr>
        <w:t xml:space="preserve"> </w:t>
      </w:r>
      <w:r>
        <w:rPr>
          <w:rFonts w:hint="default" w:eastAsia="宋体"/>
          <w:lang w:val="en-US" w:eastAsia="zh-CN"/>
        </w:rPr>
        <w:t>and retain customers. Participants in the O2O model include consumers, retailers, third-party service providers, and O2O operators.</w:t>
      </w:r>
      <w:r>
        <w:rPr>
          <w:rFonts w:hint="eastAsia" w:eastAsia="宋体"/>
          <w:lang w:val="en-US" w:eastAsia="zh-CN"/>
        </w:rPr>
        <w:t xml:space="preserve"> </w:t>
      </w:r>
      <w:r>
        <w:rPr>
          <w:rFonts w:hint="default" w:eastAsia="宋体"/>
          <w:lang w:val="en-US" w:eastAsia="zh-CN"/>
        </w:rPr>
        <w:t>Meanwhile, online matchmaking, online payments, offline consumption, and message back indispensable are included in the transaction</w:t>
      </w:r>
      <w:r>
        <w:rPr>
          <w:rFonts w:hint="eastAsia" w:eastAsia="宋体"/>
          <w:lang w:val="en-US" w:eastAsia="zh-CN"/>
        </w:rPr>
        <w:t xml:space="preserve"> </w:t>
      </w:r>
      <w:r>
        <w:rPr>
          <w:rFonts w:hint="default" w:eastAsia="宋体"/>
          <w:lang w:val="en-US" w:eastAsia="zh-CN"/>
        </w:rPr>
        <w:t>process of O2O. The four aspects for price differences in products or</w:t>
      </w:r>
      <w:r>
        <w:rPr>
          <w:rFonts w:hint="eastAsia" w:eastAsia="宋体"/>
          <w:lang w:val="en-US" w:eastAsia="zh-CN"/>
        </w:rPr>
        <w:t xml:space="preserve"> </w:t>
      </w:r>
      <w:r>
        <w:rPr>
          <w:rFonts w:hint="default" w:eastAsia="宋体"/>
          <w:lang w:val="en-US" w:eastAsia="zh-CN"/>
        </w:rPr>
        <w:t>services, revenues from online advertising, business purchases for</w:t>
      </w:r>
      <w:r>
        <w:rPr>
          <w:rFonts w:hint="eastAsia" w:eastAsia="宋体"/>
          <w:lang w:val="en-US" w:eastAsia="zh-CN"/>
        </w:rPr>
        <w:t xml:space="preserve"> </w:t>
      </w:r>
      <w:r>
        <w:rPr>
          <w:rFonts w:hint="default" w:eastAsia="宋体"/>
          <w:lang w:val="en-US" w:eastAsia="zh-CN"/>
        </w:rPr>
        <w:t>consumers, and membership fees are considered as the profits of using</w:t>
      </w:r>
      <w:r>
        <w:rPr>
          <w:rFonts w:hint="eastAsia" w:eastAsia="宋体"/>
          <w:lang w:val="en-US" w:eastAsia="zh-CN"/>
        </w:rPr>
        <w:t xml:space="preserve"> </w:t>
      </w:r>
      <w:r>
        <w:rPr>
          <w:rFonts w:hint="default" w:eastAsia="宋体"/>
          <w:lang w:val="en-US" w:eastAsia="zh-CN"/>
        </w:rPr>
        <w:t>an O2O business model (Xue &amp; Li, 2016).</w:t>
      </w:r>
    </w:p>
    <w:p>
      <w:pPr>
        <w:spacing w:line="360" w:lineRule="auto"/>
        <w:jc w:val="both"/>
      </w:pPr>
    </w:p>
    <w:p>
      <w:pPr>
        <w:pStyle w:val="4"/>
        <w:spacing w:line="360" w:lineRule="auto"/>
        <w:jc w:val="both"/>
        <w:rPr>
          <w:rFonts w:hint="default" w:eastAsiaTheme="majorEastAsia" w:cstheme="majorHAnsi"/>
          <w:color w:val="2E75B6" w:themeColor="accent1" w:themeShade="BF"/>
          <w:lang w:val="en-US" w:eastAsia="zh-CN"/>
        </w:rPr>
      </w:pPr>
      <w:bookmarkStart w:id="2" w:name="_Toc41856610"/>
      <w:r>
        <w:rPr>
          <w:rFonts w:cstheme="majorHAnsi"/>
          <w:color w:val="2E75B6" w:themeColor="accent1" w:themeShade="BF"/>
        </w:rPr>
        <w:t xml:space="preserve">2.2.1 </w:t>
      </w:r>
      <w:bookmarkEnd w:id="2"/>
      <w:r>
        <w:rPr>
          <w:rFonts w:hint="eastAsia" w:cstheme="majorHAnsi"/>
          <w:color w:val="2E75B6" w:themeColor="accent1" w:themeShade="BF"/>
          <w:lang w:val="en-US" w:eastAsia="zh-CN"/>
        </w:rPr>
        <w:t xml:space="preserve">Social media marketing </w:t>
      </w:r>
    </w:p>
    <w:p>
      <w:pPr>
        <w:spacing w:line="360" w:lineRule="auto"/>
        <w:ind w:firstLine="480" w:firstLineChars="200"/>
        <w:jc w:val="both"/>
        <w:rPr>
          <w:rFonts w:hint="default"/>
        </w:rPr>
      </w:pPr>
      <w:r>
        <w:rPr>
          <w:rFonts w:hint="default"/>
        </w:rPr>
        <w:t>Social media marketing, also known as social marketing is a way to use social media, online communities, blogs, encyclopedias, or other Internet collaboration platform media for marketing, public relations, and customer service maintenance. Also known as social media marketing, social media marketing, integrated social media marketing, mass relationship marketing.</w:t>
      </w:r>
      <w:r>
        <w:rPr>
          <w:rFonts w:hint="eastAsia" w:eastAsia="宋体"/>
          <w:lang w:val="en-US" w:eastAsia="zh-CN"/>
        </w:rPr>
        <w:t xml:space="preserve"> </w:t>
      </w:r>
      <w:r>
        <w:rPr>
          <w:rFonts w:hint="default"/>
        </w:rPr>
        <w:t>Social media provide marketers with remarkable opportunities to reach consumers in their social communities and build more personal relationships with them (Kelly, Kerr, &amp; Drennan, 2010). Social media have changed the way brand content is created, distributed, and consumed, transferring the power to shape brand images from marketers to consumers' online connections and content (Tsai &amp; Men, 2013).</w:t>
      </w:r>
    </w:p>
    <w:p>
      <w:pPr>
        <w:spacing w:line="360" w:lineRule="auto"/>
        <w:jc w:val="both"/>
        <w:rPr>
          <w:rFonts w:hint="default"/>
        </w:rPr>
      </w:pPr>
    </w:p>
    <w:p>
      <w:pPr>
        <w:spacing w:line="360" w:lineRule="auto"/>
        <w:jc w:val="both"/>
        <w:rPr>
          <w:rFonts w:hint="default"/>
        </w:rPr>
      </w:pPr>
      <w:r>
        <w:rPr>
          <w:rFonts w:hint="default"/>
        </w:rPr>
        <w:t>In online marketing, social media refers to a comprehensive site with a network nature, and users provide their content voluntarily, rather than a direct employment relationship. This requires social thinking, not traditional thinking.</w:t>
      </w:r>
    </w:p>
    <w:p>
      <w:pPr>
        <w:spacing w:line="360" w:lineRule="auto"/>
        <w:jc w:val="both"/>
        <w:rPr>
          <w:rFonts w:hint="default"/>
        </w:rPr>
      </w:pPr>
      <w:r>
        <w:rPr>
          <w:rFonts w:hint="default"/>
        </w:rPr>
        <w:t>Social media marketing is a way to use social networks, online communities, blogs, encyclopedias, or other Internet collaboration platforms and media to disseminate and publish information, resulting in marketing, sales, public relations processing, and customer relationship service maintenance and development. . General social media marketing tools include forums, Weibo, WeChat, blogs, SNS communities, pictures and videos published and disseminated through self-media platforms or organizational media platforms.</w:t>
      </w:r>
    </w:p>
    <w:p>
      <w:pPr>
        <w:spacing w:line="360" w:lineRule="auto"/>
        <w:jc w:val="both"/>
        <w:rPr>
          <w:rFonts w:hint="default"/>
        </w:rPr>
      </w:pPr>
      <w:r>
        <w:rPr>
          <w:rFonts w:hint="default"/>
        </w:rPr>
        <w:t> </w:t>
      </w:r>
    </w:p>
    <w:p>
      <w:pPr>
        <w:spacing w:line="360" w:lineRule="auto"/>
        <w:jc w:val="both"/>
        <w:rPr>
          <w:rFonts w:hint="default"/>
        </w:rPr>
      </w:pPr>
      <w:r>
        <w:rPr>
          <w:rFonts w:hint="default"/>
        </w:rPr>
        <w:t xml:space="preserve">Social media in online marketing mainly refers to comprehensive sites with a network nature. Its main feature is that users on a voluntary basis (UGC) provide most of the website content, and there is no direct employment </w:t>
      </w:r>
    </w:p>
    <w:p>
      <w:pPr>
        <w:spacing w:line="360" w:lineRule="auto"/>
        <w:jc w:val="both"/>
        <w:rPr>
          <w:rFonts w:hint="default"/>
        </w:rPr>
      </w:pPr>
    </w:p>
    <w:p>
      <w:pPr>
        <w:pStyle w:val="5"/>
        <w:spacing w:line="360" w:lineRule="auto"/>
        <w:jc w:val="both"/>
        <w:rPr>
          <w:rFonts w:hint="default" w:eastAsiaTheme="majorEastAsia" w:cstheme="majorHAnsi"/>
          <w:i w:val="0"/>
          <w:iCs w:val="0"/>
          <w:sz w:val="24"/>
          <w:szCs w:val="24"/>
          <w:lang w:val="en-US" w:eastAsia="zh-CN"/>
        </w:rPr>
      </w:pPr>
      <w:bookmarkStart w:id="3" w:name="_Toc41856611"/>
      <w:r>
        <w:rPr>
          <w:rFonts w:cstheme="majorHAnsi"/>
          <w:i w:val="0"/>
          <w:iCs w:val="0"/>
          <w:sz w:val="24"/>
          <w:szCs w:val="24"/>
        </w:rPr>
        <w:t xml:space="preserve">2.2.1.1 </w:t>
      </w:r>
      <w:bookmarkEnd w:id="3"/>
      <w:r>
        <w:rPr>
          <w:rFonts w:hint="eastAsia" w:cstheme="majorHAnsi"/>
          <w:i w:val="0"/>
          <w:iCs w:val="0"/>
          <w:sz w:val="24"/>
          <w:szCs w:val="24"/>
          <w:lang w:val="en-US" w:eastAsia="zh-CN"/>
        </w:rPr>
        <w:t>Weibo marketing</w:t>
      </w:r>
    </w:p>
    <w:p>
      <w:pPr>
        <w:spacing w:line="360" w:lineRule="auto"/>
        <w:jc w:val="both"/>
      </w:pPr>
    </w:p>
    <w:p>
      <w:pPr>
        <w:spacing w:line="360" w:lineRule="auto"/>
        <w:jc w:val="both"/>
        <w:rPr>
          <w:rFonts w:hint="eastAsia"/>
          <w:shd w:val="clear" w:color="auto" w:fill="FFFFFF"/>
        </w:rPr>
      </w:pPr>
      <w:r>
        <w:rPr>
          <w:rFonts w:hint="eastAsia" w:eastAsia="宋体"/>
          <w:shd w:val="clear" w:color="auto" w:fill="FFFFFF"/>
          <w:lang w:val="en-US" w:eastAsia="zh-CN"/>
        </w:rPr>
        <w:t>Weibo</w:t>
      </w:r>
      <w:r>
        <w:rPr>
          <w:rFonts w:hint="eastAsia"/>
          <w:shd w:val="clear" w:color="auto" w:fill="FFFFFF"/>
        </w:rPr>
        <w:t xml:space="preserve"> marketing serves as an effective form of online advertising with interactive features (Tuten &amp; Solomon, </w:t>
      </w:r>
      <w:r>
        <w:rPr>
          <w:rFonts w:hint="eastAsia" w:eastAsia="宋体"/>
          <w:shd w:val="clear" w:color="auto" w:fill="FFFFFF"/>
          <w:lang w:val="en-US" w:eastAsia="zh-CN"/>
        </w:rPr>
        <w:t>2017</w:t>
      </w:r>
      <w:r>
        <w:rPr>
          <w:rFonts w:hint="eastAsia"/>
          <w:shd w:val="clear" w:color="auto" w:fill="FFFFFF"/>
        </w:rPr>
        <w:t xml:space="preserve">). Brands can create a public brand page on social media and interact with followers directly, whilst followers can express their opinion (e.g. by clicking 'like' or a thumbs up/down emoji), comment and share brand posts as well as interacting with other users (De Vries, Gensler, &amp; Leeflang, </w:t>
      </w:r>
      <w:r>
        <w:rPr>
          <w:rFonts w:hint="eastAsia" w:eastAsia="宋体"/>
          <w:shd w:val="clear" w:color="auto" w:fill="FFFFFF"/>
          <w:lang w:val="en-US" w:eastAsia="zh-CN"/>
        </w:rPr>
        <w:t>2012</w:t>
      </w:r>
      <w:r>
        <w:rPr>
          <w:rFonts w:hint="eastAsia"/>
          <w:shd w:val="clear" w:color="auto" w:fill="FFFFFF"/>
        </w:rPr>
        <w:t xml:space="preserve">). This has enabled consumers to stay informed of product information as well as sharing their reviews of brands and services, thus producing significant electronic word-of-mouth (eWOM) (Bughin, Doogan, &amp; Vetvik, </w:t>
      </w:r>
      <w:r>
        <w:rPr>
          <w:rFonts w:hint="eastAsia" w:eastAsia="宋体"/>
          <w:shd w:val="clear" w:color="auto" w:fill="FFFFFF"/>
          <w:lang w:val="en-US" w:eastAsia="zh-CN"/>
        </w:rPr>
        <w:t>2010</w:t>
      </w:r>
      <w:r>
        <w:rPr>
          <w:rFonts w:hint="eastAsia"/>
          <w:shd w:val="clear" w:color="auto" w:fill="FFFFFF"/>
        </w:rPr>
        <w:t xml:space="preserve">). HEIs can act as a brand and create a public brand page on Facebook, for example, to disseminate information and engage with various users (e.g. prospective students, current students and alumni). Aside from having a main Facebook page, many HEIs have specific additional brand pages for their faculties, departments, alumni group and sports clubs (Brech, Messer, Vander Schee, Rauschnabel, &amp; Ivens, </w:t>
      </w:r>
      <w:r>
        <w:rPr>
          <w:rFonts w:hint="eastAsia" w:eastAsia="宋体"/>
          <w:shd w:val="clear" w:color="auto" w:fill="FFFFFF"/>
          <w:lang w:val="en-US" w:eastAsia="zh-CN"/>
        </w:rPr>
        <w:t>2017</w:t>
      </w:r>
      <w:r>
        <w:rPr>
          <w:rFonts w:hint="eastAsia"/>
          <w:shd w:val="clear" w:color="auto" w:fill="FFFFFF"/>
        </w:rPr>
        <w:t xml:space="preserve">). Users of HEIs may follow the Facebook page, and interact with the brand by clicking 'like', commenting or sharing brand posts. Prospective students use social networking sites to obtain either information or impressions about different HEIs (Hesel, </w:t>
      </w:r>
      <w:r>
        <w:rPr>
          <w:rFonts w:hint="eastAsia" w:eastAsia="宋体"/>
          <w:shd w:val="clear" w:color="auto" w:fill="FFFFFF"/>
          <w:lang w:val="en-US" w:eastAsia="zh-CN"/>
        </w:rPr>
        <w:t>2013</w:t>
      </w:r>
      <w:r>
        <w:rPr>
          <w:rFonts w:hint="eastAsia"/>
          <w:shd w:val="clear" w:color="auto" w:fill="FFFFFF"/>
        </w:rPr>
        <w:t xml:space="preserve">). Faculties' Facebook pages were found to be effective in sharing information and photos, interacting with students and building a more engaged learning community (Callaghan &amp; Fribbance, </w:t>
      </w:r>
      <w:r>
        <w:rPr>
          <w:rFonts w:hint="eastAsia" w:eastAsia="宋体"/>
          <w:shd w:val="clear" w:color="auto" w:fill="FFFFFF"/>
          <w:lang w:val="en-US" w:eastAsia="zh-CN"/>
        </w:rPr>
        <w:t>2016</w:t>
      </w:r>
      <w:r>
        <w:rPr>
          <w:rFonts w:hint="eastAsia"/>
          <w:shd w:val="clear" w:color="auto" w:fill="FFFFFF"/>
        </w:rPr>
        <w:t xml:space="preserve">; Peruta &amp; Shields, </w:t>
      </w:r>
      <w:r>
        <w:rPr>
          <w:rFonts w:hint="eastAsia" w:eastAsia="宋体"/>
          <w:shd w:val="clear" w:color="auto" w:fill="FFFFFF"/>
          <w:lang w:val="en-US" w:eastAsia="zh-CN"/>
        </w:rPr>
        <w:t>2017</w:t>
      </w:r>
      <w:r>
        <w:rPr>
          <w:rFonts w:hint="eastAsia"/>
          <w:shd w:val="clear" w:color="auto" w:fill="FFFFFF"/>
        </w:rPr>
        <w:t xml:space="preserve">). By 2012, most HEIs in the UK and US had a presence on social media platforms with Facebook, Twitter and YouTube being the most popular sites (Greenwood, </w:t>
      </w:r>
      <w:r>
        <w:rPr>
          <w:rFonts w:hint="eastAsia" w:eastAsia="宋体"/>
          <w:shd w:val="clear" w:color="auto" w:fill="FFFFFF"/>
          <w:lang w:val="en-US" w:eastAsia="zh-CN"/>
        </w:rPr>
        <w:t>2012</w:t>
      </w:r>
      <w:r>
        <w:rPr>
          <w:rFonts w:hint="eastAsia"/>
          <w:shd w:val="clear" w:color="auto" w:fill="FFFFFF"/>
        </w:rPr>
        <w:t xml:space="preserve">; Kelly, </w:t>
      </w:r>
      <w:r>
        <w:rPr>
          <w:rFonts w:hint="eastAsia" w:eastAsia="宋体"/>
          <w:shd w:val="clear" w:color="auto" w:fill="FFFFFF"/>
          <w:lang w:val="en-US" w:eastAsia="zh-CN"/>
        </w:rPr>
        <w:t>2012</w:t>
      </w:r>
      <w:r>
        <w:rPr>
          <w:rFonts w:hint="eastAsia"/>
          <w:shd w:val="clear" w:color="auto" w:fill="FFFFFF"/>
        </w:rPr>
        <w:t>).</w:t>
      </w:r>
    </w:p>
    <w:p>
      <w:pPr>
        <w:bidi w:val="0"/>
        <w:rPr>
          <w:rFonts w:hint="default"/>
        </w:rPr>
      </w:pPr>
    </w:p>
    <w:p>
      <w:pPr>
        <w:bidi w:val="0"/>
        <w:rPr>
          <w:rFonts w:hint="default"/>
        </w:rPr>
      </w:pPr>
      <w:r>
        <w:rPr>
          <w:rFonts w:hint="default"/>
        </w:rPr>
        <w:t>Weibo marketing refers to a marketing method that is executed by the Weibo platform to create value for businesses, individuals, etc., and refers to the business behavior of businesses or individuals using the Weibo platform to discover and meet the various needs of users. Weibo Marketing uses Weibo as a marketing platform. Every audience (fan) is a potential marketing object. The company uses its updated micro-blog to disseminate corporate information and product information to netizens, and establish a good corporate image and product image. Update the content every day to communicate with everyone, or to publish topics that everyone is interested in, to achieve the purpose of marketing. This way is the newly launched Weibo marketing on the Internet. This marketing method focuses on value transfer, content interaction, systematic layout, and accurate positioning. The fierce development of Weibo has also made its marketing effect particularly significant. The scope of Weibo marketing includes authentication, valid fans, friends, topics, famous blogs, open platforms, and overall operations.</w:t>
      </w:r>
    </w:p>
    <w:p>
      <w:pPr>
        <w:spacing w:line="360" w:lineRule="auto"/>
        <w:jc w:val="both"/>
        <w:rPr>
          <w:rFonts w:hint="eastAsia"/>
          <w:shd w:val="clear" w:color="auto" w:fill="FFFFFF"/>
        </w:rPr>
      </w:pPr>
    </w:p>
    <w:p>
      <w:pPr>
        <w:pStyle w:val="5"/>
        <w:spacing w:line="360" w:lineRule="auto"/>
        <w:jc w:val="both"/>
        <w:rPr>
          <w:rFonts w:cstheme="majorHAnsi"/>
          <w:i w:val="0"/>
          <w:iCs w:val="0"/>
          <w:sz w:val="24"/>
          <w:szCs w:val="24"/>
        </w:rPr>
      </w:pPr>
      <w:bookmarkStart w:id="4" w:name="_Toc41856612"/>
    </w:p>
    <w:p>
      <w:pPr>
        <w:pStyle w:val="5"/>
        <w:spacing w:line="360" w:lineRule="auto"/>
        <w:jc w:val="both"/>
        <w:rPr>
          <w:rFonts w:cstheme="majorHAnsi"/>
          <w:i w:val="0"/>
          <w:iCs w:val="0"/>
          <w:sz w:val="24"/>
          <w:szCs w:val="24"/>
        </w:rPr>
      </w:pPr>
    </w:p>
    <w:p>
      <w:pPr>
        <w:pStyle w:val="5"/>
        <w:spacing w:line="360" w:lineRule="auto"/>
        <w:ind w:left="0" w:leftChars="0" w:firstLine="0" w:firstLineChars="0"/>
        <w:jc w:val="both"/>
        <w:rPr>
          <w:rFonts w:hint="eastAsia" w:cstheme="majorHAnsi"/>
          <w:i w:val="0"/>
          <w:iCs w:val="0"/>
          <w:sz w:val="24"/>
          <w:szCs w:val="24"/>
          <w:lang w:val="en-US" w:eastAsia="zh-CN"/>
        </w:rPr>
      </w:pPr>
      <w:r>
        <w:rPr>
          <w:rFonts w:cstheme="majorHAnsi"/>
          <w:i w:val="0"/>
          <w:iCs w:val="0"/>
          <w:sz w:val="24"/>
          <w:szCs w:val="24"/>
        </w:rPr>
        <w:t xml:space="preserve">2.2.1.2 </w:t>
      </w:r>
      <w:bookmarkEnd w:id="4"/>
      <w:r>
        <w:rPr>
          <w:rFonts w:hint="eastAsia" w:cstheme="majorHAnsi"/>
          <w:i w:val="0"/>
          <w:iCs w:val="0"/>
          <w:sz w:val="24"/>
          <w:szCs w:val="24"/>
          <w:lang w:val="en-US" w:eastAsia="zh-CN"/>
        </w:rPr>
        <w:t>Wechat marketing strategy</w:t>
      </w:r>
    </w:p>
    <w:p>
      <w:pPr>
        <w:pStyle w:val="7"/>
        <w:pageBreakBefore w:val="0"/>
        <w:kinsoku/>
        <w:overflowPunct/>
        <w:topLinePunct w:val="0"/>
        <w:autoSpaceDE/>
        <w:autoSpaceDN/>
        <w:bidi w:val="0"/>
        <w:adjustRightInd/>
        <w:snapToGrid/>
        <w:spacing w:beforeAutospacing="0" w:after="0" w:afterAutospacing="0" w:line="240" w:lineRule="auto"/>
        <w:ind w:left="0" w:right="348"/>
        <w:textAlignment w:val="auto"/>
        <w:rPr>
          <w:rFonts w:hint="default" w:ascii="Arial" w:hAnsi="Arial" w:cs="Arial"/>
          <w:sz w:val="24"/>
          <w:szCs w:val="24"/>
          <w:shd w:val="clear" w:color="auto" w:fill="FFFFFF"/>
        </w:rPr>
      </w:pPr>
    </w:p>
    <w:p>
      <w:pPr>
        <w:bidi w:val="0"/>
        <w:rPr>
          <w:rFonts w:hint="default"/>
        </w:rPr>
      </w:pPr>
      <w:r>
        <w:rPr>
          <w:rFonts w:hint="default"/>
        </w:rPr>
        <w:t>WeChat marketing is a type of marketing model for enterprises or individuals in the era of the Internet economy. It is a kind of online marketing method that has risen with the enthusiasm of WeChat. There is no distance limitation on WeChat. After signing up for WeChat, users can form a connection with "friends" who are also registered in the surroundings. Users subscribe to the information they need. Merchants promote their products by providing users with the information they need, thereby achieving point-to-point Marketing.</w:t>
      </w:r>
    </w:p>
    <w:p>
      <w:pPr>
        <w:bidi w:val="0"/>
        <w:rPr>
          <w:rFonts w:hint="default"/>
        </w:rPr>
      </w:pPr>
    </w:p>
    <w:p>
      <w:pPr>
        <w:bidi w:val="0"/>
        <w:rPr>
          <w:rFonts w:hint="default"/>
        </w:rPr>
      </w:pPr>
      <w:r>
        <w:rPr>
          <w:rFonts w:hint="default"/>
        </w:rPr>
        <w:t>WeChat marketing is mainly reflected in regional positioning marketing using mobile clients in android and Apple-based phones or tablets. Merchants use WeChat public platforms and referral rates to show WeChat member websites, WeChat members, push, micro-payment, and micro-activity have formed a mainstream online and offline WeChat interactive marketing method.</w:t>
      </w:r>
    </w:p>
    <w:p>
      <w:pPr>
        <w:bidi w:val="0"/>
        <w:rPr>
          <w:rFonts w:hint="default"/>
          <w:lang w:eastAsia="zh-CN"/>
        </w:rPr>
      </w:pPr>
      <w:r>
        <w:rPr>
          <w:rFonts w:hint="default"/>
        </w:rPr>
        <w:t>Many companies use WeChat as a mobile Weibo, always blindly conveying information to customers, without paying close attention to customer feedback. Those with interactive functions only set up some quick response programs in the WeChat background, but this lack of human communication method greatly damages the user experience, just like the reasons why the popular electronic pets cannot last forever. When the customer's inquiry cannot be answered satisfactorily, their only option is to cancel the attention. The core advantage of artificial WeChat customer service is that it enables real-time communication between people. At this time, the customer is facing a professional customer service staff with excellent service quality, and can give satisfactory responses to customer inquiries.</w:t>
      </w:r>
    </w:p>
    <w:p>
      <w:pPr>
        <w:bidi w:val="0"/>
        <w:rPr>
          <w:rFonts w:hint="default"/>
        </w:rPr>
      </w:pPr>
    </w:p>
    <w:p>
      <w:pPr>
        <w:bidi w:val="0"/>
        <w:rPr>
          <w:rFonts w:hint="default"/>
        </w:rPr>
      </w:pPr>
      <w:r>
        <w:rPr>
          <w:rFonts w:hint="default"/>
        </w:rPr>
        <w:t xml:space="preserve">In October 2010, a small group of passionate application developers from Tencent </w:t>
      </w:r>
    </w:p>
    <w:p>
      <w:pPr>
        <w:bidi w:val="0"/>
        <w:rPr>
          <w:rFonts w:hint="default"/>
        </w:rPr>
      </w:pPr>
      <w:r>
        <w:rPr>
          <w:rFonts w:hint="default"/>
        </w:rPr>
        <w:t>Holdings Limited started to work on a new application called WeChat (Millward, 2018). Next year on January 21st (Millward, 2018), Tencent released a very first version of</w:t>
      </w:r>
      <w:r>
        <w:rPr>
          <w:rFonts w:hint="eastAsia" w:eastAsia="宋体"/>
          <w:lang w:val="en-US" w:eastAsia="zh-CN"/>
        </w:rPr>
        <w:t xml:space="preserve"> </w:t>
      </w:r>
      <w:r>
        <w:rPr>
          <w:rFonts w:hint="default"/>
        </w:rPr>
        <w:t>WeChat. The very first version of WeChat had much less options in comparison to current WeChat. Its main function was sending and receiving messages (text, picture and emojis). However, the creators of WeChat had much more ambitions than creating another application like already existing popular among Chinese QQ (IMQQ 2018). WeChat gained popularity among Chinese users much faster than Facebook. The rapidly growing number of users gave incentives for further developments of WeChat and worldwide expansion what is presented on chart 1. It is important to mention that at its first years WeChat attracted mostly users from China.</w:t>
      </w:r>
    </w:p>
    <w:p>
      <w:pPr>
        <w:rPr>
          <w:rFonts w:hint="default"/>
          <w:lang w:val="en-US" w:eastAsia="zh-CN"/>
        </w:rPr>
      </w:pPr>
    </w:p>
    <w:p>
      <w:pPr>
        <w:spacing w:line="360" w:lineRule="auto"/>
        <w:jc w:val="both"/>
      </w:pPr>
    </w:p>
    <w:p>
      <w:pPr>
        <w:spacing w:line="360" w:lineRule="auto"/>
        <w:ind w:firstLine="720"/>
        <w:jc w:val="both"/>
        <w:rPr>
          <w:color w:val="2E75B6" w:themeColor="accent1" w:themeShade="BF"/>
        </w:rPr>
      </w:pPr>
    </w:p>
    <w:p>
      <w:pPr>
        <w:spacing w:line="360" w:lineRule="auto"/>
        <w:jc w:val="both"/>
        <w:rPr>
          <w:color w:val="2E75B6" w:themeColor="accent1" w:themeShade="BF"/>
        </w:rPr>
      </w:pPr>
    </w:p>
    <w:p>
      <w:pPr>
        <w:spacing w:line="360" w:lineRule="auto"/>
        <w:jc w:val="both"/>
        <w:rPr>
          <w:color w:val="2E75B6" w:themeColor="accent1" w:themeShade="BF"/>
        </w:rPr>
      </w:pPr>
    </w:p>
    <w:p>
      <w:pPr>
        <w:spacing w:line="360" w:lineRule="auto"/>
        <w:jc w:val="both"/>
        <w:rPr>
          <w:color w:val="2E75B6" w:themeColor="accent1" w:themeShade="BF"/>
        </w:rPr>
      </w:pPr>
    </w:p>
    <w:p>
      <w:pPr>
        <w:pStyle w:val="3"/>
        <w:spacing w:line="360" w:lineRule="auto"/>
        <w:jc w:val="both"/>
        <w:rPr>
          <w:rFonts w:cstheme="majorHAnsi"/>
          <w:sz w:val="24"/>
          <w:szCs w:val="24"/>
        </w:rPr>
      </w:pPr>
      <w:bookmarkStart w:id="5" w:name="_Toc41856613"/>
      <w:r>
        <w:rPr>
          <w:rFonts w:cstheme="majorHAnsi"/>
          <w:sz w:val="24"/>
          <w:szCs w:val="24"/>
        </w:rPr>
        <w:t xml:space="preserve">2.3 </w:t>
      </w:r>
      <w:r>
        <w:rPr>
          <w:rFonts w:hint="eastAsia" w:cstheme="majorHAnsi"/>
          <w:sz w:val="24"/>
          <w:szCs w:val="24"/>
          <w:lang w:val="en-US" w:eastAsia="zh-CN"/>
        </w:rPr>
        <w:t>Customer relationship management</w:t>
      </w:r>
      <w:r>
        <w:rPr>
          <w:rFonts w:cstheme="majorHAnsi"/>
          <w:sz w:val="24"/>
          <w:szCs w:val="24"/>
        </w:rPr>
        <w:t xml:space="preserve"> (C</w:t>
      </w:r>
      <w:r>
        <w:rPr>
          <w:rFonts w:hint="eastAsia" w:cstheme="majorHAnsi"/>
          <w:sz w:val="24"/>
          <w:szCs w:val="24"/>
          <w:lang w:val="en-US" w:eastAsia="zh-CN"/>
        </w:rPr>
        <w:t>RM</w:t>
      </w:r>
      <w:r>
        <w:rPr>
          <w:rFonts w:cstheme="majorHAnsi"/>
          <w:sz w:val="24"/>
          <w:szCs w:val="24"/>
        </w:rPr>
        <w:t>) in Business</w:t>
      </w:r>
      <w:bookmarkEnd w:id="5"/>
      <w:r>
        <w:rPr>
          <w:rFonts w:cstheme="majorHAnsi"/>
          <w:sz w:val="24"/>
          <w:szCs w:val="24"/>
        </w:rPr>
        <w:t xml:space="preserve"> </w:t>
      </w:r>
    </w:p>
    <w:p>
      <w:pPr>
        <w:spacing w:line="360" w:lineRule="auto"/>
        <w:jc w:val="both"/>
      </w:pP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eastAsia="AdvOT44ee9141 . I" w:cs="Times New Roman"/>
          <w:color w:val="000000"/>
          <w:kern w:val="0"/>
          <w:sz w:val="24"/>
          <w:szCs w:val="24"/>
          <w:lang w:val="en-US" w:eastAsia="zh-CN" w:bidi="ar"/>
        </w:rPr>
        <w:t>CRM</w:t>
      </w:r>
      <w:r>
        <w:rPr>
          <w:rFonts w:hint="default" w:ascii="Times New Roman" w:hAnsi="Times New Roman" w:eastAsia="AdvOT8cb2ddbd" w:cs="Times New Roman"/>
          <w:color w:val="000000"/>
          <w:kern w:val="0"/>
          <w:sz w:val="24"/>
          <w:szCs w:val="24"/>
          <w:lang w:val="en-US" w:eastAsia="zh-CN" w:bidi="ar"/>
        </w:rPr>
        <w:t xml:space="preserve">. CRM is a system for managing the interactions of a company with its </w:t>
      </w: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eastAsia="AdvOT8cb2ddbd" w:cs="Times New Roman"/>
          <w:color w:val="000000"/>
          <w:kern w:val="0"/>
          <w:sz w:val="24"/>
          <w:szCs w:val="24"/>
          <w:lang w:val="en-US" w:eastAsia="zh-CN" w:bidi="ar"/>
        </w:rPr>
        <w:t xml:space="preserve">current and potential customers. At present, numerous companies have adopted social </w:t>
      </w: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eastAsia="AdvOT8cb2ddbd" w:cs="Times New Roman"/>
          <w:color w:val="000000"/>
          <w:kern w:val="0"/>
          <w:sz w:val="24"/>
          <w:szCs w:val="24"/>
          <w:lang w:val="en-US" w:eastAsia="zh-CN" w:bidi="ar"/>
        </w:rPr>
        <w:t xml:space="preserve">media to manage and improve their relationships with their customers, which in turn </w:t>
      </w: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eastAsia="AdvOT8cb2ddbd" w:cs="Times New Roman"/>
          <w:color w:val="000000"/>
          <w:kern w:val="0"/>
          <w:sz w:val="24"/>
          <w:szCs w:val="24"/>
          <w:lang w:val="en-US" w:eastAsia="zh-CN" w:bidi="ar"/>
        </w:rPr>
        <w:t xml:space="preserve">has drawn the attention of researchers to CRM. In particular, several studies have been carried out to investigate how companies manage various customer experiences in the adoption of social media. </w:t>
      </w:r>
      <w:bookmarkStart w:id="6" w:name="OLE_LINK1"/>
      <w:r>
        <w:rPr>
          <w:rFonts w:hint="default" w:ascii="Times New Roman" w:hAnsi="Times New Roman" w:eastAsia="AdvOT8cb2ddbd" w:cs="Times New Roman"/>
          <w:color w:val="000000"/>
          <w:kern w:val="0"/>
          <w:sz w:val="24"/>
          <w:szCs w:val="24"/>
          <w:lang w:val="en-US" w:eastAsia="zh-CN" w:bidi="ar"/>
        </w:rPr>
        <w:t xml:space="preserve">Karakaya and Barnes (2010) </w:t>
      </w:r>
      <w:bookmarkEnd w:id="6"/>
      <w:r>
        <w:rPr>
          <w:rFonts w:hint="default" w:ascii="Times New Roman" w:hAnsi="Times New Roman" w:eastAsia="AdvOT8cb2ddbd" w:cs="Times New Roman"/>
          <w:color w:val="000000"/>
          <w:kern w:val="0"/>
          <w:sz w:val="24"/>
          <w:szCs w:val="24"/>
          <w:lang w:val="en-US" w:eastAsia="zh-CN" w:bidi="ar"/>
        </w:rPr>
        <w:t xml:space="preserve">examined and identified the impact of customer care experience, as a proxy of customer opinion, on brand or company selection in social web sites. Results of the study revealed that consumer opinions posted on such web sites have positive impacts on the engagement of consumers in online activities, which results in a positive influence on their choice of companies and brands. Nambisan and Watt (2010) analyzed the online community experiences of customers in relation to their attitudes toward product, company, and service quality. In light of the results, the authors suggested that companies could enhance the effectiveness of their online communities by delivering positive experiences to their customers. Several studies have concentrated on relationship quality and customer satisfaction. For example, Hajli (2014b) proposed a model to investigate the impact of social factors on relationship quality and social commerce intention in the context of social media. The study provided a clearer picture of consumer behavior in the era of social commerce and proposed a new theory in social commerce research. Hsieh </w:t>
      </w:r>
      <w:r>
        <w:rPr>
          <w:rFonts w:hint="default" w:ascii="Times New Roman" w:hAnsi="Times New Roman" w:eastAsia="AdvOT44ee9141 . I" w:cs="Times New Roman"/>
          <w:color w:val="000000"/>
          <w:kern w:val="0"/>
          <w:sz w:val="24"/>
          <w:szCs w:val="24"/>
          <w:lang w:val="en-US" w:eastAsia="zh-CN" w:bidi="ar"/>
        </w:rPr>
        <w:t xml:space="preserve">et al. </w:t>
      </w:r>
      <w:r>
        <w:rPr>
          <w:rFonts w:hint="default" w:ascii="Times New Roman" w:hAnsi="Times New Roman" w:eastAsia="AdvOT8cb2ddbd" w:cs="Times New Roman"/>
          <w:color w:val="000000"/>
          <w:kern w:val="0"/>
          <w:sz w:val="24"/>
          <w:szCs w:val="24"/>
          <w:lang w:val="en-US" w:eastAsia="zh-CN" w:bidi="ar"/>
        </w:rPr>
        <w:t>(2010) studied blog user satisfaction using the information and system quality of blog sites. Their study is useful to company-sponsored online communities, in which such information and system qualities are important for retaining customers.</w:t>
      </w:r>
    </w:p>
    <w:p>
      <w:pPr>
        <w:spacing w:line="360" w:lineRule="auto"/>
        <w:ind w:firstLine="720"/>
        <w:jc w:val="both"/>
      </w:pPr>
    </w:p>
    <w:p>
      <w:pPr>
        <w:pStyle w:val="4"/>
        <w:spacing w:line="360" w:lineRule="auto"/>
        <w:jc w:val="both"/>
        <w:rPr>
          <w:rFonts w:hint="eastAsia" w:cstheme="majorHAnsi"/>
          <w:color w:val="2E75B6" w:themeColor="accent1" w:themeShade="BF"/>
          <w:lang w:val="en-US" w:eastAsia="zh-CN"/>
        </w:rPr>
      </w:pPr>
      <w:bookmarkStart w:id="7" w:name="_Toc41856614"/>
      <w:r>
        <w:rPr>
          <w:rFonts w:cstheme="majorHAnsi"/>
          <w:color w:val="2E75B6" w:themeColor="accent1" w:themeShade="BF"/>
        </w:rPr>
        <w:t>2.3.1</w:t>
      </w:r>
      <w:bookmarkEnd w:id="7"/>
      <w:r>
        <w:rPr>
          <w:rFonts w:hint="eastAsia" w:cstheme="majorHAnsi"/>
          <w:color w:val="2E75B6" w:themeColor="accent1" w:themeShade="BF"/>
          <w:lang w:val="en-US" w:eastAsia="zh-CN"/>
        </w:rPr>
        <w:t xml:space="preserve"> Organizational communications</w:t>
      </w:r>
    </w:p>
    <w:p>
      <w:pPr>
        <w:rPr>
          <w:rFonts w:hint="default"/>
          <w:lang w:val="en-US" w:eastAsia="zh-CN"/>
        </w:rPr>
      </w:pPr>
    </w:p>
    <w:p>
      <w:pPr>
        <w:rPr>
          <w:rFonts w:hint="default"/>
          <w:lang w:val="en-US" w:eastAsia="zh-CN"/>
        </w:rPr>
      </w:pPr>
      <w:r>
        <w:rPr>
          <w:rFonts w:hint="default"/>
          <w:lang w:val="en-US" w:eastAsia="zh-CN"/>
        </w:rPr>
        <w:t>Effective internal and/or external</w:t>
      </w:r>
      <w:r>
        <w:rPr>
          <w:rFonts w:hint="eastAsia"/>
          <w:lang w:val="en-US" w:eastAsia="zh-CN"/>
        </w:rPr>
        <w:t xml:space="preserve"> </w:t>
      </w:r>
      <w:r>
        <w:rPr>
          <w:rFonts w:hint="default"/>
          <w:lang w:val="en-US" w:eastAsia="zh-CN"/>
        </w:rPr>
        <w:t>communications are important in performing basic management functions in an</w:t>
      </w:r>
      <w:r>
        <w:rPr>
          <w:rFonts w:hint="eastAsia"/>
          <w:lang w:val="en-US" w:eastAsia="zh-CN"/>
        </w:rPr>
        <w:t xml:space="preserve"> </w:t>
      </w:r>
      <w:r>
        <w:rPr>
          <w:rFonts w:hint="default"/>
          <w:lang w:val="en-US" w:eastAsia="zh-CN"/>
        </w:rPr>
        <w:t>organization. The superior communication and</w:t>
      </w:r>
      <w:r>
        <w:rPr>
          <w:rFonts w:hint="eastAsia"/>
          <w:lang w:val="en-US" w:eastAsia="zh-CN"/>
        </w:rPr>
        <w:t xml:space="preserve"> </w:t>
      </w:r>
      <w:r>
        <w:rPr>
          <w:rFonts w:hint="default"/>
          <w:lang w:val="en-US" w:eastAsia="zh-CN"/>
        </w:rPr>
        <w:t>interaction features of social media</w:t>
      </w:r>
      <w:r>
        <w:rPr>
          <w:rFonts w:hint="eastAsia"/>
          <w:lang w:val="en-US" w:eastAsia="zh-CN"/>
        </w:rPr>
        <w:t xml:space="preserve"> </w:t>
      </w:r>
      <w:r>
        <w:rPr>
          <w:rFonts w:hint="default"/>
          <w:lang w:val="en-US" w:eastAsia="zh-CN"/>
        </w:rPr>
        <w:t>have led to its wide usage by firms and</w:t>
      </w:r>
      <w:r>
        <w:rPr>
          <w:rFonts w:hint="eastAsia"/>
          <w:lang w:val="en-US" w:eastAsia="zh-CN"/>
        </w:rPr>
        <w:t xml:space="preserve"> </w:t>
      </w:r>
      <w:r>
        <w:rPr>
          <w:rFonts w:hint="default"/>
          <w:lang w:val="en-US" w:eastAsia="zh-CN"/>
        </w:rPr>
        <w:t>institutions.</w:t>
      </w:r>
      <w:r>
        <w:rPr>
          <w:rFonts w:hint="eastAsia"/>
          <w:lang w:val="en-US" w:eastAsia="zh-CN"/>
        </w:rPr>
        <w:t xml:space="preserve"> </w:t>
      </w:r>
      <w:r>
        <w:rPr>
          <w:rFonts w:hint="default"/>
          <w:lang w:val="en-US" w:eastAsia="zh-CN"/>
        </w:rPr>
        <w:t>A number of studies focus on the use of social media to enhance the communications</w:t>
      </w:r>
      <w:r>
        <w:rPr>
          <w:rFonts w:hint="eastAsia"/>
          <w:lang w:val="en-US" w:eastAsia="zh-CN"/>
        </w:rPr>
        <w:t xml:space="preserve"> </w:t>
      </w:r>
      <w:r>
        <w:rPr>
          <w:rFonts w:hint="default"/>
          <w:lang w:val="en-US" w:eastAsia="zh-CN"/>
        </w:rPr>
        <w:t>in specific organizations. Bonsón and Flores (2011) examined the use of social media</w:t>
      </w:r>
      <w:r>
        <w:rPr>
          <w:rFonts w:hint="eastAsia"/>
          <w:lang w:val="en-US" w:eastAsia="zh-CN"/>
        </w:rPr>
        <w:t xml:space="preserve"> </w:t>
      </w:r>
      <w:r>
        <w:rPr>
          <w:rFonts w:hint="default"/>
          <w:lang w:val="en-US" w:eastAsia="zh-CN"/>
        </w:rPr>
        <w:t>in</w:t>
      </w:r>
      <w:r>
        <w:rPr>
          <w:rFonts w:hint="eastAsia"/>
          <w:lang w:val="en-US" w:eastAsia="zh-CN"/>
        </w:rPr>
        <w:t xml:space="preserve"> </w:t>
      </w:r>
      <w:r>
        <w:rPr>
          <w:rFonts w:hint="default"/>
          <w:lang w:val="en-US" w:eastAsia="zh-CN"/>
        </w:rPr>
        <w:t>terms of corporate dialogue and reporting at global financial institutions.</w:t>
      </w:r>
      <w:r>
        <w:rPr>
          <w:rFonts w:hint="eastAsia"/>
          <w:lang w:val="en-US" w:eastAsia="zh-CN"/>
        </w:rPr>
        <w:t xml:space="preserve"> </w:t>
      </w:r>
      <w:r>
        <w:rPr>
          <w:rFonts w:hint="default"/>
          <w:lang w:val="en-US" w:eastAsia="zh-CN"/>
        </w:rPr>
        <w:t>They formulated a sophistication index to score the adoption of relevant Web 2.0</w:t>
      </w:r>
      <w:r>
        <w:rPr>
          <w:rFonts w:hint="eastAsia"/>
          <w:lang w:val="en-US" w:eastAsia="zh-CN"/>
        </w:rPr>
        <w:t xml:space="preserve"> </w:t>
      </w:r>
      <w:r>
        <w:rPr>
          <w:rFonts w:hint="default"/>
          <w:lang w:val="en-US" w:eastAsia="zh-CN"/>
        </w:rPr>
        <w:t>technologies and social media by a global financial entity to open corporate dialogue</w:t>
      </w:r>
    </w:p>
    <w:p>
      <w:pPr>
        <w:rPr>
          <w:rFonts w:hint="default"/>
          <w:lang w:val="en-US" w:eastAsia="zh-CN"/>
        </w:rPr>
      </w:pPr>
      <w:r>
        <w:rPr>
          <w:rFonts w:hint="default"/>
          <w:lang w:val="en-US" w:eastAsia="zh-CN"/>
        </w:rPr>
        <w:t>with stakeholders. Their results indicated that the size of the corporate web site and</w:t>
      </w:r>
    </w:p>
    <w:p>
      <w:pPr>
        <w:rPr>
          <w:rFonts w:hint="default"/>
          <w:lang w:val="en-US" w:eastAsia="zh-CN"/>
        </w:rPr>
      </w:pPr>
      <w:r>
        <w:rPr>
          <w:rFonts w:hint="default"/>
          <w:lang w:val="en-US" w:eastAsia="zh-CN"/>
        </w:rPr>
        <w:t>region of operations influenced the utilization of social media for corporate</w:t>
      </w:r>
      <w:r>
        <w:rPr>
          <w:rFonts w:hint="eastAsia"/>
          <w:lang w:val="en-US" w:eastAsia="zh-CN"/>
        </w:rPr>
        <w:t xml:space="preserve"> </w:t>
      </w:r>
      <w:r>
        <w:rPr>
          <w:rFonts w:hint="default"/>
          <w:lang w:val="en-US" w:eastAsia="zh-CN"/>
        </w:rPr>
        <w:t>communications. Ligita and Kuvykaite (2012) built a structural model for social</w:t>
      </w:r>
    </w:p>
    <w:p>
      <w:pPr>
        <w:rPr>
          <w:rFonts w:hint="default"/>
          <w:lang w:val="en-US" w:eastAsia="zh-CN"/>
        </w:rPr>
      </w:pPr>
      <w:r>
        <w:rPr>
          <w:rFonts w:hint="default"/>
          <w:lang w:val="en-US" w:eastAsia="zh-CN"/>
        </w:rPr>
        <w:t>media communications that covers the process of organizational communication, as</w:t>
      </w:r>
    </w:p>
    <w:p>
      <w:pPr>
        <w:rPr>
          <w:rFonts w:hint="default"/>
          <w:lang w:val="en-US" w:eastAsia="zh-CN"/>
        </w:rPr>
      </w:pPr>
      <w:r>
        <w:rPr>
          <w:rFonts w:hint="default"/>
          <w:lang w:val="en-US" w:eastAsia="zh-CN"/>
        </w:rPr>
        <w:t>well as the preparation and assessment of the implementation of a communication</w:t>
      </w:r>
    </w:p>
    <w:p>
      <w:pPr>
        <w:rPr>
          <w:rFonts w:hint="default"/>
          <w:lang w:val="en-US" w:eastAsia="zh-CN"/>
        </w:rPr>
      </w:pPr>
      <w:r>
        <w:rPr>
          <w:rFonts w:hint="default"/>
          <w:lang w:val="en-US" w:eastAsia="zh-CN"/>
        </w:rPr>
        <w:t>strategy. They used a case study to illustrate the application of their model for</w:t>
      </w:r>
    </w:p>
    <w:p>
      <w:pPr>
        <w:rPr>
          <w:rFonts w:hint="default"/>
          <w:lang w:val="en-US" w:eastAsia="zh-CN"/>
        </w:rPr>
      </w:pPr>
      <w:r>
        <w:rPr>
          <w:rFonts w:hint="default"/>
          <w:lang w:val="en-US" w:eastAsia="zh-CN"/>
        </w:rPr>
        <w:t>promoting studies at public higher education institutions via social media.</w:t>
      </w:r>
      <w:r>
        <w:rPr>
          <w:rFonts w:hint="eastAsia"/>
          <w:lang w:val="en-US" w:eastAsia="zh-CN"/>
        </w:rPr>
        <w:t xml:space="preserve"> </w:t>
      </w:r>
      <w:r>
        <w:rPr>
          <w:rFonts w:hint="default"/>
          <w:lang w:val="en-US" w:eastAsia="zh-CN"/>
        </w:rPr>
        <w:t>The use of social media for organizational communications is also common in the</w:t>
      </w:r>
      <w:r>
        <w:rPr>
          <w:rFonts w:hint="eastAsia"/>
          <w:lang w:val="en-US" w:eastAsia="zh-CN"/>
        </w:rPr>
        <w:t xml:space="preserve">  </w:t>
      </w:r>
      <w:r>
        <w:rPr>
          <w:rFonts w:hint="default"/>
          <w:lang w:val="en-US" w:eastAsia="zh-CN"/>
        </w:rPr>
        <w:t>government and public sectors. Picazo-Vela et al. (2012) consolidated the perceptions</w:t>
      </w:r>
      <w:r>
        <w:rPr>
          <w:rFonts w:hint="eastAsia"/>
          <w:lang w:val="en-US" w:eastAsia="zh-CN"/>
        </w:rPr>
        <w:t xml:space="preserve"> </w:t>
      </w:r>
      <w:r>
        <w:rPr>
          <w:rFonts w:hint="default"/>
          <w:lang w:val="en-US" w:eastAsia="zh-CN"/>
        </w:rPr>
        <w:t>of</w:t>
      </w:r>
      <w:r>
        <w:rPr>
          <w:rFonts w:hint="eastAsia"/>
          <w:lang w:val="en-US" w:eastAsia="zh-CN"/>
        </w:rPr>
        <w:t xml:space="preserve"> </w:t>
      </w:r>
      <w:r>
        <w:rPr>
          <w:rFonts w:hint="default"/>
          <w:lang w:val="en-US" w:eastAsia="zh-CN"/>
        </w:rPr>
        <w:t>risks and benefits of social media applications obtained from a focus group study with</w:t>
      </w:r>
      <w:r>
        <w:rPr>
          <w:rFonts w:hint="eastAsia"/>
          <w:lang w:val="en-US" w:eastAsia="zh-CN"/>
        </w:rPr>
        <w:t xml:space="preserve"> </w:t>
      </w:r>
      <w:r>
        <w:rPr>
          <w:rFonts w:hint="default"/>
          <w:lang w:val="en-US" w:eastAsia="zh-CN"/>
        </w:rPr>
        <w:t>public servants from Central Mexico. They addressed the trade-off between perceived</w:t>
      </w:r>
      <w:r>
        <w:rPr>
          <w:rFonts w:hint="eastAsia"/>
          <w:lang w:val="en-US" w:eastAsia="zh-CN"/>
        </w:rPr>
        <w:t xml:space="preserve"> </w:t>
      </w:r>
      <w:r>
        <w:rPr>
          <w:rFonts w:hint="default"/>
          <w:lang w:val="en-US" w:eastAsia="zh-CN"/>
        </w:rPr>
        <w:t>risks and benefits of using various social media applications for communication with</w:t>
      </w:r>
      <w:r>
        <w:rPr>
          <w:rFonts w:hint="eastAsia"/>
          <w:lang w:val="en-US" w:eastAsia="zh-CN"/>
        </w:rPr>
        <w:t xml:space="preserve"> </w:t>
      </w:r>
      <w:r>
        <w:rPr>
          <w:rFonts w:hint="default"/>
          <w:lang w:val="en-US" w:eastAsia="zh-CN"/>
        </w:rPr>
        <w:t>the public and further suggested guidelines to enable the public sector to tap the benefits</w:t>
      </w:r>
    </w:p>
    <w:p>
      <w:pPr>
        <w:rPr>
          <w:rFonts w:hint="default"/>
          <w:lang w:val="en-US" w:eastAsia="zh-CN"/>
        </w:rPr>
      </w:pPr>
      <w:r>
        <w:rPr>
          <w:rFonts w:hint="default"/>
          <w:lang w:val="en-US" w:eastAsia="zh-CN"/>
        </w:rPr>
        <w:t>while reducing the risks. Mergel (2013) examined the social media measurement</w:t>
      </w:r>
      <w:r>
        <w:rPr>
          <w:rFonts w:hint="eastAsia"/>
          <w:lang w:val="en-US" w:eastAsia="zh-CN"/>
        </w:rPr>
        <w:t xml:space="preserve"> </w:t>
      </w:r>
      <w:r>
        <w:rPr>
          <w:rFonts w:hint="default"/>
          <w:lang w:val="en-US" w:eastAsia="zh-CN"/>
        </w:rPr>
        <w:t>needs</w:t>
      </w:r>
      <w:r>
        <w:rPr>
          <w:rFonts w:hint="eastAsia"/>
          <w:lang w:val="en-US" w:eastAsia="zh-CN"/>
        </w:rPr>
        <w:t xml:space="preserve"> </w:t>
      </w:r>
      <w:r>
        <w:rPr>
          <w:rFonts w:hint="default"/>
          <w:lang w:val="en-US" w:eastAsia="zh-CN"/>
        </w:rPr>
        <w:t>of departments and additional agencies of the executive branch of the US federal</w:t>
      </w:r>
      <w:r>
        <w:rPr>
          <w:rFonts w:hint="eastAsia"/>
          <w:lang w:val="en-US" w:eastAsia="zh-CN"/>
        </w:rPr>
        <w:t xml:space="preserve"> </w:t>
      </w:r>
      <w:r>
        <w:rPr>
          <w:rFonts w:hint="default"/>
          <w:lang w:val="en-US" w:eastAsia="zh-CN"/>
        </w:rPr>
        <w:t xml:space="preserve">government. </w:t>
      </w:r>
    </w:p>
    <w:p>
      <w:pPr>
        <w:spacing w:line="360" w:lineRule="auto"/>
        <w:jc w:val="both"/>
        <w:rPr>
          <w:color w:val="2E75B6" w:themeColor="accent1" w:themeShade="BF"/>
        </w:rPr>
      </w:pPr>
    </w:p>
    <w:p>
      <w:pPr>
        <w:pStyle w:val="3"/>
        <w:spacing w:line="360" w:lineRule="auto"/>
        <w:jc w:val="both"/>
        <w:rPr>
          <w:rFonts w:cstheme="majorHAnsi"/>
          <w:sz w:val="24"/>
          <w:szCs w:val="24"/>
        </w:rPr>
      </w:pPr>
      <w:bookmarkStart w:id="8" w:name="_Toc41856619"/>
      <w:r>
        <w:rPr>
          <w:rFonts w:cstheme="majorHAnsi"/>
          <w:sz w:val="24"/>
          <w:szCs w:val="24"/>
        </w:rPr>
        <w:t>2.5 Conclusion</w:t>
      </w:r>
      <w:bookmarkEnd w:id="8"/>
    </w:p>
    <w:p>
      <w:pPr>
        <w:spacing w:line="360" w:lineRule="auto"/>
        <w:jc w:val="both"/>
      </w:pPr>
    </w:p>
    <w:p>
      <w:pPr>
        <w:spacing w:line="360" w:lineRule="auto"/>
        <w:ind w:firstLine="720"/>
        <w:jc w:val="both"/>
      </w:pPr>
      <w:r>
        <w:t>This chapter achieved the first objective:</w:t>
      </w:r>
    </w:p>
    <w:p>
      <w:pPr>
        <w:spacing w:line="360" w:lineRule="auto"/>
        <w:ind w:firstLine="720"/>
        <w:jc w:val="both"/>
      </w:pPr>
    </w:p>
    <w:p>
      <w:pPr>
        <w:spacing w:line="360" w:lineRule="auto"/>
        <w:ind w:firstLine="720"/>
        <w:jc w:val="both"/>
        <w:rPr>
          <w:i/>
          <w:iCs/>
        </w:rPr>
      </w:pPr>
      <w:r>
        <w:rPr>
          <w:i/>
          <w:iCs/>
        </w:rPr>
        <w:t>“</w:t>
      </w:r>
      <w:r>
        <w:rPr>
          <w:rFonts w:hint="eastAsia" w:eastAsia="宋体"/>
          <w:i/>
          <w:iCs/>
          <w:lang w:val="en-US" w:eastAsia="zh-CN"/>
        </w:rPr>
        <w:t xml:space="preserve">social media </w:t>
      </w:r>
      <w:r>
        <w:rPr>
          <w:rFonts w:hint="default"/>
          <w:i/>
          <w:iCs/>
          <w:lang w:val="en-US" w:eastAsia="zh-CN"/>
        </w:rPr>
        <w:t>can provide The research on the relevance of management provides effective theoretical data to help the development and progress of China's sports industry, especially sports e-commerce.</w:t>
      </w:r>
      <w:r>
        <w:rPr>
          <w:i/>
          <w:iCs/>
        </w:rPr>
        <w:t xml:space="preserve">” </w:t>
      </w:r>
    </w:p>
    <w:p>
      <w:pPr>
        <w:spacing w:line="360" w:lineRule="auto"/>
        <w:ind w:firstLine="720"/>
        <w:jc w:val="both"/>
      </w:pPr>
    </w:p>
    <w:p>
      <w:pPr>
        <w:keepNext w:val="0"/>
        <w:keepLines w:val="0"/>
        <w:widowControl/>
        <w:suppressLineNumbers w:val="0"/>
        <w:jc w:val="left"/>
      </w:pPr>
      <w:r>
        <w:t>The literature review revealed that, with regards to</w:t>
      </w:r>
      <w:r>
        <w:rPr>
          <w:rFonts w:hint="eastAsia" w:eastAsia="宋体"/>
          <w:lang w:val="en-US" w:eastAsia="zh-CN"/>
        </w:rPr>
        <w:t xml:space="preserve"> O2O</w:t>
      </w:r>
      <w:r>
        <w:t xml:space="preserve"> in business</w:t>
      </w:r>
      <w:r>
        <w:rPr>
          <w:rFonts w:hint="eastAsia" w:eastAsia="宋体"/>
          <w:lang w:val="en-US" w:eastAsia="zh-CN"/>
        </w:rPr>
        <w:t xml:space="preserve">. </w:t>
      </w:r>
      <w:r>
        <w:rPr>
          <w:rFonts w:hint="default"/>
        </w:rPr>
        <w:t>This strategy particularly places emphasis on satisfying customer’s needs and giving the good shopping experience to customers</w:t>
      </w:r>
      <w:r>
        <w:t xml:space="preserve">. </w:t>
      </w:r>
      <w:r>
        <w:rPr>
          <w:rFonts w:hint="eastAsia" w:eastAsia="宋体"/>
          <w:lang w:val="en-US" w:eastAsia="zh-CN"/>
        </w:rPr>
        <w:t>(Phang, Tan, Sutanto, Magagn ,2014).  And s</w:t>
      </w:r>
      <w:r>
        <w:rPr>
          <w:rFonts w:hint="default"/>
        </w:rPr>
        <w:t>ocial media provide marketers with remarkable opportunities to reach consumers in their social communities and build more personal relationships with them (Kelly, Kerr, &amp; Drennan, 2010)</w:t>
      </w:r>
      <w:r>
        <w:t xml:space="preserve"> </w:t>
      </w:r>
      <w:r>
        <w:rPr>
          <w:rFonts w:hint="eastAsia" w:eastAsia="宋体"/>
          <w:lang w:val="en-US" w:eastAsia="zh-CN"/>
        </w:rPr>
        <w:t>.</w:t>
      </w:r>
      <w:r>
        <w:rPr>
          <w:rFonts w:hint="default" w:ascii="Times New Roman" w:hAnsi="Times New Roman" w:eastAsia="AdvOT8cb2ddbd" w:cs="Times New Roman"/>
          <w:color w:val="000000"/>
          <w:kern w:val="0"/>
          <w:sz w:val="24"/>
          <w:szCs w:val="24"/>
          <w:lang w:val="en-US" w:eastAsia="zh-CN" w:bidi="ar"/>
        </w:rPr>
        <w:t xml:space="preserve">CRM is a system for managing the interactions of a company with its current and potential customers. </w:t>
      </w:r>
      <w:r>
        <w:rPr>
          <w:rFonts w:hint="eastAsia" w:eastAsia="AdvOT8cb2ddbd" w:cs="Times New Roman"/>
          <w:color w:val="000000"/>
          <w:kern w:val="0"/>
          <w:sz w:val="24"/>
          <w:szCs w:val="24"/>
          <w:lang w:val="en-US" w:eastAsia="zh-CN" w:bidi="ar"/>
        </w:rPr>
        <w:t>(</w:t>
      </w:r>
      <w:r>
        <w:rPr>
          <w:rFonts w:hint="default" w:ascii="Times New Roman" w:hAnsi="Times New Roman" w:eastAsia="AdvOT8cb2ddbd" w:cs="Times New Roman"/>
          <w:color w:val="000000"/>
          <w:kern w:val="0"/>
          <w:sz w:val="24"/>
          <w:szCs w:val="24"/>
          <w:lang w:val="en-US" w:eastAsia="zh-CN" w:bidi="ar"/>
        </w:rPr>
        <w:t xml:space="preserve">Karakaya and Barnes </w:t>
      </w:r>
      <w:r>
        <w:rPr>
          <w:rFonts w:hint="eastAsia" w:eastAsia="AdvOT8cb2ddbd" w:cs="Times New Roman"/>
          <w:color w:val="000000"/>
          <w:kern w:val="0"/>
          <w:sz w:val="24"/>
          <w:szCs w:val="24"/>
          <w:lang w:val="en-US" w:eastAsia="zh-CN" w:bidi="ar"/>
        </w:rPr>
        <w:t xml:space="preserve">, </w:t>
      </w:r>
      <w:r>
        <w:rPr>
          <w:rFonts w:hint="default" w:ascii="Times New Roman" w:hAnsi="Times New Roman" w:eastAsia="AdvOT8cb2ddbd" w:cs="Times New Roman"/>
          <w:color w:val="000000"/>
          <w:kern w:val="0"/>
          <w:sz w:val="24"/>
          <w:szCs w:val="24"/>
          <w:lang w:val="en-US" w:eastAsia="zh-CN" w:bidi="ar"/>
        </w:rPr>
        <w:t xml:space="preserve">2010) </w:t>
      </w:r>
    </w:p>
    <w:p>
      <w:pPr>
        <w:spacing w:line="360" w:lineRule="auto"/>
        <w:ind w:firstLine="720"/>
        <w:jc w:val="both"/>
      </w:pPr>
    </w:p>
    <w:p>
      <w:pPr>
        <w:spacing w:line="360" w:lineRule="auto"/>
        <w:ind w:firstLine="720"/>
        <w:jc w:val="both"/>
      </w:pPr>
      <w:r>
        <w:t>The next chapter will identify the appropriate research methods and methodology to address the issues highlighted in this chapter.</w:t>
      </w:r>
    </w:p>
    <w:p/>
    <w:p/>
    <w:p/>
    <w:p/>
    <w:p/>
    <w:p/>
    <w:p/>
    <w:p/>
    <w:p>
      <w:bookmarkStart w:id="9" w:name="_GoBack"/>
      <w:bookmarkEnd w:id="9"/>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AFF" w:usb1="C0007841"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02FF" w:usb1="4000ACFF" w:usb2="00000001" w:usb3="00000000" w:csb0="2000019F" w:csb1="00000000"/>
  </w:font>
  <w:font w:name="Calibri">
    <w:panose1 w:val="020F0502020204030204"/>
    <w:charset w:val="86"/>
    <w:family w:val="swiss"/>
    <w:pitch w:val="default"/>
    <w:sig w:usb0="E00002FF" w:usb1="4000ACFF" w:usb2="00000001" w:usb3="00000000" w:csb0="2000019F" w:csb1="00000000"/>
  </w:font>
  <w:font w:name="Calibri">
    <w:panose1 w:val="020F0502020204030204"/>
    <w:charset w:val="86"/>
    <w:family w:val="auto"/>
    <w:pitch w:val="default"/>
    <w:sig w:usb0="E00002FF" w:usb1="4000ACFF" w:usb2="00000001" w:usb3="00000000" w:csb0="2000019F" w:csb1="00000000"/>
  </w:font>
  <w:font w:name="Calibri Light">
    <w:panose1 w:val="020F0302020204030204"/>
    <w:charset w:val="00"/>
    <w:family w:val="swiss"/>
    <w:pitch w:val="default"/>
    <w:sig w:usb0="A00002EF" w:usb1="4000207B" w:usb2="00000000" w:usb3="00000000" w:csb0="2000019F" w:csb1="00000000"/>
  </w:font>
  <w:font w:name="AdvOT44ee9141 . I">
    <w:altName w:val="Segoe Print"/>
    <w:panose1 w:val="00000000000000000000"/>
    <w:charset w:val="00"/>
    <w:family w:val="auto"/>
    <w:pitch w:val="default"/>
    <w:sig w:usb0="00000000" w:usb1="00000000" w:usb2="00000000" w:usb3="00000000" w:csb0="00000000" w:csb1="00000000"/>
  </w:font>
  <w:font w:name="AdvOT8cb2ddbd">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alibri">
    <w:panose1 w:val="020F0502020204030204"/>
    <w:charset w:val="86"/>
    <w:family w:val="auto"/>
    <w:pitch w:val="default"/>
    <w:sig w:usb0="E00002FF" w:usb1="4000ACFF" w:usb2="00000001" w:usb3="00000000" w:csb0="2000019F" w:csb1="00000000"/>
  </w:font>
  <w:font w:name="Calibri">
    <w:panose1 w:val="020F0502020204030204"/>
    <w:charset w:val="86"/>
    <w:family w:val="auto"/>
    <w:pitch w:val="default"/>
    <w:sig w:usb0="E00002FF" w:usb1="4000ACFF" w:usb2="00000001" w:usb3="00000000" w:csb0="2000019F" w:csb1="00000000"/>
  </w:font>
  <w:font w:name="Calibri">
    <w:panose1 w:val="020F0502020204030204"/>
    <w:charset w:val="86"/>
    <w:family w:val="auto"/>
    <w:pitch w:val="default"/>
    <w:sig w:usb0="E00002FF" w:usb1="4000ACFF" w:usb2="00000001" w:usb3="00000000" w:csb0="2000019F" w:csb1="00000000"/>
  </w:font>
  <w:font w:name="Calibri">
    <w:panose1 w:val="020F0502020204030204"/>
    <w:charset w:val="86"/>
    <w:family w:val="auto"/>
    <w:pitch w:val="default"/>
    <w:sig w:usb0="E00002FF" w:usb1="4000ACFF" w:usb2="00000001" w:usb3="00000000" w:csb0="2000019F" w:csb1="00000000"/>
  </w:font>
  <w:font w:name="Calibri">
    <w:panose1 w:val="020F0502020204030204"/>
    <w:charset w:val="86"/>
    <w:family w:val="auto"/>
    <w:pitch w:val="default"/>
    <w:sig w:usb0="E00002FF" w:usb1="4000ACFF" w:usb2="00000001" w:usb3="00000000" w:csb0="2000019F" w:csb1="00000000"/>
  </w:font>
  <w:font w:name="Calibri">
    <w:panose1 w:val="020F0502020204030204"/>
    <w:charset w:val="86"/>
    <w:family w:val="auto"/>
    <w:pitch w:val="default"/>
    <w:sig w:usb0="E00002FF" w:usb1="4000ACFF" w:usb2="00000001" w:usb3="00000000" w:csb0="2000019F" w:csb1="00000000"/>
  </w:font>
  <w:font w:name="Calibri">
    <w:panose1 w:val="020F0502020204030204"/>
    <w:charset w:val="00"/>
    <w:family w:val="auto"/>
    <w:pitch w:val="default"/>
    <w:sig w:usb0="E00002FF" w:usb1="4000ACFF" w:usb2="00000001" w:usb3="00000000" w:csb0="2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9517086"/>
    <w:rsid w:val="141826D7"/>
    <w:rsid w:val="2BC42550"/>
    <w:rsid w:val="400E1F14"/>
    <w:rsid w:val="45A84862"/>
    <w:rsid w:val="75A828E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semiHidden="0" w:name="heading 2"/>
    <w:lsdException w:qFormat="1" w:uiPriority="9" w:semiHidden="0" w:name="heading 3"/>
    <w:lsdException w:qFormat="1" w:uiPriority="99"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qFormat="1" w:uiPriority="39"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qFormat="1" w:unhideWhenUsed="0" w:uiPriority="1"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sz w:val="24"/>
      <w:szCs w:val="24"/>
      <w:lang w:val="en-GB" w:eastAsia="en-GB" w:bidi="ar-SA"/>
    </w:rPr>
  </w:style>
  <w:style w:type="paragraph" w:styleId="2">
    <w:name w:val="heading 1"/>
    <w:basedOn w:val="1"/>
    <w:next w:val="1"/>
    <w:qFormat/>
    <w:uiPriority w:val="99"/>
    <w:pPr>
      <w:keepNext/>
      <w:keepLines/>
      <w:spacing w:before="24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unhideWhenUsed/>
    <w:qFormat/>
    <w:uiPriority w:val="9"/>
    <w:pPr>
      <w:keepNext/>
      <w:keepLines/>
      <w:spacing w:before="4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unhideWhenUsed/>
    <w:qFormat/>
    <w:uiPriority w:val="9"/>
    <w:pPr>
      <w:keepNext/>
      <w:keepLines/>
      <w:spacing w:before="40"/>
      <w:outlineLvl w:val="2"/>
    </w:pPr>
    <w:rPr>
      <w:rFonts w:asciiTheme="majorHAnsi" w:hAnsiTheme="majorHAnsi" w:eastAsiaTheme="majorEastAsia" w:cstheme="majorBidi"/>
      <w:color w:val="1F4E79" w:themeColor="accent1" w:themeShade="80"/>
    </w:rPr>
  </w:style>
  <w:style w:type="paragraph" w:styleId="5">
    <w:name w:val="heading 4"/>
    <w:basedOn w:val="6"/>
    <w:next w:val="1"/>
    <w:unhideWhenUsed/>
    <w:qFormat/>
    <w:uiPriority w:val="99"/>
    <w:pPr>
      <w:keepNext/>
      <w:keepLines/>
      <w:spacing w:before="40"/>
      <w:outlineLvl w:val="3"/>
    </w:pPr>
    <w:rPr>
      <w:rFonts w:asciiTheme="majorHAnsi" w:hAnsiTheme="majorHAnsi" w:eastAsiaTheme="majorEastAsia" w:cstheme="majorBidi"/>
      <w:i/>
      <w:iCs/>
      <w:color w:val="2E75B6" w:themeColor="accent1" w:themeShade="BF"/>
    </w:rPr>
  </w:style>
  <w:style w:type="character" w:default="1" w:styleId="9">
    <w:name w:val="Default Paragraph Font"/>
    <w:semiHidden/>
    <w:qFormat/>
    <w:uiPriority w:val="0"/>
  </w:style>
  <w:style w:type="table" w:default="1" w:styleId="8">
    <w:name w:val="Normal Table"/>
    <w:semiHidden/>
    <w:uiPriority w:val="0"/>
    <w:tblPr>
      <w:tblCellMar>
        <w:top w:w="0" w:type="dxa"/>
        <w:left w:w="108" w:type="dxa"/>
        <w:bottom w:w="0" w:type="dxa"/>
        <w:right w:w="108" w:type="dxa"/>
      </w:tblCellMar>
    </w:tblPr>
  </w:style>
  <w:style w:type="paragraph" w:styleId="6">
    <w:name w:val="toc 4"/>
    <w:basedOn w:val="1"/>
    <w:next w:val="1"/>
    <w:unhideWhenUsed/>
    <w:qFormat/>
    <w:uiPriority w:val="39"/>
    <w:pPr>
      <w:ind w:left="720"/>
    </w:pPr>
    <w:rPr>
      <w:rFonts w:asciiTheme="minorHAnsi" w:hAnsiTheme="minorHAnsi" w:cstheme="minorHAnsi"/>
      <w:sz w:val="20"/>
      <w:szCs w:val="20"/>
    </w:rPr>
  </w:style>
  <w:style w:type="paragraph" w:styleId="7">
    <w:name w:val="Body Text"/>
    <w:basedOn w:val="1"/>
    <w:qFormat/>
    <w:uiPriority w:val="1"/>
    <w:pPr>
      <w:ind w:left="200"/>
    </w:pPr>
    <w:rPr>
      <w:rFonts w:ascii="Times New Roman" w:hAnsi="Times New Roman" w:eastAsia="Times New Roman" w:cs="Times New Roman"/>
      <w:sz w:val="24"/>
      <w:lang w:eastAsia="en-US" w:bidi="en-US"/>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124</TotalTime>
  <ScaleCrop>false</ScaleCrop>
  <LinksUpToDate>false</LinksUpToDate>
  <CharactersWithSpaces>0</CharactersWithSpaces>
  <Application>WPS Office_11.1.0.10228_F1E327BC-269C-435d-A152-05C5408002CA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2021-01-26T04:24:00Z</dcterms:created>
  <dc:creator>Administrator</dc:creator>
  <cp:lastModifiedBy>Rickey</cp:lastModifiedBy>
  <dcterms:modified xsi:type="dcterms:W3CDTF">2021-01-27T17:10:02Z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2052-11.1.0.10228</vt:lpwstr>
  </property>
</Properties>
</file>