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C1ECB" w14:textId="77777777" w:rsidR="00DD58EE" w:rsidRPr="00217567" w:rsidRDefault="005F13FD" w:rsidP="00217567">
      <w:pPr>
        <w:rPr>
          <w:rFonts w:ascii="Times New Roman" w:hAnsi="Times New Roman" w:cs="Times New Roman"/>
          <w:b/>
          <w:sz w:val="28"/>
          <w:szCs w:val="28"/>
          <w:u w:val="single"/>
        </w:rPr>
      </w:pPr>
      <w:r w:rsidRPr="00217567">
        <w:rPr>
          <w:rFonts w:ascii="Times New Roman" w:hAnsi="Times New Roman" w:cs="Times New Roman"/>
          <w:b/>
          <w:sz w:val="28"/>
          <w:szCs w:val="28"/>
          <w:u w:val="single"/>
        </w:rPr>
        <w:t xml:space="preserve">ECAD6006C- </w:t>
      </w:r>
      <w:r w:rsidR="00DD58EE" w:rsidRPr="00217567">
        <w:rPr>
          <w:rFonts w:ascii="Times New Roman" w:hAnsi="Times New Roman" w:cs="Times New Roman"/>
          <w:b/>
          <w:sz w:val="28"/>
          <w:szCs w:val="28"/>
          <w:u w:val="single"/>
        </w:rPr>
        <w:t>Critical response to an article that provides evidence of sound knowledge and understanding of themes related to the teaching of Welsh in the English-medium sector</w:t>
      </w:r>
    </w:p>
    <w:p w14:paraId="0996000E" w14:textId="77777777" w:rsidR="00DD58EE" w:rsidRPr="00217567" w:rsidRDefault="00DD58EE" w:rsidP="00217567">
      <w:pPr>
        <w:spacing w:line="360" w:lineRule="auto"/>
        <w:rPr>
          <w:rFonts w:ascii="Times New Roman" w:hAnsi="Times New Roman" w:cs="Times New Roman"/>
        </w:rPr>
      </w:pPr>
    </w:p>
    <w:p w14:paraId="5A8CD64D"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 xml:space="preserve">This paper analyses a number of studies that delve into the experiences that learners encounter when completing a variety of tasks in their non-native language. More specifically, the authors explore this in the context of Filipino learners who speak English as a second or foreign language (EAL/EFL). Although this article is specific to this demographic, the principles that are outlined can be applied to language acquisition and transference in schools across Wales, with Welsh as the second language. The purpose of this article is to determine whether there are relationships that can be established between the use of an additional or foreign language and the way in which individuals learn and their levels of success and achievement within the scenarios presented. </w:t>
      </w:r>
    </w:p>
    <w:p w14:paraId="6806312B"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In recent years, there has been an increased importance placed upon the learning of Welsh as a second language in schools across Wales, as the government have introduced the initiative that by the year 2050, there will be a million Welsh speakers. Therefore, schools have had to adapt the levels of Welsh that are being taught in order to reach this goal. The aim of this mission is to “reverse the decline in the number of speakers over the twentieth century” as there has been a significant reduction in the number of Welsh speakers since 1911 (2017,p20). In order to ensure that schools are able to meet the requirements that have been set in place by the government, practitioners must consider the ways in which individuals acquire new language skills and apply them in their learning and this article provides some sound evidence that could aid teachers across Wales in their future practice, and increases the level of probability of one million individuals being able to speak Welsh by 2050.</w:t>
      </w:r>
    </w:p>
    <w:p w14:paraId="50993FB9"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 xml:space="preserve">Within the introduction of this article, it is discussed that “learning English is a means towards other personal and social goals.” (Allan et al., 2011,p1 ) This notion is often mirrored in modern day society within Wales, as many of the available jobs may include the ability to speak Welsh within the job description. Furthermore, it may be possible that an applicant may be favoured if they possess the ability to speak Welsh, even though the job description doesn’t specifically ask for this skill. Therefore, it is the schools’ duty to ensure that children are being prepared to meet the demands of society within the future. This is supported by Donaldson, who in his report Successful Futures, recommends that there needs to be a greater importance placed upon learning Welsh and that this can be achieved by “strengthening the focus on its commercial value for the jobs market,” (2015,p60). </w:t>
      </w:r>
    </w:p>
    <w:p w14:paraId="222E74C6" w14:textId="77777777" w:rsidR="00693049" w:rsidRPr="00693049" w:rsidRDefault="00693049" w:rsidP="00693049">
      <w:pPr>
        <w:spacing w:line="360" w:lineRule="auto"/>
        <w:rPr>
          <w:rFonts w:ascii="Times New Roman" w:hAnsi="Times New Roman" w:cs="Times New Roman"/>
        </w:rPr>
      </w:pPr>
    </w:p>
    <w:p w14:paraId="6B429E3A"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The authors of this article explore the different aspects that affect the way in which non-native English speakers learn in a variety of contexts. To do this, the ‘psycholinguistic perspective’ is explored firstly. The psycholinguistic approach refers to the psychological aspect of the processes that occur when an individual displays certain linguistic behaviours. The authors of the article conduct their research using this approach firstly, in order to determine the relationship between the level of success in tasks and whether the task was required completion in their first language or in English. The authors note that this approach is based on the assumption that “all behaviours (linguistic or otherwise) can be characterised in terms of different cognitive processes.” (Allan et al., 2011,p2). Although this approach includes an interesting perspective to conduct research from, it could be argued that the methodology could be biased to suit the beliefs of the psycholinguistic researchers. One example of this is that they do not take into account the learners innate desire to learn the language, something that is extremely important with regards to their ability to attain and transfer language skills into different areas of learning. The authors bring forward the possible factors that could affect the processes, however, they do not demonstrate how these barriers would affect the findings and how they overcame these barriers.</w:t>
      </w:r>
    </w:p>
    <w:p w14:paraId="75BD1027"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The psycholinguistic research findings demonstrate that learners performed better in comprehension mathematics tasks and activities that involved the application of conceptual knowledge when they completed them in their first language, Filipino. Interestingly, it was found that the language that is used when learning the concept must be the language that is used when the learners access the information in their minds to use for the successful completion of the tasks and overall, an improved performance. Furthermore, “in the more abstract and computational mathematical tasks, the Filipino bilingual learners’ performance is not affected by language.” (Allan et al., 2011,p3). The authors note that findings from other psycholinguistic studies have demonstrated that “there are some enhanced cognitive functions among bilinguals (2011,p3). This is contested by the educationalist Laurie, who stated that:</w:t>
      </w:r>
    </w:p>
    <w:p w14:paraId="71219663"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 xml:space="preserve">    </w:t>
      </w:r>
    </w:p>
    <w:p w14:paraId="3093354C"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“If it were possible for a child to live in two languages at once equally well, so much the worse. His intellectual and spiritual growth would not thereby be doubled, but halved.”</w:t>
      </w:r>
    </w:p>
    <w:p w14:paraId="1A707CA7"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 xml:space="preserve">                        (Laurie, 1890,p15; quoted in Baker1988,p10)</w:t>
      </w:r>
    </w:p>
    <w:p w14:paraId="686AD68D" w14:textId="77777777" w:rsidR="00693049" w:rsidRPr="00693049" w:rsidRDefault="00693049" w:rsidP="00693049">
      <w:pPr>
        <w:spacing w:line="360" w:lineRule="auto"/>
        <w:rPr>
          <w:rFonts w:ascii="Times New Roman" w:hAnsi="Times New Roman" w:cs="Times New Roman"/>
        </w:rPr>
      </w:pPr>
    </w:p>
    <w:p w14:paraId="65B5CECA"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 xml:space="preserve">However, it could be argued that this view is extremely outdated, as research up until the mid-1900s, on bilingualism was primarily focused on the viewpoint that it does not enhance or benefit cognitive skills. This was the case until Peal and Lambert conducted research that suggested that individuals who speak more than one language experience “mental flexibility, a superiority in concept formation, and a more diversified set of mental abilities” (1962,p22). </w:t>
      </w:r>
    </w:p>
    <w:p w14:paraId="0ACB06FC" w14:textId="77777777" w:rsidR="00693049" w:rsidRPr="00693049" w:rsidRDefault="00693049" w:rsidP="00693049">
      <w:pPr>
        <w:spacing w:line="360" w:lineRule="auto"/>
        <w:rPr>
          <w:rFonts w:ascii="Times New Roman" w:hAnsi="Times New Roman" w:cs="Times New Roman"/>
        </w:rPr>
      </w:pPr>
    </w:p>
    <w:p w14:paraId="29D79EBB"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 xml:space="preserve">Although the psycholinguistic perspective provides some sound insight into the ways in which bilingual students learn, the findings presented do not take into consideration each individual’s personal ability in certain subject areas. For example, the bilingual student may demonstrate that they are encounter difficulties when completing certain types of activities in mathematics in their non-native language. However, this could be due to the fact they are not as able in answering that specific style of question. It is apparent within the psycholinguistic approach discussion within the article, that the authors did not consider the degree of influence that factors such as this will have on the findings that are being presented. Schachter and Gass second this notion by arguing that a lot of the research into second language linguistics within the classroom since the 1980s has focused more on the “immediate linguistic environment” and less on the wider context. They state that “behaviour of subjects have thus been foregrounded, a broader socioeducational environments backgrounded” (1996,p3). Therefore, it is crucial that these factors within the wider environment are taken into consideration. </w:t>
      </w:r>
    </w:p>
    <w:p w14:paraId="4FF133B7"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The second part of the article provides information on the sociolinguistic perspective on how bilingual students learn. The sociolinguistic approach considers the external factors that may influence the way in which a bilingual student uses their first and second language skills to learn. Examples of these external factors include gender differences, their environment and their relationships and taking these into consideration provides a more holistic perspective. The article explains the research of Qi (1998) who performed a small case study that found that learners often switched between their native language and their additional language depending on the type of task that they were completing. However, it was found that their choice to switch between the two languages depended entirely on how the preferred language aided them with the completion of different stages of the activities. It could be argued that learners will feel more comfortable when provided with an opportunity to use the language that best suits their learning and this could lead to better performance from the learners. This degree of control may also improve the attitudes of learners with regards to using a second language to learn as they will feel more motivated if their performance improves across different subject areas.</w:t>
      </w:r>
    </w:p>
    <w:p w14:paraId="7359CDC4"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 xml:space="preserve">Gaerlan’s (2009) research that is presented within the article applies to Filipino students learning in English (EAL). English is a language that is spoken widely across the earth and the participants, therefore, have accessibility to a much wider range of resources to aid their learning of the additional language. This is something that individuals learning Welsh do not have the luxury of as Welsh is a language that is nearly exclusive to Wales. It could be viewed that the results of the research that are found within the article cannot be fully applied to the learning of Welsh in schools across Wales, as learners simply do not have access to the same range of resources and are currently unable to experience the immersion of the language as well as EAL learners are, as English is a majority language that is spoken far more widely than Welsh. This is supported by ESTYN (2018) who argue that children are not practising their skills in Welsh in contexts other than the classroom during school time. It is becoming more evident in schools across Wales that learning Welsh solely within the classroom is not enough to develop an individual’s ability to speak Welsh to the maximum of their potential. They must be exposed to a range of social situations in which they can apply the skills that they have been taught and ultimately, increase their levels of confidence. </w:t>
      </w:r>
    </w:p>
    <w:p w14:paraId="5737D3AF"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The aforementioned study by Gaerlan (2009) also found that the learners believed that “their teachers were ‘models’ of good English use”. This shows the importance that the role that the teacher’s own language skills play in the way in which bilingual students learn. Currently, in Wales, teachers in English-medium schools may not feel confident enough with their own proficiency in Welsh, as they attended school in a period of time that Welsh was a language that’s use was declining. Therefore, one recommendation for the future is to upskill the current workforce, and this is something that schools are currently improving on, through the use of schemes such as the sabbatical Welsh programme for members of staff to attend.</w:t>
      </w:r>
    </w:p>
    <w:p w14:paraId="13C0C79B" w14:textId="77777777" w:rsidR="00693049" w:rsidRPr="00693049" w:rsidRDefault="00693049" w:rsidP="00693049">
      <w:pPr>
        <w:spacing w:line="360" w:lineRule="auto"/>
        <w:rPr>
          <w:rFonts w:ascii="Times New Roman" w:hAnsi="Times New Roman" w:cs="Times New Roman"/>
        </w:rPr>
      </w:pPr>
    </w:p>
    <w:p w14:paraId="65B62F6B"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 xml:space="preserve">One potential limitation of the studies outlined within this article is the fact that they do not consider the viewpoint that bilingualism leads to improved cognitive functioning and this could lead to improved levels of performance when using first and second languages to complete different tasks. Lee (1996,p507) argues that to truly research and demonstrate a direct relationship between two variables with regards to learning bilingually, ”it is imperative to conduct longitudinal studies as opposed to collecting correlational data from cross-sectional studies.” </w:t>
      </w:r>
    </w:p>
    <w:p w14:paraId="1945F8DC"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Furthermore, although the findings of this article are interesting, it may be useful to combine the findings or conduct research using both a psycholinguistic and socioeducational perspective in order to gain a deeper insight and therefore, what may be considered as results of a higher degree of validity. The authors of the article support this idea as they note that “there is no singular way by which one can describe how the bilingual learners’ languages shape learning in English.” (Allan et al., 2011,p6).</w:t>
      </w:r>
    </w:p>
    <w:p w14:paraId="2C68D35C" w14:textId="77777777" w:rsidR="00693049" w:rsidRPr="00693049" w:rsidRDefault="00693049" w:rsidP="00693049">
      <w:pPr>
        <w:spacing w:line="360" w:lineRule="auto"/>
        <w:rPr>
          <w:rFonts w:ascii="Times New Roman" w:hAnsi="Times New Roman" w:cs="Times New Roman"/>
        </w:rPr>
      </w:pPr>
      <w:r w:rsidRPr="00693049">
        <w:rPr>
          <w:rFonts w:ascii="Times New Roman" w:hAnsi="Times New Roman" w:cs="Times New Roman"/>
        </w:rPr>
        <w:t>The article provides information that could prove to be useful when considering the ways in which children in English-medium schools across Wales use their acquired knowledge to progress their learning of Welsh in different subject areas. Schools must focus on teaching children the language skills of Welsh and how to apply them across the curriculum, rather than simple sentence structures that may be irrelevant to their future lives. By doing so, practitioners will be preparing pupils for the future of Wales and meeting the government’s goals. Allan et al. support this within the article as they state that teachers must help students “They are after all not just teachers of English, instead, they are teachers of students who need to learn using English” (2011,p7).</w:t>
      </w:r>
    </w:p>
    <w:p w14:paraId="4C81362E" w14:textId="77777777" w:rsidR="00A020F3" w:rsidRPr="00217567" w:rsidRDefault="00A020F3" w:rsidP="00217567">
      <w:pPr>
        <w:spacing w:line="360" w:lineRule="auto"/>
        <w:rPr>
          <w:rFonts w:ascii="Times New Roman" w:hAnsi="Times New Roman" w:cs="Times New Roman"/>
        </w:rPr>
      </w:pPr>
    </w:p>
    <w:p w14:paraId="140860AD" w14:textId="77777777" w:rsidR="00A020F3" w:rsidRPr="00217567" w:rsidRDefault="00A020F3" w:rsidP="00217567">
      <w:pPr>
        <w:spacing w:line="360" w:lineRule="auto"/>
        <w:rPr>
          <w:rFonts w:ascii="Times New Roman" w:hAnsi="Times New Roman" w:cs="Times New Roman"/>
        </w:rPr>
      </w:pPr>
    </w:p>
    <w:p w14:paraId="207177C9" w14:textId="77777777" w:rsidR="00A020F3" w:rsidRPr="00217567" w:rsidRDefault="00A020F3" w:rsidP="00217567">
      <w:pPr>
        <w:spacing w:line="360" w:lineRule="auto"/>
        <w:rPr>
          <w:rFonts w:ascii="Times New Roman" w:hAnsi="Times New Roman" w:cs="Times New Roman"/>
        </w:rPr>
      </w:pPr>
    </w:p>
    <w:p w14:paraId="3C0D1091" w14:textId="77777777" w:rsidR="00A020F3" w:rsidRPr="00217567" w:rsidRDefault="00A020F3" w:rsidP="00217567">
      <w:pPr>
        <w:spacing w:line="360" w:lineRule="auto"/>
        <w:rPr>
          <w:rFonts w:ascii="Times New Roman" w:hAnsi="Times New Roman" w:cs="Times New Roman"/>
        </w:rPr>
      </w:pPr>
    </w:p>
    <w:p w14:paraId="5C416D81" w14:textId="77777777" w:rsidR="00A020F3" w:rsidRPr="00217567" w:rsidRDefault="00A020F3" w:rsidP="00217567">
      <w:pPr>
        <w:spacing w:line="360" w:lineRule="auto"/>
        <w:rPr>
          <w:rFonts w:ascii="Times New Roman" w:hAnsi="Times New Roman" w:cs="Times New Roman"/>
        </w:rPr>
      </w:pPr>
    </w:p>
    <w:p w14:paraId="5512DE1B"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4FDF8F65"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4E8CEA82"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0F0D6EBF"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115E4FFC"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6A2F2BAB"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2EAB3702"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796A132D"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756EA22D"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305089DE"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1CC5C452"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6A0939E1"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7EFE6080"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7FC900B0"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5D2C593F"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0968A2BA" w14:textId="77777777" w:rsidR="00693049" w:rsidRDefault="00693049" w:rsidP="00217567">
      <w:pPr>
        <w:widowControl w:val="0"/>
        <w:autoSpaceDE w:val="0"/>
        <w:autoSpaceDN w:val="0"/>
        <w:adjustRightInd w:val="0"/>
        <w:rPr>
          <w:rFonts w:ascii="Times New Roman" w:hAnsi="Times New Roman" w:cs="Times New Roman"/>
          <w:b/>
          <w:color w:val="353535"/>
          <w:sz w:val="28"/>
          <w:szCs w:val="28"/>
          <w:u w:val="single"/>
        </w:rPr>
      </w:pPr>
      <w:bookmarkStart w:id="0" w:name="_GoBack"/>
      <w:bookmarkEnd w:id="0"/>
    </w:p>
    <w:p w14:paraId="0E376F13" w14:textId="77777777" w:rsidR="00217567" w:rsidRDefault="00217567" w:rsidP="00217567">
      <w:pPr>
        <w:widowControl w:val="0"/>
        <w:autoSpaceDE w:val="0"/>
        <w:autoSpaceDN w:val="0"/>
        <w:adjustRightInd w:val="0"/>
        <w:rPr>
          <w:rFonts w:ascii="Times New Roman" w:hAnsi="Times New Roman" w:cs="Times New Roman"/>
          <w:b/>
          <w:color w:val="353535"/>
          <w:sz w:val="28"/>
          <w:szCs w:val="28"/>
          <w:u w:val="single"/>
        </w:rPr>
      </w:pPr>
    </w:p>
    <w:p w14:paraId="7FACD389" w14:textId="77777777" w:rsidR="00217567" w:rsidRPr="00217567" w:rsidRDefault="00217567" w:rsidP="00217567">
      <w:pPr>
        <w:widowControl w:val="0"/>
        <w:autoSpaceDE w:val="0"/>
        <w:autoSpaceDN w:val="0"/>
        <w:adjustRightInd w:val="0"/>
        <w:rPr>
          <w:rFonts w:ascii="Times New Roman" w:hAnsi="Times New Roman" w:cs="Times New Roman"/>
          <w:b/>
          <w:color w:val="353535"/>
          <w:sz w:val="28"/>
          <w:szCs w:val="28"/>
          <w:u w:val="single"/>
        </w:rPr>
      </w:pPr>
      <w:r w:rsidRPr="00217567">
        <w:rPr>
          <w:rFonts w:ascii="Times New Roman" w:hAnsi="Times New Roman" w:cs="Times New Roman"/>
          <w:b/>
          <w:color w:val="353535"/>
          <w:sz w:val="28"/>
          <w:szCs w:val="28"/>
          <w:u w:val="single"/>
        </w:rPr>
        <w:t>References</w:t>
      </w:r>
    </w:p>
    <w:p w14:paraId="243C3258"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3464324F"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Allan, B.I., Bernardo and Marianne Jennifer M. Garland. (2011) Non-Native English Students Learning in English: Reviewing and Reflecting on the Research. De La Salle University, Philippines</w:t>
      </w:r>
    </w:p>
    <w:p w14:paraId="02EAE076" w14:textId="77777777" w:rsidR="00217567" w:rsidRDefault="00217567" w:rsidP="00217567">
      <w:pPr>
        <w:widowControl w:val="0"/>
        <w:autoSpaceDE w:val="0"/>
        <w:autoSpaceDN w:val="0"/>
        <w:adjustRightInd w:val="0"/>
        <w:rPr>
          <w:rFonts w:ascii="Times New Roman" w:hAnsi="Times New Roman" w:cs="Times New Roman"/>
          <w:color w:val="353535"/>
        </w:rPr>
      </w:pPr>
    </w:p>
    <w:p w14:paraId="07B1C797"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 xml:space="preserve">Baker. C. (1988). </w:t>
      </w:r>
      <w:r w:rsidRPr="00217567">
        <w:rPr>
          <w:rFonts w:ascii="Times New Roman" w:hAnsi="Times New Roman" w:cs="Times New Roman"/>
          <w:i/>
          <w:iCs/>
          <w:color w:val="353535"/>
        </w:rPr>
        <w:t xml:space="preserve">Key issues in bilingualism and bilingual education. </w:t>
      </w:r>
      <w:r w:rsidRPr="00217567">
        <w:rPr>
          <w:rFonts w:ascii="Times New Roman" w:hAnsi="Times New Roman" w:cs="Times New Roman"/>
          <w:color w:val="353535"/>
        </w:rPr>
        <w:t xml:space="preserve">Philadelphia: Multilingual Matters. </w:t>
      </w:r>
    </w:p>
    <w:p w14:paraId="4A42B297"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7BCA274E"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Donaldson, G. (2015) Successful Futures. Crown copyright.</w:t>
      </w:r>
      <w:r w:rsidRPr="00217567">
        <w:rPr>
          <w:rFonts w:ascii="MS Mincho" w:eastAsia="MS Mincho" w:hAnsi="MS Mincho" w:cs="MS Mincho"/>
          <w:color w:val="353535"/>
        </w:rPr>
        <w:t> </w:t>
      </w:r>
      <w:r w:rsidRPr="00217567">
        <w:rPr>
          <w:rFonts w:ascii="Times New Roman" w:hAnsi="Times New Roman" w:cs="Times New Roman"/>
          <w:color w:val="353535"/>
        </w:rPr>
        <w:t xml:space="preserve">Available at: http://gov.wales/docs/dcells/publications/150317-successful-futures-en.pdf  </w:t>
      </w:r>
    </w:p>
    <w:p w14:paraId="1552D1CD"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 xml:space="preserve">[last accessed: 29/01/2019] </w:t>
      </w:r>
    </w:p>
    <w:p w14:paraId="25475FB2" w14:textId="77777777" w:rsidR="00217567" w:rsidRDefault="00217567" w:rsidP="00217567">
      <w:pPr>
        <w:widowControl w:val="0"/>
        <w:autoSpaceDE w:val="0"/>
        <w:autoSpaceDN w:val="0"/>
        <w:adjustRightInd w:val="0"/>
        <w:rPr>
          <w:rFonts w:ascii="Times New Roman" w:hAnsi="Times New Roman" w:cs="Times New Roman"/>
          <w:color w:val="353535"/>
        </w:rPr>
      </w:pPr>
    </w:p>
    <w:p w14:paraId="3E2EE84F"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 xml:space="preserve">ESTYN (2018) Welsh in key stage 2 and key stage 3 in Welsh-medium or bilingual schools. Crown copyright </w:t>
      </w:r>
    </w:p>
    <w:p w14:paraId="289304D4"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 xml:space="preserve">Available at: </w:t>
      </w:r>
      <w:hyperlink r:id="rId6" w:history="1">
        <w:r w:rsidRPr="00217567">
          <w:rPr>
            <w:rFonts w:ascii="Times New Roman" w:hAnsi="Times New Roman" w:cs="Times New Roman"/>
            <w:color w:val="DCA10D"/>
          </w:rPr>
          <w:t>https://www.estyn.gov.wales/sites/default/files/documents/Welsh%20in%20key%20stage%202%20and%20key%20stage%203%20in%20Welsh-medium%20or%20bilingual%20schools%20En.pdf</w:t>
        </w:r>
      </w:hyperlink>
      <w:r w:rsidRPr="00217567">
        <w:rPr>
          <w:rFonts w:ascii="Times New Roman" w:hAnsi="Times New Roman" w:cs="Times New Roman"/>
          <w:color w:val="353535"/>
        </w:rPr>
        <w:t xml:space="preserve"> </w:t>
      </w:r>
    </w:p>
    <w:p w14:paraId="2B2D0299"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[last accessed:27/01/2019]</w:t>
      </w:r>
    </w:p>
    <w:p w14:paraId="78C9694A" w14:textId="77777777" w:rsidR="00217567" w:rsidRDefault="00217567" w:rsidP="00217567">
      <w:pPr>
        <w:widowControl w:val="0"/>
        <w:autoSpaceDE w:val="0"/>
        <w:autoSpaceDN w:val="0"/>
        <w:adjustRightInd w:val="0"/>
        <w:rPr>
          <w:rFonts w:ascii="Times New Roman" w:hAnsi="Times New Roman" w:cs="Times New Roman"/>
          <w:color w:val="353535"/>
        </w:rPr>
      </w:pPr>
    </w:p>
    <w:p w14:paraId="61D9478C"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Gaerlan, M.J.M (2009) Developing a model of the social factors that influence learning in L2 using the CQR approach. Unpublished doctoral dissertation, De La Salle University, Manila, Philippines.</w:t>
      </w:r>
    </w:p>
    <w:p w14:paraId="679AB5E0" w14:textId="77777777" w:rsidR="00217567" w:rsidRDefault="00217567" w:rsidP="00217567">
      <w:pPr>
        <w:widowControl w:val="0"/>
        <w:autoSpaceDE w:val="0"/>
        <w:autoSpaceDN w:val="0"/>
        <w:adjustRightInd w:val="0"/>
        <w:rPr>
          <w:rFonts w:ascii="Times New Roman" w:hAnsi="Times New Roman" w:cs="Times New Roman"/>
          <w:color w:val="353535"/>
        </w:rPr>
      </w:pPr>
    </w:p>
    <w:p w14:paraId="3540416B"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Lee, P. (1996) Cognitive Development In Bilingual Children: A Case For Bilingual Instruction In Early Childhood Education, THE BILINGUAL RESEARCH JOURNAL Summer/Fall 1996, Vol. 20, Nos. 3 &amp; 4, pp. 499 - 522</w:t>
      </w:r>
    </w:p>
    <w:p w14:paraId="7D1A870D" w14:textId="77777777" w:rsidR="00217567" w:rsidRDefault="00217567" w:rsidP="00217567">
      <w:pPr>
        <w:widowControl w:val="0"/>
        <w:autoSpaceDE w:val="0"/>
        <w:autoSpaceDN w:val="0"/>
        <w:adjustRightInd w:val="0"/>
        <w:rPr>
          <w:rFonts w:ascii="Times New Roman" w:hAnsi="Times New Roman" w:cs="Times New Roman"/>
          <w:color w:val="353535"/>
        </w:rPr>
      </w:pPr>
    </w:p>
    <w:p w14:paraId="7DBBEE1D"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Peal, E., &amp; Lambert, W. E. (1962). The relation of bilingualism to intelligence. </w:t>
      </w:r>
      <w:r w:rsidRPr="00217567">
        <w:rPr>
          <w:rFonts w:ascii="Times New Roman" w:hAnsi="Times New Roman" w:cs="Times New Roman"/>
          <w:i/>
          <w:iCs/>
          <w:color w:val="353535"/>
        </w:rPr>
        <w:t>Psychological Monographs: General and Applied, 76</w:t>
      </w:r>
      <w:r w:rsidRPr="00217567">
        <w:rPr>
          <w:rFonts w:ascii="Times New Roman" w:hAnsi="Times New Roman" w:cs="Times New Roman"/>
          <w:color w:val="353535"/>
        </w:rPr>
        <w:t>(27), 1-23.</w:t>
      </w:r>
    </w:p>
    <w:p w14:paraId="2DAABA0F" w14:textId="77777777" w:rsidR="00217567" w:rsidRDefault="00217567" w:rsidP="00217567">
      <w:pPr>
        <w:widowControl w:val="0"/>
        <w:autoSpaceDE w:val="0"/>
        <w:autoSpaceDN w:val="0"/>
        <w:adjustRightInd w:val="0"/>
        <w:rPr>
          <w:rFonts w:ascii="Times New Roman" w:hAnsi="Times New Roman" w:cs="Times New Roman"/>
          <w:color w:val="353535"/>
        </w:rPr>
      </w:pPr>
    </w:p>
    <w:p w14:paraId="09B09E1B"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Qi, D.S (1998) An Inquiry into language-switching in second language composing processes. Canadian Modern Language Review, 54, 413-435</w:t>
      </w:r>
    </w:p>
    <w:p w14:paraId="57AE1E51" w14:textId="77777777" w:rsidR="00217567" w:rsidRDefault="00217567" w:rsidP="00217567">
      <w:pPr>
        <w:widowControl w:val="0"/>
        <w:autoSpaceDE w:val="0"/>
        <w:autoSpaceDN w:val="0"/>
        <w:adjustRightInd w:val="0"/>
        <w:rPr>
          <w:rFonts w:ascii="Times New Roman" w:hAnsi="Times New Roman" w:cs="Times New Roman"/>
          <w:color w:val="353535"/>
        </w:rPr>
      </w:pPr>
    </w:p>
    <w:p w14:paraId="4DCDDF38"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Schachter, J. Gass, S. (1996) Second Language Classroom Research, Issues and Opportunities. Lawrence Erlbaum Associates, Inc., Publishers</w:t>
      </w:r>
    </w:p>
    <w:p w14:paraId="6DF9405B" w14:textId="77777777" w:rsidR="00217567" w:rsidRDefault="00217567" w:rsidP="00217567">
      <w:pPr>
        <w:widowControl w:val="0"/>
        <w:autoSpaceDE w:val="0"/>
        <w:autoSpaceDN w:val="0"/>
        <w:adjustRightInd w:val="0"/>
        <w:rPr>
          <w:rFonts w:ascii="Times New Roman" w:hAnsi="Times New Roman" w:cs="Times New Roman"/>
          <w:color w:val="353535"/>
        </w:rPr>
      </w:pPr>
    </w:p>
    <w:p w14:paraId="0E26DB2C" w14:textId="77777777" w:rsidR="00217567" w:rsidRPr="00217567" w:rsidRDefault="00217567" w:rsidP="00217567">
      <w:pPr>
        <w:widowControl w:val="0"/>
        <w:autoSpaceDE w:val="0"/>
        <w:autoSpaceDN w:val="0"/>
        <w:adjustRightInd w:val="0"/>
        <w:rPr>
          <w:rFonts w:ascii="Times New Roman" w:hAnsi="Times New Roman" w:cs="Times New Roman"/>
          <w:color w:val="353535"/>
        </w:rPr>
      </w:pPr>
      <w:r w:rsidRPr="00217567">
        <w:rPr>
          <w:rFonts w:ascii="Times New Roman" w:hAnsi="Times New Roman" w:cs="Times New Roman"/>
          <w:color w:val="353535"/>
        </w:rPr>
        <w:t>Welsh Government (2017) Cymraeg 2050, A million Welsh speakers. Crown Copyright</w:t>
      </w:r>
    </w:p>
    <w:p w14:paraId="03B2E10F"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0070A72A"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7CC997E6"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5CD541BF"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7C48370A"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79748818"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0695FE87"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4352339F" w14:textId="77777777" w:rsidR="00217567" w:rsidRPr="00217567" w:rsidRDefault="00217567" w:rsidP="00217567">
      <w:pPr>
        <w:widowControl w:val="0"/>
        <w:autoSpaceDE w:val="0"/>
        <w:autoSpaceDN w:val="0"/>
        <w:adjustRightInd w:val="0"/>
        <w:rPr>
          <w:rFonts w:ascii="Times New Roman" w:hAnsi="Times New Roman" w:cs="Times New Roman"/>
          <w:color w:val="353535"/>
        </w:rPr>
      </w:pPr>
    </w:p>
    <w:p w14:paraId="4393258A" w14:textId="77777777" w:rsidR="00A020F3" w:rsidRPr="00217567" w:rsidRDefault="00A020F3" w:rsidP="00217567">
      <w:pPr>
        <w:rPr>
          <w:rFonts w:ascii="Times New Roman" w:hAnsi="Times New Roman" w:cs="Times New Roman"/>
        </w:rPr>
      </w:pPr>
    </w:p>
    <w:p w14:paraId="7F14039C" w14:textId="77777777" w:rsidR="00A020F3" w:rsidRPr="00217567" w:rsidRDefault="00A020F3" w:rsidP="00217567">
      <w:pPr>
        <w:spacing w:line="360" w:lineRule="auto"/>
        <w:rPr>
          <w:rFonts w:ascii="Times New Roman" w:hAnsi="Times New Roman" w:cs="Times New Roman"/>
        </w:rPr>
      </w:pPr>
    </w:p>
    <w:p w14:paraId="3DDB67C4" w14:textId="77777777" w:rsidR="00CA2C60" w:rsidRPr="002B5C15" w:rsidRDefault="00CA2C60" w:rsidP="00CA2C60">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D2CB21D" wp14:editId="46B9F1F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252899DB" w14:textId="77777777" w:rsidR="00CA2C60" w:rsidRPr="00A406E5" w:rsidRDefault="00CA2C60" w:rsidP="00CA2C6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CA2C60" w:rsidRPr="00A406E5" w14:paraId="09A63762" w14:textId="77777777" w:rsidTr="00453FE7">
        <w:tc>
          <w:tcPr>
            <w:tcW w:w="9922" w:type="dxa"/>
            <w:shd w:val="clear" w:color="auto" w:fill="C0C0C0"/>
          </w:tcPr>
          <w:p w14:paraId="21A31D42" w14:textId="77777777" w:rsidR="00CA2C60" w:rsidRPr="00A406E5" w:rsidRDefault="00CA2C60" w:rsidP="00453FE7">
            <w:pPr>
              <w:pStyle w:val="Heading4"/>
              <w:rPr>
                <w:rFonts w:ascii="Arial" w:hAnsi="Arial" w:cs="Arial"/>
                <w:b/>
              </w:rPr>
            </w:pPr>
            <w:r w:rsidRPr="00A406E5">
              <w:rPr>
                <w:rFonts w:ascii="Arial" w:hAnsi="Arial" w:cs="Arial"/>
                <w:b/>
              </w:rPr>
              <w:t xml:space="preserve">LEVEL 6 ASSESSMENT SPECIFICATION </w:t>
            </w:r>
          </w:p>
        </w:tc>
      </w:tr>
    </w:tbl>
    <w:p w14:paraId="48A76C3D" w14:textId="77777777" w:rsidR="00CA2C60" w:rsidRPr="00A406E5" w:rsidRDefault="00CA2C60" w:rsidP="00CA2C60">
      <w:pPr>
        <w:jc w:val="center"/>
        <w:rPr>
          <w:rFonts w:ascii="Arial" w:hAnsi="Arial" w:cs="Arial"/>
          <w:b/>
          <w:i/>
          <w:sz w:val="32"/>
        </w:rPr>
      </w:pPr>
    </w:p>
    <w:tbl>
      <w:tblPr>
        <w:tblW w:w="992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A2C60" w:rsidRPr="00A406E5" w14:paraId="027F02CA" w14:textId="77777777" w:rsidTr="00CA2C60">
        <w:tc>
          <w:tcPr>
            <w:tcW w:w="2093" w:type="dxa"/>
            <w:shd w:val="pct15" w:color="auto" w:fill="auto"/>
          </w:tcPr>
          <w:p w14:paraId="59F03E7E"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9A5BE9" w14:textId="77777777" w:rsidR="00CA2C60" w:rsidRPr="00A406E5" w:rsidRDefault="00CA2C60" w:rsidP="00453FE7">
            <w:pPr>
              <w:spacing w:before="120" w:after="120"/>
              <w:jc w:val="both"/>
              <w:rPr>
                <w:rFonts w:ascii="Arial" w:hAnsi="Arial" w:cs="Arial"/>
                <w:b/>
                <w:sz w:val="22"/>
                <w:szCs w:val="22"/>
              </w:rPr>
            </w:pPr>
            <w:r>
              <w:rPr>
                <w:rFonts w:ascii="Arial" w:hAnsi="Arial" w:cs="Arial"/>
                <w:b/>
                <w:sz w:val="22"/>
                <w:szCs w:val="22"/>
              </w:rPr>
              <w:t>Chloe Mitchell</w:t>
            </w:r>
          </w:p>
        </w:tc>
        <w:tc>
          <w:tcPr>
            <w:tcW w:w="2268" w:type="dxa"/>
            <w:shd w:val="clear" w:color="auto" w:fill="D9D9D9"/>
          </w:tcPr>
          <w:p w14:paraId="6CC4E850"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91129D7" w14:textId="77777777" w:rsidR="00CA2C60" w:rsidRPr="00A406E5" w:rsidRDefault="00CA2C60" w:rsidP="00453FE7">
            <w:pPr>
              <w:spacing w:before="120" w:after="120"/>
              <w:jc w:val="both"/>
              <w:rPr>
                <w:rFonts w:ascii="Arial" w:hAnsi="Arial" w:cs="Arial"/>
                <w:b/>
                <w:sz w:val="22"/>
                <w:szCs w:val="22"/>
              </w:rPr>
            </w:pPr>
            <w:r>
              <w:rPr>
                <w:rFonts w:ascii="Arial" w:hAnsi="Arial" w:cs="Arial"/>
                <w:b/>
                <w:sz w:val="22"/>
                <w:szCs w:val="22"/>
              </w:rPr>
              <w:t>1601557</w:t>
            </w:r>
          </w:p>
        </w:tc>
      </w:tr>
      <w:tr w:rsidR="00CA2C60" w:rsidRPr="00A406E5" w14:paraId="7E24B55D" w14:textId="77777777" w:rsidTr="00CA2C60">
        <w:tc>
          <w:tcPr>
            <w:tcW w:w="2093" w:type="dxa"/>
            <w:shd w:val="pct15" w:color="auto" w:fill="auto"/>
          </w:tcPr>
          <w:p w14:paraId="5D9A9F27"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FD8759D" w14:textId="77777777" w:rsidR="00CA2C60" w:rsidRPr="00C53372" w:rsidRDefault="00CA2C60" w:rsidP="00453FE7">
            <w:pPr>
              <w:spacing w:before="120" w:after="120"/>
              <w:jc w:val="both"/>
              <w:rPr>
                <w:rFonts w:ascii="Arial" w:hAnsi="Arial" w:cs="Arial"/>
                <w:sz w:val="22"/>
                <w:szCs w:val="22"/>
              </w:rPr>
            </w:pPr>
            <w:r>
              <w:rPr>
                <w:rFonts w:ascii="Calibri" w:hAnsi="Calibri" w:cs="Arial"/>
                <w:b/>
                <w:sz w:val="22"/>
                <w:szCs w:val="22"/>
              </w:rPr>
              <w:t>BA Primary Education with QTS</w:t>
            </w:r>
          </w:p>
        </w:tc>
      </w:tr>
      <w:tr w:rsidR="00CA2C60" w:rsidRPr="00A406E5" w14:paraId="21EA8C89" w14:textId="77777777" w:rsidTr="00CA2C60">
        <w:tc>
          <w:tcPr>
            <w:tcW w:w="2093" w:type="dxa"/>
            <w:shd w:val="pct15" w:color="auto" w:fill="auto"/>
          </w:tcPr>
          <w:p w14:paraId="614EACDD"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4A92B2" w14:textId="77777777" w:rsidR="00CA2C60" w:rsidRPr="00C53372" w:rsidRDefault="00CA2C60" w:rsidP="00453FE7">
            <w:pPr>
              <w:spacing w:before="120" w:after="120"/>
              <w:rPr>
                <w:rFonts w:ascii="Arial" w:hAnsi="Arial" w:cs="Arial"/>
                <w:sz w:val="22"/>
                <w:szCs w:val="22"/>
              </w:rPr>
            </w:pPr>
            <w:r>
              <w:rPr>
                <w:rFonts w:ascii="Calibri" w:hAnsi="Calibri" w:cs="Arial"/>
                <w:b/>
                <w:sz w:val="22"/>
                <w:szCs w:val="22"/>
              </w:rPr>
              <w:t>Yr Iaith ar Daith 3</w:t>
            </w:r>
          </w:p>
        </w:tc>
      </w:tr>
      <w:tr w:rsidR="00CA2C60" w:rsidRPr="00A406E5" w14:paraId="01249E65" w14:textId="77777777" w:rsidTr="00CA2C60">
        <w:tc>
          <w:tcPr>
            <w:tcW w:w="2093" w:type="dxa"/>
            <w:shd w:val="pct15" w:color="auto" w:fill="auto"/>
          </w:tcPr>
          <w:p w14:paraId="3E1E1D64"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5A52F5" w14:textId="77777777" w:rsidR="00CA2C60" w:rsidRPr="00C53372" w:rsidRDefault="00CA2C60" w:rsidP="00453FE7">
            <w:pPr>
              <w:spacing w:before="120" w:after="120"/>
              <w:jc w:val="both"/>
              <w:rPr>
                <w:rFonts w:ascii="Arial" w:hAnsi="Arial" w:cs="Arial"/>
                <w:sz w:val="22"/>
                <w:szCs w:val="22"/>
              </w:rPr>
            </w:pPr>
            <w:r>
              <w:rPr>
                <w:rFonts w:ascii="Calibri" w:hAnsi="Calibri" w:cs="Arial"/>
                <w:b/>
              </w:rPr>
              <w:t>ECAD6006C</w:t>
            </w:r>
          </w:p>
        </w:tc>
        <w:tc>
          <w:tcPr>
            <w:tcW w:w="2268" w:type="dxa"/>
            <w:shd w:val="clear" w:color="auto" w:fill="D9D9D9"/>
          </w:tcPr>
          <w:p w14:paraId="382D3B60" w14:textId="77777777" w:rsidR="00CA2C60" w:rsidRPr="004D5E9B" w:rsidRDefault="00CA2C60" w:rsidP="00453FE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4B9875" w14:textId="77777777" w:rsidR="00CA2C60" w:rsidRPr="00C53372" w:rsidRDefault="00CA2C60" w:rsidP="00453FE7">
            <w:pPr>
              <w:spacing w:before="120" w:after="120"/>
              <w:jc w:val="both"/>
              <w:rPr>
                <w:rFonts w:ascii="Arial" w:hAnsi="Arial" w:cs="Arial"/>
                <w:sz w:val="22"/>
                <w:szCs w:val="22"/>
              </w:rPr>
            </w:pPr>
            <w:r>
              <w:rPr>
                <w:rFonts w:ascii="Calibri" w:hAnsi="Calibri" w:cs="Arial"/>
                <w:b/>
                <w:sz w:val="22"/>
                <w:szCs w:val="22"/>
              </w:rPr>
              <w:t>40%</w:t>
            </w:r>
          </w:p>
        </w:tc>
      </w:tr>
      <w:tr w:rsidR="00CA2C60" w:rsidRPr="00A406E5" w14:paraId="179BB27A" w14:textId="77777777" w:rsidTr="00CA2C60">
        <w:tc>
          <w:tcPr>
            <w:tcW w:w="2093" w:type="dxa"/>
            <w:shd w:val="pct15" w:color="auto" w:fill="auto"/>
          </w:tcPr>
          <w:p w14:paraId="74DD2CA7"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4070A10" w14:textId="77777777" w:rsidR="00CA2C60" w:rsidRPr="00C53372" w:rsidRDefault="00CA2C60" w:rsidP="00453FE7">
            <w:pPr>
              <w:spacing w:before="120" w:after="120"/>
              <w:jc w:val="both"/>
              <w:rPr>
                <w:rFonts w:ascii="Arial" w:hAnsi="Arial" w:cs="Arial"/>
                <w:sz w:val="22"/>
                <w:szCs w:val="22"/>
              </w:rPr>
            </w:pPr>
            <w:r>
              <w:rPr>
                <w:rFonts w:ascii="Calibri" w:hAnsi="Calibri" w:cs="Arial"/>
                <w:b/>
                <w:sz w:val="22"/>
                <w:szCs w:val="22"/>
              </w:rPr>
              <w:t>Catherine Morgan</w:t>
            </w:r>
          </w:p>
        </w:tc>
        <w:tc>
          <w:tcPr>
            <w:tcW w:w="2268" w:type="dxa"/>
            <w:shd w:val="clear" w:color="auto" w:fill="D9D9D9"/>
          </w:tcPr>
          <w:p w14:paraId="7D19F5E1"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FAB26B" w14:textId="77777777" w:rsidR="00CA2C60" w:rsidRPr="00C53372" w:rsidRDefault="00CA2C60" w:rsidP="00453FE7">
            <w:pPr>
              <w:spacing w:before="120" w:after="120"/>
              <w:jc w:val="both"/>
              <w:rPr>
                <w:rFonts w:ascii="Arial" w:hAnsi="Arial" w:cs="Arial"/>
                <w:sz w:val="22"/>
                <w:szCs w:val="22"/>
              </w:rPr>
            </w:pPr>
          </w:p>
        </w:tc>
      </w:tr>
      <w:tr w:rsidR="00CA2C60" w:rsidRPr="00A406E5" w14:paraId="56BA9A58" w14:textId="77777777" w:rsidTr="00CA2C60">
        <w:tc>
          <w:tcPr>
            <w:tcW w:w="2093" w:type="dxa"/>
            <w:shd w:val="pct15" w:color="auto" w:fill="auto"/>
          </w:tcPr>
          <w:p w14:paraId="4B1AB29C"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42DEAA" w14:textId="77777777" w:rsidR="00CA2C60" w:rsidRPr="00095DB3" w:rsidRDefault="00CA2C60" w:rsidP="00453FE7">
            <w:pPr>
              <w:spacing w:before="120" w:after="120"/>
              <w:jc w:val="both"/>
              <w:rPr>
                <w:rFonts w:ascii="Arial" w:hAnsi="Arial" w:cs="Arial"/>
                <w:b/>
                <w:sz w:val="22"/>
                <w:szCs w:val="22"/>
              </w:rPr>
            </w:pPr>
            <w:r w:rsidRPr="00095DB3">
              <w:rPr>
                <w:rFonts w:asciiTheme="majorHAnsi" w:hAnsiTheme="majorHAnsi" w:cs="Arial"/>
                <w:b/>
                <w:color w:val="191919"/>
                <w:sz w:val="22"/>
                <w:szCs w:val="32"/>
                <w:lang w:val="en-US"/>
              </w:rPr>
              <w:t>Critical response to an article that provides evidence of sound knowledge and understanding of themes related to the teaching of Welsh in the English-medium sector.</w:t>
            </w:r>
          </w:p>
        </w:tc>
        <w:tc>
          <w:tcPr>
            <w:tcW w:w="2268" w:type="dxa"/>
            <w:shd w:val="pct15" w:color="auto" w:fill="auto"/>
          </w:tcPr>
          <w:p w14:paraId="52651159" w14:textId="77777777" w:rsidR="00CA2C60" w:rsidRPr="00A406E5" w:rsidRDefault="00CA2C60" w:rsidP="00453FE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576B43" w14:textId="77777777" w:rsidR="00CA2C60" w:rsidRPr="00C53372" w:rsidRDefault="00CA2C60" w:rsidP="00453FE7">
            <w:pPr>
              <w:spacing w:before="120" w:after="120"/>
              <w:jc w:val="both"/>
              <w:rPr>
                <w:rFonts w:ascii="Arial" w:hAnsi="Arial" w:cs="Arial"/>
                <w:sz w:val="22"/>
                <w:szCs w:val="22"/>
              </w:rPr>
            </w:pPr>
            <w:r>
              <w:rPr>
                <w:rFonts w:ascii="Arial" w:hAnsi="Arial" w:cs="Arial"/>
                <w:sz w:val="22"/>
                <w:szCs w:val="22"/>
              </w:rPr>
              <w:t>2000</w:t>
            </w:r>
          </w:p>
        </w:tc>
      </w:tr>
      <w:tr w:rsidR="00CA2C60" w:rsidRPr="00A406E5" w14:paraId="0527FEBC" w14:textId="77777777" w:rsidTr="00CA2C60">
        <w:tc>
          <w:tcPr>
            <w:tcW w:w="2093" w:type="dxa"/>
            <w:shd w:val="pct15" w:color="auto" w:fill="auto"/>
          </w:tcPr>
          <w:p w14:paraId="4FBFF3DD"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FB5395" w14:textId="77777777" w:rsidR="00CA2C60" w:rsidRPr="00C53372" w:rsidRDefault="00CA2C60" w:rsidP="00453FE7">
            <w:pPr>
              <w:spacing w:before="120" w:after="120"/>
              <w:jc w:val="both"/>
              <w:rPr>
                <w:rFonts w:ascii="Arial" w:hAnsi="Arial" w:cs="Arial"/>
                <w:sz w:val="22"/>
                <w:szCs w:val="22"/>
              </w:rPr>
            </w:pPr>
            <w:r>
              <w:rPr>
                <w:rFonts w:ascii="Arial" w:hAnsi="Arial" w:cs="Arial"/>
                <w:sz w:val="22"/>
                <w:szCs w:val="22"/>
              </w:rPr>
              <w:t>4</w:t>
            </w:r>
            <w:r w:rsidRPr="00095DB3">
              <w:rPr>
                <w:rFonts w:ascii="Arial" w:hAnsi="Arial" w:cs="Arial"/>
                <w:sz w:val="22"/>
                <w:szCs w:val="22"/>
                <w:vertAlign w:val="superscript"/>
              </w:rPr>
              <w:t>th</w:t>
            </w:r>
            <w:r>
              <w:rPr>
                <w:rFonts w:ascii="Arial" w:hAnsi="Arial" w:cs="Arial"/>
                <w:sz w:val="22"/>
                <w:szCs w:val="22"/>
              </w:rPr>
              <w:t xml:space="preserve"> February, 2019</w:t>
            </w:r>
          </w:p>
        </w:tc>
        <w:tc>
          <w:tcPr>
            <w:tcW w:w="2268" w:type="dxa"/>
            <w:shd w:val="pct15" w:color="auto" w:fill="auto"/>
          </w:tcPr>
          <w:p w14:paraId="71C23CFD"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AAA926" w14:textId="77777777" w:rsidR="00CA2C60" w:rsidRPr="00C53372" w:rsidRDefault="00CA2C60" w:rsidP="00453FE7">
            <w:pPr>
              <w:spacing w:before="120" w:after="120"/>
              <w:jc w:val="both"/>
              <w:rPr>
                <w:rFonts w:ascii="Arial" w:hAnsi="Arial" w:cs="Arial"/>
                <w:sz w:val="22"/>
                <w:szCs w:val="22"/>
              </w:rPr>
            </w:pPr>
            <w:r>
              <w:rPr>
                <w:rFonts w:ascii="Arial" w:hAnsi="Arial" w:cs="Arial"/>
                <w:sz w:val="22"/>
                <w:szCs w:val="22"/>
              </w:rPr>
              <w:t>4</w:t>
            </w:r>
            <w:r w:rsidRPr="00095DB3">
              <w:rPr>
                <w:rFonts w:ascii="Arial" w:hAnsi="Arial" w:cs="Arial"/>
                <w:sz w:val="22"/>
                <w:szCs w:val="22"/>
                <w:vertAlign w:val="superscript"/>
              </w:rPr>
              <w:t>th</w:t>
            </w:r>
            <w:r>
              <w:rPr>
                <w:rFonts w:ascii="Arial" w:hAnsi="Arial" w:cs="Arial"/>
                <w:sz w:val="22"/>
                <w:szCs w:val="22"/>
              </w:rPr>
              <w:t xml:space="preserve"> March, 2019 </w:t>
            </w:r>
          </w:p>
        </w:tc>
      </w:tr>
      <w:tr w:rsidR="00CA2C60" w:rsidRPr="00A406E5" w14:paraId="184E0C2C" w14:textId="77777777" w:rsidTr="00CA2C60">
        <w:tc>
          <w:tcPr>
            <w:tcW w:w="2093" w:type="dxa"/>
            <w:shd w:val="pct15" w:color="auto" w:fill="auto"/>
          </w:tcPr>
          <w:p w14:paraId="6A64234C"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AB12DF" w14:textId="77777777" w:rsidR="00CA2C60" w:rsidRPr="00A406E5" w:rsidRDefault="00CA2C60" w:rsidP="00453FE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FFBCF2"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0051C7" w14:textId="77777777" w:rsidR="00CA2C60" w:rsidRPr="00A406E5" w:rsidRDefault="00CA2C60" w:rsidP="00453FE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A2C60" w:rsidRPr="00A406E5" w14:paraId="67CA162F" w14:textId="77777777" w:rsidTr="00CA2C60">
        <w:tc>
          <w:tcPr>
            <w:tcW w:w="2093" w:type="dxa"/>
            <w:shd w:val="pct15" w:color="auto" w:fill="auto"/>
          </w:tcPr>
          <w:p w14:paraId="0535B567" w14:textId="77777777" w:rsidR="00CA2C60" w:rsidRPr="00A406E5" w:rsidRDefault="00CA2C60" w:rsidP="00453FE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87CD37B" w14:textId="77777777" w:rsidR="00CA2C60" w:rsidRPr="00A406E5" w:rsidRDefault="00CA2C60" w:rsidP="00453FE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EC1F6B2" w14:textId="77777777" w:rsidR="00A020F3" w:rsidRDefault="00A020F3"/>
    <w:p w14:paraId="0221DA8B" w14:textId="77777777" w:rsidR="00A020F3" w:rsidRDefault="00A020F3"/>
    <w:p w14:paraId="67C9ABBC" w14:textId="77777777" w:rsidR="00A020F3" w:rsidRDefault="00A020F3"/>
    <w:p w14:paraId="3ECE2FB4" w14:textId="77777777" w:rsidR="00A020F3" w:rsidRDefault="00A020F3"/>
    <w:sectPr w:rsidR="00A020F3" w:rsidSect="00117ECB">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FDA535" w14:textId="77777777" w:rsidR="00DC37AB" w:rsidRDefault="00DC37AB" w:rsidP="00DD58EE">
      <w:r>
        <w:separator/>
      </w:r>
    </w:p>
  </w:endnote>
  <w:endnote w:type="continuationSeparator" w:id="0">
    <w:p w14:paraId="7B509210" w14:textId="77777777" w:rsidR="00DC37AB" w:rsidRDefault="00DC37AB" w:rsidP="00DD5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1201E" w14:textId="77777777" w:rsidR="00217567" w:rsidRDefault="00217567" w:rsidP="004D40C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A89FEF5" w14:textId="77777777" w:rsidR="00217567" w:rsidRDefault="0021756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3B732" w14:textId="77777777" w:rsidR="00217567" w:rsidRPr="00217567" w:rsidRDefault="00217567" w:rsidP="004D40CD">
    <w:pPr>
      <w:pStyle w:val="Footer"/>
      <w:framePr w:wrap="none" w:vAnchor="text" w:hAnchor="margin" w:xAlign="center" w:y="1"/>
      <w:rPr>
        <w:rStyle w:val="PageNumber"/>
        <w:rFonts w:ascii="Times New Roman" w:hAnsi="Times New Roman" w:cs="Times New Roman"/>
      </w:rPr>
    </w:pPr>
    <w:r w:rsidRPr="00217567">
      <w:rPr>
        <w:rStyle w:val="PageNumber"/>
        <w:rFonts w:ascii="Times New Roman" w:hAnsi="Times New Roman" w:cs="Times New Roman"/>
      </w:rPr>
      <w:fldChar w:fldCharType="begin"/>
    </w:r>
    <w:r w:rsidRPr="00217567">
      <w:rPr>
        <w:rStyle w:val="PageNumber"/>
        <w:rFonts w:ascii="Times New Roman" w:hAnsi="Times New Roman" w:cs="Times New Roman"/>
      </w:rPr>
      <w:instrText xml:space="preserve">PAGE  </w:instrText>
    </w:r>
    <w:r w:rsidRPr="00217567">
      <w:rPr>
        <w:rStyle w:val="PageNumber"/>
        <w:rFonts w:ascii="Times New Roman" w:hAnsi="Times New Roman" w:cs="Times New Roman"/>
      </w:rPr>
      <w:fldChar w:fldCharType="separate"/>
    </w:r>
    <w:r w:rsidR="00DC37AB">
      <w:rPr>
        <w:rStyle w:val="PageNumber"/>
        <w:rFonts w:ascii="Times New Roman" w:hAnsi="Times New Roman" w:cs="Times New Roman"/>
        <w:noProof/>
      </w:rPr>
      <w:t>1</w:t>
    </w:r>
    <w:r w:rsidRPr="00217567">
      <w:rPr>
        <w:rStyle w:val="PageNumber"/>
        <w:rFonts w:ascii="Times New Roman" w:hAnsi="Times New Roman" w:cs="Times New Roman"/>
      </w:rPr>
      <w:fldChar w:fldCharType="end"/>
    </w:r>
  </w:p>
  <w:p w14:paraId="36B7C01F" w14:textId="77777777" w:rsidR="00217567" w:rsidRPr="00217567" w:rsidRDefault="00217567">
    <w:pPr>
      <w:pStyle w:val="Footer"/>
      <w:rPr>
        <w:rFonts w:ascii="Times New Roman" w:hAnsi="Times New Roman" w:cs="Times New Roman"/>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C000C8" w14:textId="77777777" w:rsidR="00DC37AB" w:rsidRDefault="00DC37AB" w:rsidP="00DD58EE">
      <w:r>
        <w:separator/>
      </w:r>
    </w:p>
  </w:footnote>
  <w:footnote w:type="continuationSeparator" w:id="0">
    <w:p w14:paraId="368B41ED" w14:textId="77777777" w:rsidR="00DC37AB" w:rsidRDefault="00DC37AB" w:rsidP="00DD58E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4625B" w14:textId="77777777" w:rsidR="00217567" w:rsidRPr="00217567" w:rsidRDefault="00217567">
    <w:pPr>
      <w:pStyle w:val="Header"/>
      <w:rPr>
        <w:rFonts w:ascii="Times New Roman" w:hAnsi="Times New Roman" w:cs="Times New Roman"/>
      </w:rPr>
    </w:pPr>
    <w:r>
      <w:tab/>
    </w:r>
    <w:r>
      <w:tab/>
    </w:r>
    <w:r w:rsidRPr="00217567">
      <w:rPr>
        <w:rFonts w:ascii="Times New Roman" w:hAnsi="Times New Roman" w:cs="Times New Roman"/>
      </w:rPr>
      <w:t>1601557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8EE"/>
    <w:rsid w:val="00073007"/>
    <w:rsid w:val="00074280"/>
    <w:rsid w:val="00077C45"/>
    <w:rsid w:val="000F01D6"/>
    <w:rsid w:val="000F373A"/>
    <w:rsid w:val="000F6E70"/>
    <w:rsid w:val="00117339"/>
    <w:rsid w:val="00117ECB"/>
    <w:rsid w:val="00181B78"/>
    <w:rsid w:val="001D19F0"/>
    <w:rsid w:val="00217567"/>
    <w:rsid w:val="00224BB1"/>
    <w:rsid w:val="002372CE"/>
    <w:rsid w:val="002463DC"/>
    <w:rsid w:val="002B4F45"/>
    <w:rsid w:val="002C1B85"/>
    <w:rsid w:val="00363F13"/>
    <w:rsid w:val="003C1C64"/>
    <w:rsid w:val="00455FDB"/>
    <w:rsid w:val="004D5084"/>
    <w:rsid w:val="00504C2A"/>
    <w:rsid w:val="005344BC"/>
    <w:rsid w:val="00557BDF"/>
    <w:rsid w:val="0056116D"/>
    <w:rsid w:val="00593365"/>
    <w:rsid w:val="005A72E4"/>
    <w:rsid w:val="005E3C23"/>
    <w:rsid w:val="005F13FD"/>
    <w:rsid w:val="00660FD5"/>
    <w:rsid w:val="00693049"/>
    <w:rsid w:val="006B22E8"/>
    <w:rsid w:val="006B6D77"/>
    <w:rsid w:val="00720591"/>
    <w:rsid w:val="00743B25"/>
    <w:rsid w:val="00756193"/>
    <w:rsid w:val="007726E3"/>
    <w:rsid w:val="007813C9"/>
    <w:rsid w:val="007A2198"/>
    <w:rsid w:val="00836020"/>
    <w:rsid w:val="008669E2"/>
    <w:rsid w:val="00895B91"/>
    <w:rsid w:val="008C1681"/>
    <w:rsid w:val="00900798"/>
    <w:rsid w:val="00903F40"/>
    <w:rsid w:val="00982CA1"/>
    <w:rsid w:val="009A63D6"/>
    <w:rsid w:val="00A020F3"/>
    <w:rsid w:val="00A46FA2"/>
    <w:rsid w:val="00AB35CF"/>
    <w:rsid w:val="00AB69C9"/>
    <w:rsid w:val="00AD2138"/>
    <w:rsid w:val="00AD5DB2"/>
    <w:rsid w:val="00AE0379"/>
    <w:rsid w:val="00B46794"/>
    <w:rsid w:val="00B7603D"/>
    <w:rsid w:val="00B832D2"/>
    <w:rsid w:val="00BA07EB"/>
    <w:rsid w:val="00BC4B81"/>
    <w:rsid w:val="00C40A66"/>
    <w:rsid w:val="00C52A0F"/>
    <w:rsid w:val="00C60585"/>
    <w:rsid w:val="00C8689E"/>
    <w:rsid w:val="00CA2C60"/>
    <w:rsid w:val="00CA7327"/>
    <w:rsid w:val="00CF5AEB"/>
    <w:rsid w:val="00D22970"/>
    <w:rsid w:val="00D234FC"/>
    <w:rsid w:val="00D27014"/>
    <w:rsid w:val="00D95BBC"/>
    <w:rsid w:val="00DC37AB"/>
    <w:rsid w:val="00DD33BF"/>
    <w:rsid w:val="00DD58EE"/>
    <w:rsid w:val="00DE48EB"/>
    <w:rsid w:val="00DF51DE"/>
    <w:rsid w:val="00E81438"/>
    <w:rsid w:val="00EA201E"/>
    <w:rsid w:val="00EB21A3"/>
    <w:rsid w:val="00EC4C2E"/>
    <w:rsid w:val="00F26F56"/>
    <w:rsid w:val="00F95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98F88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CA2C60"/>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CA2C60"/>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D58EE"/>
    <w:pPr>
      <w:tabs>
        <w:tab w:val="center" w:pos="4513"/>
        <w:tab w:val="right" w:pos="9026"/>
      </w:tabs>
    </w:pPr>
  </w:style>
  <w:style w:type="character" w:customStyle="1" w:styleId="HeaderChar">
    <w:name w:val="Header Char"/>
    <w:basedOn w:val="DefaultParagraphFont"/>
    <w:link w:val="Header"/>
    <w:rsid w:val="00DD58EE"/>
  </w:style>
  <w:style w:type="paragraph" w:styleId="Footer">
    <w:name w:val="footer"/>
    <w:basedOn w:val="Normal"/>
    <w:link w:val="FooterChar"/>
    <w:uiPriority w:val="99"/>
    <w:unhideWhenUsed/>
    <w:rsid w:val="00DD58EE"/>
    <w:pPr>
      <w:tabs>
        <w:tab w:val="center" w:pos="4513"/>
        <w:tab w:val="right" w:pos="9026"/>
      </w:tabs>
    </w:pPr>
  </w:style>
  <w:style w:type="character" w:customStyle="1" w:styleId="FooterChar">
    <w:name w:val="Footer Char"/>
    <w:basedOn w:val="DefaultParagraphFont"/>
    <w:link w:val="Footer"/>
    <w:uiPriority w:val="99"/>
    <w:rsid w:val="00DD58EE"/>
  </w:style>
  <w:style w:type="character" w:styleId="PageNumber">
    <w:name w:val="page number"/>
    <w:basedOn w:val="DefaultParagraphFont"/>
    <w:uiPriority w:val="99"/>
    <w:semiHidden/>
    <w:unhideWhenUsed/>
    <w:rsid w:val="00217567"/>
  </w:style>
  <w:style w:type="character" w:customStyle="1" w:styleId="Heading2Char">
    <w:name w:val="Heading 2 Char"/>
    <w:basedOn w:val="DefaultParagraphFont"/>
    <w:link w:val="Heading2"/>
    <w:rsid w:val="00CA2C60"/>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CA2C60"/>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754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estyn.gov.wales/sites/default/files/documents/Welsh%20in%20key%20stage%202%20and%20key%20stage%203%20in%20Welsh-medium%20or%20bilingual%20schools%20En.pdf" TargetMode="Externa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7</Pages>
  <Words>2372</Words>
  <Characters>13525</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Mitchell</dc:creator>
  <cp:keywords/>
  <dc:description/>
  <cp:lastModifiedBy>Chloe Mitchell</cp:lastModifiedBy>
  <cp:revision>1</cp:revision>
  <dcterms:created xsi:type="dcterms:W3CDTF">2019-01-31T23:08:00Z</dcterms:created>
  <dcterms:modified xsi:type="dcterms:W3CDTF">2019-02-04T21:46:00Z</dcterms:modified>
</cp:coreProperties>
</file>