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kern w:val="2"/>
          <w:sz w:val="24"/>
          <w:szCs w:val="24"/>
          <w:lang w:val="en-GB" w:eastAsia="zh-CN"/>
          <w14:ligatures w14:val="standardContextual"/>
        </w:rPr>
        <w:id w:val="1294565241"/>
        <w:docPartObj>
          <w:docPartGallery w:val="Cover Pages"/>
          <w:docPartUnique/>
        </w:docPartObj>
      </w:sdtPr>
      <w:sdtEndPr/>
      <w:sdtContent>
        <w:p w14:paraId="24B178C8" w14:textId="77A9FDD0" w:rsidR="001F51DA" w:rsidRPr="00D24A82" w:rsidRDefault="001F51DA" w:rsidP="008C5C46">
          <w:pPr>
            <w:pStyle w:val="NoSpacing"/>
            <w:jc w:val="both"/>
            <w:rPr>
              <w:rFonts w:ascii="Times New Roman" w:hAnsi="Times New Roman" w:cs="Times New Roman"/>
              <w:sz w:val="24"/>
              <w:szCs w:val="24"/>
            </w:rPr>
          </w:pPr>
          <w:r w:rsidRPr="00D24A82">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14:anchorId="47734F99" wp14:editId="4D44EE96">
                    <wp:simplePos x="0" y="0"/>
                    <wp:positionH relativeFrom="page">
                      <wp:posOffset>296883</wp:posOffset>
                    </wp:positionH>
                    <wp:positionV relativeFrom="page">
                      <wp:posOffset>273132</wp:posOffset>
                    </wp:positionV>
                    <wp:extent cx="2133600" cy="9125712"/>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6E65F6F" id="Group 1" o:spid="_x0000_s1026" style="position:absolute;margin-left:23.4pt;margin-top:21.5pt;width:168pt;height:718.55pt;z-index:-25165721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4F7AFDFC" w:rsidR="001F51DA" w:rsidRPr="00D24A82" w:rsidRDefault="00A4200E" w:rsidP="008C5C46">
          <w:pPr>
            <w:jc w:val="both"/>
            <w:rPr>
              <w:rFonts w:ascii="Times New Roman" w:hAnsi="Times New Roman" w:cs="Times New Roman"/>
            </w:rPr>
          </w:pPr>
          <w:r w:rsidRPr="00D24A82">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113953FD" wp14:editId="32499575">
                    <wp:simplePos x="0" y="0"/>
                    <wp:positionH relativeFrom="margin">
                      <wp:posOffset>1163782</wp:posOffset>
                    </wp:positionH>
                    <wp:positionV relativeFrom="page">
                      <wp:posOffset>1094509</wp:posOffset>
                    </wp:positionV>
                    <wp:extent cx="5084618" cy="1069848"/>
                    <wp:effectExtent l="0" t="0" r="1905" b="8890"/>
                    <wp:wrapNone/>
                    <wp:docPr id="1" name="Text Box 3"/>
                    <wp:cNvGraphicFramePr/>
                    <a:graphic xmlns:a="http://schemas.openxmlformats.org/drawingml/2006/main">
                      <a:graphicData uri="http://schemas.microsoft.com/office/word/2010/wordprocessingShape">
                        <wps:wsp>
                          <wps:cNvSpPr txBox="1"/>
                          <wps:spPr>
                            <a:xfrm>
                              <a:off x="0" y="0"/>
                              <a:ext cx="5084618"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70852380" w:rsidR="001F51DA" w:rsidRDefault="00DC503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05C1F">
                                      <w:rPr>
                                        <w:rFonts w:asciiTheme="majorHAnsi" w:eastAsiaTheme="majorEastAsia" w:hAnsiTheme="majorHAnsi" w:cstheme="majorBidi"/>
                                        <w:color w:val="262626" w:themeColor="text1" w:themeTint="D9"/>
                                        <w:sz w:val="72"/>
                                        <w:szCs w:val="72"/>
                                      </w:rPr>
                                      <w:t>Re</w:t>
                                    </w:r>
                                    <w:r w:rsidR="00A4200E">
                                      <w:rPr>
                                        <w:rFonts w:asciiTheme="majorHAnsi" w:eastAsiaTheme="majorEastAsia" w:hAnsiTheme="majorHAnsi" w:cstheme="majorBidi"/>
                                        <w:color w:val="262626" w:themeColor="text1" w:themeTint="D9"/>
                                        <w:sz w:val="72"/>
                                        <w:szCs w:val="72"/>
                                      </w:rPr>
                                      <w:t xml:space="preserve">search and case scenario </w:t>
                                    </w:r>
                                    <w:r w:rsidR="00DE2213">
                                      <w:rPr>
                                        <w:rFonts w:asciiTheme="majorHAnsi" w:eastAsiaTheme="majorEastAsia" w:hAnsiTheme="majorHAnsi" w:cstheme="majorBidi"/>
                                        <w:color w:val="262626" w:themeColor="text1" w:themeTint="D9"/>
                                        <w:sz w:val="72"/>
                                        <w:szCs w:val="72"/>
                                      </w:rPr>
                                      <w:t>d</w:t>
                                    </w:r>
                                    <w:r w:rsidR="00A4200E">
                                      <w:rPr>
                                        <w:rFonts w:asciiTheme="majorHAnsi" w:eastAsiaTheme="majorEastAsia" w:hAnsiTheme="majorHAnsi" w:cstheme="majorBidi"/>
                                        <w:color w:val="262626" w:themeColor="text1" w:themeTint="D9"/>
                                        <w:sz w:val="72"/>
                                        <w:szCs w:val="72"/>
                                      </w:rPr>
                                      <w:t>ata security</w:t>
                                    </w:r>
                                    <w:r w:rsidR="004B7EFA">
                                      <w:rPr>
                                        <w:rFonts w:asciiTheme="majorHAnsi" w:eastAsiaTheme="majorEastAsia" w:hAnsiTheme="majorHAnsi" w:cstheme="majorBidi"/>
                                        <w:color w:val="262626" w:themeColor="text1" w:themeTint="D9"/>
                                        <w:sz w:val="72"/>
                                        <w:szCs w:val="72"/>
                                      </w:rPr>
                                      <w:t xml:space="preserve"> and compliance</w:t>
                                    </w:r>
                                  </w:sdtContent>
                                </w:sdt>
                              </w:p>
                              <w:p w14:paraId="4E20A66F" w14:textId="1E0A9653" w:rsidR="001F51DA" w:rsidRDefault="00DC503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FB69D3">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26" type="#_x0000_t202" style="position:absolute;left:0;text-align:left;margin-left:91.65pt;margin-top:86.2pt;width:400.35pt;height:8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" filled="f" stroked="f" strokeweight=".5pt">
                    <v:textbox style="mso-fit-shape-to-text:t" inset="0,0,0,0">
                      <w:txbxContent>
                        <w:p w14:paraId="115A3E9C" w14:textId="70852380" w:rsidR="001F51DA" w:rsidRDefault="00DC503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05C1F">
                                <w:rPr>
                                  <w:rFonts w:asciiTheme="majorHAnsi" w:eastAsiaTheme="majorEastAsia" w:hAnsiTheme="majorHAnsi" w:cstheme="majorBidi"/>
                                  <w:color w:val="262626" w:themeColor="text1" w:themeTint="D9"/>
                                  <w:sz w:val="72"/>
                                  <w:szCs w:val="72"/>
                                </w:rPr>
                                <w:t>Re</w:t>
                              </w:r>
                              <w:r w:rsidR="00A4200E">
                                <w:rPr>
                                  <w:rFonts w:asciiTheme="majorHAnsi" w:eastAsiaTheme="majorEastAsia" w:hAnsiTheme="majorHAnsi" w:cstheme="majorBidi"/>
                                  <w:color w:val="262626" w:themeColor="text1" w:themeTint="D9"/>
                                  <w:sz w:val="72"/>
                                  <w:szCs w:val="72"/>
                                </w:rPr>
                                <w:t xml:space="preserve">search and case scenario </w:t>
                              </w:r>
                              <w:r w:rsidR="00DE2213">
                                <w:rPr>
                                  <w:rFonts w:asciiTheme="majorHAnsi" w:eastAsiaTheme="majorEastAsia" w:hAnsiTheme="majorHAnsi" w:cstheme="majorBidi"/>
                                  <w:color w:val="262626" w:themeColor="text1" w:themeTint="D9"/>
                                  <w:sz w:val="72"/>
                                  <w:szCs w:val="72"/>
                                </w:rPr>
                                <w:t>d</w:t>
                              </w:r>
                              <w:r w:rsidR="00A4200E">
                                <w:rPr>
                                  <w:rFonts w:asciiTheme="majorHAnsi" w:eastAsiaTheme="majorEastAsia" w:hAnsiTheme="majorHAnsi" w:cstheme="majorBidi"/>
                                  <w:color w:val="262626" w:themeColor="text1" w:themeTint="D9"/>
                                  <w:sz w:val="72"/>
                                  <w:szCs w:val="72"/>
                                </w:rPr>
                                <w:t>ata security</w:t>
                              </w:r>
                              <w:r w:rsidR="004B7EFA">
                                <w:rPr>
                                  <w:rFonts w:asciiTheme="majorHAnsi" w:eastAsiaTheme="majorEastAsia" w:hAnsiTheme="majorHAnsi" w:cstheme="majorBidi"/>
                                  <w:color w:val="262626" w:themeColor="text1" w:themeTint="D9"/>
                                  <w:sz w:val="72"/>
                                  <w:szCs w:val="72"/>
                                </w:rPr>
                                <w:t xml:space="preserve"> and compliance</w:t>
                              </w:r>
                            </w:sdtContent>
                          </w:sdt>
                        </w:p>
                        <w:p w14:paraId="4E20A66F" w14:textId="1E0A9653" w:rsidR="001F51DA" w:rsidRDefault="00DC503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FB69D3">
                                <w:rPr>
                                  <w:color w:val="404040" w:themeColor="text1" w:themeTint="BF"/>
                                  <w:sz w:val="36"/>
                                  <w:szCs w:val="36"/>
                                </w:rPr>
                                <w:t xml:space="preserve">     </w:t>
                              </w:r>
                            </w:sdtContent>
                          </w:sdt>
                        </w:p>
                      </w:txbxContent>
                    </v:textbox>
                    <w10:wrap anchorx="margin" anchory="page"/>
                  </v:shape>
                </w:pict>
              </mc:Fallback>
            </mc:AlternateContent>
          </w:r>
          <w:r w:rsidR="00FB69D3" w:rsidRPr="00D24A82">
            <w:rPr>
              <w:rFonts w:ascii="Times New Roman" w:hAnsi="Times New Roman" w:cs="Times New Roman"/>
              <w:noProof/>
            </w:rPr>
            <w:drawing>
              <wp:anchor distT="0" distB="0" distL="114300" distR="114300" simplePos="0" relativeHeight="251659776" behindDoc="1" locked="0" layoutInCell="1" allowOverlap="1" wp14:anchorId="5AA56AA8" wp14:editId="56F14283">
                <wp:simplePos x="0" y="0"/>
                <wp:positionH relativeFrom="column">
                  <wp:posOffset>3589361</wp:posOffset>
                </wp:positionH>
                <wp:positionV relativeFrom="paragraph">
                  <wp:posOffset>7849367</wp:posOffset>
                </wp:positionV>
                <wp:extent cx="2571750" cy="1409700"/>
                <wp:effectExtent l="0" t="0" r="0" b="0"/>
                <wp:wrapNone/>
                <wp:docPr id="159156241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562410" name="Picture 1591562410"/>
                        <pic:cNvPicPr/>
                      </pic:nvPicPr>
                      <pic:blipFill>
                        <a:blip r:embed="rId9">
                          <a:extLst>
                            <a:ext uri="{28A0092B-C50C-407E-A947-70E740481C1C}">
                              <a14:useLocalDpi xmlns:a14="http://schemas.microsoft.com/office/drawing/2010/main" val="0"/>
                            </a:ext>
                          </a:extLst>
                        </a:blip>
                        <a:stretch>
                          <a:fillRect/>
                        </a:stretch>
                      </pic:blipFill>
                      <pic:spPr>
                        <a:xfrm>
                          <a:off x="0" y="0"/>
                          <a:ext cx="2571750" cy="1409700"/>
                        </a:xfrm>
                        <a:prstGeom prst="rect">
                          <a:avLst/>
                        </a:prstGeom>
                      </pic:spPr>
                    </pic:pic>
                  </a:graphicData>
                </a:graphic>
              </wp:anchor>
            </w:drawing>
          </w:r>
          <w:r w:rsidR="00227FBC" w:rsidRPr="00D24A82">
            <w:rPr>
              <w:rFonts w:ascii="Times New Roman" w:hAnsi="Times New Roman" w:cs="Times New Roman"/>
              <w:noProof/>
            </w:rPr>
            <mc:AlternateContent>
              <mc:Choice Requires="wpg">
                <w:drawing>
                  <wp:anchor distT="45720" distB="45720" distL="182880" distR="182880" simplePos="0" relativeHeight="251657728" behindDoc="0" locked="0" layoutInCell="1" allowOverlap="1" wp14:anchorId="60A4B4B3" wp14:editId="13143B36">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0AE9702B" w:rsidR="001F51DA" w:rsidRDefault="001F51DA">
                                  <w:pPr>
                                    <w:rPr>
                                      <w:caps/>
                                      <w:color w:val="156082" w:themeColor="accent1"/>
                                      <w:sz w:val="26"/>
                                      <w:szCs w:val="26"/>
                                    </w:rPr>
                                  </w:pPr>
                                  <w:r>
                                    <w:rPr>
                                      <w:caps/>
                                      <w:color w:val="156082" w:themeColor="accent1"/>
                                      <w:sz w:val="26"/>
                                      <w:szCs w:val="26"/>
                                    </w:rPr>
                                    <w:t xml:space="preserve">Module NaMe: </w:t>
                                  </w:r>
                                  <w:r w:rsidR="005F1865">
                                    <w:rPr>
                                      <w:caps/>
                                      <w:color w:val="156082" w:themeColor="accent1"/>
                                      <w:sz w:val="26"/>
                                      <w:szCs w:val="26"/>
                                    </w:rPr>
                                    <w:t>DATA SECURITY AND COMPLIANCE</w:t>
                                  </w:r>
                                </w:p>
                                <w:p w14:paraId="09852EBF" w14:textId="2619FEBA" w:rsidR="001F51DA" w:rsidRPr="00FB69D3" w:rsidRDefault="001F51DA">
                                  <w:pPr>
                                    <w:rPr>
                                      <w:b/>
                                      <w:bCs/>
                                      <w:caps/>
                                      <w:color w:val="156082" w:themeColor="accent1"/>
                                      <w:sz w:val="26"/>
                                      <w:szCs w:val="26"/>
                                    </w:rPr>
                                  </w:pPr>
                                  <w:r>
                                    <w:rPr>
                                      <w:caps/>
                                      <w:color w:val="156082" w:themeColor="accent1"/>
                                      <w:sz w:val="26"/>
                                      <w:szCs w:val="26"/>
                                    </w:rPr>
                                    <w:t>Module Code:</w:t>
                                  </w:r>
                                  <w:r w:rsidRPr="00FB69D3">
                                    <w:rPr>
                                      <w:caps/>
                                      <w:color w:val="156082" w:themeColor="accent1"/>
                                      <w:sz w:val="26"/>
                                      <w:szCs w:val="26"/>
                                    </w:rPr>
                                    <w:t xml:space="preserve"> </w:t>
                                  </w:r>
                                  <w:r w:rsidR="00FB69D3" w:rsidRPr="00FB69D3">
                                    <w:rPr>
                                      <w:caps/>
                                      <w:color w:val="156082" w:themeColor="accent1"/>
                                      <w:sz w:val="26"/>
                                      <w:szCs w:val="26"/>
                                    </w:rPr>
                                    <w:t>ACCA5034</w:t>
                                  </w:r>
                                </w:p>
                                <w:p w14:paraId="28C38D52" w14:textId="7A1B880D" w:rsidR="00227FBC" w:rsidRDefault="00227FBC">
                                  <w:pPr>
                                    <w:rPr>
                                      <w:caps/>
                                      <w:color w:val="156082" w:themeColor="accent1"/>
                                      <w:sz w:val="26"/>
                                      <w:szCs w:val="26"/>
                                    </w:rPr>
                                  </w:pPr>
                                  <w:r>
                                    <w:rPr>
                                      <w:caps/>
                                      <w:color w:val="156082" w:themeColor="accent1"/>
                                      <w:sz w:val="26"/>
                                      <w:szCs w:val="26"/>
                                    </w:rPr>
                                    <w:t>Student NAME:</w:t>
                                  </w:r>
                                  <w:r w:rsidR="001E55A5">
                                    <w:rPr>
                                      <w:caps/>
                                      <w:color w:val="156082" w:themeColor="accent1"/>
                                      <w:sz w:val="26"/>
                                      <w:szCs w:val="26"/>
                                    </w:rPr>
                                    <w:t xml:space="preserve"> MAURICIO HONORATO ACORDI</w:t>
                                  </w:r>
                                </w:p>
                                <w:p w14:paraId="4FE06CE3" w14:textId="3F1DDC1B" w:rsidR="00227FBC" w:rsidRDefault="00227FBC">
                                  <w:pPr>
                                    <w:rPr>
                                      <w:caps/>
                                      <w:color w:val="156082" w:themeColor="accent1"/>
                                      <w:sz w:val="26"/>
                                      <w:szCs w:val="26"/>
                                    </w:rPr>
                                  </w:pPr>
                                  <w:r>
                                    <w:rPr>
                                      <w:caps/>
                                      <w:color w:val="156082" w:themeColor="accent1"/>
                                      <w:sz w:val="26"/>
                                      <w:szCs w:val="26"/>
                                    </w:rPr>
                                    <w:t>Student ID</w:t>
                                  </w:r>
                                  <w:r w:rsidR="001E55A5">
                                    <w:rPr>
                                      <w:caps/>
                                      <w:color w:val="156082" w:themeColor="accent1"/>
                                      <w:sz w:val="26"/>
                                      <w:szCs w:val="26"/>
                                    </w:rPr>
                                    <w:t>: 2429788</w:t>
                                  </w:r>
                                </w:p>
                                <w:p w14:paraId="3839910C" w14:textId="77DE3F5F" w:rsidR="001F51DA" w:rsidRDefault="001F51DA" w:rsidP="00E954B2">
                                  <w:pPr>
                                    <w:pStyle w:val="NoSpacing"/>
                                    <w:rPr>
                                      <w:color w:val="156082" w:themeColor="accent1"/>
                                      <w:sz w:val="26"/>
                                      <w:szCs w:val="26"/>
                                    </w:rPr>
                                  </w:pPr>
                                  <w:r>
                                    <w:rPr>
                                      <w:caps/>
                                      <w:color w:val="156082" w:themeColor="accent1"/>
                                      <w:sz w:val="26"/>
                                      <w:szCs w:val="26"/>
                                    </w:rPr>
                                    <w:t xml:space="preserve">Lecturer: </w:t>
                                  </w:r>
                                  <w:sdt>
                                    <w:sdtPr>
                                      <w:rPr>
                                        <w:color w:val="156082" w:themeColor="accent1"/>
                                        <w:sz w:val="26"/>
                                        <w:szCs w:val="26"/>
                                      </w:rPr>
                                      <w:alias w:val="Author"/>
                                      <w:tag w:val=""/>
                                      <w:id w:val="955067757"/>
                                      <w:dataBinding w:prefixMappings="xmlns:ns0='http://purl.org/dc/elements/1.1/' xmlns:ns1='http://schemas.openxmlformats.org/package/2006/metadata/core-properties' " w:xpath="/ns1:coreProperties[1]/ns0:creator[1]" w:storeItemID="{6C3C8BC8-F283-45AE-878A-BAB7291924A1}"/>
                                      <w:text/>
                                    </w:sdtPr>
                                    <w:sdtEndPr/>
                                    <w:sdtContent>
                                      <w:r w:rsidR="00E954B2" w:rsidRPr="005E4939">
                                        <w:rPr>
                                          <w:color w:val="156082" w:themeColor="accent1"/>
                                          <w:sz w:val="26"/>
                                          <w:szCs w:val="26"/>
                                        </w:rPr>
                                        <w:t>Dr A</w:t>
                                      </w:r>
                                      <w:r w:rsidR="00E954B2">
                                        <w:rPr>
                                          <w:color w:val="156082" w:themeColor="accent1"/>
                                          <w:sz w:val="26"/>
                                          <w:szCs w:val="26"/>
                                        </w:rPr>
                                        <w:t>YMAN</w:t>
                                      </w:r>
                                      <w:r w:rsidR="00E954B2" w:rsidRPr="005E4939">
                                        <w:rPr>
                                          <w:color w:val="156082" w:themeColor="accent1"/>
                                          <w:sz w:val="26"/>
                                          <w:szCs w:val="26"/>
                                        </w:rPr>
                                        <w:t xml:space="preserve"> E</w:t>
                                      </w:r>
                                      <w:r w:rsidR="00E954B2">
                                        <w:rPr>
                                          <w:color w:val="156082" w:themeColor="accent1"/>
                                          <w:sz w:val="26"/>
                                          <w:szCs w:val="26"/>
                                        </w:rPr>
                                        <w:t>L</w:t>
                                      </w:r>
                                      <w:r w:rsidR="00E954B2" w:rsidRPr="005E4939">
                                        <w:rPr>
                                          <w:color w:val="156082" w:themeColor="accent1"/>
                                          <w:sz w:val="26"/>
                                          <w:szCs w:val="26"/>
                                        </w:rPr>
                                        <w:t xml:space="preserve"> H</w:t>
                                      </w:r>
                                      <w:r w:rsidR="001E55A5">
                                        <w:rPr>
                                          <w:color w:val="156082" w:themeColor="accent1"/>
                                          <w:sz w:val="26"/>
                                          <w:szCs w:val="26"/>
                                        </w:rPr>
                                        <w:t>AJJAR</w:t>
                                      </w:r>
                                    </w:sdtContent>
                                  </w:sdt>
                                </w:p>
                                <w:p w14:paraId="45C6333F" w14:textId="77777777" w:rsidR="00E954B2" w:rsidRPr="00E954B2" w:rsidRDefault="00E954B2" w:rsidP="00E954B2">
                                  <w:pPr>
                                    <w:pStyle w:val="NoSpacing"/>
                                    <w:rPr>
                                      <w:color w:val="156082" w:themeColor="accent1"/>
                                      <w:sz w:val="26"/>
                                      <w:szCs w:val="26"/>
                                    </w:rPr>
                                  </w:pP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27" style="position:absolute;left:0;text-align:left;margin-left:79.5pt;margin-top:180pt;width:419.55pt;height:211pt;z-index:251657728;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">
                    <v:rect id="Rectangle 199" o:spid="_x0000_s1028"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29"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0AE9702B" w:rsidR="001F51DA" w:rsidRDefault="001F51DA">
                            <w:pPr>
                              <w:rPr>
                                <w:caps/>
                                <w:color w:val="156082" w:themeColor="accent1"/>
                                <w:sz w:val="26"/>
                                <w:szCs w:val="26"/>
                              </w:rPr>
                            </w:pPr>
                            <w:r>
                              <w:rPr>
                                <w:caps/>
                                <w:color w:val="156082" w:themeColor="accent1"/>
                                <w:sz w:val="26"/>
                                <w:szCs w:val="26"/>
                              </w:rPr>
                              <w:t xml:space="preserve">Module NaMe: </w:t>
                            </w:r>
                            <w:r w:rsidR="005F1865">
                              <w:rPr>
                                <w:caps/>
                                <w:color w:val="156082" w:themeColor="accent1"/>
                                <w:sz w:val="26"/>
                                <w:szCs w:val="26"/>
                              </w:rPr>
                              <w:t>DATA SECURITY AND COMPLIANCE</w:t>
                            </w:r>
                          </w:p>
                          <w:p w14:paraId="09852EBF" w14:textId="2619FEBA" w:rsidR="001F51DA" w:rsidRPr="00FB69D3" w:rsidRDefault="001F51DA">
                            <w:pPr>
                              <w:rPr>
                                <w:b/>
                                <w:bCs/>
                                <w:caps/>
                                <w:color w:val="156082" w:themeColor="accent1"/>
                                <w:sz w:val="26"/>
                                <w:szCs w:val="26"/>
                              </w:rPr>
                            </w:pPr>
                            <w:r>
                              <w:rPr>
                                <w:caps/>
                                <w:color w:val="156082" w:themeColor="accent1"/>
                                <w:sz w:val="26"/>
                                <w:szCs w:val="26"/>
                              </w:rPr>
                              <w:t>Module Code:</w:t>
                            </w:r>
                            <w:r w:rsidRPr="00FB69D3">
                              <w:rPr>
                                <w:caps/>
                                <w:color w:val="156082" w:themeColor="accent1"/>
                                <w:sz w:val="26"/>
                                <w:szCs w:val="26"/>
                              </w:rPr>
                              <w:t xml:space="preserve"> </w:t>
                            </w:r>
                            <w:r w:rsidR="00FB69D3" w:rsidRPr="00FB69D3">
                              <w:rPr>
                                <w:caps/>
                                <w:color w:val="156082" w:themeColor="accent1"/>
                                <w:sz w:val="26"/>
                                <w:szCs w:val="26"/>
                              </w:rPr>
                              <w:t>ACCA5034</w:t>
                            </w:r>
                          </w:p>
                          <w:p w14:paraId="28C38D52" w14:textId="7A1B880D" w:rsidR="00227FBC" w:rsidRDefault="00227FBC">
                            <w:pPr>
                              <w:rPr>
                                <w:caps/>
                                <w:color w:val="156082" w:themeColor="accent1"/>
                                <w:sz w:val="26"/>
                                <w:szCs w:val="26"/>
                              </w:rPr>
                            </w:pPr>
                            <w:r>
                              <w:rPr>
                                <w:caps/>
                                <w:color w:val="156082" w:themeColor="accent1"/>
                                <w:sz w:val="26"/>
                                <w:szCs w:val="26"/>
                              </w:rPr>
                              <w:t>Student NAME:</w:t>
                            </w:r>
                            <w:r w:rsidR="001E55A5">
                              <w:rPr>
                                <w:caps/>
                                <w:color w:val="156082" w:themeColor="accent1"/>
                                <w:sz w:val="26"/>
                                <w:szCs w:val="26"/>
                              </w:rPr>
                              <w:t xml:space="preserve"> MAURICIO HONORATO ACORDI</w:t>
                            </w:r>
                          </w:p>
                          <w:p w14:paraId="4FE06CE3" w14:textId="3F1DDC1B" w:rsidR="00227FBC" w:rsidRDefault="00227FBC">
                            <w:pPr>
                              <w:rPr>
                                <w:caps/>
                                <w:color w:val="156082" w:themeColor="accent1"/>
                                <w:sz w:val="26"/>
                                <w:szCs w:val="26"/>
                              </w:rPr>
                            </w:pPr>
                            <w:r>
                              <w:rPr>
                                <w:caps/>
                                <w:color w:val="156082" w:themeColor="accent1"/>
                                <w:sz w:val="26"/>
                                <w:szCs w:val="26"/>
                              </w:rPr>
                              <w:t>Student ID</w:t>
                            </w:r>
                            <w:r w:rsidR="001E55A5">
                              <w:rPr>
                                <w:caps/>
                                <w:color w:val="156082" w:themeColor="accent1"/>
                                <w:sz w:val="26"/>
                                <w:szCs w:val="26"/>
                              </w:rPr>
                              <w:t>: 2429788</w:t>
                            </w:r>
                          </w:p>
                          <w:p w14:paraId="3839910C" w14:textId="77DE3F5F" w:rsidR="001F51DA" w:rsidRDefault="001F51DA" w:rsidP="00E954B2">
                            <w:pPr>
                              <w:pStyle w:val="NoSpacing"/>
                              <w:rPr>
                                <w:color w:val="156082" w:themeColor="accent1"/>
                                <w:sz w:val="26"/>
                                <w:szCs w:val="26"/>
                              </w:rPr>
                            </w:pPr>
                            <w:r>
                              <w:rPr>
                                <w:caps/>
                                <w:color w:val="156082" w:themeColor="accent1"/>
                                <w:sz w:val="26"/>
                                <w:szCs w:val="26"/>
                              </w:rPr>
                              <w:t xml:space="preserve">Lecturer: </w:t>
                            </w:r>
                            <w:sdt>
                              <w:sdtPr>
                                <w:rPr>
                                  <w:color w:val="156082" w:themeColor="accent1"/>
                                  <w:sz w:val="26"/>
                                  <w:szCs w:val="26"/>
                                </w:rPr>
                                <w:alias w:val="Author"/>
                                <w:tag w:val=""/>
                                <w:id w:val="955067757"/>
                                <w:dataBinding w:prefixMappings="xmlns:ns0='http://purl.org/dc/elements/1.1/' xmlns:ns1='http://schemas.openxmlformats.org/package/2006/metadata/core-properties' " w:xpath="/ns1:coreProperties[1]/ns0:creator[1]" w:storeItemID="{6C3C8BC8-F283-45AE-878A-BAB7291924A1}"/>
                                <w:text/>
                              </w:sdtPr>
                              <w:sdtEndPr/>
                              <w:sdtContent>
                                <w:r w:rsidR="00E954B2" w:rsidRPr="005E4939">
                                  <w:rPr>
                                    <w:color w:val="156082" w:themeColor="accent1"/>
                                    <w:sz w:val="26"/>
                                    <w:szCs w:val="26"/>
                                  </w:rPr>
                                  <w:t>Dr A</w:t>
                                </w:r>
                                <w:r w:rsidR="00E954B2">
                                  <w:rPr>
                                    <w:color w:val="156082" w:themeColor="accent1"/>
                                    <w:sz w:val="26"/>
                                    <w:szCs w:val="26"/>
                                  </w:rPr>
                                  <w:t>YMAN</w:t>
                                </w:r>
                                <w:r w:rsidR="00E954B2" w:rsidRPr="005E4939">
                                  <w:rPr>
                                    <w:color w:val="156082" w:themeColor="accent1"/>
                                    <w:sz w:val="26"/>
                                    <w:szCs w:val="26"/>
                                  </w:rPr>
                                  <w:t xml:space="preserve"> E</w:t>
                                </w:r>
                                <w:r w:rsidR="00E954B2">
                                  <w:rPr>
                                    <w:color w:val="156082" w:themeColor="accent1"/>
                                    <w:sz w:val="26"/>
                                    <w:szCs w:val="26"/>
                                  </w:rPr>
                                  <w:t>L</w:t>
                                </w:r>
                                <w:r w:rsidR="00E954B2" w:rsidRPr="005E4939">
                                  <w:rPr>
                                    <w:color w:val="156082" w:themeColor="accent1"/>
                                    <w:sz w:val="26"/>
                                    <w:szCs w:val="26"/>
                                  </w:rPr>
                                  <w:t xml:space="preserve"> H</w:t>
                                </w:r>
                                <w:r w:rsidR="001E55A5">
                                  <w:rPr>
                                    <w:color w:val="156082" w:themeColor="accent1"/>
                                    <w:sz w:val="26"/>
                                    <w:szCs w:val="26"/>
                                  </w:rPr>
                                  <w:t>AJJAR</w:t>
                                </w:r>
                              </w:sdtContent>
                            </w:sdt>
                          </w:p>
                          <w:p w14:paraId="45C6333F" w14:textId="77777777" w:rsidR="00E954B2" w:rsidRPr="00E954B2" w:rsidRDefault="00E954B2" w:rsidP="00E954B2">
                            <w:pPr>
                              <w:pStyle w:val="NoSpacing"/>
                              <w:rPr>
                                <w:color w:val="156082" w:themeColor="accent1"/>
                                <w:sz w:val="26"/>
                                <w:szCs w:val="26"/>
                              </w:rPr>
                            </w:pP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D24A82">
            <w:rPr>
              <w:rFonts w:ascii="Times New Roman" w:hAnsi="Times New Roman" w:cs="Times New Roman"/>
            </w:rPr>
            <w:br w:type="page"/>
          </w:r>
        </w:p>
      </w:sdtContent>
    </w:sdt>
    <w:p w14:paraId="30D6E95C" w14:textId="201D3F30" w:rsidR="00A62372" w:rsidRPr="00D24A82" w:rsidRDefault="00A62372" w:rsidP="008C5C46">
      <w:pPr>
        <w:tabs>
          <w:tab w:val="left" w:pos="1471"/>
        </w:tabs>
        <w:jc w:val="both"/>
        <w:rPr>
          <w:rFonts w:ascii="Times New Roman" w:hAnsi="Times New Roman" w:cs="Times New Roman"/>
          <w:lang w:val="en-US"/>
        </w:rPr>
      </w:pPr>
    </w:p>
    <w:sdt>
      <w:sdtPr>
        <w:rPr>
          <w:rFonts w:ascii="Times New Roman" w:eastAsiaTheme="minorEastAsia" w:hAnsi="Times New Roman" w:cs="Times New Roman"/>
          <w:color w:val="auto"/>
          <w:kern w:val="2"/>
          <w:sz w:val="28"/>
          <w:szCs w:val="28"/>
          <w14:ligatures w14:val="standardContextual"/>
        </w:rPr>
        <w:id w:val="-1780875607"/>
        <w:docPartObj>
          <w:docPartGallery w:val="Table of Contents"/>
          <w:docPartUnique/>
        </w:docPartObj>
      </w:sdtPr>
      <w:sdtEndPr>
        <w:rPr>
          <w:b/>
          <w:bCs/>
          <w:noProof/>
        </w:rPr>
      </w:sdtEndPr>
      <w:sdtContent>
        <w:p w14:paraId="3B88F8CE" w14:textId="4CCC0BC9" w:rsidR="00A4491B" w:rsidRDefault="00A4491B">
          <w:pPr>
            <w:pStyle w:val="TOCHeading"/>
            <w:rPr>
              <w:rFonts w:ascii="Times New Roman" w:hAnsi="Times New Roman" w:cs="Times New Roman"/>
              <w:b/>
              <w:bCs/>
              <w:color w:val="auto"/>
              <w:sz w:val="28"/>
              <w:szCs w:val="28"/>
            </w:rPr>
          </w:pPr>
          <w:r w:rsidRPr="00AF1739">
            <w:rPr>
              <w:rFonts w:ascii="Times New Roman" w:hAnsi="Times New Roman" w:cs="Times New Roman"/>
              <w:b/>
              <w:bCs/>
              <w:color w:val="auto"/>
              <w:sz w:val="28"/>
              <w:szCs w:val="28"/>
            </w:rPr>
            <w:t>Contents</w:t>
          </w:r>
        </w:p>
        <w:p w14:paraId="1A1405E7" w14:textId="77777777" w:rsidR="00751348" w:rsidRPr="00751348" w:rsidRDefault="00751348" w:rsidP="00751348"/>
        <w:p w14:paraId="483229E0" w14:textId="015604DB" w:rsidR="00AF1739" w:rsidRDefault="00A4491B">
          <w:pPr>
            <w:pStyle w:val="TOC1"/>
            <w:tabs>
              <w:tab w:val="right" w:leader="dot" w:pos="9016"/>
            </w:tabs>
            <w:rPr>
              <w:noProof/>
              <w:lang w:eastAsia="en-GB"/>
            </w:rPr>
          </w:pPr>
          <w:r w:rsidRPr="00D24A82">
            <w:rPr>
              <w:rFonts w:ascii="Times New Roman" w:hAnsi="Times New Roman" w:cs="Times New Roman"/>
              <w:sz w:val="28"/>
              <w:szCs w:val="28"/>
            </w:rPr>
            <w:fldChar w:fldCharType="begin"/>
          </w:r>
          <w:r w:rsidRPr="00D24A82">
            <w:rPr>
              <w:rFonts w:ascii="Times New Roman" w:hAnsi="Times New Roman" w:cs="Times New Roman"/>
              <w:sz w:val="28"/>
              <w:szCs w:val="28"/>
            </w:rPr>
            <w:instrText xml:space="preserve"> TOC \o "1-3" \h \z \u </w:instrText>
          </w:r>
          <w:r w:rsidRPr="00D24A82">
            <w:rPr>
              <w:rFonts w:ascii="Times New Roman" w:hAnsi="Times New Roman" w:cs="Times New Roman"/>
              <w:sz w:val="28"/>
              <w:szCs w:val="28"/>
            </w:rPr>
            <w:fldChar w:fldCharType="separate"/>
          </w:r>
          <w:hyperlink w:anchor="_Toc237381375" w:history="1">
            <w:r w:rsidR="00AF1739" w:rsidRPr="004126AA">
              <w:rPr>
                <w:rStyle w:val="Hyperlink"/>
                <w:rFonts w:ascii="Times New Roman" w:hAnsi="Times New Roman" w:cs="Times New Roman"/>
                <w:b/>
                <w:bCs/>
                <w:noProof/>
              </w:rPr>
              <w:t>Task 1 – Governance of AI and Machine Learning Systems: Managing Risk, Ethics, and Compliance for AI Data and Models</w:t>
            </w:r>
            <w:r w:rsidR="00AF1739">
              <w:rPr>
                <w:noProof/>
                <w:webHidden/>
              </w:rPr>
              <w:tab/>
            </w:r>
            <w:r w:rsidR="00AF1739">
              <w:rPr>
                <w:noProof/>
                <w:webHidden/>
              </w:rPr>
              <w:fldChar w:fldCharType="begin"/>
            </w:r>
            <w:r w:rsidR="00AF1739">
              <w:rPr>
                <w:noProof/>
                <w:webHidden/>
              </w:rPr>
              <w:instrText xml:space="preserve"> PAGEREF _Toc237381375 \h </w:instrText>
            </w:r>
            <w:r w:rsidR="00AF1739">
              <w:rPr>
                <w:noProof/>
                <w:webHidden/>
              </w:rPr>
            </w:r>
            <w:r w:rsidR="00AF1739">
              <w:rPr>
                <w:noProof/>
                <w:webHidden/>
              </w:rPr>
              <w:fldChar w:fldCharType="separate"/>
            </w:r>
            <w:r w:rsidR="00751348">
              <w:rPr>
                <w:noProof/>
                <w:webHidden/>
              </w:rPr>
              <w:t>2</w:t>
            </w:r>
            <w:r w:rsidR="00AF1739">
              <w:rPr>
                <w:noProof/>
                <w:webHidden/>
              </w:rPr>
              <w:fldChar w:fldCharType="end"/>
            </w:r>
          </w:hyperlink>
        </w:p>
        <w:p w14:paraId="477D5B3A" w14:textId="42FB60AA" w:rsidR="00AF1739" w:rsidRDefault="00AF1739">
          <w:pPr>
            <w:pStyle w:val="TOC1"/>
            <w:tabs>
              <w:tab w:val="right" w:leader="dot" w:pos="9016"/>
            </w:tabs>
            <w:rPr>
              <w:noProof/>
              <w:lang w:eastAsia="en-GB"/>
            </w:rPr>
          </w:pPr>
          <w:hyperlink w:anchor="_Toc237381376" w:history="1">
            <w:r w:rsidRPr="004126AA">
              <w:rPr>
                <w:rStyle w:val="Hyperlink"/>
                <w:rFonts w:ascii="Times New Roman" w:hAnsi="Times New Roman" w:cs="Times New Roman"/>
                <w:b/>
                <w:bCs/>
                <w:noProof/>
              </w:rPr>
              <w:t>1. Introduction</w:t>
            </w:r>
            <w:r>
              <w:rPr>
                <w:noProof/>
                <w:webHidden/>
              </w:rPr>
              <w:tab/>
            </w:r>
            <w:r>
              <w:rPr>
                <w:noProof/>
                <w:webHidden/>
              </w:rPr>
              <w:fldChar w:fldCharType="begin"/>
            </w:r>
            <w:r>
              <w:rPr>
                <w:noProof/>
                <w:webHidden/>
              </w:rPr>
              <w:instrText xml:space="preserve"> PAGEREF _Toc237381376 \h </w:instrText>
            </w:r>
            <w:r>
              <w:rPr>
                <w:noProof/>
                <w:webHidden/>
              </w:rPr>
            </w:r>
            <w:r>
              <w:rPr>
                <w:noProof/>
                <w:webHidden/>
              </w:rPr>
              <w:fldChar w:fldCharType="separate"/>
            </w:r>
            <w:r w:rsidR="00751348">
              <w:rPr>
                <w:noProof/>
                <w:webHidden/>
              </w:rPr>
              <w:t>2</w:t>
            </w:r>
            <w:r>
              <w:rPr>
                <w:noProof/>
                <w:webHidden/>
              </w:rPr>
              <w:fldChar w:fldCharType="end"/>
            </w:r>
          </w:hyperlink>
        </w:p>
        <w:p w14:paraId="2F21ACA5" w14:textId="728CA9B0" w:rsidR="00AF1739" w:rsidRDefault="00AF1739">
          <w:pPr>
            <w:pStyle w:val="TOC2"/>
            <w:tabs>
              <w:tab w:val="right" w:leader="dot" w:pos="9016"/>
            </w:tabs>
            <w:rPr>
              <w:noProof/>
              <w:lang w:eastAsia="en-GB"/>
            </w:rPr>
          </w:pPr>
          <w:hyperlink w:anchor="_Toc237381377" w:history="1">
            <w:r w:rsidRPr="004126AA">
              <w:rPr>
                <w:rStyle w:val="Hyperlink"/>
                <w:rFonts w:ascii="Times New Roman" w:hAnsi="Times New Roman" w:cs="Times New Roman"/>
                <w:b/>
                <w:bCs/>
                <w:noProof/>
              </w:rPr>
              <w:t>2. The AI Risk Landscape</w:t>
            </w:r>
            <w:r>
              <w:rPr>
                <w:noProof/>
                <w:webHidden/>
              </w:rPr>
              <w:tab/>
            </w:r>
            <w:r>
              <w:rPr>
                <w:noProof/>
                <w:webHidden/>
              </w:rPr>
              <w:fldChar w:fldCharType="begin"/>
            </w:r>
            <w:r>
              <w:rPr>
                <w:noProof/>
                <w:webHidden/>
              </w:rPr>
              <w:instrText xml:space="preserve"> PAGEREF _Toc237381377 \h </w:instrText>
            </w:r>
            <w:r>
              <w:rPr>
                <w:noProof/>
                <w:webHidden/>
              </w:rPr>
            </w:r>
            <w:r>
              <w:rPr>
                <w:noProof/>
                <w:webHidden/>
              </w:rPr>
              <w:fldChar w:fldCharType="separate"/>
            </w:r>
            <w:r w:rsidR="00751348">
              <w:rPr>
                <w:noProof/>
                <w:webHidden/>
              </w:rPr>
              <w:t>2</w:t>
            </w:r>
            <w:r>
              <w:rPr>
                <w:noProof/>
                <w:webHidden/>
              </w:rPr>
              <w:fldChar w:fldCharType="end"/>
            </w:r>
          </w:hyperlink>
        </w:p>
        <w:p w14:paraId="39E8F0FC" w14:textId="2D82EE1B" w:rsidR="00AF1739" w:rsidRDefault="00AF1739">
          <w:pPr>
            <w:pStyle w:val="TOC2"/>
            <w:tabs>
              <w:tab w:val="right" w:leader="dot" w:pos="9016"/>
            </w:tabs>
            <w:rPr>
              <w:noProof/>
              <w:lang w:eastAsia="en-GB"/>
            </w:rPr>
          </w:pPr>
          <w:hyperlink w:anchor="_Toc237381378" w:history="1">
            <w:r w:rsidRPr="004126AA">
              <w:rPr>
                <w:rStyle w:val="Hyperlink"/>
                <w:rFonts w:ascii="Times New Roman" w:hAnsi="Times New Roman" w:cs="Times New Roman"/>
                <w:b/>
                <w:bCs/>
                <w:noProof/>
              </w:rPr>
              <w:t>3. The Regulatory Landscape</w:t>
            </w:r>
            <w:r>
              <w:rPr>
                <w:noProof/>
                <w:webHidden/>
              </w:rPr>
              <w:tab/>
            </w:r>
            <w:r>
              <w:rPr>
                <w:noProof/>
                <w:webHidden/>
              </w:rPr>
              <w:fldChar w:fldCharType="begin"/>
            </w:r>
            <w:r>
              <w:rPr>
                <w:noProof/>
                <w:webHidden/>
              </w:rPr>
              <w:instrText xml:space="preserve"> PAGEREF _Toc237381378 \h </w:instrText>
            </w:r>
            <w:r>
              <w:rPr>
                <w:noProof/>
                <w:webHidden/>
              </w:rPr>
            </w:r>
            <w:r>
              <w:rPr>
                <w:noProof/>
                <w:webHidden/>
              </w:rPr>
              <w:fldChar w:fldCharType="separate"/>
            </w:r>
            <w:r w:rsidR="00751348">
              <w:rPr>
                <w:noProof/>
                <w:webHidden/>
              </w:rPr>
              <w:t>3</w:t>
            </w:r>
            <w:r>
              <w:rPr>
                <w:noProof/>
                <w:webHidden/>
              </w:rPr>
              <w:fldChar w:fldCharType="end"/>
            </w:r>
          </w:hyperlink>
        </w:p>
        <w:p w14:paraId="3871D27B" w14:textId="6998E32C" w:rsidR="00AF1739" w:rsidRDefault="00AF1739">
          <w:pPr>
            <w:pStyle w:val="TOC2"/>
            <w:tabs>
              <w:tab w:val="right" w:leader="dot" w:pos="9016"/>
            </w:tabs>
            <w:rPr>
              <w:noProof/>
              <w:lang w:eastAsia="en-GB"/>
            </w:rPr>
          </w:pPr>
          <w:hyperlink w:anchor="_Toc237381379" w:history="1">
            <w:r w:rsidRPr="004126AA">
              <w:rPr>
                <w:rStyle w:val="Hyperlink"/>
                <w:rFonts w:ascii="Times New Roman" w:hAnsi="Times New Roman" w:cs="Times New Roman"/>
                <w:b/>
                <w:bCs/>
                <w:noProof/>
              </w:rPr>
              <w:t>4. International Standards and Frameworks</w:t>
            </w:r>
            <w:r>
              <w:rPr>
                <w:noProof/>
                <w:webHidden/>
              </w:rPr>
              <w:tab/>
            </w:r>
            <w:r>
              <w:rPr>
                <w:noProof/>
                <w:webHidden/>
              </w:rPr>
              <w:fldChar w:fldCharType="begin"/>
            </w:r>
            <w:r>
              <w:rPr>
                <w:noProof/>
                <w:webHidden/>
              </w:rPr>
              <w:instrText xml:space="preserve"> PAGEREF _Toc237381379 \h </w:instrText>
            </w:r>
            <w:r>
              <w:rPr>
                <w:noProof/>
                <w:webHidden/>
              </w:rPr>
            </w:r>
            <w:r>
              <w:rPr>
                <w:noProof/>
                <w:webHidden/>
              </w:rPr>
              <w:fldChar w:fldCharType="separate"/>
            </w:r>
            <w:r w:rsidR="00751348">
              <w:rPr>
                <w:noProof/>
                <w:webHidden/>
              </w:rPr>
              <w:t>4</w:t>
            </w:r>
            <w:r>
              <w:rPr>
                <w:noProof/>
                <w:webHidden/>
              </w:rPr>
              <w:fldChar w:fldCharType="end"/>
            </w:r>
          </w:hyperlink>
        </w:p>
        <w:p w14:paraId="01A497D9" w14:textId="7E526264" w:rsidR="00AF1739" w:rsidRDefault="00AF1739">
          <w:pPr>
            <w:pStyle w:val="TOC2"/>
            <w:tabs>
              <w:tab w:val="right" w:leader="dot" w:pos="9016"/>
            </w:tabs>
            <w:rPr>
              <w:noProof/>
              <w:lang w:eastAsia="en-GB"/>
            </w:rPr>
          </w:pPr>
          <w:hyperlink w:anchor="_Toc237381380" w:history="1">
            <w:r w:rsidRPr="004126AA">
              <w:rPr>
                <w:rStyle w:val="Hyperlink"/>
                <w:rFonts w:ascii="Times New Roman" w:hAnsi="Times New Roman" w:cs="Times New Roman"/>
                <w:b/>
                <w:bCs/>
                <w:noProof/>
              </w:rPr>
              <w:t>5. Governance Challenges in Practice</w:t>
            </w:r>
            <w:r>
              <w:rPr>
                <w:noProof/>
                <w:webHidden/>
              </w:rPr>
              <w:tab/>
            </w:r>
            <w:r>
              <w:rPr>
                <w:noProof/>
                <w:webHidden/>
              </w:rPr>
              <w:fldChar w:fldCharType="begin"/>
            </w:r>
            <w:r>
              <w:rPr>
                <w:noProof/>
                <w:webHidden/>
              </w:rPr>
              <w:instrText xml:space="preserve"> PAGEREF _Toc237381380 \h </w:instrText>
            </w:r>
            <w:r>
              <w:rPr>
                <w:noProof/>
                <w:webHidden/>
              </w:rPr>
            </w:r>
            <w:r>
              <w:rPr>
                <w:noProof/>
                <w:webHidden/>
              </w:rPr>
              <w:fldChar w:fldCharType="separate"/>
            </w:r>
            <w:r w:rsidR="00751348">
              <w:rPr>
                <w:noProof/>
                <w:webHidden/>
              </w:rPr>
              <w:t>6</w:t>
            </w:r>
            <w:r>
              <w:rPr>
                <w:noProof/>
                <w:webHidden/>
              </w:rPr>
              <w:fldChar w:fldCharType="end"/>
            </w:r>
          </w:hyperlink>
        </w:p>
        <w:p w14:paraId="2262072C" w14:textId="3BD9446D" w:rsidR="00AF1739" w:rsidRDefault="00AF1739">
          <w:pPr>
            <w:pStyle w:val="TOC2"/>
            <w:tabs>
              <w:tab w:val="right" w:leader="dot" w:pos="9016"/>
            </w:tabs>
            <w:rPr>
              <w:noProof/>
              <w:lang w:eastAsia="en-GB"/>
            </w:rPr>
          </w:pPr>
          <w:hyperlink w:anchor="_Toc237381381" w:history="1">
            <w:r w:rsidRPr="004126AA">
              <w:rPr>
                <w:rStyle w:val="Hyperlink"/>
                <w:rFonts w:ascii="Times New Roman" w:hAnsi="Times New Roman" w:cs="Times New Roman"/>
                <w:b/>
                <w:bCs/>
                <w:noProof/>
              </w:rPr>
              <w:t>6. Building an Anticipatory, Detective, and Responsive Governance Environment</w:t>
            </w:r>
            <w:r>
              <w:rPr>
                <w:noProof/>
                <w:webHidden/>
              </w:rPr>
              <w:tab/>
            </w:r>
            <w:r>
              <w:rPr>
                <w:noProof/>
                <w:webHidden/>
              </w:rPr>
              <w:fldChar w:fldCharType="begin"/>
            </w:r>
            <w:r>
              <w:rPr>
                <w:noProof/>
                <w:webHidden/>
              </w:rPr>
              <w:instrText xml:space="preserve"> PAGEREF _Toc237381381 \h </w:instrText>
            </w:r>
            <w:r>
              <w:rPr>
                <w:noProof/>
                <w:webHidden/>
              </w:rPr>
            </w:r>
            <w:r>
              <w:rPr>
                <w:noProof/>
                <w:webHidden/>
              </w:rPr>
              <w:fldChar w:fldCharType="separate"/>
            </w:r>
            <w:r w:rsidR="00751348">
              <w:rPr>
                <w:noProof/>
                <w:webHidden/>
              </w:rPr>
              <w:t>6</w:t>
            </w:r>
            <w:r>
              <w:rPr>
                <w:noProof/>
                <w:webHidden/>
              </w:rPr>
              <w:fldChar w:fldCharType="end"/>
            </w:r>
          </w:hyperlink>
        </w:p>
        <w:p w14:paraId="25B9E453" w14:textId="68DB441C" w:rsidR="00AF1739" w:rsidRDefault="00AF1739">
          <w:pPr>
            <w:pStyle w:val="TOC1"/>
            <w:tabs>
              <w:tab w:val="right" w:leader="dot" w:pos="9016"/>
            </w:tabs>
            <w:rPr>
              <w:noProof/>
              <w:lang w:eastAsia="en-GB"/>
            </w:rPr>
          </w:pPr>
          <w:hyperlink w:anchor="_Toc237381382" w:history="1">
            <w:r w:rsidRPr="004126AA">
              <w:rPr>
                <w:rStyle w:val="Hyperlink"/>
                <w:rFonts w:ascii="Times New Roman" w:hAnsi="Times New Roman" w:cs="Times New Roman"/>
                <w:b/>
                <w:bCs/>
                <w:noProof/>
              </w:rPr>
              <w:t>Task 2 – Case Scenario: Designing a Structured Cybersecurity Programme from the Equifax Breach</w:t>
            </w:r>
            <w:r>
              <w:rPr>
                <w:noProof/>
                <w:webHidden/>
              </w:rPr>
              <w:tab/>
            </w:r>
            <w:r>
              <w:rPr>
                <w:noProof/>
                <w:webHidden/>
              </w:rPr>
              <w:fldChar w:fldCharType="begin"/>
            </w:r>
            <w:r>
              <w:rPr>
                <w:noProof/>
                <w:webHidden/>
              </w:rPr>
              <w:instrText xml:space="preserve"> PAGEREF _Toc237381382 \h </w:instrText>
            </w:r>
            <w:r>
              <w:rPr>
                <w:noProof/>
                <w:webHidden/>
              </w:rPr>
            </w:r>
            <w:r>
              <w:rPr>
                <w:noProof/>
                <w:webHidden/>
              </w:rPr>
              <w:fldChar w:fldCharType="separate"/>
            </w:r>
            <w:r w:rsidR="00751348">
              <w:rPr>
                <w:noProof/>
                <w:webHidden/>
              </w:rPr>
              <w:t>7</w:t>
            </w:r>
            <w:r>
              <w:rPr>
                <w:noProof/>
                <w:webHidden/>
              </w:rPr>
              <w:fldChar w:fldCharType="end"/>
            </w:r>
          </w:hyperlink>
        </w:p>
        <w:p w14:paraId="6779121D" w14:textId="6CA1BF62" w:rsidR="00AF1739" w:rsidRDefault="00AF1739">
          <w:pPr>
            <w:pStyle w:val="TOC2"/>
            <w:tabs>
              <w:tab w:val="right" w:leader="dot" w:pos="9016"/>
            </w:tabs>
            <w:rPr>
              <w:noProof/>
              <w:lang w:eastAsia="en-GB"/>
            </w:rPr>
          </w:pPr>
          <w:hyperlink w:anchor="_Toc237381383" w:history="1">
            <w:r w:rsidRPr="004126AA">
              <w:rPr>
                <w:rStyle w:val="Hyperlink"/>
                <w:rFonts w:ascii="Times New Roman" w:hAnsi="Times New Roman" w:cs="Times New Roman"/>
                <w:b/>
                <w:bCs/>
                <w:noProof/>
              </w:rPr>
              <w:t>1. Organisational Structure and Accountability</w:t>
            </w:r>
            <w:r>
              <w:rPr>
                <w:noProof/>
                <w:webHidden/>
              </w:rPr>
              <w:tab/>
            </w:r>
            <w:r>
              <w:rPr>
                <w:noProof/>
                <w:webHidden/>
              </w:rPr>
              <w:fldChar w:fldCharType="begin"/>
            </w:r>
            <w:r>
              <w:rPr>
                <w:noProof/>
                <w:webHidden/>
              </w:rPr>
              <w:instrText xml:space="preserve"> PAGEREF _Toc237381383 \h </w:instrText>
            </w:r>
            <w:r>
              <w:rPr>
                <w:noProof/>
                <w:webHidden/>
              </w:rPr>
            </w:r>
            <w:r>
              <w:rPr>
                <w:noProof/>
                <w:webHidden/>
              </w:rPr>
              <w:fldChar w:fldCharType="separate"/>
            </w:r>
            <w:r w:rsidR="00751348">
              <w:rPr>
                <w:noProof/>
                <w:webHidden/>
              </w:rPr>
              <w:t>8</w:t>
            </w:r>
            <w:r>
              <w:rPr>
                <w:noProof/>
                <w:webHidden/>
              </w:rPr>
              <w:fldChar w:fldCharType="end"/>
            </w:r>
          </w:hyperlink>
        </w:p>
        <w:p w14:paraId="2AB8CF72" w14:textId="45E2DE68" w:rsidR="00AF1739" w:rsidRDefault="00AF1739">
          <w:pPr>
            <w:pStyle w:val="TOC2"/>
            <w:tabs>
              <w:tab w:val="right" w:leader="dot" w:pos="9016"/>
            </w:tabs>
            <w:rPr>
              <w:noProof/>
              <w:lang w:eastAsia="en-GB"/>
            </w:rPr>
          </w:pPr>
          <w:hyperlink w:anchor="_Toc237381384" w:history="1">
            <w:r w:rsidRPr="004126AA">
              <w:rPr>
                <w:rStyle w:val="Hyperlink"/>
                <w:rFonts w:ascii="Times New Roman" w:hAnsi="Times New Roman" w:cs="Times New Roman"/>
                <w:b/>
                <w:bCs/>
                <w:noProof/>
              </w:rPr>
              <w:t>2. Policies and Procedures</w:t>
            </w:r>
            <w:r>
              <w:rPr>
                <w:noProof/>
                <w:webHidden/>
              </w:rPr>
              <w:tab/>
            </w:r>
            <w:r>
              <w:rPr>
                <w:noProof/>
                <w:webHidden/>
              </w:rPr>
              <w:fldChar w:fldCharType="begin"/>
            </w:r>
            <w:r>
              <w:rPr>
                <w:noProof/>
                <w:webHidden/>
              </w:rPr>
              <w:instrText xml:space="preserve"> PAGEREF _Toc237381384 \h </w:instrText>
            </w:r>
            <w:r>
              <w:rPr>
                <w:noProof/>
                <w:webHidden/>
              </w:rPr>
            </w:r>
            <w:r>
              <w:rPr>
                <w:noProof/>
                <w:webHidden/>
              </w:rPr>
              <w:fldChar w:fldCharType="separate"/>
            </w:r>
            <w:r w:rsidR="00751348">
              <w:rPr>
                <w:noProof/>
                <w:webHidden/>
              </w:rPr>
              <w:t>9</w:t>
            </w:r>
            <w:r>
              <w:rPr>
                <w:noProof/>
                <w:webHidden/>
              </w:rPr>
              <w:fldChar w:fldCharType="end"/>
            </w:r>
          </w:hyperlink>
        </w:p>
        <w:p w14:paraId="0EFB0F99" w14:textId="2EA84787" w:rsidR="00AF1739" w:rsidRDefault="00AF1739">
          <w:pPr>
            <w:pStyle w:val="TOC2"/>
            <w:tabs>
              <w:tab w:val="right" w:leader="dot" w:pos="9016"/>
            </w:tabs>
            <w:rPr>
              <w:noProof/>
              <w:lang w:eastAsia="en-GB"/>
            </w:rPr>
          </w:pPr>
          <w:hyperlink w:anchor="_Toc237381385" w:history="1">
            <w:r w:rsidRPr="004126AA">
              <w:rPr>
                <w:rStyle w:val="Hyperlink"/>
                <w:rFonts w:ascii="Times New Roman" w:hAnsi="Times New Roman" w:cs="Times New Roman"/>
                <w:b/>
                <w:bCs/>
                <w:noProof/>
              </w:rPr>
              <w:t>3. Governance and Strategic Alignment</w:t>
            </w:r>
            <w:r>
              <w:rPr>
                <w:noProof/>
                <w:webHidden/>
              </w:rPr>
              <w:tab/>
            </w:r>
            <w:r>
              <w:rPr>
                <w:noProof/>
                <w:webHidden/>
              </w:rPr>
              <w:fldChar w:fldCharType="begin"/>
            </w:r>
            <w:r>
              <w:rPr>
                <w:noProof/>
                <w:webHidden/>
              </w:rPr>
              <w:instrText xml:space="preserve"> PAGEREF _Toc237381385 \h </w:instrText>
            </w:r>
            <w:r>
              <w:rPr>
                <w:noProof/>
                <w:webHidden/>
              </w:rPr>
            </w:r>
            <w:r>
              <w:rPr>
                <w:noProof/>
                <w:webHidden/>
              </w:rPr>
              <w:fldChar w:fldCharType="separate"/>
            </w:r>
            <w:r w:rsidR="00751348">
              <w:rPr>
                <w:noProof/>
                <w:webHidden/>
              </w:rPr>
              <w:t>10</w:t>
            </w:r>
            <w:r>
              <w:rPr>
                <w:noProof/>
                <w:webHidden/>
              </w:rPr>
              <w:fldChar w:fldCharType="end"/>
            </w:r>
          </w:hyperlink>
        </w:p>
        <w:p w14:paraId="5092297D" w14:textId="32C4C02B" w:rsidR="00AF1739" w:rsidRDefault="00AF1739">
          <w:pPr>
            <w:pStyle w:val="TOC2"/>
            <w:tabs>
              <w:tab w:val="right" w:leader="dot" w:pos="9016"/>
            </w:tabs>
            <w:rPr>
              <w:noProof/>
              <w:lang w:eastAsia="en-GB"/>
            </w:rPr>
          </w:pPr>
          <w:hyperlink w:anchor="_Toc237381386" w:history="1">
            <w:r w:rsidRPr="004126AA">
              <w:rPr>
                <w:rStyle w:val="Hyperlink"/>
                <w:rFonts w:ascii="Times New Roman" w:hAnsi="Times New Roman" w:cs="Times New Roman"/>
                <w:b/>
                <w:bCs/>
                <w:noProof/>
              </w:rPr>
              <w:t>4. Risk Management and Assessment</w:t>
            </w:r>
            <w:r>
              <w:rPr>
                <w:noProof/>
                <w:webHidden/>
              </w:rPr>
              <w:tab/>
            </w:r>
            <w:r>
              <w:rPr>
                <w:noProof/>
                <w:webHidden/>
              </w:rPr>
              <w:fldChar w:fldCharType="begin"/>
            </w:r>
            <w:r>
              <w:rPr>
                <w:noProof/>
                <w:webHidden/>
              </w:rPr>
              <w:instrText xml:space="preserve"> PAGEREF _Toc237381386 \h </w:instrText>
            </w:r>
            <w:r>
              <w:rPr>
                <w:noProof/>
                <w:webHidden/>
              </w:rPr>
            </w:r>
            <w:r>
              <w:rPr>
                <w:noProof/>
                <w:webHidden/>
              </w:rPr>
              <w:fldChar w:fldCharType="separate"/>
            </w:r>
            <w:r w:rsidR="00751348">
              <w:rPr>
                <w:noProof/>
                <w:webHidden/>
              </w:rPr>
              <w:t>11</w:t>
            </w:r>
            <w:r>
              <w:rPr>
                <w:noProof/>
                <w:webHidden/>
              </w:rPr>
              <w:fldChar w:fldCharType="end"/>
            </w:r>
          </w:hyperlink>
        </w:p>
        <w:p w14:paraId="124E7023" w14:textId="2ABA33D8" w:rsidR="00AF1739" w:rsidRDefault="00AF1739">
          <w:pPr>
            <w:pStyle w:val="TOC2"/>
            <w:tabs>
              <w:tab w:val="right" w:leader="dot" w:pos="9016"/>
            </w:tabs>
            <w:rPr>
              <w:noProof/>
              <w:lang w:eastAsia="en-GB"/>
            </w:rPr>
          </w:pPr>
          <w:hyperlink w:anchor="_Toc237381387" w:history="1">
            <w:r w:rsidRPr="004126AA">
              <w:rPr>
                <w:rStyle w:val="Hyperlink"/>
                <w:rFonts w:ascii="Times New Roman" w:hAnsi="Times New Roman" w:cs="Times New Roman"/>
                <w:b/>
                <w:bCs/>
                <w:noProof/>
              </w:rPr>
              <w:t>5. Compliance, Incident Response, and Protection Controls</w:t>
            </w:r>
            <w:r>
              <w:rPr>
                <w:noProof/>
                <w:webHidden/>
              </w:rPr>
              <w:tab/>
            </w:r>
            <w:r>
              <w:rPr>
                <w:noProof/>
                <w:webHidden/>
              </w:rPr>
              <w:fldChar w:fldCharType="begin"/>
            </w:r>
            <w:r>
              <w:rPr>
                <w:noProof/>
                <w:webHidden/>
              </w:rPr>
              <w:instrText xml:space="preserve"> PAGEREF _Toc237381387 \h </w:instrText>
            </w:r>
            <w:r>
              <w:rPr>
                <w:noProof/>
                <w:webHidden/>
              </w:rPr>
            </w:r>
            <w:r>
              <w:rPr>
                <w:noProof/>
                <w:webHidden/>
              </w:rPr>
              <w:fldChar w:fldCharType="separate"/>
            </w:r>
            <w:r w:rsidR="00751348">
              <w:rPr>
                <w:noProof/>
                <w:webHidden/>
              </w:rPr>
              <w:t>13</w:t>
            </w:r>
            <w:r>
              <w:rPr>
                <w:noProof/>
                <w:webHidden/>
              </w:rPr>
              <w:fldChar w:fldCharType="end"/>
            </w:r>
          </w:hyperlink>
        </w:p>
        <w:p w14:paraId="6630AC61" w14:textId="40D77512" w:rsidR="00AF1739" w:rsidRDefault="00AF1739">
          <w:pPr>
            <w:pStyle w:val="TOC1"/>
            <w:tabs>
              <w:tab w:val="right" w:leader="dot" w:pos="9016"/>
            </w:tabs>
            <w:rPr>
              <w:noProof/>
              <w:lang w:eastAsia="en-GB"/>
            </w:rPr>
          </w:pPr>
          <w:hyperlink w:anchor="_Toc237381388" w:history="1">
            <w:r w:rsidRPr="004126AA">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_Toc237381388 \h </w:instrText>
            </w:r>
            <w:r>
              <w:rPr>
                <w:noProof/>
                <w:webHidden/>
              </w:rPr>
            </w:r>
            <w:r>
              <w:rPr>
                <w:noProof/>
                <w:webHidden/>
              </w:rPr>
              <w:fldChar w:fldCharType="separate"/>
            </w:r>
            <w:r w:rsidR="00751348">
              <w:rPr>
                <w:noProof/>
                <w:webHidden/>
              </w:rPr>
              <w:t>16</w:t>
            </w:r>
            <w:r>
              <w:rPr>
                <w:noProof/>
                <w:webHidden/>
              </w:rPr>
              <w:fldChar w:fldCharType="end"/>
            </w:r>
          </w:hyperlink>
        </w:p>
        <w:p w14:paraId="7451F1E2" w14:textId="045730F1" w:rsidR="00AF1739" w:rsidRDefault="00AF1739">
          <w:pPr>
            <w:pStyle w:val="TOC1"/>
            <w:tabs>
              <w:tab w:val="right" w:leader="dot" w:pos="9016"/>
            </w:tabs>
            <w:rPr>
              <w:noProof/>
              <w:lang w:eastAsia="en-GB"/>
            </w:rPr>
          </w:pPr>
          <w:hyperlink w:anchor="_Toc237381389" w:history="1">
            <w:r w:rsidRPr="004126AA">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_Toc237381389 \h </w:instrText>
            </w:r>
            <w:r>
              <w:rPr>
                <w:noProof/>
                <w:webHidden/>
              </w:rPr>
            </w:r>
            <w:r>
              <w:rPr>
                <w:noProof/>
                <w:webHidden/>
              </w:rPr>
              <w:fldChar w:fldCharType="separate"/>
            </w:r>
            <w:r w:rsidR="00751348">
              <w:rPr>
                <w:noProof/>
                <w:webHidden/>
              </w:rPr>
              <w:t>17</w:t>
            </w:r>
            <w:r>
              <w:rPr>
                <w:noProof/>
                <w:webHidden/>
              </w:rPr>
              <w:fldChar w:fldCharType="end"/>
            </w:r>
          </w:hyperlink>
        </w:p>
        <w:p w14:paraId="10BDC9C9" w14:textId="06B9537B" w:rsidR="00A4491B" w:rsidRPr="00D24A82" w:rsidRDefault="00A4491B">
          <w:pPr>
            <w:rPr>
              <w:rFonts w:ascii="Times New Roman" w:hAnsi="Times New Roman" w:cs="Times New Roman"/>
              <w:sz w:val="28"/>
              <w:szCs w:val="28"/>
            </w:rPr>
          </w:pPr>
          <w:r w:rsidRPr="00D24A82">
            <w:rPr>
              <w:rFonts w:ascii="Times New Roman" w:hAnsi="Times New Roman" w:cs="Times New Roman"/>
              <w:b/>
              <w:bCs/>
              <w:noProof/>
              <w:sz w:val="28"/>
              <w:szCs w:val="28"/>
            </w:rPr>
            <w:fldChar w:fldCharType="end"/>
          </w:r>
        </w:p>
      </w:sdtContent>
    </w:sdt>
    <w:p w14:paraId="6B4FD32A" w14:textId="77777777" w:rsidR="00BA7954" w:rsidRPr="00D24A82" w:rsidRDefault="00BA7954" w:rsidP="008C5C46">
      <w:pPr>
        <w:tabs>
          <w:tab w:val="left" w:pos="1471"/>
        </w:tabs>
        <w:jc w:val="both"/>
        <w:rPr>
          <w:rFonts w:ascii="Times New Roman" w:hAnsi="Times New Roman" w:cs="Times New Roman"/>
          <w:lang w:val="en-US"/>
        </w:rPr>
      </w:pPr>
    </w:p>
    <w:p w14:paraId="163EAD7C" w14:textId="77777777" w:rsidR="00BA7954" w:rsidRPr="00D24A82" w:rsidRDefault="00BA7954" w:rsidP="008C5C46">
      <w:pPr>
        <w:tabs>
          <w:tab w:val="left" w:pos="1471"/>
        </w:tabs>
        <w:jc w:val="both"/>
        <w:rPr>
          <w:rFonts w:ascii="Times New Roman" w:hAnsi="Times New Roman" w:cs="Times New Roman"/>
          <w:lang w:val="en-US"/>
        </w:rPr>
      </w:pPr>
    </w:p>
    <w:p w14:paraId="6CC064F5" w14:textId="77777777" w:rsidR="00BA7954" w:rsidRPr="00D24A82" w:rsidRDefault="00BA7954" w:rsidP="008C5C46">
      <w:pPr>
        <w:tabs>
          <w:tab w:val="left" w:pos="1471"/>
        </w:tabs>
        <w:jc w:val="both"/>
        <w:rPr>
          <w:rFonts w:ascii="Times New Roman" w:hAnsi="Times New Roman" w:cs="Times New Roman"/>
          <w:lang w:val="en-US"/>
        </w:rPr>
      </w:pPr>
    </w:p>
    <w:p w14:paraId="64BB12D0" w14:textId="77777777" w:rsidR="00BA7954" w:rsidRPr="00D24A82" w:rsidRDefault="00BA7954" w:rsidP="008C5C46">
      <w:pPr>
        <w:tabs>
          <w:tab w:val="left" w:pos="1471"/>
        </w:tabs>
        <w:jc w:val="both"/>
        <w:rPr>
          <w:rFonts w:ascii="Times New Roman" w:hAnsi="Times New Roman" w:cs="Times New Roman"/>
          <w:lang w:val="en-US"/>
        </w:rPr>
      </w:pPr>
    </w:p>
    <w:p w14:paraId="24C98B2B" w14:textId="77777777" w:rsidR="00BA7954" w:rsidRPr="00D24A82" w:rsidRDefault="00BA7954" w:rsidP="008C5C46">
      <w:pPr>
        <w:tabs>
          <w:tab w:val="left" w:pos="1471"/>
        </w:tabs>
        <w:jc w:val="both"/>
        <w:rPr>
          <w:rFonts w:ascii="Times New Roman" w:hAnsi="Times New Roman" w:cs="Times New Roman"/>
          <w:lang w:val="en-US"/>
        </w:rPr>
      </w:pPr>
    </w:p>
    <w:p w14:paraId="2EB2FE7A" w14:textId="77777777" w:rsidR="00BA7954" w:rsidRPr="00D24A82" w:rsidRDefault="00BA7954" w:rsidP="008C5C46">
      <w:pPr>
        <w:tabs>
          <w:tab w:val="left" w:pos="1471"/>
        </w:tabs>
        <w:jc w:val="both"/>
        <w:rPr>
          <w:rFonts w:ascii="Times New Roman" w:hAnsi="Times New Roman" w:cs="Times New Roman"/>
          <w:lang w:val="en-US"/>
        </w:rPr>
      </w:pPr>
    </w:p>
    <w:p w14:paraId="61D7B41B" w14:textId="77777777" w:rsidR="00BA7954" w:rsidRPr="00D24A82" w:rsidRDefault="00BA7954" w:rsidP="008C5C46">
      <w:pPr>
        <w:tabs>
          <w:tab w:val="left" w:pos="1471"/>
        </w:tabs>
        <w:jc w:val="both"/>
        <w:rPr>
          <w:rFonts w:ascii="Times New Roman" w:hAnsi="Times New Roman" w:cs="Times New Roman"/>
          <w:lang w:val="en-US"/>
        </w:rPr>
      </w:pPr>
    </w:p>
    <w:p w14:paraId="532D9874" w14:textId="77777777" w:rsidR="00BA7954" w:rsidRPr="00D24A82" w:rsidRDefault="00BA7954" w:rsidP="008C5C46">
      <w:pPr>
        <w:tabs>
          <w:tab w:val="left" w:pos="1471"/>
        </w:tabs>
        <w:jc w:val="both"/>
        <w:rPr>
          <w:rFonts w:ascii="Times New Roman" w:hAnsi="Times New Roman" w:cs="Times New Roman"/>
          <w:lang w:val="en-US"/>
        </w:rPr>
      </w:pPr>
    </w:p>
    <w:p w14:paraId="0910997C" w14:textId="77777777" w:rsidR="00BA7954" w:rsidRPr="00D24A82" w:rsidRDefault="00BA7954" w:rsidP="008C5C46">
      <w:pPr>
        <w:tabs>
          <w:tab w:val="left" w:pos="1471"/>
        </w:tabs>
        <w:jc w:val="both"/>
        <w:rPr>
          <w:rFonts w:ascii="Times New Roman" w:hAnsi="Times New Roman" w:cs="Times New Roman"/>
          <w:lang w:val="en-US"/>
        </w:rPr>
      </w:pPr>
    </w:p>
    <w:p w14:paraId="7D102246" w14:textId="77777777" w:rsidR="004868A8" w:rsidRPr="00D24A82" w:rsidRDefault="004868A8" w:rsidP="00AA7B0D">
      <w:pPr>
        <w:pStyle w:val="Heading1"/>
        <w:jc w:val="center"/>
        <w:rPr>
          <w:rFonts w:ascii="Times New Roman" w:hAnsi="Times New Roman" w:cs="Times New Roman"/>
          <w:b/>
          <w:bCs/>
        </w:rPr>
      </w:pPr>
      <w:bookmarkStart w:id="0" w:name="_Toc237381375"/>
      <w:r w:rsidRPr="00D24A82">
        <w:rPr>
          <w:rFonts w:ascii="Times New Roman" w:hAnsi="Times New Roman" w:cs="Times New Roman"/>
          <w:b/>
          <w:bCs/>
          <w:color w:val="auto"/>
        </w:rPr>
        <w:lastRenderedPageBreak/>
        <w:t>Task 1 – Governance of AI and Machine Learning Systems: Managing Risk, Ethics, and Compliance for AI Data and Models</w:t>
      </w:r>
      <w:bookmarkEnd w:id="0"/>
    </w:p>
    <w:p w14:paraId="6EFFC951" w14:textId="77777777" w:rsidR="004868A8" w:rsidRPr="00D24A82" w:rsidRDefault="004868A8" w:rsidP="00AA7B0D">
      <w:pPr>
        <w:pStyle w:val="Heading1"/>
        <w:jc w:val="center"/>
        <w:rPr>
          <w:rFonts w:ascii="Times New Roman" w:hAnsi="Times New Roman" w:cs="Times New Roman"/>
          <w:b/>
          <w:bCs/>
          <w:color w:val="auto"/>
        </w:rPr>
      </w:pPr>
      <w:bookmarkStart w:id="1" w:name="_Toc237381376"/>
      <w:r w:rsidRPr="00D24A82">
        <w:rPr>
          <w:rFonts w:ascii="Times New Roman" w:hAnsi="Times New Roman" w:cs="Times New Roman"/>
          <w:b/>
          <w:bCs/>
          <w:color w:val="auto"/>
        </w:rPr>
        <w:t>1. Introduction</w:t>
      </w:r>
      <w:bookmarkEnd w:id="1"/>
    </w:p>
    <w:p w14:paraId="65DB2C39" w14:textId="77777777" w:rsidR="004868A8" w:rsidRPr="00D24A82" w:rsidRDefault="004868A8" w:rsidP="00AA7B0D">
      <w:pPr>
        <w:spacing w:line="360" w:lineRule="auto"/>
        <w:jc w:val="both"/>
        <w:rPr>
          <w:rFonts w:ascii="Times New Roman" w:hAnsi="Times New Roman" w:cs="Times New Roman"/>
        </w:rPr>
      </w:pPr>
      <w:r w:rsidRPr="00D24A82">
        <w:rPr>
          <w:rFonts w:ascii="Times New Roman" w:hAnsi="Times New Roman" w:cs="Times New Roman"/>
        </w:rPr>
        <w:t xml:space="preserve">AI and machine learning are no longer confined to research labs or a handful of tech companies. Banks use them to decide who gets a loan, hospitals use them to flag patients at risk, and most large organisations now run some form of automated decision-making without most customers ever knowing a model was involved. This changes what it </w:t>
      </w:r>
      <w:proofErr w:type="gramStart"/>
      <w:r w:rsidRPr="00D24A82">
        <w:rPr>
          <w:rFonts w:ascii="Times New Roman" w:hAnsi="Times New Roman" w:cs="Times New Roman"/>
        </w:rPr>
        <w:t>actually means</w:t>
      </w:r>
      <w:proofErr w:type="gramEnd"/>
      <w:r w:rsidRPr="00D24A82">
        <w:rPr>
          <w:rFonts w:ascii="Times New Roman" w:hAnsi="Times New Roman" w:cs="Times New Roman"/>
        </w:rPr>
        <w:t xml:space="preserve"> to defend an organisation's information assets. Protecting data at rest and in transit is no longer enough, because the training data, the model itself, and the decisions the model produces are all now things that can be attacked, misused, or simply get something badly wrong. If any of that goes unmanaged, the damage can happen well before it ever looks like a conventional security incident.</w:t>
      </w:r>
    </w:p>
    <w:p w14:paraId="243C7408" w14:textId="77777777" w:rsidR="004868A8" w:rsidRPr="00D24A82" w:rsidRDefault="004868A8" w:rsidP="00AA7B0D">
      <w:pPr>
        <w:spacing w:line="360" w:lineRule="auto"/>
        <w:jc w:val="both"/>
        <w:rPr>
          <w:rFonts w:ascii="Times New Roman" w:hAnsi="Times New Roman" w:cs="Times New Roman"/>
        </w:rPr>
      </w:pPr>
      <w:r w:rsidRPr="00D24A82">
        <w:rPr>
          <w:rFonts w:ascii="Times New Roman" w:hAnsi="Times New Roman" w:cs="Times New Roman"/>
        </w:rPr>
        <w:t xml:space="preserve">Governance is what is supposed to catch this. Not a single tool or a checklist, but the combination of who is accountable for a given AI system, what rules that system </w:t>
      </w:r>
      <w:proofErr w:type="gramStart"/>
      <w:r w:rsidRPr="00D24A82">
        <w:rPr>
          <w:rFonts w:ascii="Times New Roman" w:hAnsi="Times New Roman" w:cs="Times New Roman"/>
        </w:rPr>
        <w:t>has to</w:t>
      </w:r>
      <w:proofErr w:type="gramEnd"/>
      <w:r w:rsidRPr="00D24A82">
        <w:rPr>
          <w:rFonts w:ascii="Times New Roman" w:hAnsi="Times New Roman" w:cs="Times New Roman"/>
        </w:rPr>
        <w:t xml:space="preserve"> follow, and how the organisation can </w:t>
      </w:r>
      <w:proofErr w:type="gramStart"/>
      <w:r w:rsidRPr="00D24A82">
        <w:rPr>
          <w:rFonts w:ascii="Times New Roman" w:hAnsi="Times New Roman" w:cs="Times New Roman"/>
        </w:rPr>
        <w:t>actually prove</w:t>
      </w:r>
      <w:proofErr w:type="gramEnd"/>
      <w:r w:rsidRPr="00D24A82">
        <w:rPr>
          <w:rFonts w:ascii="Times New Roman" w:hAnsi="Times New Roman" w:cs="Times New Roman"/>
        </w:rPr>
        <w:t xml:space="preserve"> those rules are being followed and not just written down somewhere. This paper looks at how an organisation can build that kind of environment, one that anticipates AI risk before it materialises, detects it when things go wrong, and responds automatically rather than depending on someone noticing in time. The sections that follow work through the current regulatory picture, the main international standards available to structure AI governance in practice, the problems organisations tend to run into when they try to apply this at scale, and finally a practical model for pulling </w:t>
      </w:r>
      <w:proofErr w:type="gramStart"/>
      <w:r w:rsidRPr="00D24A82">
        <w:rPr>
          <w:rFonts w:ascii="Times New Roman" w:hAnsi="Times New Roman" w:cs="Times New Roman"/>
        </w:rPr>
        <w:t>all of</w:t>
      </w:r>
      <w:proofErr w:type="gramEnd"/>
      <w:r w:rsidRPr="00D24A82">
        <w:rPr>
          <w:rFonts w:ascii="Times New Roman" w:hAnsi="Times New Roman" w:cs="Times New Roman"/>
        </w:rPr>
        <w:t xml:space="preserve"> this together.</w:t>
      </w:r>
    </w:p>
    <w:p w14:paraId="05EA45E3" w14:textId="35BF0449" w:rsidR="00BA7954" w:rsidRPr="00D24A82" w:rsidRDefault="00BA7954" w:rsidP="00AA7B0D">
      <w:pPr>
        <w:spacing w:line="360" w:lineRule="auto"/>
        <w:jc w:val="both"/>
        <w:rPr>
          <w:rFonts w:ascii="Times New Roman" w:hAnsi="Times New Roman" w:cs="Times New Roman"/>
        </w:rPr>
      </w:pPr>
    </w:p>
    <w:p w14:paraId="2FFCC24D" w14:textId="77777777" w:rsidR="004868A8" w:rsidRPr="00D24A82" w:rsidRDefault="004868A8" w:rsidP="00AA7B0D">
      <w:pPr>
        <w:pStyle w:val="Heading2"/>
        <w:spacing w:line="360" w:lineRule="auto"/>
        <w:jc w:val="both"/>
        <w:rPr>
          <w:rFonts w:ascii="Times New Roman" w:hAnsi="Times New Roman" w:cs="Times New Roman"/>
          <w:b/>
          <w:bCs/>
          <w:color w:val="auto"/>
        </w:rPr>
      </w:pPr>
      <w:bookmarkStart w:id="2" w:name="_Toc237381377"/>
      <w:r w:rsidRPr="00D24A82">
        <w:rPr>
          <w:rFonts w:ascii="Times New Roman" w:hAnsi="Times New Roman" w:cs="Times New Roman"/>
          <w:b/>
          <w:bCs/>
          <w:color w:val="auto"/>
        </w:rPr>
        <w:t>2. The AI Risk Landscape</w:t>
      </w:r>
      <w:bookmarkEnd w:id="2"/>
    </w:p>
    <w:p w14:paraId="0EB6E289" w14:textId="32EE564B" w:rsidR="004868A8" w:rsidRPr="00D24A82" w:rsidRDefault="004868A8" w:rsidP="00AA7B0D">
      <w:pPr>
        <w:spacing w:line="360" w:lineRule="auto"/>
        <w:jc w:val="both"/>
        <w:rPr>
          <w:rFonts w:ascii="Times New Roman" w:hAnsi="Times New Roman" w:cs="Times New Roman"/>
        </w:rPr>
      </w:pPr>
      <w:r w:rsidRPr="00D24A82">
        <w:rPr>
          <w:rFonts w:ascii="Times New Roman" w:hAnsi="Times New Roman" w:cs="Times New Roman"/>
        </w:rPr>
        <w:t xml:space="preserve">Risk in an AI system does not sit in one place; it is distributed across the data, the model, and the surrounding operational environment. At the data layer, organisations face poisoning of training data, unclear data provenance, and the risk that sensitive personal information is absorbed into a model and later reproduced. At the model layer, risk takes the form of bias inherited from historical data, inaccurate or fabricated outputs, and adversarial manipulation designed to force a model into an unsafe response. At the operational layer, the fastest-growing risk is what practitioners term shadow AI, where staff adopt unsanctioned generative tools </w:t>
      </w:r>
      <w:r w:rsidRPr="00D24A82">
        <w:rPr>
          <w:rFonts w:ascii="Times New Roman" w:hAnsi="Times New Roman" w:cs="Times New Roman"/>
        </w:rPr>
        <w:lastRenderedPageBreak/>
        <w:t xml:space="preserve">outside any approved inventory. Recent industry reporting indicates that the volume of corporate data flowing into AI tools rose sharply between 2023 and 2024, with the proportion of that data classed as sensitive nearly tripling over the same period. A further study found that a fifth of organisations experiencing a breach traced it to shadow AI, and that these incidents were markedly more costly than an average breach </w:t>
      </w:r>
      <w:sdt>
        <w:sdtPr>
          <w:rPr>
            <w:rFonts w:ascii="Times New Roman" w:hAnsi="Times New Roman" w:cs="Times New Roman"/>
            <w:color w:val="000000"/>
            <w:highlight w:val="white"/>
          </w:rPr>
          <w:alias w:val="Citation"/>
          <w:tag w:val="{&quot;referencesIds&quot;:[&quot;doc:6a7bc9efcf042f25e9d27cd2&quot;],&quot;referencesOptions&quot;:{&quot;doc:6a7bc9efcf042f25e9d27c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2186969,&quot;citationText&quot;:&quot;&lt;span style=\&quot;font-family:Times New Roman;font-size:16px;color:#000000\&quot;&gt;[1]&lt;/span&gt;&quot;}"/>
          <w:id w:val="-1462186969"/>
          <w:placeholder>
            <w:docPart w:val="39E5140C034F4FFBBD494CE1600C3000"/>
          </w:placeholder>
        </w:sdtPr>
        <w:sdtEndPr/>
        <w:sdtContent>
          <w:r w:rsidR="00E02F36">
            <w:rPr>
              <w:rFonts w:eastAsia="Times New Roman"/>
              <w:color w:val="000000"/>
            </w:rPr>
            <w:t>[1]</w:t>
          </w:r>
        </w:sdtContent>
      </w:sdt>
      <w:r w:rsidRPr="00D24A82">
        <w:rPr>
          <w:rFonts w:ascii="Times New Roman" w:hAnsi="Times New Roman" w:cs="Times New Roman"/>
        </w:rPr>
        <w:t>.</w:t>
      </w:r>
    </w:p>
    <w:p w14:paraId="191D5E17" w14:textId="77777777" w:rsidR="004868A8" w:rsidRPr="00D24A82" w:rsidRDefault="004868A8" w:rsidP="00AA7B0D">
      <w:pPr>
        <w:spacing w:line="360" w:lineRule="auto"/>
        <w:jc w:val="both"/>
        <w:rPr>
          <w:rFonts w:ascii="Times New Roman" w:hAnsi="Times New Roman" w:cs="Times New Roman"/>
        </w:rPr>
      </w:pPr>
      <w:r w:rsidRPr="00D24A82">
        <w:rPr>
          <w:rFonts w:ascii="Times New Roman" w:hAnsi="Times New Roman" w:cs="Times New Roman"/>
        </w:rPr>
        <w:t xml:space="preserve">Finally, organisations face supply-chain and accountability risk: most production AI systems are not built entirely in-house but depend on third-party foundation models, open-source libraries, and external datasets, and the internal logic of a trained model is frequently opaque even to the team that deployed it. Because none of these risk categories is purely technical, effective governance </w:t>
      </w:r>
      <w:proofErr w:type="gramStart"/>
      <w:r w:rsidRPr="00D24A82">
        <w:rPr>
          <w:rFonts w:ascii="Times New Roman" w:hAnsi="Times New Roman" w:cs="Times New Roman"/>
        </w:rPr>
        <w:t>has to</w:t>
      </w:r>
      <w:proofErr w:type="gramEnd"/>
      <w:r w:rsidRPr="00D24A82">
        <w:rPr>
          <w:rFonts w:ascii="Times New Roman" w:hAnsi="Times New Roman" w:cs="Times New Roman"/>
        </w:rPr>
        <w:t xml:space="preserve"> combine legal, ethical, and engineering controls rather than relying on any single discipline.</w:t>
      </w:r>
    </w:p>
    <w:p w14:paraId="16AF544D" w14:textId="77777777" w:rsidR="004868A8" w:rsidRPr="00D24A82" w:rsidRDefault="004868A8" w:rsidP="00AA7B0D">
      <w:pPr>
        <w:spacing w:line="360" w:lineRule="auto"/>
        <w:jc w:val="both"/>
        <w:rPr>
          <w:rFonts w:ascii="Times New Roman" w:hAnsi="Times New Roman" w:cs="Times New Roman"/>
        </w:rPr>
      </w:pPr>
      <w:r w:rsidRPr="00D24A82">
        <w:rPr>
          <w:rFonts w:ascii="Times New Roman" w:hAnsi="Times New Roman" w:cs="Times New Roman"/>
        </w:rPr>
        <w:t>These categories rarely occur in isolation. A single deployed system, such as an automated credit-scoring model, typically carries data risk from the historical records it was trained on, model risk from the statistical patterns it has learned, and accountability risk from the fact that a customer refused a service has a legal right to a meaningful explanation. Treating these as one combined risk profile, rather than three separate reviews conducted by three separate teams, is what allows an organisation to prioritise mitigation effort where it will have the greatest effect, instead of exhausting resources on the risk category that happens to be easiest to measure.</w:t>
      </w:r>
    </w:p>
    <w:p w14:paraId="11444D16" w14:textId="77777777" w:rsidR="004868A8" w:rsidRPr="00D24A82" w:rsidRDefault="004868A8" w:rsidP="00AA7B0D">
      <w:pPr>
        <w:spacing w:line="360" w:lineRule="auto"/>
        <w:jc w:val="both"/>
        <w:rPr>
          <w:rFonts w:ascii="Times New Roman" w:hAnsi="Times New Roman" w:cs="Times New Roman"/>
        </w:rPr>
      </w:pPr>
    </w:p>
    <w:p w14:paraId="2543BB9C" w14:textId="77777777" w:rsidR="0038404A" w:rsidRPr="00D24A82" w:rsidRDefault="0038404A" w:rsidP="00AA7B0D">
      <w:pPr>
        <w:pStyle w:val="Heading2"/>
        <w:spacing w:line="360" w:lineRule="auto"/>
        <w:jc w:val="both"/>
        <w:rPr>
          <w:rFonts w:ascii="Times New Roman" w:hAnsi="Times New Roman" w:cs="Times New Roman"/>
          <w:b/>
          <w:bCs/>
          <w:color w:val="auto"/>
        </w:rPr>
      </w:pPr>
      <w:bookmarkStart w:id="3" w:name="_Toc237381378"/>
      <w:r w:rsidRPr="00D24A82">
        <w:rPr>
          <w:rFonts w:ascii="Times New Roman" w:hAnsi="Times New Roman" w:cs="Times New Roman"/>
          <w:b/>
          <w:bCs/>
          <w:color w:val="auto"/>
        </w:rPr>
        <w:t>3. The Regulatory Landscape</w:t>
      </w:r>
      <w:bookmarkEnd w:id="3"/>
    </w:p>
    <w:p w14:paraId="32810360" w14:textId="032D357F" w:rsidR="0038404A" w:rsidRPr="00D24A82" w:rsidRDefault="0038404A" w:rsidP="00AA7B0D">
      <w:pPr>
        <w:spacing w:line="360" w:lineRule="auto"/>
        <w:jc w:val="both"/>
        <w:rPr>
          <w:rFonts w:ascii="Times New Roman" w:hAnsi="Times New Roman" w:cs="Times New Roman"/>
        </w:rPr>
      </w:pPr>
      <w:r w:rsidRPr="00D24A82">
        <w:rPr>
          <w:rFonts w:ascii="Times New Roman" w:hAnsi="Times New Roman" w:cs="Times New Roman"/>
        </w:rPr>
        <w:t xml:space="preserve">The most consequential development in AI regulation is the European Union Artificial Intelligence Act, which entered into force on 1 August 2024 as the first comprehensive, cross-sectoral legal framework for AI </w:t>
      </w:r>
      <w:sdt>
        <w:sdtPr>
          <w:rPr>
            <w:rFonts w:ascii="Times New Roman" w:hAnsi="Times New Roman" w:cs="Times New Roman"/>
            <w:color w:val="000000"/>
            <w:highlight w:val="white"/>
          </w:rPr>
          <w:alias w:val="Citation"/>
          <w:tag w:val="{&quot;referencesIds&quot;:[&quot;doc:6a7bca10d52a4551f0138295&quot;],&quot;referencesOptions&quot;:{&quot;doc:6a7bca10d52a4551f01382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165234,&quot;citationText&quot;:&quot;&lt;span style=\&quot;font-family:Times New Roman;font-size:16px;color:#000000\&quot;&gt;[2]&lt;/span&gt;&quot;}"/>
          <w:id w:val="1000165234"/>
          <w:placeholder>
            <w:docPart w:val="E88FD86EE926416C8D62EF7DCA73F8E3"/>
          </w:placeholder>
        </w:sdtPr>
        <w:sdtEndPr/>
        <w:sdtContent>
          <w:r w:rsidR="00E02F36">
            <w:rPr>
              <w:rFonts w:eastAsia="Times New Roman"/>
              <w:color w:val="000000"/>
            </w:rPr>
            <w:t>[2]</w:t>
          </w:r>
        </w:sdtContent>
      </w:sdt>
      <w:r w:rsidRPr="00D24A82">
        <w:rPr>
          <w:rFonts w:ascii="Times New Roman" w:hAnsi="Times New Roman" w:cs="Times New Roman"/>
        </w:rPr>
        <w:t xml:space="preserve">. Rather than regulating AI uniformly, the Act adopts a tiered, risk-based structure: unacceptable-risk practices such as social scoring are prohibited outright; high-risk systems used in areas such as credit scoring, employment, and critical infrastructure face extensive obligations covering risk management, data governance, technical documentation, human oversight, and registration in an EU-wide database; limited-risk systems such as chatbots face light-touch transparency duties; and minimal-risk applications remain largely unregulated. Enforcement is phased rather than immediate: prohibitions on unacceptable-risk practices became enforceable in February 2025, obligations on general-purpose AI model providers followed in August 2025, and the requirements for high-risk systems are subject to a longer transition period that has itself already been extended once by subsequent EU legislation. For a UK-based organisation, this matters even without direct UK </w:t>
      </w:r>
      <w:r w:rsidRPr="00D24A82">
        <w:rPr>
          <w:rFonts w:ascii="Times New Roman" w:hAnsi="Times New Roman" w:cs="Times New Roman"/>
        </w:rPr>
        <w:lastRenderedPageBreak/>
        <w:t>adoption of the Act, because any AI system offered into the EU market, or whose outputs affect people located in the EU, falls within its extraterritorial scope.</w:t>
      </w:r>
    </w:p>
    <w:p w14:paraId="1A6B5118" w14:textId="4EC4D3EE" w:rsidR="0038404A" w:rsidRPr="00D24A82" w:rsidRDefault="0038404A" w:rsidP="00AA7B0D">
      <w:pPr>
        <w:spacing w:line="360" w:lineRule="auto"/>
        <w:jc w:val="both"/>
        <w:rPr>
          <w:rFonts w:ascii="Times New Roman" w:hAnsi="Times New Roman" w:cs="Times New Roman"/>
        </w:rPr>
      </w:pPr>
      <w:r w:rsidRPr="00D24A82">
        <w:rPr>
          <w:rFonts w:ascii="Times New Roman" w:hAnsi="Times New Roman" w:cs="Times New Roman"/>
        </w:rPr>
        <w:t xml:space="preserve">Crucially, the AI Act does not replace existing data protection law; it sits alongside it. The General Data Protection Regulation (GDPR) already gives individuals a right not to be subject to decisions based solely on automated processing that produce legal or similarly significant effects, and organisations using AI for decisions such as loan approval must satisfy that right independently of any AI-specific rule. The practical effect is a layered compliance environment in which an organisation operating internationally may need to simultaneously satisfy the EU AI Act, GDPR or the UK's equivalent data protection regime, and sector-specific rules that predate </w:t>
      </w:r>
      <w:proofErr w:type="gramStart"/>
      <w:r w:rsidRPr="00D24A82">
        <w:rPr>
          <w:rFonts w:ascii="Times New Roman" w:hAnsi="Times New Roman" w:cs="Times New Roman"/>
        </w:rPr>
        <w:t>either .</w:t>
      </w:r>
      <w:proofErr w:type="gramEnd"/>
      <w:r w:rsidRPr="00D24A82">
        <w:rPr>
          <w:rFonts w:ascii="Times New Roman" w:hAnsi="Times New Roman" w:cs="Times New Roman"/>
        </w:rPr>
        <w:t xml:space="preserve"> This fragmentation is itself a governance risk: without a single internal framework that maps each obligation to a control, teams risk either duplicating compliance effort or, worse, assuming that satisfying one regime automatically satisfies the others.</w:t>
      </w:r>
    </w:p>
    <w:p w14:paraId="2212C9AE" w14:textId="16525D25" w:rsidR="0038404A" w:rsidRPr="00D24A82" w:rsidRDefault="0038404A" w:rsidP="00AA7B0D">
      <w:pPr>
        <w:spacing w:line="360" w:lineRule="auto"/>
        <w:jc w:val="both"/>
        <w:rPr>
          <w:rFonts w:ascii="Times New Roman" w:hAnsi="Times New Roman" w:cs="Times New Roman"/>
        </w:rPr>
      </w:pPr>
      <w:r w:rsidRPr="00D24A82">
        <w:rPr>
          <w:rFonts w:ascii="Times New Roman" w:hAnsi="Times New Roman" w:cs="Times New Roman"/>
        </w:rPr>
        <w:t>Regulatory divergence beyond the EU adds a further layer of complexity. The United States has so far preferred sector-specific rules and voluntary federal guidance over a single AI statute, while the United Kingdom has adopted a principles-based, pro-innovation approach that asks existing regulators to apply general principles, such as safety, fairness, and accountability, within their own sectors rather than creating one new AI regulator</w:t>
      </w:r>
      <w:r w:rsidR="007A3DBF">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a2d885ce65eb447179c&quot;],&quot;referencesOptions&quot;:{&quot;doc:6a7bca2d885ce65eb44717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698518,&quot;citationText&quot;:&quot;&lt;span style=\&quot;font-family:Times New Roman;font-size:16px;color:#000000\&quot;&gt;[3]&lt;/span&gt;&quot;}"/>
          <w:id w:val="-516698518"/>
          <w:placeholder>
            <w:docPart w:val="317A243E552E4B0DB3231FD0C4260459"/>
          </w:placeholder>
        </w:sdtPr>
        <w:sdtEndPr/>
        <w:sdtContent>
          <w:r w:rsidR="00E02F36">
            <w:rPr>
              <w:rFonts w:eastAsia="Times New Roman"/>
              <w:color w:val="000000"/>
            </w:rPr>
            <w:t>[3]</w:t>
          </w:r>
        </w:sdtContent>
      </w:sdt>
      <w:r w:rsidRPr="00D24A82">
        <w:rPr>
          <w:rFonts w:ascii="Times New Roman" w:hAnsi="Times New Roman" w:cs="Times New Roman"/>
        </w:rPr>
        <w:t>. An organisation that trades across all three jurisdictions therefore cannot rely on a single compliance checklist; it needs a governance function capable of translating each regime's specific obligations into a common internal control set, which is precisely the role the standards discussed in the next section are designed to play.</w:t>
      </w:r>
    </w:p>
    <w:p w14:paraId="5ECAAF4B" w14:textId="77777777" w:rsidR="003111E3" w:rsidRPr="00D24A82" w:rsidRDefault="003111E3" w:rsidP="00AA7B0D">
      <w:pPr>
        <w:spacing w:line="360" w:lineRule="auto"/>
        <w:jc w:val="both"/>
        <w:rPr>
          <w:rFonts w:ascii="Times New Roman" w:hAnsi="Times New Roman" w:cs="Times New Roman"/>
        </w:rPr>
      </w:pPr>
    </w:p>
    <w:p w14:paraId="130E7754" w14:textId="77777777" w:rsidR="0038404A" w:rsidRPr="00D24A82" w:rsidRDefault="0038404A" w:rsidP="00AA7B0D">
      <w:pPr>
        <w:pStyle w:val="Heading2"/>
        <w:spacing w:line="360" w:lineRule="auto"/>
        <w:jc w:val="both"/>
        <w:rPr>
          <w:rFonts w:ascii="Times New Roman" w:hAnsi="Times New Roman" w:cs="Times New Roman"/>
          <w:b/>
          <w:bCs/>
          <w:color w:val="auto"/>
        </w:rPr>
      </w:pPr>
      <w:bookmarkStart w:id="4" w:name="_Toc237381379"/>
      <w:r w:rsidRPr="00D24A82">
        <w:rPr>
          <w:rFonts w:ascii="Times New Roman" w:hAnsi="Times New Roman" w:cs="Times New Roman"/>
          <w:b/>
          <w:bCs/>
          <w:color w:val="auto"/>
        </w:rPr>
        <w:t>4. International Standards and Frameworks</w:t>
      </w:r>
      <w:bookmarkEnd w:id="4"/>
    </w:p>
    <w:p w14:paraId="2D047BA0" w14:textId="76AB69DA" w:rsidR="0038404A" w:rsidRPr="00D24A82" w:rsidRDefault="0038404A" w:rsidP="00AA7B0D">
      <w:pPr>
        <w:spacing w:line="360" w:lineRule="auto"/>
        <w:jc w:val="both"/>
        <w:rPr>
          <w:rFonts w:ascii="Times New Roman" w:hAnsi="Times New Roman" w:cs="Times New Roman"/>
        </w:rPr>
      </w:pPr>
      <w:r w:rsidRPr="00D24A82">
        <w:rPr>
          <w:rFonts w:ascii="Times New Roman" w:hAnsi="Times New Roman" w:cs="Times New Roman"/>
        </w:rPr>
        <w:t>Two frameworks dominate practical AI governance work. The first is the NIST AI Risk Management Framework (AI RMF 1.0), published in January 2023 as a voluntary, sector-neutral framework built around four functions: Govern, which embeds a culture of risk management and clear accountability; Map, which identifies the context and potential impacts of a given AI system; Measure, which uses quantitative and qualitative methods to assess identified risks; and Manage, which prioritises and acts on those risks on an ongoing basis</w:t>
      </w:r>
      <w:r w:rsidR="00D84A0B">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a86564cc01f48a97e23&quot;],&quot;referencesOptions&quot;:{&quot;doc:6a7bca86564cc01f48a97e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1979194,&quot;citationText&quot;:&quot;&lt;span style=\&quot;font-family:Times New Roman;font-size:16px;color:#000000\&quot;&gt;[4]&lt;/span&gt;&quot;}"/>
          <w:id w:val="-541979194"/>
          <w:placeholder>
            <w:docPart w:val="94128C67BE9B4DD7B7EC28A8529F5D59"/>
          </w:placeholder>
        </w:sdtPr>
        <w:sdtEndPr/>
        <w:sdtContent>
          <w:r w:rsidR="00E02F36">
            <w:rPr>
              <w:rFonts w:eastAsia="Times New Roman"/>
              <w:color w:val="000000"/>
            </w:rPr>
            <w:t>[4]</w:t>
          </w:r>
        </w:sdtContent>
      </w:sdt>
      <w:r w:rsidR="00D84A0B">
        <w:rPr>
          <w:rFonts w:ascii="Times New Roman" w:hAnsi="Times New Roman" w:cs="Times New Roman"/>
        </w:rPr>
        <w:t xml:space="preserve">. </w:t>
      </w:r>
      <w:r w:rsidRPr="00D24A82">
        <w:rPr>
          <w:rFonts w:ascii="Times New Roman" w:hAnsi="Times New Roman" w:cs="Times New Roman"/>
        </w:rPr>
        <w:t>In July 2024 NIST extended the framework with a Generative AI Profile, which sets out twelve generative-AI-specific risks, including data privacy leakage, hallucinated or fabricated content, and the potential for AI systems to lower the barrier to producing harmful material, alongside a corresponding set of mitigations.</w:t>
      </w:r>
    </w:p>
    <w:p w14:paraId="2007861D" w14:textId="72947B22" w:rsidR="0038404A" w:rsidRPr="00D24A82" w:rsidRDefault="0038404A" w:rsidP="00AA7B0D">
      <w:pPr>
        <w:spacing w:line="360" w:lineRule="auto"/>
        <w:jc w:val="both"/>
        <w:rPr>
          <w:rFonts w:ascii="Times New Roman" w:hAnsi="Times New Roman" w:cs="Times New Roman"/>
        </w:rPr>
      </w:pPr>
      <w:r w:rsidRPr="00D24A82">
        <w:rPr>
          <w:rFonts w:ascii="Times New Roman" w:hAnsi="Times New Roman" w:cs="Times New Roman"/>
        </w:rPr>
        <w:lastRenderedPageBreak/>
        <w:t xml:space="preserve">The second is ISO/IEC 42001:2023, the first certifiable international standard for an Artificial Intelligence Management System (AIMS). Where the NIST AI RMF offers a risk-assessment lens, ISO/IEC 42001 provides the organisational scaffolding: a Plan-Do-Check-Act management cycle covering leadership commitment, AI-specific policies, resourcing, data governance, and continual improvement, structured in the same way as the long-established ISO/IEC 27001 information security management standard. Because AIMS certification confirms that a management system exists rather than that any individual model is safe, ISO/IEC 42001 is best understood as complementary to, not a substitute for, technical assurance work carried out under frameworks such as the NIST AI RMF, and to the underlying information security controls provided by ISO/IEC 27001 </w:t>
      </w:r>
      <w:sdt>
        <w:sdtPr>
          <w:rPr>
            <w:rFonts w:ascii="Times New Roman" w:hAnsi="Times New Roman" w:cs="Times New Roman"/>
            <w:color w:val="000000"/>
            <w:highlight w:val="white"/>
          </w:rPr>
          <w:alias w:val="Citation"/>
          <w:tag w:val="{&quot;referencesIds&quot;:[&quot;doc:6a7bbfe904111770dc926d56&quot;],&quot;referencesOptions&quot;:{&quot;doc:6a7bbfe904111770dc926d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1957859,&quot;citationText&quot;:&quot;&lt;span style=\&quot;font-family:Times New Roman;font-size:16px;color:#000000\&quot;&gt;[5]&lt;/span&gt;&quot;}"/>
          <w:id w:val="1801957859"/>
          <w:placeholder>
            <w:docPart w:val="A331A7EF601242D38F081692F943BDC7"/>
          </w:placeholder>
        </w:sdtPr>
        <w:sdtEndPr/>
        <w:sdtContent>
          <w:r w:rsidR="00E02F36">
            <w:rPr>
              <w:rFonts w:eastAsia="Times New Roman"/>
              <w:color w:val="000000"/>
            </w:rPr>
            <w:t>[5]</w:t>
          </w:r>
        </w:sdtContent>
      </w:sdt>
      <w:r w:rsidRPr="00D24A82">
        <w:rPr>
          <w:rFonts w:ascii="Times New Roman" w:hAnsi="Times New Roman" w:cs="Times New Roman"/>
        </w:rPr>
        <w:t xml:space="preserve">. Used together, these frameworks let an organisation demonstrate both that it manages AI responsibly as a matter of policy and that it has assessed the risk of each system it </w:t>
      </w:r>
      <w:proofErr w:type="gramStart"/>
      <w:r w:rsidRPr="00D24A82">
        <w:rPr>
          <w:rFonts w:ascii="Times New Roman" w:hAnsi="Times New Roman" w:cs="Times New Roman"/>
        </w:rPr>
        <w:t>actually runs</w:t>
      </w:r>
      <w:proofErr w:type="gramEnd"/>
      <w:r w:rsidRPr="00D24A82">
        <w:rPr>
          <w:rFonts w:ascii="Times New Roman" w:hAnsi="Times New Roman" w:cs="Times New Roman"/>
        </w:rPr>
        <w:t>.</w:t>
      </w:r>
    </w:p>
    <w:p w14:paraId="4E6BB546" w14:textId="12A69923" w:rsidR="00E93DF0" w:rsidRPr="00D24A82" w:rsidRDefault="0038404A" w:rsidP="00751348">
      <w:pPr>
        <w:spacing w:line="360" w:lineRule="auto"/>
        <w:jc w:val="both"/>
        <w:rPr>
          <w:rFonts w:ascii="Times New Roman" w:hAnsi="Times New Roman" w:cs="Times New Roman"/>
        </w:rPr>
      </w:pPr>
      <w:r w:rsidRPr="00D24A82">
        <w:rPr>
          <w:rFonts w:ascii="Times New Roman" w:hAnsi="Times New Roman" w:cs="Times New Roman"/>
        </w:rPr>
        <w:t>A third, narrower standard worth noting is ISO/IEC 23894, which offers non-certifiable guidance on AI-specific risk management and is intended to be read alongside ISO/IEC 42001 rather than in place of it. None of these frameworks is mandatory in the way the EU AI Act is, but each is increasingly treated as evidence of due diligence: a regulator assessing whether an organisation took proportionate steps to manage AI risk is far more likely to accept a documented, externally recognised framework than an ad hoc internal process built after the fact.</w:t>
      </w:r>
      <w:r w:rsidR="00D42F55">
        <w:rPr>
          <w:rFonts w:ascii="Times New Roman" w:hAnsi="Times New Roman" w:cs="Times New Roman"/>
        </w:rPr>
        <w:br w:type="page"/>
      </w:r>
    </w:p>
    <w:p w14:paraId="3723CB54" w14:textId="77777777" w:rsidR="00F80E93" w:rsidRDefault="00F80E93" w:rsidP="00AA7B0D">
      <w:pPr>
        <w:pStyle w:val="Heading2"/>
        <w:spacing w:line="360" w:lineRule="auto"/>
        <w:jc w:val="both"/>
        <w:rPr>
          <w:rFonts w:ascii="Times New Roman" w:hAnsi="Times New Roman" w:cs="Times New Roman"/>
          <w:b/>
          <w:bCs/>
          <w:color w:val="auto"/>
        </w:rPr>
      </w:pPr>
      <w:bookmarkStart w:id="5" w:name="_Toc237381380"/>
      <w:r w:rsidRPr="00D24A82">
        <w:rPr>
          <w:rFonts w:ascii="Times New Roman" w:hAnsi="Times New Roman" w:cs="Times New Roman"/>
          <w:b/>
          <w:bCs/>
          <w:color w:val="auto"/>
        </w:rPr>
        <w:lastRenderedPageBreak/>
        <w:t>5. Governance Challenges in Practice</w:t>
      </w:r>
      <w:bookmarkEnd w:id="5"/>
    </w:p>
    <w:p w14:paraId="5DD5CC03" w14:textId="77777777" w:rsidR="00FA27D3" w:rsidRPr="00FA27D3" w:rsidRDefault="00FA27D3" w:rsidP="00FA27D3">
      <w:pPr>
        <w:rPr>
          <w:rFonts w:ascii="Times New Roman" w:hAnsi="Times New Roman" w:cs="Times New Roman"/>
        </w:rPr>
      </w:pPr>
      <w:r w:rsidRPr="00FA27D3">
        <w:rPr>
          <w:rFonts w:ascii="Times New Roman" w:hAnsi="Times New Roman" w:cs="Times New Roman"/>
        </w:rPr>
        <w:t>Putting AI governance into daily practice runs into a few recurring problems. The first is explainability: many high-performing models can't fully justify a single decision in terms a regulator, or an affected customer, will accept, which is exactly where the AI Act and GDPR expect an answer. The second is shadow AI, staff quietly using tools nobody approved, sitting entirely outside whatever inventory or monitoring the organisation has built.</w:t>
      </w:r>
    </w:p>
    <w:p w14:paraId="6E008074" w14:textId="77777777" w:rsidR="00FA27D3" w:rsidRPr="00FA27D3" w:rsidRDefault="00FA27D3" w:rsidP="00FA27D3">
      <w:pPr>
        <w:rPr>
          <w:rFonts w:ascii="Times New Roman" w:hAnsi="Times New Roman" w:cs="Times New Roman"/>
        </w:rPr>
      </w:pPr>
      <w:r w:rsidRPr="00FA27D3">
        <w:rPr>
          <w:rFonts w:ascii="Times New Roman" w:hAnsi="Times New Roman" w:cs="Times New Roman"/>
        </w:rPr>
        <w:t>Third is dependence on third-party and open-source components. Foundation models and open-source libraries are rarely audited in-house, and an organisation can only manage a dependency it knows it has, the same failure pattern behind the Equifax breach examined in Task 2. Fourth is bias: a model trained on historically biased outcomes will reproduce and amplify that bias unless fairness testing is built into development. Finally, there's a skills gap, governance needs people who combine legal, ethical, and technical judgement, and that combination is still scarce.</w:t>
      </w:r>
    </w:p>
    <w:p w14:paraId="244CDB87" w14:textId="03539633" w:rsidR="00FA27D3" w:rsidRPr="00FA27D3" w:rsidRDefault="00FA27D3" w:rsidP="00FA27D3">
      <w:pPr>
        <w:rPr>
          <w:rFonts w:ascii="Times New Roman" w:hAnsi="Times New Roman" w:cs="Times New Roman"/>
        </w:rPr>
      </w:pPr>
      <w:r w:rsidRPr="00FA27D3">
        <w:rPr>
          <w:rFonts w:ascii="Times New Roman" w:hAnsi="Times New Roman" w:cs="Times New Roman"/>
        </w:rPr>
        <w:t>These problems compound each other. A biased model is also harder to defend if it can't be explained, and a checklist reviewing each risk alone will understate the real exposure</w:t>
      </w:r>
      <w:r w:rsidR="001E2E59">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af0d6022a5f52a57ee7&quot;],&quot;referencesOptions&quot;:{&quot;doc:6a7bcaf0d6022a5f52a57e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21186245"/>
          <w:placeholder>
            <w:docPart w:val="CA2117536A3E4212847A4652F521796D"/>
          </w:placeholder>
        </w:sdtPr>
        <w:sdtEndPr/>
        <w:sdtContent>
          <w:r w:rsidR="00E02F36">
            <w:rPr>
              <w:rFonts w:eastAsia="Times New Roman"/>
              <w:color w:val="000000"/>
            </w:rPr>
            <w:t>[6]</w:t>
          </w:r>
        </w:sdtContent>
      </w:sdt>
      <w:r w:rsidR="001E2E59">
        <w:rPr>
          <w:rFonts w:ascii="Times New Roman" w:hAnsi="Times New Roman" w:cs="Times New Roman"/>
        </w:rPr>
        <w:t>.</w:t>
      </w:r>
    </w:p>
    <w:p w14:paraId="0B1F81EB" w14:textId="77777777" w:rsidR="00FA27D3" w:rsidRPr="00FA27D3" w:rsidRDefault="00FA27D3" w:rsidP="00FA27D3"/>
    <w:p w14:paraId="0AF881AE" w14:textId="77777777" w:rsidR="007758B4" w:rsidRPr="00D24A82" w:rsidRDefault="007758B4" w:rsidP="00AA7B0D">
      <w:pPr>
        <w:pStyle w:val="Heading2"/>
        <w:spacing w:line="360" w:lineRule="auto"/>
        <w:jc w:val="both"/>
        <w:rPr>
          <w:rFonts w:ascii="Times New Roman" w:hAnsi="Times New Roman" w:cs="Times New Roman"/>
          <w:b/>
          <w:bCs/>
          <w:color w:val="auto"/>
        </w:rPr>
      </w:pPr>
      <w:bookmarkStart w:id="6" w:name="_Toc237381381"/>
      <w:r w:rsidRPr="00D24A82">
        <w:rPr>
          <w:rFonts w:ascii="Times New Roman" w:hAnsi="Times New Roman" w:cs="Times New Roman"/>
          <w:b/>
          <w:bCs/>
          <w:color w:val="auto"/>
        </w:rPr>
        <w:t>6. Building an Anticipatory, Detective, and Responsive Governance Environment</w:t>
      </w:r>
      <w:bookmarkEnd w:id="6"/>
    </w:p>
    <w:p w14:paraId="7A939A9E" w14:textId="06D06BB5" w:rsidR="007758B4" w:rsidRPr="00D24A82" w:rsidRDefault="007758B4" w:rsidP="00AA7B0D">
      <w:pPr>
        <w:spacing w:after="200" w:line="360" w:lineRule="auto"/>
        <w:jc w:val="both"/>
        <w:rPr>
          <w:rFonts w:ascii="Times New Roman" w:hAnsi="Times New Roman" w:cs="Times New Roman"/>
        </w:rPr>
      </w:pPr>
      <w:r w:rsidRPr="00D24A82">
        <w:rPr>
          <w:rFonts w:ascii="Times New Roman" w:hAnsi="Times New Roman" w:cs="Times New Roman"/>
        </w:rPr>
        <w:t>A structured governance environment can be organised around the same anticipate, detect, and respond logic that underpins modern cybersecurity operations, using the frameworks above as its backbone. Anticipation starts with a live inventory of every AI system in use, each one classified by risk in the same way the EU AI Act classifies systems, together with a documented data lineage for its training and input data. Before deployment, models intended for high-impact decisions should undergo adversarial testing and a documented impact assessment, mirroring the kind of pre-market conformity assessment the AI Act requires of high-risk systems.</w:t>
      </w:r>
    </w:p>
    <w:p w14:paraId="0B9F9843" w14:textId="59FD7B04" w:rsidR="007758B4" w:rsidRPr="00D24A82" w:rsidRDefault="007758B4" w:rsidP="00AA7B0D">
      <w:pPr>
        <w:spacing w:after="200" w:line="360" w:lineRule="auto"/>
        <w:jc w:val="both"/>
        <w:rPr>
          <w:rFonts w:ascii="Times New Roman" w:hAnsi="Times New Roman" w:cs="Times New Roman"/>
        </w:rPr>
      </w:pPr>
      <w:r w:rsidRPr="00D24A82">
        <w:rPr>
          <w:rFonts w:ascii="Times New Roman" w:hAnsi="Times New Roman" w:cs="Times New Roman"/>
        </w:rPr>
        <w:t>Detection depends on continuous monitoring rather than one-off validation: output monitoring to catch model drift or anomalous behaviour, logging of significant automated decisions to preserve an audit trail, and integration of AI-specific alerts into the security operations processes an organisation already runs for its wider IT estate</w:t>
      </w:r>
      <w:r w:rsidR="001803AF">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b32cf042f25e9d27cd8&quot;],&quot;referencesOptions&quot;:{&quot;doc:6a7bcb32cf042f25e9d27c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4451284"/>
          <w:placeholder>
            <w:docPart w:val="751A2F60EEEE472A87D6D2FD0227CD89"/>
          </w:placeholder>
        </w:sdtPr>
        <w:sdtEndPr/>
        <w:sdtContent>
          <w:r w:rsidR="00E02F36">
            <w:rPr>
              <w:rFonts w:eastAsia="Times New Roman"/>
              <w:color w:val="000000"/>
            </w:rPr>
            <w:t>[7]</w:t>
          </w:r>
        </w:sdtContent>
      </w:sdt>
      <w:r w:rsidRPr="00D24A82">
        <w:rPr>
          <w:rFonts w:ascii="Times New Roman" w:hAnsi="Times New Roman" w:cs="Times New Roman"/>
        </w:rPr>
        <w:t>. Response requires pre-defined thresholds at which a model is automatically suspended or routed to a human reviewer, incident response playbooks extended to cover AI-specific incidents such as data poisoning, model theft, or prompt injection, and a clear escalation path to the people accountable for the system.</w:t>
      </w:r>
    </w:p>
    <w:p w14:paraId="04A0F55F" w14:textId="7227BC85" w:rsidR="007758B4" w:rsidRPr="00D24A82" w:rsidRDefault="007758B4" w:rsidP="00AA7B0D">
      <w:pPr>
        <w:spacing w:after="200" w:line="360" w:lineRule="auto"/>
        <w:jc w:val="both"/>
        <w:rPr>
          <w:rFonts w:ascii="Times New Roman" w:hAnsi="Times New Roman" w:cs="Times New Roman"/>
        </w:rPr>
      </w:pPr>
      <w:r w:rsidRPr="00D24A82">
        <w:rPr>
          <w:rFonts w:ascii="Times New Roman" w:hAnsi="Times New Roman" w:cs="Times New Roman"/>
        </w:rPr>
        <w:lastRenderedPageBreak/>
        <w:t xml:space="preserve">None of </w:t>
      </w:r>
      <w:proofErr w:type="gramStart"/>
      <w:r w:rsidRPr="00D24A82">
        <w:rPr>
          <w:rFonts w:ascii="Times New Roman" w:hAnsi="Times New Roman" w:cs="Times New Roman"/>
        </w:rPr>
        <w:t>this functions</w:t>
      </w:r>
      <w:proofErr w:type="gramEnd"/>
      <w:r w:rsidRPr="00D24A82">
        <w:rPr>
          <w:rFonts w:ascii="Times New Roman" w:hAnsi="Times New Roman" w:cs="Times New Roman"/>
        </w:rPr>
        <w:t xml:space="preserve"> without ownership. NIST's Cybersecurity Framework 2.0 formalised this principle for cybersecurity generally by adding Govern as a sixth core function, elevating governance to a leadership responsibility rather than an implementation detail </w:t>
      </w:r>
      <w:sdt>
        <w:sdtPr>
          <w:rPr>
            <w:rFonts w:ascii="Times New Roman" w:hAnsi="Times New Roman" w:cs="Times New Roman"/>
            <w:color w:val="000000"/>
            <w:highlight w:val="white"/>
          </w:rPr>
          <w:alias w:val="Citation"/>
          <w:tag w:val="{&quot;referencesIds&quot;:[&quot;doc:6a7bcb637b977a67cdbb354c&quot;],&quot;referencesOptions&quot;:{&quot;doc:6a7bcb637b977a67cdbb35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5941468"/>
          <w:placeholder>
            <w:docPart w:val="D4007A5BEC924D1CA3BB759BD52D9F23"/>
          </w:placeholder>
        </w:sdtPr>
        <w:sdtEndPr/>
        <w:sdtContent>
          <w:r w:rsidR="00E02F36">
            <w:rPr>
              <w:rFonts w:eastAsia="Times New Roman"/>
              <w:color w:val="000000"/>
            </w:rPr>
            <w:t>[8]</w:t>
          </w:r>
        </w:sdtContent>
      </w:sdt>
      <w:r w:rsidRPr="00D24A82">
        <w:rPr>
          <w:rFonts w:ascii="Times New Roman" w:hAnsi="Times New Roman" w:cs="Times New Roman"/>
        </w:rPr>
        <w:t>, and the same logic applies directly to AI. A cross-functional AI governance committee, drawing on security, legal, data science, and the affected business units, and reporting into the same executive and board structure used for wider risk oversight, is what actually connects the NIST AI RMF's Govern function and ISO/IEC 42001's leadership requirement to day-to-day decisions about which models are approved, monitored, and retired.</w:t>
      </w:r>
    </w:p>
    <w:p w14:paraId="13B7C521" w14:textId="512E0E91" w:rsidR="003111E3" w:rsidRPr="00FC3A1D" w:rsidRDefault="007758B4" w:rsidP="00AA7B0D">
      <w:pPr>
        <w:spacing w:after="200" w:line="360" w:lineRule="auto"/>
        <w:jc w:val="both"/>
        <w:rPr>
          <w:rFonts w:ascii="Times New Roman" w:hAnsi="Times New Roman" w:cs="Times New Roman"/>
        </w:rPr>
      </w:pPr>
      <w:r w:rsidRPr="00D24A82">
        <w:rPr>
          <w:rFonts w:ascii="Times New Roman" w:hAnsi="Times New Roman" w:cs="Times New Roman"/>
        </w:rPr>
        <w:t xml:space="preserve">This structure also needs measurable outputs, not only meetings. Practical key indicators include the proportion of deployed models with a completed risk classification and impact assessment, the average time between a flagged anomaly and human review, and the number of shadow AI tools identified and either brought under governance or blocked </w:t>
      </w:r>
      <w:proofErr w:type="gramStart"/>
      <w:r w:rsidRPr="00D24A82">
        <w:rPr>
          <w:rFonts w:ascii="Times New Roman" w:hAnsi="Times New Roman" w:cs="Times New Roman"/>
        </w:rPr>
        <w:t>in a given</w:t>
      </w:r>
      <w:proofErr w:type="gramEnd"/>
      <w:r w:rsidRPr="00D24A82">
        <w:rPr>
          <w:rFonts w:ascii="Times New Roman" w:hAnsi="Times New Roman" w:cs="Times New Roman"/>
        </w:rPr>
        <w:t xml:space="preserve"> period. Reporting these indicators to the same board committee that receives conventional cybersecurity metrics keeps AI risk visible alongside, rather than separate from, the organisation's wider risk appetite, and gives the committee an evidence base for deciding when a model's risk classification, and therefore its level of oversight, needs to change.</w:t>
      </w:r>
    </w:p>
    <w:p w14:paraId="1CE23BDE" w14:textId="77777777" w:rsidR="00184522" w:rsidRDefault="00184522" w:rsidP="00AA7B0D">
      <w:pPr>
        <w:pStyle w:val="Heading1"/>
        <w:jc w:val="center"/>
        <w:rPr>
          <w:rFonts w:ascii="Times New Roman" w:hAnsi="Times New Roman" w:cs="Times New Roman"/>
          <w:b/>
          <w:bCs/>
          <w:color w:val="auto"/>
        </w:rPr>
      </w:pPr>
      <w:bookmarkStart w:id="7" w:name="_Toc237381382"/>
      <w:r w:rsidRPr="00D24A82">
        <w:rPr>
          <w:rFonts w:ascii="Times New Roman" w:hAnsi="Times New Roman" w:cs="Times New Roman"/>
          <w:b/>
          <w:bCs/>
          <w:color w:val="auto"/>
        </w:rPr>
        <w:t>Task 2 – Case Scenario: Designing a Structured Cybersecurity Programme from the Equifax Breach</w:t>
      </w:r>
      <w:bookmarkEnd w:id="7"/>
    </w:p>
    <w:p w14:paraId="4A2E8766" w14:textId="77777777" w:rsidR="00496D16" w:rsidRPr="00496D16" w:rsidRDefault="00496D16" w:rsidP="00496D16"/>
    <w:p w14:paraId="6AED02C9" w14:textId="3DA0C334" w:rsidR="002026ED" w:rsidRDefault="00184522" w:rsidP="00FC3A1D">
      <w:pPr>
        <w:spacing w:after="200" w:line="360" w:lineRule="auto"/>
        <w:jc w:val="both"/>
        <w:rPr>
          <w:rFonts w:ascii="Times New Roman" w:hAnsi="Times New Roman" w:cs="Times New Roman"/>
        </w:rPr>
      </w:pPr>
      <w:r w:rsidRPr="00D24A82">
        <w:rPr>
          <w:rFonts w:ascii="Times New Roman" w:hAnsi="Times New Roman" w:cs="Times New Roman"/>
        </w:rPr>
        <w:t>The 2017 Equifax breach began on 7 March 2017, when the Apache Software Foundation disclosed a critical remote code execution vulnerability in Apache Struts, CVE-2017-5638, and released a patch the same day. The US-CERT notified Equifax of the flaw on 8 March, and Equifax's own Global Threat and Vulnerability Management team</w:t>
      </w:r>
      <w:r w:rsidRPr="00D24A82">
        <w:rPr>
          <w:rFonts w:ascii="Times New Roman" w:hAnsi="Times New Roman" w:cs="Times New Roman"/>
          <w:sz w:val="28"/>
          <w:szCs w:val="28"/>
        </w:rPr>
        <w:t xml:space="preserve"> </w:t>
      </w:r>
      <w:r w:rsidRPr="00D24A82">
        <w:rPr>
          <w:rFonts w:ascii="Times New Roman" w:hAnsi="Times New Roman" w:cs="Times New Roman"/>
        </w:rPr>
        <w:t xml:space="preserve">circulated an internal patch instruction to around 400 staff on 9 March, but the employee responsible for the affected system did not apply it </w:t>
      </w:r>
      <w:sdt>
        <w:sdtPr>
          <w:rPr>
            <w:rFonts w:ascii="Times New Roman" w:hAnsi="Times New Roman" w:cs="Times New Roman"/>
            <w:color w:val="000000"/>
            <w:highlight w:val="white"/>
          </w:rPr>
          <w:alias w:val="Citation"/>
          <w:tag w:val="{&quot;referencesIds&quot;:[&quot;doc:6a7bcbb3d52a4551f013829d&quot;],&quot;referencesOptions&quot;:{&quot;doc:6a7bcbb3d52a4551f01382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7883248"/>
          <w:placeholder>
            <w:docPart w:val="A7E4D425ECF34542894C3E967607C92E"/>
          </w:placeholder>
        </w:sdtPr>
        <w:sdtEndPr/>
        <w:sdtContent>
          <w:r w:rsidR="00E02F36">
            <w:rPr>
              <w:rFonts w:eastAsia="Times New Roman"/>
              <w:color w:val="000000"/>
            </w:rPr>
            <w:t>[9]</w:t>
          </w:r>
        </w:sdtContent>
      </w:sdt>
      <w:r w:rsidRPr="00D24A82">
        <w:rPr>
          <w:rFonts w:ascii="Times New Roman" w:hAnsi="Times New Roman" w:cs="Times New Roman"/>
        </w:rPr>
        <w:t xml:space="preserve">. Attackers began probing Equifax's public-facing online dispute portal within days, and by mid-May 2017 were extracting data from the company's internal databases. The intrusion continued undetected until 29 July 2017, when Equifax's security team discovered suspicious traffic, at which point an investigation revealed that a network monitoring appliance had been unable to inspect encrypted traffic for months because its own TLS inspection certificate had expired </w:t>
      </w:r>
      <w:sdt>
        <w:sdtPr>
          <w:rPr>
            <w:rFonts w:ascii="Times New Roman" w:hAnsi="Times New Roman" w:cs="Times New Roman"/>
            <w:color w:val="000000"/>
            <w:highlight w:val="white"/>
          </w:rPr>
          <w:alias w:val="Citation"/>
          <w:tag w:val="{&quot;referencesIds&quot;:[&quot;doc:6a7bcbd5cf042f25e9d27cdb&quot;],&quot;referencesOptions&quot;:{&quot;doc:6a7bcbd5cf042f25e9d27c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0344778"/>
          <w:placeholder>
            <w:docPart w:val="92CB767F851B47B1A9E682A77FEADDE3"/>
          </w:placeholder>
        </w:sdtPr>
        <w:sdtEndPr/>
        <w:sdtContent>
          <w:r w:rsidR="00E02F36">
            <w:rPr>
              <w:rFonts w:eastAsia="Times New Roman"/>
              <w:color w:val="000000"/>
            </w:rPr>
            <w:t>[10]</w:t>
          </w:r>
        </w:sdtContent>
      </w:sdt>
      <w:r w:rsidRPr="00D24A82">
        <w:rPr>
          <w:rFonts w:ascii="Times New Roman" w:hAnsi="Times New Roman" w:cs="Times New Roman"/>
        </w:rPr>
        <w:t xml:space="preserve">. By the time the affected systems were taken offline, attackers had accessed the personal data of approximately 147 million individuals, including Social Security numbers, dates of birth, addresses, and driver's licence numbers. The breach </w:t>
      </w:r>
      <w:r w:rsidRPr="00D24A82">
        <w:rPr>
          <w:rFonts w:ascii="Times New Roman" w:hAnsi="Times New Roman" w:cs="Times New Roman"/>
        </w:rPr>
        <w:lastRenderedPageBreak/>
        <w:t xml:space="preserve">was disclosed publicly on 7 September 2017; the CEO, CIO, and Chief Security Officer had all left the company within weeks </w:t>
      </w:r>
      <w:sdt>
        <w:sdtPr>
          <w:rPr>
            <w:rFonts w:ascii="Times New Roman" w:hAnsi="Times New Roman" w:cs="Times New Roman"/>
            <w:color w:val="000000"/>
            <w:highlight w:val="white"/>
          </w:rPr>
          <w:alias w:val="Citation"/>
          <w:tag w:val="{&quot;referencesIds&quot;:[&quot;doc:6a7bcbf32b48ee33bb1f86e9&quot;],&quot;referencesOptions&quot;:{&quot;doc:6a7bcbf32b48ee33bb1f86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364068"/>
          <w:placeholder>
            <w:docPart w:val="484E625FAF3E49D49DC2812CE50675F9"/>
          </w:placeholder>
        </w:sdtPr>
        <w:sdtEndPr/>
        <w:sdtContent>
          <w:r w:rsidR="00E02F36">
            <w:rPr>
              <w:rFonts w:eastAsia="Times New Roman"/>
              <w:color w:val="000000"/>
            </w:rPr>
            <w:t>[11]</w:t>
          </w:r>
        </w:sdtContent>
      </w:sdt>
      <w:r w:rsidRPr="00D24A82">
        <w:rPr>
          <w:rFonts w:ascii="Times New Roman" w:hAnsi="Times New Roman" w:cs="Times New Roman"/>
        </w:rPr>
        <w:t>. Read together, these facts describe a cascading governance failure, not an isolated technical fault: a known vulnerability went unpatched, its exploitation went undetected for months because of a second unmanaged control, and the resulting damage was allowed to spread because of weak internal segmentation. The sections below use this case as the foundation for a structured cybersecurity programme.</w:t>
      </w:r>
    </w:p>
    <w:p w14:paraId="73671332" w14:textId="77777777" w:rsidR="00496D16" w:rsidRPr="002026ED" w:rsidRDefault="00496D16" w:rsidP="00FC3A1D">
      <w:pPr>
        <w:spacing w:after="200" w:line="360" w:lineRule="auto"/>
        <w:jc w:val="both"/>
        <w:rPr>
          <w:rFonts w:ascii="Times New Roman" w:hAnsi="Times New Roman" w:cs="Times New Roman"/>
        </w:rPr>
      </w:pPr>
    </w:p>
    <w:p w14:paraId="76CDDA60" w14:textId="77777777" w:rsidR="00C5359D" w:rsidRPr="00D24A82" w:rsidRDefault="00C5359D" w:rsidP="00AA7B0D">
      <w:pPr>
        <w:pStyle w:val="Heading2"/>
        <w:spacing w:line="360" w:lineRule="auto"/>
        <w:jc w:val="center"/>
        <w:rPr>
          <w:rFonts w:ascii="Times New Roman" w:hAnsi="Times New Roman" w:cs="Times New Roman"/>
          <w:b/>
          <w:bCs/>
          <w:color w:val="auto"/>
        </w:rPr>
      </w:pPr>
      <w:bookmarkStart w:id="8" w:name="_Toc237381383"/>
      <w:r w:rsidRPr="00D24A82">
        <w:rPr>
          <w:rFonts w:ascii="Times New Roman" w:hAnsi="Times New Roman" w:cs="Times New Roman"/>
          <w:b/>
          <w:bCs/>
          <w:color w:val="auto"/>
        </w:rPr>
        <w:t>1. Organisational Structure and Accountability</w:t>
      </w:r>
      <w:bookmarkEnd w:id="8"/>
    </w:p>
    <w:p w14:paraId="523F918E" w14:textId="77777777" w:rsidR="00C5359D" w:rsidRPr="00D24A82" w:rsidRDefault="00C5359D" w:rsidP="00AA7B0D">
      <w:pPr>
        <w:spacing w:after="200" w:line="360" w:lineRule="auto"/>
        <w:jc w:val="both"/>
        <w:rPr>
          <w:rFonts w:ascii="Times New Roman" w:hAnsi="Times New Roman" w:cs="Times New Roman"/>
        </w:rPr>
      </w:pPr>
      <w:r w:rsidRPr="00D24A82">
        <w:rPr>
          <w:rFonts w:ascii="Times New Roman" w:hAnsi="Times New Roman" w:cs="Times New Roman"/>
        </w:rPr>
        <w:t>At the time of the breach, information security at Equifax sat organisationally below the General Counsel rather than reporting directly to the CEO or board, which left the function without independent executive visibility precisely when a critical patch decision was being missed. This structure meant that a single unapplied patch instruction, addressed to one individual, had no compensating layer of oversight capable of catching the omission before it became exploitable for over two months.</w:t>
      </w:r>
    </w:p>
    <w:p w14:paraId="6BBFD803" w14:textId="31433214" w:rsidR="00C5359D" w:rsidRPr="00D24A82" w:rsidRDefault="00C5359D" w:rsidP="00AA7B0D">
      <w:pPr>
        <w:spacing w:after="200" w:line="360" w:lineRule="auto"/>
        <w:jc w:val="both"/>
        <w:rPr>
          <w:rFonts w:ascii="Times New Roman" w:hAnsi="Times New Roman" w:cs="Times New Roman"/>
        </w:rPr>
      </w:pPr>
      <w:r w:rsidRPr="00D24A82">
        <w:rPr>
          <w:rFonts w:ascii="Times New Roman" w:hAnsi="Times New Roman" w:cs="Times New Roman"/>
        </w:rPr>
        <w:t>The governance structure proposed in Figure 1 corrects this single point of failure. A Chief Information Security Officer (CISO) is established as a board-visible executive role, reporting operationally to the CEO but with a direct escalation line into the Board Risk and Audit Committee for material risk, so that a decision as significant as leaving an internet-facing, actively exploited vulnerability unpatched can no longer be resolved, or missed, entirely at analyst level. Beneath the CISO, four operational leads separate the duties that were previously conflated: a Security Architecture lead responsible for the design of network segmentation and secure infrastructure; a Secure Development and Patch Management lead accountable for tracking every patch from disclosure to verified closure; a Detection and Incident Response lead who owns monitoring tooling and its operational health, including certificate and sensor uptime; and a Data Protection and Compliance lead who owns regulatory alignment and breach-notification readiness</w:t>
      </w:r>
      <w:r w:rsidR="00D9039D">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c98d6022a5f52a57eeb&quot;],&quot;referencesOptions&quot;:{&quot;doc:6a7bcc98d6022a5f52a57e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9197460"/>
          <w:placeholder>
            <w:docPart w:val="7163AB0A61684DF4B88295F88960CC1B"/>
          </w:placeholder>
        </w:sdtPr>
        <w:sdtEndPr/>
        <w:sdtContent>
          <w:r w:rsidR="00E02F36">
            <w:rPr>
              <w:rFonts w:eastAsia="Times New Roman"/>
              <w:color w:val="000000"/>
            </w:rPr>
            <w:t>[12]</w:t>
          </w:r>
        </w:sdtContent>
      </w:sdt>
      <w:r w:rsidRPr="00D24A82">
        <w:rPr>
          <w:rFonts w:ascii="Times New Roman" w:hAnsi="Times New Roman" w:cs="Times New Roman"/>
        </w:rPr>
        <w:t>.</w:t>
      </w:r>
    </w:p>
    <w:p w14:paraId="39CEECB7" w14:textId="5AF516FB" w:rsidR="00C5359D" w:rsidRPr="00D24A82" w:rsidRDefault="00C5359D" w:rsidP="00AA7B0D">
      <w:pPr>
        <w:spacing w:after="200" w:line="360" w:lineRule="auto"/>
        <w:jc w:val="both"/>
        <w:rPr>
          <w:rFonts w:ascii="Times New Roman" w:hAnsi="Times New Roman" w:cs="Times New Roman"/>
        </w:rPr>
      </w:pPr>
      <w:r w:rsidRPr="00D24A82">
        <w:rPr>
          <w:rFonts w:ascii="Times New Roman" w:hAnsi="Times New Roman" w:cs="Times New Roman"/>
        </w:rPr>
        <w:t xml:space="preserve">This separation of duties is the core justification for the structure: the person who applies a patch is no longer also the last line of defence for confirming that it was applied, and the person who owns detection tooling is accountable specifically for the health of that tooling rather than treating it as a background utility. Reporting lines that reach the board also address a bias documented by security analysts reviewing the case, in which business leaders prioritised system availability over patch cadence; board-level visibility gives security risk equal standing </w:t>
      </w:r>
      <w:r w:rsidRPr="00D24A82">
        <w:rPr>
          <w:rFonts w:ascii="Times New Roman" w:hAnsi="Times New Roman" w:cs="Times New Roman"/>
        </w:rPr>
        <w:lastRenderedPageBreak/>
        <w:t>with the operational and revenue metrics that previously dominated Equifax's risk conversations.</w:t>
      </w:r>
    </w:p>
    <w:p w14:paraId="1F8227B8" w14:textId="7488A607" w:rsidR="00A56800" w:rsidRPr="00D24A82" w:rsidRDefault="00DF4044" w:rsidP="00AA7B0D">
      <w:pPr>
        <w:spacing w:before="200" w:line="360" w:lineRule="auto"/>
        <w:jc w:val="both"/>
        <w:rPr>
          <w:rFonts w:ascii="Times New Roman" w:hAnsi="Times New Roman" w:cs="Times New Roman"/>
        </w:rPr>
      </w:pPr>
      <w:r w:rsidRPr="00D24A82">
        <w:rPr>
          <w:rFonts w:ascii="Times New Roman" w:hAnsi="Times New Roman" w:cs="Times New Roman"/>
          <w:noProof/>
        </w:rPr>
        <w:drawing>
          <wp:inline distT="0" distB="0" distL="0" distR="0" wp14:anchorId="3D0EFD43" wp14:editId="00444723">
            <wp:extent cx="4476997" cy="3506480"/>
            <wp:effectExtent l="0" t="0" r="0" b="0"/>
            <wp:docPr id="1894654494" name="Picture 1894654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488265" cy="3515305"/>
                    </a:xfrm>
                    <a:prstGeom prst="rect">
                      <a:avLst/>
                    </a:prstGeom>
                  </pic:spPr>
                </pic:pic>
              </a:graphicData>
            </a:graphic>
          </wp:inline>
        </w:drawing>
      </w:r>
    </w:p>
    <w:p w14:paraId="5578B7FA" w14:textId="44740C7B" w:rsidR="005B3FB2" w:rsidRPr="00D24A82" w:rsidRDefault="00A56800" w:rsidP="00FC3A1D">
      <w:pPr>
        <w:spacing w:before="100" w:after="400" w:line="360" w:lineRule="auto"/>
        <w:jc w:val="both"/>
        <w:rPr>
          <w:rFonts w:ascii="Times New Roman" w:hAnsi="Times New Roman" w:cs="Times New Roman"/>
        </w:rPr>
      </w:pPr>
      <w:r w:rsidRPr="00D24A82">
        <w:rPr>
          <w:rFonts w:ascii="Times New Roman" w:eastAsia="Calibri" w:hAnsi="Times New Roman" w:cs="Times New Roman"/>
          <w:i/>
          <w:iCs/>
          <w:sz w:val="19"/>
          <w:szCs w:val="19"/>
        </w:rPr>
        <w:t>Figure 1. Proposed governance and reporting structure, separating patch ownership, detection ownership, and compliance ownership beneath a board-visible CISO.</w:t>
      </w:r>
    </w:p>
    <w:p w14:paraId="61B2A631" w14:textId="77777777" w:rsidR="00A30650" w:rsidRPr="00D24A82" w:rsidRDefault="00A30650" w:rsidP="00AA7B0D">
      <w:pPr>
        <w:pStyle w:val="Heading2"/>
        <w:spacing w:line="360" w:lineRule="auto"/>
        <w:jc w:val="both"/>
        <w:rPr>
          <w:rFonts w:ascii="Times New Roman" w:hAnsi="Times New Roman" w:cs="Times New Roman"/>
          <w:color w:val="auto"/>
        </w:rPr>
      </w:pPr>
      <w:bookmarkStart w:id="9" w:name="_Toc237381384"/>
      <w:r w:rsidRPr="00D24A82">
        <w:rPr>
          <w:rFonts w:ascii="Times New Roman" w:hAnsi="Times New Roman" w:cs="Times New Roman"/>
          <w:b/>
          <w:bCs/>
          <w:color w:val="auto"/>
        </w:rPr>
        <w:t>2. Policies and Procedures</w:t>
      </w:r>
      <w:bookmarkEnd w:id="9"/>
    </w:p>
    <w:p w14:paraId="1D9E9838" w14:textId="77777777" w:rsidR="00A30650" w:rsidRPr="00D24A82" w:rsidRDefault="00A30650" w:rsidP="00AA7B0D">
      <w:pPr>
        <w:spacing w:line="360" w:lineRule="auto"/>
        <w:jc w:val="both"/>
        <w:rPr>
          <w:rFonts w:ascii="Times New Roman" w:hAnsi="Times New Roman" w:cs="Times New Roman"/>
        </w:rPr>
      </w:pPr>
      <w:r w:rsidRPr="00D24A82">
        <w:rPr>
          <w:rFonts w:ascii="Times New Roman" w:hAnsi="Times New Roman" w:cs="Times New Roman"/>
        </w:rPr>
        <w:t>Formal policy is what turns the structure in Figure 1 into enforceable, auditable behaviour rather than good intentions. Table 1 sets out five policies mapped directly to the failure points in the case: patch management, secure development, asset visibility, monitoring and certificate management, and data protection. Each policy is written to be measurable, so that compliance can be reported as a metric to the Data Protection and Compliance lead and, ultimately, to the board, and auditable, so that an external reviewer can verify the metric against evidence rather than a policy document alone.</w:t>
      </w:r>
    </w:p>
    <w:p w14:paraId="5D04E69A" w14:textId="0316920F" w:rsidR="00496D16" w:rsidRPr="00D24A82" w:rsidRDefault="00A30650" w:rsidP="00AA7B0D">
      <w:pPr>
        <w:spacing w:line="360" w:lineRule="auto"/>
        <w:jc w:val="both"/>
        <w:rPr>
          <w:rFonts w:ascii="Times New Roman" w:hAnsi="Times New Roman" w:cs="Times New Roman"/>
        </w:rPr>
      </w:pPr>
      <w:r w:rsidRPr="00D24A82">
        <w:rPr>
          <w:rFonts w:ascii="Times New Roman" w:hAnsi="Times New Roman" w:cs="Times New Roman"/>
        </w:rPr>
        <w:t xml:space="preserve">The vulnerability and patch management policy is the most directly responsive to the case: it replaces a one-off notification to an individual with a mandatory service-level agreement by severity, automated ticketing, and an escalation trigger if the deadline is missed, so that a single missed action can be caught by the process itself rather than depending on one person remembering to act. The secure development policy requires a maintained software bill of materials for every internet-facing application, addressing the fact that Equifax's exposure to Apache Struts was, in effect, an unknown dependency risk. The monitoring and certificate </w:t>
      </w:r>
      <w:r w:rsidRPr="00D24A82">
        <w:rPr>
          <w:rFonts w:ascii="Times New Roman" w:hAnsi="Times New Roman" w:cs="Times New Roman"/>
        </w:rPr>
        <w:lastRenderedPageBreak/>
        <w:t>management policy exists specifically because an expired certificate, not a lack of monitoring tooling, was what allowed the exfiltration to continue undetected for months.</w:t>
      </w:r>
    </w:p>
    <w:p w14:paraId="4F788A44" w14:textId="1CFBBC81" w:rsidR="00111971" w:rsidRPr="00D24A82" w:rsidRDefault="003F49E6" w:rsidP="00AA7B0D">
      <w:pPr>
        <w:spacing w:line="360" w:lineRule="auto"/>
        <w:jc w:val="both"/>
        <w:rPr>
          <w:rFonts w:ascii="Times New Roman" w:hAnsi="Times New Roman" w:cs="Times New Roman"/>
          <w:b/>
          <w:bCs/>
        </w:rPr>
      </w:pPr>
      <w:r w:rsidRPr="00D24A82">
        <w:rPr>
          <w:rFonts w:ascii="Times New Roman" w:hAnsi="Times New Roman" w:cs="Times New Roman"/>
          <w:b/>
          <w:bCs/>
        </w:rPr>
        <w:t xml:space="preserve">Table 1 </w:t>
      </w:r>
      <w:r w:rsidR="00B56880">
        <w:rPr>
          <w:rFonts w:ascii="Times New Roman" w:hAnsi="Times New Roman" w:cs="Times New Roman"/>
          <w:b/>
          <w:bCs/>
        </w:rPr>
        <w:t>-</w:t>
      </w:r>
      <w:r w:rsidRPr="00D24A82">
        <w:rPr>
          <w:rFonts w:ascii="Times New Roman" w:hAnsi="Times New Roman" w:cs="Times New Roman"/>
          <w:b/>
          <w:bCs/>
        </w:rPr>
        <w:t xml:space="preserve"> Core policies mapped to Equifax's failure points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64"/>
        <w:gridCol w:w="3606"/>
        <w:gridCol w:w="3246"/>
      </w:tblGrid>
      <w:tr w:rsidR="0002162B" w:rsidRPr="00D24A82" w14:paraId="71D6ACB9" w14:textId="77777777" w:rsidTr="006D0394">
        <w:trPr>
          <w:tblHeader/>
        </w:trPr>
        <w:tc>
          <w:tcPr>
            <w:tcW w:w="1200" w:type="pct"/>
            <w:shd w:val="clear" w:color="auto" w:fill="2B3A55"/>
            <w:tcMar>
              <w:top w:w="100" w:type="dxa"/>
              <w:left w:w="120" w:type="dxa"/>
              <w:bottom w:w="100" w:type="dxa"/>
              <w:right w:w="120" w:type="dxa"/>
            </w:tcMar>
          </w:tcPr>
          <w:p w14:paraId="0DACD2C4"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b/>
                <w:bCs/>
                <w:sz w:val="19"/>
                <w:szCs w:val="19"/>
              </w:rPr>
              <w:t>Policy</w:t>
            </w:r>
          </w:p>
        </w:tc>
        <w:tc>
          <w:tcPr>
            <w:tcW w:w="2000" w:type="pct"/>
            <w:shd w:val="clear" w:color="auto" w:fill="2B3A55"/>
            <w:tcMar>
              <w:top w:w="100" w:type="dxa"/>
              <w:left w:w="120" w:type="dxa"/>
              <w:bottom w:w="100" w:type="dxa"/>
              <w:right w:w="120" w:type="dxa"/>
            </w:tcMar>
          </w:tcPr>
          <w:p w14:paraId="3A1E5D34"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b/>
                <w:bCs/>
                <w:sz w:val="19"/>
                <w:szCs w:val="19"/>
              </w:rPr>
              <w:t>Control objective</w:t>
            </w:r>
          </w:p>
        </w:tc>
        <w:tc>
          <w:tcPr>
            <w:tcW w:w="1800" w:type="pct"/>
            <w:shd w:val="clear" w:color="auto" w:fill="2B3A55"/>
            <w:tcMar>
              <w:top w:w="100" w:type="dxa"/>
              <w:left w:w="120" w:type="dxa"/>
              <w:bottom w:w="100" w:type="dxa"/>
              <w:right w:w="120" w:type="dxa"/>
            </w:tcMar>
          </w:tcPr>
          <w:p w14:paraId="39EA6FFA"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b/>
                <w:bCs/>
                <w:sz w:val="19"/>
                <w:szCs w:val="19"/>
              </w:rPr>
              <w:t>Measurable / auditable metric</w:t>
            </w:r>
          </w:p>
        </w:tc>
      </w:tr>
      <w:tr w:rsidR="0002162B" w:rsidRPr="00D24A82" w14:paraId="1E552036" w14:textId="77777777" w:rsidTr="006D0394">
        <w:tc>
          <w:tcPr>
            <w:tcW w:w="1200" w:type="pct"/>
            <w:tcMar>
              <w:top w:w="100" w:type="dxa"/>
              <w:left w:w="120" w:type="dxa"/>
              <w:bottom w:w="100" w:type="dxa"/>
              <w:right w:w="120" w:type="dxa"/>
            </w:tcMar>
          </w:tcPr>
          <w:p w14:paraId="53AD2C6B"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Vulnerability &amp; Patch Management</w:t>
            </w:r>
          </w:p>
        </w:tc>
        <w:tc>
          <w:tcPr>
            <w:tcW w:w="2000" w:type="pct"/>
            <w:tcMar>
              <w:top w:w="100" w:type="dxa"/>
              <w:left w:w="120" w:type="dxa"/>
              <w:bottom w:w="100" w:type="dxa"/>
              <w:right w:w="120" w:type="dxa"/>
            </w:tcMar>
          </w:tcPr>
          <w:p w14:paraId="358DDE69"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Critical CVEs on internet-facing assets are remediated or compensated for within a fixed SLA, with automated escalation on breach.</w:t>
            </w:r>
          </w:p>
        </w:tc>
        <w:tc>
          <w:tcPr>
            <w:tcW w:w="1800" w:type="pct"/>
            <w:tcMar>
              <w:top w:w="100" w:type="dxa"/>
              <w:left w:w="120" w:type="dxa"/>
              <w:bottom w:w="100" w:type="dxa"/>
              <w:right w:w="120" w:type="dxa"/>
            </w:tcMar>
          </w:tcPr>
          <w:p w14:paraId="1E9A3E4F"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 of critical patches closed within 72 hours; count of SLA breaches per quarter.</w:t>
            </w:r>
          </w:p>
        </w:tc>
      </w:tr>
      <w:tr w:rsidR="0002162B" w:rsidRPr="00D24A82" w14:paraId="7BDCA766" w14:textId="77777777" w:rsidTr="006D0394">
        <w:tc>
          <w:tcPr>
            <w:tcW w:w="1200" w:type="pct"/>
            <w:shd w:val="clear" w:color="auto" w:fill="EEF2F7"/>
            <w:tcMar>
              <w:top w:w="100" w:type="dxa"/>
              <w:left w:w="120" w:type="dxa"/>
              <w:bottom w:w="100" w:type="dxa"/>
              <w:right w:w="120" w:type="dxa"/>
            </w:tcMar>
          </w:tcPr>
          <w:p w14:paraId="42C18458"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Secure Software Development Lifecycle</w:t>
            </w:r>
          </w:p>
        </w:tc>
        <w:tc>
          <w:tcPr>
            <w:tcW w:w="2000" w:type="pct"/>
            <w:shd w:val="clear" w:color="auto" w:fill="EEF2F7"/>
            <w:tcMar>
              <w:top w:w="100" w:type="dxa"/>
              <w:left w:w="120" w:type="dxa"/>
              <w:bottom w:w="100" w:type="dxa"/>
              <w:right w:w="120" w:type="dxa"/>
            </w:tcMar>
          </w:tcPr>
          <w:p w14:paraId="14FEFDD0"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Every application maintains a current software bill of materials; vulnerable dependencies are identified automatically on disclosure.</w:t>
            </w:r>
          </w:p>
        </w:tc>
        <w:tc>
          <w:tcPr>
            <w:tcW w:w="1800" w:type="pct"/>
            <w:shd w:val="clear" w:color="auto" w:fill="EEF2F7"/>
            <w:tcMar>
              <w:top w:w="100" w:type="dxa"/>
              <w:left w:w="120" w:type="dxa"/>
              <w:bottom w:w="100" w:type="dxa"/>
              <w:right w:w="120" w:type="dxa"/>
            </w:tcMar>
          </w:tcPr>
          <w:p w14:paraId="155BBFE0"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 of applications with a current SBOM; time from CVE disclosure to affected-asset identification.</w:t>
            </w:r>
          </w:p>
        </w:tc>
      </w:tr>
      <w:tr w:rsidR="0002162B" w:rsidRPr="00D24A82" w14:paraId="377D0176" w14:textId="77777777" w:rsidTr="006D0394">
        <w:tc>
          <w:tcPr>
            <w:tcW w:w="1200" w:type="pct"/>
            <w:tcMar>
              <w:top w:w="100" w:type="dxa"/>
              <w:left w:w="120" w:type="dxa"/>
              <w:bottom w:w="100" w:type="dxa"/>
              <w:right w:w="120" w:type="dxa"/>
            </w:tcMar>
          </w:tcPr>
          <w:p w14:paraId="5B0EE8A4"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Asset Visibility &amp; Discovery</w:t>
            </w:r>
          </w:p>
        </w:tc>
        <w:tc>
          <w:tcPr>
            <w:tcW w:w="2000" w:type="pct"/>
            <w:tcMar>
              <w:top w:w="100" w:type="dxa"/>
              <w:left w:w="120" w:type="dxa"/>
              <w:bottom w:w="100" w:type="dxa"/>
              <w:right w:w="120" w:type="dxa"/>
            </w:tcMar>
          </w:tcPr>
          <w:p w14:paraId="65FFCDB1"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All internet-facing systems are continuously discovered and inventoried, removing blind spots such as the dispute portal.</w:t>
            </w:r>
          </w:p>
        </w:tc>
        <w:tc>
          <w:tcPr>
            <w:tcW w:w="1800" w:type="pct"/>
            <w:tcMar>
              <w:top w:w="100" w:type="dxa"/>
              <w:left w:w="120" w:type="dxa"/>
              <w:bottom w:w="100" w:type="dxa"/>
              <w:right w:w="120" w:type="dxa"/>
            </w:tcMar>
          </w:tcPr>
          <w:p w14:paraId="2182F1A5"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 of external attack surface covered by continuous discovery scanning.</w:t>
            </w:r>
          </w:p>
        </w:tc>
      </w:tr>
      <w:tr w:rsidR="0002162B" w:rsidRPr="00D24A82" w14:paraId="300CE1BD" w14:textId="77777777" w:rsidTr="006D0394">
        <w:tc>
          <w:tcPr>
            <w:tcW w:w="1200" w:type="pct"/>
            <w:shd w:val="clear" w:color="auto" w:fill="EEF2F7"/>
            <w:tcMar>
              <w:top w:w="100" w:type="dxa"/>
              <w:left w:w="120" w:type="dxa"/>
              <w:bottom w:w="100" w:type="dxa"/>
              <w:right w:w="120" w:type="dxa"/>
            </w:tcMar>
          </w:tcPr>
          <w:p w14:paraId="51ADE063"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Monitoring &amp; Certificate Management</w:t>
            </w:r>
          </w:p>
        </w:tc>
        <w:tc>
          <w:tcPr>
            <w:tcW w:w="2000" w:type="pct"/>
            <w:shd w:val="clear" w:color="auto" w:fill="EEF2F7"/>
            <w:tcMar>
              <w:top w:w="100" w:type="dxa"/>
              <w:left w:w="120" w:type="dxa"/>
              <w:bottom w:w="100" w:type="dxa"/>
              <w:right w:w="120" w:type="dxa"/>
            </w:tcMar>
          </w:tcPr>
          <w:p w14:paraId="16860B9C"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Security monitoring and inspection tooling, including TLS certificates, is automatically tracked and renewed before expiry.</w:t>
            </w:r>
          </w:p>
        </w:tc>
        <w:tc>
          <w:tcPr>
            <w:tcW w:w="1800" w:type="pct"/>
            <w:shd w:val="clear" w:color="auto" w:fill="EEF2F7"/>
            <w:tcMar>
              <w:top w:w="100" w:type="dxa"/>
              <w:left w:w="120" w:type="dxa"/>
              <w:bottom w:w="100" w:type="dxa"/>
              <w:right w:w="120" w:type="dxa"/>
            </w:tcMar>
          </w:tcPr>
          <w:p w14:paraId="2F782AC0"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Number of expired-certificate incidents; monitoring tool uptime %.</w:t>
            </w:r>
          </w:p>
        </w:tc>
      </w:tr>
      <w:tr w:rsidR="0002162B" w:rsidRPr="00D24A82" w14:paraId="3D40CA96" w14:textId="77777777" w:rsidTr="006D0394">
        <w:tc>
          <w:tcPr>
            <w:tcW w:w="1200" w:type="pct"/>
            <w:tcMar>
              <w:top w:w="100" w:type="dxa"/>
              <w:left w:w="120" w:type="dxa"/>
              <w:bottom w:w="100" w:type="dxa"/>
              <w:right w:w="120" w:type="dxa"/>
            </w:tcMar>
          </w:tcPr>
          <w:p w14:paraId="793CEF44"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Data Protection &amp; Minimisation</w:t>
            </w:r>
          </w:p>
        </w:tc>
        <w:tc>
          <w:tcPr>
            <w:tcW w:w="2000" w:type="pct"/>
            <w:tcMar>
              <w:top w:w="100" w:type="dxa"/>
              <w:left w:w="120" w:type="dxa"/>
              <w:bottom w:w="100" w:type="dxa"/>
              <w:right w:w="120" w:type="dxa"/>
            </w:tcMar>
          </w:tcPr>
          <w:p w14:paraId="31B3FB37"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Sensitive personal data (e.g. Social Security numbers) is encrypted at rest and tokenised where feasible, limiting the value of any single breach.</w:t>
            </w:r>
          </w:p>
        </w:tc>
        <w:tc>
          <w:tcPr>
            <w:tcW w:w="1800" w:type="pct"/>
            <w:tcMar>
              <w:top w:w="100" w:type="dxa"/>
              <w:left w:w="120" w:type="dxa"/>
              <w:bottom w:w="100" w:type="dxa"/>
              <w:right w:w="120" w:type="dxa"/>
            </w:tcMar>
          </w:tcPr>
          <w:p w14:paraId="60B93C07"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 of sensitive data fields tokenised or encrypted; data retention compliance rate.</w:t>
            </w:r>
          </w:p>
        </w:tc>
      </w:tr>
    </w:tbl>
    <w:p w14:paraId="79172D92" w14:textId="0C7C3034" w:rsidR="006D1ED9" w:rsidRPr="00D24A82" w:rsidRDefault="0002162B" w:rsidP="00FC3A1D">
      <w:pPr>
        <w:spacing w:before="100" w:after="400" w:line="360" w:lineRule="auto"/>
        <w:jc w:val="both"/>
        <w:rPr>
          <w:rFonts w:ascii="Times New Roman" w:hAnsi="Times New Roman" w:cs="Times New Roman"/>
        </w:rPr>
      </w:pPr>
      <w:r w:rsidRPr="00D24A82">
        <w:rPr>
          <w:rFonts w:ascii="Times New Roman" w:eastAsia="Calibri" w:hAnsi="Times New Roman" w:cs="Times New Roman"/>
          <w:i/>
          <w:iCs/>
          <w:sz w:val="19"/>
          <w:szCs w:val="19"/>
        </w:rPr>
        <w:t>Table 1. Core policies mapped to Equifax's failure points, with measurable and auditable metrics.</w:t>
      </w:r>
    </w:p>
    <w:p w14:paraId="095AD192" w14:textId="77777777" w:rsidR="006D1ED9" w:rsidRPr="00D24A82" w:rsidRDefault="006D1ED9" w:rsidP="00AA7B0D">
      <w:pPr>
        <w:pStyle w:val="Heading2"/>
        <w:spacing w:line="360" w:lineRule="auto"/>
        <w:jc w:val="both"/>
        <w:rPr>
          <w:rFonts w:ascii="Times New Roman" w:hAnsi="Times New Roman" w:cs="Times New Roman"/>
          <w:color w:val="auto"/>
        </w:rPr>
      </w:pPr>
      <w:bookmarkStart w:id="10" w:name="_Toc237381385"/>
      <w:r w:rsidRPr="00D24A82">
        <w:rPr>
          <w:rFonts w:ascii="Times New Roman" w:hAnsi="Times New Roman" w:cs="Times New Roman"/>
          <w:b/>
          <w:bCs/>
          <w:color w:val="auto"/>
        </w:rPr>
        <w:t>3. Governance and Strategic Alignment</w:t>
      </w:r>
      <w:bookmarkEnd w:id="10"/>
    </w:p>
    <w:p w14:paraId="7C2692F8" w14:textId="00A98767" w:rsidR="006D1ED9" w:rsidRDefault="006D1ED9" w:rsidP="00AA7B0D">
      <w:pPr>
        <w:spacing w:line="360" w:lineRule="auto"/>
        <w:jc w:val="both"/>
        <w:rPr>
          <w:rFonts w:ascii="Times New Roman" w:hAnsi="Times New Roman" w:cs="Times New Roman"/>
        </w:rPr>
      </w:pPr>
      <w:r w:rsidRPr="00D24A82">
        <w:rPr>
          <w:rFonts w:ascii="Times New Roman" w:hAnsi="Times New Roman" w:cs="Times New Roman"/>
        </w:rPr>
        <w:t>Strategic alignment is demonstrated most clearly by mapping the proposed programme onto NIST's Cybersecurity Framework (CSF) 2.0, which structures cybersecurity outcomes around six functions: Govern, Identify, Protect, Detect, Respond, and Recover. CSF 2.0 added Govern as a new, central function specifically to ensure that cybersecurity strategy, policy, and accountability sit at leadership level rather than being treated purely as a technical concern, which is the exact gap identified in Section 1 of this scenario. Table 2 maps each CSF function to the corresponding element of the proposed programme.</w:t>
      </w:r>
    </w:p>
    <w:p w14:paraId="7C2F6CB8" w14:textId="77777777" w:rsidR="00530EB7" w:rsidRDefault="00530EB7" w:rsidP="00AA7B0D">
      <w:pPr>
        <w:spacing w:line="360" w:lineRule="auto"/>
        <w:jc w:val="both"/>
        <w:rPr>
          <w:rFonts w:ascii="Times New Roman" w:hAnsi="Times New Roman" w:cs="Times New Roman"/>
        </w:rPr>
      </w:pPr>
    </w:p>
    <w:p w14:paraId="14B2E6D6" w14:textId="77777777" w:rsidR="00530EB7" w:rsidRPr="00D24A82" w:rsidRDefault="00530EB7" w:rsidP="00AA7B0D">
      <w:pPr>
        <w:spacing w:line="360" w:lineRule="auto"/>
        <w:jc w:val="both"/>
        <w:rPr>
          <w:rFonts w:ascii="Times New Roman" w:hAnsi="Times New Roman" w:cs="Times New Roman"/>
        </w:rPr>
      </w:pPr>
    </w:p>
    <w:p w14:paraId="66E96A63" w14:textId="190B8080" w:rsidR="006D1ED9" w:rsidRPr="00D24A82" w:rsidRDefault="006D1ED9" w:rsidP="00AA7B0D">
      <w:pPr>
        <w:pStyle w:val="ListParagraph"/>
        <w:spacing w:line="360" w:lineRule="auto"/>
        <w:ind w:left="510"/>
        <w:jc w:val="both"/>
        <w:rPr>
          <w:rFonts w:ascii="Times New Roman" w:hAnsi="Times New Roman" w:cs="Times New Roman"/>
          <w:b/>
          <w:bCs/>
        </w:rPr>
      </w:pPr>
      <w:r w:rsidRPr="00D24A82">
        <w:rPr>
          <w:rFonts w:ascii="Times New Roman" w:hAnsi="Times New Roman" w:cs="Times New Roman"/>
          <w:b/>
          <w:bCs/>
        </w:rPr>
        <w:t xml:space="preserve">Table 2 </w:t>
      </w:r>
      <w:r w:rsidR="00B56880">
        <w:rPr>
          <w:rFonts w:ascii="Times New Roman" w:hAnsi="Times New Roman" w:cs="Times New Roman"/>
          <w:b/>
          <w:bCs/>
        </w:rPr>
        <w:t>-</w:t>
      </w:r>
      <w:r w:rsidRPr="00D24A82">
        <w:rPr>
          <w:rFonts w:ascii="Times New Roman" w:hAnsi="Times New Roman" w:cs="Times New Roman"/>
          <w:b/>
          <w:bCs/>
        </w:rPr>
        <w:t xml:space="preserve"> Mapping to NIST CSF 2.0</w:t>
      </w:r>
    </w:p>
    <w:tbl>
      <w:tblPr>
        <w:tblW w:w="5000" w:type="pct"/>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2"/>
        <w:gridCol w:w="3608"/>
        <w:gridCol w:w="3606"/>
      </w:tblGrid>
      <w:tr w:rsidR="002A0919" w:rsidRPr="00D24A82" w14:paraId="5D60DCFC" w14:textId="77777777" w:rsidTr="00B1392C">
        <w:trPr>
          <w:trHeight w:val="688"/>
          <w:tblHeader/>
        </w:trPr>
        <w:tc>
          <w:tcPr>
            <w:tcW w:w="999" w:type="pct"/>
            <w:shd w:val="clear" w:color="auto" w:fill="2B3A55"/>
            <w:tcMar>
              <w:top w:w="100" w:type="dxa"/>
              <w:left w:w="120" w:type="dxa"/>
              <w:bottom w:w="100" w:type="dxa"/>
              <w:right w:w="120" w:type="dxa"/>
            </w:tcMar>
          </w:tcPr>
          <w:p w14:paraId="305190CC"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b/>
                <w:bCs/>
                <w:sz w:val="19"/>
                <w:szCs w:val="19"/>
              </w:rPr>
              <w:t>CSF 2.0 function</w:t>
            </w:r>
          </w:p>
        </w:tc>
        <w:tc>
          <w:tcPr>
            <w:tcW w:w="2001" w:type="pct"/>
            <w:shd w:val="clear" w:color="auto" w:fill="2B3A55"/>
            <w:tcMar>
              <w:top w:w="100" w:type="dxa"/>
              <w:left w:w="120" w:type="dxa"/>
              <w:bottom w:w="100" w:type="dxa"/>
              <w:right w:w="120" w:type="dxa"/>
            </w:tcMar>
          </w:tcPr>
          <w:p w14:paraId="442CAD56"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b/>
                <w:bCs/>
                <w:sz w:val="19"/>
                <w:szCs w:val="19"/>
              </w:rPr>
              <w:t>Equifax failure point addressed</w:t>
            </w:r>
          </w:p>
        </w:tc>
        <w:tc>
          <w:tcPr>
            <w:tcW w:w="2001" w:type="pct"/>
            <w:shd w:val="clear" w:color="auto" w:fill="2B3A55"/>
            <w:tcMar>
              <w:top w:w="100" w:type="dxa"/>
              <w:left w:w="120" w:type="dxa"/>
              <w:bottom w:w="100" w:type="dxa"/>
              <w:right w:w="120" w:type="dxa"/>
            </w:tcMar>
          </w:tcPr>
          <w:p w14:paraId="0102A42C"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b/>
                <w:bCs/>
                <w:sz w:val="19"/>
                <w:szCs w:val="19"/>
              </w:rPr>
              <w:t>Corresponding programme element</w:t>
            </w:r>
          </w:p>
        </w:tc>
      </w:tr>
      <w:tr w:rsidR="002A0919" w:rsidRPr="00D24A82" w14:paraId="1D6CBE21" w14:textId="77777777" w:rsidTr="00B1392C">
        <w:trPr>
          <w:trHeight w:val="925"/>
        </w:trPr>
        <w:tc>
          <w:tcPr>
            <w:tcW w:w="999" w:type="pct"/>
            <w:tcMar>
              <w:top w:w="100" w:type="dxa"/>
              <w:left w:w="120" w:type="dxa"/>
              <w:bottom w:w="100" w:type="dxa"/>
              <w:right w:w="120" w:type="dxa"/>
            </w:tcMar>
          </w:tcPr>
          <w:p w14:paraId="680AA7CE"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Govern</w:t>
            </w:r>
          </w:p>
        </w:tc>
        <w:tc>
          <w:tcPr>
            <w:tcW w:w="2001" w:type="pct"/>
            <w:tcMar>
              <w:top w:w="100" w:type="dxa"/>
              <w:left w:w="120" w:type="dxa"/>
              <w:bottom w:w="100" w:type="dxa"/>
              <w:right w:w="120" w:type="dxa"/>
            </w:tcMar>
          </w:tcPr>
          <w:p w14:paraId="7BD48397"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Security reported below executive level; risk appetite and accountability were unclear.</w:t>
            </w:r>
          </w:p>
        </w:tc>
        <w:tc>
          <w:tcPr>
            <w:tcW w:w="2001" w:type="pct"/>
            <w:tcMar>
              <w:top w:w="100" w:type="dxa"/>
              <w:left w:w="120" w:type="dxa"/>
              <w:bottom w:w="100" w:type="dxa"/>
              <w:right w:w="120" w:type="dxa"/>
            </w:tcMar>
          </w:tcPr>
          <w:p w14:paraId="22C93E6E"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Board-visible CISO role; enterprise risk appetite statement; Board Risk and Audit Committee escalation line (Figure 1).</w:t>
            </w:r>
          </w:p>
        </w:tc>
      </w:tr>
      <w:tr w:rsidR="002A0919" w:rsidRPr="00D24A82" w14:paraId="49F8F5CF" w14:textId="77777777" w:rsidTr="00B1392C">
        <w:trPr>
          <w:trHeight w:val="664"/>
        </w:trPr>
        <w:tc>
          <w:tcPr>
            <w:tcW w:w="999" w:type="pct"/>
            <w:shd w:val="clear" w:color="auto" w:fill="EEF2F7"/>
            <w:tcMar>
              <w:top w:w="100" w:type="dxa"/>
              <w:left w:w="120" w:type="dxa"/>
              <w:bottom w:w="100" w:type="dxa"/>
              <w:right w:w="120" w:type="dxa"/>
            </w:tcMar>
          </w:tcPr>
          <w:p w14:paraId="6FC6CC5B"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Identify</w:t>
            </w:r>
          </w:p>
        </w:tc>
        <w:tc>
          <w:tcPr>
            <w:tcW w:w="2001" w:type="pct"/>
            <w:shd w:val="clear" w:color="auto" w:fill="EEF2F7"/>
            <w:tcMar>
              <w:top w:w="100" w:type="dxa"/>
              <w:left w:w="120" w:type="dxa"/>
              <w:bottom w:w="100" w:type="dxa"/>
              <w:right w:w="120" w:type="dxa"/>
            </w:tcMar>
          </w:tcPr>
          <w:p w14:paraId="389AAD21"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Vulnerable Apache Struts dependency was not tracked as a known asset/risk.</w:t>
            </w:r>
          </w:p>
        </w:tc>
        <w:tc>
          <w:tcPr>
            <w:tcW w:w="2001" w:type="pct"/>
            <w:shd w:val="clear" w:color="auto" w:fill="EEF2F7"/>
            <w:tcMar>
              <w:top w:w="100" w:type="dxa"/>
              <w:left w:w="120" w:type="dxa"/>
              <w:bottom w:w="100" w:type="dxa"/>
              <w:right w:w="120" w:type="dxa"/>
            </w:tcMar>
          </w:tcPr>
          <w:p w14:paraId="20F09E63"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Continuous asset discovery and software bill of materials (Table 1, Policy 2 &amp; 3).</w:t>
            </w:r>
          </w:p>
        </w:tc>
      </w:tr>
      <w:tr w:rsidR="002A0919" w:rsidRPr="00D24A82" w14:paraId="1EF3830F" w14:textId="77777777" w:rsidTr="00B1392C">
        <w:trPr>
          <w:trHeight w:val="688"/>
        </w:trPr>
        <w:tc>
          <w:tcPr>
            <w:tcW w:w="999" w:type="pct"/>
            <w:tcMar>
              <w:top w:w="100" w:type="dxa"/>
              <w:left w:w="120" w:type="dxa"/>
              <w:bottom w:w="100" w:type="dxa"/>
              <w:right w:w="120" w:type="dxa"/>
            </w:tcMar>
          </w:tcPr>
          <w:p w14:paraId="6EFAE8BA"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Protect</w:t>
            </w:r>
          </w:p>
        </w:tc>
        <w:tc>
          <w:tcPr>
            <w:tcW w:w="2001" w:type="pct"/>
            <w:tcMar>
              <w:top w:w="100" w:type="dxa"/>
              <w:left w:w="120" w:type="dxa"/>
              <w:bottom w:w="100" w:type="dxa"/>
              <w:right w:w="120" w:type="dxa"/>
            </w:tcMar>
          </w:tcPr>
          <w:p w14:paraId="2ABF224E"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Patch was not applied; network lacked segmentation to contain lateral movement.</w:t>
            </w:r>
          </w:p>
        </w:tc>
        <w:tc>
          <w:tcPr>
            <w:tcW w:w="2001" w:type="pct"/>
            <w:tcMar>
              <w:top w:w="100" w:type="dxa"/>
              <w:left w:w="120" w:type="dxa"/>
              <w:bottom w:w="100" w:type="dxa"/>
              <w:right w:w="120" w:type="dxa"/>
            </w:tcMar>
          </w:tcPr>
          <w:p w14:paraId="0193D232"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Patch SLA policy; network segmentation under the Security Architecture lead.</w:t>
            </w:r>
          </w:p>
        </w:tc>
      </w:tr>
      <w:tr w:rsidR="002A0919" w:rsidRPr="00D24A82" w14:paraId="31C87359" w14:textId="77777777" w:rsidTr="00B1392C">
        <w:trPr>
          <w:trHeight w:val="925"/>
        </w:trPr>
        <w:tc>
          <w:tcPr>
            <w:tcW w:w="999" w:type="pct"/>
            <w:shd w:val="clear" w:color="auto" w:fill="EEF2F7"/>
            <w:tcMar>
              <w:top w:w="100" w:type="dxa"/>
              <w:left w:w="120" w:type="dxa"/>
              <w:bottom w:w="100" w:type="dxa"/>
              <w:right w:w="120" w:type="dxa"/>
            </w:tcMar>
          </w:tcPr>
          <w:p w14:paraId="7EF7A772"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Detect</w:t>
            </w:r>
          </w:p>
        </w:tc>
        <w:tc>
          <w:tcPr>
            <w:tcW w:w="2001" w:type="pct"/>
            <w:shd w:val="clear" w:color="auto" w:fill="EEF2F7"/>
            <w:tcMar>
              <w:top w:w="100" w:type="dxa"/>
              <w:left w:w="120" w:type="dxa"/>
              <w:bottom w:w="100" w:type="dxa"/>
              <w:right w:w="120" w:type="dxa"/>
            </w:tcMar>
          </w:tcPr>
          <w:p w14:paraId="7DDFB350"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Exfiltration ran undetected for c. two and a half months due to an expired inspection certificate.</w:t>
            </w:r>
          </w:p>
        </w:tc>
        <w:tc>
          <w:tcPr>
            <w:tcW w:w="2001" w:type="pct"/>
            <w:shd w:val="clear" w:color="auto" w:fill="EEF2F7"/>
            <w:tcMar>
              <w:top w:w="100" w:type="dxa"/>
              <w:left w:w="120" w:type="dxa"/>
              <w:bottom w:w="100" w:type="dxa"/>
              <w:right w:w="120" w:type="dxa"/>
            </w:tcMar>
          </w:tcPr>
          <w:p w14:paraId="09EF0611"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Certificate and monitoring-tool health policy; SIEM feed to the Detection &amp; Incident Response lead.</w:t>
            </w:r>
          </w:p>
        </w:tc>
      </w:tr>
      <w:tr w:rsidR="002A0919" w:rsidRPr="00D24A82" w14:paraId="1136D4F5" w14:textId="77777777" w:rsidTr="00B1392C">
        <w:trPr>
          <w:trHeight w:val="949"/>
        </w:trPr>
        <w:tc>
          <w:tcPr>
            <w:tcW w:w="999" w:type="pct"/>
            <w:tcMar>
              <w:top w:w="100" w:type="dxa"/>
              <w:left w:w="120" w:type="dxa"/>
              <w:bottom w:w="100" w:type="dxa"/>
              <w:right w:w="120" w:type="dxa"/>
            </w:tcMar>
          </w:tcPr>
          <w:p w14:paraId="71FDE782"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Respond</w:t>
            </w:r>
          </w:p>
        </w:tc>
        <w:tc>
          <w:tcPr>
            <w:tcW w:w="2001" w:type="pct"/>
            <w:tcMar>
              <w:top w:w="100" w:type="dxa"/>
              <w:left w:w="120" w:type="dxa"/>
              <w:bottom w:w="100" w:type="dxa"/>
              <w:right w:w="120" w:type="dxa"/>
            </w:tcMar>
          </w:tcPr>
          <w:p w14:paraId="34A75FB0"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Slow, criticised public communication and unclear internal escalation after discovery.</w:t>
            </w:r>
          </w:p>
        </w:tc>
        <w:tc>
          <w:tcPr>
            <w:tcW w:w="2001" w:type="pct"/>
            <w:tcMar>
              <w:top w:w="100" w:type="dxa"/>
              <w:left w:w="120" w:type="dxa"/>
              <w:bottom w:w="100" w:type="dxa"/>
              <w:right w:w="120" w:type="dxa"/>
            </w:tcMar>
          </w:tcPr>
          <w:p w14:paraId="140EA75A"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Documented incident response playbook with defined roles and executive communication plan (Section 5).</w:t>
            </w:r>
          </w:p>
        </w:tc>
      </w:tr>
      <w:tr w:rsidR="002A0919" w:rsidRPr="00D24A82" w14:paraId="35ABDDCF" w14:textId="77777777" w:rsidTr="00B1392C">
        <w:trPr>
          <w:trHeight w:val="925"/>
        </w:trPr>
        <w:tc>
          <w:tcPr>
            <w:tcW w:w="999" w:type="pct"/>
            <w:shd w:val="clear" w:color="auto" w:fill="EEF2F7"/>
            <w:tcMar>
              <w:top w:w="100" w:type="dxa"/>
              <w:left w:w="120" w:type="dxa"/>
              <w:bottom w:w="100" w:type="dxa"/>
              <w:right w:w="120" w:type="dxa"/>
            </w:tcMar>
          </w:tcPr>
          <w:p w14:paraId="7F946363"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Recover</w:t>
            </w:r>
          </w:p>
        </w:tc>
        <w:tc>
          <w:tcPr>
            <w:tcW w:w="2001" w:type="pct"/>
            <w:shd w:val="clear" w:color="auto" w:fill="EEF2F7"/>
            <w:tcMar>
              <w:top w:w="100" w:type="dxa"/>
              <w:left w:w="120" w:type="dxa"/>
              <w:bottom w:w="100" w:type="dxa"/>
              <w:right w:w="120" w:type="dxa"/>
            </w:tcMar>
          </w:tcPr>
          <w:p w14:paraId="7AB5C97E"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Consumer remediation (credit-lock service) was reactive and introduced after public pressure.</w:t>
            </w:r>
          </w:p>
        </w:tc>
        <w:tc>
          <w:tcPr>
            <w:tcW w:w="2001" w:type="pct"/>
            <w:shd w:val="clear" w:color="auto" w:fill="EEF2F7"/>
            <w:tcMar>
              <w:top w:w="100" w:type="dxa"/>
              <w:left w:w="120" w:type="dxa"/>
              <w:bottom w:w="100" w:type="dxa"/>
              <w:right w:w="120" w:type="dxa"/>
            </w:tcMar>
          </w:tcPr>
          <w:p w14:paraId="2AFFE2C8"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Pre-agreed business continuity and consumer-remediation plan tested before an incident occurs.</w:t>
            </w:r>
          </w:p>
        </w:tc>
      </w:tr>
    </w:tbl>
    <w:p w14:paraId="18F2A932" w14:textId="2E065CF8" w:rsidR="002A0919" w:rsidRPr="00B62D2E" w:rsidRDefault="002A0919" w:rsidP="00B62D2E">
      <w:pPr>
        <w:spacing w:before="100" w:after="400" w:line="360" w:lineRule="auto"/>
        <w:jc w:val="both"/>
        <w:rPr>
          <w:rFonts w:ascii="Times New Roman" w:hAnsi="Times New Roman" w:cs="Times New Roman"/>
        </w:rPr>
      </w:pPr>
      <w:r w:rsidRPr="00D24A82">
        <w:rPr>
          <w:rFonts w:ascii="Times New Roman" w:eastAsia="Calibri" w:hAnsi="Times New Roman" w:cs="Times New Roman"/>
          <w:i/>
          <w:iCs/>
          <w:sz w:val="19"/>
          <w:szCs w:val="19"/>
        </w:rPr>
        <w:t>Table 2. Mapping of the proposed cybersecurity programme to the NIST CSF 2.0 core functions.</w:t>
      </w:r>
    </w:p>
    <w:p w14:paraId="113AB435" w14:textId="6378DE2D" w:rsidR="006D1ED9" w:rsidRPr="00D24A82" w:rsidRDefault="00165EDD" w:rsidP="00AA7B0D">
      <w:pPr>
        <w:spacing w:line="360" w:lineRule="auto"/>
        <w:jc w:val="both"/>
        <w:rPr>
          <w:rFonts w:ascii="Times New Roman" w:hAnsi="Times New Roman" w:cs="Times New Roman"/>
        </w:rPr>
      </w:pPr>
      <w:r w:rsidRPr="00D24A82">
        <w:rPr>
          <w:rFonts w:ascii="Times New Roman" w:hAnsi="Times New Roman" w:cs="Times New Roman"/>
        </w:rPr>
        <w:t>This mapping shows why governance and strategy cannot be separated from technical controls: every technical fix proposed in this report, from patch SLAs to certificate monitoring, only becomes durable once it sits inside a function that leadership is formally accountable for. For an organisation whose entire business model depends on being trusted to hold other people's financial data, this alignment is also a direct link to long-term commercial resilience; a credit bureau that cannot demonstrate structured governance has, in effect, no product.</w:t>
      </w:r>
    </w:p>
    <w:p w14:paraId="64EF3890" w14:textId="77777777" w:rsidR="00165EDD" w:rsidRPr="00D24A82" w:rsidRDefault="00165EDD" w:rsidP="00AA7B0D">
      <w:pPr>
        <w:pStyle w:val="Heading2"/>
        <w:spacing w:line="360" w:lineRule="auto"/>
        <w:jc w:val="both"/>
        <w:rPr>
          <w:rFonts w:ascii="Times New Roman" w:hAnsi="Times New Roman" w:cs="Times New Roman"/>
          <w:b/>
          <w:bCs/>
          <w:color w:val="auto"/>
        </w:rPr>
      </w:pPr>
      <w:bookmarkStart w:id="11" w:name="_Toc237381386"/>
      <w:r w:rsidRPr="00D24A82">
        <w:rPr>
          <w:rFonts w:ascii="Times New Roman" w:hAnsi="Times New Roman" w:cs="Times New Roman"/>
          <w:b/>
          <w:bCs/>
          <w:color w:val="auto"/>
        </w:rPr>
        <w:lastRenderedPageBreak/>
        <w:t>4. Risk Management and Assessment</w:t>
      </w:r>
      <w:bookmarkEnd w:id="11"/>
    </w:p>
    <w:p w14:paraId="4859D1FD" w14:textId="05EB2013" w:rsidR="00165EDD" w:rsidRPr="00D24A82" w:rsidRDefault="00165EDD" w:rsidP="00AA7B0D">
      <w:pPr>
        <w:spacing w:line="360" w:lineRule="auto"/>
        <w:jc w:val="both"/>
        <w:rPr>
          <w:rFonts w:ascii="Times New Roman" w:hAnsi="Times New Roman" w:cs="Times New Roman"/>
        </w:rPr>
      </w:pPr>
      <w:r w:rsidRPr="00D24A82">
        <w:rPr>
          <w:rFonts w:ascii="Times New Roman" w:hAnsi="Times New Roman" w:cs="Times New Roman"/>
        </w:rPr>
        <w:t>Figure 2 presents a high-level risk assessment of the vulnerabilities exposed by the case, plotted by likelihood and impact. Two risks sit in the highest band. First, unpatched, internet-facing software of the kind exemplified by CVE-2017-5638 combines proven likelihood, the vulnerability was public and being actively exploited within days of disclosure, with catastrophic impact, since it was the initial entry point for the entire breach. Second, and closely related, unpatched third-party and open-source components carry the same profile because most organisations, including Equifax at the time, do not maintain a complete inventory of the open-source dependencies embedded in their applications.</w:t>
      </w:r>
    </w:p>
    <w:p w14:paraId="17EC7741" w14:textId="154BAA90" w:rsidR="00530EB7" w:rsidRPr="00D24A82" w:rsidRDefault="00165EDD" w:rsidP="00AA7B0D">
      <w:pPr>
        <w:spacing w:line="360" w:lineRule="auto"/>
        <w:jc w:val="both"/>
        <w:rPr>
          <w:rFonts w:ascii="Times New Roman" w:hAnsi="Times New Roman" w:cs="Times New Roman"/>
        </w:rPr>
      </w:pPr>
      <w:r w:rsidRPr="00D24A82">
        <w:rPr>
          <w:rFonts w:ascii="Times New Roman" w:hAnsi="Times New Roman" w:cs="Times New Roman"/>
        </w:rPr>
        <w:t>A major-but-lower band contains the expired monitoring certificate and the lack of network segmentation. Both risks did not cause the initial compromise but determined how much damage the compromise was allowed to do: the certificate failure removed detection capability for months, and a flat network allowed the attackers to move from the dispute portal into systems holding the core consumer data. Weak credential hygiene and privileged access controls sit in the moderate band; on their own they did not initiate the breach, but they are consistently cited as a factor that allowed lateral movement once attackers were inside the network</w:t>
      </w:r>
      <w:r w:rsidR="009F39CE">
        <w:rPr>
          <w:rFonts w:ascii="Times New Roman" w:hAnsi="Times New Roman" w:cs="Times New Roman"/>
          <w:color w:val="000000"/>
        </w:rPr>
        <w:t xml:space="preserve">. </w:t>
      </w:r>
      <w:r w:rsidRPr="00D24A82">
        <w:rPr>
          <w:rFonts w:ascii="Times New Roman" w:hAnsi="Times New Roman" w:cs="Times New Roman"/>
        </w:rPr>
        <w:t xml:space="preserve">A final risk, delayed internal escalation of a known vulnerability to the person </w:t>
      </w:r>
      <w:proofErr w:type="gramStart"/>
      <w:r w:rsidRPr="00D24A82">
        <w:rPr>
          <w:rFonts w:ascii="Times New Roman" w:hAnsi="Times New Roman" w:cs="Times New Roman"/>
        </w:rPr>
        <w:t>actually responsible</w:t>
      </w:r>
      <w:proofErr w:type="gramEnd"/>
      <w:r w:rsidRPr="00D24A82">
        <w:rPr>
          <w:rFonts w:ascii="Times New Roman" w:hAnsi="Times New Roman" w:cs="Times New Roman"/>
        </w:rPr>
        <w:t xml:space="preserve"> for the affected system, is rated likely and major, since the case demonstrates that a notification alone, without an enforced verification step, is not sufficient to guarantee remediation.</w:t>
      </w:r>
    </w:p>
    <w:p w14:paraId="0EEB17BA" w14:textId="17F55C22" w:rsidR="00A4491B" w:rsidRPr="00D24A82" w:rsidRDefault="000E1F0C" w:rsidP="00AA7B0D">
      <w:pPr>
        <w:spacing w:before="200" w:line="360" w:lineRule="auto"/>
        <w:jc w:val="both"/>
        <w:rPr>
          <w:rFonts w:ascii="Times New Roman" w:hAnsi="Times New Roman" w:cs="Times New Roman"/>
        </w:rPr>
      </w:pPr>
      <w:r w:rsidRPr="00D24A82">
        <w:rPr>
          <w:rFonts w:ascii="Times New Roman" w:hAnsi="Times New Roman" w:cs="Times New Roman"/>
          <w:noProof/>
        </w:rPr>
        <w:drawing>
          <wp:inline distT="0" distB="0" distL="0" distR="0" wp14:anchorId="0D94368E" wp14:editId="7AB482F5">
            <wp:extent cx="3415571" cy="3586348"/>
            <wp:effectExtent l="0" t="0" r="0" b="0"/>
            <wp:docPr id="4878647" name="Picture 4878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3430269" cy="3601781"/>
                    </a:xfrm>
                    <a:prstGeom prst="rect">
                      <a:avLst/>
                    </a:prstGeom>
                  </pic:spPr>
                </pic:pic>
              </a:graphicData>
            </a:graphic>
          </wp:inline>
        </w:drawing>
      </w:r>
    </w:p>
    <w:p w14:paraId="35C86438" w14:textId="77777777" w:rsidR="006C19E4" w:rsidRPr="00D24A82" w:rsidRDefault="006C19E4" w:rsidP="002E2C97">
      <w:pPr>
        <w:spacing w:before="100" w:after="400" w:line="360" w:lineRule="auto"/>
        <w:jc w:val="center"/>
        <w:rPr>
          <w:rFonts w:ascii="Times New Roman" w:hAnsi="Times New Roman" w:cs="Times New Roman"/>
        </w:rPr>
      </w:pPr>
      <w:r w:rsidRPr="00D24A82">
        <w:rPr>
          <w:rFonts w:ascii="Times New Roman" w:eastAsia="Calibri" w:hAnsi="Times New Roman" w:cs="Times New Roman"/>
          <w:i/>
          <w:iCs/>
          <w:sz w:val="19"/>
          <w:szCs w:val="19"/>
        </w:rPr>
        <w:lastRenderedPageBreak/>
        <w:t>Figure 2. Illustrative risk register plotted by likelihood and impact, based on the vulnerabilities exposed by the Equifax case.</w:t>
      </w:r>
    </w:p>
    <w:p w14:paraId="5511C535" w14:textId="405E4D06" w:rsidR="002A0919" w:rsidRPr="00D24A82" w:rsidRDefault="00165EDD" w:rsidP="00AA7B0D">
      <w:pPr>
        <w:spacing w:line="360" w:lineRule="auto"/>
        <w:jc w:val="both"/>
        <w:rPr>
          <w:rFonts w:ascii="Times New Roman" w:hAnsi="Times New Roman" w:cs="Times New Roman"/>
        </w:rPr>
      </w:pPr>
      <w:r w:rsidRPr="00D24A82">
        <w:rPr>
          <w:rFonts w:ascii="Times New Roman" w:hAnsi="Times New Roman" w:cs="Times New Roman"/>
        </w:rPr>
        <w:t>The mitigation rationale follows directly from this prioritisation. For the two highest-rated risks, a compensating control such as a web application firewall rule should be deployed immediately on disclosure of a critical CVE, closing the exploitation window even before the formal patch cycle completes, since the case shows that relying on the patch cycle alone left a gap of several weeks. For the major-band risks, segmentation limits how far an attacker can move even if the perimeter is breached again, and automated certificate-expiry alerting removes the single point of failure that turned a contained intrusion into a two-and-a-half-month undetected exfiltration. All risks should be formally reassessed on a recurring, at minimum quarterly, cycle under the CSF Identify function, since a risk register produced once at programme launch would itself repeat the static, one-off assessment culture that failed to catch this vulnerability the first time.</w:t>
      </w:r>
    </w:p>
    <w:p w14:paraId="58B1CEE4" w14:textId="18E915C6" w:rsidR="00303809" w:rsidRPr="00B62D2E" w:rsidRDefault="004A5F5F" w:rsidP="00B62D2E">
      <w:pPr>
        <w:pStyle w:val="Heading2"/>
        <w:spacing w:line="360" w:lineRule="auto"/>
        <w:jc w:val="both"/>
        <w:rPr>
          <w:rFonts w:ascii="Times New Roman" w:hAnsi="Times New Roman" w:cs="Times New Roman"/>
          <w:b/>
          <w:bCs/>
          <w:color w:val="auto"/>
        </w:rPr>
      </w:pPr>
      <w:bookmarkStart w:id="12" w:name="_Toc237381387"/>
      <w:r w:rsidRPr="00D24A82">
        <w:rPr>
          <w:rFonts w:ascii="Times New Roman" w:hAnsi="Times New Roman" w:cs="Times New Roman"/>
          <w:b/>
          <w:bCs/>
          <w:color w:val="auto"/>
        </w:rPr>
        <w:t>5. Compliance, Incident Response, and Protection Controls</w:t>
      </w:r>
      <w:bookmarkEnd w:id="12"/>
    </w:p>
    <w:p w14:paraId="499ED080" w14:textId="18824585" w:rsidR="004A5F5F" w:rsidRPr="00D24A82" w:rsidRDefault="004A5F5F" w:rsidP="00AA7B0D">
      <w:pPr>
        <w:spacing w:line="360" w:lineRule="auto"/>
        <w:jc w:val="both"/>
        <w:rPr>
          <w:rFonts w:ascii="Times New Roman" w:hAnsi="Times New Roman" w:cs="Times New Roman"/>
        </w:rPr>
      </w:pPr>
      <w:r w:rsidRPr="00D24A82">
        <w:rPr>
          <w:rFonts w:ascii="Times New Roman" w:hAnsi="Times New Roman" w:cs="Times New Roman"/>
          <w:i/>
          <w:iCs/>
        </w:rPr>
        <w:t>5.1 Regulatory alignment and breach notification</w:t>
      </w:r>
    </w:p>
    <w:p w14:paraId="24ACE963" w14:textId="501019BB" w:rsidR="00303809" w:rsidRPr="00B62D2E" w:rsidRDefault="004A5F5F" w:rsidP="00AA7B0D">
      <w:pPr>
        <w:spacing w:line="360" w:lineRule="auto"/>
        <w:jc w:val="both"/>
        <w:rPr>
          <w:rFonts w:ascii="Times New Roman" w:hAnsi="Times New Roman" w:cs="Times New Roman"/>
        </w:rPr>
      </w:pPr>
      <w:r w:rsidRPr="00D24A82">
        <w:rPr>
          <w:rFonts w:ascii="Times New Roman" w:hAnsi="Times New Roman" w:cs="Times New Roman"/>
        </w:rPr>
        <w:t>A credit reporting organisation operating internationally is subject to overlapping breach-notification duties, and the Data Protection and Compliance lead established in Figure 1 should maintain a single regulatory map covering every jurisdiction in which the organisation holds data subjects' information, rather than treating each regulator's requirement as a separate, ad hoc exercise</w:t>
      </w:r>
      <w:r w:rsidR="005D1D3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d20f43af914a6c5efc6&quot;],&quot;referencesOptions&quot;:{&quot;doc:6a7bcd20f43af914a6c5ef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2955782"/>
          <w:placeholder>
            <w:docPart w:val="F772811273604C85BF85793E8B35CAF8"/>
          </w:placeholder>
        </w:sdtPr>
        <w:sdtEndPr/>
        <w:sdtContent>
          <w:r w:rsidR="00E02F36">
            <w:rPr>
              <w:rFonts w:eastAsia="Times New Roman"/>
              <w:color w:val="000000"/>
            </w:rPr>
            <w:t>[13]</w:t>
          </w:r>
        </w:sdtContent>
      </w:sdt>
      <w:r w:rsidRPr="00D24A82">
        <w:rPr>
          <w:rFonts w:ascii="Times New Roman" w:hAnsi="Times New Roman" w:cs="Times New Roman"/>
        </w:rPr>
        <w:t>. Under UK and EU data protection law this includes a duty to notify the relevant supervisory authority without undue delay after becoming aware of a qualifying breach, and to notify affected individuals directly where the breach is likely to result in a high risk to their rights. Building this notification workflow, including pre-drafted communication templates and legal sign-off routes, before an incident occurs removes the delay that was widely criticised in Equifax's own public response, which followed the discovery of the intrusion by more than five weeks.</w:t>
      </w:r>
    </w:p>
    <w:p w14:paraId="7683F860" w14:textId="6516544D" w:rsidR="004A5F5F" w:rsidRPr="00D24A82" w:rsidRDefault="004A5F5F" w:rsidP="00AA7B0D">
      <w:pPr>
        <w:spacing w:line="360" w:lineRule="auto"/>
        <w:jc w:val="both"/>
        <w:rPr>
          <w:rFonts w:ascii="Times New Roman" w:hAnsi="Times New Roman" w:cs="Times New Roman"/>
        </w:rPr>
      </w:pPr>
      <w:r w:rsidRPr="00D24A82">
        <w:rPr>
          <w:rFonts w:ascii="Times New Roman" w:hAnsi="Times New Roman" w:cs="Times New Roman"/>
          <w:i/>
          <w:iCs/>
        </w:rPr>
        <w:t>5.2 Incident response and disaster recovery planning</w:t>
      </w:r>
    </w:p>
    <w:p w14:paraId="3FDC6D97" w14:textId="605BEE58" w:rsidR="004A5F5F" w:rsidRPr="00D24A82" w:rsidRDefault="004A5F5F" w:rsidP="00AA7B0D">
      <w:pPr>
        <w:spacing w:line="360" w:lineRule="auto"/>
        <w:jc w:val="both"/>
        <w:rPr>
          <w:rFonts w:ascii="Times New Roman" w:hAnsi="Times New Roman" w:cs="Times New Roman"/>
        </w:rPr>
      </w:pPr>
      <w:r w:rsidRPr="00D24A82">
        <w:rPr>
          <w:rFonts w:ascii="Times New Roman" w:hAnsi="Times New Roman" w:cs="Times New Roman"/>
        </w:rPr>
        <w:t xml:space="preserve">The incident response plan should assign each stage of a breach response to the roles defined in Section 1: the Detection and Incident Response lead triages and contains, the Security Architecture lead supports isolation of affected systems, the Data Protection and Compliance lead manages regulatory notification, and the CISO owns escalation to the CEO and board. This plan must be tested through regular tabletop exercises rather than reviewed only on paper, and it should be paired with a disaster recovery plan that defines how core services, including </w:t>
      </w:r>
      <w:r w:rsidRPr="00D24A82">
        <w:rPr>
          <w:rFonts w:ascii="Times New Roman" w:hAnsi="Times New Roman" w:cs="Times New Roman"/>
        </w:rPr>
        <w:lastRenderedPageBreak/>
        <w:t>the consumer-facing dispute portal itself, can be safely taken offline and restored without extending an incident, something Equifax was ultimately forced to do reactively when it disabled the affected application in July 2017</w:t>
      </w:r>
      <w:r w:rsidR="005C21F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d662b48ee33bb1f86f0&quot;],&quot;referencesOptions&quot;:{&quot;doc:6a7bcd662b48ee33bb1f86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2614203"/>
          <w:placeholder>
            <w:docPart w:val="50DFAB62A032404898915D6311BB2F22"/>
          </w:placeholder>
        </w:sdtPr>
        <w:sdtEndPr/>
        <w:sdtContent>
          <w:r w:rsidR="00E02F36">
            <w:rPr>
              <w:rFonts w:eastAsia="Times New Roman"/>
              <w:color w:val="000000"/>
            </w:rPr>
            <w:t>[14]</w:t>
          </w:r>
        </w:sdtContent>
      </w:sdt>
      <w:r w:rsidRPr="00D24A82">
        <w:rPr>
          <w:rFonts w:ascii="Times New Roman" w:hAnsi="Times New Roman" w:cs="Times New Roman"/>
        </w:rPr>
        <w:t>.</w:t>
      </w:r>
    </w:p>
    <w:p w14:paraId="0665174B" w14:textId="603850C7" w:rsidR="004A5F5F" w:rsidRPr="00B62D2E" w:rsidRDefault="004A5F5F" w:rsidP="00B62D2E">
      <w:pPr>
        <w:rPr>
          <w:rFonts w:ascii="Times New Roman" w:hAnsi="Times New Roman" w:cs="Times New Roman"/>
          <w:i/>
          <w:iCs/>
        </w:rPr>
      </w:pPr>
      <w:r w:rsidRPr="00D24A82">
        <w:rPr>
          <w:rFonts w:ascii="Times New Roman" w:hAnsi="Times New Roman" w:cs="Times New Roman"/>
          <w:i/>
          <w:iCs/>
        </w:rPr>
        <w:t>5.3 Technical safeguards</w:t>
      </w:r>
    </w:p>
    <w:p w14:paraId="6F3B5F20" w14:textId="77777777" w:rsidR="004A5F5F" w:rsidRPr="00D24A82" w:rsidRDefault="004A5F5F" w:rsidP="00AA7B0D">
      <w:pPr>
        <w:spacing w:line="360" w:lineRule="auto"/>
        <w:jc w:val="both"/>
        <w:rPr>
          <w:rFonts w:ascii="Times New Roman" w:hAnsi="Times New Roman" w:cs="Times New Roman"/>
        </w:rPr>
      </w:pPr>
      <w:r w:rsidRPr="00D24A82">
        <w:rPr>
          <w:rFonts w:ascii="Times New Roman" w:hAnsi="Times New Roman" w:cs="Times New Roman"/>
        </w:rPr>
        <w:t>Continuous monitoring should feed a security information and event management platform that reports directly to the Detection and Incident Response lead, with automated vulnerability scanning run against the asset inventory from Table 1 on a recurring schedule rather than only after a vulnerability is publicly disclosed. Endpoint detection and response tooling extends this visibility to individual hosts, encryption should be applied to sensitive data both at rest and in transit, consistent with the tokenisation approach in Table 1, and strong authentication, including multi-factor authentication and least-privilege access for administrative accounts, directly addresses the credential-hygiene risk identified in Section 4.</w:t>
      </w:r>
    </w:p>
    <w:p w14:paraId="53BD4862" w14:textId="5DC6A2C1" w:rsidR="004A5F5F" w:rsidRPr="00D24A82" w:rsidRDefault="004A5F5F" w:rsidP="00AA7B0D">
      <w:pPr>
        <w:spacing w:line="360" w:lineRule="auto"/>
        <w:jc w:val="both"/>
        <w:rPr>
          <w:rFonts w:ascii="Times New Roman" w:hAnsi="Times New Roman" w:cs="Times New Roman"/>
        </w:rPr>
      </w:pPr>
      <w:r w:rsidRPr="00D24A82">
        <w:rPr>
          <w:rFonts w:ascii="Times New Roman" w:hAnsi="Times New Roman" w:cs="Times New Roman"/>
        </w:rPr>
        <w:t>Each of these controls is justified specifically by its effect on dwell time, the length of time attackers remain undetected inside a network, because dwell time is the single variable that most clearly separates a contained incident from a catastrophic one in this case: Equifax's attackers were present for roughly two and a half months precisely because detection tooling silently failed</w:t>
      </w:r>
      <w:r w:rsidR="00E02F36">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da534c7807d12c7a8da&quot;],&quot;referencesOptions&quot;:{&quot;doc:6a7bcda534c7807d12c7a8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1764620"/>
          <w:placeholder>
            <w:docPart w:val="42BFBDE8AA9447B9AB3CEFF49037C604"/>
          </w:placeholder>
        </w:sdtPr>
        <w:sdtEndPr/>
        <w:sdtContent>
          <w:r w:rsidR="00E02F36">
            <w:rPr>
              <w:rFonts w:eastAsia="Times New Roman"/>
              <w:color w:val="000000"/>
            </w:rPr>
            <w:t>[15]</w:t>
          </w:r>
        </w:sdtContent>
      </w:sdt>
      <w:r w:rsidRPr="00D24A82">
        <w:rPr>
          <w:rFonts w:ascii="Times New Roman" w:hAnsi="Times New Roman" w:cs="Times New Roman"/>
        </w:rPr>
        <w:t>. Automated scanning and SIEM-based monitoring reduce time-to-detect; enforced patch SLAs and segmentation reduce time-to-contain once an intrusion is detected; and a rehearsed incident response plan reduces the time between detection and effective public and regulatory communication. Reducing all three limits organisational impact in the same way that, had any single one of these controls been present and functioning in 2017, the scale of the Equifax breach would very likely have been substantially smaller.</w:t>
      </w:r>
    </w:p>
    <w:p w14:paraId="4B401086" w14:textId="77777777" w:rsidR="00E06013" w:rsidRPr="00D24A82" w:rsidRDefault="00E06013" w:rsidP="00AA7B0D">
      <w:pPr>
        <w:spacing w:line="360" w:lineRule="auto"/>
        <w:jc w:val="both"/>
        <w:rPr>
          <w:rFonts w:ascii="Times New Roman" w:hAnsi="Times New Roman" w:cs="Times New Roman"/>
        </w:rPr>
      </w:pPr>
    </w:p>
    <w:p w14:paraId="0FF3EA43" w14:textId="77777777" w:rsidR="00303809" w:rsidRDefault="00303809">
      <w:pPr>
        <w:rPr>
          <w:rFonts w:ascii="Times New Roman" w:eastAsiaTheme="majorEastAsia" w:hAnsi="Times New Roman" w:cs="Times New Roman"/>
          <w:b/>
          <w:bCs/>
          <w:sz w:val="40"/>
          <w:szCs w:val="40"/>
        </w:rPr>
      </w:pPr>
      <w:bookmarkStart w:id="13" w:name="_Toc237381388"/>
      <w:r>
        <w:rPr>
          <w:rFonts w:ascii="Times New Roman" w:hAnsi="Times New Roman" w:cs="Times New Roman"/>
          <w:b/>
          <w:bCs/>
        </w:rPr>
        <w:br w:type="page"/>
      </w:r>
    </w:p>
    <w:p w14:paraId="5E3B6B60" w14:textId="385AD6EC" w:rsidR="00D24A82" w:rsidRPr="00D24A82" w:rsidRDefault="00D24A82" w:rsidP="00D24A82">
      <w:pPr>
        <w:pStyle w:val="Heading1"/>
        <w:jc w:val="center"/>
        <w:rPr>
          <w:rFonts w:ascii="Times New Roman" w:hAnsi="Times New Roman" w:cs="Times New Roman"/>
          <w:b/>
          <w:bCs/>
          <w:color w:val="auto"/>
        </w:rPr>
      </w:pPr>
      <w:r w:rsidRPr="00D24A82">
        <w:rPr>
          <w:rFonts w:ascii="Times New Roman" w:hAnsi="Times New Roman" w:cs="Times New Roman"/>
          <w:b/>
          <w:bCs/>
          <w:color w:val="auto"/>
        </w:rPr>
        <w:lastRenderedPageBreak/>
        <w:t>Conclusion</w:t>
      </w:r>
      <w:bookmarkEnd w:id="13"/>
    </w:p>
    <w:p w14:paraId="246E513A" w14:textId="77777777" w:rsidR="00D24A82" w:rsidRPr="00D24A82" w:rsidRDefault="00D24A82" w:rsidP="00D24A82">
      <w:pPr>
        <w:rPr>
          <w:rFonts w:ascii="Times New Roman" w:hAnsi="Times New Roman" w:cs="Times New Roman"/>
        </w:rPr>
      </w:pPr>
    </w:p>
    <w:p w14:paraId="289335DE" w14:textId="77777777" w:rsidR="00D24A82" w:rsidRPr="00D24A82" w:rsidRDefault="00D24A82" w:rsidP="00D24A82">
      <w:pPr>
        <w:spacing w:line="360" w:lineRule="auto"/>
        <w:jc w:val="both"/>
        <w:rPr>
          <w:rFonts w:ascii="Times New Roman" w:hAnsi="Times New Roman" w:cs="Times New Roman"/>
        </w:rPr>
      </w:pPr>
      <w:r w:rsidRPr="00D24A82">
        <w:rPr>
          <w:rFonts w:ascii="Times New Roman" w:hAnsi="Times New Roman" w:cs="Times New Roman"/>
        </w:rPr>
        <w:t>Put next to each other, the two tasks in this report are really making the same argument from two different directions. Task 1 laid out what good AI governance is supposed to look like on paper: regulation sets the boundary an organisation isn't allowed to cross, standards like the NIST AI RMF and ISO/IEC 42001 give it the internal machinery to stay inside that boundary on purpose rather than by luck, and continuous monitoring is what actually proves, day by day, that the machinery is doing something rather than just sitting in a folder somewhere waiting for an audit.</w:t>
      </w:r>
    </w:p>
    <w:p w14:paraId="32864005" w14:textId="77777777" w:rsidR="00D24A82" w:rsidRPr="00D24A82" w:rsidRDefault="00D24A82" w:rsidP="00D24A82">
      <w:pPr>
        <w:spacing w:line="360" w:lineRule="auto"/>
        <w:jc w:val="both"/>
        <w:rPr>
          <w:rFonts w:ascii="Times New Roman" w:hAnsi="Times New Roman" w:cs="Times New Roman"/>
        </w:rPr>
      </w:pPr>
      <w:r w:rsidRPr="00D24A82">
        <w:rPr>
          <w:rFonts w:ascii="Times New Roman" w:hAnsi="Times New Roman" w:cs="Times New Roman"/>
        </w:rPr>
        <w:t xml:space="preserve">Task 2 is what happens when that machinery isn't there. The Equifax breach wasn't really a story about one missed patch, even though that's the detail everyone remembers. It was accountability sitting in the wrong place, so a critical decision had no one senior enough watching it. It was policy that existed on paper but had no enforcement behind it. It was a security programme with no real link to the business strategy it was supposed to protect. It was a risk register, if one even existed, that never got revisited. And it was detection tooling that quietly broke and stayed broken for months because nobody was accountable for its uptime specifically. Every one of those </w:t>
      </w:r>
      <w:proofErr w:type="gramStart"/>
      <w:r w:rsidRPr="00D24A82">
        <w:rPr>
          <w:rFonts w:ascii="Times New Roman" w:hAnsi="Times New Roman" w:cs="Times New Roman"/>
        </w:rPr>
        <w:t>gaps</w:t>
      </w:r>
      <w:proofErr w:type="gramEnd"/>
      <w:r w:rsidRPr="00D24A82">
        <w:rPr>
          <w:rFonts w:ascii="Times New Roman" w:hAnsi="Times New Roman" w:cs="Times New Roman"/>
        </w:rPr>
        <w:t xml:space="preserve"> maps almost exactly onto a principle from Task 1 that was either missing or ignored.</w:t>
      </w:r>
    </w:p>
    <w:p w14:paraId="6352C666" w14:textId="77777777" w:rsidR="00D24A82" w:rsidRPr="00D24A82" w:rsidRDefault="00D24A82" w:rsidP="00D24A82">
      <w:pPr>
        <w:spacing w:line="360" w:lineRule="auto"/>
        <w:jc w:val="both"/>
        <w:rPr>
          <w:rFonts w:ascii="Times New Roman" w:hAnsi="Times New Roman" w:cs="Times New Roman"/>
        </w:rPr>
      </w:pPr>
      <w:r w:rsidRPr="00D24A82">
        <w:rPr>
          <w:rFonts w:ascii="Times New Roman" w:hAnsi="Times New Roman" w:cs="Times New Roman"/>
        </w:rPr>
        <w:t xml:space="preserve">That's really the point worth taking away from putting these two tasks side by side. Frameworks like the AI RMF, ISO/IEC 42001, or NIST CSF 2.0 aren't abstract for their own sake, they're what a case like Equifax looks like once someone has bothered to write the failure down as a checklist in advance instead of after 147 million people's data is already gone. Governance, whether it's for an AI model or a legacy web application running Apache Struts, isn't a document you write once and </w:t>
      </w:r>
      <w:proofErr w:type="gramStart"/>
      <w:r w:rsidRPr="00D24A82">
        <w:rPr>
          <w:rFonts w:ascii="Times New Roman" w:hAnsi="Times New Roman" w:cs="Times New Roman"/>
        </w:rPr>
        <w:t>file away</w:t>
      </w:r>
      <w:proofErr w:type="gramEnd"/>
      <w:r w:rsidRPr="00D24A82">
        <w:rPr>
          <w:rFonts w:ascii="Times New Roman" w:hAnsi="Times New Roman" w:cs="Times New Roman"/>
        </w:rPr>
        <w:t>. It's a structure that needs an owner, a metric, and a reason to get looked at again next quarter. Equifax is what it costs an organisation to skip that.</w:t>
      </w:r>
    </w:p>
    <w:p w14:paraId="2A540851" w14:textId="77777777" w:rsidR="00E06013" w:rsidRPr="00D24A82" w:rsidRDefault="00E06013" w:rsidP="00AA7B0D">
      <w:pPr>
        <w:spacing w:line="360" w:lineRule="auto"/>
        <w:jc w:val="both"/>
        <w:rPr>
          <w:rFonts w:ascii="Times New Roman" w:hAnsi="Times New Roman" w:cs="Times New Roman"/>
        </w:rPr>
      </w:pPr>
    </w:p>
    <w:p w14:paraId="65F8920D" w14:textId="77777777" w:rsidR="00C037A2" w:rsidRPr="00D24A82" w:rsidRDefault="00C037A2" w:rsidP="00AA7B0D">
      <w:pPr>
        <w:spacing w:line="360" w:lineRule="auto"/>
        <w:jc w:val="both"/>
        <w:rPr>
          <w:rFonts w:ascii="Times New Roman" w:hAnsi="Times New Roman" w:cs="Times New Roman"/>
        </w:rPr>
      </w:pPr>
    </w:p>
    <w:p w14:paraId="704A2D6A" w14:textId="77777777" w:rsidR="004A5F5F" w:rsidRPr="00D24A82" w:rsidRDefault="004A5F5F" w:rsidP="00AA7B0D">
      <w:pPr>
        <w:spacing w:line="360" w:lineRule="auto"/>
        <w:jc w:val="both"/>
        <w:rPr>
          <w:rFonts w:ascii="Times New Roman" w:hAnsi="Times New Roman" w:cs="Times New Roman"/>
        </w:rPr>
      </w:pPr>
    </w:p>
    <w:p w14:paraId="3AC8D38F" w14:textId="77777777" w:rsidR="004A5F5F" w:rsidRPr="00D24A82" w:rsidRDefault="004A5F5F" w:rsidP="00AA7B0D">
      <w:pPr>
        <w:spacing w:line="360" w:lineRule="auto"/>
        <w:jc w:val="both"/>
        <w:rPr>
          <w:rFonts w:ascii="Times New Roman" w:hAnsi="Times New Roman" w:cs="Times New Roman"/>
        </w:rPr>
      </w:pPr>
    </w:p>
    <w:p w14:paraId="568FD0F2" w14:textId="77777777" w:rsidR="002E2C97" w:rsidRDefault="002E2C97">
      <w:pPr>
        <w:rPr>
          <w:rFonts w:ascii="Times New Roman" w:eastAsiaTheme="majorEastAsia" w:hAnsi="Times New Roman" w:cs="Times New Roman"/>
          <w:b/>
          <w:bCs/>
          <w:sz w:val="40"/>
          <w:szCs w:val="40"/>
        </w:rPr>
      </w:pPr>
      <w:r>
        <w:rPr>
          <w:rFonts w:ascii="Times New Roman" w:hAnsi="Times New Roman" w:cs="Times New Roman"/>
          <w:b/>
          <w:bCs/>
        </w:rPr>
        <w:br w:type="page"/>
      </w:r>
    </w:p>
    <w:p w14:paraId="1F222246" w14:textId="5039DAE8" w:rsidR="004A5F5F" w:rsidRPr="00D24A82" w:rsidRDefault="004A5F5F" w:rsidP="00AA7B0D">
      <w:pPr>
        <w:pStyle w:val="Heading1"/>
        <w:jc w:val="center"/>
        <w:rPr>
          <w:rFonts w:ascii="Times New Roman" w:hAnsi="Times New Roman" w:cs="Times New Roman"/>
          <w:b/>
          <w:bCs/>
          <w:color w:val="auto"/>
        </w:rPr>
      </w:pPr>
      <w:bookmarkStart w:id="14" w:name="_Toc237381389"/>
      <w:r w:rsidRPr="00D24A82">
        <w:rPr>
          <w:rFonts w:ascii="Times New Roman" w:hAnsi="Times New Roman" w:cs="Times New Roman"/>
          <w:b/>
          <w:bCs/>
          <w:color w:val="auto"/>
        </w:rPr>
        <w:lastRenderedPageBreak/>
        <w:t>References</w:t>
      </w:r>
      <w:bookmarkEnd w:id="14"/>
    </w:p>
    <w:p w14:paraId="7D036ABB" w14:textId="77777777" w:rsidR="004A5F5F" w:rsidRDefault="004A5F5F" w:rsidP="00BA7954">
      <w:pPr>
        <w:rPr>
          <w:rFonts w:ascii="Times New Roman" w:hAnsi="Times New Roman" w:cs="Times New Roman"/>
        </w:rPr>
      </w:pPr>
    </w:p>
    <w:p w14:paraId="4F246ADF"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1</w:t>
      </w:r>
      <w:r w:rsidRPr="00DE43D8">
        <w:rPr>
          <w:rFonts w:ascii="Times New Roman" w:hAnsi="Times New Roman" w:cs="Times New Roman"/>
        </w:rPr>
        <w:t>] Q. Mao and M. Xu, '"Navigating the ethical landscape of AI innovation: Challenges and opportunities,"</w:t>
      </w:r>
      <w:r w:rsidRPr="00DE43D8">
        <w:rPr>
          <w:rFonts w:ascii="Times New Roman" w:hAnsi="Times New Roman" w:cs="Times New Roman"/>
          <w:i/>
          <w:iCs/>
        </w:rPr>
        <w:t> International Journal of Digital Law and Governance</w:t>
      </w:r>
      <w:r w:rsidRPr="00DE43D8">
        <w:rPr>
          <w:rFonts w:ascii="Times New Roman" w:hAnsi="Times New Roman" w:cs="Times New Roman"/>
        </w:rPr>
        <w:t>, vol. 2, no. 1, pp. 197–221.</w:t>
      </w:r>
    </w:p>
    <w:p w14:paraId="4324CA99"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2</w:t>
      </w:r>
      <w:r w:rsidRPr="00DE43D8">
        <w:rPr>
          <w:rFonts w:ascii="Times New Roman" w:hAnsi="Times New Roman" w:cs="Times New Roman"/>
        </w:rPr>
        <w:t>] E. Choudhary, S. Narayanan and F. Khan, '"Legal and regulatory landscape,", pp. 222–239.</w:t>
      </w:r>
    </w:p>
    <w:p w14:paraId="757D2466"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3</w:t>
      </w:r>
      <w:r w:rsidRPr="00DE43D8">
        <w:rPr>
          <w:rFonts w:ascii="Times New Roman" w:hAnsi="Times New Roman" w:cs="Times New Roman"/>
        </w:rPr>
        <w:t>] B. Sharma, A. Gurung, P. Pradhan, D. Darjee and N.K. Kotla, '"Navigating the regulatory landscape: Key trends shaping today's regulatory affairs environment,"</w:t>
      </w:r>
      <w:r w:rsidRPr="00DE43D8">
        <w:rPr>
          <w:rFonts w:ascii="Times New Roman" w:hAnsi="Times New Roman" w:cs="Times New Roman"/>
          <w:i/>
          <w:iCs/>
        </w:rPr>
        <w:t> International Journal of Drug Regulatory Affairs</w:t>
      </w:r>
      <w:r w:rsidRPr="00DE43D8">
        <w:rPr>
          <w:rFonts w:ascii="Times New Roman" w:hAnsi="Times New Roman" w:cs="Times New Roman"/>
        </w:rPr>
        <w:t>, vol. 11, no. 4, pp. 87–92.</w:t>
      </w:r>
    </w:p>
    <w:p w14:paraId="5CEA4E92"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4</w:t>
      </w:r>
      <w:r w:rsidRPr="00DE43D8">
        <w:rPr>
          <w:rFonts w:ascii="Times New Roman" w:hAnsi="Times New Roman" w:cs="Times New Roman"/>
        </w:rPr>
        <w:t>] K.W. Abbott and D. Snidal, '"</w:t>
      </w:r>
      <w:proofErr w:type="spellStart"/>
      <w:r w:rsidRPr="00DE43D8">
        <w:rPr>
          <w:rFonts w:ascii="Times New Roman" w:hAnsi="Times New Roman" w:cs="Times New Roman"/>
        </w:rPr>
        <w:t>International'standards</w:t>
      </w:r>
      <w:proofErr w:type="spellEnd"/>
      <w:r w:rsidRPr="00DE43D8">
        <w:rPr>
          <w:rFonts w:ascii="Times New Roman" w:hAnsi="Times New Roman" w:cs="Times New Roman"/>
        </w:rPr>
        <w:t>' and international governance,"</w:t>
      </w:r>
      <w:r w:rsidRPr="00DE43D8">
        <w:rPr>
          <w:rFonts w:ascii="Times New Roman" w:hAnsi="Times New Roman" w:cs="Times New Roman"/>
          <w:i/>
          <w:iCs/>
        </w:rPr>
        <w:t> Journal of European Public Policy</w:t>
      </w:r>
      <w:r w:rsidRPr="00DE43D8">
        <w:rPr>
          <w:rFonts w:ascii="Times New Roman" w:hAnsi="Times New Roman" w:cs="Times New Roman"/>
        </w:rPr>
        <w:t>, vol. 8, no. 3, pp. 345–370.</w:t>
      </w:r>
    </w:p>
    <w:p w14:paraId="23D51813"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5</w:t>
      </w:r>
      <w:r w:rsidRPr="00DE43D8">
        <w:rPr>
          <w:rFonts w:ascii="Times New Roman" w:hAnsi="Times New Roman" w:cs="Times New Roman"/>
        </w:rPr>
        <w:t xml:space="preserve">] H. Roberts, E. Hine, M. Taddeo and L. </w:t>
      </w:r>
      <w:proofErr w:type="spellStart"/>
      <w:r w:rsidRPr="00DE43D8">
        <w:rPr>
          <w:rFonts w:ascii="Times New Roman" w:hAnsi="Times New Roman" w:cs="Times New Roman"/>
        </w:rPr>
        <w:t>Floridi</w:t>
      </w:r>
      <w:proofErr w:type="spellEnd"/>
      <w:r w:rsidRPr="00DE43D8">
        <w:rPr>
          <w:rFonts w:ascii="Times New Roman" w:hAnsi="Times New Roman" w:cs="Times New Roman"/>
        </w:rPr>
        <w:t>, '"Global AI governance: barriers and pathways forward,"</w:t>
      </w:r>
      <w:r w:rsidRPr="00DE43D8">
        <w:rPr>
          <w:rFonts w:ascii="Times New Roman" w:hAnsi="Times New Roman" w:cs="Times New Roman"/>
          <w:i/>
          <w:iCs/>
        </w:rPr>
        <w:t> International Affairs</w:t>
      </w:r>
      <w:r w:rsidRPr="00DE43D8">
        <w:rPr>
          <w:rFonts w:ascii="Times New Roman" w:hAnsi="Times New Roman" w:cs="Times New Roman"/>
        </w:rPr>
        <w:t>, vol. 100, no. 3, pp. 1275–1286.</w:t>
      </w:r>
    </w:p>
    <w:p w14:paraId="41094CFF"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6</w:t>
      </w:r>
      <w:r w:rsidRPr="00DE43D8">
        <w:rPr>
          <w:rFonts w:ascii="Times New Roman" w:hAnsi="Times New Roman" w:cs="Times New Roman"/>
        </w:rPr>
        <w:t xml:space="preserve">] L.S. </w:t>
      </w:r>
      <w:proofErr w:type="spellStart"/>
      <w:r w:rsidRPr="00DE43D8">
        <w:rPr>
          <w:rFonts w:ascii="Times New Roman" w:hAnsi="Times New Roman" w:cs="Times New Roman"/>
        </w:rPr>
        <w:t>Fuerth</w:t>
      </w:r>
      <w:proofErr w:type="spellEnd"/>
      <w:r w:rsidRPr="00DE43D8">
        <w:rPr>
          <w:rFonts w:ascii="Times New Roman" w:hAnsi="Times New Roman" w:cs="Times New Roman"/>
        </w:rPr>
        <w:t xml:space="preserve"> and E.M. Faber, '"Anticipatory governance practical upgrades: equipping the executive branch to cope with increasing speed and complexity of major challenges,".</w:t>
      </w:r>
    </w:p>
    <w:p w14:paraId="1CDBA00A"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7</w:t>
      </w:r>
      <w:r w:rsidRPr="00DE43D8">
        <w:rPr>
          <w:rFonts w:ascii="Times New Roman" w:hAnsi="Times New Roman" w:cs="Times New Roman"/>
        </w:rPr>
        <w:t xml:space="preserve">] R. </w:t>
      </w:r>
      <w:proofErr w:type="spellStart"/>
      <w:r w:rsidRPr="00DE43D8">
        <w:rPr>
          <w:rFonts w:ascii="Times New Roman" w:hAnsi="Times New Roman" w:cs="Times New Roman"/>
        </w:rPr>
        <w:t>Awamleh</w:t>
      </w:r>
      <w:proofErr w:type="spellEnd"/>
      <w:r w:rsidRPr="00DE43D8">
        <w:rPr>
          <w:rFonts w:ascii="Times New Roman" w:hAnsi="Times New Roman" w:cs="Times New Roman"/>
        </w:rPr>
        <w:t xml:space="preserve"> and F. Sicre, '"Anticipatory governance: Shaping a responsible future,", 2024.</w:t>
      </w:r>
    </w:p>
    <w:p w14:paraId="30976B76"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8</w:t>
      </w:r>
      <w:r w:rsidRPr="00DE43D8">
        <w:rPr>
          <w:rFonts w:ascii="Times New Roman" w:hAnsi="Times New Roman" w:cs="Times New Roman"/>
        </w:rPr>
        <w:t xml:space="preserve">] G.S. Gaglione Jr, '"The </w:t>
      </w:r>
      <w:proofErr w:type="spellStart"/>
      <w:r w:rsidRPr="00DE43D8">
        <w:rPr>
          <w:rFonts w:ascii="Times New Roman" w:hAnsi="Times New Roman" w:cs="Times New Roman"/>
        </w:rPr>
        <w:t>equifax</w:t>
      </w:r>
      <w:proofErr w:type="spellEnd"/>
      <w:r w:rsidRPr="00DE43D8">
        <w:rPr>
          <w:rFonts w:ascii="Times New Roman" w:hAnsi="Times New Roman" w:cs="Times New Roman"/>
        </w:rPr>
        <w:t xml:space="preserve"> data breach: an opportunity to improve consumer protection and cybersecurity efforts in America,"</w:t>
      </w:r>
      <w:r w:rsidRPr="00DE43D8">
        <w:rPr>
          <w:rFonts w:ascii="Times New Roman" w:hAnsi="Times New Roman" w:cs="Times New Roman"/>
          <w:i/>
          <w:iCs/>
        </w:rPr>
        <w:t> </w:t>
      </w:r>
      <w:proofErr w:type="spellStart"/>
      <w:r w:rsidRPr="00DE43D8">
        <w:rPr>
          <w:rFonts w:ascii="Times New Roman" w:hAnsi="Times New Roman" w:cs="Times New Roman"/>
          <w:i/>
          <w:iCs/>
        </w:rPr>
        <w:t>Buff.L.Rev</w:t>
      </w:r>
      <w:proofErr w:type="spellEnd"/>
      <w:r w:rsidRPr="00DE43D8">
        <w:rPr>
          <w:rFonts w:ascii="Times New Roman" w:hAnsi="Times New Roman" w:cs="Times New Roman"/>
          <w:i/>
          <w:iCs/>
        </w:rPr>
        <w:t>.</w:t>
      </w:r>
      <w:r w:rsidRPr="00DE43D8">
        <w:rPr>
          <w:rFonts w:ascii="Times New Roman" w:hAnsi="Times New Roman" w:cs="Times New Roman"/>
        </w:rPr>
        <w:t>, vol. 67, pp. 1133.</w:t>
      </w:r>
    </w:p>
    <w:p w14:paraId="3C0260D0"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9</w:t>
      </w:r>
      <w:r w:rsidRPr="00DE43D8">
        <w:rPr>
          <w:rFonts w:ascii="Times New Roman" w:hAnsi="Times New Roman" w:cs="Times New Roman"/>
        </w:rPr>
        <w:t xml:space="preserve">] N. Daswani and M. </w:t>
      </w:r>
      <w:proofErr w:type="spellStart"/>
      <w:r w:rsidRPr="00DE43D8">
        <w:rPr>
          <w:rFonts w:ascii="Times New Roman" w:hAnsi="Times New Roman" w:cs="Times New Roman"/>
        </w:rPr>
        <w:t>Elbayadi</w:t>
      </w:r>
      <w:proofErr w:type="spellEnd"/>
      <w:r w:rsidRPr="00DE43D8">
        <w:rPr>
          <w:rFonts w:ascii="Times New Roman" w:hAnsi="Times New Roman" w:cs="Times New Roman"/>
        </w:rPr>
        <w:t xml:space="preserve">, '"The </w:t>
      </w:r>
      <w:proofErr w:type="spellStart"/>
      <w:r w:rsidRPr="00DE43D8">
        <w:rPr>
          <w:rFonts w:ascii="Times New Roman" w:hAnsi="Times New Roman" w:cs="Times New Roman"/>
        </w:rPr>
        <w:t>equifax</w:t>
      </w:r>
      <w:proofErr w:type="spellEnd"/>
      <w:r w:rsidRPr="00DE43D8">
        <w:rPr>
          <w:rFonts w:ascii="Times New Roman" w:hAnsi="Times New Roman" w:cs="Times New Roman"/>
        </w:rPr>
        <w:t xml:space="preserve"> breach,", pp. 75–95.</w:t>
      </w:r>
    </w:p>
    <w:p w14:paraId="4248E853" w14:textId="77777777" w:rsidR="00333DC3"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10</w:t>
      </w:r>
      <w:r w:rsidRPr="00DE43D8">
        <w:rPr>
          <w:rFonts w:ascii="Times New Roman" w:hAnsi="Times New Roman" w:cs="Times New Roman"/>
        </w:rPr>
        <w:t>] K. DiGrazia, '"Cyber insurance, data security, and blockchain in the wake of the Equifax breach,"</w:t>
      </w:r>
      <w:r w:rsidRPr="00DE43D8">
        <w:rPr>
          <w:rFonts w:ascii="Times New Roman" w:hAnsi="Times New Roman" w:cs="Times New Roman"/>
          <w:i/>
          <w:iCs/>
        </w:rPr>
        <w:t> </w:t>
      </w:r>
      <w:proofErr w:type="spellStart"/>
      <w:proofErr w:type="gramStart"/>
      <w:r w:rsidRPr="00DE43D8">
        <w:rPr>
          <w:rFonts w:ascii="Times New Roman" w:hAnsi="Times New Roman" w:cs="Times New Roman"/>
          <w:i/>
          <w:iCs/>
        </w:rPr>
        <w:t>J.Bus</w:t>
      </w:r>
      <w:proofErr w:type="spellEnd"/>
      <w:proofErr w:type="gramEnd"/>
      <w:r w:rsidRPr="00DE43D8">
        <w:rPr>
          <w:rFonts w:ascii="Times New Roman" w:hAnsi="Times New Roman" w:cs="Times New Roman"/>
          <w:i/>
          <w:iCs/>
        </w:rPr>
        <w:t xml:space="preserve">.&amp; </w:t>
      </w:r>
      <w:proofErr w:type="spellStart"/>
      <w:r w:rsidRPr="00DE43D8">
        <w:rPr>
          <w:rFonts w:ascii="Times New Roman" w:hAnsi="Times New Roman" w:cs="Times New Roman"/>
          <w:i/>
          <w:iCs/>
        </w:rPr>
        <w:t>Tech.L</w:t>
      </w:r>
      <w:proofErr w:type="spellEnd"/>
      <w:r w:rsidRPr="00DE43D8">
        <w:rPr>
          <w:rFonts w:ascii="Times New Roman" w:hAnsi="Times New Roman" w:cs="Times New Roman"/>
          <w:i/>
          <w:iCs/>
        </w:rPr>
        <w:t>.</w:t>
      </w:r>
      <w:r w:rsidRPr="00DE43D8">
        <w:rPr>
          <w:rFonts w:ascii="Times New Roman" w:hAnsi="Times New Roman" w:cs="Times New Roman"/>
        </w:rPr>
        <w:t>, vol. 13, pp. 255</w:t>
      </w:r>
    </w:p>
    <w:p w14:paraId="02058D0D" w14:textId="77777777" w:rsidR="00333DC3"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11</w:t>
      </w:r>
      <w:r w:rsidRPr="00DE43D8">
        <w:rPr>
          <w:rFonts w:ascii="Times New Roman" w:hAnsi="Times New Roman" w:cs="Times New Roman"/>
        </w:rPr>
        <w:t>] L. Lindkvist and S. Llewellyn, '"Accountability, responsibility and organization,"</w:t>
      </w:r>
      <w:r w:rsidRPr="00DE43D8">
        <w:rPr>
          <w:rFonts w:ascii="Times New Roman" w:hAnsi="Times New Roman" w:cs="Times New Roman"/>
          <w:i/>
          <w:iCs/>
        </w:rPr>
        <w:t> Scandinavian Journal of Management</w:t>
      </w:r>
      <w:r w:rsidRPr="00DE43D8">
        <w:rPr>
          <w:rFonts w:ascii="Times New Roman" w:hAnsi="Times New Roman" w:cs="Times New Roman"/>
        </w:rPr>
        <w:t>, vol. 19, no. 2, pp. 251–273.</w:t>
      </w:r>
    </w:p>
    <w:p w14:paraId="2A00D77C"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12</w:t>
      </w:r>
      <w:r w:rsidRPr="00DE43D8">
        <w:rPr>
          <w:rFonts w:ascii="Times New Roman" w:hAnsi="Times New Roman" w:cs="Times New Roman"/>
        </w:rPr>
        <w:t xml:space="preserve">] O. Okusi, I.J. </w:t>
      </w:r>
      <w:proofErr w:type="spellStart"/>
      <w:r w:rsidRPr="00DE43D8">
        <w:rPr>
          <w:rFonts w:ascii="Times New Roman" w:hAnsi="Times New Roman" w:cs="Times New Roman"/>
        </w:rPr>
        <w:t>Obiakor</w:t>
      </w:r>
      <w:proofErr w:type="spellEnd"/>
      <w:r w:rsidRPr="00DE43D8">
        <w:rPr>
          <w:rFonts w:ascii="Times New Roman" w:hAnsi="Times New Roman" w:cs="Times New Roman"/>
        </w:rPr>
        <w:t xml:space="preserve"> and F.C. </w:t>
      </w:r>
      <w:proofErr w:type="spellStart"/>
      <w:r w:rsidRPr="00DE43D8">
        <w:rPr>
          <w:rFonts w:ascii="Times New Roman" w:hAnsi="Times New Roman" w:cs="Times New Roman"/>
        </w:rPr>
        <w:t>Adeloye</w:t>
      </w:r>
      <w:proofErr w:type="spellEnd"/>
      <w:r w:rsidRPr="00DE43D8">
        <w:rPr>
          <w:rFonts w:ascii="Times New Roman" w:hAnsi="Times New Roman" w:cs="Times New Roman"/>
        </w:rPr>
        <w:t>, '"Designing resilient data risk management protocols for regulatory compliance and cyber incident response,"</w:t>
      </w:r>
      <w:r w:rsidRPr="00DE43D8">
        <w:rPr>
          <w:rFonts w:ascii="Times New Roman" w:hAnsi="Times New Roman" w:cs="Times New Roman"/>
          <w:i/>
          <w:iCs/>
        </w:rPr>
        <w:t> International Journal of Advance Research Publication and Reviews</w:t>
      </w:r>
      <w:r w:rsidRPr="00DE43D8">
        <w:rPr>
          <w:rFonts w:ascii="Times New Roman" w:hAnsi="Times New Roman" w:cs="Times New Roman"/>
        </w:rPr>
        <w:t>, vol. 2, no. 7, pp. 45–70.</w:t>
      </w:r>
    </w:p>
    <w:p w14:paraId="7D576685" w14:textId="77777777" w:rsidR="00333DC3"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13</w:t>
      </w:r>
      <w:r w:rsidRPr="00DE43D8">
        <w:rPr>
          <w:rFonts w:ascii="Times New Roman" w:hAnsi="Times New Roman" w:cs="Times New Roman"/>
        </w:rPr>
        <w:t xml:space="preserve">] E. Maiwald and W. </w:t>
      </w:r>
      <w:proofErr w:type="spellStart"/>
      <w:r w:rsidRPr="00DE43D8">
        <w:rPr>
          <w:rFonts w:ascii="Times New Roman" w:hAnsi="Times New Roman" w:cs="Times New Roman"/>
        </w:rPr>
        <w:t>Sieglein</w:t>
      </w:r>
      <w:proofErr w:type="spellEnd"/>
      <w:r w:rsidRPr="00DE43D8">
        <w:rPr>
          <w:rFonts w:ascii="Times New Roman" w:hAnsi="Times New Roman" w:cs="Times New Roman"/>
        </w:rPr>
        <w:t>, '"Security planning &amp; disaster recovery,", 2002.</w:t>
      </w:r>
    </w:p>
    <w:p w14:paraId="1D04EF2F"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[1] M. Hasan and S. Zaman, '"Safeguarding Financial Records: A Cybersecurity-Driven Management Framework,"</w:t>
      </w:r>
      <w:r w:rsidRPr="00DE43D8">
        <w:rPr>
          <w:rFonts w:ascii="Times New Roman" w:hAnsi="Times New Roman" w:cs="Times New Roman"/>
          <w:i/>
          <w:iCs/>
        </w:rPr>
        <w:t> International Journal of Scientific Interdisciplinary Research</w:t>
      </w:r>
      <w:r w:rsidRPr="00DE43D8">
        <w:rPr>
          <w:rFonts w:ascii="Times New Roman" w:hAnsi="Times New Roman" w:cs="Times New Roman"/>
        </w:rPr>
        <w:t>, vol. 7, no. 1, pp. 493–526.</w:t>
      </w:r>
    </w:p>
    <w:p w14:paraId="56D3D3FF" w14:textId="04FEB8B0" w:rsidR="00333DC3" w:rsidRPr="00D24A82" w:rsidRDefault="00333DC3" w:rsidP="00BA7954">
      <w:pPr>
        <w:rPr>
          <w:rFonts w:ascii="Times New Roman" w:hAnsi="Times New Roman" w:cs="Times New Roman"/>
        </w:rPr>
      </w:pPr>
    </w:p>
    <w:sectPr w:rsidR="00333DC3" w:rsidRPr="00D24A82" w:rsidSect="00D5113B">
      <w:headerReference w:type="even" r:id="rId12"/>
      <w:headerReference w:type="default" r:id="rId13"/>
      <w:footerReference w:type="even" r:id="rId14"/>
      <w:footerReference w:type="default" r:id="rId15"/>
      <w:headerReference w:type="first" r:id="rId16"/>
      <w:footerReference w:type="first" r:id="rId17"/>
      <w:pgSz w:w="11906" w:h="16838"/>
      <w:pgMar w:top="851" w:right="1440" w:bottom="1276"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826D5F" w14:textId="77777777" w:rsidR="00DC5034" w:rsidRDefault="00DC5034" w:rsidP="00172C4F">
      <w:pPr>
        <w:spacing w:after="0" w:line="240" w:lineRule="auto"/>
      </w:pPr>
      <w:r>
        <w:separator/>
      </w:r>
    </w:p>
  </w:endnote>
  <w:endnote w:type="continuationSeparator" w:id="0">
    <w:p w14:paraId="632CE055" w14:textId="77777777" w:rsidR="00DC5034" w:rsidRDefault="00DC5034" w:rsidP="00172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42B4E" w14:textId="77777777" w:rsidR="00172C4F" w:rsidRDefault="00172C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4253919"/>
      <w:docPartObj>
        <w:docPartGallery w:val="Page Numbers (Bottom of Page)"/>
        <w:docPartUnique/>
      </w:docPartObj>
    </w:sdtPr>
    <w:sdtEndPr>
      <w:rPr>
        <w:noProof/>
      </w:rPr>
    </w:sdtEndPr>
    <w:sdtContent>
      <w:p w14:paraId="3B1A8103" w14:textId="2F066C7A" w:rsidR="00172C4F" w:rsidRDefault="00172C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60B767" w14:textId="77777777" w:rsidR="00172C4F" w:rsidRDefault="00172C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44F93D" w14:textId="77777777" w:rsidR="00172C4F" w:rsidRDefault="00172C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E0B07" w14:textId="77777777" w:rsidR="00DC5034" w:rsidRDefault="00DC5034" w:rsidP="00172C4F">
      <w:pPr>
        <w:spacing w:after="0" w:line="240" w:lineRule="auto"/>
      </w:pPr>
      <w:r>
        <w:separator/>
      </w:r>
    </w:p>
  </w:footnote>
  <w:footnote w:type="continuationSeparator" w:id="0">
    <w:p w14:paraId="0A6D4250" w14:textId="77777777" w:rsidR="00DC5034" w:rsidRDefault="00DC5034" w:rsidP="00172C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FAD270" w14:textId="77777777" w:rsidR="00172C4F" w:rsidRDefault="00172C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58A69" w14:textId="77777777" w:rsidR="00172C4F" w:rsidRDefault="00172C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79EFE9" w14:textId="77777777" w:rsidR="00172C4F" w:rsidRDefault="00172C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7EA4947"/>
    <w:multiLevelType w:val="multilevel"/>
    <w:tmpl w:val="B616153A"/>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F844E1"/>
    <w:multiLevelType w:val="multilevel"/>
    <w:tmpl w:val="6094979E"/>
    <w:lvl w:ilvl="0">
      <w:start w:val="1"/>
      <w:numFmt w:val="decimal"/>
      <w:lvlText w:val="%1"/>
      <w:lvlJc w:val="left"/>
      <w:pPr>
        <w:ind w:left="510" w:hanging="510"/>
      </w:pPr>
      <w:rPr>
        <w:rFonts w:hint="default"/>
      </w:rPr>
    </w:lvl>
    <w:lvl w:ilvl="1">
      <w:start w:val="1"/>
      <w:numFmt w:val="decimal"/>
      <w:lvlText w:val="%1.%2"/>
      <w:lvlJc w:val="left"/>
      <w:pPr>
        <w:ind w:left="510" w:hanging="51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16"/>
  </w:num>
  <w:num w:numId="2" w16cid:durableId="1048190077">
    <w:abstractNumId w:val="6"/>
  </w:num>
  <w:num w:numId="3" w16cid:durableId="697777982">
    <w:abstractNumId w:val="17"/>
  </w:num>
  <w:num w:numId="4" w16cid:durableId="2138067202">
    <w:abstractNumId w:val="2"/>
  </w:num>
  <w:num w:numId="5" w16cid:durableId="1072700592">
    <w:abstractNumId w:val="10"/>
  </w:num>
  <w:num w:numId="6" w16cid:durableId="2115635506">
    <w:abstractNumId w:val="14"/>
  </w:num>
  <w:num w:numId="7" w16cid:durableId="1215116075">
    <w:abstractNumId w:val="4"/>
  </w:num>
  <w:num w:numId="8" w16cid:durableId="98063789">
    <w:abstractNumId w:val="1"/>
  </w:num>
  <w:num w:numId="9" w16cid:durableId="936329001">
    <w:abstractNumId w:val="8"/>
  </w:num>
  <w:num w:numId="10" w16cid:durableId="1115371277">
    <w:abstractNumId w:val="7"/>
  </w:num>
  <w:num w:numId="11" w16cid:durableId="209348931">
    <w:abstractNumId w:val="0"/>
  </w:num>
  <w:num w:numId="12" w16cid:durableId="1504661802">
    <w:abstractNumId w:val="18"/>
  </w:num>
  <w:num w:numId="13" w16cid:durableId="1863473713">
    <w:abstractNumId w:val="9"/>
  </w:num>
  <w:num w:numId="14" w16cid:durableId="2033875701">
    <w:abstractNumId w:val="12"/>
  </w:num>
  <w:num w:numId="15" w16cid:durableId="1559053598">
    <w:abstractNumId w:val="11"/>
  </w:num>
  <w:num w:numId="16" w16cid:durableId="387529797">
    <w:abstractNumId w:val="15"/>
  </w:num>
  <w:num w:numId="17" w16cid:durableId="335964761">
    <w:abstractNumId w:val="5"/>
  </w:num>
  <w:num w:numId="18" w16cid:durableId="2003124214">
    <w:abstractNumId w:val="13"/>
  </w:num>
  <w:num w:numId="19" w16cid:durableId="17321888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2162B"/>
    <w:rsid w:val="000246C7"/>
    <w:rsid w:val="00063357"/>
    <w:rsid w:val="00084ADB"/>
    <w:rsid w:val="00096467"/>
    <w:rsid w:val="000A2052"/>
    <w:rsid w:val="000B230E"/>
    <w:rsid w:val="000D3D7E"/>
    <w:rsid w:val="000E1F0C"/>
    <w:rsid w:val="000E523E"/>
    <w:rsid w:val="001075EB"/>
    <w:rsid w:val="001106AF"/>
    <w:rsid w:val="00111971"/>
    <w:rsid w:val="00111ECF"/>
    <w:rsid w:val="00120FF3"/>
    <w:rsid w:val="00122F10"/>
    <w:rsid w:val="001316BA"/>
    <w:rsid w:val="001420B5"/>
    <w:rsid w:val="0015165A"/>
    <w:rsid w:val="00165EDD"/>
    <w:rsid w:val="00172C4F"/>
    <w:rsid w:val="001803AF"/>
    <w:rsid w:val="00184522"/>
    <w:rsid w:val="001A4D6D"/>
    <w:rsid w:val="001B0DCF"/>
    <w:rsid w:val="001D204D"/>
    <w:rsid w:val="001E2E59"/>
    <w:rsid w:val="001E55A5"/>
    <w:rsid w:val="001E653A"/>
    <w:rsid w:val="001E6718"/>
    <w:rsid w:val="001F51DA"/>
    <w:rsid w:val="001F7201"/>
    <w:rsid w:val="002026ED"/>
    <w:rsid w:val="00211189"/>
    <w:rsid w:val="002111A0"/>
    <w:rsid w:val="002118BC"/>
    <w:rsid w:val="00227FBC"/>
    <w:rsid w:val="00286DF1"/>
    <w:rsid w:val="002968DC"/>
    <w:rsid w:val="002A0919"/>
    <w:rsid w:val="002B6763"/>
    <w:rsid w:val="002C1EFB"/>
    <w:rsid w:val="002E2C97"/>
    <w:rsid w:val="002E420D"/>
    <w:rsid w:val="00303809"/>
    <w:rsid w:val="003111E3"/>
    <w:rsid w:val="00333DC3"/>
    <w:rsid w:val="00335528"/>
    <w:rsid w:val="0034305C"/>
    <w:rsid w:val="003467DF"/>
    <w:rsid w:val="00372D83"/>
    <w:rsid w:val="0038404A"/>
    <w:rsid w:val="003C26CD"/>
    <w:rsid w:val="003F49E6"/>
    <w:rsid w:val="00425A75"/>
    <w:rsid w:val="004404D8"/>
    <w:rsid w:val="004442F2"/>
    <w:rsid w:val="00447561"/>
    <w:rsid w:val="00462D3C"/>
    <w:rsid w:val="00475FEB"/>
    <w:rsid w:val="0048205C"/>
    <w:rsid w:val="004868A8"/>
    <w:rsid w:val="00487F3C"/>
    <w:rsid w:val="00494233"/>
    <w:rsid w:val="00496D16"/>
    <w:rsid w:val="004A5F5F"/>
    <w:rsid w:val="004B7EFA"/>
    <w:rsid w:val="005010B4"/>
    <w:rsid w:val="00530EB7"/>
    <w:rsid w:val="00553253"/>
    <w:rsid w:val="00570C35"/>
    <w:rsid w:val="00582A55"/>
    <w:rsid w:val="0058396D"/>
    <w:rsid w:val="00590045"/>
    <w:rsid w:val="005A2392"/>
    <w:rsid w:val="005B3FB2"/>
    <w:rsid w:val="005C21F2"/>
    <w:rsid w:val="005C5B06"/>
    <w:rsid w:val="005D1D31"/>
    <w:rsid w:val="005E4939"/>
    <w:rsid w:val="005F1865"/>
    <w:rsid w:val="0064606F"/>
    <w:rsid w:val="006524C6"/>
    <w:rsid w:val="00675E0B"/>
    <w:rsid w:val="00697162"/>
    <w:rsid w:val="006B5DD2"/>
    <w:rsid w:val="006C19E4"/>
    <w:rsid w:val="006D1ED9"/>
    <w:rsid w:val="006E1BCF"/>
    <w:rsid w:val="00714B16"/>
    <w:rsid w:val="007170B3"/>
    <w:rsid w:val="00732E27"/>
    <w:rsid w:val="007448D7"/>
    <w:rsid w:val="00751348"/>
    <w:rsid w:val="00764746"/>
    <w:rsid w:val="007758B4"/>
    <w:rsid w:val="00796A85"/>
    <w:rsid w:val="007A3DBF"/>
    <w:rsid w:val="007A7E44"/>
    <w:rsid w:val="007B346C"/>
    <w:rsid w:val="007C4C52"/>
    <w:rsid w:val="0082576C"/>
    <w:rsid w:val="008446D1"/>
    <w:rsid w:val="00853332"/>
    <w:rsid w:val="008565AE"/>
    <w:rsid w:val="008C5C46"/>
    <w:rsid w:val="008D72D3"/>
    <w:rsid w:val="00905C1F"/>
    <w:rsid w:val="00924856"/>
    <w:rsid w:val="009277E2"/>
    <w:rsid w:val="00953141"/>
    <w:rsid w:val="00954D56"/>
    <w:rsid w:val="00960557"/>
    <w:rsid w:val="00963749"/>
    <w:rsid w:val="009F39CE"/>
    <w:rsid w:val="00A03A11"/>
    <w:rsid w:val="00A275CB"/>
    <w:rsid w:val="00A30650"/>
    <w:rsid w:val="00A4200E"/>
    <w:rsid w:val="00A44580"/>
    <w:rsid w:val="00A4491B"/>
    <w:rsid w:val="00A47500"/>
    <w:rsid w:val="00A56800"/>
    <w:rsid w:val="00A62372"/>
    <w:rsid w:val="00A7028B"/>
    <w:rsid w:val="00A75662"/>
    <w:rsid w:val="00A779A9"/>
    <w:rsid w:val="00A84242"/>
    <w:rsid w:val="00AA2A60"/>
    <w:rsid w:val="00AA7B0D"/>
    <w:rsid w:val="00AB61F4"/>
    <w:rsid w:val="00AB7A25"/>
    <w:rsid w:val="00AD3D4E"/>
    <w:rsid w:val="00AE193A"/>
    <w:rsid w:val="00AF1739"/>
    <w:rsid w:val="00AF4DBC"/>
    <w:rsid w:val="00AF6E3E"/>
    <w:rsid w:val="00B00B96"/>
    <w:rsid w:val="00B01B14"/>
    <w:rsid w:val="00B1392C"/>
    <w:rsid w:val="00B34268"/>
    <w:rsid w:val="00B56880"/>
    <w:rsid w:val="00B62D2E"/>
    <w:rsid w:val="00B71E41"/>
    <w:rsid w:val="00B82601"/>
    <w:rsid w:val="00B91ED2"/>
    <w:rsid w:val="00B92BA2"/>
    <w:rsid w:val="00BA20B7"/>
    <w:rsid w:val="00BA7954"/>
    <w:rsid w:val="00C037A2"/>
    <w:rsid w:val="00C04C48"/>
    <w:rsid w:val="00C260AF"/>
    <w:rsid w:val="00C4769B"/>
    <w:rsid w:val="00C5359D"/>
    <w:rsid w:val="00C90A3D"/>
    <w:rsid w:val="00CA2B87"/>
    <w:rsid w:val="00CF0F93"/>
    <w:rsid w:val="00D07DEF"/>
    <w:rsid w:val="00D24A82"/>
    <w:rsid w:val="00D2781A"/>
    <w:rsid w:val="00D34B48"/>
    <w:rsid w:val="00D42F55"/>
    <w:rsid w:val="00D5113B"/>
    <w:rsid w:val="00D5334D"/>
    <w:rsid w:val="00D62003"/>
    <w:rsid w:val="00D84A0B"/>
    <w:rsid w:val="00D9039D"/>
    <w:rsid w:val="00DA6B69"/>
    <w:rsid w:val="00DC5034"/>
    <w:rsid w:val="00DE2213"/>
    <w:rsid w:val="00DE43D8"/>
    <w:rsid w:val="00DF4044"/>
    <w:rsid w:val="00E02F36"/>
    <w:rsid w:val="00E04EDB"/>
    <w:rsid w:val="00E06013"/>
    <w:rsid w:val="00E13D74"/>
    <w:rsid w:val="00E27B88"/>
    <w:rsid w:val="00E47B21"/>
    <w:rsid w:val="00E93DF0"/>
    <w:rsid w:val="00E954B2"/>
    <w:rsid w:val="00EA2BAB"/>
    <w:rsid w:val="00EB53EA"/>
    <w:rsid w:val="00EE44D5"/>
    <w:rsid w:val="00EF7AE2"/>
    <w:rsid w:val="00F3200F"/>
    <w:rsid w:val="00F4736A"/>
    <w:rsid w:val="00F7017E"/>
    <w:rsid w:val="00F80E93"/>
    <w:rsid w:val="00F86872"/>
    <w:rsid w:val="00FA05E0"/>
    <w:rsid w:val="00FA27D3"/>
    <w:rsid w:val="00FB33C6"/>
    <w:rsid w:val="00FB69D3"/>
    <w:rsid w:val="00FB7538"/>
    <w:rsid w:val="00FC3A1D"/>
    <w:rsid w:val="00FC51C9"/>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customStyle="1" w:styleId="font-claude-response-body">
    <w:name w:val="font-claude-response-body"/>
    <w:basedOn w:val="Normal"/>
    <w:rsid w:val="002968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4A5F5F"/>
    <w:rPr>
      <w:color w:val="605E5C"/>
      <w:shd w:val="clear" w:color="auto" w:fill="E1DFDD"/>
    </w:rPr>
  </w:style>
  <w:style w:type="character" w:styleId="PlaceholderText">
    <w:name w:val="Placeholder Text"/>
    <w:basedOn w:val="DefaultParagraphFont"/>
    <w:uiPriority w:val="99"/>
    <w:semiHidden/>
    <w:rsid w:val="002118BC"/>
    <w:rPr>
      <w:color w:val="666666"/>
    </w:rPr>
  </w:style>
  <w:style w:type="paragraph" w:styleId="Header">
    <w:name w:val="header"/>
    <w:basedOn w:val="Normal"/>
    <w:link w:val="HeaderChar"/>
    <w:uiPriority w:val="99"/>
    <w:unhideWhenUsed/>
    <w:rsid w:val="00172C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C4F"/>
  </w:style>
  <w:style w:type="paragraph" w:styleId="Footer">
    <w:name w:val="footer"/>
    <w:basedOn w:val="Normal"/>
    <w:link w:val="FooterChar"/>
    <w:uiPriority w:val="99"/>
    <w:unhideWhenUsed/>
    <w:rsid w:val="00172C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C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331A7EF601242D38F081692F943BDC7"/>
        <w:category>
          <w:name w:val="General"/>
          <w:gallery w:val="placeholder"/>
        </w:category>
        <w:types>
          <w:type w:val="bbPlcHdr"/>
        </w:types>
        <w:behaviors>
          <w:behavior w:val="content"/>
        </w:behaviors>
        <w:guid w:val="{6DE30A8E-E4B1-4F2F-9658-DE591BC1FF32}"/>
      </w:docPartPr>
      <w:docPartBody>
        <w:p w:rsidR="005B24E5" w:rsidRDefault="00A137E3">
          <w:r w:rsidRPr="00F4228F">
            <w:rPr>
              <w:rStyle w:val="PlaceholderText"/>
            </w:rPr>
            <w:t>Formatting...</w:t>
          </w:r>
        </w:p>
      </w:docPartBody>
    </w:docPart>
    <w:docPart>
      <w:docPartPr>
        <w:name w:val="39E5140C034F4FFBBD494CE1600C3000"/>
        <w:category>
          <w:name w:val="General"/>
          <w:gallery w:val="placeholder"/>
        </w:category>
        <w:types>
          <w:type w:val="bbPlcHdr"/>
        </w:types>
        <w:behaviors>
          <w:behavior w:val="content"/>
        </w:behaviors>
        <w:guid w:val="{EEEFE15C-F94C-48A4-9364-0C3B530B7F4D}"/>
      </w:docPartPr>
      <w:docPartBody>
        <w:p w:rsidR="005B24E5" w:rsidRDefault="00A137E3">
          <w:r w:rsidRPr="00F4228F">
            <w:rPr>
              <w:rStyle w:val="PlaceholderText"/>
            </w:rPr>
            <w:t>Formatting...</w:t>
          </w:r>
        </w:p>
      </w:docPartBody>
    </w:docPart>
    <w:docPart>
      <w:docPartPr>
        <w:name w:val="E88FD86EE926416C8D62EF7DCA73F8E3"/>
        <w:category>
          <w:name w:val="General"/>
          <w:gallery w:val="placeholder"/>
        </w:category>
        <w:types>
          <w:type w:val="bbPlcHdr"/>
        </w:types>
        <w:behaviors>
          <w:behavior w:val="content"/>
        </w:behaviors>
        <w:guid w:val="{2651AF84-D82B-411D-806D-0F44480166CA}"/>
      </w:docPartPr>
      <w:docPartBody>
        <w:p w:rsidR="005B24E5" w:rsidRDefault="00A137E3">
          <w:r w:rsidRPr="00F4228F">
            <w:rPr>
              <w:rStyle w:val="PlaceholderText"/>
            </w:rPr>
            <w:t>Formatting...</w:t>
          </w:r>
        </w:p>
      </w:docPartBody>
    </w:docPart>
    <w:docPart>
      <w:docPartPr>
        <w:name w:val="317A243E552E4B0DB3231FD0C4260459"/>
        <w:category>
          <w:name w:val="General"/>
          <w:gallery w:val="placeholder"/>
        </w:category>
        <w:types>
          <w:type w:val="bbPlcHdr"/>
        </w:types>
        <w:behaviors>
          <w:behavior w:val="content"/>
        </w:behaviors>
        <w:guid w:val="{5C0ED37E-31AD-43F1-B96D-EE5EF4D0BEE8}"/>
      </w:docPartPr>
      <w:docPartBody>
        <w:p w:rsidR="005B24E5" w:rsidRDefault="00A137E3">
          <w:r w:rsidRPr="00F4228F">
            <w:rPr>
              <w:rStyle w:val="PlaceholderText"/>
            </w:rPr>
            <w:t>Formatting...</w:t>
          </w:r>
        </w:p>
      </w:docPartBody>
    </w:docPart>
    <w:docPart>
      <w:docPartPr>
        <w:name w:val="94128C67BE9B4DD7B7EC28A8529F5D59"/>
        <w:category>
          <w:name w:val="General"/>
          <w:gallery w:val="placeholder"/>
        </w:category>
        <w:types>
          <w:type w:val="bbPlcHdr"/>
        </w:types>
        <w:behaviors>
          <w:behavior w:val="content"/>
        </w:behaviors>
        <w:guid w:val="{22574639-4B43-42A1-BBF7-3A264D1204B4}"/>
      </w:docPartPr>
      <w:docPartBody>
        <w:p w:rsidR="005B24E5" w:rsidRDefault="00A137E3">
          <w:r w:rsidRPr="00F4228F">
            <w:rPr>
              <w:rStyle w:val="PlaceholderText"/>
            </w:rPr>
            <w:t>Formatting...</w:t>
          </w:r>
        </w:p>
      </w:docPartBody>
    </w:docPart>
    <w:docPart>
      <w:docPartPr>
        <w:name w:val="CA2117536A3E4212847A4652F521796D"/>
        <w:category>
          <w:name w:val="General"/>
          <w:gallery w:val="placeholder"/>
        </w:category>
        <w:types>
          <w:type w:val="bbPlcHdr"/>
        </w:types>
        <w:behaviors>
          <w:behavior w:val="content"/>
        </w:behaviors>
        <w:guid w:val="{3001F2B3-D661-492D-BF5B-757C9B2FF225}"/>
      </w:docPartPr>
      <w:docPartBody>
        <w:p w:rsidR="005B24E5" w:rsidRDefault="00A137E3">
          <w:r w:rsidRPr="00F4228F">
            <w:rPr>
              <w:rStyle w:val="PlaceholderText"/>
            </w:rPr>
            <w:t>Formatting...</w:t>
          </w:r>
        </w:p>
      </w:docPartBody>
    </w:docPart>
    <w:docPart>
      <w:docPartPr>
        <w:name w:val="751A2F60EEEE472A87D6D2FD0227CD89"/>
        <w:category>
          <w:name w:val="General"/>
          <w:gallery w:val="placeholder"/>
        </w:category>
        <w:types>
          <w:type w:val="bbPlcHdr"/>
        </w:types>
        <w:behaviors>
          <w:behavior w:val="content"/>
        </w:behaviors>
        <w:guid w:val="{C2EE7DEC-408A-4C90-BD65-DBA0E582D722}"/>
      </w:docPartPr>
      <w:docPartBody>
        <w:p w:rsidR="005B24E5" w:rsidRDefault="00A137E3">
          <w:r w:rsidRPr="00F4228F">
            <w:rPr>
              <w:rStyle w:val="PlaceholderText"/>
            </w:rPr>
            <w:t>Formatting...</w:t>
          </w:r>
        </w:p>
      </w:docPartBody>
    </w:docPart>
    <w:docPart>
      <w:docPartPr>
        <w:name w:val="D4007A5BEC924D1CA3BB759BD52D9F23"/>
        <w:category>
          <w:name w:val="General"/>
          <w:gallery w:val="placeholder"/>
        </w:category>
        <w:types>
          <w:type w:val="bbPlcHdr"/>
        </w:types>
        <w:behaviors>
          <w:behavior w:val="content"/>
        </w:behaviors>
        <w:guid w:val="{40ED7FAC-4903-413A-982B-1CA51E7CA683}"/>
      </w:docPartPr>
      <w:docPartBody>
        <w:p w:rsidR="005B24E5" w:rsidRDefault="00A137E3">
          <w:r w:rsidRPr="00F4228F">
            <w:rPr>
              <w:rStyle w:val="PlaceholderText"/>
            </w:rPr>
            <w:t>Formatting...</w:t>
          </w:r>
        </w:p>
      </w:docPartBody>
    </w:docPart>
    <w:docPart>
      <w:docPartPr>
        <w:name w:val="A7E4D425ECF34542894C3E967607C92E"/>
        <w:category>
          <w:name w:val="General"/>
          <w:gallery w:val="placeholder"/>
        </w:category>
        <w:types>
          <w:type w:val="bbPlcHdr"/>
        </w:types>
        <w:behaviors>
          <w:behavior w:val="content"/>
        </w:behaviors>
        <w:guid w:val="{EF472389-2BF3-4ED4-A81F-8DD9816614D9}"/>
      </w:docPartPr>
      <w:docPartBody>
        <w:p w:rsidR="005B24E5" w:rsidRDefault="00A137E3">
          <w:r w:rsidRPr="00F4228F">
            <w:rPr>
              <w:rStyle w:val="PlaceholderText"/>
            </w:rPr>
            <w:t>Formatting...</w:t>
          </w:r>
        </w:p>
      </w:docPartBody>
    </w:docPart>
    <w:docPart>
      <w:docPartPr>
        <w:name w:val="92CB767F851B47B1A9E682A77FEADDE3"/>
        <w:category>
          <w:name w:val="General"/>
          <w:gallery w:val="placeholder"/>
        </w:category>
        <w:types>
          <w:type w:val="bbPlcHdr"/>
        </w:types>
        <w:behaviors>
          <w:behavior w:val="content"/>
        </w:behaviors>
        <w:guid w:val="{F151D274-81D1-4867-A73B-6C92BDFAEA31}"/>
      </w:docPartPr>
      <w:docPartBody>
        <w:p w:rsidR="005B24E5" w:rsidRDefault="00A137E3">
          <w:r w:rsidRPr="00F4228F">
            <w:rPr>
              <w:rStyle w:val="PlaceholderText"/>
            </w:rPr>
            <w:t>Formatting...</w:t>
          </w:r>
        </w:p>
      </w:docPartBody>
    </w:docPart>
    <w:docPart>
      <w:docPartPr>
        <w:name w:val="484E625FAF3E49D49DC2812CE50675F9"/>
        <w:category>
          <w:name w:val="General"/>
          <w:gallery w:val="placeholder"/>
        </w:category>
        <w:types>
          <w:type w:val="bbPlcHdr"/>
        </w:types>
        <w:behaviors>
          <w:behavior w:val="content"/>
        </w:behaviors>
        <w:guid w:val="{8347B18C-B33F-4182-ACD5-6FF35C911A0A}"/>
      </w:docPartPr>
      <w:docPartBody>
        <w:p w:rsidR="005B24E5" w:rsidRDefault="00A137E3">
          <w:r w:rsidRPr="00F4228F">
            <w:rPr>
              <w:rStyle w:val="PlaceholderText"/>
            </w:rPr>
            <w:t>Formatting...</w:t>
          </w:r>
        </w:p>
      </w:docPartBody>
    </w:docPart>
    <w:docPart>
      <w:docPartPr>
        <w:name w:val="7163AB0A61684DF4B88295F88960CC1B"/>
        <w:category>
          <w:name w:val="General"/>
          <w:gallery w:val="placeholder"/>
        </w:category>
        <w:types>
          <w:type w:val="bbPlcHdr"/>
        </w:types>
        <w:behaviors>
          <w:behavior w:val="content"/>
        </w:behaviors>
        <w:guid w:val="{D0A6C822-E4FF-4063-809F-E1E1B1A9F3F3}"/>
      </w:docPartPr>
      <w:docPartBody>
        <w:p w:rsidR="005B24E5" w:rsidRDefault="00A137E3">
          <w:r w:rsidRPr="00F4228F">
            <w:rPr>
              <w:rStyle w:val="PlaceholderText"/>
            </w:rPr>
            <w:t>Formatting...</w:t>
          </w:r>
        </w:p>
      </w:docPartBody>
    </w:docPart>
    <w:docPart>
      <w:docPartPr>
        <w:name w:val="F772811273604C85BF85793E8B35CAF8"/>
        <w:category>
          <w:name w:val="General"/>
          <w:gallery w:val="placeholder"/>
        </w:category>
        <w:types>
          <w:type w:val="bbPlcHdr"/>
        </w:types>
        <w:behaviors>
          <w:behavior w:val="content"/>
        </w:behaviors>
        <w:guid w:val="{DC925C19-8042-419A-B54E-CC7F9B1CF73F}"/>
      </w:docPartPr>
      <w:docPartBody>
        <w:p w:rsidR="005B24E5" w:rsidRDefault="00A137E3">
          <w:r w:rsidRPr="00F4228F">
            <w:rPr>
              <w:rStyle w:val="PlaceholderText"/>
            </w:rPr>
            <w:t>Formatting...</w:t>
          </w:r>
        </w:p>
      </w:docPartBody>
    </w:docPart>
    <w:docPart>
      <w:docPartPr>
        <w:name w:val="50DFAB62A032404898915D6311BB2F22"/>
        <w:category>
          <w:name w:val="General"/>
          <w:gallery w:val="placeholder"/>
        </w:category>
        <w:types>
          <w:type w:val="bbPlcHdr"/>
        </w:types>
        <w:behaviors>
          <w:behavior w:val="content"/>
        </w:behaviors>
        <w:guid w:val="{E67D0AE3-1AD9-4612-B640-3E6C78E40378}"/>
      </w:docPartPr>
      <w:docPartBody>
        <w:p w:rsidR="005B24E5" w:rsidRDefault="00A137E3">
          <w:r w:rsidRPr="00F4228F">
            <w:rPr>
              <w:rStyle w:val="PlaceholderText"/>
            </w:rPr>
            <w:t>Formatting...</w:t>
          </w:r>
        </w:p>
      </w:docPartBody>
    </w:docPart>
    <w:docPart>
      <w:docPartPr>
        <w:name w:val="42BFBDE8AA9447B9AB3CEFF49037C604"/>
        <w:category>
          <w:name w:val="General"/>
          <w:gallery w:val="placeholder"/>
        </w:category>
        <w:types>
          <w:type w:val="bbPlcHdr"/>
        </w:types>
        <w:behaviors>
          <w:behavior w:val="content"/>
        </w:behaviors>
        <w:guid w:val="{936A3BBE-BE2C-426B-A6C9-7CFD41BEE90E}"/>
      </w:docPartPr>
      <w:docPartBody>
        <w:p w:rsidR="005B24E5" w:rsidRDefault="00A137E3">
          <w:r w:rsidRPr="00F4228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7E3"/>
    <w:rsid w:val="00211BB4"/>
    <w:rsid w:val="005B24E5"/>
    <w:rsid w:val="0063324E"/>
    <w:rsid w:val="007A7E44"/>
    <w:rsid w:val="00A137E3"/>
    <w:rsid w:val="00E27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37E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3FD9C25-FAD4-4F6B-B85E-C11D3EEE9D12}">
  <we:reference id="wa200007520" version="3.0.0.0" store="en-US" storeType="OMEX"/>
  <we:alternateReferences>
    <we:reference id="WA200007520" version="3.0.0.0" store="" storeType="OMEX"/>
  </we:alternateReferences>
  <we:properties>
    <we:property name="citations" value="{&quot;126364068&quot;:{&quot;referencesIds&quot;:[&quot;doc:6a7bcbf32b48ee33bb1f86e9&quot;],&quot;referencesOptions&quot;:{&quot;doc:6a7bcbf32b48ee33bb1f86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64068,&quot;citationText&quot;:&quot;&lt;span style=\&quot;font-family:Times New Roman;font-size:16px;color:#000000\&quot;&gt;[11]&lt;/span&gt;&quot;},&quot;910344778&quot;:{&quot;referencesIds&quot;:[&quot;doc:6a7bcbd5cf042f25e9d27cdb&quot;],&quot;referencesOptions&quot;:{&quot;doc:6a7bcbd5cf042f25e9d27c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0344778,&quot;citationText&quot;:&quot;&lt;span style=\&quot;font-family:Times New Roman;font-size:16px;color:#000000\&quot;&gt;[10]&lt;/span&gt;&quot;},&quot;1000165234&quot;:{&quot;referencesIds&quot;:[&quot;doc:6a7bca10d52a4551f0138295&quot;],&quot;referencesOptions&quot;:{&quot;doc:6a7bca10d52a4551f01382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165234,&quot;citationText&quot;:&quot;&lt;span style=\&quot;font-family:Times New Roman;font-size:16px;color:#000000\&quot;&gt;[2]&lt;/span&gt;&quot;},&quot;1269197460&quot;:{&quot;referencesIds&quot;:[&quot;doc:6a7bcc98d6022a5f52a57eeb&quot;],&quot;referencesOptions&quot;:{&quot;doc:6a7bcc98d6022a5f52a57e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9197460,&quot;citationText&quot;:&quot;&lt;span style=\&quot;font-family:Times New Roman;font-size:16px;color:#000000\&quot;&gt;[12]&lt;/span&gt;&quot;},&quot;1494451284&quot;:{&quot;referencesIds&quot;:[&quot;doc:6a7bcb32cf042f25e9d27cd8&quot;],&quot;referencesOptions&quot;:{&quot;doc:6a7bcb32cf042f25e9d27c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451284,&quot;citationText&quot;:&quot;&lt;span style=\&quot;font-family:Times New Roman;font-size:16px;color:#000000\&quot;&gt;[7]&lt;/span&gt;&quot;},&quot;1801957859&quot;:{&quot;referencesIds&quot;:[&quot;doc:6a7bbfe904111770dc926d56&quot;],&quot;referencesOptions&quot;:{&quot;doc:6a7bbfe904111770dc926d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1957859,&quot;citationText&quot;:&quot;&lt;span style=\&quot;font-family:Times New Roman;font-size:16px;color:#000000\&quot;&gt;[5]&lt;/span&gt;&quot;},&quot;2032614203&quot;:{&quot;referencesIds&quot;:[&quot;doc:6a7bcd662b48ee33bb1f86f0&quot;],&quot;referencesOptions&quot;:{&quot;doc:6a7bcd662b48ee33bb1f86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2614203,&quot;citationText&quot;:&quot;&lt;span style=\&quot;font-family:Times New Roman;font-size:16px;color:#000000\&quot;&gt;[14]&lt;/span&gt;&quot;},&quot;-1462186969&quot;:{&quot;referencesIds&quot;:[&quot;doc:6a7bc9efcf042f25e9d27cd2&quot;],&quot;referencesOptions&quot;:{&quot;doc:6a7bc9efcf042f25e9d27c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2186969,&quot;citationText&quot;:&quot;&lt;span style=\&quot;font-family:Times New Roman;font-size:16px;color:#000000\&quot;&gt;[1]&lt;/span&gt;&quot;},&quot;-516698518&quot;:{&quot;referencesIds&quot;:[&quot;doc:6a7bca2d885ce65eb447179c&quot;],&quot;referencesOptions&quot;:{&quot;doc:6a7bca2d885ce65eb44717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698518,&quot;citationText&quot;:&quot;&lt;span style=\&quot;font-family:Times New Roman;font-size:16px;color:#000000\&quot;&gt;[3]&lt;/span&gt;&quot;},&quot;-541979194&quot;:{&quot;referencesIds&quot;:[&quot;doc:6a7bca86564cc01f48a97e23&quot;],&quot;referencesOptions&quot;:{&quot;doc:6a7bca86564cc01f48a97e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1979194,&quot;citationText&quot;:&quot;&lt;span style=\&quot;font-family:Times New Roman;font-size:16px;color:#000000\&quot;&gt;[4]&lt;/span&gt;&quot;},&quot;-1321186245&quot;:{&quot;referencesIds&quot;:[&quot;doc:6a7bcaf0d6022a5f52a57ee7&quot;],&quot;referencesOptions&quot;:{&quot;doc:6a7bcaf0d6022a5f52a57e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1186245,&quot;citationText&quot;:&quot;&lt;span style=\&quot;font-family:Times New Roman;font-size:16px;color:#000000\&quot;&gt;[6]&lt;/span&gt;&quot;},&quot;-415941468&quot;:{&quot;referencesIds&quot;:[&quot;doc:6a7bcb637b977a67cdbb354c&quot;],&quot;referencesOptions&quot;:{&quot;doc:6a7bcb637b977a67cdbb35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5941468,&quot;citationText&quot;:&quot;&lt;span style=\&quot;font-family:Times New Roman;font-size:16px;color:#000000\&quot;&gt;[8]&lt;/span&gt;&quot;},&quot;-1037883248&quot;:{&quot;referencesIds&quot;:[&quot;doc:6a7bcbb3d52a4551f013829d&quot;],&quot;referencesOptions&quot;:{&quot;doc:6a7bcbb3d52a4551f01382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7883248,&quot;citationText&quot;:&quot;&lt;span style=\&quot;font-family:Times New Roman;font-size:16px;color:#000000\&quot;&gt;[9]&lt;/span&gt;&quot;},&quot;-782955782&quot;:{&quot;referencesIds&quot;:[&quot;doc:6a7bcd20f43af914a6c5efc6&quot;],&quot;referencesOptions&quot;:{&quot;doc:6a7bcd20f43af914a6c5ef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2955782,&quot;citationText&quot;:&quot;&lt;span style=\&quot;font-family:Times New Roman;font-size:16px;color:#000000\&quot;&gt;[13]&lt;/span&gt;&quot;},&quot;-1371764620&quot;:{&quot;referencesIds&quot;:[&quot;doc:6a7bcda534c7807d12c7a8da&quot;],&quot;referencesOptions&quot;:{&quot;doc:6a7bcda534c7807d12c7a8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1764620,&quot;citationText&quot;:&quot;&lt;span style=\&quot;font-family:Times New Roman;font-size:16px;color:#000000\&quot;&gt;[15]&lt;/span&gt;&quot;}}"/>
    <we:property name="currentFolder" value="{&quot;id&quot;:&quot;project:6a7bc9a13262654ff820fcef&quot;,&quot;userId&quot;:&quot;user:67c5a3110b929266e2ab2b28&quot;,&quot;projectId&quot;:&quot;ap:67c5a3110b929266e2ab2b29&quot;,&quot;name&quot;:&quot;trabalho1&quot;,&quot;created&quot;:1786497441855,&quot;lastModified&quot;:1786497441855,&quot;position&quot;:0,&quot;isShared&quot;:false,&quot;isExampleCollection&quot;:false,&quot;isMyPublicationsCollection&quot;:false,&quot;notInFolder&quot;:false,&quot;isFavorite&quot;:true,&quot;totalReferences&quot;:14,&quot;depth&quot;:0}"/>
    <we:property name="currentStyle" value="{&quot;id&quot;:&quot;rwoutputstyle:69bb04bb8249c90031920874&quot;,&quot;styleType&quot;:&quot;global&quot;,&quot;name&quot;:&quot;IEEE - Communication Magazine&quot;,&quot;userId&quot;:&quot;user:5c65ce0be4b09a36bed143f1&quot;,&quot;isInstitutional&quot;:false,&quot;citeStyle&quot;:&quot;INTEXT_ONLY&quot;,&quot;isSorted&quot;:false,&quot;usesNumbers&quot;:false,&quot;lrwStyleId&quot;:3050,&quot;authorDisambiguation&quot;:&quot;surname_firstname&quot;}"/>
    <we:property name="rcm.version" value="2"/>
    <we:property name="rw.officeVersion" value="&quot;1.3&quot;"/>
    <we:property name="rw.subscriberId" value="&quot;0&quot;"/>
    <we:property name="rw.userId" value="&quot;user:67c5a3110b929266e2ab2b28&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784</TotalTime>
  <Pages>17</Pages>
  <Words>5307</Words>
  <Characters>30253</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ID:24288</Company>
  <LinksUpToDate>false</LinksUpToDate>
  <CharactersWithSpaces>35490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data security and compliance</dc:title>
  <dc:subject/>
  <dc:creator>Dr AYMAN EL HAJJAR</dc:creator>
  <cp:keywords/>
  <dc:description/>
  <cp:lastModifiedBy>Mauricio Acordi</cp:lastModifiedBy>
  <cp:revision>82</cp:revision>
  <dcterms:created xsi:type="dcterms:W3CDTF">2026-08-11T01:04:00Z</dcterms:created>
  <dcterms:modified xsi:type="dcterms:W3CDTF">2026-08-12T02:02:00Z</dcterms:modified>
</cp:coreProperties>
</file>