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D86EDE" w14:textId="353F41B6" w:rsidR="001B51E1" w:rsidRDefault="00944CD3" w:rsidP="004D7ECB">
      <w:pPr>
        <w:jc w:val="center"/>
        <w:rPr>
          <w:rFonts w:asciiTheme="majorHAnsi" w:hAnsiTheme="majorHAnsi" w:cstheme="majorHAnsi"/>
          <w:b/>
          <w:bCs/>
          <w:u w:val="single"/>
        </w:rPr>
      </w:pPr>
      <w:r>
        <w:rPr>
          <w:rFonts w:asciiTheme="majorHAnsi" w:hAnsiTheme="majorHAnsi" w:cstheme="majorHAnsi"/>
          <w:b/>
          <w:bCs/>
          <w:u w:val="single"/>
        </w:rPr>
        <w:t>MEMORANDUM</w:t>
      </w:r>
    </w:p>
    <w:p w14:paraId="56C8B803" w14:textId="6D481D35" w:rsidR="004D7ECB" w:rsidRDefault="004D7ECB" w:rsidP="004D7ECB">
      <w:pPr>
        <w:jc w:val="center"/>
        <w:rPr>
          <w:rFonts w:asciiTheme="majorHAnsi" w:hAnsiTheme="majorHAnsi" w:cstheme="majorHAnsi"/>
          <w:b/>
          <w:bCs/>
          <w:u w:val="single"/>
        </w:rPr>
      </w:pPr>
    </w:p>
    <w:p w14:paraId="02957D75" w14:textId="1BBDC5AF" w:rsidR="004D7ECB" w:rsidRDefault="00944CD3" w:rsidP="004D7ECB">
      <w:pPr>
        <w:jc w:val="both"/>
        <w:rPr>
          <w:rFonts w:asciiTheme="majorHAnsi" w:hAnsiTheme="majorHAnsi" w:cstheme="majorHAnsi"/>
        </w:rPr>
      </w:pPr>
      <w:r w:rsidRPr="00984DF9">
        <w:rPr>
          <w:rFonts w:asciiTheme="majorHAnsi" w:hAnsiTheme="majorHAnsi" w:cstheme="majorHAnsi"/>
          <w:u w:val="single"/>
        </w:rPr>
        <w:t>TO:</w:t>
      </w:r>
      <w:r>
        <w:rPr>
          <w:rFonts w:asciiTheme="majorHAnsi" w:hAnsiTheme="majorHAnsi" w:cstheme="majorHAnsi"/>
        </w:rPr>
        <w:t xml:space="preserve"> Oliver Jones</w:t>
      </w:r>
    </w:p>
    <w:p w14:paraId="5A55865E" w14:textId="77777777" w:rsidR="00984DF9" w:rsidRDefault="00984DF9" w:rsidP="004D7ECB">
      <w:pPr>
        <w:jc w:val="both"/>
        <w:rPr>
          <w:rFonts w:asciiTheme="majorHAnsi" w:hAnsiTheme="majorHAnsi" w:cstheme="majorHAnsi"/>
        </w:rPr>
      </w:pPr>
    </w:p>
    <w:p w14:paraId="51EF2C28" w14:textId="7EA7CBAA" w:rsidR="004D7ECB" w:rsidRDefault="00944CD3" w:rsidP="004D7ECB">
      <w:pPr>
        <w:jc w:val="both"/>
        <w:rPr>
          <w:rFonts w:asciiTheme="majorHAnsi" w:hAnsiTheme="majorHAnsi" w:cstheme="majorHAnsi"/>
        </w:rPr>
      </w:pPr>
      <w:r w:rsidRPr="00984DF9">
        <w:rPr>
          <w:rFonts w:asciiTheme="majorHAnsi" w:hAnsiTheme="majorHAnsi" w:cstheme="majorHAnsi"/>
          <w:u w:val="single"/>
        </w:rPr>
        <w:t>FROM:</w:t>
      </w:r>
      <w:r>
        <w:rPr>
          <w:rFonts w:asciiTheme="majorHAnsi" w:hAnsiTheme="majorHAnsi" w:cstheme="majorHAnsi"/>
        </w:rPr>
        <w:t xml:space="preserve"> Teresa Kan</w:t>
      </w:r>
      <w:r w:rsidR="00984DF9">
        <w:rPr>
          <w:rFonts w:asciiTheme="majorHAnsi" w:hAnsiTheme="majorHAnsi" w:cstheme="majorHAnsi"/>
        </w:rPr>
        <w:t>, Criminal Litigation Department.</w:t>
      </w:r>
    </w:p>
    <w:p w14:paraId="7E3F07F1" w14:textId="77777777" w:rsidR="00984DF9" w:rsidRDefault="00984DF9" w:rsidP="004D7ECB">
      <w:pPr>
        <w:jc w:val="both"/>
        <w:rPr>
          <w:rFonts w:asciiTheme="majorHAnsi" w:hAnsiTheme="majorHAnsi" w:cstheme="majorHAnsi"/>
        </w:rPr>
      </w:pPr>
    </w:p>
    <w:p w14:paraId="6E1B98C6" w14:textId="5320A05C" w:rsidR="004D7ECB" w:rsidRDefault="00944CD3" w:rsidP="004D7ECB">
      <w:pPr>
        <w:jc w:val="both"/>
        <w:rPr>
          <w:rFonts w:asciiTheme="majorHAnsi" w:hAnsiTheme="majorHAnsi" w:cstheme="majorHAnsi"/>
        </w:rPr>
      </w:pPr>
      <w:r w:rsidRPr="00984DF9">
        <w:rPr>
          <w:rFonts w:asciiTheme="majorHAnsi" w:hAnsiTheme="majorHAnsi" w:cstheme="majorHAnsi"/>
          <w:u w:val="single"/>
        </w:rPr>
        <w:t>DATE</w:t>
      </w:r>
      <w:r>
        <w:rPr>
          <w:rFonts w:asciiTheme="majorHAnsi" w:hAnsiTheme="majorHAnsi" w:cstheme="majorHAnsi"/>
        </w:rPr>
        <w:t>: 27</w:t>
      </w:r>
      <w:r w:rsidRPr="004D7ECB">
        <w:rPr>
          <w:rFonts w:asciiTheme="majorHAnsi" w:hAnsiTheme="majorHAnsi" w:cstheme="majorHAnsi"/>
          <w:vertAlign w:val="superscript"/>
        </w:rPr>
        <w:t>th</w:t>
      </w:r>
      <w:r>
        <w:rPr>
          <w:rFonts w:asciiTheme="majorHAnsi" w:hAnsiTheme="majorHAnsi" w:cstheme="majorHAnsi"/>
        </w:rPr>
        <w:t xml:space="preserve"> March 2021</w:t>
      </w:r>
    </w:p>
    <w:p w14:paraId="25B4D459" w14:textId="77777777" w:rsidR="00984DF9" w:rsidRDefault="00984DF9" w:rsidP="004D7ECB">
      <w:pPr>
        <w:jc w:val="both"/>
        <w:rPr>
          <w:rFonts w:asciiTheme="majorHAnsi" w:hAnsiTheme="majorHAnsi" w:cstheme="majorHAnsi"/>
        </w:rPr>
      </w:pPr>
    </w:p>
    <w:p w14:paraId="35CB9C38" w14:textId="3AB784B3" w:rsidR="004D7ECB" w:rsidRDefault="00944CD3" w:rsidP="004D7ECB">
      <w:pPr>
        <w:jc w:val="both"/>
        <w:rPr>
          <w:rFonts w:asciiTheme="majorHAnsi" w:hAnsiTheme="majorHAnsi" w:cstheme="majorHAnsi"/>
        </w:rPr>
      </w:pPr>
      <w:r w:rsidRPr="00984DF9">
        <w:rPr>
          <w:rFonts w:asciiTheme="majorHAnsi" w:hAnsiTheme="majorHAnsi" w:cstheme="majorHAnsi"/>
          <w:u w:val="single"/>
        </w:rPr>
        <w:t>FILE:</w:t>
      </w:r>
      <w:r>
        <w:rPr>
          <w:rFonts w:asciiTheme="majorHAnsi" w:hAnsiTheme="majorHAnsi" w:cstheme="majorHAnsi"/>
        </w:rPr>
        <w:t xml:space="preserve"> </w:t>
      </w:r>
      <w:r w:rsidR="00984DF9">
        <w:rPr>
          <w:rFonts w:asciiTheme="majorHAnsi" w:hAnsiTheme="majorHAnsi" w:cstheme="majorHAnsi"/>
        </w:rPr>
        <w:t xml:space="preserve">Mr </w:t>
      </w:r>
      <w:r>
        <w:rPr>
          <w:rFonts w:asciiTheme="majorHAnsi" w:hAnsiTheme="majorHAnsi" w:cstheme="majorHAnsi"/>
        </w:rPr>
        <w:t xml:space="preserve">William Brown </w:t>
      </w:r>
    </w:p>
    <w:p w14:paraId="199DA28E" w14:textId="77777777" w:rsidR="00984DF9" w:rsidRDefault="00984DF9" w:rsidP="004D7ECB">
      <w:pPr>
        <w:jc w:val="both"/>
        <w:rPr>
          <w:rFonts w:asciiTheme="majorHAnsi" w:hAnsiTheme="majorHAnsi" w:cstheme="majorHAnsi"/>
        </w:rPr>
      </w:pPr>
    </w:p>
    <w:p w14:paraId="040717E4" w14:textId="27B31018" w:rsidR="004D7ECB" w:rsidRDefault="00944CD3" w:rsidP="004D7ECB">
      <w:pPr>
        <w:jc w:val="both"/>
        <w:rPr>
          <w:rFonts w:asciiTheme="majorHAnsi" w:hAnsiTheme="majorHAnsi" w:cstheme="majorHAnsi"/>
        </w:rPr>
      </w:pPr>
      <w:r w:rsidRPr="00984DF9">
        <w:rPr>
          <w:rFonts w:asciiTheme="majorHAnsi" w:hAnsiTheme="majorHAnsi" w:cstheme="majorHAnsi"/>
          <w:u w:val="single"/>
        </w:rPr>
        <w:t>SUBJECT</w:t>
      </w:r>
      <w:r>
        <w:rPr>
          <w:rFonts w:asciiTheme="majorHAnsi" w:hAnsiTheme="majorHAnsi" w:cstheme="majorHAnsi"/>
        </w:rPr>
        <w:t xml:space="preserve">: Charges of Theft </w:t>
      </w:r>
    </w:p>
    <w:p w14:paraId="1B7D3B38" w14:textId="2E55864C" w:rsidR="004D7ECB" w:rsidRDefault="004D7ECB" w:rsidP="004D7ECB">
      <w:pPr>
        <w:jc w:val="both"/>
        <w:rPr>
          <w:rFonts w:asciiTheme="majorHAnsi" w:hAnsiTheme="majorHAnsi" w:cstheme="majorHAnsi"/>
        </w:rPr>
      </w:pPr>
    </w:p>
    <w:p w14:paraId="220DD8DE" w14:textId="08458C87" w:rsidR="004D7ECB" w:rsidRDefault="004D7ECB" w:rsidP="004D7ECB">
      <w:pPr>
        <w:jc w:val="both"/>
        <w:rPr>
          <w:rFonts w:asciiTheme="majorHAnsi" w:hAnsiTheme="majorHAnsi" w:cstheme="majorHAnsi"/>
        </w:rPr>
      </w:pPr>
    </w:p>
    <w:p w14:paraId="6F2CBC48" w14:textId="223FFA90" w:rsidR="004D7ECB" w:rsidRDefault="004D7ECB" w:rsidP="004D7ECB">
      <w:pPr>
        <w:jc w:val="both"/>
        <w:rPr>
          <w:rFonts w:asciiTheme="majorHAnsi" w:hAnsiTheme="majorHAnsi" w:cstheme="majorHAnsi"/>
        </w:rPr>
      </w:pPr>
    </w:p>
    <w:p w14:paraId="0B7C2914" w14:textId="19FC7B5D" w:rsidR="004D7ECB" w:rsidRPr="00702C88" w:rsidRDefault="00944CD3" w:rsidP="004D7ECB">
      <w:pPr>
        <w:jc w:val="both"/>
        <w:rPr>
          <w:rFonts w:asciiTheme="majorHAnsi" w:hAnsiTheme="majorHAnsi" w:cstheme="majorHAnsi"/>
          <w:u w:val="single"/>
        </w:rPr>
      </w:pPr>
      <w:r w:rsidRPr="00702C88">
        <w:rPr>
          <w:rFonts w:asciiTheme="majorHAnsi" w:hAnsiTheme="majorHAnsi" w:cstheme="majorHAnsi"/>
          <w:u w:val="single"/>
        </w:rPr>
        <w:t>ISSUES:</w:t>
      </w:r>
    </w:p>
    <w:p w14:paraId="061569DE" w14:textId="7E8B1D45" w:rsidR="00702C88" w:rsidRDefault="00702C88" w:rsidP="004D7ECB">
      <w:pPr>
        <w:jc w:val="both"/>
        <w:rPr>
          <w:rFonts w:asciiTheme="majorHAnsi" w:hAnsiTheme="majorHAnsi" w:cstheme="majorHAnsi"/>
        </w:rPr>
      </w:pPr>
    </w:p>
    <w:p w14:paraId="39EEE60A" w14:textId="612F5FEE" w:rsidR="00702C88" w:rsidRDefault="00944CD3" w:rsidP="00BB52C1">
      <w:pPr>
        <w:spacing w:line="480" w:lineRule="auto"/>
        <w:jc w:val="both"/>
        <w:rPr>
          <w:rFonts w:asciiTheme="majorHAnsi" w:hAnsiTheme="majorHAnsi" w:cstheme="majorHAnsi"/>
        </w:rPr>
      </w:pPr>
      <w:r>
        <w:rPr>
          <w:rFonts w:asciiTheme="majorHAnsi" w:hAnsiTheme="majorHAnsi" w:cstheme="majorHAnsi"/>
        </w:rPr>
        <w:t xml:space="preserve">The case of William Brown. Mr Brown is 28 years of age a serving member of the Territorial Army and currently a postgraduate student. Mr Brown has been charged with two counts of theft. </w:t>
      </w:r>
    </w:p>
    <w:p w14:paraId="5EB71C92" w14:textId="31CFE66E" w:rsidR="00702C88" w:rsidRDefault="00702C88" w:rsidP="00BB52C1">
      <w:pPr>
        <w:spacing w:line="480" w:lineRule="auto"/>
        <w:jc w:val="both"/>
        <w:rPr>
          <w:rFonts w:asciiTheme="majorHAnsi" w:hAnsiTheme="majorHAnsi" w:cstheme="majorHAnsi"/>
        </w:rPr>
      </w:pPr>
    </w:p>
    <w:p w14:paraId="0FC7D830" w14:textId="1B8F8273" w:rsidR="00702C88" w:rsidRPr="00702C88" w:rsidRDefault="00944CD3" w:rsidP="00BB52C1">
      <w:pPr>
        <w:spacing w:line="480" w:lineRule="auto"/>
        <w:jc w:val="both"/>
        <w:rPr>
          <w:rFonts w:asciiTheme="majorHAnsi" w:hAnsiTheme="majorHAnsi" w:cstheme="majorHAnsi"/>
          <w:u w:val="single"/>
        </w:rPr>
      </w:pPr>
      <w:r w:rsidRPr="00702C88">
        <w:rPr>
          <w:rFonts w:asciiTheme="majorHAnsi" w:hAnsiTheme="majorHAnsi" w:cstheme="majorHAnsi"/>
          <w:u w:val="single"/>
        </w:rPr>
        <w:t xml:space="preserve">STATEMENT OF FACTS: </w:t>
      </w:r>
    </w:p>
    <w:p w14:paraId="64821DF5" w14:textId="1D75C564" w:rsidR="00702C88" w:rsidRDefault="00702C88" w:rsidP="00BB52C1">
      <w:pPr>
        <w:spacing w:line="480" w:lineRule="auto"/>
        <w:jc w:val="both"/>
        <w:rPr>
          <w:rFonts w:asciiTheme="majorHAnsi" w:hAnsiTheme="majorHAnsi" w:cstheme="majorHAnsi"/>
        </w:rPr>
      </w:pPr>
    </w:p>
    <w:p w14:paraId="1015A9C2" w14:textId="525C1BFB" w:rsidR="00702C88" w:rsidRDefault="00944CD3" w:rsidP="00BB52C1">
      <w:pPr>
        <w:spacing w:line="480" w:lineRule="auto"/>
        <w:jc w:val="both"/>
        <w:rPr>
          <w:rFonts w:asciiTheme="majorHAnsi" w:hAnsiTheme="majorHAnsi" w:cstheme="majorHAnsi"/>
        </w:rPr>
      </w:pPr>
      <w:r>
        <w:rPr>
          <w:rFonts w:asciiTheme="majorHAnsi" w:hAnsiTheme="majorHAnsi" w:cstheme="majorHAnsi"/>
        </w:rPr>
        <w:t>Mr Brown is charged with two counts of theft that amount to £3000.00, one charge is in relation to a theft of cash and the other theft charge is in relation to a quantity of wine and spirits. The goods have been allegedly stolen from a rugby club that Mr Brown was formerly the bar secretary. Mr Brown has been accused of falsifying stock records to cover up the stolen wine and spirits, with the cash allegedly stolen from the takings following a beer festival organised by the rugby club.</w:t>
      </w:r>
      <w:r w:rsidR="00984DF9">
        <w:rPr>
          <w:rFonts w:asciiTheme="majorHAnsi" w:hAnsiTheme="majorHAnsi" w:cstheme="majorHAnsi"/>
        </w:rPr>
        <w:t xml:space="preserve"> Mr Brown is currently on unconditional bail and is due to make his first court appearance in two days. He intends to plead not guilty. </w:t>
      </w:r>
    </w:p>
    <w:p w14:paraId="32AA4A72" w14:textId="49F6BE39" w:rsidR="00984DF9" w:rsidRDefault="00984DF9" w:rsidP="00BB52C1">
      <w:pPr>
        <w:spacing w:line="480" w:lineRule="auto"/>
        <w:jc w:val="both"/>
        <w:rPr>
          <w:rFonts w:asciiTheme="majorHAnsi" w:hAnsiTheme="majorHAnsi" w:cstheme="majorHAnsi"/>
        </w:rPr>
      </w:pPr>
    </w:p>
    <w:p w14:paraId="19EC5D23" w14:textId="5148F2CE" w:rsidR="00984DF9" w:rsidRDefault="00944CD3" w:rsidP="00BB52C1">
      <w:pPr>
        <w:spacing w:line="480" w:lineRule="auto"/>
        <w:jc w:val="both"/>
        <w:rPr>
          <w:rFonts w:asciiTheme="majorHAnsi" w:hAnsiTheme="majorHAnsi" w:cstheme="majorHAnsi"/>
          <w:u w:val="single"/>
        </w:rPr>
      </w:pPr>
      <w:r w:rsidRPr="00984DF9">
        <w:rPr>
          <w:rFonts w:asciiTheme="majorHAnsi" w:hAnsiTheme="majorHAnsi" w:cstheme="majorHAnsi"/>
          <w:u w:val="single"/>
        </w:rPr>
        <w:t>DISCUSSION:</w:t>
      </w:r>
    </w:p>
    <w:p w14:paraId="7697BAB9" w14:textId="35E34F02" w:rsidR="00984DF9" w:rsidRDefault="00984DF9" w:rsidP="00BB52C1">
      <w:pPr>
        <w:spacing w:line="480" w:lineRule="auto"/>
        <w:jc w:val="both"/>
        <w:rPr>
          <w:rFonts w:asciiTheme="majorHAnsi" w:hAnsiTheme="majorHAnsi" w:cstheme="majorHAnsi"/>
          <w:u w:val="single"/>
        </w:rPr>
      </w:pPr>
    </w:p>
    <w:p w14:paraId="6C5AC6AE" w14:textId="1F4C96F6" w:rsidR="00984DF9" w:rsidRDefault="00944CD3" w:rsidP="00BB52C1">
      <w:pPr>
        <w:spacing w:line="480" w:lineRule="auto"/>
        <w:jc w:val="both"/>
        <w:rPr>
          <w:rFonts w:asciiTheme="majorHAnsi" w:hAnsiTheme="majorHAnsi" w:cstheme="majorHAnsi"/>
        </w:rPr>
      </w:pPr>
      <w:r>
        <w:rPr>
          <w:rFonts w:asciiTheme="majorHAnsi" w:hAnsiTheme="majorHAnsi" w:cstheme="majorHAnsi"/>
        </w:rPr>
        <w:t>As stated previously Mr William Brown is facing two charges of theft</w:t>
      </w:r>
      <w:r w:rsidR="003C210D">
        <w:rPr>
          <w:rFonts w:asciiTheme="majorHAnsi" w:hAnsiTheme="majorHAnsi" w:cstheme="majorHAnsi"/>
        </w:rPr>
        <w:t>. Section 1 of the Theft Act 1968 states that ‘A person is guilty of theft if he dishonestly appropriates property belonging to another with the purpose of permanently depriving the other of it’ (The Theft Act (1968)).</w:t>
      </w:r>
      <w:r w:rsidR="002D7A83">
        <w:rPr>
          <w:rFonts w:asciiTheme="majorHAnsi" w:hAnsiTheme="majorHAnsi" w:cstheme="majorHAnsi"/>
        </w:rPr>
        <w:t xml:space="preserve"> To reiterate the first charge of theft is </w:t>
      </w:r>
      <w:r w:rsidR="002D7A83">
        <w:rPr>
          <w:rFonts w:asciiTheme="majorHAnsi" w:hAnsiTheme="majorHAnsi" w:cstheme="majorHAnsi"/>
        </w:rPr>
        <w:lastRenderedPageBreak/>
        <w:t xml:space="preserve">concerning a sum of cash and the other charge is concerning the theft of wine and spirits; Section 4 of The Theft Act 1968 states that "property" includes money and all other property. </w:t>
      </w:r>
    </w:p>
    <w:p w14:paraId="58482B8A" w14:textId="63BB349B" w:rsidR="002D7A83" w:rsidRDefault="002D7A83" w:rsidP="00BB52C1">
      <w:pPr>
        <w:spacing w:line="480" w:lineRule="auto"/>
        <w:jc w:val="both"/>
        <w:rPr>
          <w:rFonts w:asciiTheme="majorHAnsi" w:hAnsiTheme="majorHAnsi" w:cstheme="majorHAnsi"/>
        </w:rPr>
      </w:pPr>
    </w:p>
    <w:p w14:paraId="1FDE1898" w14:textId="5C160C4B" w:rsidR="002D7A83" w:rsidRDefault="00944CD3" w:rsidP="00BB52C1">
      <w:pPr>
        <w:spacing w:line="480" w:lineRule="auto"/>
        <w:jc w:val="both"/>
        <w:rPr>
          <w:rFonts w:asciiTheme="majorHAnsi" w:hAnsiTheme="majorHAnsi" w:cstheme="majorHAnsi"/>
        </w:rPr>
      </w:pPr>
      <w:r>
        <w:rPr>
          <w:rFonts w:asciiTheme="majorHAnsi" w:hAnsiTheme="majorHAnsi" w:cstheme="majorHAnsi"/>
        </w:rPr>
        <w:t xml:space="preserve">To satisfy mens rea of theft it must be proven that the defendant Mr William Brown intended to dishonestly appropriates property belonging to another, however, section 2 of The Theft Act </w:t>
      </w:r>
      <w:r w:rsidR="00081482">
        <w:rPr>
          <w:rFonts w:asciiTheme="majorHAnsi" w:hAnsiTheme="majorHAnsi" w:cstheme="majorHAnsi"/>
        </w:rPr>
        <w:t xml:space="preserve">(1968) fails to define dishonesty it does, however, outline in three situations what is not considered dishonest. Dishonestly would not be considered if Mr Brown had the right to deprive the owner of it, would have had consent if the owner had known or the person to which the property belongs cannot be found by taking reasonable steps. Section 2 of Theft Act 1968 does go on to state that it may </w:t>
      </w:r>
      <w:r w:rsidR="00804D59">
        <w:rPr>
          <w:rFonts w:asciiTheme="majorHAnsi" w:hAnsiTheme="majorHAnsi" w:cstheme="majorHAnsi"/>
        </w:rPr>
        <w:t xml:space="preserve">still </w:t>
      </w:r>
      <w:r w:rsidR="00081482">
        <w:rPr>
          <w:rFonts w:asciiTheme="majorHAnsi" w:hAnsiTheme="majorHAnsi" w:cstheme="majorHAnsi"/>
        </w:rPr>
        <w:t>be considered</w:t>
      </w:r>
      <w:r w:rsidR="00804D59">
        <w:rPr>
          <w:rFonts w:asciiTheme="majorHAnsi" w:hAnsiTheme="majorHAnsi" w:cstheme="majorHAnsi"/>
        </w:rPr>
        <w:t xml:space="preserve"> </w:t>
      </w:r>
      <w:r w:rsidR="00081482">
        <w:rPr>
          <w:rFonts w:asciiTheme="majorHAnsi" w:hAnsiTheme="majorHAnsi" w:cstheme="majorHAnsi"/>
        </w:rPr>
        <w:t>dishonest if a person</w:t>
      </w:r>
      <w:r w:rsidR="00804D59">
        <w:rPr>
          <w:rFonts w:asciiTheme="majorHAnsi" w:hAnsiTheme="majorHAnsi" w:cstheme="majorHAnsi"/>
        </w:rPr>
        <w:t xml:space="preserve"> </w:t>
      </w:r>
      <w:r w:rsidR="00081482">
        <w:rPr>
          <w:rFonts w:asciiTheme="majorHAnsi" w:hAnsiTheme="majorHAnsi" w:cstheme="majorHAnsi"/>
        </w:rPr>
        <w:t>appropriat</w:t>
      </w:r>
      <w:r w:rsidR="00804D59">
        <w:rPr>
          <w:rFonts w:asciiTheme="majorHAnsi" w:hAnsiTheme="majorHAnsi" w:cstheme="majorHAnsi"/>
        </w:rPr>
        <w:t>es</w:t>
      </w:r>
      <w:r w:rsidR="00081482">
        <w:rPr>
          <w:rFonts w:asciiTheme="majorHAnsi" w:hAnsiTheme="majorHAnsi" w:cstheme="majorHAnsi"/>
        </w:rPr>
        <w:t xml:space="preserve"> the property notwithstanding that he is willing to pay for the property.  </w:t>
      </w:r>
    </w:p>
    <w:p w14:paraId="7444DBAA" w14:textId="54E28D4F" w:rsidR="00804D59" w:rsidRDefault="00804D59" w:rsidP="00BB52C1">
      <w:pPr>
        <w:spacing w:line="480" w:lineRule="auto"/>
        <w:jc w:val="both"/>
        <w:rPr>
          <w:rFonts w:asciiTheme="majorHAnsi" w:hAnsiTheme="majorHAnsi" w:cstheme="majorHAnsi"/>
        </w:rPr>
      </w:pPr>
    </w:p>
    <w:p w14:paraId="1253F767" w14:textId="10DE6E1E" w:rsidR="00804D59" w:rsidRDefault="00944CD3" w:rsidP="00BB52C1">
      <w:pPr>
        <w:spacing w:line="480" w:lineRule="auto"/>
        <w:jc w:val="both"/>
        <w:rPr>
          <w:rFonts w:asciiTheme="majorHAnsi" w:hAnsiTheme="majorHAnsi" w:cstheme="majorHAnsi"/>
        </w:rPr>
      </w:pPr>
      <w:r>
        <w:rPr>
          <w:rFonts w:asciiTheme="majorHAnsi" w:hAnsiTheme="majorHAnsi" w:cstheme="majorHAnsi"/>
        </w:rPr>
        <w:t>What has be</w:t>
      </w:r>
      <w:r w:rsidR="00BF1F4D">
        <w:rPr>
          <w:rFonts w:asciiTheme="majorHAnsi" w:hAnsiTheme="majorHAnsi" w:cstheme="majorHAnsi"/>
        </w:rPr>
        <w:t>en</w:t>
      </w:r>
      <w:r>
        <w:rPr>
          <w:rFonts w:asciiTheme="majorHAnsi" w:hAnsiTheme="majorHAnsi" w:cstheme="majorHAnsi"/>
        </w:rPr>
        <w:t xml:space="preserve"> considered dishonest has been developed by common law</w:t>
      </w:r>
      <w:r w:rsidR="00BF1F4D">
        <w:rPr>
          <w:rFonts w:asciiTheme="majorHAnsi" w:hAnsiTheme="majorHAnsi" w:cstheme="majorHAnsi"/>
        </w:rPr>
        <w:t>. The test for dishonestly has recently been reconsidered due to the case of Ivey v Genting Casinos Ltd (2017)</w:t>
      </w:r>
      <w:r w:rsidR="00F96D95">
        <w:rPr>
          <w:rFonts w:asciiTheme="majorHAnsi" w:hAnsiTheme="majorHAnsi" w:cstheme="majorHAnsi"/>
        </w:rPr>
        <w:t xml:space="preserve">. </w:t>
      </w:r>
    </w:p>
    <w:p w14:paraId="40331D36" w14:textId="5EEE5946" w:rsidR="00F96D95" w:rsidRDefault="00944CD3" w:rsidP="00BB52C1">
      <w:pPr>
        <w:spacing w:line="480" w:lineRule="auto"/>
        <w:jc w:val="both"/>
        <w:rPr>
          <w:rFonts w:asciiTheme="majorHAnsi" w:hAnsiTheme="majorHAnsi" w:cstheme="majorHAnsi"/>
        </w:rPr>
      </w:pPr>
      <w:r>
        <w:rPr>
          <w:rFonts w:asciiTheme="majorHAnsi" w:hAnsiTheme="majorHAnsi" w:cstheme="majorHAnsi"/>
        </w:rPr>
        <w:t>To satisfy the actus reus of the offence it would need to be proven that the defendant appropriated the 'property' in question. The current sentences that a charge of theft is as follows</w:t>
      </w:r>
      <w:r w:rsidR="00476101">
        <w:rPr>
          <w:rFonts w:asciiTheme="majorHAnsi" w:hAnsiTheme="majorHAnsi" w:cstheme="majorHAnsi"/>
        </w:rPr>
        <w:t>, under section 120 of The Coroners and Justice Act 2009, the sentencing council have issued a definitive guideline. According to this guideline if Mr William Brown is to be found guilty of some degree of planning involved before the offence taking place, which also involved some degree of a breach of trust or responsibility, which would suffice considering Mr Brown's position as the bar secretary within the Rugby club this would put him in the category of medium culpability</w:t>
      </w:r>
      <w:r w:rsidR="00624251">
        <w:rPr>
          <w:rFonts w:asciiTheme="majorHAnsi" w:hAnsiTheme="majorHAnsi" w:cstheme="majorHAnsi"/>
        </w:rPr>
        <w:t>, with the goods stolen falling under category 3. If a person is found guilty of a crime of theft with medium culpability of category 3 property, the starting point for sentencing is a high-level community order with sentences ranging from a low-level community order to 36 weeks in custody. However, as Mr Brown faces more than one charge of theft there is the possibility of being charged with consecutive offences</w:t>
      </w:r>
      <w:r w:rsidR="008A73CB">
        <w:rPr>
          <w:rFonts w:asciiTheme="majorHAnsi" w:hAnsiTheme="majorHAnsi" w:cstheme="majorHAnsi"/>
        </w:rPr>
        <w:t xml:space="preserve"> (The Sentencing Council, 2016)</w:t>
      </w:r>
      <w:r w:rsidR="00624251">
        <w:rPr>
          <w:rFonts w:asciiTheme="majorHAnsi" w:hAnsiTheme="majorHAnsi" w:cstheme="majorHAnsi"/>
        </w:rPr>
        <w:t xml:space="preserve">. </w:t>
      </w:r>
    </w:p>
    <w:p w14:paraId="01B91C9B" w14:textId="77777777" w:rsidR="00F96D95" w:rsidRDefault="00F96D95" w:rsidP="00BB52C1">
      <w:pPr>
        <w:spacing w:line="480" w:lineRule="auto"/>
        <w:jc w:val="both"/>
        <w:rPr>
          <w:rFonts w:asciiTheme="majorHAnsi" w:hAnsiTheme="majorHAnsi" w:cstheme="majorHAnsi"/>
        </w:rPr>
      </w:pPr>
    </w:p>
    <w:p w14:paraId="2E82697F" w14:textId="78E3AD3D" w:rsidR="00804D59" w:rsidRDefault="00944CD3" w:rsidP="00BB52C1">
      <w:pPr>
        <w:spacing w:line="480" w:lineRule="auto"/>
        <w:jc w:val="both"/>
        <w:rPr>
          <w:rFonts w:asciiTheme="majorHAnsi" w:hAnsiTheme="majorHAnsi" w:cstheme="majorHAnsi"/>
        </w:rPr>
      </w:pPr>
      <w:r>
        <w:rPr>
          <w:rFonts w:asciiTheme="majorHAnsi" w:hAnsiTheme="majorHAnsi" w:cstheme="majorHAnsi"/>
        </w:rPr>
        <w:lastRenderedPageBreak/>
        <w:t>Furthermore</w:t>
      </w:r>
      <w:r w:rsidR="00624251">
        <w:rPr>
          <w:rFonts w:asciiTheme="majorHAnsi" w:hAnsiTheme="majorHAnsi" w:cstheme="majorHAnsi"/>
        </w:rPr>
        <w:t xml:space="preserve">, there are mitigating factors that may help reduce the sentence if Mr Brown is charged such as no previous convictions and if Mr Brown is of good character, as Mr Brown is a serving member of the territorial army this may support any </w:t>
      </w:r>
      <w:r>
        <w:rPr>
          <w:rFonts w:asciiTheme="majorHAnsi" w:hAnsiTheme="majorHAnsi" w:cstheme="majorHAnsi"/>
        </w:rPr>
        <w:t xml:space="preserve">claim of good character. There are also reductions possible for a guilty plea however I must reiterate that Mr Brown does intend to plead not guilty. </w:t>
      </w:r>
    </w:p>
    <w:p w14:paraId="517A030E" w14:textId="50D420B4" w:rsidR="008A73CB" w:rsidRDefault="008A73CB" w:rsidP="00BB52C1">
      <w:pPr>
        <w:spacing w:line="480" w:lineRule="auto"/>
        <w:jc w:val="both"/>
        <w:rPr>
          <w:rFonts w:asciiTheme="majorHAnsi" w:hAnsiTheme="majorHAnsi" w:cstheme="majorHAnsi"/>
        </w:rPr>
      </w:pPr>
    </w:p>
    <w:p w14:paraId="50E8AAD9" w14:textId="5F4F1577" w:rsidR="00DE6334" w:rsidRDefault="00944CD3" w:rsidP="00BB52C1">
      <w:pPr>
        <w:spacing w:line="480" w:lineRule="auto"/>
        <w:jc w:val="both"/>
        <w:rPr>
          <w:rFonts w:asciiTheme="majorHAnsi" w:hAnsiTheme="majorHAnsi" w:cstheme="majorHAnsi"/>
        </w:rPr>
      </w:pPr>
      <w:r>
        <w:rPr>
          <w:rFonts w:asciiTheme="majorHAnsi" w:hAnsiTheme="majorHAnsi" w:cstheme="majorHAnsi"/>
        </w:rPr>
        <w:t xml:space="preserve">As the two charges against Mr William Brown are classed as </w:t>
      </w:r>
      <w:r w:rsidR="00576B69">
        <w:rPr>
          <w:rFonts w:asciiTheme="majorHAnsi" w:hAnsiTheme="majorHAnsi" w:cstheme="majorHAnsi"/>
        </w:rPr>
        <w:t>an either-way</w:t>
      </w:r>
      <w:r>
        <w:rPr>
          <w:rFonts w:asciiTheme="majorHAnsi" w:hAnsiTheme="majorHAnsi" w:cstheme="majorHAnsi"/>
        </w:rPr>
        <w:t xml:space="preserve"> </w:t>
      </w:r>
      <w:r w:rsidR="006A45A4">
        <w:rPr>
          <w:rFonts w:asciiTheme="majorHAnsi" w:hAnsiTheme="majorHAnsi" w:cstheme="majorHAnsi"/>
        </w:rPr>
        <w:t>offence</w:t>
      </w:r>
      <w:r w:rsidR="00A3480F">
        <w:rPr>
          <w:rFonts w:asciiTheme="majorHAnsi" w:hAnsiTheme="majorHAnsi" w:cstheme="majorHAnsi"/>
        </w:rPr>
        <w:t xml:space="preserve"> as the value of the property in question exceeds a value of £200</w:t>
      </w:r>
      <w:r w:rsidR="006A45A4">
        <w:rPr>
          <w:rFonts w:asciiTheme="majorHAnsi" w:hAnsiTheme="majorHAnsi" w:cstheme="majorHAnsi"/>
        </w:rPr>
        <w:t>,</w:t>
      </w:r>
      <w:r>
        <w:rPr>
          <w:rFonts w:asciiTheme="majorHAnsi" w:hAnsiTheme="majorHAnsi" w:cstheme="majorHAnsi"/>
        </w:rPr>
        <w:t xml:space="preserve"> he will be expected to appear in the Magistrates Court for his first hearing and </w:t>
      </w:r>
      <w:r w:rsidR="006A45A4">
        <w:rPr>
          <w:rFonts w:asciiTheme="majorHAnsi" w:hAnsiTheme="majorHAnsi" w:cstheme="majorHAnsi"/>
        </w:rPr>
        <w:t>as Mr Brown has stated he wishes to enter a not guilty plea the case will immediately proceed to an allocation hearing. During this time the police and C</w:t>
      </w:r>
      <w:r>
        <w:rPr>
          <w:rFonts w:asciiTheme="majorHAnsi" w:hAnsiTheme="majorHAnsi" w:cstheme="majorHAnsi"/>
        </w:rPr>
        <w:t xml:space="preserve">rime </w:t>
      </w:r>
      <w:r w:rsidR="006A45A4">
        <w:rPr>
          <w:rFonts w:asciiTheme="majorHAnsi" w:hAnsiTheme="majorHAnsi" w:cstheme="majorHAnsi"/>
        </w:rPr>
        <w:t>P</w:t>
      </w:r>
      <w:r>
        <w:rPr>
          <w:rFonts w:asciiTheme="majorHAnsi" w:hAnsiTheme="majorHAnsi" w:cstheme="majorHAnsi"/>
        </w:rPr>
        <w:t xml:space="preserve">rosecution </w:t>
      </w:r>
      <w:r w:rsidR="006A45A4">
        <w:rPr>
          <w:rFonts w:asciiTheme="majorHAnsi" w:hAnsiTheme="majorHAnsi" w:cstheme="majorHAnsi"/>
        </w:rPr>
        <w:t>S</w:t>
      </w:r>
      <w:r>
        <w:rPr>
          <w:rFonts w:asciiTheme="majorHAnsi" w:hAnsiTheme="majorHAnsi" w:cstheme="majorHAnsi"/>
        </w:rPr>
        <w:t>ervice</w:t>
      </w:r>
      <w:r w:rsidR="006A45A4">
        <w:rPr>
          <w:rFonts w:asciiTheme="majorHAnsi" w:hAnsiTheme="majorHAnsi" w:cstheme="majorHAnsi"/>
        </w:rPr>
        <w:t xml:space="preserve"> will build a file for prosecution based on Mr Browns not guilty plea</w:t>
      </w:r>
      <w:r>
        <w:rPr>
          <w:rFonts w:asciiTheme="majorHAnsi" w:hAnsiTheme="majorHAnsi" w:cstheme="majorHAnsi"/>
        </w:rPr>
        <w:t xml:space="preserve">, as we will be submitting a not guilty </w:t>
      </w:r>
      <w:r w:rsidR="00F72436">
        <w:rPr>
          <w:rFonts w:asciiTheme="majorHAnsi" w:hAnsiTheme="majorHAnsi" w:cstheme="majorHAnsi"/>
        </w:rPr>
        <w:t>plea,</w:t>
      </w:r>
      <w:r>
        <w:rPr>
          <w:rFonts w:asciiTheme="majorHAnsi" w:hAnsiTheme="majorHAnsi" w:cstheme="majorHAnsi"/>
        </w:rPr>
        <w:t xml:space="preserve"> we will need to fix a date for trial at the Magistrates Court</w:t>
      </w:r>
      <w:r w:rsidR="00A9380C">
        <w:rPr>
          <w:rFonts w:asciiTheme="majorHAnsi" w:hAnsiTheme="majorHAnsi" w:cstheme="majorHAnsi"/>
        </w:rPr>
        <w:t xml:space="preserve"> we will</w:t>
      </w:r>
      <w:r w:rsidR="00F72436">
        <w:rPr>
          <w:rFonts w:asciiTheme="majorHAnsi" w:hAnsiTheme="majorHAnsi" w:cstheme="majorHAnsi"/>
        </w:rPr>
        <w:t xml:space="preserve"> then</w:t>
      </w:r>
      <w:r w:rsidR="00A9380C">
        <w:rPr>
          <w:rFonts w:asciiTheme="majorHAnsi" w:hAnsiTheme="majorHAnsi" w:cstheme="majorHAnsi"/>
        </w:rPr>
        <w:t xml:space="preserve"> be required to fill out plea </w:t>
      </w:r>
      <w:r w:rsidR="00F72436">
        <w:rPr>
          <w:rFonts w:asciiTheme="majorHAnsi" w:hAnsiTheme="majorHAnsi" w:cstheme="majorHAnsi"/>
        </w:rPr>
        <w:t>and trial preparation form</w:t>
      </w:r>
      <w:r w:rsidR="00A3480F">
        <w:rPr>
          <w:rFonts w:asciiTheme="majorHAnsi" w:hAnsiTheme="majorHAnsi" w:cstheme="majorHAnsi"/>
        </w:rPr>
        <w:t xml:space="preserve">. </w:t>
      </w:r>
    </w:p>
    <w:p w14:paraId="77F75E87" w14:textId="67F25B40" w:rsidR="00A3480F" w:rsidRDefault="00A3480F" w:rsidP="00BB52C1">
      <w:pPr>
        <w:spacing w:line="480" w:lineRule="auto"/>
        <w:jc w:val="both"/>
        <w:rPr>
          <w:rFonts w:asciiTheme="majorHAnsi" w:hAnsiTheme="majorHAnsi" w:cstheme="majorHAnsi"/>
        </w:rPr>
      </w:pPr>
    </w:p>
    <w:p w14:paraId="57A389FA" w14:textId="08E2A37C" w:rsidR="00A3480F" w:rsidRDefault="00944CD3" w:rsidP="00BB52C1">
      <w:pPr>
        <w:spacing w:line="480" w:lineRule="auto"/>
        <w:jc w:val="both"/>
        <w:rPr>
          <w:rFonts w:asciiTheme="majorHAnsi" w:hAnsiTheme="majorHAnsi" w:cstheme="majorHAnsi"/>
        </w:rPr>
      </w:pPr>
      <w:r>
        <w:rPr>
          <w:rFonts w:asciiTheme="majorHAnsi" w:hAnsiTheme="majorHAnsi" w:cstheme="majorHAnsi"/>
        </w:rPr>
        <w:t>The allocation hearing will determine where Mr Brown's case will be tried</w:t>
      </w:r>
      <w:r w:rsidR="0055187D">
        <w:rPr>
          <w:rFonts w:asciiTheme="majorHAnsi" w:hAnsiTheme="majorHAnsi" w:cstheme="majorHAnsi"/>
        </w:rPr>
        <w:t xml:space="preserve"> as theft is categorised as an either way offence the recommendation would be for the case to go to Crown Court. In </w:t>
      </w:r>
      <w:r w:rsidR="00710F76">
        <w:rPr>
          <w:rFonts w:asciiTheme="majorHAnsi" w:hAnsiTheme="majorHAnsi" w:cstheme="majorHAnsi"/>
        </w:rPr>
        <w:t>general,</w:t>
      </w:r>
      <w:r w:rsidR="0055187D">
        <w:rPr>
          <w:rFonts w:asciiTheme="majorHAnsi" w:hAnsiTheme="majorHAnsi" w:cstheme="majorHAnsi"/>
        </w:rPr>
        <w:t xml:space="preserve"> either way, offences are normally tried summarily however may still be sent to the Crown Court for sentencing. </w:t>
      </w:r>
    </w:p>
    <w:p w14:paraId="5901AC71" w14:textId="77777777" w:rsidR="00DE6334" w:rsidRDefault="00DE6334" w:rsidP="00BB52C1">
      <w:pPr>
        <w:spacing w:line="480" w:lineRule="auto"/>
        <w:jc w:val="both"/>
        <w:rPr>
          <w:rFonts w:asciiTheme="majorHAnsi" w:hAnsiTheme="majorHAnsi" w:cstheme="majorHAnsi"/>
        </w:rPr>
      </w:pPr>
    </w:p>
    <w:p w14:paraId="5D2FBD6B" w14:textId="2DE76F2F" w:rsidR="00230921" w:rsidRDefault="00944CD3" w:rsidP="00BB52C1">
      <w:pPr>
        <w:spacing w:line="480" w:lineRule="auto"/>
        <w:jc w:val="both"/>
        <w:rPr>
          <w:rFonts w:asciiTheme="majorHAnsi" w:hAnsiTheme="majorHAnsi" w:cstheme="majorHAnsi"/>
        </w:rPr>
      </w:pPr>
      <w:r>
        <w:rPr>
          <w:rFonts w:asciiTheme="majorHAnsi" w:hAnsiTheme="majorHAnsi" w:cstheme="majorHAnsi"/>
        </w:rPr>
        <w:t>During the trial it will be the responsibility of the police and the Crime Prosecution Service to ensure the prosecution have all the relevant information and paperwork</w:t>
      </w:r>
      <w:r w:rsidR="005F11A1">
        <w:rPr>
          <w:rFonts w:asciiTheme="majorHAnsi" w:hAnsiTheme="majorHAnsi" w:cstheme="majorHAnsi"/>
        </w:rPr>
        <w:t xml:space="preserve">, </w:t>
      </w:r>
      <w:r w:rsidR="00A9380C">
        <w:rPr>
          <w:rFonts w:asciiTheme="majorHAnsi" w:hAnsiTheme="majorHAnsi" w:cstheme="majorHAnsi"/>
        </w:rPr>
        <w:t>the prosecution and ourselves will then need to arrange any potential witnesses, due to Mr Browns not guilty plea the procedure will follow the Crime Procedure Rules r.24.3 which states that the court may give a summary judgement against a claimant of any type of proceeding.</w:t>
      </w:r>
    </w:p>
    <w:p w14:paraId="22A11945" w14:textId="19533294" w:rsidR="00F72436" w:rsidRDefault="00F72436" w:rsidP="00BB52C1">
      <w:pPr>
        <w:spacing w:line="480" w:lineRule="auto"/>
        <w:jc w:val="both"/>
        <w:rPr>
          <w:rFonts w:asciiTheme="majorHAnsi" w:hAnsiTheme="majorHAnsi" w:cstheme="majorHAnsi"/>
        </w:rPr>
      </w:pPr>
    </w:p>
    <w:p w14:paraId="27C80852" w14:textId="0B24D046" w:rsidR="00F72436" w:rsidRDefault="00576B69" w:rsidP="00BB52C1">
      <w:pPr>
        <w:spacing w:line="480" w:lineRule="auto"/>
        <w:jc w:val="both"/>
        <w:rPr>
          <w:rFonts w:asciiTheme="majorHAnsi" w:hAnsiTheme="majorHAnsi" w:cstheme="majorHAnsi"/>
        </w:rPr>
      </w:pPr>
      <w:r>
        <w:rPr>
          <w:rFonts w:asciiTheme="majorHAnsi" w:hAnsiTheme="majorHAnsi" w:cstheme="majorHAnsi"/>
        </w:rPr>
        <w:t>Mr William Brown needs to be aware of his options so he should be informed that in the case of a guilty plea the case will be more straightforward, and the court will also take into account a potential reduction for a guilty plea under section 144 of the Criminal Justice Act (2003).</w:t>
      </w:r>
    </w:p>
    <w:p w14:paraId="113A9D3D" w14:textId="0701C0E7" w:rsidR="00DE6334" w:rsidRDefault="00DE6334" w:rsidP="00BB52C1">
      <w:pPr>
        <w:spacing w:line="480" w:lineRule="auto"/>
        <w:jc w:val="both"/>
        <w:rPr>
          <w:rFonts w:asciiTheme="majorHAnsi" w:hAnsiTheme="majorHAnsi" w:cstheme="majorHAnsi"/>
        </w:rPr>
      </w:pPr>
    </w:p>
    <w:p w14:paraId="030242EF" w14:textId="6992654F" w:rsidR="00710F76" w:rsidRDefault="00944CD3" w:rsidP="00BB52C1">
      <w:pPr>
        <w:spacing w:line="480" w:lineRule="auto"/>
        <w:jc w:val="both"/>
        <w:rPr>
          <w:rFonts w:asciiTheme="majorHAnsi" w:hAnsiTheme="majorHAnsi" w:cstheme="majorHAnsi"/>
        </w:rPr>
      </w:pPr>
      <w:r>
        <w:rPr>
          <w:rFonts w:asciiTheme="majorHAnsi" w:hAnsiTheme="majorHAnsi" w:cstheme="majorHAnsi"/>
        </w:rPr>
        <w:lastRenderedPageBreak/>
        <w:t xml:space="preserve">Mr William Brown needs to be aware of the advantages and disadvantages of a trial in either court. If Mr Brown's charges are deemed as a summary only offence which will mean a trial in the Magistrates Court the trial is less formalised and less imposing, likely to be a shorter adjournment procedure, there will be no requirement to produce a defence statement, less publicity, prosecution costs are lower if Mr Brown is convicted there is also no power to order repayment of defence costs. Mr Brown will also have the automatic right to appeal to the Crown Court and the fines and sentences are lower in the Magistrates Court. </w:t>
      </w:r>
    </w:p>
    <w:p w14:paraId="30458A4D" w14:textId="76D77673" w:rsidR="00710F76" w:rsidRDefault="00710F76" w:rsidP="00BB52C1">
      <w:pPr>
        <w:spacing w:line="480" w:lineRule="auto"/>
        <w:jc w:val="both"/>
        <w:rPr>
          <w:rFonts w:asciiTheme="majorHAnsi" w:hAnsiTheme="majorHAnsi" w:cstheme="majorHAnsi"/>
        </w:rPr>
      </w:pPr>
    </w:p>
    <w:p w14:paraId="42E808BF" w14:textId="6B9CFE8B" w:rsidR="00710F76" w:rsidRDefault="00944CD3" w:rsidP="00BB52C1">
      <w:pPr>
        <w:spacing w:line="480" w:lineRule="auto"/>
        <w:jc w:val="both"/>
        <w:rPr>
          <w:rFonts w:asciiTheme="majorHAnsi" w:hAnsiTheme="majorHAnsi" w:cstheme="majorHAnsi"/>
        </w:rPr>
      </w:pPr>
      <w:r>
        <w:rPr>
          <w:rFonts w:asciiTheme="majorHAnsi" w:hAnsiTheme="majorHAnsi" w:cstheme="majorHAnsi"/>
        </w:rPr>
        <w:t xml:space="preserve">If Mr Brown was able to elect the Magistrates </w:t>
      </w:r>
      <w:r w:rsidR="00530F56">
        <w:rPr>
          <w:rFonts w:asciiTheme="majorHAnsi" w:hAnsiTheme="majorHAnsi" w:cstheme="majorHAnsi"/>
        </w:rPr>
        <w:t>Court,</w:t>
      </w:r>
      <w:r>
        <w:rPr>
          <w:rFonts w:asciiTheme="majorHAnsi" w:hAnsiTheme="majorHAnsi" w:cstheme="majorHAnsi"/>
        </w:rPr>
        <w:t xml:space="preserve"> he would be entitle</w:t>
      </w:r>
      <w:r w:rsidR="00530F56">
        <w:rPr>
          <w:rFonts w:asciiTheme="majorHAnsi" w:hAnsiTheme="majorHAnsi" w:cstheme="majorHAnsi"/>
        </w:rPr>
        <w:t>d</w:t>
      </w:r>
      <w:r>
        <w:rPr>
          <w:rFonts w:asciiTheme="majorHAnsi" w:hAnsiTheme="majorHAnsi" w:cstheme="majorHAnsi"/>
        </w:rPr>
        <w:t xml:space="preserve"> to a means test</w:t>
      </w:r>
      <w:r w:rsidR="00530F56">
        <w:rPr>
          <w:rFonts w:asciiTheme="majorHAnsi" w:hAnsiTheme="majorHAnsi" w:cstheme="majorHAnsi"/>
        </w:rPr>
        <w:t xml:space="preserve"> for legal aid</w:t>
      </w:r>
      <w:r>
        <w:rPr>
          <w:rFonts w:asciiTheme="majorHAnsi" w:hAnsiTheme="majorHAnsi" w:cstheme="majorHAnsi"/>
        </w:rPr>
        <w:t xml:space="preserve"> which is income only based and no assets of capital would be taken into consideration as Mr Brown's income is £12,000 per annum and is a student this should qualify him for legal aid in the Magistrates Court </w:t>
      </w:r>
      <w:r w:rsidR="00530F56">
        <w:rPr>
          <w:rFonts w:asciiTheme="majorHAnsi" w:hAnsiTheme="majorHAnsi" w:cstheme="majorHAnsi"/>
        </w:rPr>
        <w:t xml:space="preserve">a CRM 14 form will need to be submitted if this is the case if a financial statement is required, we would also be required to submit a CRM  15 form to the Magistrates Court also. </w:t>
      </w:r>
    </w:p>
    <w:p w14:paraId="6D44E766" w14:textId="076E30F7" w:rsidR="00530F56" w:rsidRDefault="00530F56" w:rsidP="00BB52C1">
      <w:pPr>
        <w:spacing w:line="480" w:lineRule="auto"/>
        <w:jc w:val="both"/>
        <w:rPr>
          <w:rFonts w:asciiTheme="majorHAnsi" w:hAnsiTheme="majorHAnsi" w:cstheme="majorHAnsi"/>
        </w:rPr>
      </w:pPr>
    </w:p>
    <w:p w14:paraId="5C04056D" w14:textId="77777777" w:rsidR="00D0393E" w:rsidRDefault="00944CD3" w:rsidP="00BB52C1">
      <w:pPr>
        <w:spacing w:line="480" w:lineRule="auto"/>
        <w:jc w:val="both"/>
        <w:rPr>
          <w:rFonts w:asciiTheme="majorHAnsi" w:hAnsiTheme="majorHAnsi" w:cstheme="majorHAnsi"/>
        </w:rPr>
      </w:pPr>
      <w:r>
        <w:rPr>
          <w:rFonts w:asciiTheme="majorHAnsi" w:hAnsiTheme="majorHAnsi" w:cstheme="majorHAnsi"/>
        </w:rPr>
        <w:t xml:space="preserve">In the circumstance that Mr Brown is allocated to a trial in the Crown Court to be tried on indictment, there are some advantages to electing the Crown Court, it has been suggested. By some defence lawyers that there may be a greater chance of acquittal as it is the perception that jurors may approach a case with a more open mind however there is no factual evidence to back this up, Mr Brown may be more comfortable being tried by his peers, it has also been speculated that as the Magistrates tend to hear similar cases they may be hardened to some defences, also to consider is the application of evidence any evidence the prosecution or defence may wish to present if the judge deems the evidence irrelevant the jury will not see it. </w:t>
      </w:r>
    </w:p>
    <w:p w14:paraId="798D05BA" w14:textId="77777777" w:rsidR="00D0393E" w:rsidRDefault="00944CD3" w:rsidP="00BB52C1">
      <w:pPr>
        <w:spacing w:line="480" w:lineRule="auto"/>
        <w:jc w:val="both"/>
        <w:rPr>
          <w:rFonts w:asciiTheme="majorHAnsi" w:hAnsiTheme="majorHAnsi" w:cstheme="majorHAnsi"/>
        </w:rPr>
      </w:pPr>
      <w:r>
        <w:rPr>
          <w:rFonts w:asciiTheme="majorHAnsi" w:hAnsiTheme="majorHAnsi" w:cstheme="majorHAnsi"/>
        </w:rPr>
        <w:t>A disadvantage to the individual if allocated a Crown Court hearing is that they do tend to have some media coverage and given that Mr Brown is of good character and currently a serving member of the Territorial Army it may not be in his best interest as this may tarnish his name.</w:t>
      </w:r>
    </w:p>
    <w:p w14:paraId="52D7BE78" w14:textId="77777777" w:rsidR="00D0393E" w:rsidRDefault="00D0393E" w:rsidP="00BB52C1">
      <w:pPr>
        <w:spacing w:line="480" w:lineRule="auto"/>
        <w:jc w:val="both"/>
        <w:rPr>
          <w:rFonts w:asciiTheme="majorHAnsi" w:hAnsiTheme="majorHAnsi" w:cstheme="majorHAnsi"/>
        </w:rPr>
      </w:pPr>
    </w:p>
    <w:p w14:paraId="75400815" w14:textId="77777777" w:rsidR="00460A2B" w:rsidRDefault="00944CD3" w:rsidP="00BB52C1">
      <w:pPr>
        <w:spacing w:line="480" w:lineRule="auto"/>
        <w:jc w:val="both"/>
        <w:rPr>
          <w:rFonts w:asciiTheme="majorHAnsi" w:hAnsiTheme="majorHAnsi" w:cstheme="majorHAnsi"/>
        </w:rPr>
      </w:pPr>
      <w:r>
        <w:rPr>
          <w:rFonts w:asciiTheme="majorHAnsi" w:hAnsiTheme="majorHAnsi" w:cstheme="majorHAnsi"/>
        </w:rPr>
        <w:t xml:space="preserve">In the instance that Crown Court is elected any means test to assess whether Mr Brown is entitled to legal aid would be inclusive of income and capital assets this may deem him not eligible as Mr Brown has disclosed </w:t>
      </w:r>
      <w:r>
        <w:rPr>
          <w:rFonts w:asciiTheme="majorHAnsi" w:hAnsiTheme="majorHAnsi" w:cstheme="majorHAnsi"/>
        </w:rPr>
        <w:lastRenderedPageBreak/>
        <w:t xml:space="preserve">that he recently received a sum of £50,000 from his late grandmother, Mr Brown should also be aware that costs for a trial at the Crown Court run higher than the Magistrates Court. </w:t>
      </w:r>
    </w:p>
    <w:p w14:paraId="220FBDA1" w14:textId="77777777" w:rsidR="00460A2B" w:rsidRDefault="00460A2B" w:rsidP="00BB52C1">
      <w:pPr>
        <w:spacing w:line="480" w:lineRule="auto"/>
        <w:jc w:val="both"/>
        <w:rPr>
          <w:rFonts w:asciiTheme="majorHAnsi" w:hAnsiTheme="majorHAnsi" w:cstheme="majorHAnsi"/>
        </w:rPr>
      </w:pPr>
    </w:p>
    <w:p w14:paraId="7ECF371F" w14:textId="55861A0E" w:rsidR="00431F46" w:rsidRDefault="00944CD3" w:rsidP="00BB52C1">
      <w:pPr>
        <w:spacing w:line="480" w:lineRule="auto"/>
        <w:jc w:val="both"/>
        <w:rPr>
          <w:rFonts w:asciiTheme="majorHAnsi" w:hAnsiTheme="majorHAnsi" w:cstheme="majorHAnsi"/>
        </w:rPr>
      </w:pPr>
      <w:r>
        <w:rPr>
          <w:rFonts w:asciiTheme="majorHAnsi" w:hAnsiTheme="majorHAnsi" w:cstheme="majorHAnsi"/>
        </w:rPr>
        <w:t>If Mr Brown is found guilty of both counts of theft</w:t>
      </w:r>
      <w:r w:rsidR="004144E5">
        <w:rPr>
          <w:rFonts w:asciiTheme="majorHAnsi" w:hAnsiTheme="majorHAnsi" w:cstheme="majorHAnsi"/>
        </w:rPr>
        <w:t xml:space="preserve"> it would be necessary for a plea in mitigation to be submitted to the Magistrates before the judge passing sentence, this will enable us to present any facts which may mitigate a shorter sentence. </w:t>
      </w:r>
      <w:r w:rsidR="00F831CB">
        <w:rPr>
          <w:rFonts w:asciiTheme="majorHAnsi" w:hAnsiTheme="majorHAnsi" w:cstheme="majorHAnsi"/>
        </w:rPr>
        <w:t xml:space="preserve">Within the plea of mitigation, we would ask the judge if they had seen a pre-sentence report or any other documentation, we would include a realistic sentence that we would like the judge to consider passing, </w:t>
      </w:r>
      <w:r w:rsidR="005E39CD">
        <w:rPr>
          <w:rFonts w:asciiTheme="majorHAnsi" w:hAnsiTheme="majorHAnsi" w:cstheme="majorHAnsi"/>
        </w:rPr>
        <w:t>we</w:t>
      </w:r>
      <w:r w:rsidR="00F831CB">
        <w:rPr>
          <w:rFonts w:asciiTheme="majorHAnsi" w:hAnsiTheme="majorHAnsi" w:cstheme="majorHAnsi"/>
        </w:rPr>
        <w:t xml:space="preserve"> would support this by justifying our position and use any tools of pursuance and ensure that in no way are we indicating this is what should or needs to be done being very careful not to overstep boundaries and have it appear that we are telling the judge what to do. </w:t>
      </w:r>
      <w:r w:rsidR="005E39CD">
        <w:rPr>
          <w:rFonts w:asciiTheme="majorHAnsi" w:hAnsiTheme="majorHAnsi" w:cstheme="majorHAnsi"/>
        </w:rPr>
        <w:t>We c</w:t>
      </w:r>
      <w:r w:rsidR="00F831CB">
        <w:rPr>
          <w:rFonts w:asciiTheme="majorHAnsi" w:hAnsiTheme="majorHAnsi" w:cstheme="majorHAnsi"/>
        </w:rPr>
        <w:t>ould start b</w:t>
      </w:r>
      <w:r w:rsidR="00C14959">
        <w:rPr>
          <w:rFonts w:asciiTheme="majorHAnsi" w:hAnsiTheme="majorHAnsi" w:cstheme="majorHAnsi"/>
        </w:rPr>
        <w:t>y</w:t>
      </w:r>
      <w:r w:rsidR="00F831CB">
        <w:rPr>
          <w:rFonts w:asciiTheme="majorHAnsi" w:hAnsiTheme="majorHAnsi" w:cstheme="majorHAnsi"/>
        </w:rPr>
        <w:t xml:space="preserve"> reiterating the guidelines I have previously mentioned that Mr Brown falls into the category of medium culpability, given that the ‘property’ </w:t>
      </w:r>
      <w:r>
        <w:rPr>
          <w:rFonts w:asciiTheme="majorHAnsi" w:hAnsiTheme="majorHAnsi" w:cstheme="majorHAnsi"/>
        </w:rPr>
        <w:t xml:space="preserve">allegedly </w:t>
      </w:r>
      <w:r w:rsidR="00F831CB">
        <w:rPr>
          <w:rFonts w:asciiTheme="majorHAnsi" w:hAnsiTheme="majorHAnsi" w:cstheme="majorHAnsi"/>
        </w:rPr>
        <w:t>stole</w:t>
      </w:r>
      <w:r>
        <w:rPr>
          <w:rFonts w:asciiTheme="majorHAnsi" w:hAnsiTheme="majorHAnsi" w:cstheme="majorHAnsi"/>
        </w:rPr>
        <w:t>n</w:t>
      </w:r>
      <w:r w:rsidR="00F831CB">
        <w:rPr>
          <w:rFonts w:asciiTheme="majorHAnsi" w:hAnsiTheme="majorHAnsi" w:cstheme="majorHAnsi"/>
        </w:rPr>
        <w:t xml:space="preserve"> falls within category 3 (between £200 - £10,000) and the recommended sentence range is low-level community order to 36 weeks in custody however for multiple offences these could run consecutively</w:t>
      </w:r>
      <w:r>
        <w:rPr>
          <w:rFonts w:asciiTheme="majorHAnsi" w:hAnsiTheme="majorHAnsi" w:cstheme="majorHAnsi"/>
        </w:rPr>
        <w:t>.</w:t>
      </w:r>
      <w:r w:rsidR="005E39CD">
        <w:rPr>
          <w:rFonts w:asciiTheme="majorHAnsi" w:hAnsiTheme="majorHAnsi" w:cstheme="majorHAnsi"/>
        </w:rPr>
        <w:t xml:space="preserve"> We could also </w:t>
      </w:r>
      <w:r>
        <w:rPr>
          <w:rFonts w:asciiTheme="majorHAnsi" w:hAnsiTheme="majorHAnsi" w:cstheme="majorHAnsi"/>
        </w:rPr>
        <w:t>point out any mitigating factors such as My Brown is of previous good character and has no previous convictions. We would put emphasis on the fact that Mr Brown is currently a serving member of the Territorial Army and also a postgraduate student, that Mr Brown has insisted on a not guilty plea.</w:t>
      </w:r>
    </w:p>
    <w:p w14:paraId="24024A9A" w14:textId="77777777" w:rsidR="00431F46" w:rsidRDefault="00431F46" w:rsidP="00BB52C1">
      <w:pPr>
        <w:spacing w:line="480" w:lineRule="auto"/>
        <w:jc w:val="both"/>
        <w:rPr>
          <w:rFonts w:asciiTheme="majorHAnsi" w:hAnsiTheme="majorHAnsi" w:cstheme="majorHAnsi"/>
        </w:rPr>
      </w:pPr>
    </w:p>
    <w:p w14:paraId="0ADB5641" w14:textId="5B1CBF8D" w:rsidR="00F831CB" w:rsidRDefault="00944CD3" w:rsidP="00BB52C1">
      <w:pPr>
        <w:spacing w:line="480" w:lineRule="auto"/>
        <w:jc w:val="both"/>
        <w:rPr>
          <w:rFonts w:asciiTheme="majorHAnsi" w:hAnsiTheme="majorHAnsi" w:cstheme="majorHAnsi"/>
        </w:rPr>
      </w:pPr>
      <w:r>
        <w:rPr>
          <w:rFonts w:asciiTheme="majorHAnsi" w:hAnsiTheme="majorHAnsi" w:cstheme="majorHAnsi"/>
        </w:rPr>
        <w:t xml:space="preserve">We would then ask the judge if they would consider passing the lowest sentence possible. </w:t>
      </w:r>
    </w:p>
    <w:p w14:paraId="67F14FFC" w14:textId="77777777" w:rsidR="00F831CB" w:rsidRDefault="00F831CB" w:rsidP="00BB52C1">
      <w:pPr>
        <w:spacing w:line="480" w:lineRule="auto"/>
        <w:jc w:val="both"/>
        <w:rPr>
          <w:rFonts w:asciiTheme="majorHAnsi" w:hAnsiTheme="majorHAnsi" w:cstheme="majorHAnsi"/>
        </w:rPr>
      </w:pPr>
    </w:p>
    <w:p w14:paraId="34E17446" w14:textId="77777777" w:rsidR="00F831CB" w:rsidRDefault="00F831CB" w:rsidP="00BB52C1">
      <w:pPr>
        <w:spacing w:line="480" w:lineRule="auto"/>
        <w:jc w:val="both"/>
        <w:rPr>
          <w:rFonts w:asciiTheme="majorHAnsi" w:hAnsiTheme="majorHAnsi" w:cstheme="majorHAnsi"/>
        </w:rPr>
      </w:pPr>
    </w:p>
    <w:p w14:paraId="733C6C2A" w14:textId="36D0067E" w:rsidR="00D0393E" w:rsidRDefault="00944CD3" w:rsidP="00BB52C1">
      <w:pPr>
        <w:spacing w:line="480" w:lineRule="auto"/>
        <w:jc w:val="both"/>
        <w:rPr>
          <w:rFonts w:asciiTheme="majorHAnsi" w:hAnsiTheme="majorHAnsi" w:cstheme="majorHAnsi"/>
          <w:u w:val="single"/>
        </w:rPr>
      </w:pPr>
      <w:r w:rsidRPr="00431F46">
        <w:rPr>
          <w:rFonts w:asciiTheme="majorHAnsi" w:hAnsiTheme="majorHAnsi" w:cstheme="majorHAnsi"/>
          <w:u w:val="single"/>
        </w:rPr>
        <w:t>CONCLUSION</w:t>
      </w:r>
    </w:p>
    <w:p w14:paraId="6595F05B" w14:textId="4432B211" w:rsidR="00431F46" w:rsidRDefault="00431F46" w:rsidP="00BB52C1">
      <w:pPr>
        <w:spacing w:line="480" w:lineRule="auto"/>
        <w:jc w:val="both"/>
        <w:rPr>
          <w:rFonts w:asciiTheme="majorHAnsi" w:hAnsiTheme="majorHAnsi" w:cstheme="majorHAnsi"/>
          <w:u w:val="single"/>
        </w:rPr>
      </w:pPr>
    </w:p>
    <w:p w14:paraId="3E422FC5" w14:textId="6041A500" w:rsidR="00125B3B" w:rsidRPr="00431F46" w:rsidRDefault="00944CD3" w:rsidP="00BB52C1">
      <w:pPr>
        <w:spacing w:line="480" w:lineRule="auto"/>
        <w:jc w:val="both"/>
        <w:rPr>
          <w:rFonts w:asciiTheme="majorHAnsi" w:hAnsiTheme="majorHAnsi" w:cstheme="majorHAnsi"/>
        </w:rPr>
      </w:pPr>
      <w:r>
        <w:rPr>
          <w:rFonts w:asciiTheme="majorHAnsi" w:hAnsiTheme="majorHAnsi" w:cstheme="majorHAnsi"/>
        </w:rPr>
        <w:t xml:space="preserve">When considering the facts for instance a Mr Browns not guilty plea, the fact that he has recently inherited a large sum of money could raise the question of whether he needed to commit these offences, his low income and student status, </w:t>
      </w:r>
      <w:r w:rsidR="005D2522">
        <w:rPr>
          <w:rFonts w:asciiTheme="majorHAnsi" w:hAnsiTheme="majorHAnsi" w:cstheme="majorHAnsi"/>
        </w:rPr>
        <w:t xml:space="preserve">It may be in Mr Browns best interest </w:t>
      </w:r>
      <w:r>
        <w:rPr>
          <w:rFonts w:asciiTheme="majorHAnsi" w:hAnsiTheme="majorHAnsi" w:cstheme="majorHAnsi"/>
        </w:rPr>
        <w:t xml:space="preserve">to advise a trial hearing in the Magistrates if able to </w:t>
      </w:r>
      <w:r>
        <w:rPr>
          <w:rFonts w:asciiTheme="majorHAnsi" w:hAnsiTheme="majorHAnsi" w:cstheme="majorHAnsi"/>
        </w:rPr>
        <w:lastRenderedPageBreak/>
        <w:t xml:space="preserve">elect to allow a more private trial, with the potential for legal aid, it is also likely that if convicted Mr Brown is likely to have a lesser sentence and is still able to appeal to the Crown Court if he wishes. </w:t>
      </w:r>
    </w:p>
    <w:p w14:paraId="76A9600B" w14:textId="77777777" w:rsidR="00D0393E" w:rsidRDefault="00D0393E" w:rsidP="00BB52C1">
      <w:pPr>
        <w:spacing w:line="480" w:lineRule="auto"/>
        <w:jc w:val="both"/>
        <w:rPr>
          <w:rFonts w:asciiTheme="majorHAnsi" w:hAnsiTheme="majorHAnsi" w:cstheme="majorHAnsi"/>
        </w:rPr>
      </w:pPr>
    </w:p>
    <w:p w14:paraId="23D21203" w14:textId="77777777" w:rsidR="00DE6334" w:rsidRDefault="00DE6334" w:rsidP="00BB52C1">
      <w:pPr>
        <w:spacing w:line="480" w:lineRule="auto"/>
        <w:jc w:val="both"/>
        <w:rPr>
          <w:rFonts w:asciiTheme="majorHAnsi" w:hAnsiTheme="majorHAnsi" w:cstheme="majorHAnsi"/>
        </w:rPr>
      </w:pPr>
    </w:p>
    <w:p w14:paraId="615D9A1E" w14:textId="77777777" w:rsidR="008A73CB" w:rsidRDefault="008A73CB" w:rsidP="00BB52C1">
      <w:pPr>
        <w:spacing w:line="480" w:lineRule="auto"/>
        <w:jc w:val="both"/>
        <w:rPr>
          <w:rFonts w:asciiTheme="majorHAnsi" w:hAnsiTheme="majorHAnsi" w:cstheme="majorHAnsi"/>
        </w:rPr>
      </w:pPr>
    </w:p>
    <w:p w14:paraId="5A10921D" w14:textId="77777777" w:rsidR="008A73CB" w:rsidRDefault="008A73CB" w:rsidP="00BB52C1">
      <w:pPr>
        <w:spacing w:line="480" w:lineRule="auto"/>
        <w:jc w:val="both"/>
        <w:rPr>
          <w:rFonts w:asciiTheme="majorHAnsi" w:hAnsiTheme="majorHAnsi" w:cstheme="majorHAnsi"/>
        </w:rPr>
      </w:pPr>
    </w:p>
    <w:p w14:paraId="7AC3852A" w14:textId="39D8A7C6" w:rsidR="008A73CB" w:rsidRDefault="008A73CB" w:rsidP="00BB52C1">
      <w:pPr>
        <w:spacing w:line="480" w:lineRule="auto"/>
        <w:jc w:val="both"/>
        <w:rPr>
          <w:rFonts w:asciiTheme="majorHAnsi" w:hAnsiTheme="majorHAnsi" w:cstheme="majorHAnsi"/>
        </w:rPr>
      </w:pPr>
    </w:p>
    <w:p w14:paraId="47A93929" w14:textId="77777777" w:rsidR="008A73CB" w:rsidRDefault="008A73CB" w:rsidP="00BB52C1">
      <w:pPr>
        <w:spacing w:line="480" w:lineRule="auto"/>
        <w:jc w:val="both"/>
        <w:rPr>
          <w:rFonts w:asciiTheme="majorHAnsi" w:hAnsiTheme="majorHAnsi" w:cstheme="majorHAnsi"/>
        </w:rPr>
      </w:pPr>
    </w:p>
    <w:p w14:paraId="45A40B54" w14:textId="77777777" w:rsidR="00C54AEC" w:rsidRDefault="00C54AEC" w:rsidP="004D7ECB">
      <w:pPr>
        <w:jc w:val="both"/>
        <w:rPr>
          <w:rFonts w:asciiTheme="majorHAnsi" w:hAnsiTheme="majorHAnsi" w:cstheme="majorHAnsi"/>
        </w:rPr>
      </w:pPr>
    </w:p>
    <w:p w14:paraId="38768CA5" w14:textId="77777777" w:rsidR="00C54AEC" w:rsidRDefault="00C54AEC" w:rsidP="004D7ECB">
      <w:pPr>
        <w:jc w:val="both"/>
        <w:rPr>
          <w:rFonts w:asciiTheme="majorHAnsi" w:hAnsiTheme="majorHAnsi" w:cstheme="majorHAnsi"/>
        </w:rPr>
      </w:pPr>
    </w:p>
    <w:p w14:paraId="5A7A98AC" w14:textId="77777777" w:rsidR="00C54AEC" w:rsidRDefault="00C54AEC" w:rsidP="004D7ECB">
      <w:pPr>
        <w:jc w:val="both"/>
        <w:rPr>
          <w:rFonts w:asciiTheme="majorHAnsi" w:hAnsiTheme="majorHAnsi" w:cstheme="majorHAnsi"/>
        </w:rPr>
      </w:pPr>
    </w:p>
    <w:p w14:paraId="290CF1CF" w14:textId="77777777" w:rsidR="00C54AEC" w:rsidRDefault="00C54AEC" w:rsidP="004D7ECB">
      <w:pPr>
        <w:jc w:val="both"/>
        <w:rPr>
          <w:rFonts w:asciiTheme="majorHAnsi" w:hAnsiTheme="majorHAnsi" w:cstheme="majorHAnsi"/>
        </w:rPr>
      </w:pPr>
    </w:p>
    <w:p w14:paraId="1151B9CC" w14:textId="77777777" w:rsidR="00C54AEC" w:rsidRDefault="00C54AEC" w:rsidP="004D7ECB">
      <w:pPr>
        <w:jc w:val="both"/>
        <w:rPr>
          <w:rFonts w:asciiTheme="majorHAnsi" w:hAnsiTheme="majorHAnsi" w:cstheme="majorHAnsi"/>
        </w:rPr>
      </w:pPr>
    </w:p>
    <w:p w14:paraId="5B8821C9" w14:textId="77777777" w:rsidR="00C54AEC" w:rsidRDefault="00C54AEC" w:rsidP="004D7ECB">
      <w:pPr>
        <w:jc w:val="both"/>
        <w:rPr>
          <w:rFonts w:asciiTheme="majorHAnsi" w:hAnsiTheme="majorHAnsi" w:cstheme="majorHAnsi"/>
        </w:rPr>
      </w:pPr>
    </w:p>
    <w:p w14:paraId="57D30ADA" w14:textId="77777777" w:rsidR="00C54AEC" w:rsidRDefault="00C54AEC" w:rsidP="004D7ECB">
      <w:pPr>
        <w:jc w:val="both"/>
        <w:rPr>
          <w:rFonts w:asciiTheme="majorHAnsi" w:hAnsiTheme="majorHAnsi" w:cstheme="majorHAnsi"/>
        </w:rPr>
      </w:pPr>
    </w:p>
    <w:p w14:paraId="7695487D" w14:textId="77777777" w:rsidR="00C54AEC" w:rsidRDefault="00C54AEC" w:rsidP="004D7ECB">
      <w:pPr>
        <w:jc w:val="both"/>
        <w:rPr>
          <w:rFonts w:asciiTheme="majorHAnsi" w:hAnsiTheme="majorHAnsi" w:cstheme="majorHAnsi"/>
        </w:rPr>
      </w:pPr>
    </w:p>
    <w:p w14:paraId="33BC9BF1" w14:textId="77777777" w:rsidR="00C54AEC" w:rsidRDefault="00C54AEC" w:rsidP="004D7ECB">
      <w:pPr>
        <w:jc w:val="both"/>
        <w:rPr>
          <w:rFonts w:asciiTheme="majorHAnsi" w:hAnsiTheme="majorHAnsi" w:cstheme="majorHAnsi"/>
        </w:rPr>
      </w:pPr>
    </w:p>
    <w:p w14:paraId="3EDE4C7F" w14:textId="77777777" w:rsidR="00C54AEC" w:rsidRDefault="00C54AEC" w:rsidP="004D7ECB">
      <w:pPr>
        <w:jc w:val="both"/>
        <w:rPr>
          <w:rFonts w:asciiTheme="majorHAnsi" w:hAnsiTheme="majorHAnsi" w:cstheme="majorHAnsi"/>
        </w:rPr>
      </w:pPr>
    </w:p>
    <w:p w14:paraId="61623F84" w14:textId="77777777" w:rsidR="00C54AEC" w:rsidRDefault="00C54AEC" w:rsidP="004D7ECB">
      <w:pPr>
        <w:jc w:val="both"/>
        <w:rPr>
          <w:rFonts w:asciiTheme="majorHAnsi" w:hAnsiTheme="majorHAnsi" w:cstheme="majorHAnsi"/>
        </w:rPr>
      </w:pPr>
    </w:p>
    <w:p w14:paraId="4DE86D8A" w14:textId="77777777" w:rsidR="00C54AEC" w:rsidRDefault="00C54AEC" w:rsidP="004D7ECB">
      <w:pPr>
        <w:jc w:val="both"/>
        <w:rPr>
          <w:rFonts w:asciiTheme="majorHAnsi" w:hAnsiTheme="majorHAnsi" w:cstheme="majorHAnsi"/>
        </w:rPr>
      </w:pPr>
    </w:p>
    <w:p w14:paraId="0607D1A7" w14:textId="77777777" w:rsidR="00C54AEC" w:rsidRDefault="00C54AEC" w:rsidP="004D7ECB">
      <w:pPr>
        <w:jc w:val="both"/>
        <w:rPr>
          <w:rFonts w:asciiTheme="majorHAnsi" w:hAnsiTheme="majorHAnsi" w:cstheme="majorHAnsi"/>
        </w:rPr>
      </w:pPr>
    </w:p>
    <w:p w14:paraId="0120D023" w14:textId="77777777" w:rsidR="00C54AEC" w:rsidRDefault="00C54AEC" w:rsidP="004D7ECB">
      <w:pPr>
        <w:jc w:val="both"/>
        <w:rPr>
          <w:rFonts w:asciiTheme="majorHAnsi" w:hAnsiTheme="majorHAnsi" w:cstheme="majorHAnsi"/>
        </w:rPr>
      </w:pPr>
    </w:p>
    <w:p w14:paraId="64D2FAC0" w14:textId="77777777" w:rsidR="00C54AEC" w:rsidRDefault="00C54AEC" w:rsidP="004D7ECB">
      <w:pPr>
        <w:jc w:val="both"/>
        <w:rPr>
          <w:rFonts w:asciiTheme="majorHAnsi" w:hAnsiTheme="majorHAnsi" w:cstheme="majorHAnsi"/>
        </w:rPr>
      </w:pPr>
    </w:p>
    <w:p w14:paraId="1CA97646" w14:textId="77777777" w:rsidR="00C54AEC" w:rsidRDefault="00C54AEC" w:rsidP="004D7ECB">
      <w:pPr>
        <w:jc w:val="both"/>
        <w:rPr>
          <w:rFonts w:asciiTheme="majorHAnsi" w:hAnsiTheme="majorHAnsi" w:cstheme="majorHAnsi"/>
        </w:rPr>
      </w:pPr>
    </w:p>
    <w:p w14:paraId="0F0C5C3C" w14:textId="77777777" w:rsidR="00C54AEC" w:rsidRDefault="00C54AEC" w:rsidP="004D7ECB">
      <w:pPr>
        <w:jc w:val="both"/>
        <w:rPr>
          <w:rFonts w:asciiTheme="majorHAnsi" w:hAnsiTheme="majorHAnsi" w:cstheme="majorHAnsi"/>
        </w:rPr>
      </w:pPr>
    </w:p>
    <w:p w14:paraId="40E160F4" w14:textId="77777777" w:rsidR="00C54AEC" w:rsidRDefault="00C54AEC" w:rsidP="004D7ECB">
      <w:pPr>
        <w:jc w:val="both"/>
        <w:rPr>
          <w:rFonts w:asciiTheme="majorHAnsi" w:hAnsiTheme="majorHAnsi" w:cstheme="majorHAnsi"/>
        </w:rPr>
      </w:pPr>
    </w:p>
    <w:p w14:paraId="45419243" w14:textId="77777777" w:rsidR="00C54AEC" w:rsidRDefault="00C54AEC" w:rsidP="004D7ECB">
      <w:pPr>
        <w:jc w:val="both"/>
        <w:rPr>
          <w:rFonts w:asciiTheme="majorHAnsi" w:hAnsiTheme="majorHAnsi" w:cstheme="majorHAnsi"/>
        </w:rPr>
      </w:pPr>
    </w:p>
    <w:p w14:paraId="10AA3F11" w14:textId="77777777" w:rsidR="00C54AEC" w:rsidRDefault="00C54AEC" w:rsidP="004D7ECB">
      <w:pPr>
        <w:jc w:val="both"/>
        <w:rPr>
          <w:rFonts w:asciiTheme="majorHAnsi" w:hAnsiTheme="majorHAnsi" w:cstheme="majorHAnsi"/>
        </w:rPr>
      </w:pPr>
    </w:p>
    <w:p w14:paraId="79CAF740" w14:textId="77777777" w:rsidR="00C54AEC" w:rsidRDefault="00C54AEC" w:rsidP="004D7ECB">
      <w:pPr>
        <w:jc w:val="both"/>
        <w:rPr>
          <w:rFonts w:asciiTheme="majorHAnsi" w:hAnsiTheme="majorHAnsi" w:cstheme="majorHAnsi"/>
        </w:rPr>
      </w:pPr>
    </w:p>
    <w:p w14:paraId="0EDB793C" w14:textId="77777777" w:rsidR="00C54AEC" w:rsidRDefault="00C54AEC" w:rsidP="004D7ECB">
      <w:pPr>
        <w:jc w:val="both"/>
        <w:rPr>
          <w:rFonts w:asciiTheme="majorHAnsi" w:hAnsiTheme="majorHAnsi" w:cstheme="majorHAnsi"/>
        </w:rPr>
      </w:pPr>
    </w:p>
    <w:p w14:paraId="25A608EE" w14:textId="77777777" w:rsidR="00C54AEC" w:rsidRDefault="00C54AEC" w:rsidP="004D7ECB">
      <w:pPr>
        <w:jc w:val="both"/>
        <w:rPr>
          <w:rFonts w:asciiTheme="majorHAnsi" w:hAnsiTheme="majorHAnsi" w:cstheme="majorHAnsi"/>
        </w:rPr>
      </w:pPr>
    </w:p>
    <w:p w14:paraId="46280A99" w14:textId="77777777" w:rsidR="00C54AEC" w:rsidRDefault="00C54AEC" w:rsidP="004D7ECB">
      <w:pPr>
        <w:jc w:val="both"/>
        <w:rPr>
          <w:rFonts w:asciiTheme="majorHAnsi" w:hAnsiTheme="majorHAnsi" w:cstheme="majorHAnsi"/>
        </w:rPr>
      </w:pPr>
    </w:p>
    <w:p w14:paraId="63441136" w14:textId="77777777" w:rsidR="00C54AEC" w:rsidRDefault="00C54AEC" w:rsidP="004D7ECB">
      <w:pPr>
        <w:jc w:val="both"/>
        <w:rPr>
          <w:rFonts w:asciiTheme="majorHAnsi" w:hAnsiTheme="majorHAnsi" w:cstheme="majorHAnsi"/>
        </w:rPr>
      </w:pPr>
    </w:p>
    <w:p w14:paraId="7218CB26" w14:textId="77777777" w:rsidR="00C54AEC" w:rsidRDefault="00C54AEC" w:rsidP="004D7ECB">
      <w:pPr>
        <w:jc w:val="both"/>
        <w:rPr>
          <w:rFonts w:asciiTheme="majorHAnsi" w:hAnsiTheme="majorHAnsi" w:cstheme="majorHAnsi"/>
        </w:rPr>
      </w:pPr>
    </w:p>
    <w:p w14:paraId="0F49AF19" w14:textId="77777777" w:rsidR="00C54AEC" w:rsidRDefault="00C54AEC" w:rsidP="004D7ECB">
      <w:pPr>
        <w:jc w:val="both"/>
        <w:rPr>
          <w:rFonts w:asciiTheme="majorHAnsi" w:hAnsiTheme="majorHAnsi" w:cstheme="majorHAnsi"/>
        </w:rPr>
      </w:pPr>
    </w:p>
    <w:p w14:paraId="5A1AA4DA" w14:textId="77777777" w:rsidR="00C54AEC" w:rsidRDefault="00C54AEC" w:rsidP="004D7ECB">
      <w:pPr>
        <w:jc w:val="both"/>
        <w:rPr>
          <w:rFonts w:asciiTheme="majorHAnsi" w:hAnsiTheme="majorHAnsi" w:cstheme="majorHAnsi"/>
        </w:rPr>
      </w:pPr>
    </w:p>
    <w:p w14:paraId="038D91D9" w14:textId="77777777" w:rsidR="00C54AEC" w:rsidRDefault="00C54AEC" w:rsidP="004D7ECB">
      <w:pPr>
        <w:jc w:val="both"/>
        <w:rPr>
          <w:rFonts w:asciiTheme="majorHAnsi" w:hAnsiTheme="majorHAnsi" w:cstheme="majorHAnsi"/>
        </w:rPr>
      </w:pPr>
    </w:p>
    <w:p w14:paraId="2FA4E6E1" w14:textId="77777777" w:rsidR="00C54AEC" w:rsidRDefault="00C54AEC" w:rsidP="004D7ECB">
      <w:pPr>
        <w:jc w:val="both"/>
        <w:rPr>
          <w:rFonts w:asciiTheme="majorHAnsi" w:hAnsiTheme="majorHAnsi" w:cstheme="majorHAnsi"/>
        </w:rPr>
      </w:pPr>
    </w:p>
    <w:p w14:paraId="22B53B24" w14:textId="77777777" w:rsidR="00C54AEC" w:rsidRDefault="00C54AEC" w:rsidP="004D7ECB">
      <w:pPr>
        <w:jc w:val="both"/>
        <w:rPr>
          <w:rFonts w:asciiTheme="majorHAnsi" w:hAnsiTheme="majorHAnsi" w:cstheme="majorHAnsi"/>
        </w:rPr>
      </w:pPr>
    </w:p>
    <w:p w14:paraId="3507A2C3" w14:textId="77777777" w:rsidR="00C54AEC" w:rsidRDefault="00C54AEC" w:rsidP="004D7ECB">
      <w:pPr>
        <w:jc w:val="both"/>
        <w:rPr>
          <w:rFonts w:asciiTheme="majorHAnsi" w:hAnsiTheme="majorHAnsi" w:cstheme="majorHAnsi"/>
        </w:rPr>
      </w:pPr>
    </w:p>
    <w:p w14:paraId="5CA7F5E3" w14:textId="77777777" w:rsidR="00C54AEC" w:rsidRDefault="00C54AEC" w:rsidP="004D7ECB">
      <w:pPr>
        <w:jc w:val="both"/>
        <w:rPr>
          <w:rFonts w:asciiTheme="majorHAnsi" w:hAnsiTheme="majorHAnsi" w:cstheme="majorHAnsi"/>
        </w:rPr>
      </w:pPr>
    </w:p>
    <w:p w14:paraId="7FC177B2" w14:textId="77777777" w:rsidR="00C54AEC" w:rsidRDefault="00C54AEC" w:rsidP="004D7ECB">
      <w:pPr>
        <w:jc w:val="both"/>
        <w:rPr>
          <w:rFonts w:asciiTheme="majorHAnsi" w:hAnsiTheme="majorHAnsi" w:cstheme="majorHAnsi"/>
        </w:rPr>
      </w:pPr>
    </w:p>
    <w:p w14:paraId="46B35A7C" w14:textId="77777777" w:rsidR="00C54AEC" w:rsidRDefault="00C54AEC" w:rsidP="004D7ECB">
      <w:pPr>
        <w:jc w:val="both"/>
        <w:rPr>
          <w:rFonts w:asciiTheme="majorHAnsi" w:hAnsiTheme="majorHAnsi" w:cstheme="majorHAnsi"/>
        </w:rPr>
      </w:pPr>
    </w:p>
    <w:p w14:paraId="38752FA6" w14:textId="3C19D955" w:rsidR="00576B69" w:rsidRDefault="00944CD3" w:rsidP="004D7ECB">
      <w:pPr>
        <w:jc w:val="both"/>
        <w:rPr>
          <w:rFonts w:asciiTheme="majorHAnsi" w:hAnsiTheme="majorHAnsi" w:cstheme="majorHAnsi"/>
          <w:b/>
          <w:bCs/>
          <w:u w:val="single"/>
        </w:rPr>
      </w:pPr>
      <w:r w:rsidRPr="003C210D">
        <w:rPr>
          <w:rFonts w:asciiTheme="majorHAnsi" w:hAnsiTheme="majorHAnsi" w:cstheme="majorHAnsi"/>
          <w:b/>
          <w:bCs/>
          <w:u w:val="single"/>
        </w:rPr>
        <w:t xml:space="preserve">Reference List </w:t>
      </w:r>
    </w:p>
    <w:p w14:paraId="0AB03A0C" w14:textId="25AF956F" w:rsidR="008A73CB" w:rsidRDefault="008A73CB" w:rsidP="004D7ECB">
      <w:pPr>
        <w:jc w:val="both"/>
        <w:rPr>
          <w:rFonts w:asciiTheme="majorHAnsi" w:hAnsiTheme="majorHAnsi" w:cstheme="majorHAnsi"/>
          <w:b/>
          <w:bCs/>
          <w:u w:val="single"/>
        </w:rPr>
      </w:pPr>
    </w:p>
    <w:p w14:paraId="5C048A34" w14:textId="23A16BC2" w:rsidR="008A73CB" w:rsidRPr="008A73CB" w:rsidRDefault="00944CD3" w:rsidP="004D7ECB">
      <w:pPr>
        <w:jc w:val="both"/>
        <w:rPr>
          <w:rFonts w:asciiTheme="majorHAnsi" w:hAnsiTheme="majorHAnsi" w:cstheme="majorHAnsi"/>
          <w:i/>
          <w:iCs/>
        </w:rPr>
      </w:pPr>
      <w:r>
        <w:rPr>
          <w:rFonts w:asciiTheme="majorHAnsi" w:hAnsiTheme="majorHAnsi" w:cstheme="majorHAnsi"/>
        </w:rPr>
        <w:t xml:space="preserve">The Sentencing Council (2016) </w:t>
      </w:r>
      <w:r>
        <w:rPr>
          <w:rFonts w:asciiTheme="majorHAnsi" w:hAnsiTheme="majorHAnsi" w:cstheme="majorHAnsi"/>
          <w:i/>
          <w:iCs/>
        </w:rPr>
        <w:t xml:space="preserve">Theft Offences Definitive Guideline, </w:t>
      </w:r>
      <w:r>
        <w:rPr>
          <w:rFonts w:asciiTheme="majorHAnsi" w:hAnsiTheme="majorHAnsi" w:cstheme="majorHAnsi"/>
        </w:rPr>
        <w:t xml:space="preserve">Available at: </w:t>
      </w:r>
      <w:hyperlink r:id="rId4" w:history="1">
        <w:r w:rsidRPr="00F17467">
          <w:rPr>
            <w:rStyle w:val="Hyperlink"/>
            <w:rFonts w:asciiTheme="majorHAnsi" w:hAnsiTheme="majorHAnsi" w:cstheme="majorHAnsi"/>
          </w:rPr>
          <w:t>https://www.sentencingcouncil.org.uk/wp-content/uploads/Theft-offences-definitive-guideline-Web.pdf</w:t>
        </w:r>
      </w:hyperlink>
      <w:r>
        <w:rPr>
          <w:rFonts w:asciiTheme="majorHAnsi" w:hAnsiTheme="majorHAnsi" w:cstheme="majorHAnsi"/>
        </w:rPr>
        <w:t xml:space="preserve"> (Accessed: 28</w:t>
      </w:r>
      <w:r>
        <w:rPr>
          <w:rFonts w:asciiTheme="majorHAnsi" w:hAnsiTheme="majorHAnsi" w:cstheme="majorHAnsi"/>
          <w:vertAlign w:val="superscript"/>
        </w:rPr>
        <w:t xml:space="preserve"> </w:t>
      </w:r>
      <w:r>
        <w:rPr>
          <w:rFonts w:asciiTheme="majorHAnsi" w:hAnsiTheme="majorHAnsi" w:cstheme="majorHAnsi"/>
        </w:rPr>
        <w:t>March 2021).</w:t>
      </w:r>
      <w:r>
        <w:rPr>
          <w:rFonts w:asciiTheme="majorHAnsi" w:hAnsiTheme="majorHAnsi" w:cstheme="majorHAnsi"/>
          <w:i/>
          <w:iCs/>
        </w:rPr>
        <w:t xml:space="preserve"> </w:t>
      </w:r>
    </w:p>
    <w:p w14:paraId="75FCE3CE" w14:textId="01BC3B5E" w:rsidR="003C210D" w:rsidRDefault="003C210D" w:rsidP="004D7ECB">
      <w:pPr>
        <w:jc w:val="both"/>
        <w:rPr>
          <w:rFonts w:asciiTheme="majorHAnsi" w:hAnsiTheme="majorHAnsi" w:cstheme="majorHAnsi"/>
          <w:b/>
          <w:bCs/>
          <w:u w:val="single"/>
        </w:rPr>
      </w:pPr>
    </w:p>
    <w:p w14:paraId="03390D45" w14:textId="3EBED407" w:rsidR="00576B69" w:rsidRDefault="00944CD3" w:rsidP="004D7ECB">
      <w:pPr>
        <w:jc w:val="both"/>
        <w:rPr>
          <w:rFonts w:asciiTheme="majorHAnsi" w:hAnsiTheme="majorHAnsi" w:cstheme="majorHAnsi"/>
          <w:b/>
          <w:bCs/>
          <w:u w:val="single"/>
        </w:rPr>
      </w:pPr>
      <w:r>
        <w:rPr>
          <w:rFonts w:asciiTheme="majorHAnsi" w:hAnsiTheme="majorHAnsi" w:cstheme="majorHAnsi"/>
          <w:b/>
          <w:bCs/>
          <w:u w:val="single"/>
        </w:rPr>
        <w:t xml:space="preserve">Legislation </w:t>
      </w:r>
    </w:p>
    <w:p w14:paraId="2DB9FAB1" w14:textId="52D335F6" w:rsidR="00476101" w:rsidRDefault="00476101" w:rsidP="004D7ECB">
      <w:pPr>
        <w:jc w:val="both"/>
        <w:rPr>
          <w:rFonts w:asciiTheme="majorHAnsi" w:hAnsiTheme="majorHAnsi" w:cstheme="majorHAnsi"/>
          <w:b/>
          <w:bCs/>
          <w:u w:val="single"/>
        </w:rPr>
      </w:pPr>
    </w:p>
    <w:p w14:paraId="0BC9FA28" w14:textId="26B37A02" w:rsidR="00476101" w:rsidRDefault="00944CD3" w:rsidP="004D7ECB">
      <w:pPr>
        <w:jc w:val="both"/>
        <w:rPr>
          <w:rFonts w:asciiTheme="majorHAnsi" w:hAnsiTheme="majorHAnsi" w:cstheme="majorHAnsi"/>
        </w:rPr>
      </w:pPr>
      <w:r>
        <w:rPr>
          <w:rFonts w:asciiTheme="majorHAnsi" w:hAnsiTheme="majorHAnsi" w:cstheme="majorHAnsi"/>
        </w:rPr>
        <w:t xml:space="preserve">The Coroners and Justice Act </w:t>
      </w:r>
      <w:r w:rsidR="00576B69">
        <w:rPr>
          <w:rFonts w:asciiTheme="majorHAnsi" w:hAnsiTheme="majorHAnsi" w:cstheme="majorHAnsi"/>
        </w:rPr>
        <w:t>(</w:t>
      </w:r>
      <w:r>
        <w:rPr>
          <w:rFonts w:asciiTheme="majorHAnsi" w:hAnsiTheme="majorHAnsi" w:cstheme="majorHAnsi"/>
        </w:rPr>
        <w:t>2009</w:t>
      </w:r>
      <w:r w:rsidR="00576B69">
        <w:rPr>
          <w:rFonts w:asciiTheme="majorHAnsi" w:hAnsiTheme="majorHAnsi" w:cstheme="majorHAnsi"/>
        </w:rPr>
        <w:t>)</w:t>
      </w:r>
      <w:r>
        <w:rPr>
          <w:rFonts w:asciiTheme="majorHAnsi" w:hAnsiTheme="majorHAnsi" w:cstheme="majorHAnsi"/>
        </w:rPr>
        <w:t xml:space="preserve">, s.120. Available at: </w:t>
      </w:r>
      <w:hyperlink r:id="rId5" w:history="1">
        <w:r w:rsidRPr="00F17467">
          <w:rPr>
            <w:rStyle w:val="Hyperlink"/>
            <w:rFonts w:asciiTheme="majorHAnsi" w:hAnsiTheme="majorHAnsi" w:cstheme="majorHAnsi"/>
          </w:rPr>
          <w:t>https://www.legislation.gov.uk/ukpga/2009/25/contents</w:t>
        </w:r>
      </w:hyperlink>
      <w:r>
        <w:rPr>
          <w:rFonts w:asciiTheme="majorHAnsi" w:hAnsiTheme="majorHAnsi" w:cstheme="majorHAnsi"/>
        </w:rPr>
        <w:t xml:space="preserve"> (Accessed: 28 March 2021).</w:t>
      </w:r>
    </w:p>
    <w:p w14:paraId="5031CAF5" w14:textId="21440A39" w:rsidR="00576B69" w:rsidRDefault="00576B69" w:rsidP="004D7ECB">
      <w:pPr>
        <w:jc w:val="both"/>
        <w:rPr>
          <w:rFonts w:asciiTheme="majorHAnsi" w:hAnsiTheme="majorHAnsi" w:cstheme="majorHAnsi"/>
        </w:rPr>
      </w:pPr>
    </w:p>
    <w:p w14:paraId="4A48F1CA" w14:textId="74EAB565" w:rsidR="00576B69" w:rsidRPr="00476101" w:rsidRDefault="00944CD3" w:rsidP="004D7ECB">
      <w:pPr>
        <w:jc w:val="both"/>
        <w:rPr>
          <w:rFonts w:asciiTheme="majorHAnsi" w:hAnsiTheme="majorHAnsi" w:cstheme="majorHAnsi"/>
        </w:rPr>
      </w:pPr>
      <w:r>
        <w:rPr>
          <w:rFonts w:asciiTheme="majorHAnsi" w:hAnsiTheme="majorHAnsi" w:cstheme="majorHAnsi"/>
        </w:rPr>
        <w:t xml:space="preserve">The Criminal Justice Act (2003), s.144. Available at: </w:t>
      </w:r>
      <w:hyperlink r:id="rId6" w:history="1">
        <w:r w:rsidRPr="00F17467">
          <w:rPr>
            <w:rStyle w:val="Hyperlink"/>
            <w:rFonts w:asciiTheme="majorHAnsi" w:hAnsiTheme="majorHAnsi" w:cstheme="majorHAnsi"/>
          </w:rPr>
          <w:t>https://www.legislation.gov.uk/ukpga/2003/44/section/144</w:t>
        </w:r>
      </w:hyperlink>
      <w:r>
        <w:rPr>
          <w:rFonts w:asciiTheme="majorHAnsi" w:hAnsiTheme="majorHAnsi" w:cstheme="majorHAnsi"/>
        </w:rPr>
        <w:t xml:space="preserve"> (Accessed: 28 March 2021).</w:t>
      </w:r>
    </w:p>
    <w:p w14:paraId="11882CF9" w14:textId="30321763" w:rsidR="003C210D" w:rsidRDefault="003C210D" w:rsidP="004D7ECB">
      <w:pPr>
        <w:jc w:val="both"/>
        <w:rPr>
          <w:rFonts w:asciiTheme="majorHAnsi" w:hAnsiTheme="majorHAnsi" w:cstheme="majorHAnsi"/>
          <w:b/>
          <w:bCs/>
          <w:u w:val="single"/>
        </w:rPr>
      </w:pPr>
    </w:p>
    <w:p w14:paraId="0CB7FD05" w14:textId="1600447F" w:rsidR="003C210D" w:rsidRDefault="00944CD3" w:rsidP="004D7ECB">
      <w:pPr>
        <w:jc w:val="both"/>
        <w:rPr>
          <w:rFonts w:asciiTheme="majorHAnsi" w:hAnsiTheme="majorHAnsi" w:cstheme="majorHAnsi"/>
        </w:rPr>
      </w:pPr>
      <w:r>
        <w:rPr>
          <w:rFonts w:asciiTheme="majorHAnsi" w:hAnsiTheme="majorHAnsi" w:cstheme="majorHAnsi"/>
        </w:rPr>
        <w:t xml:space="preserve">The Theft Act (1968), S.1. Available at: </w:t>
      </w:r>
      <w:hyperlink r:id="rId7" w:history="1">
        <w:r w:rsidRPr="00F17467">
          <w:rPr>
            <w:rStyle w:val="Hyperlink"/>
            <w:rFonts w:asciiTheme="majorHAnsi" w:hAnsiTheme="majorHAnsi" w:cstheme="majorHAnsi"/>
          </w:rPr>
          <w:t>https://www.legislation.gov.uk/ukpga/1968/60</w:t>
        </w:r>
      </w:hyperlink>
      <w:r>
        <w:rPr>
          <w:rFonts w:asciiTheme="majorHAnsi" w:hAnsiTheme="majorHAnsi" w:cstheme="majorHAnsi"/>
        </w:rPr>
        <w:t xml:space="preserve"> (Accessed: 27 March 2021). </w:t>
      </w:r>
    </w:p>
    <w:p w14:paraId="7E540235" w14:textId="77E5B4D2" w:rsidR="00BF1F4D" w:rsidRDefault="00BF1F4D" w:rsidP="004D7ECB">
      <w:pPr>
        <w:jc w:val="both"/>
        <w:rPr>
          <w:rFonts w:asciiTheme="majorHAnsi" w:hAnsiTheme="majorHAnsi" w:cstheme="majorHAnsi"/>
        </w:rPr>
      </w:pPr>
    </w:p>
    <w:p w14:paraId="4256C903" w14:textId="1CD8AADE" w:rsidR="00BF1F4D" w:rsidRDefault="00944CD3" w:rsidP="004D7ECB">
      <w:pPr>
        <w:jc w:val="both"/>
        <w:rPr>
          <w:rFonts w:asciiTheme="majorHAnsi" w:hAnsiTheme="majorHAnsi" w:cstheme="majorHAnsi"/>
          <w:b/>
          <w:bCs/>
          <w:u w:val="single"/>
        </w:rPr>
      </w:pPr>
      <w:r>
        <w:rPr>
          <w:rFonts w:asciiTheme="majorHAnsi" w:hAnsiTheme="majorHAnsi" w:cstheme="majorHAnsi"/>
          <w:b/>
          <w:bCs/>
          <w:u w:val="single"/>
        </w:rPr>
        <w:t>Case List</w:t>
      </w:r>
    </w:p>
    <w:p w14:paraId="3F1FB627" w14:textId="3E9BD627" w:rsidR="00BF1F4D" w:rsidRDefault="00BF1F4D" w:rsidP="004D7ECB">
      <w:pPr>
        <w:jc w:val="both"/>
        <w:rPr>
          <w:rFonts w:asciiTheme="majorHAnsi" w:hAnsiTheme="majorHAnsi" w:cstheme="majorHAnsi"/>
          <w:b/>
          <w:bCs/>
          <w:u w:val="single"/>
        </w:rPr>
      </w:pPr>
    </w:p>
    <w:p w14:paraId="7B7363CA" w14:textId="5CDE2CC5" w:rsidR="00BF1F4D" w:rsidRPr="00BF1F4D" w:rsidRDefault="00944CD3" w:rsidP="004D7ECB">
      <w:pPr>
        <w:jc w:val="both"/>
        <w:rPr>
          <w:rFonts w:asciiTheme="majorHAnsi" w:hAnsiTheme="majorHAnsi" w:cstheme="majorHAnsi"/>
        </w:rPr>
      </w:pPr>
      <w:r>
        <w:rPr>
          <w:rFonts w:asciiTheme="majorHAnsi" w:hAnsiTheme="majorHAnsi" w:cstheme="majorHAnsi"/>
        </w:rPr>
        <w:t>Ivey V Genting Casinos Ltd (2017) UKSC 67</w:t>
      </w:r>
    </w:p>
    <w:sectPr w:rsidR="00BF1F4D" w:rsidRPr="00BF1F4D" w:rsidSect="00BD7923">
      <w:pgSz w:w="11900" w:h="16820"/>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ECB"/>
    <w:rsid w:val="00081482"/>
    <w:rsid w:val="00125B3B"/>
    <w:rsid w:val="001B51E1"/>
    <w:rsid w:val="00230921"/>
    <w:rsid w:val="002468E9"/>
    <w:rsid w:val="002D7A83"/>
    <w:rsid w:val="003C210D"/>
    <w:rsid w:val="004144E5"/>
    <w:rsid w:val="00431F46"/>
    <w:rsid w:val="00460A2B"/>
    <w:rsid w:val="00476101"/>
    <w:rsid w:val="004D7ECB"/>
    <w:rsid w:val="00530F56"/>
    <w:rsid w:val="0055187D"/>
    <w:rsid w:val="00576B69"/>
    <w:rsid w:val="005D2522"/>
    <w:rsid w:val="005E39CD"/>
    <w:rsid w:val="005F11A1"/>
    <w:rsid w:val="00624251"/>
    <w:rsid w:val="006A45A4"/>
    <w:rsid w:val="00702C88"/>
    <w:rsid w:val="00710F76"/>
    <w:rsid w:val="00804D59"/>
    <w:rsid w:val="008A73CB"/>
    <w:rsid w:val="00944CD3"/>
    <w:rsid w:val="00984DF9"/>
    <w:rsid w:val="00A3480F"/>
    <w:rsid w:val="00A9380C"/>
    <w:rsid w:val="00BB52C1"/>
    <w:rsid w:val="00BD7923"/>
    <w:rsid w:val="00BF1F4D"/>
    <w:rsid w:val="00C14959"/>
    <w:rsid w:val="00C54AEC"/>
    <w:rsid w:val="00D0393E"/>
    <w:rsid w:val="00DE6334"/>
    <w:rsid w:val="00F17467"/>
    <w:rsid w:val="00F72436"/>
    <w:rsid w:val="00F831CB"/>
    <w:rsid w:val="00F96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FB04D0"/>
  <w15:chartTrackingRefBased/>
  <w15:docId w15:val="{220C068F-A841-FA4D-BDE8-E5C492383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210D"/>
    <w:rPr>
      <w:color w:val="0563C1" w:themeColor="hyperlink"/>
      <w:u w:val="single"/>
    </w:rPr>
  </w:style>
  <w:style w:type="character" w:customStyle="1" w:styleId="UnresolvedMention1">
    <w:name w:val="Unresolved Mention1"/>
    <w:basedOn w:val="DefaultParagraphFont"/>
    <w:uiPriority w:val="99"/>
    <w:semiHidden/>
    <w:unhideWhenUsed/>
    <w:rsid w:val="003C210D"/>
    <w:rPr>
      <w:color w:val="605E5C"/>
      <w:shd w:val="clear" w:color="auto" w:fill="E1DFDD"/>
    </w:rPr>
  </w:style>
  <w:style w:type="character" w:styleId="FollowedHyperlink">
    <w:name w:val="FollowedHyperlink"/>
    <w:basedOn w:val="DefaultParagraphFont"/>
    <w:uiPriority w:val="99"/>
    <w:semiHidden/>
    <w:unhideWhenUsed/>
    <w:rsid w:val="00576B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gislation.gov.uk/ukpga/1968/6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03/44/section/144" TargetMode="External"/><Relationship Id="rId5" Type="http://schemas.openxmlformats.org/officeDocument/2006/relationships/hyperlink" Target="https://www.legislation.gov.uk/ukpga/2009/25/contents" TargetMode="External"/><Relationship Id="rId4" Type="http://schemas.openxmlformats.org/officeDocument/2006/relationships/hyperlink" Target="https://www.sentencingcouncil.org.uk/wp-content/uploads/Theft-offences-definitive-guideline-Web.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1686</Words>
  <Characters>9615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Teresa Anne Kan (2017444)</dc:creator>
  <cp:lastModifiedBy>Teresa Anne Kan (2017444)</cp:lastModifiedBy>
  <cp:revision>2</cp:revision>
  <dcterms:created xsi:type="dcterms:W3CDTF">2021-04-29T10:16:00Z</dcterms:created>
  <dcterms:modified xsi:type="dcterms:W3CDTF">2021-04-29T10:16:00Z</dcterms:modified>
</cp:coreProperties>
</file>