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4BCB26" w:rsidP="047C89BE" w:rsidRDefault="224BCB26" w14:paraId="429A7937" w14:textId="431D30B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047C89BE" w:rsidR="224BCB26">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Occupiers are always liable for accidents that occur on their property. Discuss the extent to which the above statement is correct</w:t>
      </w:r>
    </w:p>
    <w:p w:rsidR="047C89BE" w:rsidP="047C89BE" w:rsidRDefault="047C89BE" w14:paraId="6F95A3D9" w14:textId="4864FFF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
    <w:p w:rsidR="61C5D21C" w:rsidP="047C89BE" w:rsidRDefault="61C5D21C" w14:paraId="4DB441A1" w14:textId="1AF5C80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1C5D21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area of law we will </w:t>
      </w:r>
      <w:r w:rsidRPr="047C89BE" w:rsidR="61C5D21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be required</w:t>
      </w:r>
      <w:r w:rsidRPr="047C89BE" w:rsidR="61C5D21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w:t>
      </w:r>
      <w:r w:rsidRPr="047C89BE" w:rsidR="61C5D21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investigate</w:t>
      </w:r>
      <w:r w:rsidRPr="047C89BE" w:rsidR="61C5D21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specific is Tort Law. </w:t>
      </w:r>
    </w:p>
    <w:p w:rsidR="50E9D3D7" w:rsidP="047C89BE" w:rsidRDefault="50E9D3D7" w14:paraId="73AF8B8B" w14:textId="06A2247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0E9D3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two main pieces of legislation used throughout will be the Occupiers Liability Act 1957 and 1984</w:t>
      </w:r>
      <w:r w:rsidRPr="047C89BE" w:rsidR="7441D98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7A883E8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We will also include any relevant case law</w:t>
      </w:r>
      <w:r w:rsidRPr="047C89BE" w:rsidR="16713E2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back up points made</w:t>
      </w:r>
      <w:r w:rsidRPr="047C89BE" w:rsidR="7A883E8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50E9D3D7" w:rsidP="047C89BE" w:rsidRDefault="50E9D3D7" w14:paraId="08B8795C" w14:textId="765C46A5">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0E9D3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So, u</w:t>
      </w:r>
      <w:r w:rsidRPr="047C89BE" w:rsidR="1104378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pon tackling a question with such complexity</w:t>
      </w:r>
      <w:r w:rsidRPr="047C89BE" w:rsidR="4A833D7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W</w:t>
      </w:r>
      <w:r w:rsidRPr="047C89BE" w:rsidR="1104378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 must consider all attributes</w:t>
      </w:r>
      <w:r w:rsidRPr="047C89BE" w:rsidR="31586E0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which go into it</w:t>
      </w:r>
      <w:r w:rsidRPr="047C89BE" w:rsidR="1104378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52E78E6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4CF4A0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Such as, what is an occupier? </w:t>
      </w:r>
    </w:p>
    <w:p w:rsidR="047C89BE" w:rsidP="047C89BE" w:rsidRDefault="047C89BE" w14:paraId="45147B52" w14:textId="6C5FB4D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3444CBBB" w14:textId="4AAED8B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330DFDA7" w14:textId="353BA784">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58DCD8C2" w:rsidP="047C89BE" w:rsidRDefault="58DCD8C2" w14:paraId="5454CE00" w14:textId="67174C58">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8DCD8C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To begin with, </w:t>
      </w:r>
      <w:r w:rsidRPr="047C89BE" w:rsidR="47774FA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an occupier falls under the Occupiers Liability Act 1957</w:t>
      </w:r>
      <w:r w:rsidRPr="047C89BE" w:rsidR="3C2F88E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and </w:t>
      </w:r>
      <w:r w:rsidRPr="047C89BE" w:rsidR="3C2F88E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follow</w:t>
      </w:r>
      <w:r w:rsidRPr="047C89BE" w:rsidR="75A9610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 </w:t>
      </w:r>
      <w:r w:rsidRPr="047C89BE" w:rsidR="3C2F88E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through to the Occupiers Liability Act </w:t>
      </w:r>
      <w:r w:rsidRPr="047C89BE" w:rsidR="4EECC6F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1984</w:t>
      </w:r>
      <w:r w:rsidRPr="047C89BE" w:rsidR="4E246A2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5DE06F7D" w:rsidP="047C89BE" w:rsidRDefault="5DE06F7D" w14:paraId="5FFC971C" w14:textId="38A8A048">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DE06F7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Occupiers Liability Act 1957 defines the common duty owed by an occupier to a visitor </w:t>
      </w:r>
      <w:r w:rsidRPr="047C89BE" w:rsidR="5DE06F7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whereas</w:t>
      </w:r>
      <w:r w:rsidRPr="047C89BE" w:rsidR="5DE06F7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1984 Act defines the duty owed </w:t>
      </w:r>
      <w:r w:rsidRPr="047C89BE" w:rsidR="7827668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to those other than a visitor. </w:t>
      </w:r>
      <w:r w:rsidRPr="047C89BE" w:rsidR="7827668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Thus,</w:t>
      </w:r>
      <w:r w:rsidRPr="047C89BE" w:rsidR="7827668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meaning trespassers.</w:t>
      </w:r>
    </w:p>
    <w:p w:rsidR="047C89BE" w:rsidP="047C89BE" w:rsidRDefault="047C89BE" w14:paraId="7DDCDEFC" w14:textId="10BDD1B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47774FA7" w:rsidP="047C89BE" w:rsidRDefault="47774FA7" w14:paraId="0FEC6E4D" w14:textId="4EB3375D">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7774FA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w:t>
      </w:r>
      <w:r w:rsidRPr="047C89BE" w:rsidR="58DCD8C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n occupier is </w:t>
      </w:r>
      <w:r w:rsidRPr="047C89BE" w:rsidR="6C7C3DE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considered as an</w:t>
      </w:r>
      <w:r w:rsidRPr="047C89BE" w:rsidR="316C8A9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individual </w:t>
      </w:r>
      <w:r w:rsidRPr="047C89BE" w:rsidR="61ED344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who </w:t>
      </w:r>
      <w:r w:rsidRPr="047C89BE" w:rsidR="074DB67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has ownership </w:t>
      </w:r>
      <w:r w:rsidRPr="047C89BE" w:rsidR="5065A1B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or an element of control </w:t>
      </w:r>
      <w:r w:rsidRPr="047C89BE" w:rsidR="074DB67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over </w:t>
      </w:r>
      <w:r w:rsidRPr="047C89BE" w:rsidR="61ED344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 prope</w:t>
      </w:r>
      <w:r w:rsidRPr="047C89BE" w:rsidR="63709DA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rty </w:t>
      </w:r>
      <w:r w:rsidRPr="047C89BE" w:rsidR="61ED344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or</w:t>
      </w:r>
      <w:r w:rsidRPr="047C89BE" w:rsidR="72E923B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premise</w:t>
      </w:r>
      <w:r w:rsidRPr="047C89BE" w:rsidR="4FB200D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46FFCAA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This can be anything ranging from a house</w:t>
      </w:r>
      <w:r w:rsidRPr="047C89BE" w:rsidR="330856F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a caravan</w:t>
      </w:r>
      <w:r w:rsidRPr="047C89BE" w:rsidR="734673D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or even a boat.</w:t>
      </w:r>
      <w:r w:rsidRPr="047C89BE" w:rsidR="53B5E4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3B5E4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It </w:t>
      </w:r>
      <w:r w:rsidRPr="047C89BE" w:rsidR="7299A0F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can </w:t>
      </w:r>
      <w:r w:rsidRPr="047C89BE" w:rsidR="53B5E4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also </w:t>
      </w:r>
      <w:r w:rsidRPr="047C89BE" w:rsidR="53B5E4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include</w:t>
      </w:r>
      <w:r w:rsidRPr="047C89BE" w:rsidR="60D9E4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3B5E4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elements such as a </w:t>
      </w:r>
      <w:r w:rsidRPr="047C89BE" w:rsidR="46FFCAA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crane or sc</w:t>
      </w:r>
      <w:r w:rsidRPr="047C89BE" w:rsidR="2194AD7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affolding</w:t>
      </w:r>
      <w:r w:rsidRPr="047C89BE" w:rsidR="3C9B1BF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BFA92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An occupier can even be a shop owner.</w:t>
      </w:r>
      <w:r w:rsidRPr="047C89BE" w:rsidR="11C0BC8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23C75D17" w:rsidP="047C89BE" w:rsidRDefault="23C75D17" w14:paraId="6C5FAF85" w14:textId="4A191F9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23C75D1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Further, you</w:t>
      </w:r>
      <w:r w:rsidRPr="047C89BE" w:rsidR="11C0BC8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can have more than one occupier.</w:t>
      </w:r>
    </w:p>
    <w:p w:rsidR="77D208EF" w:rsidP="047C89BE" w:rsidRDefault="77D208EF" w14:paraId="72939129" w14:textId="034921C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77D208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This </w:t>
      </w:r>
      <w:r w:rsidRPr="047C89BE" w:rsidR="5D449E1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is </w:t>
      </w:r>
      <w:r w:rsidRPr="047C89BE" w:rsidR="77D208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all </w:t>
      </w:r>
      <w:r w:rsidRPr="047C89BE" w:rsidR="77D208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demonstrated</w:t>
      </w:r>
      <w:r w:rsidRPr="047C89BE" w:rsidR="3C6CE49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the case of Wheat v Lacon 1929.</w:t>
      </w:r>
    </w:p>
    <w:p w:rsidR="4C0A4598" w:rsidP="047C89BE" w:rsidRDefault="4C0A4598" w14:paraId="60DF7DDB" w14:textId="19520DC5">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C0A459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However, </w:t>
      </w:r>
      <w:r w:rsidRPr="047C89BE" w:rsidR="4F11BDA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by having more than one occupier </w:t>
      </w:r>
      <w:r w:rsidRPr="047C89BE" w:rsidR="4C0A459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this may raise confusion to some</w:t>
      </w:r>
      <w:r w:rsidRPr="047C89BE" w:rsidR="637085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and further beg questions such as ‘who would be </w:t>
      </w:r>
      <w:bookmarkStart w:name="_Int_C2z3i6Sv" w:id="1276130582"/>
      <w:r w:rsidRPr="047C89BE" w:rsidR="637085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liable?</w:t>
      </w:r>
      <w:r w:rsidRPr="047C89BE" w:rsidR="637085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bookmarkEnd w:id="1276130582"/>
      <w:r w:rsidRPr="047C89BE" w:rsidR="637085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47C89BE" w:rsidP="047C89BE" w:rsidRDefault="047C89BE" w14:paraId="6CB9876A" w14:textId="3B64342D">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5655761B" w14:textId="7951F2B5">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6DB86E70" w14:textId="333E63A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3FE917B3" w:rsidP="047C89BE" w:rsidRDefault="3FE917B3" w14:paraId="185F7A28" w14:textId="73CA9458">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3FE917B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Moving on</w:t>
      </w:r>
      <w:r w:rsidRPr="047C89BE" w:rsidR="6FBF4B0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when looking into t</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hese pieces of legislation</w:t>
      </w:r>
      <w:r w:rsidRPr="047C89BE" w:rsidR="3780FC4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We </w:t>
      </w:r>
      <w:r w:rsidRPr="047C89BE" w:rsidR="3780FC4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notice</w:t>
      </w:r>
      <w:r w:rsidRPr="047C89BE" w:rsidR="3780FC4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that they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apply a common law duty. Occupiers Liability Act </w:t>
      </w:r>
      <w:r w:rsidRPr="047C89BE" w:rsidR="711399A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section 2 subsection 2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1957</w:t>
      </w:r>
      <w:r w:rsidRPr="047C89BE" w:rsidR="38D54AD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defines that </w:t>
      </w:r>
      <w:r w:rsidRPr="047C89BE" w:rsidR="3D63608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 common duty of care is to see that a visitor will be </w:t>
      </w:r>
      <w:bookmarkStart w:name="_Int_5E67kngp" w:id="415912732"/>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reasonably safe</w:t>
      </w:r>
      <w:bookmarkEnd w:id="415912732"/>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when using the premises for the purpose for which he is invited or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permitted</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by the occupier to be there.</w:t>
      </w:r>
      <w:r w:rsidRPr="047C89BE" w:rsidR="717D7AA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54CB716E" w:rsidP="047C89BE" w:rsidRDefault="54CB716E" w14:paraId="710099C0" w14:textId="10559B0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For example, a family member or maintenance person</w:t>
      </w:r>
      <w:r w:rsidRPr="047C89BE" w:rsidR="76539D7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can be viewed as a visitor as the occupier would have consented for them to be there.</w:t>
      </w:r>
    </w:p>
    <w:p w:rsidR="54CB716E" w:rsidP="047C89BE" w:rsidRDefault="54CB716E" w14:paraId="3C7902FD" w14:textId="40C1BA8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Section 2</w:t>
      </w:r>
      <w:r w:rsidRPr="047C89BE" w:rsidR="295E7B3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subsection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6</w:t>
      </w:r>
      <w:r w:rsidRPr="047C89BE" w:rsidR="6BDD261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of </w:t>
      </w:r>
      <w:r w:rsidRPr="047C89BE" w:rsidR="25AA72F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Occupiers Liability Act</w:t>
      </w:r>
      <w:r w:rsidRPr="047C89BE" w:rsidR="1FE4EA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1957</w:t>
      </w:r>
      <w:r w:rsidRPr="047C89BE" w:rsidR="58FD642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exercises </w:t>
      </w:r>
      <w:r w:rsidRPr="047C89BE" w:rsidR="075624D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 person who enters a premise for any person in the exercise of a right conferred by the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law are to be treated as </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permitted</w:t>
      </w: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by the occupier whether they have permission.</w:t>
      </w:r>
      <w:r w:rsidRPr="047C89BE" w:rsidR="32B42E4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54CB716E" w:rsidP="047C89BE" w:rsidRDefault="54CB716E" w14:paraId="4BD41464" w14:textId="05BA3AD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For example,</w:t>
      </w:r>
      <w:r w:rsidRPr="047C89BE" w:rsidR="72B8BB9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 postal worker or</w:t>
      </w:r>
      <w:r w:rsidRPr="047C89BE" w:rsidR="31CC540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 police officer as they have implied consent to be there.</w:t>
      </w:r>
      <w:r w:rsidRPr="047C89BE" w:rsidR="6214696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being </w:t>
      </w:r>
      <w:r w:rsidRPr="047C89BE" w:rsidR="3E3AAD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further </w:t>
      </w:r>
      <w:r w:rsidRPr="047C89BE" w:rsidR="6214696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shown in subsection 1 of section 5 </w:t>
      </w:r>
      <w:r w:rsidRPr="047C89BE" w:rsidR="361F154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of Occupiers liability</w:t>
      </w:r>
      <w:r w:rsidRPr="047C89BE" w:rsidR="441D119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61F154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Act 1957</w:t>
      </w:r>
      <w:r w:rsidRPr="047C89BE" w:rsidR="7055A9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where it discusses </w:t>
      </w:r>
    </w:p>
    <w:p w:rsidR="047C89BE" w:rsidP="047C89BE" w:rsidRDefault="047C89BE" w14:paraId="32CF9AE2" w14:textId="570EBBB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54CB716E" w:rsidP="047C89BE" w:rsidRDefault="54CB716E" w14:paraId="535E8C8F" w14:textId="3AC83F35">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4CB716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Following on, </w:t>
      </w:r>
      <w:r w:rsidRPr="047C89BE" w:rsidR="115CA23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section 2 subsection 3a of Occupiers Liability Act 1957 exclaims ‘an occupier must be prepared for children to be less careful than </w:t>
      </w:r>
      <w:r w:rsidRPr="047C89BE" w:rsidR="1A50BA2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adults</w:t>
      </w:r>
      <w:r w:rsidRPr="047C89BE" w:rsidR="2C15153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02F1994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2F19946" w:rsidP="047C89BE" w:rsidRDefault="02F19946" w14:paraId="707CE8F8" w14:textId="5578F3F4">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2F1994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This is as children are not at the same mental </w:t>
      </w:r>
      <w:r w:rsidRPr="047C89BE" w:rsidR="02F1994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capacity</w:t>
      </w:r>
      <w:r w:rsidRPr="047C89BE" w:rsidR="02F1994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as an adul</w:t>
      </w:r>
      <w:r w:rsidRPr="047C89BE" w:rsidR="2FB680C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 so they are not</w:t>
      </w:r>
      <w:r w:rsidRPr="047C89BE" w:rsidR="02F1994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aware of the importance of dangers like an adult would be, an</w:t>
      </w:r>
      <w:r w:rsidRPr="047C89BE" w:rsidR="79778A1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w:t>
      </w:r>
      <w:r w:rsidRPr="047C89BE" w:rsidR="02F1994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often tend to copy what they see.</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0F08F364" w:rsidP="047C89BE" w:rsidRDefault="0F08F364" w14:paraId="3185FDF3" w14:textId="0080051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For example, a 3-year-old will not have the same understanding as a 9-year-old; nor a 9-year-old as a 20-year-old. Thus meaning, an act we may view as dangerous may not be </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comprehended</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that way to a child.</w:t>
      </w:r>
    </w:p>
    <w:p w:rsidR="0F08F364" w:rsidP="047C89BE" w:rsidRDefault="0F08F364" w14:paraId="2D9C9064" w14:textId="3AB171D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Children </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possess</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mind of copying what they </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observe</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proven by the theorist Albert Bandura who observed </w:t>
      </w:r>
      <w:r w:rsidRPr="047C89BE" w:rsidR="4E3D2A8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Childrens'</w:t>
      </w:r>
      <w:r w:rsidRPr="047C89BE" w:rsidR="0F08F3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behaviours when watching adults as shown in the writing of Travis Dixon (2019.)</w:t>
      </w:r>
    </w:p>
    <w:p w:rsidR="4B10FBDC" w:rsidP="047C89BE" w:rsidRDefault="4B10FBDC" w14:paraId="361C77D6" w14:textId="7709F751">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B10FBD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This can also be explained for vulnerable adults too.</w:t>
      </w:r>
    </w:p>
    <w:p w:rsidR="047C89BE" w:rsidP="047C89BE" w:rsidRDefault="047C89BE" w14:paraId="4395FFCB" w14:textId="40D6B8D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76D6D307" w14:textId="4BE473DA">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3BF546A4" w14:textId="3095964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474F0704" w:rsidP="047C89BE" w:rsidRDefault="474F0704" w14:paraId="3A3D8A61" w14:textId="04BC666C">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Unbeknownst to some, trespassers just like visitors have a right to protection</w:t>
      </w:r>
      <w:r w:rsidRPr="047C89BE" w:rsidR="0F98455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2FBE459E" w:rsidP="047C89BE" w:rsidRDefault="2FBE459E" w14:paraId="23E0B47E" w14:textId="0B322073">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2FBE459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Occupiers’ Liability act 1984 </w:t>
      </w:r>
      <w:r w:rsidRPr="047C89BE" w:rsidR="2FBE459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establishes</w:t>
      </w:r>
      <w:r w:rsidRPr="047C89BE" w:rsidR="2FBE459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common law duty owed by an occupier t</w:t>
      </w:r>
      <w:r w:rsidRPr="047C89BE" w:rsidR="47D6941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 those other than visitors meaning</w:t>
      </w:r>
      <w:r w:rsidRPr="047C89BE" w:rsidR="2FBE459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2FBE459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trespassers.</w:t>
      </w:r>
    </w:p>
    <w:p w:rsidR="1D0EB494" w:rsidP="047C89BE" w:rsidRDefault="1D0EB494" w14:paraId="2E795E1F" w14:textId="5C1E4453">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1D0EB49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These meaning occupiers</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owe a common duty of care to trespassers </w:t>
      </w:r>
      <w:r w:rsidRPr="047C89BE" w:rsidR="7844DF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but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only in certain circumstances. </w:t>
      </w:r>
    </w:p>
    <w:p w:rsidR="474F0704" w:rsidP="047C89BE" w:rsidRDefault="474F0704" w14:paraId="5B2CA948" w14:textId="5BB30762">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As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stated</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Occupiers Liability Act </w:t>
      </w:r>
      <w:r w:rsidRPr="047C89BE" w:rsidR="0BE051A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1984 </w:t>
      </w:r>
      <w:r w:rsidRPr="047C89BE" w:rsidR="0EA0219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section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3</w:t>
      </w:r>
      <w:r w:rsidRPr="047C89BE" w:rsidR="70BDCCE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DBC41F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it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establishes</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duty owed by the occupier to those other than a visitor in respect to any such risks as referred in s1 of Occupiers Liability Act 1984.</w:t>
      </w:r>
    </w:p>
    <w:p w:rsidR="474F0704" w:rsidP="047C89BE" w:rsidRDefault="474F0704" w14:paraId="246C1571" w14:textId="1D6C3B6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This was not always the case though as seen in the case of Addie v Dumbreck 1929.</w:t>
      </w:r>
    </w:p>
    <w:p w:rsidR="047C89BE" w:rsidP="047C89BE" w:rsidRDefault="047C89BE" w14:paraId="1A229527" w14:textId="676374B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6BBE8943" w:rsidP="047C89BE" w:rsidRDefault="6BBE8943" w14:paraId="03182E59" w14:textId="1B71C6D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BBE894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Trespassers can be children</w:t>
      </w:r>
      <w:r w:rsidRPr="047C89BE" w:rsidR="7CE2935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and vulnerable adults</w:t>
      </w:r>
      <w:r w:rsidRPr="047C89BE" w:rsidR="6BBE894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E3DAE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too.</w:t>
      </w:r>
      <w:r w:rsidRPr="047C89BE" w:rsidR="35D84E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There are contributing factors when it comes to the two such as age and mental </w:t>
      </w:r>
      <w:r w:rsidRPr="047C89BE" w:rsidR="124859F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capacity. In</w:t>
      </w:r>
      <w:r w:rsidRPr="047C89BE" w:rsidR="35D84E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some cases, children may be considered as a visitor instead of a trespasser like in the case of </w:t>
      </w:r>
      <w:r w:rsidRPr="047C89BE" w:rsidR="35D84E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Young</w:t>
      </w:r>
      <w:r w:rsidRPr="047C89BE" w:rsidR="35D84E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v Kent County Council 2005.</w:t>
      </w:r>
    </w:p>
    <w:p w:rsidR="047C89BE" w:rsidP="047C89BE" w:rsidRDefault="047C89BE" w14:paraId="7665192E" w14:textId="1C61908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71A0ED85" w:rsidP="047C89BE" w:rsidRDefault="71A0ED85" w14:paraId="1864893D" w14:textId="4A143F5E">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71A0ED8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If there is a potential risk to danger, an occupier must ask themself what steps they can take in order the best prevent said risk. </w:t>
      </w:r>
      <w:r w:rsidRPr="047C89BE" w:rsidR="78D653B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potentially dangerous outcome.</w:t>
      </w:r>
      <w:r w:rsidRPr="047C89BE" w:rsidR="4A04E83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includes safety precautions for those of all ages too, including children and vulnerable adults. </w:t>
      </w:r>
    </w:p>
    <w:p w:rsidR="047C89BE" w:rsidP="047C89BE" w:rsidRDefault="047C89BE" w14:paraId="546E8D2D" w14:textId="21B2F1DE">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408AD911" w:rsidP="047C89BE" w:rsidRDefault="408AD911" w14:paraId="3D742A06" w14:textId="6D2C880B">
      <w:pPr>
        <w:pStyle w:val="Normal"/>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08AD91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Following on,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Subsection 6 of section 1 of chapter 3 of the Occupiers and Liability Act 1984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establishes</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that there will be no duty owed to any person who willingly accepts the risks as by that person. For example, you break into a shop and see loads of broken glass and wet puddles; all blocked off by signs and tape. You still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proceed</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ahead and slip, and you break your arm. The occupier has already taken all steps possible to warn against danger, but you decided to </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proceed</w:t>
      </w:r>
      <w:r w:rsidRPr="047C89BE" w:rsidR="4DC1108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despite knowing the potential risk</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Therefore, making them not liable.</w:t>
      </w:r>
    </w:p>
    <w:p w:rsidR="047C89BE" w:rsidP="047C89BE" w:rsidRDefault="047C89BE" w14:paraId="116D2DC4" w14:textId="01FC2F2B">
      <w:pPr>
        <w:pStyle w:val="Normal"/>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474F0704" w:rsidP="047C89BE" w:rsidRDefault="474F0704" w14:paraId="7E2CCBBE" w14:textId="15911F78">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So, in the circumstance of a construction site. If the site had a warning at the front stating ‘no liability after entrance, risk of death. Enter at your own risk.’ </w:t>
      </w:r>
    </w:p>
    <w:p w:rsidR="474F0704" w:rsidP="047C89BE" w:rsidRDefault="474F0704" w14:paraId="66F4D7D8" w14:textId="5F27D7B2">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Persey a child snuck in through a hole at the back of a construction site and got injured by a pole. The child would be viewed as a visitor to the construction site, yet the occupier would still be liable as the</w:t>
      </w:r>
      <w:r w:rsidRPr="047C89BE" w:rsidR="6E6E9D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hole s</w:t>
      </w:r>
      <w:r w:rsidRPr="047C89BE" w:rsidR="474F07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hould have been secured.</w:t>
      </w:r>
    </w:p>
    <w:p w:rsidR="047C89BE" w:rsidP="047C89BE" w:rsidRDefault="047C89BE" w14:paraId="3B0009F4" w14:textId="14A16E01">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2468DA4C" w14:textId="7EF3232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5874CE5A" w14:textId="72DE177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7BE56764" w:rsidP="047C89BE" w:rsidRDefault="7BE56764" w14:paraId="1DAC71C1" w14:textId="1D414934">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7BE567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More so, we are living in the time of</w:t>
      </w:r>
      <w:r w:rsidRPr="047C89BE" w:rsidR="1C92F4C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7BE567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compensation culture. This i</w:t>
      </w:r>
      <w:r w:rsidRPr="047C89BE" w:rsidR="492BEA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 where </w:t>
      </w:r>
      <w:r w:rsidRPr="047C89BE" w:rsidR="7DE66AA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 </w:t>
      </w:r>
      <w:r w:rsidRPr="047C89BE" w:rsidR="492BEA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society will try to bring </w:t>
      </w:r>
      <w:r w:rsidRPr="047C89BE" w:rsidR="6853412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 </w:t>
      </w:r>
      <w:r w:rsidRPr="047C89BE" w:rsidR="777FD43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considerable number</w:t>
      </w:r>
      <w:r w:rsidRPr="047C89BE" w:rsidR="6853412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of</w:t>
      </w:r>
      <w:r w:rsidRPr="047C89BE" w:rsidR="492BEA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D57642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claims</w:t>
      </w:r>
      <w:r w:rsidRPr="047C89BE" w:rsidR="492BEA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for about anything</w:t>
      </w:r>
      <w:r w:rsidRPr="047C89BE" w:rsidR="528D1A0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tort</w:t>
      </w:r>
      <w:r w:rsidRPr="047C89BE" w:rsidR="492BEA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CB2E16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This as shown in the Compensation Act 2006</w:t>
      </w:r>
      <w:r w:rsidRPr="047C89BE" w:rsidR="49C5184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2BE0B11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It goes into</w:t>
      </w:r>
      <w:r w:rsidRPr="047C89BE" w:rsidR="38DAEF0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explaining</w:t>
      </w:r>
      <w:r w:rsidRPr="047C89BE" w:rsidR="2BE0B11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3851A23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deterrent</w:t>
      </w:r>
      <w:r w:rsidRPr="047C89BE" w:rsidR="2BE0B11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effect of any liability, offers of treatments and damages.</w:t>
      </w:r>
    </w:p>
    <w:p w:rsidR="047C89BE" w:rsidP="047C89BE" w:rsidRDefault="047C89BE" w14:paraId="5449E6D1" w14:textId="2EFCA392">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549A2443" w14:textId="55406B5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744DF0D6" w14:textId="58E944DC">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4ED98455" w14:textId="2B4ED1B3">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3342E8E9" w:rsidP="047C89BE" w:rsidRDefault="3342E8E9" w14:paraId="71A7B044" w14:textId="555A106E">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3342E8E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When deciding whether an occupier is liable, Judges would consider whether the plaintiff has any contributory negligence. This meaning, whether the plaintiff’s own actions had any contribution to their own injury or damage.</w:t>
      </w:r>
      <w:r w:rsidRPr="047C89BE" w:rsidR="51D6AEA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as </w:t>
      </w:r>
      <w:r w:rsidRPr="047C89BE" w:rsidR="51D6AEA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stated</w:t>
      </w:r>
      <w:r w:rsidRPr="047C89BE" w:rsidR="51D6AEA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s</w:t>
      </w:r>
      <w:r w:rsidRPr="047C89BE" w:rsidR="27FB222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ection 2 subsection 3 of the Occupiers Liability Act 1957</w:t>
      </w:r>
    </w:p>
    <w:p w:rsidR="047C89BE" w:rsidP="047C89BE" w:rsidRDefault="047C89BE" w14:paraId="28C21B51" w14:textId="636CE0D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7F8F52D" w:rsidP="047C89BE" w:rsidRDefault="07F8F52D" w14:paraId="68C5DCFF" w14:textId="419D196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7F8F52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So,</w:t>
      </w:r>
      <w:bookmarkStart w:name="_Int_MIKaRrbR" w:id="2028648136"/>
      <w:r w:rsidRPr="047C89BE" w:rsidR="05538E6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for</w:t>
      </w:r>
      <w:bookmarkEnd w:id="2028648136"/>
      <w:r w:rsidRPr="047C89BE" w:rsidR="05538E6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 occupier to </w:t>
      </w:r>
      <w:r w:rsidRPr="047C89BE" w:rsidR="4ABC748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be</w:t>
      </w:r>
      <w:r w:rsidRPr="047C89BE" w:rsidR="05538E6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held liabl</w:t>
      </w:r>
      <w:r w:rsidRPr="047C89BE" w:rsidR="71C25CC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e </w:t>
      </w:r>
      <w:r w:rsidRPr="047C89BE" w:rsidR="0C0953C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there would need to be proof of a breach of duty of care.</w:t>
      </w:r>
      <w:r w:rsidRPr="047C89BE" w:rsidR="0C0953C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bookmarkStart w:name="_Int_H5uEr3bB" w:id="156249448"/>
      <w:r w:rsidRPr="047C89BE" w:rsidR="0C0953C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 order to</w:t>
      </w:r>
      <w:bookmarkEnd w:id="156249448"/>
      <w:r w:rsidRPr="047C89BE" w:rsidR="0C0953C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do this, w</w:t>
      </w:r>
      <w:r w:rsidRPr="047C89BE" w:rsidR="71C25CC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e would need to apply the Caparo test set out in the case of Caparo Industries </w:t>
      </w:r>
      <w:r w:rsidRPr="047C89BE" w:rsidR="71C25CC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PLc</w:t>
      </w:r>
      <w:r w:rsidRPr="047C89BE" w:rsidR="71C25CC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v Dickman 1990</w:t>
      </w:r>
      <w:r w:rsidRPr="047C89BE" w:rsidR="5F12CBB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56BFA114" w:rsidP="047C89BE" w:rsidRDefault="56BFA114" w14:paraId="7FA3D845" w14:textId="48D2DFC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6BFA11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w:t>
      </w:r>
      <w:r w:rsidRPr="047C89BE" w:rsidR="64863FB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hen </w:t>
      </w:r>
      <w:r w:rsidRPr="047C89BE" w:rsidR="4A3EB2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begging to </w:t>
      </w:r>
      <w:r w:rsidRPr="047C89BE" w:rsidR="64863FB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de</w:t>
      </w:r>
      <w:r w:rsidRPr="047C89BE" w:rsidR="5D74707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cipher</w:t>
      </w:r>
      <w:r w:rsidRPr="047C89BE" w:rsidR="64863FB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whether a visitor or trespasser can make a lawful claim against the occupier, the court w</w:t>
      </w:r>
      <w:r w:rsidRPr="047C89BE" w:rsidR="251FFFC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ill</w:t>
      </w:r>
      <w:r w:rsidRPr="047C89BE" w:rsidR="64863FB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consider a few steps. </w:t>
      </w:r>
      <w:r w:rsidRPr="047C89BE" w:rsidR="2E08B00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Beginning with, </w:t>
      </w:r>
      <w:r w:rsidRPr="047C89BE" w:rsidR="149F7F8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if a duty of care is applaudable and if so, is there a breach.</w:t>
      </w:r>
    </w:p>
    <w:p w:rsidR="149F7F89" w:rsidP="047C89BE" w:rsidRDefault="149F7F89" w14:paraId="72884E29" w14:textId="0F72379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149F7F8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w:t>
      </w:r>
      <w:r w:rsidRPr="047C89BE" w:rsidR="2E08B00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772EC7F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judge would question whether the injury of the scenario was </w:t>
      </w:r>
      <w:bookmarkStart w:name="_Int_XwKQG9Em" w:id="985346555"/>
      <w:r w:rsidRPr="047C89BE" w:rsidR="1C8F41C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reasonably </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foreseeable</w:t>
      </w:r>
      <w:bookmarkEnd w:id="985346555"/>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014643B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For them to do this, t</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hey</w:t>
      </w:r>
      <w:r w:rsidRPr="047C89BE" w:rsidR="3BE6526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will </w:t>
      </w:r>
      <w:r w:rsidRPr="047C89BE" w:rsidR="60E0B31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onsider the factual and legal events</w:t>
      </w:r>
      <w:r w:rsidRPr="047C89BE" w:rsidR="0F3F28C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which</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139FB57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lead</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the injury. </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More so, a judge would then need to apply the objective test, this being if the average person would have thought the same as </w:t>
      </w:r>
      <w:r w:rsidRPr="047C89BE" w:rsidR="2EE6768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injured</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if </w:t>
      </w:r>
      <w:r w:rsidRPr="047C89BE" w:rsidR="10EF1EC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they were in </w:t>
      </w:r>
      <w:r w:rsidRPr="047C89BE" w:rsidR="60A63B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w:t>
      </w:r>
      <w:r w:rsidRPr="047C89BE" w:rsidR="191D987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claimant's</w:t>
      </w:r>
      <w:r w:rsidRPr="047C89BE" w:rsidR="191D987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5466294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situation</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6D17D0D3" w:rsidP="047C89BE" w:rsidRDefault="6D17D0D3" w14:paraId="7FFD10C9" w14:textId="4AFCA26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Aswell as, the subjective test. If </w:t>
      </w:r>
      <w:r w:rsidRPr="047C89BE" w:rsidR="319CAC2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w:t>
      </w:r>
      <w:r w:rsidRPr="047C89BE" w:rsidR="319CAC2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injured</w:t>
      </w:r>
      <w:r w:rsidRPr="047C89BE" w:rsidR="319CAC2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actions </w:t>
      </w:r>
      <w:r w:rsidRPr="047C89BE" w:rsidR="6D17D0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have fallen below the standard care of a reasonable person would exercise in a similar circumstance.</w:t>
      </w:r>
    </w:p>
    <w:p w:rsidR="772EC7FE" w:rsidP="047C89BE" w:rsidRDefault="772EC7FE" w14:paraId="360E29BD" w14:textId="46151A2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772EC7F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They would further question whether the average being would act in </w:t>
      </w:r>
      <w:r w:rsidRPr="047C89BE" w:rsidR="5937703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an equivalent way</w:t>
      </w:r>
      <w:r w:rsidRPr="047C89BE" w:rsidR="772EC7F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that of the injured in a similar scenario.  </w:t>
      </w:r>
    </w:p>
    <w:p w:rsidR="534B21CC" w:rsidP="047C89BE" w:rsidRDefault="534B21CC" w14:paraId="6861F85D" w14:textId="061E5D2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34B21C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They would apply the ‘but for test</w:t>
      </w:r>
      <w:r w:rsidRPr="047C89BE" w:rsidR="107B93D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534B21C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so but for the </w:t>
      </w:r>
      <w:r w:rsidRPr="047C89BE" w:rsidR="6E42220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defendant's actions would the </w:t>
      </w:r>
      <w:r w:rsidRPr="047C89BE" w:rsidR="0B48C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injury still</w:t>
      </w:r>
      <w:r w:rsidRPr="047C89BE" w:rsidR="6E42220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have occurred. </w:t>
      </w:r>
    </w:p>
    <w:p w:rsidR="002515E3" w:rsidP="047C89BE" w:rsidRDefault="002515E3" w14:paraId="3E7E8F4A" w14:textId="217987C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02515E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To back this up we have the case of Donoghue v Stevenson 1937.</w:t>
      </w:r>
    </w:p>
    <w:p w:rsidR="047C89BE" w:rsidP="047C89BE" w:rsidRDefault="047C89BE" w14:paraId="099DC72A" w14:textId="7CABBC9D">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5A2BD64" w:rsidP="047C89BE" w:rsidRDefault="05A2BD64" w14:paraId="0A522AAD" w14:textId="780B7726">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5A2BD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So, in a summary an occupier </w:t>
      </w:r>
      <w:r w:rsidRPr="047C89BE" w:rsidR="3EDEC28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w:t>
      </w:r>
      <w:r w:rsidRPr="047C89BE" w:rsidR="05A2BD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ould be</w:t>
      </w:r>
      <w:r w:rsidRPr="047C89BE" w:rsidR="43F2E42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held</w:t>
      </w:r>
      <w:r w:rsidRPr="047C89BE" w:rsidR="05A2BD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liable if in breach of their common duty of care. This meaning if they have </w:t>
      </w:r>
      <w:r w:rsidRPr="047C89BE" w:rsidR="35D3AD3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not exercised</w:t>
      </w:r>
      <w:r w:rsidRPr="047C89BE" w:rsidR="05A2BD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all </w:t>
      </w:r>
      <w:bookmarkStart w:name="_Int_P4wQlSG4" w:id="1270092910"/>
      <w:r w:rsidRPr="047C89BE" w:rsidR="05A2BD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possible</w:t>
      </w:r>
      <w:r w:rsidRPr="047C89BE" w:rsidR="1A99BB6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steps</w:t>
      </w:r>
      <w:bookmarkEnd w:id="1270092910"/>
      <w:r w:rsidRPr="047C89BE" w:rsidR="05A2BD6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406B3AD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 preventing the potential</w:t>
      </w:r>
      <w:r w:rsidRPr="047C89BE" w:rsidR="1384860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risk of injury</w:t>
      </w:r>
      <w:r w:rsidRPr="047C89BE" w:rsidR="1AD3C4B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then they would be held liable</w:t>
      </w:r>
      <w:r w:rsidRPr="047C89BE" w:rsidR="1A0BEAC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47C89BE" w:rsidP="047C89BE" w:rsidRDefault="047C89BE" w14:paraId="0499B37A" w14:textId="3A2BC971">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460B8472" w14:textId="338F0BC7">
      <w:pPr>
        <w:pStyle w:val="Normal"/>
        <w:spacing w:after="0" w:afterAutospacing="off"/>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w:rsidR="047C89BE" w:rsidP="047C89BE" w:rsidRDefault="047C89BE" w14:paraId="3528D906" w14:textId="6873C20D">
      <w:pPr>
        <w:pStyle w:val="Normal"/>
        <w:spacing w:after="0" w:afterAutospacing="off"/>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w:rsidR="54987324" w:rsidP="047C89BE" w:rsidRDefault="54987324" w14:paraId="0DFA155D" w14:textId="3DE9E2F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5498732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So, one naturally with the gathered information so far may assume that an occupier would be liable at first instance. </w:t>
      </w:r>
    </w:p>
    <w:p w:rsidR="4A5DB81A" w:rsidP="047C89BE" w:rsidRDefault="4A5DB81A" w14:paraId="32389146" w14:textId="2FE05BA1">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A5DB81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Although there is two pieces of legislation </w:t>
      </w:r>
      <w:r w:rsidRPr="047C89BE" w:rsidR="00710C2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being the Occupiers Liability Act 1957 and 1984 </w:t>
      </w:r>
      <w:r w:rsidRPr="047C89BE" w:rsidR="4A5DB81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when it comes to occupiers </w:t>
      </w:r>
      <w:r w:rsidRPr="047C89BE" w:rsidR="3AE88EC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possessing</w:t>
      </w:r>
      <w:r w:rsidRPr="047C89BE" w:rsidR="3AE88EC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 common duty of care to visitors and trespassers</w:t>
      </w:r>
      <w:r w:rsidRPr="047C89BE" w:rsidR="6279B45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if the statement </w:t>
      </w:r>
      <w:r w:rsidRPr="047C89BE" w:rsidR="70306C6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were</w:t>
      </w:r>
      <w:r w:rsidRPr="047C89BE" w:rsidR="6279B45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indeed all</w:t>
      </w:r>
      <w:r w:rsidRPr="047C89BE" w:rsidR="55AC879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factual there would be no need for defences</w:t>
      </w:r>
      <w:r w:rsidRPr="047C89BE" w:rsidR="768F717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as to why an occupier may not be held liable. F</w:t>
      </w:r>
      <w:r w:rsidRPr="047C89BE" w:rsidR="7974118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urther</w:t>
      </w:r>
      <w:r w:rsidRPr="047C89BE" w:rsidR="1707A26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there would be </w:t>
      </w:r>
      <w:r w:rsidRPr="047C89BE" w:rsidR="7974118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no</w:t>
      </w:r>
      <w:r w:rsidRPr="047C89BE" w:rsidR="5EC9539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existing</w:t>
      </w:r>
      <w:r w:rsidRPr="047C89BE" w:rsidR="7974118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7974118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intelling</w:t>
      </w:r>
      <w:r w:rsidRPr="047C89BE" w:rsidR="7974118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cases supp</w:t>
      </w:r>
      <w:r w:rsidRPr="047C89BE" w:rsidR="0E6726B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orting that occupiers are not always liable.</w:t>
      </w:r>
    </w:p>
    <w:p w:rsidR="047C89BE" w:rsidP="047C89BE" w:rsidRDefault="047C89BE" w14:paraId="7C092D31" w14:textId="1DDAE013">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2B6E5AD3" w:rsidP="047C89BE" w:rsidRDefault="2B6E5AD3" w14:paraId="5C67AC33" w14:textId="3F05449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2B6E5AD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An occupier can be held liable if not all standards of care are met</w:t>
      </w:r>
      <w:r w:rsidRPr="047C89BE" w:rsidR="6CC975A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6CC975A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6CC975A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under the Caparo test</w:t>
      </w:r>
      <w:r w:rsidRPr="047C89BE" w:rsidR="444C5E0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set out in the case of </w:t>
      </w:r>
      <w:r w:rsidRPr="047C89BE" w:rsidR="735AD1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Caparo Industries </w:t>
      </w:r>
      <w:r w:rsidRPr="047C89BE" w:rsidR="735AD1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PLc</w:t>
      </w:r>
      <w:r w:rsidRPr="047C89BE" w:rsidR="735AD1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v Dickman 1990</w:t>
      </w:r>
      <w:r w:rsidRPr="047C89BE" w:rsidR="5681BF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as previously mentioned</w:t>
      </w:r>
      <w:r w:rsidRPr="047C89BE" w:rsidR="735AD1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6CC975A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1E65F58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Further, t</w:t>
      </w:r>
      <w:r w:rsidRPr="047C89BE" w:rsidR="5F19277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 back this up we</w:t>
      </w:r>
      <w:r w:rsidRPr="047C89BE" w:rsidR="001DF2F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again</w:t>
      </w:r>
      <w:r w:rsidRPr="047C89BE" w:rsidR="5F19277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have t</w:t>
      </w:r>
      <w:r w:rsidRPr="047C89BE" w:rsidR="6C2E377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he case of Donoghue v Stevenson 1937</w:t>
      </w:r>
      <w:r w:rsidRPr="047C89BE" w:rsidR="2491CB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6539408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providing some comfort that the statement </w:t>
      </w:r>
      <w:r w:rsidRPr="047C89BE" w:rsidR="6539408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provides</w:t>
      </w:r>
      <w:r w:rsidRPr="047C89BE" w:rsidR="05E6CDE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some fact.</w:t>
      </w:r>
    </w:p>
    <w:p w:rsidR="047C89BE" w:rsidP="047C89BE" w:rsidRDefault="047C89BE" w14:paraId="53AD443C" w14:textId="5A20738D">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27B295D" w:rsidP="047C89BE" w:rsidRDefault="027B295D" w14:paraId="02EDC6F2" w14:textId="726F7B0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027B29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In addition to this, the defence of consent </w:t>
      </w:r>
      <w:r w:rsidRPr="047C89BE" w:rsidR="49B8A86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proves</w:t>
      </w:r>
      <w:r w:rsidRPr="047C89BE" w:rsidR="027B29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that an occupier is not always liable</w:t>
      </w:r>
      <w:r w:rsidRPr="047C89BE" w:rsidR="5E1D3B2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This defence would negate all liability</w:t>
      </w:r>
      <w:r w:rsidRPr="047C89BE" w:rsidR="7ECAC89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027B29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2AFCABC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but f</w:t>
      </w:r>
      <w:r w:rsidRPr="047C89BE" w:rsidR="75ADFC9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or this defence to be used it must be proven that the individual </w:t>
      </w:r>
      <w:r w:rsidRPr="047C89BE" w:rsidR="4315247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acknowledged</w:t>
      </w:r>
      <w:r w:rsidRPr="047C89BE" w:rsidR="75ADFC9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potential risk yet</w:t>
      </w:r>
      <w:r w:rsidRPr="047C89BE" w:rsidR="027B29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willingly </w:t>
      </w:r>
      <w:r w:rsidRPr="047C89BE" w:rsidR="23DE25B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proceeded</w:t>
      </w:r>
      <w:r w:rsidRPr="047C89BE" w:rsidR="23DE25B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w:t>
      </w:r>
      <w:r w:rsidRPr="047C89BE" w:rsidR="027B29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accept</w:t>
      </w:r>
      <w:r w:rsidRPr="047C89BE" w:rsidR="0FC5D09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that</w:t>
      </w:r>
      <w:r w:rsidRPr="047C89BE" w:rsidR="027B295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risk</w:t>
      </w:r>
      <w:r w:rsidRPr="047C89BE" w:rsidR="5336427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6879CA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shown in section 2 subsection 5 of Occupiers Liability Act 1957 where it exclaims that ‘the common duty of care does not impose on an occupier any obligation to a visitor in respect of risks willingly accepted as his by the visitor.’</w:t>
      </w:r>
      <w:r w:rsidRPr="047C89BE" w:rsidR="13172DA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13172DAA" w:rsidP="047C89BE" w:rsidRDefault="13172DAA" w14:paraId="16D57C5D" w14:textId="3F4391A8">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13172DA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If the injured only acknowledged the risk but did not accept it, then this defence would be </w:t>
      </w:r>
      <w:r w:rsidRPr="047C89BE" w:rsidR="13172DA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useless</w:t>
      </w:r>
      <w:r w:rsidRPr="047C89BE" w:rsidR="13172DA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47C89BE" w:rsidP="047C89BE" w:rsidRDefault="047C89BE" w14:paraId="75029A68" w14:textId="0C99BAF6">
      <w:pPr>
        <w:pStyle w:val="Normal"/>
        <w:spacing w:after="0" w:afterAutospacing="off"/>
        <w:ind w:left="0" w:firstLine="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6879CAD7" w:rsidP="047C89BE" w:rsidRDefault="6879CAD7" w14:paraId="59A17DAD" w14:textId="547AEE5C">
      <w:pPr>
        <w:pStyle w:val="Normal"/>
        <w:spacing w:after="0" w:afterAutospacing="off"/>
        <w:ind w:left="0" w:firstLine="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879CA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Following the </w:t>
      </w:r>
      <w:r w:rsidRPr="047C89BE" w:rsidR="6879CA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previous</w:t>
      </w:r>
      <w:r w:rsidRPr="047C89BE" w:rsidR="6879CA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statement there are some concerns as to when and how the defence of consent should be allowed. This as shown in ICL v Shatwell</w:t>
      </w:r>
      <w:r w:rsidRPr="047C89BE" w:rsidR="77F384E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1965.</w:t>
      </w:r>
      <w:r w:rsidRPr="047C89BE" w:rsidR="6879CAD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047C89BE" w:rsidP="047C89BE" w:rsidRDefault="047C89BE" w14:paraId="74FA135B" w14:textId="1E993E70">
      <w:pPr>
        <w:pStyle w:val="Normal"/>
        <w:spacing w:after="0" w:afterAutospacing="off"/>
        <w:ind w:left="0" w:firstLine="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7DC20B7C" w14:textId="772718A8">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13A5545F" w:rsidP="047C89BE" w:rsidRDefault="13A5545F" w14:paraId="35DC7A70" w14:textId="635921D4">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13A554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Likewise, if an occupier were to fully be liable in all accidents there would be no need for</w:t>
      </w:r>
      <w:r w:rsidRPr="047C89BE" w:rsidR="61A1712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partial defence of</w:t>
      </w:r>
      <w:r w:rsidRPr="047C89BE" w:rsidR="13A554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contributory negligence under the Law Reform (Contributory </w:t>
      </w:r>
      <w:r w:rsidRPr="047C89BE" w:rsidR="13A554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Negligence) Act 1945. This is the </w:t>
      </w:r>
      <w:r w:rsidRPr="047C89BE" w:rsidR="3AF8EE1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argument </w:t>
      </w:r>
      <w:r w:rsidRPr="047C89BE" w:rsidR="13A554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that the visitor or trespasser has contributing factors as to their injury, therefore meaning an occupier cannot be fully liable.</w:t>
      </w:r>
      <w:r w:rsidRPr="047C89BE" w:rsidR="139326D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is shown in the case of Revill v Newbury </w:t>
      </w:r>
      <w:r w:rsidRPr="047C89BE" w:rsidR="4A5C678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1996. There will be different warning requirements than to visitors.</w:t>
      </w:r>
    </w:p>
    <w:p w:rsidR="3F14A0CD" w:rsidP="047C89BE" w:rsidRDefault="3F14A0CD" w14:paraId="07A54233" w14:textId="58B43DEC">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3F14A0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It must be proven that there was warning of </w:t>
      </w:r>
      <w:bookmarkStart w:name="_Int_SPcqmT0x" w:id="1694564863"/>
      <w:r w:rsidRPr="047C89BE" w:rsidR="3F14A0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possible danger</w:t>
      </w:r>
      <w:bookmarkEnd w:id="1694564863"/>
      <w:r w:rsidRPr="047C89BE" w:rsidR="3F14A0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the non-visitor and that all steps were taken in discouraging the </w:t>
      </w:r>
      <w:r w:rsidRPr="047C89BE" w:rsidR="595B97D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individual</w:t>
      </w:r>
      <w:r w:rsidRPr="047C89BE" w:rsidR="3F14A0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 tak</w:t>
      </w:r>
      <w:r w:rsidRPr="047C89BE" w:rsidR="515182C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ing the danger </w:t>
      </w:r>
      <w:r w:rsidRPr="047C89BE" w:rsidR="48F44EC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and informing of its </w:t>
      </w:r>
      <w:r w:rsidRPr="047C89BE" w:rsidR="48F44EC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existence.</w:t>
      </w:r>
    </w:p>
    <w:p w:rsidR="047C89BE" w:rsidP="047C89BE" w:rsidRDefault="047C89BE" w14:paraId="43FB7082" w14:textId="1BFDD372">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689DAD40" w14:textId="4438EF23">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33F08E58" w:rsidP="047C89BE" w:rsidRDefault="33F08E58" w14:paraId="6674CC57" w14:textId="1CE51A31">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33F08E5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statement in question can be viewed as partially factual because occupiers do not need to physically be on the premise to be in control or held liable. Control is solemnly based i</w:t>
      </w:r>
      <w:r w:rsidRPr="047C89BE" w:rsidR="3F89839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n</w:t>
      </w:r>
      <w:r w:rsidRPr="047C89BE" w:rsidR="33F08E5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facts. this is as shown in the case of Harris v Birkenhead 1975.</w:t>
      </w:r>
    </w:p>
    <w:p w:rsidR="047C89BE" w:rsidP="047C89BE" w:rsidRDefault="047C89BE" w14:paraId="14FFB6C5" w14:textId="67DDA455">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747916ED" w:rsidP="047C89BE" w:rsidRDefault="747916ED" w14:paraId="77C9EA83" w14:textId="564FCEDE">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747916E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Too boot, an occupier would not be held liable </w:t>
      </w:r>
      <w:r w:rsidRPr="047C89BE" w:rsidR="2A8C6AF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if the ‘but for test’ was</w:t>
      </w:r>
      <w:r w:rsidRPr="047C89BE" w:rsidR="69908CD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successful. This meaning if it </w:t>
      </w:r>
      <w:r w:rsidRPr="047C89BE" w:rsidR="3919E06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were</w:t>
      </w:r>
      <w:r w:rsidRPr="047C89BE" w:rsidR="69908CD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not for the own actions of the claimant, the outcome would not have </w:t>
      </w:r>
      <w:r w:rsidRPr="047C89BE" w:rsidR="408AB77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happened.</w:t>
      </w:r>
      <w:r w:rsidRPr="047C89BE" w:rsidR="0B7AAF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047C89BE" w:rsidP="047C89BE" w:rsidRDefault="047C89BE" w14:paraId="5537A480" w14:textId="49BE373F">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6D174574" w:rsidP="047C89BE" w:rsidRDefault="6D174574" w14:paraId="4E4681FF" w14:textId="73F2DDBA">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D17457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Another point as to why the statement is partially incorrect is that of </w:t>
      </w:r>
      <w:r w:rsidRPr="047C89BE" w:rsidR="40DB525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defence of </w:t>
      </w:r>
      <w:r w:rsidRPr="047C89BE" w:rsidR="6D17457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illegality.</w:t>
      </w:r>
      <w:r w:rsidRPr="047C89BE" w:rsidR="365D28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defence excavates </w:t>
      </w:r>
      <w:r w:rsidRPr="047C89BE" w:rsidR="35938B9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that </w:t>
      </w:r>
      <w:r w:rsidRPr="047C89BE" w:rsidR="365D285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y</w:t>
      </w:r>
      <w:r w:rsidRPr="047C89BE" w:rsidR="2229659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ou cannot make a claim if you are injured whilst breaking the law. It would negate any liability. </w:t>
      </w:r>
    </w:p>
    <w:p w:rsidR="2A0FC622" w:rsidP="047C89BE" w:rsidRDefault="2A0FC622" w14:paraId="22C52B03" w14:textId="05723379">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2A0FC62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To</w:t>
      </w:r>
      <w:r w:rsidRPr="047C89BE" w:rsidR="6F65FA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test this defence, it </w:t>
      </w:r>
      <w:bookmarkStart w:name="_Int_OuGxK2rj" w:id="1552430492"/>
      <w:r w:rsidRPr="047C89BE" w:rsidR="6F65FA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has to</w:t>
      </w:r>
      <w:bookmarkEnd w:id="1552430492"/>
      <w:r w:rsidRPr="047C89BE" w:rsidR="6F65FA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be proven that there was a close connection between the injured and their criminal activity </w:t>
      </w:r>
      <w:r w:rsidRPr="047C89BE" w:rsidR="2A2A5AB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w:t>
      </w:r>
      <w:r w:rsidRPr="047C89BE" w:rsidR="7088100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swell</w:t>
      </w:r>
      <w:r w:rsidRPr="047C89BE" w:rsidR="6F65FA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as the inj</w:t>
      </w:r>
      <w:r w:rsidRPr="047C89BE" w:rsidR="7D30902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ur</w:t>
      </w:r>
      <w:r w:rsidRPr="047C89BE" w:rsidR="6F65FA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y</w:t>
      </w:r>
      <w:r w:rsidRPr="047C89BE" w:rsidR="6F65FA2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they suffered</w:t>
      </w:r>
      <w:r w:rsidRPr="047C89BE" w:rsidR="439187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It</w:t>
      </w:r>
      <w:r w:rsidRPr="047C89BE" w:rsidR="635685B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bookmarkStart w:name="_Int_8NLsp8ml" w:id="855024994"/>
      <w:r w:rsidRPr="047C89BE" w:rsidR="439187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has to</w:t>
      </w:r>
      <w:bookmarkEnd w:id="855024994"/>
      <w:r w:rsidRPr="047C89BE" w:rsidR="439187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be shown that the </w:t>
      </w:r>
      <w:r w:rsidRPr="047C89BE" w:rsidR="4ABD538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illegal</w:t>
      </w:r>
      <w:r w:rsidRPr="047C89BE" w:rsidR="439187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activity is what caused the injury and not the </w:t>
      </w:r>
      <w:r w:rsidRPr="047C89BE" w:rsidR="43580E8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occupier's</w:t>
      </w:r>
      <w:r w:rsidRPr="047C89BE" w:rsidR="439187F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actions</w:t>
      </w:r>
      <w:r w:rsidRPr="047C89BE" w:rsidR="0E4CC69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67A779B8" w:rsidP="047C89BE" w:rsidRDefault="67A779B8" w14:paraId="3B1373C4" w14:textId="4C5B3B16">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7A779B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This defence can be </w:t>
      </w:r>
      <w:r w:rsidRPr="047C89BE" w:rsidR="07C12DD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too be </w:t>
      </w:r>
      <w:r w:rsidRPr="047C89BE" w:rsidR="67A779B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used where an offence has been committed because of the other </w:t>
      </w:r>
      <w:bookmarkStart w:name="_Int_Oa7vmReP" w:id="1471987090"/>
      <w:r w:rsidRPr="047C89BE" w:rsidR="67A779B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parties</w:t>
      </w:r>
      <w:bookmarkEnd w:id="1471987090"/>
      <w:r w:rsidRPr="047C89BE" w:rsidR="67A779B8">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negligence.</w:t>
      </w:r>
      <w:r w:rsidRPr="047C89BE" w:rsidR="6D7A36C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This as shown in the case of Clunis v Camden and Islington Health Authority</w:t>
      </w:r>
      <w:r w:rsidRPr="047C89BE" w:rsidR="4E376A4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1997.</w:t>
      </w:r>
    </w:p>
    <w:p w:rsidR="4E376A4F" w:rsidP="047C89BE" w:rsidRDefault="4E376A4F" w14:paraId="6A8DD601" w14:textId="6D81736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4E376A4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There </w:t>
      </w:r>
      <w:bookmarkStart w:name="_Int_rpRqPPlu" w:id="1160721004"/>
      <w:r w:rsidRPr="047C89BE" w:rsidR="4E376A4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has to</w:t>
      </w:r>
      <w:bookmarkEnd w:id="1160721004"/>
      <w:r w:rsidRPr="047C89BE" w:rsidR="4E376A4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be an </w:t>
      </w:r>
      <w:r w:rsidRPr="047C89BE" w:rsidR="4E376A4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inextractible</w:t>
      </w:r>
      <w:r w:rsidRPr="047C89BE" w:rsidR="4E376A4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link between criminal acts and losses. Minor criminal offences may not be sufficient enough to use this defence.</w:t>
      </w:r>
    </w:p>
    <w:p w:rsidR="047C89BE" w:rsidP="047C89BE" w:rsidRDefault="047C89BE" w14:paraId="1A81467B" w14:textId="145A0885">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29279162" w14:textId="7B894282">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5283B718" w14:textId="745F72DB">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5C14DE01" w14:textId="4F0C0C94">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47C89BE" w:rsidP="047C89BE" w:rsidRDefault="047C89BE" w14:paraId="6B87815D" w14:textId="2E42E7EA">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68432BAC" w:rsidP="047C89BE" w:rsidRDefault="68432BAC" w14:paraId="4F2086D3" w14:textId="7AB4104C">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8432BA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In conclusion, the statement </w:t>
      </w:r>
      <w:r w:rsidRPr="047C89BE" w:rsidR="1988D53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made is </w:t>
      </w:r>
      <w:r w:rsidRPr="047C89BE" w:rsidR="10C4124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bold. There</w:t>
      </w:r>
      <w:r w:rsidRPr="047C89BE" w:rsidR="1988D53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is </w:t>
      </w:r>
      <w:r w:rsidRPr="047C89BE" w:rsidR="41CC26F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however some </w:t>
      </w:r>
      <w:r w:rsidRPr="047C89BE" w:rsidR="1988D53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partial </w:t>
      </w:r>
      <w:r w:rsidRPr="047C89BE" w:rsidR="1988D53E">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truth</w:t>
      </w:r>
      <w:r w:rsidRPr="047C89BE" w:rsidR="009AF55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the statement </w:t>
      </w:r>
      <w:r w:rsidRPr="047C89BE" w:rsidR="266A4F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as well</w:t>
      </w:r>
      <w:r w:rsidRPr="047C89BE" w:rsidR="009AF55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as</w:t>
      </w:r>
      <w:r w:rsidRPr="047C89BE" w:rsidR="68205A6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w:t>
      </w:r>
      <w:r w:rsidRPr="047C89BE" w:rsidR="009AF55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fals</w:t>
      </w:r>
      <w:r w:rsidRPr="047C89BE" w:rsidR="131C375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w:t>
      </w:r>
      <w:r w:rsidRPr="047C89BE" w:rsidR="28A588E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01F9200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proclaim</w:t>
      </w:r>
      <w:r w:rsidRPr="047C89BE" w:rsidR="68432BA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47C89BE" w:rsidR="68432BA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047C89BE" w:rsidP="047C89BE" w:rsidRDefault="047C89BE" w14:paraId="31DDEA18" w14:textId="1919644A">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6F8ECCA1" w:rsidP="047C89BE" w:rsidRDefault="6F8ECCA1" w14:paraId="6F8755A9" w14:textId="2987F5A7">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6F8ECCA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To summarise, Persey </w:t>
      </w:r>
      <w:r w:rsidRPr="047C89BE" w:rsidR="68432BA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occupier has not taken all the reasonable precautions in preventing </w:t>
      </w:r>
      <w:r w:rsidRPr="047C89BE" w:rsidR="7CDA6DE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 </w:t>
      </w:r>
      <w:r w:rsidRPr="047C89BE" w:rsidR="0B646474">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foreseeable</w:t>
      </w:r>
      <w:r w:rsidRPr="047C89BE" w:rsidR="7CDA6DE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dangerous </w:t>
      </w:r>
      <w:r w:rsidRPr="047C89BE" w:rsidR="4FB94FE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outcome. Then</w:t>
      </w:r>
      <w:r w:rsidRPr="047C89BE" w:rsidR="7CDA6DE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yes, they will be liable</w:t>
      </w:r>
      <w:r w:rsidRPr="047C89BE" w:rsidR="0507701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as they are in </w:t>
      </w:r>
      <w:r w:rsidRPr="047C89BE" w:rsidR="0507701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breach</w:t>
      </w:r>
      <w:r w:rsidRPr="047C89BE" w:rsidR="0507701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of their duty of care.</w:t>
      </w:r>
    </w:p>
    <w:p w:rsidR="1D87FB51" w:rsidP="047C89BE" w:rsidRDefault="1D87FB51" w14:paraId="794CE5A7" w14:textId="24EA5AF0">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Alternatively, if the occupier has taken all precautions possible</w:t>
      </w:r>
      <w:r w:rsidRPr="047C89BE" w:rsidR="18E5AF2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warn against and inform of the danger</w:t>
      </w:r>
      <w:r w:rsidRPr="047C89BE" w:rsidR="35F07A6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yet a </w:t>
      </w:r>
      <w:r w:rsidRPr="047C89BE" w:rsidR="0AE93AA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visitor/</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trespasser </w:t>
      </w:r>
      <w:r w:rsidRPr="047C89BE" w:rsidR="26A4C75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sti</w:t>
      </w:r>
      <w:r w:rsidRPr="047C89BE" w:rsidR="26A4C75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ll</w:t>
      </w:r>
      <w:r w:rsidRPr="047C89BE" w:rsidR="26A4C75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proce</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ed</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and hurts oneself</w:t>
      </w:r>
      <w:r w:rsidRPr="047C89BE" w:rsidR="2E89839A">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then that could be argued</w:t>
      </w:r>
      <w:r w:rsidRPr="047C89BE" w:rsidR="1C8554A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down</w:t>
      </w:r>
      <w:r w:rsidRPr="047C89BE" w:rsidR="1D87FB5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one's own stupidity</w:t>
      </w:r>
      <w:r w:rsidRPr="047C89BE" w:rsidR="181A26D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p>
    <w:p w:rsidR="181A26D2" w:rsidP="047C89BE" w:rsidRDefault="181A26D2" w14:paraId="5DB18D29" w14:textId="7CD426C6">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r w:rsidRPr="047C89BE" w:rsidR="181A26D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This would then m</w:t>
      </w:r>
      <w:r w:rsidRPr="047C89BE" w:rsidR="2C4CB3A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ake</w:t>
      </w:r>
      <w:r w:rsidRPr="047C89BE" w:rsidR="181A26D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occupier non-liable as </w:t>
      </w:r>
      <w:r w:rsidRPr="047C89BE" w:rsidR="181A26D2">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they have taken all reasonable steps</w:t>
      </w:r>
      <w:r w:rsidRPr="047C89BE" w:rsidR="3582F56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47C89BE" w:rsidP="047C89BE" w:rsidRDefault="047C89BE" w14:paraId="3E2D7110" w14:textId="491F1476">
      <w:pPr>
        <w:pStyle w:val="Normal"/>
        <w:spacing w:after="0" w:afterAutospacing="of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0CFFB2A1" w:rsidP="047C89BE" w:rsidRDefault="0CFFB2A1" w14:paraId="0D4F4E21" w14:textId="49EA576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r w:rsidRPr="047C89BE" w:rsidR="0CFFB2A1">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References</w:t>
      </w:r>
    </w:p>
    <w:p w:rsidR="047C89BE" w:rsidP="047C89BE" w:rsidRDefault="047C89BE" w14:paraId="7E55CCCA" w14:textId="6799169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w:rsidR="0CFFB2A1" w:rsidP="047C89BE" w:rsidRDefault="0CFFB2A1" w14:paraId="71F5C01C" w14:textId="3F072990">
      <w:pPr>
        <w:pStyle w:val="ListParagraph"/>
        <w:numPr>
          <w:ilvl w:val="0"/>
          <w:numId w:val="1"/>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Travis Dixon (2019) </w:t>
      </w:r>
      <w:r w:rsidRPr="047C89BE" w:rsidR="0CFFB2A1">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Bandura’s BoBo Doll (1963)</w:t>
      </w:r>
    </w:p>
    <w:p w:rsidR="0CFFB2A1" w:rsidP="047C89BE" w:rsidRDefault="0CFFB2A1" w14:paraId="05743773" w14:textId="66F1051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Available at:</w:t>
      </w:r>
      <w:hyperlink r:id="R1f92a1d5dbca4a08">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https://www.themantic-education.com/ibpsych/2019/01/15/key-study-banduras-bobo-doll-1963/</w:t>
        </w:r>
      </w:hyperlink>
    </w:p>
    <w:p w:rsidR="047C89BE" w:rsidP="047C89BE" w:rsidRDefault="047C89BE" w14:paraId="43B6FBD8" w14:textId="56918FA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w:rsidR="047C89BE" w:rsidP="047C89BE" w:rsidRDefault="047C89BE" w14:paraId="58EDFF08" w14:textId="65CB0EB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w:rsidR="0CFFB2A1" w:rsidP="047C89BE" w:rsidRDefault="0CFFB2A1" w14:paraId="60156299" w14:textId="2004CA7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r w:rsidRPr="047C89BE" w:rsidR="0CFFB2A1">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Case Law</w:t>
      </w:r>
    </w:p>
    <w:p w:rsidR="047C89BE" w:rsidP="047C89BE" w:rsidRDefault="047C89BE" w14:paraId="02E3AF97" w14:textId="12061B33">
      <w:pPr>
        <w:spacing w:before="0" w:beforeAutospacing="off" w:after="150" w:afterAutospacing="off" w:line="259" w:lineRule="auto"/>
        <w:ind w:left="0"/>
        <w:jc w:val="center"/>
        <w:rPr>
          <w:rFonts w:ascii="system-ui" w:hAnsi="system-ui" w:eastAsia="system-ui" w:cs="system-ui"/>
          <w:b w:val="0"/>
          <w:bCs w:val="0"/>
          <w:i w:val="0"/>
          <w:iCs w:val="0"/>
          <w:caps w:val="0"/>
          <w:smallCaps w:val="0"/>
          <w:noProof w:val="0"/>
          <w:color w:val="333333"/>
          <w:sz w:val="21"/>
          <w:szCs w:val="21"/>
          <w:lang w:val="en-GB"/>
        </w:rPr>
      </w:pPr>
    </w:p>
    <w:p w:rsidR="0CFFB2A1" w:rsidP="047C89BE" w:rsidRDefault="0CFFB2A1" w14:paraId="0DBBE580" w14:textId="704AD218">
      <w:pPr>
        <w:pStyle w:val="ListParagraph"/>
        <w:numPr>
          <w:ilvl w:val="0"/>
          <w:numId w:val="2"/>
        </w:numPr>
        <w:spacing w:after="160" w:line="259" w:lineRule="auto"/>
        <w:jc w:val="left"/>
        <w:rPr>
          <w:rFonts w:ascii="Open Sans" w:hAnsi="Open Sans" w:eastAsia="Open Sans" w:cs="Open Sans"/>
          <w:b w:val="0"/>
          <w:bCs w:val="0"/>
          <w:i w:val="0"/>
          <w:iCs w:val="0"/>
          <w:caps w:val="0"/>
          <w:smallCaps w:val="0"/>
          <w:noProof w:val="0"/>
          <w:color w:val="222222"/>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Addie (Robert) and Sons (Collieries) Ltd v Dumbreck: HL 25 Feb 1929</w:t>
      </w:r>
    </w:p>
    <w:p w:rsidR="0CFFB2A1" w:rsidP="047C89BE" w:rsidRDefault="0CFFB2A1" w14:paraId="50140777" w14:textId="5E2684A3">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034a56bfa6d34900">
        <w:r w:rsidRPr="047C89BE" w:rsidR="0CFFB2A1">
          <w:rPr>
            <w:rStyle w:val="Hyperlink"/>
            <w:rFonts w:ascii="Calibri" w:hAnsi="Calibri" w:eastAsia="Calibri" w:cs="Calibri"/>
            <w:b w:val="0"/>
            <w:bCs w:val="0"/>
            <w:i w:val="0"/>
            <w:iCs w:val="0"/>
            <w:caps w:val="0"/>
            <w:smallCaps w:val="0"/>
            <w:strike w:val="0"/>
            <w:dstrike w:val="0"/>
            <w:noProof w:val="0"/>
            <w:sz w:val="22"/>
            <w:szCs w:val="22"/>
            <w:lang w:val="en-GB"/>
          </w:rPr>
          <w:t>https://swarb.co.uk/addie-robert-and-sons-collieries-ltd-v-dumbreck-hl-25-feb-1929/</w:t>
        </w:r>
      </w:hyperlink>
    </w:p>
    <w:p w:rsidR="047C89BE" w:rsidP="047C89BE" w:rsidRDefault="047C89BE" w14:paraId="456F2135" w14:textId="3665768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FFB2A1" w:rsidP="047C89BE" w:rsidRDefault="0CFFB2A1" w14:paraId="7C76A90F" w14:textId="59FBE8C5">
      <w:pPr>
        <w:pStyle w:val="ListParagraph"/>
        <w:numPr>
          <w:ilvl w:val="0"/>
          <w:numId w:val="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2"/>
          <w:szCs w:val="22"/>
          <w:lang w:val="en-GB"/>
        </w:rPr>
        <w:t>Caparo Industries PLc v Dickman (1990) UKHL 2</w:t>
      </w:r>
    </w:p>
    <w:p w:rsidR="0CFFB2A1" w:rsidP="047C89BE" w:rsidRDefault="0CFFB2A1" w14:paraId="603C44DC" w14:textId="7F2B5F1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hyperlink r:id="Rd1c211c7ad79497c">
        <w:r w:rsidRPr="047C89BE" w:rsidR="0CFFB2A1">
          <w:rPr>
            <w:rStyle w:val="Hyperlink"/>
            <w:rFonts w:ascii="Calibri" w:hAnsi="Calibri" w:eastAsia="Calibri" w:cs="Calibri"/>
            <w:b w:val="0"/>
            <w:bCs w:val="0"/>
            <w:i w:val="0"/>
            <w:iCs w:val="0"/>
            <w:caps w:val="0"/>
            <w:smallCaps w:val="0"/>
            <w:strike w:val="0"/>
            <w:dstrike w:val="0"/>
            <w:noProof w:val="0"/>
            <w:sz w:val="22"/>
            <w:szCs w:val="22"/>
            <w:lang w:val="en-GB"/>
          </w:rPr>
          <w:t>Caparo Industries Plc v Dickman | [1990] UKHL 2 | United Kingdom House of Lords | Judgment | Law | CaseMine</w:t>
        </w:r>
      </w:hyperlink>
    </w:p>
    <w:p w:rsidR="047C89BE" w:rsidP="047C89BE" w:rsidRDefault="047C89BE" w14:paraId="715CE75B" w14:textId="4E6B16B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FFB2A1" w:rsidP="047C89BE" w:rsidRDefault="0CFFB2A1" w14:paraId="383508F1" w14:textId="02FD29BB">
      <w:pPr>
        <w:pStyle w:val="ListParagraph"/>
        <w:numPr>
          <w:ilvl w:val="0"/>
          <w:numId w:val="2"/>
        </w:numPr>
        <w:spacing w:after="160" w:line="259" w:lineRule="auto"/>
        <w:jc w:val="left"/>
        <w:rPr>
          <w:rFonts w:ascii="Open Sans" w:hAnsi="Open Sans" w:eastAsia="Open Sans" w:cs="Open Sans"/>
          <w:b w:val="0"/>
          <w:bCs w:val="0"/>
          <w:i w:val="0"/>
          <w:iCs w:val="0"/>
          <w:caps w:val="0"/>
          <w:smallCaps w:val="0"/>
          <w:noProof w:val="0"/>
          <w:color w:val="222222"/>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Clunis (By his Next Friend Prince) v Camden and Islington Health Authority: CA 5 Dec 1997</w:t>
      </w:r>
    </w:p>
    <w:p w:rsidR="0CFFB2A1" w:rsidP="047C89BE" w:rsidRDefault="0CFFB2A1" w14:paraId="6C08DDF2" w14:textId="138F580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hyperlink r:id="R9909eee8b0014ce3">
        <w:r w:rsidRPr="047C89BE" w:rsidR="0CFFB2A1">
          <w:rPr>
            <w:rStyle w:val="Hyperlink"/>
            <w:rFonts w:ascii="Calibri" w:hAnsi="Calibri" w:eastAsia="Calibri" w:cs="Calibri"/>
            <w:b w:val="0"/>
            <w:bCs w:val="0"/>
            <w:i w:val="0"/>
            <w:iCs w:val="0"/>
            <w:caps w:val="0"/>
            <w:smallCaps w:val="0"/>
            <w:strike w:val="0"/>
            <w:dstrike w:val="0"/>
            <w:noProof w:val="0"/>
            <w:sz w:val="22"/>
            <w:szCs w:val="22"/>
            <w:lang w:val="en-GB"/>
          </w:rPr>
          <w:t>Clunis (By his Next Friend Prince) v Camden and Islington Health Authority: CA 5 Dec 1997 - swarb.co.uk</w:t>
        </w:r>
        <w:r>
          <w:br/>
        </w:r>
      </w:hyperlink>
    </w:p>
    <w:p w:rsidR="047C89BE" w:rsidP="047C89BE" w:rsidRDefault="047C89BE" w14:paraId="0A35E492" w14:textId="48B81A67">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FFB2A1" w:rsidP="047C89BE" w:rsidRDefault="0CFFB2A1" w14:paraId="16BF27B5" w14:textId="3EBFB7A9">
      <w:pPr>
        <w:pStyle w:val="ListParagraph"/>
        <w:numPr>
          <w:ilvl w:val="0"/>
          <w:numId w:val="2"/>
        </w:numPr>
        <w:spacing w:after="160" w:line="259" w:lineRule="auto"/>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47C89BE" w:rsidR="0CFFB2A1">
        <w:rPr>
          <w:rFonts w:ascii="Open Sans" w:hAnsi="Open Sans" w:eastAsia="Open Sans" w:cs="Open Sans"/>
          <w:b w:val="0"/>
          <w:bCs w:val="0"/>
          <w:i w:val="0"/>
          <w:iCs w:val="0"/>
          <w:caps w:val="0"/>
          <w:smallCaps w:val="0"/>
          <w:noProof w:val="0"/>
          <w:color w:val="000000" w:themeColor="text1" w:themeTint="FF" w:themeShade="FF"/>
          <w:sz w:val="20"/>
          <w:szCs w:val="20"/>
          <w:lang w:val="en-GB"/>
        </w:rPr>
        <w:t>Donoghue v Stevenson (1932) AC 562, UKHL 100</w:t>
      </w:r>
    </w:p>
    <w:p w:rsidR="0CFFB2A1" w:rsidP="047C89BE" w:rsidRDefault="0CFFB2A1" w14:paraId="6B28CDBB" w14:textId="50C9395A">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Open Sans" w:hAnsi="Open Sans" w:eastAsia="Open Sans" w:cs="Open Sans"/>
          <w:b w:val="0"/>
          <w:bCs w:val="0"/>
          <w:i w:val="0"/>
          <w:iCs w:val="0"/>
          <w:caps w:val="0"/>
          <w:smallCaps w:val="0"/>
          <w:noProof w:val="0"/>
          <w:color w:val="000000" w:themeColor="text1" w:themeTint="FF" w:themeShade="FF"/>
          <w:sz w:val="20"/>
          <w:szCs w:val="20"/>
          <w:lang w:val="en-GB"/>
        </w:rPr>
        <w:t>Available at:</w:t>
      </w:r>
      <w:hyperlink r:id="R7940b5e4ae744877">
        <w:r w:rsidRPr="047C89BE" w:rsidR="0CFFB2A1">
          <w:rPr>
            <w:rStyle w:val="Hyperlink"/>
            <w:rFonts w:ascii="Open Sans" w:hAnsi="Open Sans" w:eastAsia="Open Sans" w:cs="Open Sans"/>
            <w:b w:val="0"/>
            <w:bCs w:val="0"/>
            <w:i w:val="0"/>
            <w:iCs w:val="0"/>
            <w:caps w:val="0"/>
            <w:smallCaps w:val="0"/>
            <w:strike w:val="0"/>
            <w:dstrike w:val="0"/>
            <w:noProof w:val="0"/>
            <w:sz w:val="20"/>
            <w:szCs w:val="20"/>
            <w:lang w:val="en-GB"/>
          </w:rPr>
          <w:t>Case Summary - Donoghue v Stevenson (thelawtutors.co.uk)</w:t>
        </w:r>
      </w:hyperlink>
    </w:p>
    <w:p w:rsidR="047C89BE" w:rsidP="047C89BE" w:rsidRDefault="047C89BE" w14:paraId="123BD890" w14:textId="4F822D00">
      <w:pPr>
        <w:spacing w:after="160" w:line="259" w:lineRule="auto"/>
        <w:ind w:left="0"/>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0CFFB2A1" w:rsidP="047C89BE" w:rsidRDefault="0CFFB2A1" w14:paraId="5250A579" w14:textId="1BD74C25">
      <w:pPr>
        <w:pStyle w:val="ListParagraph"/>
        <w:numPr>
          <w:ilvl w:val="0"/>
          <w:numId w:val="2"/>
        </w:numPr>
        <w:spacing w:after="0" w:afterAutospacing="off" w:line="259" w:lineRule="auto"/>
        <w:jc w:val="left"/>
        <w:rPr>
          <w:rFonts w:ascii="Open Sans" w:hAnsi="Open Sans" w:eastAsia="Open Sans" w:cs="Open Sans"/>
          <w:b w:val="0"/>
          <w:bCs w:val="0"/>
          <w:i w:val="0"/>
          <w:iCs w:val="0"/>
          <w:caps w:val="0"/>
          <w:smallCaps w:val="0"/>
          <w:noProof w:val="0"/>
          <w:color w:val="222222"/>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Harris v Birkenhead Corporation: CA 12 Nov 1975</w:t>
      </w:r>
    </w:p>
    <w:p w:rsidR="0CFFB2A1" w:rsidP="047C89BE" w:rsidRDefault="0CFFB2A1" w14:paraId="334E0F3D" w14:textId="28B8A55D">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 xml:space="preserve">Available at: </w:t>
      </w:r>
      <w:hyperlink r:id="R00bd32cf64204877">
        <w:r w:rsidRPr="047C89BE" w:rsidR="0CFFB2A1">
          <w:rPr>
            <w:rStyle w:val="Hyperlink"/>
            <w:rFonts w:ascii="Open Sans" w:hAnsi="Open Sans" w:eastAsia="Open Sans" w:cs="Open Sans"/>
            <w:b w:val="0"/>
            <w:bCs w:val="0"/>
            <w:i w:val="0"/>
            <w:iCs w:val="0"/>
            <w:caps w:val="0"/>
            <w:smallCaps w:val="0"/>
            <w:strike w:val="0"/>
            <w:dstrike w:val="0"/>
            <w:noProof w:val="0"/>
            <w:sz w:val="20"/>
            <w:szCs w:val="20"/>
            <w:lang w:val="en-GB"/>
          </w:rPr>
          <w:t>https://swarb.co.uk/harris-v-birkenhead-corporation-ca-12-nov-1975/</w:t>
        </w:r>
      </w:hyperlink>
    </w:p>
    <w:p w:rsidR="047C89BE" w:rsidP="047C89BE" w:rsidRDefault="047C89BE" w14:paraId="26B24CAC" w14:textId="483E8E8F">
      <w:pPr>
        <w:spacing w:after="0" w:afterAutospacing="off" w:line="259" w:lineRule="auto"/>
        <w:ind w:left="0"/>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047C89BE" w:rsidP="047C89BE" w:rsidRDefault="047C89BE" w14:paraId="33F11848" w14:textId="72D3576F">
      <w:pPr>
        <w:spacing w:after="0" w:afterAutospacing="off" w:line="259" w:lineRule="auto"/>
        <w:ind w:left="0"/>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0CFFB2A1" w:rsidP="047C89BE" w:rsidRDefault="0CFFB2A1" w14:paraId="1246E73F" w14:textId="263E1AF6">
      <w:pPr>
        <w:pStyle w:val="ListParagraph"/>
        <w:numPr>
          <w:ilvl w:val="0"/>
          <w:numId w:val="2"/>
        </w:numPr>
        <w:spacing w:after="0" w:afterAutospacing="off" w:line="259" w:lineRule="auto"/>
        <w:jc w:val="left"/>
        <w:rPr>
          <w:rFonts w:ascii="Open Sans" w:hAnsi="Open Sans" w:eastAsia="Open Sans" w:cs="Open Sans"/>
          <w:b w:val="0"/>
          <w:bCs w:val="0"/>
          <w:i w:val="0"/>
          <w:iCs w:val="0"/>
          <w:caps w:val="0"/>
          <w:smallCaps w:val="0"/>
          <w:noProof w:val="0"/>
          <w:color w:val="292929"/>
          <w:sz w:val="20"/>
          <w:szCs w:val="20"/>
          <w:lang w:val="en-GB"/>
        </w:rPr>
      </w:pPr>
      <w:r w:rsidRPr="047C89BE" w:rsidR="0CFFB2A1">
        <w:rPr>
          <w:rFonts w:ascii="Open Sans" w:hAnsi="Open Sans" w:eastAsia="Open Sans" w:cs="Open Sans"/>
          <w:b w:val="0"/>
          <w:bCs w:val="0"/>
          <w:i w:val="0"/>
          <w:iCs w:val="0"/>
          <w:caps w:val="0"/>
          <w:smallCaps w:val="0"/>
          <w:noProof w:val="0"/>
          <w:color w:val="292929"/>
          <w:sz w:val="20"/>
          <w:szCs w:val="20"/>
          <w:lang w:val="en-GB"/>
        </w:rPr>
        <w:t>Imperial Chemical Industries v Shatwell [1965] AC 656</w:t>
      </w:r>
    </w:p>
    <w:p w:rsidR="0CFFB2A1" w:rsidP="047C89BE" w:rsidRDefault="0CFFB2A1" w14:paraId="539D3237" w14:textId="2919DC7F">
      <w:pPr>
        <w:spacing w:after="0" w:afterAutospacing="off" w:line="259" w:lineRule="auto"/>
        <w:ind w:left="0"/>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47C89BE" w:rsidR="0CFFB2A1">
        <w:rPr>
          <w:rFonts w:ascii="Open Sans" w:hAnsi="Open Sans" w:eastAsia="Open Sans" w:cs="Open Sans"/>
          <w:b w:val="0"/>
          <w:bCs w:val="0"/>
          <w:i w:val="0"/>
          <w:iCs w:val="0"/>
          <w:caps w:val="0"/>
          <w:smallCaps w:val="0"/>
          <w:noProof w:val="0"/>
          <w:color w:val="292929"/>
          <w:sz w:val="20"/>
          <w:szCs w:val="20"/>
          <w:lang w:val="en-GB"/>
        </w:rPr>
        <w:t>Available at:</w:t>
      </w:r>
      <w:hyperlink r:id="R9c84fc8e62244cb2">
        <w:r w:rsidRPr="047C89BE" w:rsidR="0CFFB2A1">
          <w:rPr>
            <w:rStyle w:val="Hyperlink"/>
            <w:rFonts w:ascii="Open Sans" w:hAnsi="Open Sans" w:eastAsia="Open Sans" w:cs="Open Sans"/>
            <w:b w:val="0"/>
            <w:bCs w:val="0"/>
            <w:i w:val="0"/>
            <w:iCs w:val="0"/>
            <w:caps w:val="0"/>
            <w:smallCaps w:val="0"/>
            <w:strike w:val="0"/>
            <w:dstrike w:val="0"/>
            <w:noProof w:val="0"/>
            <w:sz w:val="20"/>
            <w:szCs w:val="20"/>
            <w:lang w:val="en-GB"/>
          </w:rPr>
          <w:t>Imperial Chemical Industries v Shatwell [1965] AC 656 - Case Summary (lawprof.co)</w:t>
        </w:r>
      </w:hyperlink>
    </w:p>
    <w:p w:rsidR="047C89BE" w:rsidP="047C89BE" w:rsidRDefault="047C89BE" w14:paraId="01D1F56B" w14:textId="55666F50">
      <w:pPr>
        <w:spacing w:after="0" w:afterAutospacing="off" w:line="259" w:lineRule="auto"/>
        <w:ind w:left="0"/>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047C89BE" w:rsidP="047C89BE" w:rsidRDefault="047C89BE" w14:paraId="282033E8" w14:textId="6222B8CA">
      <w:pPr>
        <w:spacing w:after="0" w:afterAutospacing="off" w:line="259" w:lineRule="auto"/>
        <w:ind w:left="0"/>
        <w:jc w:val="left"/>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0CFFB2A1" w:rsidP="047C89BE" w:rsidRDefault="0CFFB2A1" w14:paraId="5A13774C" w14:textId="127B3238">
      <w:pPr>
        <w:pStyle w:val="ListParagraph"/>
        <w:numPr>
          <w:ilvl w:val="0"/>
          <w:numId w:val="2"/>
        </w:numPr>
        <w:spacing w:after="0" w:afterAutospacing="off" w:line="259" w:lineRule="auto"/>
        <w:jc w:val="left"/>
        <w:rPr>
          <w:rFonts w:ascii="Open Sans" w:hAnsi="Open Sans" w:eastAsia="Open Sans" w:cs="Open Sans"/>
          <w:b w:val="0"/>
          <w:bCs w:val="0"/>
          <w:i w:val="0"/>
          <w:iCs w:val="0"/>
          <w:caps w:val="0"/>
          <w:smallCaps w:val="0"/>
          <w:noProof w:val="0"/>
          <w:color w:val="222222"/>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Revill v Newbury [1996] 1 AII ER 291</w:t>
      </w:r>
    </w:p>
    <w:p w:rsidR="0CFFB2A1" w:rsidP="047C89BE" w:rsidRDefault="0CFFB2A1" w14:paraId="4132C9A8" w14:textId="0907E868">
      <w:pPr>
        <w:spacing w:after="0" w:afterAutospacing="off" w:line="259" w:lineRule="auto"/>
        <w:ind w:left="0"/>
        <w:jc w:val="left"/>
        <w:rPr>
          <w:rFonts w:ascii="Open Sans" w:hAnsi="Open Sans" w:eastAsia="Open Sans" w:cs="Open Sans"/>
          <w:b w:val="0"/>
          <w:bCs w:val="0"/>
          <w:i w:val="0"/>
          <w:iCs w:val="0"/>
          <w:caps w:val="0"/>
          <w:smallCaps w:val="0"/>
          <w:noProof w:val="0"/>
          <w:color w:val="292929"/>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 xml:space="preserve">Available at: </w:t>
      </w:r>
      <w:hyperlink r:id="Rc97c523224ea42ff">
        <w:r w:rsidRPr="047C89BE" w:rsidR="0CFFB2A1">
          <w:rPr>
            <w:rStyle w:val="Hyperlink"/>
            <w:rFonts w:ascii="Open Sans" w:hAnsi="Open Sans" w:eastAsia="Open Sans" w:cs="Open Sans"/>
            <w:b w:val="0"/>
            <w:bCs w:val="0"/>
            <w:i w:val="0"/>
            <w:iCs w:val="0"/>
            <w:caps w:val="0"/>
            <w:smallCaps w:val="0"/>
            <w:strike w:val="0"/>
            <w:dstrike w:val="0"/>
            <w:noProof w:val="0"/>
            <w:sz w:val="20"/>
            <w:szCs w:val="20"/>
            <w:lang w:val="en-GB"/>
          </w:rPr>
          <w:t>https://www.casemine.com/judgement/uk/5a8ff87960d03e7f57ec10bf</w:t>
        </w:r>
      </w:hyperlink>
    </w:p>
    <w:p w:rsidR="047C89BE" w:rsidP="047C89BE" w:rsidRDefault="047C89BE" w14:paraId="7240B5DF" w14:textId="245C5EB5">
      <w:pPr>
        <w:spacing w:after="0" w:afterAutospacing="off" w:line="259" w:lineRule="auto"/>
        <w:ind w:left="0"/>
        <w:jc w:val="left"/>
        <w:rPr>
          <w:rFonts w:ascii="Open Sans" w:hAnsi="Open Sans" w:eastAsia="Open Sans" w:cs="Open Sans"/>
          <w:b w:val="0"/>
          <w:bCs w:val="0"/>
          <w:i w:val="0"/>
          <w:iCs w:val="0"/>
          <w:caps w:val="0"/>
          <w:smallCaps w:val="0"/>
          <w:noProof w:val="0"/>
          <w:color w:val="292929"/>
          <w:sz w:val="20"/>
          <w:szCs w:val="20"/>
          <w:lang w:val="en-GB"/>
        </w:rPr>
      </w:pPr>
    </w:p>
    <w:p w:rsidR="047C89BE" w:rsidP="047C89BE" w:rsidRDefault="047C89BE" w14:paraId="0CDBF486" w14:textId="62C0387D">
      <w:pPr>
        <w:spacing w:after="0" w:afterAutospacing="off" w:line="259" w:lineRule="auto"/>
        <w:ind w:left="0"/>
        <w:jc w:val="left"/>
        <w:rPr>
          <w:rFonts w:ascii="Open Sans" w:hAnsi="Open Sans" w:eastAsia="Open Sans" w:cs="Open Sans"/>
          <w:b w:val="0"/>
          <w:bCs w:val="0"/>
          <w:i w:val="0"/>
          <w:iCs w:val="0"/>
          <w:caps w:val="0"/>
          <w:smallCaps w:val="0"/>
          <w:noProof w:val="0"/>
          <w:color w:val="292929"/>
          <w:sz w:val="20"/>
          <w:szCs w:val="20"/>
          <w:lang w:val="en-GB"/>
        </w:rPr>
      </w:pPr>
    </w:p>
    <w:p w:rsidR="0CFFB2A1" w:rsidP="047C89BE" w:rsidRDefault="0CFFB2A1" w14:paraId="452DC877" w14:textId="31AF5DE2">
      <w:pPr>
        <w:pStyle w:val="ListParagraph"/>
        <w:numPr>
          <w:ilvl w:val="0"/>
          <w:numId w:val="2"/>
        </w:numPr>
        <w:spacing w:after="0" w:afterAutospacing="off" w:line="259" w:lineRule="auto"/>
        <w:jc w:val="left"/>
        <w:rPr>
          <w:rFonts w:ascii="Open Sans" w:hAnsi="Open Sans" w:eastAsia="Open Sans" w:cs="Open Sans"/>
          <w:b w:val="0"/>
          <w:bCs w:val="0"/>
          <w:i w:val="0"/>
          <w:iCs w:val="0"/>
          <w:caps w:val="0"/>
          <w:smallCaps w:val="0"/>
          <w:noProof w:val="0"/>
          <w:color w:val="292929"/>
          <w:sz w:val="20"/>
          <w:szCs w:val="20"/>
          <w:lang w:val="en-GB"/>
        </w:rPr>
      </w:pPr>
      <w:r w:rsidRPr="047C89BE" w:rsidR="0CFFB2A1">
        <w:rPr>
          <w:rFonts w:ascii="Open Sans" w:hAnsi="Open Sans" w:eastAsia="Open Sans" w:cs="Open Sans"/>
          <w:b w:val="0"/>
          <w:bCs w:val="0"/>
          <w:i w:val="0"/>
          <w:iCs w:val="0"/>
          <w:caps w:val="0"/>
          <w:smallCaps w:val="0"/>
          <w:noProof w:val="0"/>
          <w:color w:val="292929"/>
          <w:sz w:val="20"/>
          <w:szCs w:val="20"/>
          <w:lang w:val="en-GB"/>
        </w:rPr>
        <w:t>Wheat v Lacon [1966] AC 552</w:t>
      </w:r>
    </w:p>
    <w:p w:rsidR="0CFFB2A1" w:rsidP="047C89BE" w:rsidRDefault="0CFFB2A1" w14:paraId="52485FCC" w14:textId="0557EF79">
      <w:pPr>
        <w:spacing w:after="160" w:line="259" w:lineRule="auto"/>
        <w:ind w:left="0"/>
        <w:jc w:val="left"/>
        <w:rPr>
          <w:rFonts w:ascii="Open Sans" w:hAnsi="Open Sans" w:eastAsia="Open Sans" w:cs="Open Sans"/>
          <w:b w:val="0"/>
          <w:bCs w:val="0"/>
          <w:i w:val="0"/>
          <w:iCs w:val="0"/>
          <w:caps w:val="0"/>
          <w:smallCaps w:val="0"/>
          <w:noProof w:val="0"/>
          <w:color w:val="292929"/>
          <w:sz w:val="20"/>
          <w:szCs w:val="20"/>
          <w:lang w:val="en-GB"/>
        </w:rPr>
      </w:pPr>
      <w:r w:rsidRPr="047C89BE" w:rsidR="0CFFB2A1">
        <w:rPr>
          <w:rFonts w:ascii="Open Sans" w:hAnsi="Open Sans" w:eastAsia="Open Sans" w:cs="Open Sans"/>
          <w:b w:val="0"/>
          <w:bCs w:val="0"/>
          <w:i w:val="0"/>
          <w:iCs w:val="0"/>
          <w:caps w:val="0"/>
          <w:smallCaps w:val="0"/>
          <w:noProof w:val="0"/>
          <w:color w:val="292929"/>
          <w:sz w:val="20"/>
          <w:szCs w:val="20"/>
          <w:lang w:val="en-GB"/>
        </w:rPr>
        <w:t xml:space="preserve">Available at: </w:t>
      </w:r>
      <w:hyperlink r:id="R910612e0d8da4b2f">
        <w:r w:rsidRPr="047C89BE" w:rsidR="0CFFB2A1">
          <w:rPr>
            <w:rStyle w:val="Hyperlink"/>
            <w:rFonts w:ascii="Open Sans" w:hAnsi="Open Sans" w:eastAsia="Open Sans" w:cs="Open Sans"/>
            <w:b w:val="0"/>
            <w:bCs w:val="0"/>
            <w:i w:val="0"/>
            <w:iCs w:val="0"/>
            <w:caps w:val="0"/>
            <w:smallCaps w:val="0"/>
            <w:strike w:val="0"/>
            <w:dstrike w:val="0"/>
            <w:noProof w:val="0"/>
            <w:sz w:val="20"/>
            <w:szCs w:val="20"/>
            <w:lang w:val="en-GB"/>
          </w:rPr>
          <w:t>https://lawprof.co/tort/occupiers-liability-cases/wheat-v-lacon-1966-ac-552/</w:t>
        </w:r>
      </w:hyperlink>
    </w:p>
    <w:p w:rsidR="047C89BE" w:rsidP="047C89BE" w:rsidRDefault="047C89BE" w14:paraId="3B5DFD71" w14:textId="04A1AB5C">
      <w:pPr>
        <w:spacing w:after="160" w:line="259" w:lineRule="auto"/>
        <w:ind w:left="0"/>
        <w:jc w:val="left"/>
        <w:rPr>
          <w:rFonts w:ascii="Open Sans" w:hAnsi="Open Sans" w:eastAsia="Open Sans" w:cs="Open Sans"/>
          <w:b w:val="0"/>
          <w:bCs w:val="0"/>
          <w:i w:val="0"/>
          <w:iCs w:val="0"/>
          <w:caps w:val="0"/>
          <w:smallCaps w:val="0"/>
          <w:noProof w:val="0"/>
          <w:color w:val="222222"/>
          <w:sz w:val="20"/>
          <w:szCs w:val="20"/>
          <w:lang w:val="en-GB"/>
        </w:rPr>
      </w:pPr>
    </w:p>
    <w:p w:rsidR="0CFFB2A1" w:rsidP="047C89BE" w:rsidRDefault="0CFFB2A1" w14:paraId="29979E24" w14:textId="1DFDBC26">
      <w:pPr>
        <w:pStyle w:val="ListParagraph"/>
        <w:numPr>
          <w:ilvl w:val="0"/>
          <w:numId w:val="2"/>
        </w:numPr>
        <w:spacing w:after="0" w:afterAutospacing="off" w:line="259" w:lineRule="auto"/>
        <w:jc w:val="left"/>
        <w:rPr>
          <w:rFonts w:ascii="Open Sans" w:hAnsi="Open Sans" w:eastAsia="Open Sans" w:cs="Open Sans"/>
          <w:b w:val="0"/>
          <w:bCs w:val="0"/>
          <w:i w:val="0"/>
          <w:iCs w:val="0"/>
          <w:caps w:val="0"/>
          <w:smallCaps w:val="0"/>
          <w:noProof w:val="0"/>
          <w:color w:val="222222"/>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 xml:space="preserve">Young v Kent County Council: QBD 14 Mar 2005. </w:t>
      </w:r>
    </w:p>
    <w:p w:rsidR="0CFFB2A1" w:rsidP="047C89BE" w:rsidRDefault="0CFFB2A1" w14:paraId="2505796C" w14:textId="68F24B7C">
      <w:pPr>
        <w:spacing w:after="0" w:afterAutospacing="off" w:line="259" w:lineRule="auto"/>
        <w:ind w:left="0"/>
        <w:jc w:val="left"/>
        <w:rPr>
          <w:rFonts w:ascii="Open Sans" w:hAnsi="Open Sans" w:eastAsia="Open Sans" w:cs="Open Sans"/>
          <w:b w:val="0"/>
          <w:bCs w:val="0"/>
          <w:i w:val="0"/>
          <w:iCs w:val="0"/>
          <w:caps w:val="0"/>
          <w:smallCaps w:val="0"/>
          <w:noProof w:val="0"/>
          <w:color w:val="222222"/>
          <w:sz w:val="20"/>
          <w:szCs w:val="20"/>
          <w:lang w:val="en-GB"/>
        </w:rPr>
      </w:pPr>
      <w:r w:rsidRPr="047C89BE" w:rsidR="0CFFB2A1">
        <w:rPr>
          <w:rFonts w:ascii="Open Sans" w:hAnsi="Open Sans" w:eastAsia="Open Sans" w:cs="Open Sans"/>
          <w:b w:val="0"/>
          <w:bCs w:val="0"/>
          <w:i w:val="0"/>
          <w:iCs w:val="0"/>
          <w:caps w:val="0"/>
          <w:smallCaps w:val="0"/>
          <w:noProof w:val="0"/>
          <w:color w:val="222222"/>
          <w:sz w:val="20"/>
          <w:szCs w:val="20"/>
          <w:lang w:val="en-GB"/>
        </w:rPr>
        <w:t xml:space="preserve">Available at: </w:t>
      </w:r>
      <w:hyperlink r:id="R0b55a0ab6d7c42fd">
        <w:r w:rsidRPr="047C89BE" w:rsidR="0CFFB2A1">
          <w:rPr>
            <w:rStyle w:val="Hyperlink"/>
            <w:rFonts w:ascii="Open Sans" w:hAnsi="Open Sans" w:eastAsia="Open Sans" w:cs="Open Sans"/>
            <w:b w:val="0"/>
            <w:bCs w:val="0"/>
            <w:i w:val="0"/>
            <w:iCs w:val="0"/>
            <w:caps w:val="0"/>
            <w:smallCaps w:val="0"/>
            <w:strike w:val="0"/>
            <w:dstrike w:val="0"/>
            <w:noProof w:val="0"/>
            <w:sz w:val="20"/>
            <w:szCs w:val="20"/>
            <w:lang w:val="en-GB"/>
          </w:rPr>
          <w:t>https://swarb.co.uk/young-v-kent-county-council-qbd-14-mar-2005/?utm_content=cmp-true</w:t>
        </w:r>
      </w:hyperlink>
    </w:p>
    <w:p w:rsidR="047C89BE" w:rsidP="047C89BE" w:rsidRDefault="047C89BE" w14:paraId="305365B4" w14:textId="68624748">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47C89BE" w:rsidP="047C89BE" w:rsidRDefault="047C89BE" w14:paraId="430A205E" w14:textId="18C2DF12">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47C89BE" w:rsidP="047C89BE" w:rsidRDefault="047C89BE" w14:paraId="011EAD08" w14:textId="01221331">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FFB2A1" w:rsidP="047C89BE" w:rsidRDefault="0CFFB2A1" w14:paraId="629B38C0" w14:textId="104E4D0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r w:rsidRPr="047C89BE" w:rsidR="0CFFB2A1">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Legislation</w:t>
      </w:r>
    </w:p>
    <w:p w:rsidR="047C89BE" w:rsidP="047C89BE" w:rsidRDefault="047C89BE" w14:paraId="36506F71" w14:textId="333A8D0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w:rsidR="0CFFB2A1" w:rsidP="047C89BE" w:rsidRDefault="0CFFB2A1" w14:paraId="3ACF5FF4" w14:textId="5D8E27F1">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 xml:space="preserve">Compensation Act 2006, c.29. </w:t>
      </w:r>
      <w:r w:rsidRPr="047C89BE" w:rsidR="0CFFB2A1">
        <w:rPr>
          <w:rFonts w:ascii="Calibri" w:hAnsi="Calibri" w:eastAsia="Calibri" w:cs="Calibri"/>
          <w:b w:val="0"/>
          <w:bCs w:val="0"/>
          <w:i w:val="0"/>
          <w:iCs w:val="0"/>
          <w:caps w:val="0"/>
          <w:smallCaps w:val="0"/>
          <w:noProof w:val="0"/>
          <w:color w:val="333333"/>
          <w:sz w:val="24"/>
          <w:szCs w:val="24"/>
          <w:lang w:val="en-GB"/>
        </w:rPr>
        <w:t>Available at:</w:t>
      </w:r>
      <w:hyperlink w:anchor=":~:text=An%20Act%20to%20specify%20certain,regulation%20of%20claims%20management%20services." r:id="R07a01ca5cb824964">
        <w:r w:rsidRPr="047C89BE" w:rsidR="0CFFB2A1">
          <w:rPr>
            <w:rStyle w:val="Hyperlink"/>
            <w:rFonts w:ascii="Calibri" w:hAnsi="Calibri" w:eastAsia="Calibri" w:cs="Calibri"/>
            <w:b w:val="0"/>
            <w:bCs w:val="0"/>
            <w:i w:val="1"/>
            <w:iCs w:val="1"/>
            <w:caps w:val="0"/>
            <w:smallCaps w:val="0"/>
            <w:strike w:val="0"/>
            <w:dstrike w:val="0"/>
            <w:noProof w:val="0"/>
            <w:sz w:val="24"/>
            <w:szCs w:val="24"/>
            <w:lang w:val="en-GB"/>
          </w:rPr>
          <w:t>https://www.legislation.gov.uk/ukpga/2006/29#:~:text=An%20Act%20to%20specify%20certain,regulation%20of%20claims%20management%20services.</w:t>
        </w:r>
      </w:hyperlink>
    </w:p>
    <w:p w:rsidR="0CFFB2A1" w:rsidP="047C89BE" w:rsidRDefault="0CFFB2A1" w14:paraId="39D03439" w14:textId="5DC6B16A">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 xml:space="preserve">             (Accessed: 09 of November 2023)</w:t>
      </w:r>
    </w:p>
    <w:p w:rsidR="047C89BE" w:rsidP="047C89BE" w:rsidRDefault="047C89BE" w14:paraId="76A2469C" w14:textId="5D03920C">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CFFB2A1" w:rsidP="047C89BE" w:rsidRDefault="0CFFB2A1" w14:paraId="1FB37FC5" w14:textId="7613E977">
      <w:pPr>
        <w:pStyle w:val="ListParagraph"/>
        <w:numPr>
          <w:ilvl w:val="0"/>
          <w:numId w:val="11"/>
        </w:numPr>
        <w:spacing w:after="160"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Occupiers’ Liability Act 1957, c.31.</w:t>
      </w:r>
      <w:r w:rsidRPr="047C89BE" w:rsidR="0CFFB2A1">
        <w:rPr>
          <w:rFonts w:ascii="Calibri" w:hAnsi="Calibri" w:eastAsia="Calibri" w:cs="Calibri"/>
          <w:b w:val="0"/>
          <w:bCs w:val="0"/>
          <w:i w:val="0"/>
          <w:iCs w:val="0"/>
          <w:caps w:val="0"/>
          <w:smallCaps w:val="0"/>
          <w:noProof w:val="0"/>
          <w:color w:val="333333"/>
          <w:sz w:val="24"/>
          <w:szCs w:val="24"/>
          <w:lang w:val="en-GB"/>
        </w:rPr>
        <w:t xml:space="preserve"> Available at: </w:t>
      </w:r>
      <w:hyperlink r:id="R1ec7dc57327b46cb">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https://www.legislation.gov.uk/ukpga/Eliz2/5-6/31/crossheading/liability-in-tort</w:t>
        </w:r>
      </w:hyperlink>
      <w:r w:rsidRPr="047C89BE" w:rsidR="0CFFB2A1">
        <w:rPr>
          <w:rFonts w:ascii="Calibri" w:hAnsi="Calibri" w:eastAsia="Calibri" w:cs="Calibri"/>
          <w:b w:val="0"/>
          <w:bCs w:val="0"/>
          <w:i w:val="0"/>
          <w:iCs w:val="0"/>
          <w:caps w:val="0"/>
          <w:smallCaps w:val="0"/>
          <w:noProof w:val="0"/>
          <w:color w:val="333333"/>
          <w:sz w:val="24"/>
          <w:szCs w:val="24"/>
          <w:lang w:val="en-GB"/>
        </w:rPr>
        <w:t xml:space="preserve"> (Accessed: 08 of November 2023).</w:t>
      </w:r>
    </w:p>
    <w:p w:rsidR="047C89BE" w:rsidP="047C89BE" w:rsidRDefault="047C89BE" w14:paraId="5D4F9CA0" w14:textId="7BA47AF8">
      <w:pPr>
        <w:spacing w:after="160"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CFFB2A1" w:rsidP="047C89BE" w:rsidRDefault="0CFFB2A1" w14:paraId="3020BAFC" w14:textId="7F6497D0">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Occupiers' Liability Act 1957, c.31 (s2.2).</w:t>
      </w:r>
      <w:r w:rsidRPr="047C89BE" w:rsidR="0CFFB2A1">
        <w:rPr>
          <w:rFonts w:ascii="Calibri" w:hAnsi="Calibri" w:eastAsia="Calibri" w:cs="Calibri"/>
          <w:b w:val="0"/>
          <w:bCs w:val="0"/>
          <w:i w:val="0"/>
          <w:iCs w:val="0"/>
          <w:caps w:val="0"/>
          <w:smallCaps w:val="0"/>
          <w:noProof w:val="0"/>
          <w:color w:val="333333"/>
          <w:sz w:val="24"/>
          <w:szCs w:val="24"/>
          <w:lang w:val="en-GB"/>
        </w:rPr>
        <w:t xml:space="preserve"> Available at: </w:t>
      </w:r>
      <w:hyperlink r:id="R9b4d48263fda4c08">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https://www.legislation.gov.uk/ukpga/Eliz2/5-6/31/section/2</w:t>
        </w:r>
      </w:hyperlink>
      <w:r w:rsidRPr="047C89BE" w:rsidR="0CFFB2A1">
        <w:rPr>
          <w:rFonts w:ascii="Calibri" w:hAnsi="Calibri" w:eastAsia="Calibri" w:cs="Calibri"/>
          <w:b w:val="0"/>
          <w:bCs w:val="0"/>
          <w:i w:val="0"/>
          <w:iCs w:val="0"/>
          <w:caps w:val="0"/>
          <w:smallCaps w:val="0"/>
          <w:noProof w:val="0"/>
          <w:color w:val="333333"/>
          <w:sz w:val="24"/>
          <w:szCs w:val="24"/>
          <w:lang w:val="en-GB"/>
        </w:rPr>
        <w:t xml:space="preserve">  </w:t>
      </w:r>
    </w:p>
    <w:p w:rsidR="0CFFB2A1" w:rsidP="047C89BE" w:rsidRDefault="0CFFB2A1" w14:paraId="6EA4C05A" w14:textId="5B3508C6">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0"/>
          <w:iCs w:val="0"/>
          <w:caps w:val="0"/>
          <w:smallCaps w:val="0"/>
          <w:noProof w:val="0"/>
          <w:color w:val="333333"/>
          <w:sz w:val="24"/>
          <w:szCs w:val="24"/>
          <w:lang w:val="en-GB"/>
        </w:rPr>
        <w:t xml:space="preserve">             (Accessed: 08 of November 2023).</w:t>
      </w:r>
    </w:p>
    <w:p w:rsidR="047C89BE" w:rsidP="047C89BE" w:rsidRDefault="047C89BE" w14:paraId="3E648558" w14:textId="66CF5D4F">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CFFB2A1" w:rsidP="047C89BE" w:rsidRDefault="0CFFB2A1" w14:paraId="49371DD6" w14:textId="1D4B1AF8">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 xml:space="preserve">Occupiers’ Liability Act 1957, c.31 (s2.3) </w:t>
      </w:r>
      <w:r w:rsidRPr="047C89BE" w:rsidR="0CFFB2A1">
        <w:rPr>
          <w:rFonts w:ascii="Calibri" w:hAnsi="Calibri" w:eastAsia="Calibri" w:cs="Calibri"/>
          <w:b w:val="0"/>
          <w:bCs w:val="0"/>
          <w:i w:val="0"/>
          <w:iCs w:val="0"/>
          <w:caps w:val="0"/>
          <w:smallCaps w:val="0"/>
          <w:noProof w:val="0"/>
          <w:color w:val="333333"/>
          <w:sz w:val="24"/>
          <w:szCs w:val="24"/>
          <w:lang w:val="en-GB"/>
        </w:rPr>
        <w:t>Available at:</w:t>
      </w:r>
      <w:hyperlink r:id="Rbf3f936428fa4540">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https://www.legislation.gov.uk/ukpga/Eliz2/5-6/31/section/2</w:t>
        </w:r>
      </w:hyperlink>
    </w:p>
    <w:p w:rsidR="0CFFB2A1" w:rsidP="047C89BE" w:rsidRDefault="0CFFB2A1" w14:paraId="7E4F4A62" w14:textId="56D4D200">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0"/>
          <w:iCs w:val="0"/>
          <w:caps w:val="0"/>
          <w:smallCaps w:val="0"/>
          <w:noProof w:val="0"/>
          <w:color w:val="333333"/>
          <w:sz w:val="24"/>
          <w:szCs w:val="24"/>
          <w:lang w:val="en-GB"/>
        </w:rPr>
        <w:t xml:space="preserve">             (Accessed: 10 of November 2023)</w:t>
      </w:r>
    </w:p>
    <w:p w:rsidR="047C89BE" w:rsidP="047C89BE" w:rsidRDefault="047C89BE" w14:paraId="5DEF6801" w14:textId="23A49B4E">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CFFB2A1" w:rsidP="047C89BE" w:rsidRDefault="0CFFB2A1" w14:paraId="17D5CF3B" w14:textId="20980007">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Occupiers’ Liability Act 1957, c31 (s2.3a). Available at:</w:t>
      </w:r>
      <w:hyperlink r:id="R2075221e94c44e63">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https://www.legislation.gov.uk/ukpga/Eliz2/5-6/31/section/2</w:t>
        </w:r>
      </w:hyperlink>
    </w:p>
    <w:p w:rsidR="0CFFB2A1" w:rsidP="047C89BE" w:rsidRDefault="0CFFB2A1" w14:paraId="5A1FD5D3" w14:textId="650481B8">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0"/>
          <w:iCs w:val="0"/>
          <w:caps w:val="0"/>
          <w:smallCaps w:val="0"/>
          <w:noProof w:val="0"/>
          <w:color w:val="333333"/>
          <w:sz w:val="24"/>
          <w:szCs w:val="24"/>
          <w:lang w:val="en-GB"/>
        </w:rPr>
        <w:t xml:space="preserve">             (Accessed: 10 of November 2023)</w:t>
      </w:r>
    </w:p>
    <w:p w:rsidR="047C89BE" w:rsidP="047C89BE" w:rsidRDefault="047C89BE" w14:paraId="1A214D8B" w14:textId="77E223D3">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CFFB2A1" w:rsidP="047C89BE" w:rsidRDefault="0CFFB2A1" w14:paraId="3455B4DF" w14:textId="78D9B585">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 xml:space="preserve">Occupiers’ Liability Act 1957, c31 (s2.5) </w:t>
      </w:r>
      <w:r w:rsidRPr="047C89BE" w:rsidR="0CFFB2A1">
        <w:rPr>
          <w:rFonts w:ascii="Calibri" w:hAnsi="Calibri" w:eastAsia="Calibri" w:cs="Calibri"/>
          <w:b w:val="0"/>
          <w:bCs w:val="0"/>
          <w:i w:val="0"/>
          <w:iCs w:val="0"/>
          <w:caps w:val="0"/>
          <w:smallCaps w:val="0"/>
          <w:noProof w:val="0"/>
          <w:color w:val="333333"/>
          <w:sz w:val="24"/>
          <w:szCs w:val="24"/>
          <w:lang w:val="en-GB"/>
        </w:rPr>
        <w:t>Available at:</w:t>
      </w:r>
      <w:hyperlink r:id="R927d76957852425d">
        <w:r w:rsidRPr="047C89BE" w:rsidR="0CFFB2A1">
          <w:rPr>
            <w:rStyle w:val="Hyperlink"/>
            <w:rFonts w:ascii="Calibri" w:hAnsi="Calibri" w:eastAsia="Calibri" w:cs="Calibri"/>
            <w:b w:val="0"/>
            <w:bCs w:val="0"/>
            <w:i w:val="1"/>
            <w:iCs w:val="1"/>
            <w:caps w:val="0"/>
            <w:smallCaps w:val="0"/>
            <w:strike w:val="0"/>
            <w:dstrike w:val="0"/>
            <w:noProof w:val="0"/>
            <w:sz w:val="24"/>
            <w:szCs w:val="24"/>
            <w:lang w:val="en-GB"/>
          </w:rPr>
          <w:t>https://www.legislation.gov.uk/ukpga/Eliz2/5-6/31/section/2</w:t>
        </w:r>
      </w:hyperlink>
    </w:p>
    <w:p w:rsidR="047C89BE" w:rsidP="047C89BE" w:rsidRDefault="047C89BE" w14:paraId="71F7A133" w14:textId="66AD4528">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47C89BE" w:rsidP="047C89BE" w:rsidRDefault="047C89BE" w14:paraId="18FA3812" w14:textId="7B532A5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FFB2A1" w:rsidP="047C89BE" w:rsidRDefault="0CFFB2A1" w14:paraId="711FAEFA" w14:textId="731EC4F2">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Occupiers’ Liability Act 1957, c.31 (s2.6). </w:t>
      </w: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hyperlink r:id="Rcdc65e0f1ec3481a">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https://www.legislation.gov.uk/ukpga/Eliz2/5-6/31/section/2</w:t>
        </w:r>
      </w:hyperlink>
    </w:p>
    <w:p w:rsidR="0CFFB2A1" w:rsidP="047C89BE" w:rsidRDefault="0CFFB2A1" w14:paraId="020EF396" w14:textId="0E778F1F">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08 of November 2023)</w:t>
      </w:r>
    </w:p>
    <w:p w:rsidR="047C89BE" w:rsidP="047C89BE" w:rsidRDefault="047C89BE" w14:paraId="550FA855" w14:textId="0EA1F6D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FFB2A1" w:rsidP="047C89BE" w:rsidRDefault="0CFFB2A1" w14:paraId="39D1EADD" w14:textId="04830A9F">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 xml:space="preserve">Occupiers’ Liability Act 1957, c.31 (s5.1). </w:t>
      </w:r>
      <w:r w:rsidRPr="047C89BE" w:rsidR="0CFFB2A1">
        <w:rPr>
          <w:rFonts w:ascii="Calibri" w:hAnsi="Calibri" w:eastAsia="Calibri" w:cs="Calibri"/>
          <w:b w:val="0"/>
          <w:bCs w:val="0"/>
          <w:i w:val="0"/>
          <w:iCs w:val="0"/>
          <w:caps w:val="0"/>
          <w:smallCaps w:val="0"/>
          <w:noProof w:val="0"/>
          <w:color w:val="333333"/>
          <w:sz w:val="24"/>
          <w:szCs w:val="24"/>
          <w:lang w:val="en-GB"/>
        </w:rPr>
        <w:t>Available at:</w:t>
      </w:r>
      <w:hyperlink r:id="Ra29c97eeb9354b9d">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https://www.legislation.gov.uk/ukpga/Eliz2/5-6/31/section/5</w:t>
        </w:r>
      </w:hyperlink>
    </w:p>
    <w:p w:rsidR="0CFFB2A1" w:rsidP="047C89BE" w:rsidRDefault="0CFFB2A1" w14:paraId="0A8DDAFF" w14:textId="608BDDBE">
      <w:pPr>
        <w:spacing w:after="160" w:line="259" w:lineRule="auto"/>
        <w:ind w:left="0"/>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0"/>
          <w:iCs w:val="0"/>
          <w:caps w:val="0"/>
          <w:smallCaps w:val="0"/>
          <w:noProof w:val="0"/>
          <w:color w:val="333333"/>
          <w:sz w:val="24"/>
          <w:szCs w:val="24"/>
          <w:lang w:val="en-GB"/>
        </w:rPr>
        <w:t xml:space="preserve">             (Accessed: 09 of November 2023)</w:t>
      </w:r>
    </w:p>
    <w:p w:rsidR="047C89BE" w:rsidP="047C89BE" w:rsidRDefault="047C89BE" w14:paraId="07770547" w14:textId="3D8F1435">
      <w:pPr>
        <w:spacing w:after="160" w:line="259" w:lineRule="auto"/>
        <w:ind w:left="0"/>
        <w:jc w:val="left"/>
        <w:rPr>
          <w:rFonts w:ascii="Calibri" w:hAnsi="Calibri" w:eastAsia="Calibri" w:cs="Calibri"/>
          <w:b w:val="0"/>
          <w:bCs w:val="0"/>
          <w:i w:val="0"/>
          <w:iCs w:val="0"/>
          <w:caps w:val="0"/>
          <w:smallCaps w:val="0"/>
          <w:noProof w:val="0"/>
          <w:color w:val="333333"/>
          <w:sz w:val="24"/>
          <w:szCs w:val="24"/>
          <w:lang w:val="en-GB"/>
        </w:rPr>
      </w:pPr>
    </w:p>
    <w:p w:rsidR="0CFFB2A1" w:rsidP="047C89BE" w:rsidRDefault="0CFFB2A1" w14:paraId="2DBD85CF" w14:textId="0A2312EA">
      <w:pPr>
        <w:pStyle w:val="ListParagraph"/>
        <w:numPr>
          <w:ilvl w:val="0"/>
          <w:numId w:val="11"/>
        </w:numPr>
        <w:spacing w:after="0" w:afterAutospacing="off" w:line="259" w:lineRule="auto"/>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1"/>
          <w:iCs w:val="1"/>
          <w:caps w:val="0"/>
          <w:smallCaps w:val="0"/>
          <w:noProof w:val="0"/>
          <w:color w:val="333333"/>
          <w:sz w:val="24"/>
          <w:szCs w:val="24"/>
          <w:lang w:val="en-GB"/>
        </w:rPr>
        <w:t>Occupiers' Liability Act 1984, c.3.</w:t>
      </w:r>
      <w:r w:rsidRPr="047C89BE" w:rsidR="0CFFB2A1">
        <w:rPr>
          <w:rFonts w:ascii="Calibri" w:hAnsi="Calibri" w:eastAsia="Calibri" w:cs="Calibri"/>
          <w:b w:val="0"/>
          <w:bCs w:val="0"/>
          <w:i w:val="0"/>
          <w:iCs w:val="0"/>
          <w:caps w:val="0"/>
          <w:smallCaps w:val="0"/>
          <w:noProof w:val="0"/>
          <w:color w:val="333333"/>
          <w:sz w:val="24"/>
          <w:szCs w:val="24"/>
          <w:lang w:val="en-GB"/>
        </w:rPr>
        <w:t xml:space="preserve"> Available at:  </w:t>
      </w:r>
      <w:hyperlink w:anchor="commentary-key-9f63a361af98d6ee7a801bf16424f25d" r:id="R00ad11ba85e24f29">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https://www.legislation.gov.uk/ukpga/1984/3#commentary-key-9f63a361af98d6ee7a801bf16424f25d</w:t>
        </w:r>
      </w:hyperlink>
    </w:p>
    <w:p w:rsidR="0CFFB2A1" w:rsidP="047C89BE" w:rsidRDefault="0CFFB2A1" w14:paraId="07E28FE8" w14:textId="77BD87E2">
      <w:pPr>
        <w:spacing w:after="0" w:afterAutospacing="off" w:line="259" w:lineRule="auto"/>
        <w:ind w:left="0"/>
        <w:jc w:val="left"/>
        <w:rPr>
          <w:rFonts w:ascii="Calibri" w:hAnsi="Calibri" w:eastAsia="Calibri" w:cs="Calibri"/>
          <w:b w:val="0"/>
          <w:bCs w:val="0"/>
          <w:i w:val="0"/>
          <w:iCs w:val="0"/>
          <w:caps w:val="0"/>
          <w:smallCaps w:val="0"/>
          <w:noProof w:val="0"/>
          <w:color w:val="333333"/>
          <w:sz w:val="24"/>
          <w:szCs w:val="24"/>
          <w:lang w:val="en-GB"/>
        </w:rPr>
      </w:pPr>
      <w:r w:rsidRPr="047C89BE" w:rsidR="0CFFB2A1">
        <w:rPr>
          <w:rFonts w:ascii="Calibri" w:hAnsi="Calibri" w:eastAsia="Calibri" w:cs="Calibri"/>
          <w:b w:val="0"/>
          <w:bCs w:val="0"/>
          <w:i w:val="0"/>
          <w:iCs w:val="0"/>
          <w:caps w:val="0"/>
          <w:smallCaps w:val="0"/>
          <w:noProof w:val="0"/>
          <w:color w:val="333333"/>
          <w:sz w:val="24"/>
          <w:szCs w:val="24"/>
          <w:lang w:val="en-GB"/>
        </w:rPr>
        <w:t xml:space="preserve">             (Accessed: 08 of November 2023).</w:t>
      </w:r>
    </w:p>
    <w:p w:rsidR="047C89BE" w:rsidP="047C89BE" w:rsidRDefault="047C89BE" w14:paraId="1F0B72FC" w14:textId="2FB6A7F8">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FFB2A1" w:rsidP="047C89BE" w:rsidRDefault="0CFFB2A1" w14:paraId="2B6CC0D3" w14:textId="251407C4">
      <w:pPr>
        <w:pStyle w:val="ListParagraph"/>
        <w:numPr>
          <w:ilvl w:val="0"/>
          <w:numId w:val="20"/>
        </w:numPr>
        <w:spacing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Occupiers’ Liability Act 1984, c.3 (s1) </w:t>
      </w: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hyperlink w:anchor="commentary-key-9f63a361af98d6ee7a801bf16424f25d" r:id="R12e9da4682354f58">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https://www.legislation.gov.uk/ukpga/1984/3#commentary-key-9f63a361af98d6ee7a801bf16424f25d</w:t>
        </w:r>
      </w:hyperlink>
    </w:p>
    <w:p w:rsidR="0CFFB2A1" w:rsidP="047C89BE" w:rsidRDefault="0CFFB2A1" w14:paraId="4A03C5E9" w14:textId="3AD66E53">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at: 08/11/23)</w:t>
      </w:r>
    </w:p>
    <w:p w:rsidR="047C89BE" w:rsidP="047C89BE" w:rsidRDefault="047C89BE" w14:paraId="2A1C6BFC" w14:textId="66E4FC2C">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FFB2A1" w:rsidP="047C89BE" w:rsidRDefault="0CFFB2A1" w14:paraId="3546DD4B" w14:textId="51E721CC">
      <w:pPr>
        <w:pStyle w:val="ListParagraph"/>
        <w:numPr>
          <w:ilvl w:val="0"/>
          <w:numId w:val="21"/>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Occupiers’ liability Act 1984, c.3 (s1.6) </w:t>
      </w: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commentary-key-9f63a361af98d6ee7a801bf16424f25d" r:id="R100797b9f4b842b7">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https://www.legislation.gov.uk/ukpga/1984/3#commentary-key-9f63a361af98d6ee7a801bf16424f25d</w:t>
        </w:r>
      </w:hyperlink>
    </w:p>
    <w:p w:rsidR="0CFFB2A1" w:rsidP="047C89BE" w:rsidRDefault="0CFFB2A1" w14:paraId="0C4164A2" w14:textId="0E2E50FB">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08 of November 2023)</w:t>
      </w:r>
    </w:p>
    <w:p w:rsidR="047C89BE" w:rsidP="047C89BE" w:rsidRDefault="047C89BE" w14:paraId="1BD73BDD" w14:textId="7BABB513">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FFB2A1" w:rsidP="047C89BE" w:rsidRDefault="0CFFB2A1" w14:paraId="4F0579CA" w14:textId="6C2FF6C4">
      <w:pPr>
        <w:pStyle w:val="ListParagraph"/>
        <w:numPr>
          <w:ilvl w:val="0"/>
          <w:numId w:val="20"/>
        </w:numPr>
        <w:spacing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47C89BE" w:rsidR="0CFFB2A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Occupiers’ Liability Act 1984, c.3 (s3) </w:t>
      </w: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hyperlink w:anchor="commentary-key-9f63a361af98d6ee7a801bf16424f25d" r:id="R79e4291b18ce43cc">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https://www.legislation.gov.uk/ukpga/1984/3#commentary-key-9f63a361af98d6ee7a801bf16424f25d</w:t>
        </w:r>
      </w:hyperlink>
    </w:p>
    <w:p w:rsidR="0CFFB2A1" w:rsidP="047C89BE" w:rsidRDefault="0CFFB2A1" w14:paraId="61F4CDA4" w14:textId="26AD78A6">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at: 08/11/23)</w:t>
      </w:r>
    </w:p>
    <w:p w:rsidR="047C89BE" w:rsidP="047C89BE" w:rsidRDefault="047C89BE" w14:paraId="1981D024" w14:textId="220F0A20">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FFB2A1" w:rsidP="047C89BE" w:rsidRDefault="0CFFB2A1" w14:paraId="7766F8DD" w14:textId="7EE66057">
      <w:pPr>
        <w:pStyle w:val="ListParagraph"/>
        <w:numPr>
          <w:ilvl w:val="0"/>
          <w:numId w:val="23"/>
        </w:numPr>
        <w:spacing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Law Reform (Contributory Negligence) Act 1945, c28. </w:t>
      </w: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hyperlink r:id="R757560ef8bfc43e0">
        <w:r w:rsidRPr="047C89BE" w:rsidR="0CFFB2A1">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https://www.legislation.gov.uk/ukpga/Geo6/8-9/28/contents</w:t>
        </w:r>
      </w:hyperlink>
    </w:p>
    <w:p w:rsidR="0CFFB2A1" w:rsidP="047C89BE" w:rsidRDefault="0CFFB2A1" w14:paraId="24F55CDE" w14:textId="1C7D26FF">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47C89BE" w:rsidR="0CFFB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10 of November 2023)</w:t>
      </w:r>
    </w:p>
    <w:p w:rsidR="047C89BE" w:rsidP="047C89BE" w:rsidRDefault="047C89BE" w14:paraId="3CE0DA81" w14:textId="66BC82B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47C89BE" w:rsidP="047C89BE" w:rsidRDefault="047C89BE" w14:paraId="3357D23D" w14:textId="1C453682">
      <w:pPr>
        <w:pStyle w:val="Normal"/>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iA6kfG7VT055C" int2:id="kqrDGaIJ">
      <int2:state int2:type="AugLoop_Text_Critique" int2:value="Rejected"/>
    </int2:textHash>
    <int2:textHash int2:hashCode="+82jpJwdhM50dq" int2:id="tJTN7oyg">
      <int2:state int2:type="AugLoop_Text_Critique" int2:value="Rejected"/>
    </int2:textHash>
    <int2:textHash int2:hashCode="Pih6w8sWr3JoSs" int2:id="rFGbQ0MO">
      <int2:state int2:type="AugLoop_Text_Critique" int2:value="Rejected"/>
    </int2:textHash>
    <int2:textHash int2:hashCode="90BPD13ZvDrV7H" int2:id="ERTuCZ9M">
      <int2:state int2:type="AugLoop_Text_Critique" int2:value="Rejected"/>
    </int2:textHash>
    <int2:bookmark int2:bookmarkName="_Int_SPcqmT0x" int2:invalidationBookmarkName="" int2:hashCode="L553+0oYwWTJsr" int2:id="KGfmIfro">
      <int2:state int2:type="AugLoop_Text_Critique" int2:value="Rejected"/>
    </int2:bookmark>
    <int2:bookmark int2:bookmarkName="_Int_rpRqPPlu" int2:invalidationBookmarkName="" int2:hashCode="3aKsP3YcWmO9eC" int2:id="Um89DEZG">
      <int2:state int2:type="AugLoop_Text_Critique" int2:value="Rejected"/>
    </int2:bookmark>
    <int2:bookmark int2:bookmarkName="_Int_Oa7vmReP" int2:invalidationBookmarkName="" int2:hashCode="wrgrkdALWtjfEw" int2:id="TpUP1DpO">
      <int2:state int2:type="AugLoop_Text_Critique" int2:value="Rejected"/>
    </int2:bookmark>
    <int2:bookmark int2:bookmarkName="_Int_8NLsp8ml" int2:invalidationBookmarkName="" int2:hashCode="3aKsP3YcWmO9eC" int2:id="mKVkd6iX">
      <int2:state int2:type="AugLoop_Text_Critique" int2:value="Rejected"/>
    </int2:bookmark>
    <int2:bookmark int2:bookmarkName="_Int_OuGxK2rj" int2:invalidationBookmarkName="" int2:hashCode="3aKsP3YcWmO9eC" int2:id="VthD3X5F">
      <int2:state int2:type="AugLoop_Text_Critique" int2:value="Rejected"/>
    </int2:bookmark>
    <int2:bookmark int2:bookmarkName="_Int_XwKQG9Em" int2:invalidationBookmarkName="" int2:hashCode="a+tOYbS2qBLtgO" int2:id="PvqeITkM">
      <int2:state int2:type="AugLoop_Text_Critique" int2:value="Rejected"/>
    </int2:bookmark>
    <int2:bookmark int2:bookmarkName="_Int_P4wQlSG4" int2:invalidationBookmarkName="" int2:hashCode="4+jZ/XSYS5B+qe" int2:id="teWstQUs">
      <int2:state int2:type="AugLoop_Text_Critique" int2:value="Rejected"/>
    </int2:bookmark>
    <int2:bookmark int2:bookmarkName="_Int_323KIK5x" int2:invalidationBookmarkName="" int2:hashCode="a+tOYbS2qBLtgO" int2:id="6P2sq2bc">
      <int2:state int2:type="AugLoop_Text_Critique" int2:value="Rejected"/>
    </int2:bookmark>
    <int2:bookmark int2:bookmarkName="_Int_H5uEr3bB" int2:invalidationBookmarkName="" int2:hashCode="3KKjJeR/dxf+gy" int2:id="1GqSuLjZ">
      <int2:state int2:type="AugLoop_Text_Critique" int2:value="Rejected"/>
    </int2:bookmark>
    <int2:bookmark int2:bookmarkName="_Int_yQ1Ww669" int2:invalidationBookmarkName="" int2:hashCode="a+tOYbS2qBLtgO" int2:id="ARoxh6O5">
      <int2:state int2:type="AugLoop_Text_Critique" int2:value="Rejected"/>
    </int2:bookmark>
    <int2:bookmark int2:bookmarkName="_Int_uGGBNHUq" int2:invalidationBookmarkName="" int2:hashCode="6bVNq+N7VCJ8bt" int2:id="1p6pJQhZ">
      <int2:state int2:type="AugLoop_Text_Critique" int2:value="Rejected"/>
    </int2:bookmark>
    <int2:bookmark int2:bookmarkName="_Int_C2z3i6Sv" int2:invalidationBookmarkName="" int2:hashCode="DZE6X5Q2F38Q4x" int2:id="POeKbLmU">
      <int2:state int2:type="AugLoop_Text_Critique" int2:value="Rejected"/>
    </int2:bookmark>
    <int2:bookmark int2:bookmarkName="_Int_MIKaRrbR" int2:invalidationBookmarkName="" int2:hashCode="a2Elz8dU03M6CK" int2:id="tEpnkrWf">
      <int2:state int2:type="AugLoop_Text_Critique" int2:value="Rejected"/>
    </int2:bookmark>
    <int2:bookmark int2:bookmarkName="_Int_5E67kngp" int2:invalidationBookmarkName="" int2:hashCode="2n7SyDQvVDnzGB" int2:id="MpMiL9R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423d5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bf75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779c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4e7d3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2597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76d2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1348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126ed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66bf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e9fc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ba5f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144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540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1720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b660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9d1b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d826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4c7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a97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6a49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cf5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583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873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55387F"/>
    <w:rsid w:val="001DF2FB"/>
    <w:rsid w:val="002515E3"/>
    <w:rsid w:val="0069E434"/>
    <w:rsid w:val="00710C29"/>
    <w:rsid w:val="009AF553"/>
    <w:rsid w:val="00E3F1F9"/>
    <w:rsid w:val="014643B6"/>
    <w:rsid w:val="01E3548A"/>
    <w:rsid w:val="01F92007"/>
    <w:rsid w:val="021D8CFA"/>
    <w:rsid w:val="0267A3F4"/>
    <w:rsid w:val="027B295D"/>
    <w:rsid w:val="0288FA7B"/>
    <w:rsid w:val="02D4365F"/>
    <w:rsid w:val="02F19946"/>
    <w:rsid w:val="02FEA61C"/>
    <w:rsid w:val="031624B7"/>
    <w:rsid w:val="03B95D5B"/>
    <w:rsid w:val="03E43E00"/>
    <w:rsid w:val="040163A7"/>
    <w:rsid w:val="047C89BE"/>
    <w:rsid w:val="05077013"/>
    <w:rsid w:val="0510A049"/>
    <w:rsid w:val="05538E6A"/>
    <w:rsid w:val="05A2BD64"/>
    <w:rsid w:val="05B7631C"/>
    <w:rsid w:val="05E6CDEC"/>
    <w:rsid w:val="067430FE"/>
    <w:rsid w:val="06760D91"/>
    <w:rsid w:val="071EEA85"/>
    <w:rsid w:val="074DB673"/>
    <w:rsid w:val="0753337D"/>
    <w:rsid w:val="075624D2"/>
    <w:rsid w:val="07820745"/>
    <w:rsid w:val="07C12DD0"/>
    <w:rsid w:val="07F8F52D"/>
    <w:rsid w:val="0811DDF2"/>
    <w:rsid w:val="087746BE"/>
    <w:rsid w:val="08838967"/>
    <w:rsid w:val="08985BA6"/>
    <w:rsid w:val="08BFDD92"/>
    <w:rsid w:val="08D4D4CA"/>
    <w:rsid w:val="0A1F59C8"/>
    <w:rsid w:val="0A289EDF"/>
    <w:rsid w:val="0A568B47"/>
    <w:rsid w:val="0A5BADF3"/>
    <w:rsid w:val="0A70A52B"/>
    <w:rsid w:val="0A8AD43F"/>
    <w:rsid w:val="0AE93AAC"/>
    <w:rsid w:val="0AF1C230"/>
    <w:rsid w:val="0B292422"/>
    <w:rsid w:val="0B48C821"/>
    <w:rsid w:val="0B646474"/>
    <w:rsid w:val="0B7AAF5F"/>
    <w:rsid w:val="0BE051A8"/>
    <w:rsid w:val="0BF25BA8"/>
    <w:rsid w:val="0BF77E54"/>
    <w:rsid w:val="0C0953C8"/>
    <w:rsid w:val="0C10EE2D"/>
    <w:rsid w:val="0C40409E"/>
    <w:rsid w:val="0C611E53"/>
    <w:rsid w:val="0C641E43"/>
    <w:rsid w:val="0CFFB2A1"/>
    <w:rsid w:val="0D5B5925"/>
    <w:rsid w:val="0D770309"/>
    <w:rsid w:val="0D8E2C09"/>
    <w:rsid w:val="0DD8D9DC"/>
    <w:rsid w:val="0E4CC69D"/>
    <w:rsid w:val="0E60C4E4"/>
    <w:rsid w:val="0E6726BC"/>
    <w:rsid w:val="0EA02190"/>
    <w:rsid w:val="0EBABFE8"/>
    <w:rsid w:val="0EC9C518"/>
    <w:rsid w:val="0F08F364"/>
    <w:rsid w:val="0F0EAC9A"/>
    <w:rsid w:val="0F29FC6A"/>
    <w:rsid w:val="0F3F28C1"/>
    <w:rsid w:val="0F5E4562"/>
    <w:rsid w:val="0F984550"/>
    <w:rsid w:val="0FC567E3"/>
    <w:rsid w:val="0FC5D09B"/>
    <w:rsid w:val="0FFAA9E4"/>
    <w:rsid w:val="107B93D8"/>
    <w:rsid w:val="1092F9E7"/>
    <w:rsid w:val="10AA7CFB"/>
    <w:rsid w:val="10B13D50"/>
    <w:rsid w:val="10C41247"/>
    <w:rsid w:val="10EF1EC2"/>
    <w:rsid w:val="10EF9CE7"/>
    <w:rsid w:val="1104378B"/>
    <w:rsid w:val="1113BA98"/>
    <w:rsid w:val="115CA239"/>
    <w:rsid w:val="1190F2F2"/>
    <w:rsid w:val="11C0BC84"/>
    <w:rsid w:val="120165DA"/>
    <w:rsid w:val="124859FC"/>
    <w:rsid w:val="124C84B1"/>
    <w:rsid w:val="124D0DB1"/>
    <w:rsid w:val="125896A3"/>
    <w:rsid w:val="128B6D48"/>
    <w:rsid w:val="13172DAA"/>
    <w:rsid w:val="131C375F"/>
    <w:rsid w:val="133B8082"/>
    <w:rsid w:val="136E6043"/>
    <w:rsid w:val="13848606"/>
    <w:rsid w:val="139326D4"/>
    <w:rsid w:val="139FB57A"/>
    <w:rsid w:val="13A5545F"/>
    <w:rsid w:val="13C53B8F"/>
    <w:rsid w:val="140E3B6A"/>
    <w:rsid w:val="149F7F89"/>
    <w:rsid w:val="14D00668"/>
    <w:rsid w:val="1539069C"/>
    <w:rsid w:val="15610BF0"/>
    <w:rsid w:val="15733F0C"/>
    <w:rsid w:val="157DEE1E"/>
    <w:rsid w:val="16045401"/>
    <w:rsid w:val="1654582E"/>
    <w:rsid w:val="166BD6C9"/>
    <w:rsid w:val="16713E28"/>
    <w:rsid w:val="167308FE"/>
    <w:rsid w:val="16732144"/>
    <w:rsid w:val="16E7B003"/>
    <w:rsid w:val="1707A265"/>
    <w:rsid w:val="1745DC2C"/>
    <w:rsid w:val="17BF6CAA"/>
    <w:rsid w:val="17D51C47"/>
    <w:rsid w:val="181A26D2"/>
    <w:rsid w:val="1843F1DD"/>
    <w:rsid w:val="18E5AF2B"/>
    <w:rsid w:val="18EB9251"/>
    <w:rsid w:val="18FAAECC"/>
    <w:rsid w:val="191D987E"/>
    <w:rsid w:val="1988D53E"/>
    <w:rsid w:val="19A3778B"/>
    <w:rsid w:val="1A0BEAC3"/>
    <w:rsid w:val="1A1F50C5"/>
    <w:rsid w:val="1A50BA24"/>
    <w:rsid w:val="1A515F41"/>
    <w:rsid w:val="1A7F4808"/>
    <w:rsid w:val="1A8762B2"/>
    <w:rsid w:val="1A99BB61"/>
    <w:rsid w:val="1AD3C4B3"/>
    <w:rsid w:val="1B7B929F"/>
    <w:rsid w:val="1BBB2126"/>
    <w:rsid w:val="1BE28090"/>
    <w:rsid w:val="1BEABC36"/>
    <w:rsid w:val="1C788DB3"/>
    <w:rsid w:val="1C8554AF"/>
    <w:rsid w:val="1C8F41CF"/>
    <w:rsid w:val="1C92F4CC"/>
    <w:rsid w:val="1CDB184D"/>
    <w:rsid w:val="1D0EB494"/>
    <w:rsid w:val="1D3EC889"/>
    <w:rsid w:val="1D43E7F5"/>
    <w:rsid w:val="1D7E50F1"/>
    <w:rsid w:val="1D87FB51"/>
    <w:rsid w:val="1D9020BC"/>
    <w:rsid w:val="1DD60D75"/>
    <w:rsid w:val="1E65F587"/>
    <w:rsid w:val="1E74E722"/>
    <w:rsid w:val="1E7EB040"/>
    <w:rsid w:val="1EF2C1E8"/>
    <w:rsid w:val="1F142A64"/>
    <w:rsid w:val="1FB02E75"/>
    <w:rsid w:val="1FE4EA93"/>
    <w:rsid w:val="201A57D3"/>
    <w:rsid w:val="20AFFAC5"/>
    <w:rsid w:val="20B10B37"/>
    <w:rsid w:val="20BF155B"/>
    <w:rsid w:val="211E9990"/>
    <w:rsid w:val="2194AD76"/>
    <w:rsid w:val="21B65102"/>
    <w:rsid w:val="21C60095"/>
    <w:rsid w:val="22175918"/>
    <w:rsid w:val="2229659D"/>
    <w:rsid w:val="224BCB26"/>
    <w:rsid w:val="22875766"/>
    <w:rsid w:val="23498A86"/>
    <w:rsid w:val="23522163"/>
    <w:rsid w:val="2361D0F6"/>
    <w:rsid w:val="23ABBF1E"/>
    <w:rsid w:val="23C75D17"/>
    <w:rsid w:val="23DE25B6"/>
    <w:rsid w:val="2465703F"/>
    <w:rsid w:val="2491CB67"/>
    <w:rsid w:val="24CBCCAD"/>
    <w:rsid w:val="24ED97B5"/>
    <w:rsid w:val="24FDA157"/>
    <w:rsid w:val="251FFFC2"/>
    <w:rsid w:val="252841F4"/>
    <w:rsid w:val="25AA72FB"/>
    <w:rsid w:val="25C81D1B"/>
    <w:rsid w:val="260140A0"/>
    <w:rsid w:val="2609C82F"/>
    <w:rsid w:val="260EEFA2"/>
    <w:rsid w:val="26451BE9"/>
    <w:rsid w:val="266A4F5F"/>
    <w:rsid w:val="26896816"/>
    <w:rsid w:val="269B3CE2"/>
    <w:rsid w:val="26A4C752"/>
    <w:rsid w:val="27253337"/>
    <w:rsid w:val="2763ED7C"/>
    <w:rsid w:val="279D1101"/>
    <w:rsid w:val="27B6361E"/>
    <w:rsid w:val="27FB2229"/>
    <w:rsid w:val="281DCAF4"/>
    <w:rsid w:val="288968B6"/>
    <w:rsid w:val="28A588ED"/>
    <w:rsid w:val="28DE117D"/>
    <w:rsid w:val="295E7B35"/>
    <w:rsid w:val="29D1127A"/>
    <w:rsid w:val="2A0FC622"/>
    <w:rsid w:val="2A2A5AB0"/>
    <w:rsid w:val="2A735619"/>
    <w:rsid w:val="2A79E1DE"/>
    <w:rsid w:val="2A8C6AFC"/>
    <w:rsid w:val="2A9B8E3E"/>
    <w:rsid w:val="2AB4907D"/>
    <w:rsid w:val="2AEDD6E0"/>
    <w:rsid w:val="2AFCABCF"/>
    <w:rsid w:val="2B33A710"/>
    <w:rsid w:val="2B6E5AD3"/>
    <w:rsid w:val="2B818589"/>
    <w:rsid w:val="2BC10978"/>
    <w:rsid w:val="2BE0B11E"/>
    <w:rsid w:val="2C0F267A"/>
    <w:rsid w:val="2C151535"/>
    <w:rsid w:val="2C41176F"/>
    <w:rsid w:val="2C4CB3A1"/>
    <w:rsid w:val="2C708224"/>
    <w:rsid w:val="2CB3B1F4"/>
    <w:rsid w:val="2CD33EF0"/>
    <w:rsid w:val="2CE4AE57"/>
    <w:rsid w:val="2D08B33C"/>
    <w:rsid w:val="2D5CD9D9"/>
    <w:rsid w:val="2DEE89C4"/>
    <w:rsid w:val="2E08B007"/>
    <w:rsid w:val="2E6B47D2"/>
    <w:rsid w:val="2E89839A"/>
    <w:rsid w:val="2E8D0C78"/>
    <w:rsid w:val="2E92F872"/>
    <w:rsid w:val="2EB9264B"/>
    <w:rsid w:val="2EE6768C"/>
    <w:rsid w:val="2EF8AA3A"/>
    <w:rsid w:val="2F8801A0"/>
    <w:rsid w:val="2FB680CB"/>
    <w:rsid w:val="2FBE459E"/>
    <w:rsid w:val="2FC14803"/>
    <w:rsid w:val="2FD8871A"/>
    <w:rsid w:val="2FFC8E44"/>
    <w:rsid w:val="30071833"/>
    <w:rsid w:val="300FB47C"/>
    <w:rsid w:val="3016C117"/>
    <w:rsid w:val="302EC8D3"/>
    <w:rsid w:val="3031D01B"/>
    <w:rsid w:val="306741F6"/>
    <w:rsid w:val="30947A9B"/>
    <w:rsid w:val="310600ED"/>
    <w:rsid w:val="310AC1EA"/>
    <w:rsid w:val="3129E2F4"/>
    <w:rsid w:val="31586E0E"/>
    <w:rsid w:val="316C8A9D"/>
    <w:rsid w:val="319CAC29"/>
    <w:rsid w:val="31CA9934"/>
    <w:rsid w:val="31CC540C"/>
    <w:rsid w:val="31CEC719"/>
    <w:rsid w:val="326E49EB"/>
    <w:rsid w:val="32A6924B"/>
    <w:rsid w:val="32B42E42"/>
    <w:rsid w:val="32C5B355"/>
    <w:rsid w:val="32DF4691"/>
    <w:rsid w:val="330856F0"/>
    <w:rsid w:val="3312BCE6"/>
    <w:rsid w:val="333EB8F5"/>
    <w:rsid w:val="3342E8E9"/>
    <w:rsid w:val="3353EFDB"/>
    <w:rsid w:val="336A977A"/>
    <w:rsid w:val="33BB1AAF"/>
    <w:rsid w:val="33D13AC9"/>
    <w:rsid w:val="33F08E58"/>
    <w:rsid w:val="33F779B5"/>
    <w:rsid w:val="3494B926"/>
    <w:rsid w:val="34CF4A0F"/>
    <w:rsid w:val="34DA8956"/>
    <w:rsid w:val="34EFC03C"/>
    <w:rsid w:val="350667DB"/>
    <w:rsid w:val="3544B41A"/>
    <w:rsid w:val="3556EB10"/>
    <w:rsid w:val="356B5D08"/>
    <w:rsid w:val="356D0B2A"/>
    <w:rsid w:val="3582F560"/>
    <w:rsid w:val="35938B96"/>
    <w:rsid w:val="35C3C25A"/>
    <w:rsid w:val="35C5D959"/>
    <w:rsid w:val="35D3AD30"/>
    <w:rsid w:val="35D84ED5"/>
    <w:rsid w:val="35F07A65"/>
    <w:rsid w:val="35FD5417"/>
    <w:rsid w:val="361F1542"/>
    <w:rsid w:val="36308987"/>
    <w:rsid w:val="365D2857"/>
    <w:rsid w:val="36A12E45"/>
    <w:rsid w:val="36A80D9E"/>
    <w:rsid w:val="3780FC40"/>
    <w:rsid w:val="37D89FD1"/>
    <w:rsid w:val="382F4E84"/>
    <w:rsid w:val="383CFEA6"/>
    <w:rsid w:val="383E089D"/>
    <w:rsid w:val="3851A23D"/>
    <w:rsid w:val="38D54ADF"/>
    <w:rsid w:val="38DAEF0B"/>
    <w:rsid w:val="38DF1EA3"/>
    <w:rsid w:val="38FB631C"/>
    <w:rsid w:val="3919E069"/>
    <w:rsid w:val="391DFDC3"/>
    <w:rsid w:val="3920D916"/>
    <w:rsid w:val="3925E1A0"/>
    <w:rsid w:val="39933C92"/>
    <w:rsid w:val="399C3A38"/>
    <w:rsid w:val="39B48119"/>
    <w:rsid w:val="39C3315F"/>
    <w:rsid w:val="39C45E90"/>
    <w:rsid w:val="39C9359F"/>
    <w:rsid w:val="39D8CF07"/>
    <w:rsid w:val="39D9D8FE"/>
    <w:rsid w:val="3A1BAADA"/>
    <w:rsid w:val="3A35E26B"/>
    <w:rsid w:val="3A3662A5"/>
    <w:rsid w:val="3AB9CE24"/>
    <w:rsid w:val="3AE88ECF"/>
    <w:rsid w:val="3AF8EE14"/>
    <w:rsid w:val="3B380A99"/>
    <w:rsid w:val="3B4D9259"/>
    <w:rsid w:val="3B5F01C0"/>
    <w:rsid w:val="3B602EF1"/>
    <w:rsid w:val="3B665797"/>
    <w:rsid w:val="3B7019B9"/>
    <w:rsid w:val="3B749F68"/>
    <w:rsid w:val="3B80A16D"/>
    <w:rsid w:val="3BE65266"/>
    <w:rsid w:val="3BEA416C"/>
    <w:rsid w:val="3BEABE8B"/>
    <w:rsid w:val="3BF6D291"/>
    <w:rsid w:val="3BFA92EF"/>
    <w:rsid w:val="3C2F88E7"/>
    <w:rsid w:val="3C3303DE"/>
    <w:rsid w:val="3C6CE49D"/>
    <w:rsid w:val="3C8841D8"/>
    <w:rsid w:val="3C8BACEA"/>
    <w:rsid w:val="3C9B1BF9"/>
    <w:rsid w:val="3D02BFA7"/>
    <w:rsid w:val="3D1C71CE"/>
    <w:rsid w:val="3D57642C"/>
    <w:rsid w:val="3D5F321B"/>
    <w:rsid w:val="3D636082"/>
    <w:rsid w:val="3D6EEF86"/>
    <w:rsid w:val="3D8611CD"/>
    <w:rsid w:val="3D92A2F2"/>
    <w:rsid w:val="3DBC41FB"/>
    <w:rsid w:val="3E13291E"/>
    <w:rsid w:val="3E3AAD5D"/>
    <w:rsid w:val="3E3DAE23"/>
    <w:rsid w:val="3E4388F2"/>
    <w:rsid w:val="3E547C3B"/>
    <w:rsid w:val="3E617B0C"/>
    <w:rsid w:val="3EAFFCB5"/>
    <w:rsid w:val="3EB8422F"/>
    <w:rsid w:val="3EDEC28C"/>
    <w:rsid w:val="3EFB027C"/>
    <w:rsid w:val="3EFDCD56"/>
    <w:rsid w:val="3F14A0CD"/>
    <w:rsid w:val="3F163602"/>
    <w:rsid w:val="3F2E7353"/>
    <w:rsid w:val="3F64A27B"/>
    <w:rsid w:val="3F898395"/>
    <w:rsid w:val="3FBFE29A"/>
    <w:rsid w:val="3FE917B3"/>
    <w:rsid w:val="4033A014"/>
    <w:rsid w:val="406B3AD8"/>
    <w:rsid w:val="408AB77B"/>
    <w:rsid w:val="408AD911"/>
    <w:rsid w:val="409CDDB1"/>
    <w:rsid w:val="40A69048"/>
    <w:rsid w:val="40D68F22"/>
    <w:rsid w:val="40DB5256"/>
    <w:rsid w:val="412108BC"/>
    <w:rsid w:val="41CC26F7"/>
    <w:rsid w:val="4205E0E0"/>
    <w:rsid w:val="42149061"/>
    <w:rsid w:val="4238AE12"/>
    <w:rsid w:val="4239B8A3"/>
    <w:rsid w:val="428ACE3D"/>
    <w:rsid w:val="42E285C2"/>
    <w:rsid w:val="43152477"/>
    <w:rsid w:val="432F2FF0"/>
    <w:rsid w:val="43580E83"/>
    <w:rsid w:val="43836DD8"/>
    <w:rsid w:val="439187F3"/>
    <w:rsid w:val="43A2B1C0"/>
    <w:rsid w:val="43F2E42C"/>
    <w:rsid w:val="441D119F"/>
    <w:rsid w:val="4438139E"/>
    <w:rsid w:val="444C5E02"/>
    <w:rsid w:val="445E7F23"/>
    <w:rsid w:val="44825C94"/>
    <w:rsid w:val="450DD18C"/>
    <w:rsid w:val="451F3E39"/>
    <w:rsid w:val="4544F63F"/>
    <w:rsid w:val="4670D31C"/>
    <w:rsid w:val="46A2E198"/>
    <w:rsid w:val="46A6C720"/>
    <w:rsid w:val="46DA5282"/>
    <w:rsid w:val="46FFCAAD"/>
    <w:rsid w:val="4708DF3B"/>
    <w:rsid w:val="470D29C6"/>
    <w:rsid w:val="474F0704"/>
    <w:rsid w:val="475E3F60"/>
    <w:rsid w:val="476FB460"/>
    <w:rsid w:val="47774FA7"/>
    <w:rsid w:val="47D6941D"/>
    <w:rsid w:val="47E379D1"/>
    <w:rsid w:val="485B0FF6"/>
    <w:rsid w:val="486600D1"/>
    <w:rsid w:val="48A8FA27"/>
    <w:rsid w:val="48C00475"/>
    <w:rsid w:val="48EB889E"/>
    <w:rsid w:val="48F44EC3"/>
    <w:rsid w:val="4906D9EF"/>
    <w:rsid w:val="492BEAF3"/>
    <w:rsid w:val="49B8A86D"/>
    <w:rsid w:val="49BAC55F"/>
    <w:rsid w:val="49C5184E"/>
    <w:rsid w:val="49F6E057"/>
    <w:rsid w:val="4A04E83C"/>
    <w:rsid w:val="4A10F0E1"/>
    <w:rsid w:val="4A3EB2D3"/>
    <w:rsid w:val="4A407FFD"/>
    <w:rsid w:val="4A44CA88"/>
    <w:rsid w:val="4A493099"/>
    <w:rsid w:val="4A5C678D"/>
    <w:rsid w:val="4A5DB81A"/>
    <w:rsid w:val="4A833D73"/>
    <w:rsid w:val="4A8758FF"/>
    <w:rsid w:val="4ABC7489"/>
    <w:rsid w:val="4ABD5389"/>
    <w:rsid w:val="4AD36EF5"/>
    <w:rsid w:val="4B10FBDC"/>
    <w:rsid w:val="4B1B1A93"/>
    <w:rsid w:val="4B44443F"/>
    <w:rsid w:val="4BD0AFC5"/>
    <w:rsid w:val="4BDB93ED"/>
    <w:rsid w:val="4BDC505E"/>
    <w:rsid w:val="4BE09AE9"/>
    <w:rsid w:val="4BFA88BA"/>
    <w:rsid w:val="4C0A4598"/>
    <w:rsid w:val="4C232960"/>
    <w:rsid w:val="4C96FCA9"/>
    <w:rsid w:val="4CF8FABF"/>
    <w:rsid w:val="4D18E371"/>
    <w:rsid w:val="4D364666"/>
    <w:rsid w:val="4D52B54F"/>
    <w:rsid w:val="4D6C8026"/>
    <w:rsid w:val="4D77644E"/>
    <w:rsid w:val="4DC11088"/>
    <w:rsid w:val="4E0B0FB7"/>
    <w:rsid w:val="4E246A2C"/>
    <w:rsid w:val="4E376A4F"/>
    <w:rsid w:val="4E3D2A81"/>
    <w:rsid w:val="4ED21DD7"/>
    <w:rsid w:val="4EECC6F0"/>
    <w:rsid w:val="4EEE85B0"/>
    <w:rsid w:val="4F085087"/>
    <w:rsid w:val="4F11BDA6"/>
    <w:rsid w:val="4F389FB5"/>
    <w:rsid w:val="4F8D6522"/>
    <w:rsid w:val="4FB200DD"/>
    <w:rsid w:val="4FB94FEA"/>
    <w:rsid w:val="4FEE8BB6"/>
    <w:rsid w:val="505B6300"/>
    <w:rsid w:val="5065A1B5"/>
    <w:rsid w:val="50AF0510"/>
    <w:rsid w:val="50B40C0C"/>
    <w:rsid w:val="50B4E42D"/>
    <w:rsid w:val="50E9D3D7"/>
    <w:rsid w:val="511696A6"/>
    <w:rsid w:val="51293583"/>
    <w:rsid w:val="515182CD"/>
    <w:rsid w:val="519DA764"/>
    <w:rsid w:val="51B170DF"/>
    <w:rsid w:val="51D6AEA6"/>
    <w:rsid w:val="51EC5494"/>
    <w:rsid w:val="5201F23C"/>
    <w:rsid w:val="524AD571"/>
    <w:rsid w:val="528D1A04"/>
    <w:rsid w:val="52A44D26"/>
    <w:rsid w:val="52C21C1F"/>
    <w:rsid w:val="52E78E62"/>
    <w:rsid w:val="53364273"/>
    <w:rsid w:val="534B21CC"/>
    <w:rsid w:val="539DC29D"/>
    <w:rsid w:val="53B5E457"/>
    <w:rsid w:val="53E6A5D2"/>
    <w:rsid w:val="53EBACCE"/>
    <w:rsid w:val="544E3768"/>
    <w:rsid w:val="545DEC80"/>
    <w:rsid w:val="54662948"/>
    <w:rsid w:val="547179A4"/>
    <w:rsid w:val="54987324"/>
    <w:rsid w:val="54CB716E"/>
    <w:rsid w:val="553A1015"/>
    <w:rsid w:val="553D4F89"/>
    <w:rsid w:val="557EA25D"/>
    <w:rsid w:val="55AC8796"/>
    <w:rsid w:val="55C5EB99"/>
    <w:rsid w:val="55FCA6A6"/>
    <w:rsid w:val="56610D34"/>
    <w:rsid w:val="5681BF23"/>
    <w:rsid w:val="56BFA114"/>
    <w:rsid w:val="56C4D870"/>
    <w:rsid w:val="572425B1"/>
    <w:rsid w:val="5726341A"/>
    <w:rsid w:val="5761BBFA"/>
    <w:rsid w:val="57AE5B90"/>
    <w:rsid w:val="57B1F1FD"/>
    <w:rsid w:val="581CAAC1"/>
    <w:rsid w:val="586674E5"/>
    <w:rsid w:val="58BFF612"/>
    <w:rsid w:val="58C2047B"/>
    <w:rsid w:val="58DCD8C2"/>
    <w:rsid w:val="58FD6428"/>
    <w:rsid w:val="59151A07"/>
    <w:rsid w:val="59377034"/>
    <w:rsid w:val="595A3593"/>
    <w:rsid w:val="595B97D0"/>
    <w:rsid w:val="599D5B82"/>
    <w:rsid w:val="59BC82C4"/>
    <w:rsid w:val="59EACE21"/>
    <w:rsid w:val="5A024546"/>
    <w:rsid w:val="5A300494"/>
    <w:rsid w:val="5A76F9F9"/>
    <w:rsid w:val="5ABCCA29"/>
    <w:rsid w:val="5B585325"/>
    <w:rsid w:val="5B9E15A7"/>
    <w:rsid w:val="5BA1AACA"/>
    <w:rsid w:val="5BAC910D"/>
    <w:rsid w:val="5BF9A53D"/>
    <w:rsid w:val="5C0DBC4F"/>
    <w:rsid w:val="5C1061E2"/>
    <w:rsid w:val="5C131DFA"/>
    <w:rsid w:val="5C46D94E"/>
    <w:rsid w:val="5C5DF5A0"/>
    <w:rsid w:val="5C6DD170"/>
    <w:rsid w:val="5CB2E160"/>
    <w:rsid w:val="5CF42386"/>
    <w:rsid w:val="5D226EE3"/>
    <w:rsid w:val="5D39E608"/>
    <w:rsid w:val="5D40F415"/>
    <w:rsid w:val="5D449E16"/>
    <w:rsid w:val="5D747072"/>
    <w:rsid w:val="5D95759E"/>
    <w:rsid w:val="5DE06F7D"/>
    <w:rsid w:val="5E1D3B2E"/>
    <w:rsid w:val="5E3951E7"/>
    <w:rsid w:val="5E70CCA5"/>
    <w:rsid w:val="5E75D1B0"/>
    <w:rsid w:val="5EC95397"/>
    <w:rsid w:val="5ED5B669"/>
    <w:rsid w:val="5EDCC476"/>
    <w:rsid w:val="5EE3161F"/>
    <w:rsid w:val="5F12CBBA"/>
    <w:rsid w:val="5F192779"/>
    <w:rsid w:val="5F3145FF"/>
    <w:rsid w:val="5F4A6B1C"/>
    <w:rsid w:val="5F8C49D5"/>
    <w:rsid w:val="5F903B4C"/>
    <w:rsid w:val="5FB04EBA"/>
    <w:rsid w:val="5FC600B5"/>
    <w:rsid w:val="5FD52248"/>
    <w:rsid w:val="6048FC0C"/>
    <w:rsid w:val="60A63B64"/>
    <w:rsid w:val="60D9E4D5"/>
    <w:rsid w:val="60E0B314"/>
    <w:rsid w:val="60E63B7D"/>
    <w:rsid w:val="6128DE26"/>
    <w:rsid w:val="614C1F1B"/>
    <w:rsid w:val="61841C89"/>
    <w:rsid w:val="61A17127"/>
    <w:rsid w:val="61C5D21C"/>
    <w:rsid w:val="61ED344C"/>
    <w:rsid w:val="61F5E006"/>
    <w:rsid w:val="61F72641"/>
    <w:rsid w:val="620F428C"/>
    <w:rsid w:val="62146969"/>
    <w:rsid w:val="6221EE1C"/>
    <w:rsid w:val="627842C0"/>
    <w:rsid w:val="6279B45E"/>
    <w:rsid w:val="62B07C34"/>
    <w:rsid w:val="630CC30A"/>
    <w:rsid w:val="635685B6"/>
    <w:rsid w:val="637085D3"/>
    <w:rsid w:val="63709DAA"/>
    <w:rsid w:val="63AB12ED"/>
    <w:rsid w:val="6404B722"/>
    <w:rsid w:val="6422A5FC"/>
    <w:rsid w:val="644C4C95"/>
    <w:rsid w:val="644E4B91"/>
    <w:rsid w:val="6455387F"/>
    <w:rsid w:val="646C48B8"/>
    <w:rsid w:val="64863FB0"/>
    <w:rsid w:val="648F8AF4"/>
    <w:rsid w:val="649971D8"/>
    <w:rsid w:val="64B2B533"/>
    <w:rsid w:val="64DF6086"/>
    <w:rsid w:val="65394084"/>
    <w:rsid w:val="654EFC72"/>
    <w:rsid w:val="65673DE0"/>
    <w:rsid w:val="6595A35B"/>
    <w:rsid w:val="65AFE382"/>
    <w:rsid w:val="65D5FE70"/>
    <w:rsid w:val="662ACE75"/>
    <w:rsid w:val="667B30E7"/>
    <w:rsid w:val="667BDE8A"/>
    <w:rsid w:val="66EACCD3"/>
    <w:rsid w:val="671DAAD5"/>
    <w:rsid w:val="67415EE0"/>
    <w:rsid w:val="67A779B8"/>
    <w:rsid w:val="67C69ED6"/>
    <w:rsid w:val="6817AEEB"/>
    <w:rsid w:val="68205A62"/>
    <w:rsid w:val="6824A17C"/>
    <w:rsid w:val="68432BAC"/>
    <w:rsid w:val="6853412E"/>
    <w:rsid w:val="6879CAD7"/>
    <w:rsid w:val="692C6BC6"/>
    <w:rsid w:val="69626F37"/>
    <w:rsid w:val="69908CD1"/>
    <w:rsid w:val="69BF0584"/>
    <w:rsid w:val="69C071DD"/>
    <w:rsid w:val="6A221C03"/>
    <w:rsid w:val="6A464B3C"/>
    <w:rsid w:val="6A8354A5"/>
    <w:rsid w:val="6ABE7E48"/>
    <w:rsid w:val="6ACEFC7C"/>
    <w:rsid w:val="6B07A40F"/>
    <w:rsid w:val="6B4F4FAD"/>
    <w:rsid w:val="6BBE8943"/>
    <w:rsid w:val="6BDD2612"/>
    <w:rsid w:val="6C2E377C"/>
    <w:rsid w:val="6C522539"/>
    <w:rsid w:val="6C595D76"/>
    <w:rsid w:val="6C7C3DE7"/>
    <w:rsid w:val="6C8B706B"/>
    <w:rsid w:val="6CC975A1"/>
    <w:rsid w:val="6CEF6A99"/>
    <w:rsid w:val="6D174574"/>
    <w:rsid w:val="6D17D0D3"/>
    <w:rsid w:val="6D593FAE"/>
    <w:rsid w:val="6D7410D2"/>
    <w:rsid w:val="6D7A36CC"/>
    <w:rsid w:val="6E422206"/>
    <w:rsid w:val="6E5F7543"/>
    <w:rsid w:val="6E6E9DEF"/>
    <w:rsid w:val="6E86F06F"/>
    <w:rsid w:val="6EBBE1FB"/>
    <w:rsid w:val="6EED2384"/>
    <w:rsid w:val="6EF58D26"/>
    <w:rsid w:val="6F2A1047"/>
    <w:rsid w:val="6F65FA23"/>
    <w:rsid w:val="6F8ECCA1"/>
    <w:rsid w:val="6FBF4B0D"/>
    <w:rsid w:val="7022C0D0"/>
    <w:rsid w:val="702FB361"/>
    <w:rsid w:val="70306C69"/>
    <w:rsid w:val="7055A96E"/>
    <w:rsid w:val="70881000"/>
    <w:rsid w:val="708995F5"/>
    <w:rsid w:val="70ABB194"/>
    <w:rsid w:val="70B0017A"/>
    <w:rsid w:val="70BDCCEC"/>
    <w:rsid w:val="71119B99"/>
    <w:rsid w:val="711399AC"/>
    <w:rsid w:val="717D7AA3"/>
    <w:rsid w:val="71A0ED85"/>
    <w:rsid w:val="71BE9131"/>
    <w:rsid w:val="71C25CC4"/>
    <w:rsid w:val="71CB83C2"/>
    <w:rsid w:val="722D2DE8"/>
    <w:rsid w:val="724781F5"/>
    <w:rsid w:val="7299A0F5"/>
    <w:rsid w:val="72B8BB9D"/>
    <w:rsid w:val="72E1FBE7"/>
    <w:rsid w:val="72E923B1"/>
    <w:rsid w:val="734673DD"/>
    <w:rsid w:val="735A6192"/>
    <w:rsid w:val="735AD1CD"/>
    <w:rsid w:val="735EAC1D"/>
    <w:rsid w:val="73AE107F"/>
    <w:rsid w:val="7434FC28"/>
    <w:rsid w:val="7441D985"/>
    <w:rsid w:val="7471C82B"/>
    <w:rsid w:val="747916ED"/>
    <w:rsid w:val="747BE302"/>
    <w:rsid w:val="749E0A8A"/>
    <w:rsid w:val="74BC2BDF"/>
    <w:rsid w:val="74CE583D"/>
    <w:rsid w:val="7563093D"/>
    <w:rsid w:val="75A96102"/>
    <w:rsid w:val="75ADFC94"/>
    <w:rsid w:val="75FA48CE"/>
    <w:rsid w:val="75FB5940"/>
    <w:rsid w:val="7635D50E"/>
    <w:rsid w:val="76539D7F"/>
    <w:rsid w:val="768F7174"/>
    <w:rsid w:val="76920254"/>
    <w:rsid w:val="772EC7FE"/>
    <w:rsid w:val="777FD43C"/>
    <w:rsid w:val="779C101D"/>
    <w:rsid w:val="77AD7F84"/>
    <w:rsid w:val="77C9FC85"/>
    <w:rsid w:val="77D1A56F"/>
    <w:rsid w:val="77D208EF"/>
    <w:rsid w:val="77D3720F"/>
    <w:rsid w:val="77F384EA"/>
    <w:rsid w:val="7822321C"/>
    <w:rsid w:val="78276680"/>
    <w:rsid w:val="7844DF04"/>
    <w:rsid w:val="7894A7DA"/>
    <w:rsid w:val="78AAE8B7"/>
    <w:rsid w:val="78B6C379"/>
    <w:rsid w:val="78D653B7"/>
    <w:rsid w:val="790E6C30"/>
    <w:rsid w:val="79186E9A"/>
    <w:rsid w:val="7938150E"/>
    <w:rsid w:val="79741187"/>
    <w:rsid w:val="79778A1A"/>
    <w:rsid w:val="79808087"/>
    <w:rsid w:val="79ADAFDF"/>
    <w:rsid w:val="79C192B2"/>
    <w:rsid w:val="7A127B14"/>
    <w:rsid w:val="7A19BE53"/>
    <w:rsid w:val="7A46B918"/>
    <w:rsid w:val="7A5293DA"/>
    <w:rsid w:val="7A5C920E"/>
    <w:rsid w:val="7A883E8C"/>
    <w:rsid w:val="7AAA3C91"/>
    <w:rsid w:val="7AB43EFB"/>
    <w:rsid w:val="7BAE4B75"/>
    <w:rsid w:val="7BCC489C"/>
    <w:rsid w:val="7BE56764"/>
    <w:rsid w:val="7C37E65E"/>
    <w:rsid w:val="7C500F5C"/>
    <w:rsid w:val="7C699986"/>
    <w:rsid w:val="7CDA6DE9"/>
    <w:rsid w:val="7CE29354"/>
    <w:rsid w:val="7D058E63"/>
    <w:rsid w:val="7D309020"/>
    <w:rsid w:val="7D35FE54"/>
    <w:rsid w:val="7D953325"/>
    <w:rsid w:val="7DE66AA0"/>
    <w:rsid w:val="7E010C0B"/>
    <w:rsid w:val="7E2B34F8"/>
    <w:rsid w:val="7E42B393"/>
    <w:rsid w:val="7ECAC895"/>
    <w:rsid w:val="7ED644F7"/>
    <w:rsid w:val="7F0F97F6"/>
    <w:rsid w:val="7F300331"/>
    <w:rsid w:val="7FE5C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387F"/>
  <w15:chartTrackingRefBased/>
  <w15:docId w15:val="{D670597F-4875-4E54-A456-CB1E65ACDE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mantic-education.com/ibpsych/2019/01/15/key-study-banduras-bobo-doll-1963/" TargetMode="External" Id="R1f92a1d5dbca4a08" /><Relationship Type="http://schemas.openxmlformats.org/officeDocument/2006/relationships/hyperlink" Target="https://swarb.co.uk/addie-robert-and-sons-collieries-ltd-v-dumbreck-hl-25-feb-1929/" TargetMode="External" Id="R034a56bfa6d34900" /><Relationship Type="http://schemas.openxmlformats.org/officeDocument/2006/relationships/hyperlink" Target="https://www.casemine.com/judgement/uk/5a938b3e60d03e5f6b82ba43" TargetMode="External" Id="Rd1c211c7ad79497c" /><Relationship Type="http://schemas.openxmlformats.org/officeDocument/2006/relationships/hyperlink" Target="https://swarb.co.uk/clunis-by-his-next-friend-prince-v-camden-and-islington-health-authority-CA-5-Dec-1997/" TargetMode="External" Id="R9909eee8b0014ce3" /><Relationship Type="http://schemas.openxmlformats.org/officeDocument/2006/relationships/hyperlink" Target="https://thelawtutors.co.uk/donoghue-v-stevenson/" TargetMode="External" Id="R7940b5e4ae744877" /><Relationship Type="http://schemas.openxmlformats.org/officeDocument/2006/relationships/hyperlink" Target="https://swarb.co.uk/harris-v-birkenhead-corporation-ca-12-nov-1975/" TargetMode="External" Id="R00bd32cf64204877" /><Relationship Type="http://schemas.openxmlformats.org/officeDocument/2006/relationships/hyperlink" Target="https://lawprof.co/tort/tort-defences-cases/imperial-chemical-industries-v-shatwell-1965-ac-656/" TargetMode="External" Id="R9c84fc8e62244cb2" /><Relationship Type="http://schemas.openxmlformats.org/officeDocument/2006/relationships/hyperlink" Target="https://www.casemine.com/judgement/uk/5a8ff87960d03e7f57ec10bf" TargetMode="External" Id="Rc97c523224ea42ff" /><Relationship Type="http://schemas.openxmlformats.org/officeDocument/2006/relationships/hyperlink" Target="https://lawprof.co/tort/occupiers-liability-cases/wheat-v-lacon-1966-ac-552/" TargetMode="External" Id="R910612e0d8da4b2f" /><Relationship Type="http://schemas.openxmlformats.org/officeDocument/2006/relationships/hyperlink" Target="https://swarb.co.uk/young-v-kent-county-council-qbd-14-mar-2005/?utm_content=cmp-true" TargetMode="External" Id="R0b55a0ab6d7c42fd" /><Relationship Type="http://schemas.openxmlformats.org/officeDocument/2006/relationships/hyperlink" Target="https://www.legislation.gov.uk/ukpga/2006/29" TargetMode="External" Id="R07a01ca5cb824964" /><Relationship Type="http://schemas.openxmlformats.org/officeDocument/2006/relationships/hyperlink" Target="https://www.legislation.gov.uk/ukpga/Eliz2/5-6/31/crossheading/liability-in-tort" TargetMode="External" Id="R1ec7dc57327b46cb" /><Relationship Type="http://schemas.openxmlformats.org/officeDocument/2006/relationships/hyperlink" Target="https://www.legislation.gov.uk/ukpga/Eliz2/5-6/31/section/2" TargetMode="External" Id="R9b4d48263fda4c08" /><Relationship Type="http://schemas.openxmlformats.org/officeDocument/2006/relationships/hyperlink" Target="https://www.legislation.gov.uk/ukpga/Eliz2/5-6/31/section/2" TargetMode="External" Id="Rbf3f936428fa4540" /><Relationship Type="http://schemas.openxmlformats.org/officeDocument/2006/relationships/hyperlink" Target="https://www.legislation.gov.uk/ukpga/Eliz2/5-6/31/section/2" TargetMode="External" Id="R2075221e94c44e63" /><Relationship Type="http://schemas.openxmlformats.org/officeDocument/2006/relationships/hyperlink" Target="https://www.legislation.gov.uk/ukpga/Eliz2/5-6/31/section/2" TargetMode="External" Id="R927d76957852425d" /><Relationship Type="http://schemas.openxmlformats.org/officeDocument/2006/relationships/hyperlink" Target="https://www.legislation.gov.uk/ukpga/Eliz2/5-6/31/section/2" TargetMode="External" Id="Rcdc65e0f1ec3481a" /><Relationship Type="http://schemas.openxmlformats.org/officeDocument/2006/relationships/hyperlink" Target="https://www.legislation.gov.uk/ukpga/Eliz2/5-6/31/section/5" TargetMode="External" Id="Ra29c97eeb9354b9d" /><Relationship Type="http://schemas.openxmlformats.org/officeDocument/2006/relationships/hyperlink" Target="https://www.legislation.gov.uk/ukpga/1984/3" TargetMode="External" Id="R00ad11ba85e24f29" /><Relationship Type="http://schemas.openxmlformats.org/officeDocument/2006/relationships/hyperlink" Target="https://www.legislation.gov.uk/ukpga/1984/3" TargetMode="External" Id="R12e9da4682354f58" /><Relationship Type="http://schemas.openxmlformats.org/officeDocument/2006/relationships/hyperlink" Target="https://www.legislation.gov.uk/ukpga/1984/3" TargetMode="External" Id="R100797b9f4b842b7" /><Relationship Type="http://schemas.openxmlformats.org/officeDocument/2006/relationships/hyperlink" Target="https://www.legislation.gov.uk/ukpga/1984/3" TargetMode="External" Id="R79e4291b18ce43cc" /><Relationship Type="http://schemas.openxmlformats.org/officeDocument/2006/relationships/hyperlink" Target="https://www.legislation.gov.uk/ukpga/Geo6/8-9/28/contents" TargetMode="External" Id="R757560ef8bfc43e0" /><Relationship Type="http://schemas.microsoft.com/office/2020/10/relationships/intelligence" Target="/word/intelligence2.xml" Id="Ra7e83bfcf15f4cdb" /><Relationship Type="http://schemas.openxmlformats.org/officeDocument/2006/relationships/numbering" Target="/word/numbering.xml" Id="R5ee7c7c03e2e4f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Star Gleeson (2203541)</dc:creator>
  <keywords/>
  <dc:description/>
  <lastModifiedBy>Star Gleeson (2203541)</lastModifiedBy>
  <revision>2</revision>
  <dcterms:created xsi:type="dcterms:W3CDTF">2023-11-08T22:28:51.6336313Z</dcterms:created>
  <dcterms:modified xsi:type="dcterms:W3CDTF">2023-11-10T23:57:03.4177380Z</dcterms:modified>
</coreProperties>
</file>