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A50F7" w14:textId="77777777" w:rsidR="00CB30FC" w:rsidRDefault="00CB30FC" w:rsidP="00CB30FC">
      <w:pPr>
        <w:spacing w:before="100" w:beforeAutospacing="1" w:after="100" w:afterAutospacing="1" w:line="240" w:lineRule="auto"/>
        <w:rPr>
          <w:rFonts w:ascii="Arial" w:eastAsia="Times New Roman" w:hAnsi="Arial" w:cs="Arial"/>
          <w:b/>
          <w:bCs/>
          <w:sz w:val="28"/>
          <w:szCs w:val="28"/>
          <w:lang w:eastAsia="en-GB"/>
        </w:rPr>
      </w:pPr>
      <w:r>
        <w:rPr>
          <w:noProof/>
        </w:rPr>
        <w:drawing>
          <wp:inline distT="0" distB="0" distL="0" distR="0" wp14:anchorId="29AC1D6F" wp14:editId="5E9A4E97">
            <wp:extent cx="2254250" cy="1866900"/>
            <wp:effectExtent l="0" t="0" r="0" b="0"/>
            <wp:docPr id="1239305138"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4250" cy="1866900"/>
                    </a:xfrm>
                    <a:prstGeom prst="rect">
                      <a:avLst/>
                    </a:prstGeom>
                    <a:noFill/>
                    <a:ln>
                      <a:noFill/>
                    </a:ln>
                  </pic:spPr>
                </pic:pic>
              </a:graphicData>
            </a:graphic>
          </wp:inline>
        </w:drawing>
      </w:r>
      <w:r w:rsidRPr="00CB30FC">
        <w:rPr>
          <w:rFonts w:ascii="Arial" w:eastAsia="Times New Roman" w:hAnsi="Arial" w:cs="Arial"/>
          <w:b/>
          <w:bCs/>
          <w:sz w:val="28"/>
          <w:szCs w:val="28"/>
          <w:lang w:eastAsia="en-GB"/>
        </w:rPr>
        <w:t xml:space="preserve"> </w:t>
      </w:r>
    </w:p>
    <w:p w14:paraId="37B0D957" w14:textId="739FDCF6"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b/>
          <w:bCs/>
          <w:sz w:val="28"/>
          <w:szCs w:val="28"/>
          <w:lang w:eastAsia="en-GB"/>
        </w:rPr>
        <w:t xml:space="preserve">Tittle: </w:t>
      </w:r>
      <w:r w:rsidRPr="00867252">
        <w:rPr>
          <w:rFonts w:ascii="Arial" w:eastAsia="Times New Roman" w:hAnsi="Arial" w:cs="Arial"/>
          <w:b/>
          <w:bCs/>
          <w:sz w:val="24"/>
          <w:szCs w:val="24"/>
          <w:lang w:eastAsia="en-GB"/>
        </w:rPr>
        <w:t>Living Well with Type 2 Diabetes</w:t>
      </w:r>
      <w:r>
        <w:rPr>
          <w:rFonts w:ascii="Arial" w:eastAsia="Times New Roman" w:hAnsi="Arial" w:cs="Arial"/>
          <w:b/>
          <w:bCs/>
          <w:sz w:val="24"/>
          <w:szCs w:val="24"/>
          <w:lang w:eastAsia="en-GB"/>
        </w:rPr>
        <w:t>,</w:t>
      </w:r>
      <w:r w:rsidRPr="00867252">
        <w:rPr>
          <w:rFonts w:ascii="Arial" w:eastAsia="Times New Roman" w:hAnsi="Arial" w:cs="Arial"/>
          <w:b/>
          <w:bCs/>
          <w:sz w:val="24"/>
          <w:szCs w:val="24"/>
          <w:lang w:eastAsia="en-GB"/>
        </w:rPr>
        <w:t xml:space="preserve"> Understanding, Managing, and Supporting Long-Term Health Conditions</w:t>
      </w:r>
    </w:p>
    <w:p w14:paraId="168EAEA2" w14:textId="77777777"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b/>
          <w:bCs/>
          <w:sz w:val="24"/>
          <w:szCs w:val="24"/>
          <w:lang w:eastAsia="en-GB"/>
        </w:rPr>
        <w:t>Module Title: Community Care and Management of Longer – term Conditions</w:t>
      </w:r>
    </w:p>
    <w:p w14:paraId="7ACE3006" w14:textId="77777777"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b/>
          <w:bCs/>
          <w:sz w:val="24"/>
          <w:szCs w:val="24"/>
          <w:lang w:eastAsia="en-GB"/>
        </w:rPr>
        <w:t>Module Code: LCHS7003_LON</w:t>
      </w:r>
    </w:p>
    <w:p w14:paraId="531558B4" w14:textId="77777777"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b/>
          <w:bCs/>
          <w:sz w:val="24"/>
          <w:szCs w:val="24"/>
          <w:lang w:eastAsia="en-GB"/>
        </w:rPr>
        <w:t>Student Name: Ohikhuare Irogho</w:t>
      </w:r>
    </w:p>
    <w:p w14:paraId="74F8DB69" w14:textId="77777777"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b/>
          <w:bCs/>
          <w:sz w:val="24"/>
          <w:szCs w:val="24"/>
          <w:lang w:eastAsia="en-GB"/>
        </w:rPr>
        <w:t>Student ID Number: 2128365</w:t>
      </w:r>
    </w:p>
    <w:p w14:paraId="0A064C2D" w14:textId="77777777"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b/>
          <w:bCs/>
          <w:sz w:val="24"/>
          <w:szCs w:val="24"/>
          <w:lang w:eastAsia="en-GB"/>
        </w:rPr>
        <w:t>Tutor / Lecturer: Dr Brian Mashumba</w:t>
      </w:r>
      <w:r w:rsidRPr="00867252">
        <w:rPr>
          <w:rFonts w:ascii="Arial" w:eastAsia="Times New Roman" w:hAnsi="Arial" w:cs="Arial"/>
          <w:sz w:val="24"/>
          <w:szCs w:val="24"/>
          <w:lang w:eastAsia="en-GB"/>
        </w:rPr>
        <w:br/>
      </w:r>
    </w:p>
    <w:p w14:paraId="7F872AD1" w14:textId="66091B54" w:rsidR="00CB30FC" w:rsidRPr="00867252" w:rsidRDefault="00CB30FC" w:rsidP="00CB30FC">
      <w:pPr>
        <w:spacing w:before="100" w:beforeAutospacing="1" w:after="100" w:afterAutospacing="1" w:line="240" w:lineRule="auto"/>
        <w:rPr>
          <w:rFonts w:ascii="Arial" w:eastAsia="Times New Roman" w:hAnsi="Arial" w:cs="Arial"/>
          <w:sz w:val="24"/>
          <w:szCs w:val="24"/>
          <w:lang w:eastAsia="en-GB"/>
        </w:rPr>
      </w:pPr>
      <w:r w:rsidRPr="00867252">
        <w:rPr>
          <w:rFonts w:ascii="Arial" w:eastAsia="Times New Roman" w:hAnsi="Arial" w:cs="Arial"/>
          <w:sz w:val="24"/>
          <w:szCs w:val="24"/>
          <w:lang w:eastAsia="en-GB"/>
        </w:rPr>
        <w:br/>
      </w:r>
    </w:p>
    <w:p w14:paraId="57C175DF" w14:textId="7F829B3E" w:rsidR="00CB30FC" w:rsidRPr="00CB30FC" w:rsidRDefault="00CB30FC" w:rsidP="00CB30FC">
      <w:pPr>
        <w:spacing w:before="100" w:beforeAutospacing="1" w:after="100" w:afterAutospacing="1" w:line="240" w:lineRule="auto"/>
        <w:rPr>
          <w:rFonts w:eastAsia="Times New Roman" w:cstheme="minorHAnsi"/>
          <w:sz w:val="24"/>
          <w:szCs w:val="24"/>
          <w:lang w:eastAsia="en-GB"/>
        </w:rPr>
      </w:pPr>
    </w:p>
    <w:p w14:paraId="33D3D4EA" w14:textId="77777777" w:rsidR="00CB30FC" w:rsidRPr="00FC7487" w:rsidRDefault="00CB30FC" w:rsidP="00CB30FC">
      <w:pPr>
        <w:spacing w:beforeLines="60" w:before="144" w:afterLines="60" w:after="144" w:line="360" w:lineRule="auto"/>
        <w:rPr>
          <w:rFonts w:cstheme="minorHAnsi"/>
          <w:b/>
          <w:sz w:val="24"/>
          <w:szCs w:val="24"/>
        </w:rPr>
      </w:pPr>
    </w:p>
    <w:p w14:paraId="609BD3DF" w14:textId="77777777" w:rsidR="00CB30FC" w:rsidRPr="00FC7487" w:rsidRDefault="00CB30FC" w:rsidP="00CB30FC">
      <w:pPr>
        <w:spacing w:beforeLines="60" w:before="144" w:afterLines="60" w:after="144" w:line="360" w:lineRule="auto"/>
        <w:rPr>
          <w:rFonts w:cstheme="minorHAnsi"/>
          <w:b/>
          <w:sz w:val="24"/>
          <w:szCs w:val="24"/>
        </w:rPr>
      </w:pPr>
    </w:p>
    <w:p w14:paraId="551BFB0F" w14:textId="77777777" w:rsidR="00CB30FC" w:rsidRPr="00FC7487" w:rsidRDefault="00CB30FC" w:rsidP="00CB30FC">
      <w:pPr>
        <w:spacing w:beforeLines="60" w:before="144" w:afterLines="60" w:after="144" w:line="360" w:lineRule="auto"/>
        <w:rPr>
          <w:rFonts w:cstheme="minorHAnsi"/>
          <w:b/>
          <w:sz w:val="24"/>
          <w:szCs w:val="24"/>
        </w:rPr>
      </w:pPr>
    </w:p>
    <w:p w14:paraId="385848A3" w14:textId="15C64E96" w:rsidR="0087464B" w:rsidRPr="00CB30FC" w:rsidRDefault="0087464B" w:rsidP="0087464B">
      <w:pPr>
        <w:spacing w:before="100" w:beforeAutospacing="1" w:after="100" w:afterAutospacing="1" w:line="240" w:lineRule="auto"/>
        <w:rPr>
          <w:rFonts w:eastAsia="Times New Roman" w:cstheme="minorHAnsi"/>
          <w:sz w:val="24"/>
          <w:szCs w:val="24"/>
          <w:lang w:eastAsia="en-GB"/>
        </w:rPr>
      </w:pPr>
    </w:p>
    <w:p w14:paraId="3E8B4D4B" w14:textId="77777777" w:rsidR="0087464B" w:rsidRPr="00FC7487" w:rsidRDefault="0087464B" w:rsidP="00A87CDA">
      <w:pPr>
        <w:spacing w:beforeLines="60" w:before="144" w:afterLines="60" w:after="144" w:line="360" w:lineRule="auto"/>
        <w:rPr>
          <w:rFonts w:cstheme="minorHAnsi"/>
          <w:b/>
          <w:sz w:val="24"/>
          <w:szCs w:val="24"/>
        </w:rPr>
      </w:pPr>
    </w:p>
    <w:p w14:paraId="6A0049DB" w14:textId="77777777" w:rsidR="0087464B" w:rsidRPr="00FC7487" w:rsidRDefault="0087464B" w:rsidP="00A87CDA">
      <w:pPr>
        <w:spacing w:beforeLines="60" w:before="144" w:afterLines="60" w:after="144" w:line="360" w:lineRule="auto"/>
        <w:rPr>
          <w:rFonts w:cstheme="minorHAnsi"/>
          <w:b/>
          <w:sz w:val="24"/>
          <w:szCs w:val="24"/>
        </w:rPr>
      </w:pPr>
    </w:p>
    <w:p w14:paraId="2B897B4B" w14:textId="77777777" w:rsidR="0087464B" w:rsidRPr="00FC7487" w:rsidRDefault="0087464B" w:rsidP="00A87CDA">
      <w:pPr>
        <w:spacing w:beforeLines="60" w:before="144" w:afterLines="60" w:after="144" w:line="360" w:lineRule="auto"/>
        <w:rPr>
          <w:rFonts w:cstheme="minorHAnsi"/>
          <w:b/>
          <w:sz w:val="24"/>
          <w:szCs w:val="24"/>
        </w:rPr>
      </w:pPr>
    </w:p>
    <w:p w14:paraId="76BC5109" w14:textId="77777777" w:rsidR="0087464B" w:rsidRPr="00FC7487" w:rsidRDefault="0087464B" w:rsidP="00A87CDA">
      <w:pPr>
        <w:spacing w:beforeLines="60" w:before="144" w:afterLines="60" w:after="144" w:line="360" w:lineRule="auto"/>
        <w:rPr>
          <w:rFonts w:cstheme="minorHAnsi"/>
          <w:b/>
          <w:sz w:val="24"/>
          <w:szCs w:val="24"/>
        </w:rPr>
      </w:pPr>
    </w:p>
    <w:p w14:paraId="4164BF6E" w14:textId="77777777" w:rsidR="0087464B" w:rsidRPr="00FC7487" w:rsidRDefault="0087464B" w:rsidP="00A87CDA">
      <w:pPr>
        <w:spacing w:beforeLines="60" w:before="144" w:afterLines="60" w:after="144" w:line="360" w:lineRule="auto"/>
        <w:rPr>
          <w:rFonts w:cstheme="minorHAnsi"/>
          <w:b/>
          <w:sz w:val="24"/>
          <w:szCs w:val="24"/>
        </w:rPr>
      </w:pPr>
    </w:p>
    <w:p w14:paraId="0A7CF76A" w14:textId="77777777" w:rsidR="0087464B" w:rsidRPr="00FC7487" w:rsidRDefault="0087464B" w:rsidP="00A87CDA">
      <w:pPr>
        <w:spacing w:beforeLines="60" w:before="144" w:afterLines="60" w:after="144" w:line="360" w:lineRule="auto"/>
        <w:rPr>
          <w:rFonts w:cstheme="minorHAnsi"/>
          <w:b/>
          <w:sz w:val="24"/>
          <w:szCs w:val="24"/>
        </w:rPr>
      </w:pPr>
    </w:p>
    <w:p w14:paraId="7A96006E" w14:textId="77777777" w:rsidR="0087464B" w:rsidRPr="00FC7487" w:rsidRDefault="0087464B" w:rsidP="00A87CDA">
      <w:pPr>
        <w:spacing w:beforeLines="60" w:before="144" w:afterLines="60" w:after="144" w:line="360" w:lineRule="auto"/>
        <w:rPr>
          <w:rFonts w:cstheme="minorHAnsi"/>
          <w:b/>
          <w:sz w:val="24"/>
          <w:szCs w:val="24"/>
        </w:rPr>
      </w:pPr>
    </w:p>
    <w:p w14:paraId="530E27F8" w14:textId="77777777" w:rsidR="0087464B" w:rsidRPr="00FC7487" w:rsidRDefault="0087464B" w:rsidP="00A87CDA">
      <w:pPr>
        <w:spacing w:beforeLines="60" w:before="144" w:afterLines="60" w:after="144" w:line="360" w:lineRule="auto"/>
        <w:rPr>
          <w:rFonts w:cstheme="minorHAnsi"/>
          <w:b/>
          <w:sz w:val="24"/>
          <w:szCs w:val="24"/>
        </w:rPr>
      </w:pPr>
    </w:p>
    <w:p w14:paraId="2C7E63EF" w14:textId="77777777" w:rsidR="0087464B" w:rsidRPr="00FC7487" w:rsidRDefault="0087464B" w:rsidP="00A87CDA">
      <w:pPr>
        <w:spacing w:beforeLines="60" w:before="144" w:afterLines="60" w:after="144" w:line="360" w:lineRule="auto"/>
        <w:rPr>
          <w:rFonts w:cstheme="minorHAnsi"/>
          <w:b/>
          <w:sz w:val="24"/>
          <w:szCs w:val="24"/>
        </w:rPr>
      </w:pPr>
    </w:p>
    <w:p w14:paraId="4FDBAE82" w14:textId="77777777" w:rsidR="0087464B" w:rsidRPr="00FC7487" w:rsidRDefault="0087464B" w:rsidP="00A87CDA">
      <w:pPr>
        <w:spacing w:beforeLines="60" w:before="144" w:afterLines="60" w:after="144" w:line="360" w:lineRule="auto"/>
        <w:rPr>
          <w:rFonts w:cstheme="minorHAnsi"/>
          <w:b/>
          <w:sz w:val="24"/>
          <w:szCs w:val="24"/>
        </w:rPr>
      </w:pPr>
    </w:p>
    <w:p w14:paraId="77947A63" w14:textId="77777777" w:rsidR="0087464B" w:rsidRPr="00FC7487" w:rsidRDefault="0087464B" w:rsidP="00A87CDA">
      <w:pPr>
        <w:spacing w:beforeLines="60" w:before="144" w:afterLines="60" w:after="144" w:line="360" w:lineRule="auto"/>
        <w:rPr>
          <w:rFonts w:cstheme="minorHAnsi"/>
          <w:b/>
          <w:sz w:val="24"/>
          <w:szCs w:val="24"/>
        </w:rPr>
      </w:pPr>
    </w:p>
    <w:p w14:paraId="1D4C2ECA" w14:textId="77777777" w:rsidR="0087464B" w:rsidRPr="00FC7487" w:rsidRDefault="0087464B" w:rsidP="00A87CDA">
      <w:pPr>
        <w:spacing w:beforeLines="60" w:before="144" w:afterLines="60" w:after="144" w:line="360" w:lineRule="auto"/>
        <w:rPr>
          <w:rFonts w:cstheme="minorHAnsi"/>
          <w:b/>
          <w:sz w:val="24"/>
          <w:szCs w:val="24"/>
        </w:rPr>
      </w:pPr>
    </w:p>
    <w:p w14:paraId="6ABC26F7" w14:textId="77777777" w:rsidR="0087464B" w:rsidRPr="00FC7487" w:rsidRDefault="0087464B" w:rsidP="00A87CDA">
      <w:pPr>
        <w:spacing w:beforeLines="60" w:before="144" w:afterLines="60" w:after="144" w:line="360" w:lineRule="auto"/>
        <w:rPr>
          <w:rFonts w:cstheme="minorHAnsi"/>
          <w:b/>
          <w:sz w:val="24"/>
          <w:szCs w:val="24"/>
        </w:rPr>
      </w:pPr>
    </w:p>
    <w:p w14:paraId="7379AA56" w14:textId="77777777" w:rsidR="0087464B" w:rsidRPr="00FC7487" w:rsidRDefault="0087464B" w:rsidP="00A87CDA">
      <w:pPr>
        <w:spacing w:beforeLines="60" w:before="144" w:afterLines="60" w:after="144" w:line="360" w:lineRule="auto"/>
        <w:rPr>
          <w:rFonts w:cstheme="minorHAnsi"/>
          <w:b/>
          <w:sz w:val="24"/>
          <w:szCs w:val="24"/>
        </w:rPr>
      </w:pPr>
    </w:p>
    <w:p w14:paraId="5E1889E1" w14:textId="154B2B45" w:rsidR="0087464B" w:rsidRPr="00FC7487" w:rsidRDefault="0087464B" w:rsidP="00A87CDA">
      <w:pPr>
        <w:spacing w:beforeLines="60" w:before="144" w:afterLines="60" w:after="144" w:line="360" w:lineRule="auto"/>
        <w:rPr>
          <w:rFonts w:cstheme="minorHAnsi"/>
          <w:b/>
          <w:sz w:val="24"/>
          <w:szCs w:val="24"/>
        </w:rPr>
      </w:pPr>
    </w:p>
    <w:p w14:paraId="7FC7AE7C" w14:textId="77777777" w:rsidR="0087464B" w:rsidRPr="00FC7487" w:rsidRDefault="0087464B" w:rsidP="00A87CDA">
      <w:pPr>
        <w:spacing w:beforeLines="60" w:before="144" w:afterLines="60" w:after="144" w:line="360" w:lineRule="auto"/>
        <w:rPr>
          <w:rFonts w:cstheme="minorHAnsi"/>
          <w:b/>
          <w:sz w:val="24"/>
          <w:szCs w:val="24"/>
        </w:rPr>
      </w:pPr>
    </w:p>
    <w:p w14:paraId="70EB7B7B" w14:textId="3C3EB2CA" w:rsidR="000A5589" w:rsidRPr="00FC7487" w:rsidRDefault="000A5589" w:rsidP="00A87CDA">
      <w:pPr>
        <w:spacing w:beforeLines="60" w:before="144" w:afterLines="60" w:after="144" w:line="360" w:lineRule="auto"/>
        <w:rPr>
          <w:rFonts w:cstheme="minorHAnsi"/>
          <w:b/>
          <w:sz w:val="24"/>
          <w:szCs w:val="24"/>
        </w:rPr>
      </w:pPr>
    </w:p>
    <w:p w14:paraId="47C57DA6" w14:textId="77777777" w:rsidR="000A3F5C" w:rsidRPr="00FC7487" w:rsidRDefault="000A3F5C" w:rsidP="0031674F">
      <w:pPr>
        <w:pStyle w:val="NormalWeb"/>
        <w:spacing w:beforeLines="60" w:before="144" w:beforeAutospacing="0" w:afterLines="60" w:after="144" w:afterAutospacing="0" w:line="360" w:lineRule="auto"/>
        <w:jc w:val="both"/>
        <w:rPr>
          <w:rFonts w:asciiTheme="minorHAnsi" w:hAnsiTheme="minorHAnsi" w:cstheme="minorHAnsi"/>
          <w:b/>
        </w:rPr>
      </w:pPr>
      <w:r w:rsidRPr="00FC7487">
        <w:rPr>
          <w:rFonts w:asciiTheme="minorHAnsi" w:hAnsiTheme="minorHAnsi" w:cstheme="minorHAnsi"/>
          <w:b/>
        </w:rPr>
        <w:t>Introduction &amp; Background</w:t>
      </w:r>
    </w:p>
    <w:p w14:paraId="01BCC9E2" w14:textId="77777777" w:rsidR="0031674F" w:rsidRPr="00FC7487" w:rsidRDefault="0031674F" w:rsidP="0031674F">
      <w:pPr>
        <w:pStyle w:val="NormalWeb"/>
        <w:spacing w:line="360" w:lineRule="auto"/>
        <w:jc w:val="both"/>
        <w:rPr>
          <w:rFonts w:asciiTheme="minorHAnsi" w:hAnsiTheme="minorHAnsi" w:cstheme="minorHAnsi"/>
        </w:rPr>
      </w:pPr>
      <w:r w:rsidRPr="00FC7487">
        <w:rPr>
          <w:rFonts w:asciiTheme="minorHAnsi" w:hAnsiTheme="minorHAnsi" w:cstheme="minorHAnsi"/>
        </w:rPr>
        <w:t>Type 2 diabetes mellitus (T2DM) is a progressive, long-term metabolic condition that disrupts the regulation of blood glucose levels. It develops when the pancreas does not produce enough insulin or when the body’s tissues become resistant to insulin, resulting in chronic hyperglycaemia (Roden and Shulman, 2019). Sustained high blood glucose levels gradually contribute to damage across multiple body systems, leading to complications affecting the cardiovascular system, kidney function, eyesight, peripheral nerves, and vascular integrity (Galicia-Garcia et al., 2020; Einarson et al., 2018).</w:t>
      </w:r>
    </w:p>
    <w:p w14:paraId="4299A2F1" w14:textId="77777777" w:rsidR="0031674F" w:rsidRPr="00FC7487" w:rsidRDefault="0031674F" w:rsidP="0031674F">
      <w:pPr>
        <w:pStyle w:val="NormalWeb"/>
        <w:spacing w:line="360" w:lineRule="auto"/>
        <w:jc w:val="both"/>
        <w:rPr>
          <w:rFonts w:asciiTheme="minorHAnsi" w:hAnsiTheme="minorHAnsi" w:cstheme="minorHAnsi"/>
        </w:rPr>
      </w:pPr>
      <w:r w:rsidRPr="00FC7487">
        <w:rPr>
          <w:rFonts w:asciiTheme="minorHAnsi" w:hAnsiTheme="minorHAnsi" w:cstheme="minorHAnsi"/>
        </w:rPr>
        <w:t xml:space="preserve">T2DM poses a significant health challenge in the United Kingdom, with approximately </w:t>
      </w:r>
      <w:r w:rsidRPr="00FC7487">
        <w:rPr>
          <w:rStyle w:val="Strong"/>
          <w:rFonts w:asciiTheme="minorHAnsi" w:eastAsiaTheme="majorEastAsia" w:hAnsiTheme="minorHAnsi" w:cstheme="minorHAnsi"/>
          <w:b w:val="0"/>
        </w:rPr>
        <w:t>4.3 million</w:t>
      </w:r>
      <w:r w:rsidRPr="00FC7487">
        <w:rPr>
          <w:rFonts w:asciiTheme="minorHAnsi" w:hAnsiTheme="minorHAnsi" w:cstheme="minorHAnsi"/>
        </w:rPr>
        <w:t xml:space="preserve"> people currently diagnosed and an estimated </w:t>
      </w:r>
      <w:r w:rsidRPr="00FC7487">
        <w:rPr>
          <w:rStyle w:val="Strong"/>
          <w:rFonts w:asciiTheme="minorHAnsi" w:eastAsiaTheme="majorEastAsia" w:hAnsiTheme="minorHAnsi" w:cstheme="minorHAnsi"/>
          <w:b w:val="0"/>
        </w:rPr>
        <w:t>850,000 additional individuals likely living with undiagnosed diabetes</w:t>
      </w:r>
      <w:r w:rsidRPr="00FC7487">
        <w:rPr>
          <w:rFonts w:asciiTheme="minorHAnsi" w:hAnsiTheme="minorHAnsi" w:cstheme="minorHAnsi"/>
        </w:rPr>
        <w:t xml:space="preserve"> (Diabetes UK, 2023). Globally, the prevalence continues to rise, with more than </w:t>
      </w:r>
      <w:r w:rsidRPr="00FC7487">
        <w:rPr>
          <w:rStyle w:val="Strong"/>
          <w:rFonts w:asciiTheme="minorHAnsi" w:eastAsiaTheme="majorEastAsia" w:hAnsiTheme="minorHAnsi" w:cstheme="minorHAnsi"/>
          <w:b w:val="0"/>
        </w:rPr>
        <w:t>530 million adults</w:t>
      </w:r>
      <w:r w:rsidRPr="00FC7487">
        <w:rPr>
          <w:rFonts w:asciiTheme="minorHAnsi" w:hAnsiTheme="minorHAnsi" w:cstheme="minorHAnsi"/>
        </w:rPr>
        <w:t xml:space="preserve"> living with diabetes, a figure projected to increase further in the coming decades (International Diabetes Federation, 2024). This growing burden reflects the influence of lifestyle factors, ageing populations and social determinants of health, highlighting the need for effective prevention, early detection and long-term condition management strategies.</w:t>
      </w:r>
    </w:p>
    <w:p w14:paraId="796074B2" w14:textId="26297F90"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current booklet has been developed to be used by the people and families with T2DM, and by healthcare professionals that offer services. It aims at providing well-defined evidence-supported data on the pathophysiology, determinants, and complex consequences of the condition, including physical, psychological, and social wellbeing. Moreover, the booklet evaluates modern therapeutic interventions and management approaches provided by the National Health Service, alongside theoretical models and health-care frameworks, which inform the best practise.</w:t>
      </w:r>
    </w:p>
    <w:p w14:paraId="2403D44B" w14:textId="77777777"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In line with the national health priorities, this resource supports the idea of person-centred, holistic care, self-management, and active involvement in therapeutic decision-making. When the determinants of T2DM are explained, as well as the support mechanisms which people can take advantage of, they will be enabled to better control their condition, and maintain a better quality of life.</w:t>
      </w:r>
    </w:p>
    <w:p w14:paraId="0344AC81" w14:textId="5BDD961C" w:rsidR="000A5589" w:rsidRPr="00FC7487" w:rsidRDefault="000A5589" w:rsidP="00A87CDA">
      <w:pPr>
        <w:spacing w:beforeLines="60" w:before="144" w:afterLines="60" w:after="144" w:line="360" w:lineRule="auto"/>
        <w:rPr>
          <w:rFonts w:cstheme="minorHAnsi"/>
          <w:sz w:val="24"/>
          <w:szCs w:val="24"/>
        </w:rPr>
      </w:pPr>
      <w:r w:rsidRPr="00FC7487">
        <w:rPr>
          <w:rFonts w:cstheme="minorHAnsi"/>
          <w:noProof/>
          <w:sz w:val="24"/>
          <w:szCs w:val="24"/>
          <w:lang w:eastAsia="en-GB"/>
        </w:rPr>
        <w:drawing>
          <wp:inline distT="0" distB="0" distL="0" distR="0" wp14:anchorId="71CBDA7C" wp14:editId="5CD2352F">
            <wp:extent cx="4205605" cy="2114550"/>
            <wp:effectExtent l="0" t="0" r="4445" b="0"/>
            <wp:docPr id="1" name="Picture 1" descr="Use of glucose monitors by people not living with diabetes needs more  regulation | UCL News - UCL – University College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 of glucose monitors by people not living with diabetes needs more  regulation | UCL News - UCL – University College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7692" cy="2120627"/>
                    </a:xfrm>
                    <a:prstGeom prst="rect">
                      <a:avLst/>
                    </a:prstGeom>
                    <a:noFill/>
                    <a:ln>
                      <a:noFill/>
                    </a:ln>
                  </pic:spPr>
                </pic:pic>
              </a:graphicData>
            </a:graphic>
          </wp:inline>
        </w:drawing>
      </w:r>
    </w:p>
    <w:p w14:paraId="5ED4A1FD" w14:textId="69867E65" w:rsidR="00992B0E" w:rsidRPr="00FC7487" w:rsidRDefault="00992B0E" w:rsidP="00992B0E">
      <w:pPr>
        <w:rPr>
          <w:rFonts w:cstheme="minorHAnsi"/>
          <w:sz w:val="24"/>
          <w:szCs w:val="24"/>
        </w:rPr>
      </w:pPr>
      <w:r w:rsidRPr="00FC7487">
        <w:rPr>
          <w:rFonts w:cstheme="minorHAnsi"/>
          <w:sz w:val="24"/>
          <w:szCs w:val="24"/>
        </w:rPr>
        <w:t xml:space="preserve">Figure 1: Person checking blood sugar </w:t>
      </w:r>
      <w:r w:rsidR="00463F2B" w:rsidRPr="00FC7487">
        <w:rPr>
          <w:rFonts w:cstheme="minorHAnsi"/>
          <w:sz w:val="24"/>
          <w:szCs w:val="24"/>
        </w:rPr>
        <w:t>(</w:t>
      </w:r>
      <w:r w:rsidR="00FA17AE" w:rsidRPr="00FC7487">
        <w:rPr>
          <w:rFonts w:cstheme="minorHAnsi"/>
          <w:sz w:val="24"/>
          <w:szCs w:val="24"/>
        </w:rPr>
        <w:t>Eastern Medtech, 2024</w:t>
      </w:r>
      <w:r w:rsidR="00463F2B" w:rsidRPr="00FC7487">
        <w:rPr>
          <w:rFonts w:cstheme="minorHAnsi"/>
          <w:sz w:val="24"/>
          <w:szCs w:val="24"/>
        </w:rPr>
        <w:t>)</w:t>
      </w:r>
    </w:p>
    <w:p w14:paraId="105A3844" w14:textId="326F0BC7" w:rsidR="000A3F5C" w:rsidRPr="00FC7487" w:rsidRDefault="000A3F5C" w:rsidP="00A87CDA">
      <w:pPr>
        <w:spacing w:beforeLines="60" w:before="144" w:afterLines="60" w:after="144" w:line="360" w:lineRule="auto"/>
        <w:jc w:val="both"/>
        <w:rPr>
          <w:rFonts w:eastAsia="Times New Roman" w:cstheme="minorHAnsi"/>
          <w:b/>
          <w:sz w:val="24"/>
          <w:szCs w:val="24"/>
          <w:lang w:eastAsia="en-GB"/>
        </w:rPr>
      </w:pPr>
      <w:r w:rsidRPr="00FC7487">
        <w:rPr>
          <w:rFonts w:cstheme="minorHAnsi"/>
          <w:b/>
          <w:sz w:val="24"/>
          <w:szCs w:val="24"/>
        </w:rPr>
        <w:t xml:space="preserve">Understanding Type 2 Diabetes (Pathophysiology, Prevalence </w:t>
      </w:r>
      <w:r w:rsidR="00D015D9">
        <w:rPr>
          <w:rFonts w:cstheme="minorHAnsi"/>
          <w:b/>
          <w:sz w:val="24"/>
          <w:szCs w:val="24"/>
        </w:rPr>
        <w:t>and</w:t>
      </w:r>
      <w:r w:rsidRPr="00FC7487">
        <w:rPr>
          <w:rFonts w:cstheme="minorHAnsi"/>
          <w:b/>
          <w:sz w:val="24"/>
          <w:szCs w:val="24"/>
        </w:rPr>
        <w:t xml:space="preserve"> Risk Factors)</w:t>
      </w:r>
    </w:p>
    <w:p w14:paraId="29DB1522" w14:textId="53B1B9DF"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T2DM is a chronic metabolic disease that causes insulin resistance and insulin secretion inability causing sustained hyperglycaemia. Insulin is a hormone produced by the pancreas, and it facilitates glucose absorption into the cells and its usage as energy. Peripheral tissues in T2DM have a reduced insulin responsiveness, a process known as insulin resistance, and, therefore, results in an increase in glycaemic levels (</w:t>
      </w:r>
      <w:r w:rsidR="00440D3A" w:rsidRPr="00FC7487">
        <w:rPr>
          <w:rFonts w:cstheme="minorHAnsi"/>
          <w:color w:val="222222"/>
          <w:sz w:val="24"/>
          <w:szCs w:val="24"/>
          <w:shd w:val="clear" w:color="auto" w:fill="FFFFFF"/>
        </w:rPr>
        <w:t>Galicia-Garcia</w:t>
      </w:r>
      <w:r w:rsidR="00440D3A" w:rsidRPr="00FC7487">
        <w:rPr>
          <w:rFonts w:eastAsia="Times New Roman" w:cstheme="minorHAnsi"/>
          <w:sz w:val="24"/>
          <w:szCs w:val="24"/>
          <w:lang w:eastAsia="en-GB"/>
        </w:rPr>
        <w:t xml:space="preserve"> et al., 2020</w:t>
      </w:r>
      <w:r w:rsidRPr="00FC7487">
        <w:rPr>
          <w:rFonts w:eastAsia="Times New Roman" w:cstheme="minorHAnsi"/>
          <w:sz w:val="24"/>
          <w:szCs w:val="24"/>
          <w:lang w:eastAsia="en-GB"/>
        </w:rPr>
        <w:t xml:space="preserve">). Trying to retain euglycaemia, the pancreas increases insulin production first, but after some time the chronic demand triggers the exhaustion of the β-cell and a reduction of insulin biosynthesis (Roden and Shulman, 2019). In the absence of effective therapeutic intervention, chronic hyperglycaemia causes endothelial and neural damage, thus exposing the patient to cardiovascular disease, nephropathy, retinopathy, and </w:t>
      </w:r>
      <w:r w:rsidR="004257C8" w:rsidRPr="00FC7487">
        <w:rPr>
          <w:rFonts w:eastAsia="Times New Roman" w:cstheme="minorHAnsi"/>
          <w:sz w:val="24"/>
          <w:szCs w:val="24"/>
          <w:lang w:eastAsia="en-GB"/>
        </w:rPr>
        <w:t>neuropathy (</w:t>
      </w:r>
      <w:r w:rsidR="004257C8" w:rsidRPr="00FC7487">
        <w:rPr>
          <w:rFonts w:cstheme="minorHAnsi"/>
          <w:color w:val="222222"/>
          <w:sz w:val="24"/>
          <w:szCs w:val="24"/>
          <w:shd w:val="clear" w:color="auto" w:fill="FFFFFF"/>
        </w:rPr>
        <w:t>Sharma</w:t>
      </w:r>
      <w:r w:rsidR="004257C8" w:rsidRPr="00FC7487">
        <w:rPr>
          <w:rFonts w:eastAsia="Times New Roman" w:cstheme="minorHAnsi"/>
          <w:sz w:val="24"/>
          <w:szCs w:val="24"/>
          <w:lang w:eastAsia="en-GB"/>
        </w:rPr>
        <w:t xml:space="preserve"> et al., 2020</w:t>
      </w:r>
      <w:r w:rsidRPr="00FC7487">
        <w:rPr>
          <w:rFonts w:eastAsia="Times New Roman" w:cstheme="minorHAnsi"/>
          <w:sz w:val="24"/>
          <w:szCs w:val="24"/>
          <w:lang w:eastAsia="en-GB"/>
        </w:rPr>
        <w:t>).</w:t>
      </w:r>
    </w:p>
    <w:p w14:paraId="5F1846D8" w14:textId="581FB554"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worldwide prevalence of diabetes has surpassed 530(m) adult patients and it continues to increase alongside the rising obesity rates and lack of physical activity (International Diabetes Federation, 2024). In the United Kingdom, it is estimated that 4.3 million people are diagnosed with diabetes, and another 850,000 individuals are not yet diagnosed (NHS Digital, 2023). Risk factors of disease are genetic, lifestyle, and environmental factors. High carbohydrate and saturated fat diets combined with a lack of exercise significantly increase the risk of developing T2DM (Malik &amp; Hu, 2022). Central adiposity and obesity in particular are recognised as the strongest modifiable risk factor (Yaribeygi et al., 2020). Some ethnic groups, especially South Asians and African-Caribbean, have disproportional disease burden and are more prone to getting diabetes earlier in th</w:t>
      </w:r>
      <w:r w:rsidR="00A87CDA" w:rsidRPr="00FC7487">
        <w:rPr>
          <w:rFonts w:eastAsia="Times New Roman" w:cstheme="minorHAnsi"/>
          <w:sz w:val="24"/>
          <w:szCs w:val="24"/>
          <w:lang w:eastAsia="en-GB"/>
        </w:rPr>
        <w:t xml:space="preserve">eir lives </w:t>
      </w:r>
      <w:r w:rsidR="00D34189" w:rsidRPr="00FC7487">
        <w:rPr>
          <w:rFonts w:eastAsia="Times New Roman" w:cstheme="minorHAnsi"/>
          <w:sz w:val="24"/>
          <w:szCs w:val="24"/>
          <w:lang w:eastAsia="en-GB"/>
        </w:rPr>
        <w:t>(</w:t>
      </w:r>
      <w:r w:rsidR="00D34189" w:rsidRPr="00FC7487">
        <w:rPr>
          <w:rFonts w:cstheme="minorHAnsi"/>
          <w:color w:val="222222"/>
          <w:sz w:val="24"/>
          <w:szCs w:val="24"/>
          <w:shd w:val="clear" w:color="auto" w:fill="FFFFFF"/>
        </w:rPr>
        <w:t>Joo &amp; Liu, 2021</w:t>
      </w:r>
      <w:r w:rsidR="00A87CDA" w:rsidRPr="00FC7487">
        <w:rPr>
          <w:rFonts w:eastAsia="Times New Roman" w:cstheme="minorHAnsi"/>
          <w:sz w:val="24"/>
          <w:szCs w:val="24"/>
          <w:lang w:eastAsia="en-GB"/>
        </w:rPr>
        <w:t>).</w:t>
      </w:r>
    </w:p>
    <w:p w14:paraId="2A674CE2" w14:textId="09BE875B"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Along with the promotion of balanced nutrition, regular physical activity, and sustainable weight management, prevention programmes, including the NHS Diabetes Prevention Programme, focus on the reduction of the risk and del</w:t>
      </w:r>
      <w:r w:rsidR="00440D3A" w:rsidRPr="00FC7487">
        <w:rPr>
          <w:rFonts w:eastAsia="Times New Roman" w:cstheme="minorHAnsi"/>
          <w:sz w:val="24"/>
          <w:szCs w:val="24"/>
          <w:lang w:eastAsia="en-GB"/>
        </w:rPr>
        <w:t>aying of the disease onset (Bush et al., 2023</w:t>
      </w:r>
      <w:r w:rsidRPr="00FC7487">
        <w:rPr>
          <w:rFonts w:eastAsia="Times New Roman" w:cstheme="minorHAnsi"/>
          <w:sz w:val="24"/>
          <w:szCs w:val="24"/>
          <w:lang w:eastAsia="en-GB"/>
        </w:rPr>
        <w:t>).</w:t>
      </w:r>
    </w:p>
    <w:p w14:paraId="4AB584E9" w14:textId="0623358D" w:rsidR="00A87CDA" w:rsidRPr="00FC7487" w:rsidRDefault="005F17F4" w:rsidP="00A87CDA">
      <w:pPr>
        <w:spacing w:beforeLines="60" w:before="144" w:afterLines="60" w:after="144" w:line="360" w:lineRule="auto"/>
        <w:rPr>
          <w:rFonts w:cstheme="minorHAnsi"/>
          <w:sz w:val="24"/>
          <w:szCs w:val="24"/>
        </w:rPr>
      </w:pPr>
      <w:r w:rsidRPr="00FC7487">
        <w:rPr>
          <w:rFonts w:cstheme="minorHAnsi"/>
          <w:noProof/>
          <w:sz w:val="24"/>
          <w:szCs w:val="24"/>
          <w:lang w:eastAsia="en-GB"/>
        </w:rPr>
        <w:drawing>
          <wp:inline distT="0" distB="0" distL="0" distR="0" wp14:anchorId="2046F39D" wp14:editId="3D15C11B">
            <wp:extent cx="4204989" cy="2652409"/>
            <wp:effectExtent l="0" t="0" r="5080" b="0"/>
            <wp:docPr id="2" name="Picture 2" descr="Staying socially connected can help maintain healthy eating with age,  especially for older wo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ying socially connected can help maintain healthy eating with age,  especially for older wome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29622" cy="2667947"/>
                    </a:xfrm>
                    <a:prstGeom prst="rect">
                      <a:avLst/>
                    </a:prstGeom>
                    <a:noFill/>
                    <a:ln>
                      <a:noFill/>
                    </a:ln>
                  </pic:spPr>
                </pic:pic>
              </a:graphicData>
            </a:graphic>
          </wp:inline>
        </w:drawing>
      </w:r>
    </w:p>
    <w:p w14:paraId="0FCA2789" w14:textId="63073A37" w:rsidR="00D545C9" w:rsidRPr="00FC7487" w:rsidRDefault="000C7F62" w:rsidP="0072651C">
      <w:pPr>
        <w:rPr>
          <w:rFonts w:cstheme="minorHAnsi"/>
          <w:sz w:val="24"/>
          <w:szCs w:val="24"/>
        </w:rPr>
      </w:pPr>
      <w:r w:rsidRPr="00FC7487">
        <w:rPr>
          <w:rFonts w:cstheme="minorHAnsi"/>
          <w:sz w:val="24"/>
          <w:szCs w:val="24"/>
        </w:rPr>
        <w:t>Figure</w:t>
      </w:r>
      <w:r w:rsidR="00226463" w:rsidRPr="00FC7487">
        <w:rPr>
          <w:rFonts w:cstheme="minorHAnsi"/>
          <w:sz w:val="24"/>
          <w:szCs w:val="24"/>
        </w:rPr>
        <w:t xml:space="preserve"> </w:t>
      </w:r>
      <w:r w:rsidR="00D545C9" w:rsidRPr="00FC7487">
        <w:rPr>
          <w:rFonts w:cstheme="minorHAnsi"/>
          <w:sz w:val="24"/>
          <w:szCs w:val="24"/>
        </w:rPr>
        <w:t>2: Mediterranean diet</w:t>
      </w:r>
      <w:r w:rsidR="00226463" w:rsidRPr="00FC7487">
        <w:rPr>
          <w:rFonts w:cstheme="minorHAnsi"/>
          <w:sz w:val="24"/>
          <w:szCs w:val="24"/>
        </w:rPr>
        <w:t xml:space="preserve"> </w:t>
      </w:r>
      <w:r w:rsidR="00463F2B" w:rsidRPr="00FC7487">
        <w:rPr>
          <w:rFonts w:cstheme="minorHAnsi"/>
          <w:sz w:val="24"/>
          <w:szCs w:val="24"/>
        </w:rPr>
        <w:t>(Eatingwell, 2024</w:t>
      </w:r>
      <w:r w:rsidR="00226463" w:rsidRPr="00FC7487">
        <w:rPr>
          <w:rFonts w:cstheme="minorHAnsi"/>
          <w:sz w:val="24"/>
          <w:szCs w:val="24"/>
        </w:rPr>
        <w:t>)</w:t>
      </w:r>
    </w:p>
    <w:p w14:paraId="74D15208" w14:textId="34DAD8A2" w:rsidR="000A3F5C" w:rsidRPr="00FC7487" w:rsidRDefault="000A3F5C" w:rsidP="00A87CDA">
      <w:pPr>
        <w:spacing w:beforeLines="60" w:before="144" w:afterLines="60" w:after="144" w:line="360" w:lineRule="auto"/>
        <w:rPr>
          <w:rFonts w:cstheme="minorHAnsi"/>
          <w:sz w:val="24"/>
          <w:szCs w:val="24"/>
        </w:rPr>
      </w:pPr>
      <w:r w:rsidRPr="00FC7487">
        <w:rPr>
          <w:rFonts w:cstheme="minorHAnsi"/>
          <w:b/>
          <w:sz w:val="24"/>
          <w:szCs w:val="24"/>
        </w:rPr>
        <w:t>The Physical, Psychological and Social Impact of Type 2 Diabetes</w:t>
      </w:r>
    </w:p>
    <w:p w14:paraId="5CD48E51" w14:textId="3895E9B6"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The existence with the type 2 diabetes mellitus (T2DM) affects the physical, psychological, and social aspects of life. Continuous self-care is usually challenging, and the necessity to focus on the entire individual, but not only on the illness is empha</w:t>
      </w:r>
      <w:r w:rsidR="00A87CDA" w:rsidRPr="00FC7487">
        <w:rPr>
          <w:rFonts w:asciiTheme="minorHAnsi" w:hAnsiTheme="minorHAnsi" w:cstheme="minorHAnsi"/>
        </w:rPr>
        <w:t>sised (Nicolucci et al., 2016).</w:t>
      </w:r>
    </w:p>
    <w:p w14:paraId="79E5B5F8" w14:textId="18DFCD52" w:rsidR="000A3F5C" w:rsidRPr="00D015D9" w:rsidRDefault="000A3F5C" w:rsidP="00A87CDA">
      <w:pPr>
        <w:pStyle w:val="NormalWeb"/>
        <w:spacing w:beforeLines="60" w:before="144" w:beforeAutospacing="0" w:afterLines="60" w:after="144" w:afterAutospacing="0" w:line="360" w:lineRule="auto"/>
        <w:jc w:val="both"/>
        <w:rPr>
          <w:rFonts w:asciiTheme="minorHAnsi" w:hAnsiTheme="minorHAnsi" w:cstheme="minorHAnsi"/>
          <w:b/>
          <w:bCs/>
          <w:iCs/>
        </w:rPr>
      </w:pPr>
      <w:r w:rsidRPr="00D015D9">
        <w:rPr>
          <w:rFonts w:asciiTheme="minorHAnsi" w:hAnsiTheme="minorHAnsi" w:cstheme="minorHAnsi"/>
          <w:b/>
          <w:bCs/>
          <w:iCs/>
        </w:rPr>
        <w:t>Physical Impact</w:t>
      </w:r>
    </w:p>
    <w:p w14:paraId="7C82DF61" w14:textId="263DAB2C"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The changing glycaemic levels are related to fatigue, dizziness, and blurred vision. Consistent hyperglycaemia may harm the vasculature and neural tissue, exposing one to cardiovascular disease, nephropathy, neuropathy, and blindness (</w:t>
      </w:r>
      <w:r w:rsidR="004257C8" w:rsidRPr="00FC7487">
        <w:rPr>
          <w:rFonts w:asciiTheme="minorHAnsi" w:hAnsiTheme="minorHAnsi" w:cstheme="minorHAnsi"/>
          <w:color w:val="222222"/>
          <w:shd w:val="clear" w:color="auto" w:fill="FFFFFF"/>
        </w:rPr>
        <w:t>Sharma</w:t>
      </w:r>
      <w:r w:rsidR="004257C8" w:rsidRPr="00FC7487">
        <w:rPr>
          <w:rFonts w:asciiTheme="minorHAnsi" w:hAnsiTheme="minorHAnsi" w:cstheme="minorHAnsi"/>
        </w:rPr>
        <w:t xml:space="preserve"> et al., 2020</w:t>
      </w:r>
      <w:r w:rsidRPr="00FC7487">
        <w:rPr>
          <w:rFonts w:asciiTheme="minorHAnsi" w:hAnsiTheme="minorHAnsi" w:cstheme="minorHAnsi"/>
        </w:rPr>
        <w:t>). Cardiovascular disease is the major cause of death among diabetic individuals and the risk is significantly higher than in non-diabetic groups (Einarson et al., 2018). Such complications may restrict mobility and autonomy (Zho</w:t>
      </w:r>
      <w:r w:rsidR="004257C8" w:rsidRPr="00FC7487">
        <w:rPr>
          <w:rFonts w:asciiTheme="minorHAnsi" w:hAnsiTheme="minorHAnsi" w:cstheme="minorHAnsi"/>
        </w:rPr>
        <w:t>u et al., 2024</w:t>
      </w:r>
      <w:r w:rsidRPr="00FC7487">
        <w:rPr>
          <w:rFonts w:asciiTheme="minorHAnsi" w:hAnsiTheme="minorHAnsi" w:cstheme="minorHAnsi"/>
        </w:rPr>
        <w:t>). Nonetheless, these risks can be significantly reduced by keeping the target glucose, blood-pressure, and lipid levels (Rawshani et al., 2018).</w:t>
      </w:r>
    </w:p>
    <w:p w14:paraId="43C088D8" w14:textId="6C6C675A" w:rsidR="000A3F5C" w:rsidRPr="00D015D9" w:rsidRDefault="000A3F5C" w:rsidP="00A87CDA">
      <w:pPr>
        <w:pStyle w:val="NormalWeb"/>
        <w:spacing w:beforeLines="60" w:before="144" w:beforeAutospacing="0" w:afterLines="60" w:after="144" w:afterAutospacing="0" w:line="360" w:lineRule="auto"/>
        <w:jc w:val="both"/>
        <w:rPr>
          <w:rFonts w:asciiTheme="minorHAnsi" w:hAnsiTheme="minorHAnsi" w:cstheme="minorHAnsi"/>
          <w:b/>
          <w:bCs/>
          <w:iCs/>
        </w:rPr>
      </w:pPr>
      <w:r w:rsidRPr="00D015D9">
        <w:rPr>
          <w:rFonts w:asciiTheme="minorHAnsi" w:hAnsiTheme="minorHAnsi" w:cstheme="minorHAnsi"/>
          <w:b/>
          <w:bCs/>
          <w:iCs/>
        </w:rPr>
        <w:t>Psychological Impact</w:t>
      </w:r>
    </w:p>
    <w:p w14:paraId="4C4EA301" w14:textId="0B092B08"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T2DM patients show an increased vulnerability to anxiety, depression, and diabetes distress, which is associated with the requirements to monitor everything and live a specifi</w:t>
      </w:r>
      <w:r w:rsidR="009E239E" w:rsidRPr="00FC7487">
        <w:rPr>
          <w:rFonts w:asciiTheme="minorHAnsi" w:hAnsiTheme="minorHAnsi" w:cstheme="minorHAnsi"/>
        </w:rPr>
        <w:t>c lifestyle (Fisher et al., 2019</w:t>
      </w:r>
      <w:r w:rsidRPr="00FC7487">
        <w:rPr>
          <w:rFonts w:asciiTheme="minorHAnsi" w:hAnsiTheme="minorHAnsi" w:cstheme="minorHAnsi"/>
        </w:rPr>
        <w:t xml:space="preserve">; </w:t>
      </w:r>
      <w:r w:rsidR="00544E12" w:rsidRPr="00FC7487">
        <w:rPr>
          <w:rFonts w:asciiTheme="minorHAnsi" w:hAnsiTheme="minorHAnsi" w:cstheme="minorHAnsi"/>
          <w:color w:val="222222"/>
          <w:shd w:val="clear" w:color="auto" w:fill="FFFFFF"/>
        </w:rPr>
        <w:t>Farooqi</w:t>
      </w:r>
      <w:r w:rsidRPr="00FC7487">
        <w:rPr>
          <w:rFonts w:asciiTheme="minorHAnsi" w:hAnsiTheme="minorHAnsi" w:cstheme="minorHAnsi"/>
        </w:rPr>
        <w:t xml:space="preserve"> et al., 2022). The emotional strain can affect the self-management and worsen the glycaemic dysregulation, which creates a vicious circle between the psychological distress and the physical health worsening (</w:t>
      </w:r>
      <w:r w:rsidR="00241760" w:rsidRPr="00FC7487">
        <w:rPr>
          <w:rFonts w:asciiTheme="minorHAnsi" w:hAnsiTheme="minorHAnsi" w:cstheme="minorHAnsi"/>
          <w:color w:val="222222"/>
          <w:shd w:val="clear" w:color="auto" w:fill="FFFFFF"/>
        </w:rPr>
        <w:t>Mersha</w:t>
      </w:r>
      <w:r w:rsidR="00241760" w:rsidRPr="00FC7487">
        <w:rPr>
          <w:rFonts w:asciiTheme="minorHAnsi" w:hAnsiTheme="minorHAnsi" w:cstheme="minorHAnsi"/>
        </w:rPr>
        <w:t xml:space="preserve"> et al., 2022</w:t>
      </w:r>
      <w:r w:rsidRPr="00FC7487">
        <w:rPr>
          <w:rFonts w:asciiTheme="minorHAnsi" w:hAnsiTheme="minorHAnsi" w:cstheme="minorHAnsi"/>
        </w:rPr>
        <w:t>). Mental-health support should be routinely provided as the recommendation of the National Institute of Health and Care Excellence (NICE, 2023) as the part of diabetes care.</w:t>
      </w:r>
    </w:p>
    <w:p w14:paraId="7FD043B6" w14:textId="07D40910" w:rsidR="000A3F5C" w:rsidRPr="00D015D9" w:rsidRDefault="000A3F5C" w:rsidP="00A87CDA">
      <w:pPr>
        <w:pStyle w:val="NormalWeb"/>
        <w:spacing w:beforeLines="60" w:before="144" w:beforeAutospacing="0" w:afterLines="60" w:after="144" w:afterAutospacing="0" w:line="360" w:lineRule="auto"/>
        <w:jc w:val="both"/>
        <w:rPr>
          <w:rFonts w:asciiTheme="minorHAnsi" w:hAnsiTheme="minorHAnsi" w:cstheme="minorHAnsi"/>
          <w:b/>
          <w:bCs/>
          <w:iCs/>
        </w:rPr>
      </w:pPr>
      <w:r w:rsidRPr="00D015D9">
        <w:rPr>
          <w:rFonts w:asciiTheme="minorHAnsi" w:hAnsiTheme="minorHAnsi" w:cstheme="minorHAnsi"/>
          <w:b/>
          <w:bCs/>
          <w:iCs/>
        </w:rPr>
        <w:t>Social and Family Impact</w:t>
      </w:r>
    </w:p>
    <w:p w14:paraId="73C2A1F6" w14:textId="77777777"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Changes in eating habits and daily behaviours may reduce the possibility of social interaction, and sometimes it results in isolation (van Puffelen et al., 2019). Close relatives are often crucial to offer the necessary support but can also face both emotional and financial difficulty at the same time (Sav et al., 2013). Individuals and families can be helped to overcome these challenges through person-centred care, peer-support systems, and culturally-specific educational interventions, which will increase general wellbeing (Diabetes UK, 2024).</w:t>
      </w:r>
    </w:p>
    <w:p w14:paraId="131AA202" w14:textId="630543D2" w:rsidR="000A3F5C" w:rsidRPr="00FC7487" w:rsidRDefault="000A3F5C" w:rsidP="00A87CDA">
      <w:pPr>
        <w:rPr>
          <w:rFonts w:cstheme="minorHAnsi"/>
          <w:b/>
          <w:sz w:val="24"/>
          <w:szCs w:val="24"/>
        </w:rPr>
      </w:pPr>
      <w:r w:rsidRPr="00FC7487">
        <w:rPr>
          <w:rFonts w:cstheme="minorHAnsi"/>
          <w:b/>
          <w:sz w:val="24"/>
          <w:szCs w:val="24"/>
        </w:rPr>
        <w:t xml:space="preserve">Evidence-Based Treatments and Self-Management Approaches </w:t>
      </w:r>
    </w:p>
    <w:p w14:paraId="64FD46CD" w14:textId="7C7C5F5F"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pharmacotherapy, lifestyle modification, patient education, and ongoing self-management are all integrative measures required to manage type 2 diabetes mellitus (T2DM). The overall objective is to sustain safe glycaemic ranges, eliminate complications, and help individuals to perform best and li</w:t>
      </w:r>
      <w:r w:rsidR="00A87CDA" w:rsidRPr="00FC7487">
        <w:rPr>
          <w:rFonts w:eastAsia="Times New Roman" w:cstheme="minorHAnsi"/>
          <w:sz w:val="24"/>
          <w:szCs w:val="24"/>
          <w:lang w:eastAsia="en-GB"/>
        </w:rPr>
        <w:t>ve optimally (NICE NG28, 2023).</w:t>
      </w:r>
    </w:p>
    <w:p w14:paraId="6392154A" w14:textId="37B1C905" w:rsidR="000A3F5C" w:rsidRPr="00D015D9" w:rsidRDefault="00A87CDA" w:rsidP="00A87CDA">
      <w:pPr>
        <w:spacing w:beforeLines="60" w:before="144" w:afterLines="60" w:after="144" w:line="360" w:lineRule="auto"/>
        <w:jc w:val="both"/>
        <w:rPr>
          <w:rFonts w:eastAsia="Times New Roman" w:cstheme="minorHAnsi"/>
          <w:b/>
          <w:bCs/>
          <w:iCs/>
          <w:sz w:val="24"/>
          <w:szCs w:val="24"/>
          <w:lang w:eastAsia="en-GB"/>
        </w:rPr>
      </w:pPr>
      <w:r w:rsidRPr="00D015D9">
        <w:rPr>
          <w:rFonts w:eastAsia="Times New Roman" w:cstheme="minorHAnsi"/>
          <w:b/>
          <w:bCs/>
          <w:iCs/>
          <w:sz w:val="24"/>
          <w:szCs w:val="24"/>
          <w:lang w:eastAsia="en-GB"/>
        </w:rPr>
        <w:t>Pharmacological Management</w:t>
      </w:r>
    </w:p>
    <w:p w14:paraId="3665AD13" w14:textId="021712A3"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treatment of clinical pharmacotherapy is stepwise. First-line therapy should be metformin; it increases insulin sensitivity and inhibits hepatic gluconeogenesis, thus, improving glycaemic control (Davies et al., 2018) and has a positive cardiovascular risk profile (Rena et al., 2017). Second-line agents could be added when further glycaemic control is needed. Empagliflozin and other sodiumglucose co-transporter 2 (SGLT2) inhibitors reduce plasma glucose and have cardiovascular and renal protection (</w:t>
      </w:r>
      <w:r w:rsidR="00904FC4" w:rsidRPr="00FC7487">
        <w:rPr>
          <w:rFonts w:cstheme="minorHAnsi"/>
          <w:color w:val="222222"/>
          <w:sz w:val="24"/>
          <w:szCs w:val="24"/>
          <w:shd w:val="clear" w:color="auto" w:fill="FFFFFF"/>
        </w:rPr>
        <w:t>Zou</w:t>
      </w:r>
      <w:r w:rsidR="00904FC4" w:rsidRPr="00FC7487">
        <w:rPr>
          <w:rFonts w:eastAsia="Times New Roman" w:cstheme="minorHAnsi"/>
          <w:sz w:val="24"/>
          <w:szCs w:val="24"/>
          <w:lang w:eastAsia="en-GB"/>
        </w:rPr>
        <w:t xml:space="preserve"> et al., 2022</w:t>
      </w:r>
      <w:r w:rsidRPr="00FC7487">
        <w:rPr>
          <w:rFonts w:eastAsia="Times New Roman" w:cstheme="minorHAnsi"/>
          <w:sz w:val="24"/>
          <w:szCs w:val="24"/>
          <w:lang w:eastAsia="en-GB"/>
        </w:rPr>
        <w:t xml:space="preserve">). Agonists of glucagon-like peptide-1 (GLP-1), such as liraglutide, decrease post-prandial hyperglycaemia, aid in the loss of weight, and decrease cardiovascular risk (Marso et al., 2016). There </w:t>
      </w:r>
      <w:r w:rsidR="0031674F" w:rsidRPr="00FC7487">
        <w:rPr>
          <w:rFonts w:eastAsia="Times New Roman" w:cstheme="minorHAnsi"/>
          <w:sz w:val="24"/>
          <w:szCs w:val="24"/>
          <w:lang w:eastAsia="en-GB"/>
        </w:rPr>
        <w:t>is</w:t>
      </w:r>
      <w:r w:rsidRPr="00FC7487">
        <w:rPr>
          <w:rFonts w:eastAsia="Times New Roman" w:cstheme="minorHAnsi"/>
          <w:sz w:val="24"/>
          <w:szCs w:val="24"/>
          <w:lang w:eastAsia="en-GB"/>
        </w:rPr>
        <w:t xml:space="preserve"> also dipeptidyl peptidase-4 (DPP-4) inhibitors, which are conditional on the clinical considerations of the person (NICE NG28, 2023). Treatment with insulin can also be required; long-acting insulin preparations should be used to reduce the number of hypoglycaemic episodes (ADA, 2024). Individual and shared decision-making in a context of therapeutic choices are r</w:t>
      </w:r>
      <w:r w:rsidR="00A87CDA" w:rsidRPr="00FC7487">
        <w:rPr>
          <w:rFonts w:eastAsia="Times New Roman" w:cstheme="minorHAnsi"/>
          <w:sz w:val="24"/>
          <w:szCs w:val="24"/>
          <w:lang w:eastAsia="en-GB"/>
        </w:rPr>
        <w:t>ecommended (Buse et al., 2020).</w:t>
      </w:r>
    </w:p>
    <w:p w14:paraId="75AD7602" w14:textId="5DE7535B" w:rsidR="000A3F5C" w:rsidRPr="00D015D9" w:rsidRDefault="00A87CDA" w:rsidP="00A87CDA">
      <w:pPr>
        <w:spacing w:beforeLines="60" w:before="144" w:afterLines="60" w:after="144" w:line="360" w:lineRule="auto"/>
        <w:jc w:val="both"/>
        <w:rPr>
          <w:rFonts w:eastAsia="Times New Roman" w:cstheme="minorHAnsi"/>
          <w:b/>
          <w:bCs/>
          <w:iCs/>
          <w:sz w:val="24"/>
          <w:szCs w:val="24"/>
          <w:lang w:eastAsia="en-GB"/>
        </w:rPr>
      </w:pPr>
      <w:r w:rsidRPr="00D015D9">
        <w:rPr>
          <w:rFonts w:eastAsia="Times New Roman" w:cstheme="minorHAnsi"/>
          <w:b/>
          <w:bCs/>
          <w:iCs/>
          <w:sz w:val="24"/>
          <w:szCs w:val="24"/>
          <w:lang w:eastAsia="en-GB"/>
        </w:rPr>
        <w:t>Lifestyle Modification</w:t>
      </w:r>
    </w:p>
    <w:p w14:paraId="18161FEA" w14:textId="3A8EC492" w:rsidR="00D545C9" w:rsidRPr="00FC7487" w:rsidRDefault="000A3F5C" w:rsidP="00FC7487">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T2DM continues to be centred on lifestyle interventions. The empirical findings obtained reveal that trimming down weight by less than five percent with the help of healthy eating habits and physical exercising can help in preventing or even slowing down the progression of the disease (</w:t>
      </w:r>
      <w:r w:rsidR="00B84B4D" w:rsidRPr="00FC7487">
        <w:rPr>
          <w:rFonts w:cstheme="minorHAnsi"/>
          <w:color w:val="222222"/>
          <w:sz w:val="24"/>
          <w:szCs w:val="24"/>
          <w:shd w:val="clear" w:color="auto" w:fill="FFFFFF"/>
        </w:rPr>
        <w:t>Aroda</w:t>
      </w:r>
      <w:r w:rsidR="00B84B4D" w:rsidRPr="00FC7487">
        <w:rPr>
          <w:rFonts w:eastAsia="Times New Roman" w:cstheme="minorHAnsi"/>
          <w:sz w:val="24"/>
          <w:szCs w:val="24"/>
          <w:lang w:eastAsia="en-GB"/>
        </w:rPr>
        <w:t xml:space="preserve"> et al., 2017</w:t>
      </w:r>
      <w:r w:rsidRPr="00FC7487">
        <w:rPr>
          <w:rFonts w:eastAsia="Times New Roman" w:cstheme="minorHAnsi"/>
          <w:sz w:val="24"/>
          <w:szCs w:val="24"/>
          <w:lang w:eastAsia="en-GB"/>
        </w:rPr>
        <w:t>). Diets like Mediterranean and Dietary Approaches to Stop Hypertension (DASH) have proven to be effective in the management of glycaemia and cardiovascul</w:t>
      </w:r>
      <w:r w:rsidR="009E239E" w:rsidRPr="00FC7487">
        <w:rPr>
          <w:rFonts w:eastAsia="Times New Roman" w:cstheme="minorHAnsi"/>
          <w:sz w:val="24"/>
          <w:szCs w:val="24"/>
          <w:lang w:eastAsia="en-GB"/>
        </w:rPr>
        <w:t>ar issues (</w:t>
      </w:r>
      <w:r w:rsidR="009E239E" w:rsidRPr="00FC7487">
        <w:rPr>
          <w:rFonts w:cstheme="minorHAnsi"/>
          <w:color w:val="222222"/>
          <w:sz w:val="24"/>
          <w:szCs w:val="24"/>
          <w:shd w:val="clear" w:color="auto" w:fill="FFFFFF"/>
        </w:rPr>
        <w:t>Longo</w:t>
      </w:r>
      <w:r w:rsidR="009E239E" w:rsidRPr="00FC7487">
        <w:rPr>
          <w:rFonts w:eastAsia="Times New Roman" w:cstheme="minorHAnsi"/>
          <w:sz w:val="24"/>
          <w:szCs w:val="24"/>
          <w:lang w:eastAsia="en-GB"/>
        </w:rPr>
        <w:t xml:space="preserve"> et al., 2021</w:t>
      </w:r>
      <w:r w:rsidRPr="00FC7487">
        <w:rPr>
          <w:rFonts w:eastAsia="Times New Roman" w:cstheme="minorHAnsi"/>
          <w:sz w:val="24"/>
          <w:szCs w:val="24"/>
          <w:lang w:eastAsia="en-GB"/>
        </w:rPr>
        <w:t xml:space="preserve">). </w:t>
      </w:r>
    </w:p>
    <w:p w14:paraId="32EB77B1" w14:textId="340B58EF" w:rsidR="00D545C9" w:rsidRPr="00FC7487" w:rsidRDefault="00D545C9" w:rsidP="00FC7487">
      <w:pPr>
        <w:spacing w:beforeLines="60" w:before="144" w:afterLines="60" w:after="144" w:line="360" w:lineRule="auto"/>
        <w:jc w:val="both"/>
        <w:rPr>
          <w:rFonts w:eastAsia="Times New Roman" w:cstheme="minorHAnsi"/>
          <w:sz w:val="24"/>
          <w:szCs w:val="24"/>
          <w:lang w:eastAsia="en-GB"/>
        </w:rPr>
      </w:pPr>
      <w:r w:rsidRPr="00FC7487">
        <w:rPr>
          <w:rFonts w:cstheme="minorHAnsi"/>
          <w:noProof/>
          <w:sz w:val="24"/>
          <w:szCs w:val="24"/>
          <w:lang w:eastAsia="en-GB"/>
        </w:rPr>
        <w:drawing>
          <wp:inline distT="0" distB="0" distL="0" distR="0" wp14:anchorId="654A0026" wp14:editId="13A5074D">
            <wp:extent cx="4201160" cy="1712069"/>
            <wp:effectExtent l="0" t="0" r="8890" b="2540"/>
            <wp:docPr id="5" name="Picture 5" descr="7-Day Mediterranean Diet Meal Plan for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Day Mediterranean Diet Meal Plan for Beginne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7045" cy="1742994"/>
                    </a:xfrm>
                    <a:prstGeom prst="rect">
                      <a:avLst/>
                    </a:prstGeom>
                    <a:noFill/>
                    <a:ln>
                      <a:noFill/>
                    </a:ln>
                  </pic:spPr>
                </pic:pic>
              </a:graphicData>
            </a:graphic>
          </wp:inline>
        </w:drawing>
      </w:r>
    </w:p>
    <w:p w14:paraId="297E7A5C" w14:textId="67BE359C" w:rsidR="00D545C9" w:rsidRPr="00FC7487" w:rsidRDefault="000C7F62" w:rsidP="00D545C9">
      <w:pPr>
        <w:rPr>
          <w:rFonts w:cstheme="minorHAnsi"/>
          <w:sz w:val="24"/>
          <w:szCs w:val="24"/>
        </w:rPr>
      </w:pPr>
      <w:r w:rsidRPr="00FC7487">
        <w:rPr>
          <w:rFonts w:cstheme="minorHAnsi"/>
          <w:sz w:val="24"/>
          <w:szCs w:val="24"/>
        </w:rPr>
        <w:t>Figure 3</w:t>
      </w:r>
      <w:r w:rsidR="00D545C9" w:rsidRPr="00FC7487">
        <w:rPr>
          <w:rFonts w:cstheme="minorHAnsi"/>
          <w:sz w:val="24"/>
          <w:szCs w:val="24"/>
        </w:rPr>
        <w:t>: Mediterranean diet</w:t>
      </w:r>
      <w:r w:rsidR="00463F2B" w:rsidRPr="00FC7487">
        <w:rPr>
          <w:rFonts w:cstheme="minorHAnsi"/>
          <w:sz w:val="24"/>
          <w:szCs w:val="24"/>
        </w:rPr>
        <w:t xml:space="preserve"> (Eatingwell, 2024)</w:t>
      </w:r>
    </w:p>
    <w:p w14:paraId="1A952F34" w14:textId="5C50F972" w:rsidR="000A3F5C" w:rsidRPr="00FC7487" w:rsidRDefault="000A3F5C" w:rsidP="00A87CDA">
      <w:pPr>
        <w:spacing w:beforeLines="60" w:before="144" w:afterLines="60" w:after="144" w:line="360" w:lineRule="auto"/>
        <w:jc w:val="both"/>
        <w:rPr>
          <w:rFonts w:cstheme="minorHAnsi"/>
          <w:sz w:val="24"/>
          <w:szCs w:val="24"/>
        </w:rPr>
      </w:pPr>
      <w:r w:rsidRPr="00FC7487">
        <w:rPr>
          <w:rFonts w:eastAsia="Times New Roman" w:cstheme="minorHAnsi"/>
          <w:sz w:val="24"/>
          <w:szCs w:val="24"/>
          <w:lang w:eastAsia="en-GB"/>
        </w:rPr>
        <w:t>According to the National Institute of Health and Care Excellence, moderate-intensity physical exercise can improve insulin sensitivity and wellbeing but recommends 150 minutes of moderate exercise per week (Colberg et al., 2016). Goal-setting, self-monitoring, and motivational interviewing are behavioural change support measures that may be used to strengthen adherence and enhance the effectiveness of lifesty</w:t>
      </w:r>
      <w:r w:rsidR="00D34189" w:rsidRPr="00FC7487">
        <w:rPr>
          <w:rFonts w:eastAsia="Times New Roman" w:cstheme="minorHAnsi"/>
          <w:sz w:val="24"/>
          <w:szCs w:val="24"/>
          <w:lang w:eastAsia="en-GB"/>
        </w:rPr>
        <w:t>le modification (</w:t>
      </w:r>
      <w:r w:rsidR="00D34189" w:rsidRPr="00FC7487">
        <w:rPr>
          <w:rFonts w:cstheme="minorHAnsi"/>
          <w:color w:val="222222"/>
          <w:sz w:val="24"/>
          <w:szCs w:val="24"/>
          <w:shd w:val="clear" w:color="auto" w:fill="FFFFFF"/>
        </w:rPr>
        <w:t>Schmitt</w:t>
      </w:r>
      <w:r w:rsidR="00D34189" w:rsidRPr="00FC7487">
        <w:rPr>
          <w:rFonts w:eastAsia="Times New Roman" w:cstheme="minorHAnsi"/>
          <w:sz w:val="24"/>
          <w:szCs w:val="24"/>
          <w:lang w:eastAsia="en-GB"/>
        </w:rPr>
        <w:t xml:space="preserve"> et al., 20</w:t>
      </w:r>
      <w:r w:rsidRPr="00FC7487">
        <w:rPr>
          <w:rFonts w:eastAsia="Times New Roman" w:cstheme="minorHAnsi"/>
          <w:sz w:val="24"/>
          <w:szCs w:val="24"/>
          <w:lang w:eastAsia="en-GB"/>
        </w:rPr>
        <w:t>1</w:t>
      </w:r>
      <w:r w:rsidR="00D34189" w:rsidRPr="00FC7487">
        <w:rPr>
          <w:rFonts w:eastAsia="Times New Roman" w:cstheme="minorHAnsi"/>
          <w:sz w:val="24"/>
          <w:szCs w:val="24"/>
          <w:lang w:eastAsia="en-GB"/>
        </w:rPr>
        <w:t>6</w:t>
      </w:r>
      <w:r w:rsidRPr="00FC7487">
        <w:rPr>
          <w:rFonts w:eastAsia="Times New Roman" w:cstheme="minorHAnsi"/>
          <w:sz w:val="24"/>
          <w:szCs w:val="24"/>
          <w:lang w:eastAsia="en-GB"/>
        </w:rPr>
        <w:t>).</w:t>
      </w:r>
    </w:p>
    <w:p w14:paraId="684096C2" w14:textId="77777777" w:rsidR="000A3F5C" w:rsidRPr="00FC7487" w:rsidRDefault="000A3F5C" w:rsidP="00A87CDA">
      <w:pPr>
        <w:rPr>
          <w:rFonts w:cstheme="minorHAnsi"/>
          <w:b/>
          <w:sz w:val="24"/>
          <w:szCs w:val="24"/>
        </w:rPr>
      </w:pPr>
      <w:r w:rsidRPr="00FC7487">
        <w:rPr>
          <w:rFonts w:cstheme="minorHAnsi"/>
          <w:b/>
          <w:sz w:val="24"/>
          <w:szCs w:val="24"/>
        </w:rPr>
        <w:t>Structured Education and Self-Management Support</w:t>
      </w:r>
    </w:p>
    <w:p w14:paraId="2AC8DDCF" w14:textId="64B45974"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Patients have a better understanding of their condition through structured education programmes including DESMOND, DAFNE, which helps them feel confident with self-management (</w:t>
      </w:r>
      <w:r w:rsidR="009E239E" w:rsidRPr="00FC7487">
        <w:rPr>
          <w:rFonts w:asciiTheme="minorHAnsi" w:hAnsiTheme="minorHAnsi" w:cstheme="minorHAnsi"/>
          <w:color w:val="222222"/>
          <w:shd w:val="clear" w:color="auto" w:fill="FFFFFF"/>
        </w:rPr>
        <w:t>Murray</w:t>
      </w:r>
      <w:r w:rsidR="009E239E" w:rsidRPr="00FC7487">
        <w:rPr>
          <w:rFonts w:asciiTheme="minorHAnsi" w:hAnsiTheme="minorHAnsi" w:cstheme="minorHAnsi"/>
        </w:rPr>
        <w:t xml:space="preserve"> et al., 2017</w:t>
      </w:r>
      <w:r w:rsidRPr="00FC7487">
        <w:rPr>
          <w:rFonts w:asciiTheme="minorHAnsi" w:hAnsiTheme="minorHAnsi" w:cstheme="minorHAnsi"/>
        </w:rPr>
        <w:t xml:space="preserve">). Enrolment in DESMOND has been linked to improved self-efficacy and </w:t>
      </w:r>
      <w:r w:rsidR="000C7F62" w:rsidRPr="00FC7487">
        <w:rPr>
          <w:rFonts w:asciiTheme="minorHAnsi" w:hAnsiTheme="minorHAnsi" w:cstheme="minorHAnsi"/>
        </w:rPr>
        <w:t>healthier</w:t>
      </w:r>
      <w:r w:rsidRPr="00FC7487">
        <w:rPr>
          <w:rFonts w:asciiTheme="minorHAnsi" w:hAnsiTheme="minorHAnsi" w:cstheme="minorHAnsi"/>
        </w:rPr>
        <w:t xml:space="preserve"> lifestyle decisions (Deakin et al., 2017). Mobile applications and remote glucose monitors are emerging as digital technologies that are used to facilitate day-to-day disease </w:t>
      </w:r>
      <w:r w:rsidR="00A87CDA" w:rsidRPr="00FC7487">
        <w:rPr>
          <w:rFonts w:asciiTheme="minorHAnsi" w:hAnsiTheme="minorHAnsi" w:cstheme="minorHAnsi"/>
        </w:rPr>
        <w:t>management (NHS England, 2023).</w:t>
      </w:r>
    </w:p>
    <w:p w14:paraId="76F21108" w14:textId="77777777" w:rsidR="000A3F5C" w:rsidRPr="00D015D9" w:rsidRDefault="000A3F5C" w:rsidP="00A87CDA">
      <w:pPr>
        <w:pStyle w:val="NormalWeb"/>
        <w:spacing w:beforeLines="60" w:before="144" w:beforeAutospacing="0" w:afterLines="60" w:after="144" w:afterAutospacing="0" w:line="360" w:lineRule="auto"/>
        <w:jc w:val="both"/>
        <w:rPr>
          <w:rFonts w:asciiTheme="minorHAnsi" w:hAnsiTheme="minorHAnsi" w:cstheme="minorHAnsi"/>
          <w:b/>
          <w:bCs/>
          <w:iCs/>
        </w:rPr>
      </w:pPr>
      <w:r w:rsidRPr="00D015D9">
        <w:rPr>
          <w:rFonts w:asciiTheme="minorHAnsi" w:hAnsiTheme="minorHAnsi" w:cstheme="minorHAnsi"/>
          <w:b/>
          <w:bCs/>
          <w:iCs/>
        </w:rPr>
        <w:t xml:space="preserve">Psychological and Social support.  </w:t>
      </w:r>
    </w:p>
    <w:p w14:paraId="548A625E" w14:textId="1E399857"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 xml:space="preserve">Motivation can be diminished by the psychosocial burden of </w:t>
      </w:r>
      <w:r w:rsidR="00D015D9" w:rsidRPr="00FC7487">
        <w:rPr>
          <w:rFonts w:asciiTheme="minorHAnsi" w:hAnsiTheme="minorHAnsi" w:cstheme="minorHAnsi"/>
        </w:rPr>
        <w:t>diabetes,</w:t>
      </w:r>
      <w:r w:rsidRPr="00FC7487">
        <w:rPr>
          <w:rFonts w:asciiTheme="minorHAnsi" w:hAnsiTheme="minorHAnsi" w:cstheme="minorHAnsi"/>
        </w:rPr>
        <w:t xml:space="preserve"> and it undermines glycaemic control. Distress is reduced and better coping strategies are achieved with the help of Cognitive-Behavioural Therapy and peer support groups (</w:t>
      </w:r>
      <w:r w:rsidR="009E239E" w:rsidRPr="00FC7487">
        <w:rPr>
          <w:rFonts w:asciiTheme="minorHAnsi" w:hAnsiTheme="minorHAnsi" w:cstheme="minorHAnsi"/>
          <w:color w:val="222222"/>
          <w:shd w:val="clear" w:color="auto" w:fill="FFFFFF"/>
        </w:rPr>
        <w:t>Winkley</w:t>
      </w:r>
      <w:r w:rsidR="009E239E" w:rsidRPr="00FC7487">
        <w:rPr>
          <w:rFonts w:asciiTheme="minorHAnsi" w:hAnsiTheme="minorHAnsi" w:cstheme="minorHAnsi"/>
        </w:rPr>
        <w:t xml:space="preserve"> et al., 2020</w:t>
      </w:r>
      <w:r w:rsidRPr="00FC7487">
        <w:rPr>
          <w:rFonts w:asciiTheme="minorHAnsi" w:hAnsiTheme="minorHAnsi" w:cstheme="minorHAnsi"/>
        </w:rPr>
        <w:t>; Diabetes UK, 2024). It is crucial to address cultural and socioeconomic barriers, especially in the case of ethnic minorities who might face oth</w:t>
      </w:r>
      <w:r w:rsidR="00A87CDA" w:rsidRPr="00FC7487">
        <w:rPr>
          <w:rFonts w:asciiTheme="minorHAnsi" w:hAnsiTheme="minorHAnsi" w:cstheme="minorHAnsi"/>
        </w:rPr>
        <w:t xml:space="preserve">er issues </w:t>
      </w:r>
      <w:r w:rsidR="00D34189" w:rsidRPr="00FC7487">
        <w:rPr>
          <w:rFonts w:asciiTheme="minorHAnsi" w:hAnsiTheme="minorHAnsi" w:cstheme="minorHAnsi"/>
        </w:rPr>
        <w:t>(</w:t>
      </w:r>
      <w:r w:rsidR="00D34189" w:rsidRPr="00FC7487">
        <w:rPr>
          <w:rFonts w:asciiTheme="minorHAnsi" w:hAnsiTheme="minorHAnsi" w:cstheme="minorHAnsi"/>
          <w:color w:val="222222"/>
          <w:shd w:val="clear" w:color="auto" w:fill="FFFFFF"/>
        </w:rPr>
        <w:t>Joo &amp; Liu, 2021</w:t>
      </w:r>
      <w:r w:rsidR="00D34189" w:rsidRPr="00FC7487">
        <w:rPr>
          <w:rFonts w:asciiTheme="minorHAnsi" w:hAnsiTheme="minorHAnsi" w:cstheme="minorHAnsi"/>
        </w:rPr>
        <w:t>).</w:t>
      </w:r>
    </w:p>
    <w:p w14:paraId="5BEC856A" w14:textId="77777777" w:rsidR="000A3F5C" w:rsidRPr="00D015D9" w:rsidRDefault="000A3F5C" w:rsidP="00A87CDA">
      <w:pPr>
        <w:pStyle w:val="NormalWeb"/>
        <w:spacing w:beforeLines="60" w:before="144" w:beforeAutospacing="0" w:afterLines="60" w:after="144" w:afterAutospacing="0" w:line="360" w:lineRule="auto"/>
        <w:jc w:val="both"/>
        <w:rPr>
          <w:rFonts w:asciiTheme="minorHAnsi" w:hAnsiTheme="minorHAnsi" w:cstheme="minorHAnsi"/>
          <w:b/>
          <w:bCs/>
          <w:iCs/>
        </w:rPr>
      </w:pPr>
      <w:r w:rsidRPr="00D015D9">
        <w:rPr>
          <w:rFonts w:asciiTheme="minorHAnsi" w:hAnsiTheme="minorHAnsi" w:cstheme="minorHAnsi"/>
          <w:b/>
          <w:bCs/>
          <w:iCs/>
        </w:rPr>
        <w:t xml:space="preserve">Theoretical Models and Frameworks (UK and International)  </w:t>
      </w:r>
    </w:p>
    <w:p w14:paraId="1BC72879" w14:textId="77777777"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 xml:space="preserve">Type 2 Diabetes Mellitus Improved Outcomes Theoretical Models and Frameworks:  </w:t>
      </w:r>
    </w:p>
    <w:p w14:paraId="42687230" w14:textId="77777777"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 xml:space="preserve">Frameworks that support coordinated, person-centred, and evidence-based care support the management of Type 2 Diabetes Mellitus (T2DM). These models outline the manner in which services are structured, patients nurtured, as well as the manner in which the healthcare professionals liaise.  </w:t>
      </w:r>
    </w:p>
    <w:p w14:paraId="3BF1792C" w14:textId="77777777" w:rsidR="000A3F5C" w:rsidRPr="00D015D9" w:rsidRDefault="000A3F5C" w:rsidP="00A87CDA">
      <w:pPr>
        <w:pStyle w:val="NormalWeb"/>
        <w:spacing w:beforeLines="60" w:before="144" w:beforeAutospacing="0" w:afterLines="60" w:after="144" w:afterAutospacing="0" w:line="360" w:lineRule="auto"/>
        <w:jc w:val="both"/>
        <w:rPr>
          <w:rFonts w:asciiTheme="minorHAnsi" w:hAnsiTheme="minorHAnsi" w:cstheme="minorHAnsi"/>
          <w:b/>
          <w:bCs/>
          <w:iCs/>
        </w:rPr>
      </w:pPr>
      <w:r w:rsidRPr="00D015D9">
        <w:rPr>
          <w:rFonts w:asciiTheme="minorHAnsi" w:hAnsiTheme="minorHAnsi" w:cstheme="minorHAnsi"/>
          <w:b/>
          <w:bCs/>
          <w:iCs/>
        </w:rPr>
        <w:t xml:space="preserve">The UK Chronic Care Model (CCM)  </w:t>
      </w:r>
    </w:p>
    <w:p w14:paraId="39C26FBE" w14:textId="453DE494" w:rsidR="000A3F5C" w:rsidRPr="00FC7487" w:rsidRDefault="000A3F5C" w:rsidP="00A87CDA">
      <w:pPr>
        <w:pStyle w:val="NormalWeb"/>
        <w:spacing w:beforeLines="60" w:before="144" w:beforeAutospacing="0" w:afterLines="60" w:after="144" w:afterAutospacing="0" w:line="360" w:lineRule="auto"/>
        <w:jc w:val="both"/>
        <w:rPr>
          <w:rFonts w:asciiTheme="minorHAnsi" w:hAnsiTheme="minorHAnsi" w:cstheme="minorHAnsi"/>
        </w:rPr>
      </w:pPr>
      <w:r w:rsidRPr="00FC7487">
        <w:rPr>
          <w:rFonts w:asciiTheme="minorHAnsi" w:hAnsiTheme="minorHAnsi" w:cstheme="minorHAnsi"/>
        </w:rPr>
        <w:t>The Chronic Care Model (CCM) implemented in the NHS offers the structured ten-year management of long-term conditions based on six main domains self-management support, design of the delivery system, decision support, clinical information system, community resources, and the overall organisation of the health system (</w:t>
      </w:r>
      <w:r w:rsidR="00904FC4" w:rsidRPr="00FC7487">
        <w:rPr>
          <w:rFonts w:asciiTheme="minorHAnsi" w:hAnsiTheme="minorHAnsi" w:cstheme="minorHAnsi"/>
          <w:color w:val="222222"/>
          <w:shd w:val="clear" w:color="auto" w:fill="FFFFFF"/>
        </w:rPr>
        <w:t xml:space="preserve">Abada &amp; Altalafha, </w:t>
      </w:r>
      <w:r w:rsidR="00241760" w:rsidRPr="00FC7487">
        <w:rPr>
          <w:rFonts w:asciiTheme="minorHAnsi" w:hAnsiTheme="minorHAnsi" w:cstheme="minorHAnsi"/>
          <w:color w:val="222222"/>
          <w:shd w:val="clear" w:color="auto" w:fill="FFFFFF"/>
        </w:rPr>
        <w:t>2023</w:t>
      </w:r>
      <w:r w:rsidRPr="00FC7487">
        <w:rPr>
          <w:rFonts w:asciiTheme="minorHAnsi" w:hAnsiTheme="minorHAnsi" w:cstheme="minorHAnsi"/>
        </w:rPr>
        <w:t>). The CCM educates on integrated care of diabetes in the UK and supports the priorities in the NHS Long Term Plan (2019) such as focusing on earlier diagnosis and prevention.</w:t>
      </w:r>
    </w:p>
    <w:p w14:paraId="4E894888" w14:textId="11C1D708" w:rsidR="000A3F5C" w:rsidRPr="00FC7487" w:rsidRDefault="000A3F5C" w:rsidP="00A87CDA">
      <w:pPr>
        <w:spacing w:beforeLines="60" w:before="144" w:afterLines="60" w:after="144" w:line="360" w:lineRule="auto"/>
        <w:jc w:val="both"/>
        <w:outlineLvl w:val="2"/>
        <w:rPr>
          <w:rFonts w:eastAsia="Times New Roman" w:cstheme="minorHAnsi"/>
          <w:sz w:val="24"/>
          <w:szCs w:val="24"/>
          <w:lang w:eastAsia="en-GB"/>
        </w:rPr>
      </w:pPr>
      <w:r w:rsidRPr="00FC7487">
        <w:rPr>
          <w:rFonts w:eastAsia="Times New Roman" w:cstheme="minorHAnsi"/>
          <w:sz w:val="24"/>
          <w:szCs w:val="24"/>
          <w:lang w:eastAsia="en-GB"/>
        </w:rPr>
        <w:t>Self-management support is one of the pillars of the Chronic Care Model (CCM). Specific educational interventions, like DESMOND and DAFNE, provide people with a more in-depth understanding of their condition and confidence in their everyday coping with diabetes (</w:t>
      </w:r>
      <w:r w:rsidR="009E239E" w:rsidRPr="00FC7487">
        <w:rPr>
          <w:rFonts w:cstheme="minorHAnsi"/>
          <w:color w:val="222222"/>
          <w:sz w:val="24"/>
          <w:szCs w:val="24"/>
          <w:shd w:val="clear" w:color="auto" w:fill="FFFFFF"/>
        </w:rPr>
        <w:t>Murray</w:t>
      </w:r>
      <w:r w:rsidRPr="00FC7487">
        <w:rPr>
          <w:rFonts w:eastAsia="Times New Roman" w:cstheme="minorHAnsi"/>
          <w:sz w:val="24"/>
          <w:szCs w:val="24"/>
          <w:lang w:eastAsia="en-GB"/>
        </w:rPr>
        <w:t xml:space="preserve"> et al., 20</w:t>
      </w:r>
      <w:r w:rsidR="009E239E" w:rsidRPr="00FC7487">
        <w:rPr>
          <w:rFonts w:eastAsia="Times New Roman" w:cstheme="minorHAnsi"/>
          <w:sz w:val="24"/>
          <w:szCs w:val="24"/>
          <w:lang w:eastAsia="en-GB"/>
        </w:rPr>
        <w:t>17</w:t>
      </w:r>
      <w:r w:rsidRPr="00FC7487">
        <w:rPr>
          <w:rFonts w:eastAsia="Times New Roman" w:cstheme="minorHAnsi"/>
          <w:sz w:val="24"/>
          <w:szCs w:val="24"/>
          <w:lang w:eastAsia="en-GB"/>
        </w:rPr>
        <w:t xml:space="preserve">). The CCM also promotes multidisciplinary cooperation within the primary, secondary, and community services (Goodwin et al., 2022). However, critics argue that the model has not been widely applicable to other social determinants of health such as income, cultural background, and access to nutritious foods, which have been contributory to observed differences in diabetes outcomes </w:t>
      </w:r>
      <w:r w:rsidR="00D34189" w:rsidRPr="00FC7487">
        <w:rPr>
          <w:rFonts w:eastAsia="Times New Roman" w:cstheme="minorHAnsi"/>
          <w:sz w:val="24"/>
          <w:szCs w:val="24"/>
          <w:lang w:eastAsia="en-GB"/>
        </w:rPr>
        <w:t>(</w:t>
      </w:r>
      <w:r w:rsidR="00D34189" w:rsidRPr="00FC7487">
        <w:rPr>
          <w:rFonts w:cstheme="minorHAnsi"/>
          <w:color w:val="222222"/>
          <w:sz w:val="24"/>
          <w:szCs w:val="24"/>
          <w:shd w:val="clear" w:color="auto" w:fill="FFFFFF"/>
        </w:rPr>
        <w:t>Joo &amp; Liu, 2021</w:t>
      </w:r>
      <w:r w:rsidR="00D34189" w:rsidRPr="00FC7487">
        <w:rPr>
          <w:rFonts w:eastAsia="Times New Roman" w:cstheme="minorHAnsi"/>
          <w:sz w:val="24"/>
          <w:szCs w:val="24"/>
          <w:lang w:eastAsia="en-GB"/>
        </w:rPr>
        <w:t>).</w:t>
      </w:r>
    </w:p>
    <w:p w14:paraId="200D42DF" w14:textId="6EAC4B6C" w:rsidR="000A3F5C" w:rsidRPr="00D015D9" w:rsidRDefault="000A3F5C" w:rsidP="00A87CDA">
      <w:pPr>
        <w:spacing w:beforeLines="60" w:before="144" w:afterLines="60" w:after="144" w:line="360" w:lineRule="auto"/>
        <w:jc w:val="both"/>
        <w:outlineLvl w:val="2"/>
        <w:rPr>
          <w:rFonts w:eastAsia="Times New Roman" w:cstheme="minorHAnsi"/>
          <w:b/>
          <w:bCs/>
          <w:iCs/>
          <w:sz w:val="24"/>
          <w:szCs w:val="24"/>
          <w:lang w:eastAsia="en-GB"/>
        </w:rPr>
      </w:pPr>
      <w:r w:rsidRPr="00D015D9">
        <w:rPr>
          <w:rFonts w:eastAsia="Times New Roman" w:cstheme="minorHAnsi"/>
          <w:b/>
          <w:bCs/>
          <w:iCs/>
          <w:sz w:val="24"/>
          <w:szCs w:val="24"/>
          <w:lang w:eastAsia="en-GB"/>
        </w:rPr>
        <w:t>The WHO ICCC Framework</w:t>
      </w:r>
    </w:p>
    <w:p w14:paraId="5B7CB59A" w14:textId="5DBAE171" w:rsidR="000A3F5C" w:rsidRPr="00FC7487" w:rsidRDefault="000A3F5C" w:rsidP="00A87CDA">
      <w:pPr>
        <w:spacing w:beforeLines="60" w:before="144" w:afterLines="60" w:after="144" w:line="360" w:lineRule="auto"/>
        <w:jc w:val="both"/>
        <w:outlineLvl w:val="2"/>
        <w:rPr>
          <w:rFonts w:eastAsia="Times New Roman" w:cstheme="minorHAnsi"/>
          <w:sz w:val="24"/>
          <w:szCs w:val="24"/>
          <w:lang w:eastAsia="en-GB"/>
        </w:rPr>
      </w:pPr>
      <w:r w:rsidRPr="00FC7487">
        <w:rPr>
          <w:rFonts w:eastAsia="Times New Roman" w:cstheme="minorHAnsi"/>
          <w:sz w:val="24"/>
          <w:szCs w:val="24"/>
          <w:lang w:eastAsia="en-GB"/>
        </w:rPr>
        <w:t>WHO Innovative Care for Chronic Conditions Framework builds on the CCM; it recommends change in three layers: patient and family, healthcare organisations, and macro-policy (WHO, 2002). It lays a strong stress on prevention, participation in the community, and reasonably providing essential therapies. This framework is operationalised in contemporary efforts to promote global efforts towards the care of diabetes, including the Global Diabetes Compact by the World Health Organisation (2021).</w:t>
      </w:r>
    </w:p>
    <w:p w14:paraId="5A4FB035" w14:textId="77777777" w:rsidR="000A3F5C" w:rsidRPr="00FC7487" w:rsidRDefault="000A3F5C" w:rsidP="00A87CDA">
      <w:pPr>
        <w:spacing w:beforeLines="60" w:before="144" w:afterLines="60" w:after="144" w:line="360" w:lineRule="auto"/>
        <w:jc w:val="both"/>
        <w:outlineLvl w:val="2"/>
        <w:rPr>
          <w:rFonts w:eastAsia="Times New Roman" w:cstheme="minorHAnsi"/>
          <w:b/>
          <w:bCs/>
          <w:sz w:val="24"/>
          <w:szCs w:val="24"/>
          <w:lang w:eastAsia="en-GB"/>
        </w:rPr>
      </w:pPr>
      <w:r w:rsidRPr="00FC7487">
        <w:rPr>
          <w:rFonts w:eastAsia="Times New Roman" w:cstheme="minorHAnsi"/>
          <w:b/>
          <w:bCs/>
          <w:sz w:val="24"/>
          <w:szCs w:val="24"/>
          <w:lang w:eastAsia="en-GB"/>
        </w:rPr>
        <w:t>Local and National Health and Social Care Agendas in Diabetes Management</w:t>
      </w:r>
    </w:p>
    <w:p w14:paraId="16A0099E" w14:textId="534B422D"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In the United Kingdom, it can be seen that the national strategies, local commissioning frameworks, and social care initiatives are a blend of effective management of diabetes care through prevention and early diagnosis and equitable access to care. The political and policy-driven agendas are central to enhanced outcomes in people with Type 2 Diabetes Mellitus (T2DM) and, akin to overall integrated and person-centred care objectives, this p</w:t>
      </w:r>
      <w:r w:rsidR="00A87CDA" w:rsidRPr="00FC7487">
        <w:rPr>
          <w:rFonts w:eastAsia="Times New Roman" w:cstheme="minorHAnsi"/>
          <w:sz w:val="24"/>
          <w:szCs w:val="24"/>
          <w:lang w:eastAsia="en-GB"/>
        </w:rPr>
        <w:t>roposal aligns with the vision.</w:t>
      </w:r>
    </w:p>
    <w:p w14:paraId="149DA162" w14:textId="77777777" w:rsidR="000A3F5C" w:rsidRPr="00D015D9" w:rsidRDefault="000A3F5C" w:rsidP="00A87CDA">
      <w:pPr>
        <w:spacing w:beforeLines="60" w:before="144" w:afterLines="60" w:after="144" w:line="360" w:lineRule="auto"/>
        <w:jc w:val="both"/>
        <w:rPr>
          <w:rFonts w:eastAsia="Times New Roman" w:cstheme="minorHAnsi"/>
          <w:b/>
          <w:bCs/>
          <w:iCs/>
          <w:sz w:val="24"/>
          <w:szCs w:val="24"/>
          <w:lang w:eastAsia="en-GB"/>
        </w:rPr>
      </w:pPr>
      <w:r w:rsidRPr="00D015D9">
        <w:rPr>
          <w:rFonts w:eastAsia="Times New Roman" w:cstheme="minorHAnsi"/>
          <w:b/>
          <w:bCs/>
          <w:iCs/>
          <w:sz w:val="24"/>
          <w:szCs w:val="24"/>
          <w:lang w:eastAsia="en-GB"/>
        </w:rPr>
        <w:t xml:space="preserve">National Agendas  </w:t>
      </w:r>
    </w:p>
    <w:p w14:paraId="32B1584F" w14:textId="7508A7DA"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 xml:space="preserve">Both nationally and locally, the NHS Long Term Plan (2019) is the foundation policy that facilitates the change in diabetes care in England. It focuses on prevention and early detection and reduction of health disparities. The action plan will help to avert a potential of 200,000 cases of T2DM by up-scaling NHS Diabetes Prevention Programme (NHS DPP) that helps to maintain lifestyle modifications in high-risk people (NHS England, 2019). The evidence-based strategy of DPP (where the main emphasis is put on healthy nutrition, physical exercises, and weight control) is found to help prevent the development of diabetes by 37 percent (Valabhji et al., 2020).  </w:t>
      </w:r>
    </w:p>
    <w:p w14:paraId="799378A2" w14:textId="67421757" w:rsidR="00226463" w:rsidRPr="00FC7487" w:rsidRDefault="00226463" w:rsidP="00A87CDA">
      <w:pPr>
        <w:spacing w:beforeLines="60" w:before="144" w:afterLines="60" w:after="144" w:line="360" w:lineRule="auto"/>
        <w:jc w:val="both"/>
        <w:rPr>
          <w:rFonts w:eastAsia="Times New Roman" w:cstheme="minorHAnsi"/>
          <w:sz w:val="24"/>
          <w:szCs w:val="24"/>
          <w:lang w:eastAsia="en-GB"/>
        </w:rPr>
      </w:pPr>
      <w:r w:rsidRPr="00FC7487">
        <w:rPr>
          <w:rFonts w:cstheme="minorHAnsi"/>
          <w:noProof/>
          <w:sz w:val="24"/>
          <w:szCs w:val="24"/>
          <w:lang w:eastAsia="en-GB"/>
        </w:rPr>
        <w:drawing>
          <wp:inline distT="0" distB="0" distL="0" distR="0" wp14:anchorId="44F5D16A" wp14:editId="651AF022">
            <wp:extent cx="4206250" cy="2431915"/>
            <wp:effectExtent l="0" t="0" r="3810" b="6985"/>
            <wp:docPr id="6" name="Picture 6" descr="Outdoor Walking Benefits: 8 ways walking outdoors can change our life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utdoor Walking Benefits: 8 ways walking outdoors can change our lifesty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10419" cy="2434325"/>
                    </a:xfrm>
                    <a:prstGeom prst="rect">
                      <a:avLst/>
                    </a:prstGeom>
                    <a:noFill/>
                    <a:ln>
                      <a:noFill/>
                    </a:ln>
                  </pic:spPr>
                </pic:pic>
              </a:graphicData>
            </a:graphic>
          </wp:inline>
        </w:drawing>
      </w:r>
      <w:r w:rsidR="00D85293" w:rsidRPr="00FC7487">
        <w:rPr>
          <w:rFonts w:eastAsia="Times New Roman" w:cstheme="minorHAnsi"/>
          <w:sz w:val="24"/>
          <w:szCs w:val="24"/>
          <w:lang w:eastAsia="en-GB"/>
        </w:rPr>
        <w:t>Figure 4</w:t>
      </w:r>
      <w:r w:rsidRPr="00FC7487">
        <w:rPr>
          <w:rFonts w:eastAsia="Times New Roman" w:cstheme="minorHAnsi"/>
          <w:sz w:val="24"/>
          <w:szCs w:val="24"/>
          <w:lang w:eastAsia="en-GB"/>
        </w:rPr>
        <w:t>: Adult walking exercise</w:t>
      </w:r>
      <w:r w:rsidR="00E55877" w:rsidRPr="00FC7487">
        <w:rPr>
          <w:rFonts w:eastAsia="Times New Roman" w:cstheme="minorHAnsi"/>
          <w:sz w:val="24"/>
          <w:szCs w:val="24"/>
          <w:lang w:eastAsia="en-GB"/>
        </w:rPr>
        <w:t xml:space="preserve"> (</w:t>
      </w:r>
      <w:r w:rsidR="00463F2B" w:rsidRPr="00FC7487">
        <w:rPr>
          <w:rFonts w:eastAsia="Times New Roman" w:cstheme="minorHAnsi"/>
          <w:sz w:val="24"/>
          <w:szCs w:val="24"/>
          <w:lang w:eastAsia="en-GB"/>
        </w:rPr>
        <w:t>Times of I</w:t>
      </w:r>
      <w:r w:rsidR="00E55877" w:rsidRPr="00FC7487">
        <w:rPr>
          <w:rFonts w:eastAsia="Times New Roman" w:cstheme="minorHAnsi"/>
          <w:sz w:val="24"/>
          <w:szCs w:val="24"/>
          <w:lang w:eastAsia="en-GB"/>
        </w:rPr>
        <w:t>ndia, 2024)</w:t>
      </w:r>
    </w:p>
    <w:p w14:paraId="0116404F" w14:textId="00DEACAF"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consistent clinical practise is also based on national guidelines. The guidelines presented by NICE NG28 (2023) and NICE NG17 (2023) are evidence-based to treat T2DM and facilitate the care of adults with complex needs. These policies guarantee care standardisation as well as self-management, multidisciplinary partnership, and fair acce</w:t>
      </w:r>
      <w:r w:rsidR="00A87CDA" w:rsidRPr="00FC7487">
        <w:rPr>
          <w:rFonts w:eastAsia="Times New Roman" w:cstheme="minorHAnsi"/>
          <w:sz w:val="24"/>
          <w:szCs w:val="24"/>
          <w:lang w:eastAsia="en-GB"/>
        </w:rPr>
        <w:t xml:space="preserve">ss to treatment.  </w:t>
      </w:r>
    </w:p>
    <w:p w14:paraId="4DADC0E2" w14:textId="77777777"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Simultaneously, the campaigns like public awareness of the dangers of obesity and diabetes via the initiatives like the Healthier You and Change4Life have been popularised by Public Health England (since then, a division of the UK Health Security Agency) (PHE, 2020). These programmes are an indication of changes in favour of proactive health promotion and population-scale prevention models.</w:t>
      </w:r>
    </w:p>
    <w:p w14:paraId="1DCD820F" w14:textId="77777777" w:rsidR="000A3F5C" w:rsidRPr="00D015D9" w:rsidRDefault="000A3F5C" w:rsidP="00A87CDA">
      <w:pPr>
        <w:spacing w:beforeLines="60" w:before="144" w:afterLines="60" w:after="144" w:line="360" w:lineRule="auto"/>
        <w:jc w:val="both"/>
        <w:outlineLvl w:val="2"/>
        <w:rPr>
          <w:rFonts w:eastAsia="Times New Roman" w:cstheme="minorHAnsi"/>
          <w:b/>
          <w:iCs/>
          <w:sz w:val="24"/>
          <w:szCs w:val="24"/>
          <w:lang w:eastAsia="en-GB"/>
        </w:rPr>
      </w:pPr>
      <w:r w:rsidRPr="00D015D9">
        <w:rPr>
          <w:rFonts w:eastAsia="Times New Roman" w:cstheme="minorHAnsi"/>
          <w:b/>
          <w:iCs/>
          <w:sz w:val="24"/>
          <w:szCs w:val="24"/>
          <w:lang w:eastAsia="en-GB"/>
        </w:rPr>
        <w:t>Local Agendas</w:t>
      </w:r>
    </w:p>
    <w:p w14:paraId="485D498D" w14:textId="57C852CA"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On the local level, Integrated Care Systems (ICS) represents a critical service delivery model of diabetes care because it facilitates care provision through NHS trusts, local authorities, and voluntary organisations to provide seamless patient-centred services (Ham et al., 2021). Local Health and Wellbeing Boards also create Joint Strategic Needs Assessments (JSNAs), which define health priorities within a community, accordingly, allowing an intervention to be targeted at diabetes hotspots, especially in deprived or ethnically diverse co</w:t>
      </w:r>
      <w:r w:rsidR="00A87CDA" w:rsidRPr="00FC7487">
        <w:rPr>
          <w:rFonts w:eastAsia="Times New Roman" w:cstheme="minorHAnsi"/>
          <w:sz w:val="24"/>
          <w:szCs w:val="24"/>
          <w:lang w:eastAsia="en-GB"/>
        </w:rPr>
        <w:t xml:space="preserve">mmunities (Kings Fund, 2022).  </w:t>
      </w:r>
    </w:p>
    <w:p w14:paraId="21CB64D6" w14:textId="4D42CE59"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 xml:space="preserve">Primary Care Networks (PCNs) are another factor that enables provided in the local territory with improved diabetes services, including foot cheques, HbA1c, and formal education (NHS England, 2023). Such networks enhance continuity of care, access to specialist advice and incorporation of digital health solutions such </w:t>
      </w:r>
      <w:r w:rsidR="00A87CDA" w:rsidRPr="00FC7487">
        <w:rPr>
          <w:rFonts w:eastAsia="Times New Roman" w:cstheme="minorHAnsi"/>
          <w:sz w:val="24"/>
          <w:szCs w:val="24"/>
          <w:lang w:eastAsia="en-GB"/>
        </w:rPr>
        <w:t xml:space="preserve">as remote glucose monitoring.  </w:t>
      </w:r>
    </w:p>
    <w:p w14:paraId="12E83086" w14:textId="77777777" w:rsidR="000A3F5C" w:rsidRPr="00D015D9" w:rsidRDefault="000A3F5C" w:rsidP="00A87CDA">
      <w:pPr>
        <w:spacing w:beforeLines="60" w:before="144" w:afterLines="60" w:after="144" w:line="360" w:lineRule="auto"/>
        <w:jc w:val="both"/>
        <w:rPr>
          <w:rFonts w:eastAsia="Times New Roman" w:cstheme="minorHAnsi"/>
          <w:b/>
          <w:bCs/>
          <w:iCs/>
          <w:sz w:val="24"/>
          <w:szCs w:val="24"/>
          <w:lang w:eastAsia="en-GB"/>
        </w:rPr>
      </w:pPr>
      <w:r w:rsidRPr="00D015D9">
        <w:rPr>
          <w:rFonts w:eastAsia="Times New Roman" w:cstheme="minorHAnsi"/>
          <w:b/>
          <w:bCs/>
          <w:iCs/>
          <w:sz w:val="24"/>
          <w:szCs w:val="24"/>
          <w:lang w:eastAsia="en-GB"/>
        </w:rPr>
        <w:t xml:space="preserve">Policy Problems and Cases.  </w:t>
      </w:r>
    </w:p>
    <w:p w14:paraId="690155D6" w14:textId="233D8990"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Although there has been an improvement, there are still problems in solving health inequalities. According to the data provided by Diabetes UK (2024), people representing the Black and South Asian groups are disproportionately affected by T2DM and outcome worse. The future policy interventions should, thus, focus on culturally sensitive interventions, equal distribution of resources and reducing social determinants of health like poverty, education, and housing</w:t>
      </w:r>
      <w:r w:rsidR="00D34189" w:rsidRPr="00FC7487">
        <w:rPr>
          <w:rFonts w:eastAsia="Times New Roman" w:cstheme="minorHAnsi"/>
          <w:sz w:val="24"/>
          <w:szCs w:val="24"/>
          <w:lang w:eastAsia="en-GB"/>
        </w:rPr>
        <w:t xml:space="preserve"> (</w:t>
      </w:r>
      <w:r w:rsidR="00D34189" w:rsidRPr="00FC7487">
        <w:rPr>
          <w:rFonts w:cstheme="minorHAnsi"/>
          <w:color w:val="222222"/>
          <w:sz w:val="24"/>
          <w:szCs w:val="24"/>
          <w:shd w:val="clear" w:color="auto" w:fill="FFFFFF"/>
        </w:rPr>
        <w:t>Joo &amp; Liu, 2021</w:t>
      </w:r>
      <w:r w:rsidR="00D34189" w:rsidRPr="00FC7487">
        <w:rPr>
          <w:rFonts w:eastAsia="Times New Roman" w:cstheme="minorHAnsi"/>
          <w:sz w:val="24"/>
          <w:szCs w:val="24"/>
          <w:lang w:eastAsia="en-GB"/>
        </w:rPr>
        <w:t>).</w:t>
      </w:r>
    </w:p>
    <w:p w14:paraId="210BB5E7" w14:textId="4EEE7DD6"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On the whole, the consistency between the national and local agendas highlights the interest of the UK to enhance the outcomes in diabetes by prevention, integration, and person-centredness. However, long-term investment, labour education, and digital transformation are also necessary to keep the momentum and ensure the brid</w:t>
      </w:r>
      <w:r w:rsidR="00A87CDA" w:rsidRPr="00FC7487">
        <w:rPr>
          <w:rFonts w:eastAsia="Times New Roman" w:cstheme="minorHAnsi"/>
          <w:sz w:val="24"/>
          <w:szCs w:val="24"/>
          <w:lang w:eastAsia="en-GB"/>
        </w:rPr>
        <w:t xml:space="preserve">ging of current gaps in care.  </w:t>
      </w:r>
    </w:p>
    <w:p w14:paraId="594E2E7E" w14:textId="77777777" w:rsidR="000A3F5C" w:rsidRPr="00FC7487" w:rsidRDefault="000A3F5C" w:rsidP="00A87CDA">
      <w:pPr>
        <w:spacing w:beforeLines="60" w:before="144" w:afterLines="60" w:after="144" w:line="360" w:lineRule="auto"/>
        <w:jc w:val="both"/>
        <w:rPr>
          <w:rFonts w:eastAsia="Times New Roman" w:cstheme="minorHAnsi"/>
          <w:b/>
          <w:sz w:val="24"/>
          <w:szCs w:val="24"/>
          <w:lang w:eastAsia="en-GB"/>
        </w:rPr>
      </w:pPr>
      <w:r w:rsidRPr="00FC7487">
        <w:rPr>
          <w:rFonts w:eastAsia="Times New Roman" w:cstheme="minorHAnsi"/>
          <w:b/>
          <w:sz w:val="24"/>
          <w:szCs w:val="24"/>
          <w:lang w:eastAsia="en-GB"/>
        </w:rPr>
        <w:t xml:space="preserve">Improvement Recommendation and Person-Centred Care in Type 2 Diabetes.  </w:t>
      </w:r>
    </w:p>
    <w:p w14:paraId="275A84DF" w14:textId="77777777"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Type 2 Diabetes Mellitus (T2DM) is a complicated condition that requires a complex solution that goes beyond the routine clinical care to meet the overall needs of patients and their families. Person-centred care is the key to enhance long-term outcomes, make patients empowered to make their decisions, and make sure that care delivery is facilitated by personal values, preferences, and situations (Coulter et al., 2015). Nevertheless, despite progress in the UK, there are still inequalities in equal accessibility, self-management care, and incorporation of end-of-life care. Some areas of improvement are outlined in the recommendations below.</w:t>
      </w:r>
      <w:r w:rsidRPr="00FC7487">
        <w:rPr>
          <w:rFonts w:cstheme="minorHAnsi"/>
          <w:sz w:val="24"/>
          <w:szCs w:val="24"/>
        </w:rPr>
        <w:t xml:space="preserve"> </w:t>
      </w:r>
      <w:r w:rsidRPr="00FC7487">
        <w:rPr>
          <w:rFonts w:eastAsia="Times New Roman" w:cstheme="minorHAnsi"/>
          <w:sz w:val="24"/>
          <w:szCs w:val="24"/>
          <w:lang w:eastAsia="en-GB"/>
        </w:rPr>
        <w:t xml:space="preserve">Empowering Person-Centred and Culturally Responsive Care.  </w:t>
      </w:r>
    </w:p>
    <w:p w14:paraId="0B8BF80C" w14:textId="58EA941E"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 xml:space="preserve">Medical workers should embrace personalised care planning, which will engage the patients into goal setting and shared decision-making. The empirical data indicates the improvement of adherence, patient satisfaction, and clinical outcomes with co-created care plans (Harkness et al., 2020). Specifically, culturally responsive interventions are invaluable due to the disproportionately superior prevalence of type 2 diabetes mellitus (T2DM) in ethnic minority populations </w:t>
      </w:r>
      <w:r w:rsidR="00D34189" w:rsidRPr="00FC7487">
        <w:rPr>
          <w:rFonts w:eastAsia="Times New Roman" w:cstheme="minorHAnsi"/>
          <w:sz w:val="24"/>
          <w:szCs w:val="24"/>
          <w:lang w:eastAsia="en-GB"/>
        </w:rPr>
        <w:t>(</w:t>
      </w:r>
      <w:r w:rsidR="00D34189" w:rsidRPr="00FC7487">
        <w:rPr>
          <w:rFonts w:cstheme="minorHAnsi"/>
          <w:color w:val="222222"/>
          <w:sz w:val="24"/>
          <w:szCs w:val="24"/>
          <w:shd w:val="clear" w:color="auto" w:fill="FFFFFF"/>
        </w:rPr>
        <w:t>Joo &amp; Liu, 2021</w:t>
      </w:r>
      <w:r w:rsidR="00D34189" w:rsidRPr="00FC7487">
        <w:rPr>
          <w:rFonts w:eastAsia="Times New Roman" w:cstheme="minorHAnsi"/>
          <w:sz w:val="24"/>
          <w:szCs w:val="24"/>
          <w:lang w:eastAsia="en-GB"/>
        </w:rPr>
        <w:t xml:space="preserve">). </w:t>
      </w:r>
      <w:r w:rsidRPr="00FC7487">
        <w:rPr>
          <w:rFonts w:eastAsia="Times New Roman" w:cstheme="minorHAnsi"/>
          <w:sz w:val="24"/>
          <w:szCs w:val="24"/>
          <w:lang w:eastAsia="en-GB"/>
        </w:rPr>
        <w:t>This, in turn, means that cultural competency and motivational interviewing training need to be given precedence in the educational systems of</w:t>
      </w:r>
      <w:r w:rsidR="00A87CDA" w:rsidRPr="00FC7487">
        <w:rPr>
          <w:rFonts w:eastAsia="Times New Roman" w:cstheme="minorHAnsi"/>
          <w:sz w:val="24"/>
          <w:szCs w:val="24"/>
          <w:lang w:eastAsia="en-GB"/>
        </w:rPr>
        <w:t xml:space="preserve"> the National Health Service.  </w:t>
      </w:r>
    </w:p>
    <w:p w14:paraId="067970B6" w14:textId="36BFB0CE"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issue of digital inclusion is also paramount. Although the NHS Diabetes Digital Framework has expanded access to remote monitoring technology, there remain inequalities in access to remote monitoring technology by people with low digital literacy or poor acc</w:t>
      </w:r>
      <w:r w:rsidR="00247D87" w:rsidRPr="00FC7487">
        <w:rPr>
          <w:rFonts w:eastAsia="Times New Roman" w:cstheme="minorHAnsi"/>
          <w:sz w:val="24"/>
          <w:szCs w:val="24"/>
          <w:lang w:eastAsia="en-GB"/>
        </w:rPr>
        <w:t>ess to technology (NHS England,</w:t>
      </w:r>
      <w:r w:rsidRPr="00FC7487">
        <w:rPr>
          <w:rFonts w:eastAsia="Times New Roman" w:cstheme="minorHAnsi"/>
          <w:sz w:val="24"/>
          <w:szCs w:val="24"/>
          <w:lang w:eastAsia="en-GB"/>
        </w:rPr>
        <w:t xml:space="preserve"> 2023). These disparities could be mitigated by community-based programmes of digital literacy that would encourage equal treats to self-management.  </w:t>
      </w:r>
    </w:p>
    <w:p w14:paraId="7BE59A4E" w14:textId="77777777" w:rsidR="000A3F5C" w:rsidRPr="00D015D9" w:rsidRDefault="000A3F5C" w:rsidP="00A87CDA">
      <w:pPr>
        <w:spacing w:beforeLines="60" w:before="144" w:afterLines="60" w:after="144" w:line="360" w:lineRule="auto"/>
        <w:jc w:val="both"/>
        <w:rPr>
          <w:rFonts w:eastAsia="Times New Roman" w:cstheme="minorHAnsi"/>
          <w:b/>
          <w:bCs/>
          <w:iCs/>
          <w:sz w:val="24"/>
          <w:szCs w:val="24"/>
          <w:lang w:eastAsia="en-GB"/>
        </w:rPr>
      </w:pPr>
      <w:r w:rsidRPr="00D015D9">
        <w:rPr>
          <w:rFonts w:eastAsia="Times New Roman" w:cstheme="minorHAnsi"/>
          <w:b/>
          <w:bCs/>
          <w:iCs/>
          <w:sz w:val="24"/>
          <w:szCs w:val="24"/>
          <w:lang w:eastAsia="en-GB"/>
        </w:rPr>
        <w:t xml:space="preserve">Improving Self-Management and Support among peers.  </w:t>
      </w:r>
    </w:p>
    <w:p w14:paraId="4BA78BAC" w14:textId="6DF5FF82"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 xml:space="preserve">The success of diabetes management in the long-term depends on the capacity of the patients to self-manage. The national agenda should continue to be on expanding access to organised educational programmes like DESMOND and DAFNE (Deakin et al., 2017). Peer-led and community-based support groups would be beneficial as their integration with professional input would bring emotional support and practical coping </w:t>
      </w:r>
      <w:r w:rsidR="009E239E" w:rsidRPr="00FC7487">
        <w:rPr>
          <w:rFonts w:eastAsia="Times New Roman" w:cstheme="minorHAnsi"/>
          <w:sz w:val="24"/>
          <w:szCs w:val="24"/>
          <w:lang w:eastAsia="en-GB"/>
        </w:rPr>
        <w:t>skills (Fisher et al., 2019</w:t>
      </w:r>
      <w:r w:rsidR="00A87CDA" w:rsidRPr="00FC7487">
        <w:rPr>
          <w:rFonts w:eastAsia="Times New Roman" w:cstheme="minorHAnsi"/>
          <w:sz w:val="24"/>
          <w:szCs w:val="24"/>
          <w:lang w:eastAsia="en-GB"/>
        </w:rPr>
        <w:t xml:space="preserve">).  </w:t>
      </w:r>
    </w:p>
    <w:p w14:paraId="0171204D" w14:textId="203F11B9"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 use of new methods of mobile health (mHealth) technologies such as continuous glucose monitoring applications and telehealth interactions can improve engagement and early intervention. However, clear education and support should be provided alongside these technological solutions to prevent the possibility of disengaging or experiencing data fatigue (</w:t>
      </w:r>
      <w:r w:rsidR="00D34189" w:rsidRPr="00FC7487">
        <w:rPr>
          <w:rFonts w:cstheme="minorHAnsi"/>
          <w:color w:val="222222"/>
          <w:sz w:val="24"/>
          <w:szCs w:val="24"/>
          <w:shd w:val="clear" w:color="auto" w:fill="FFFFFF"/>
        </w:rPr>
        <w:t>Schmitt</w:t>
      </w:r>
      <w:r w:rsidR="00D34189" w:rsidRPr="00FC7487">
        <w:rPr>
          <w:rFonts w:eastAsia="Times New Roman" w:cstheme="minorHAnsi"/>
          <w:sz w:val="24"/>
          <w:szCs w:val="24"/>
          <w:lang w:eastAsia="en-GB"/>
        </w:rPr>
        <w:t xml:space="preserve"> </w:t>
      </w:r>
      <w:r w:rsidRPr="00FC7487">
        <w:rPr>
          <w:rFonts w:eastAsia="Times New Roman" w:cstheme="minorHAnsi"/>
          <w:sz w:val="24"/>
          <w:szCs w:val="24"/>
          <w:lang w:eastAsia="en-GB"/>
        </w:rPr>
        <w:t>et</w:t>
      </w:r>
      <w:r w:rsidR="00D34189" w:rsidRPr="00FC7487">
        <w:rPr>
          <w:rFonts w:eastAsia="Times New Roman" w:cstheme="minorHAnsi"/>
          <w:sz w:val="24"/>
          <w:szCs w:val="24"/>
          <w:lang w:eastAsia="en-GB"/>
        </w:rPr>
        <w:t xml:space="preserve"> al., 2016).  </w:t>
      </w:r>
    </w:p>
    <w:p w14:paraId="6BF0E64A" w14:textId="77777777" w:rsidR="000A3F5C" w:rsidRPr="00FC7487" w:rsidRDefault="000A3F5C" w:rsidP="00A87CDA">
      <w:pPr>
        <w:spacing w:beforeLines="60" w:before="144" w:afterLines="60" w:after="144" w:line="360" w:lineRule="auto"/>
        <w:jc w:val="both"/>
        <w:rPr>
          <w:rFonts w:eastAsia="Times New Roman" w:cstheme="minorHAnsi"/>
          <w:b/>
          <w:sz w:val="24"/>
          <w:szCs w:val="24"/>
          <w:lang w:eastAsia="en-GB"/>
        </w:rPr>
      </w:pPr>
      <w:r w:rsidRPr="00FC7487">
        <w:rPr>
          <w:rFonts w:eastAsia="Times New Roman" w:cstheme="minorHAnsi"/>
          <w:b/>
          <w:sz w:val="24"/>
          <w:szCs w:val="24"/>
          <w:lang w:eastAsia="en-GB"/>
        </w:rPr>
        <w:t xml:space="preserve">Enhancing Palliative and End-of-Life Care of Diabetes.  </w:t>
      </w:r>
    </w:p>
    <w:p w14:paraId="35B22DCE" w14:textId="076821B9"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There is a lack of development in end-of-life care in diabetic patients. Patients with severe cases of the disease are faced with difficulties in glycemic control, drug burden, and the control of symptoms (</w:t>
      </w:r>
      <w:r w:rsidR="00D34189" w:rsidRPr="00FC7487">
        <w:rPr>
          <w:rFonts w:cstheme="minorHAnsi"/>
          <w:color w:val="222222"/>
          <w:sz w:val="24"/>
          <w:szCs w:val="24"/>
          <w:shd w:val="clear" w:color="auto" w:fill="FFFFFF"/>
        </w:rPr>
        <w:t>Muskie</w:t>
      </w:r>
      <w:r w:rsidR="00D34189" w:rsidRPr="00FC7487">
        <w:rPr>
          <w:rFonts w:eastAsia="Times New Roman" w:cstheme="minorHAnsi"/>
          <w:sz w:val="24"/>
          <w:szCs w:val="24"/>
          <w:lang w:eastAsia="en-GB"/>
        </w:rPr>
        <w:t xml:space="preserve"> et al., 2023</w:t>
      </w:r>
      <w:r w:rsidRPr="00FC7487">
        <w:rPr>
          <w:rFonts w:eastAsia="Times New Roman" w:cstheme="minorHAnsi"/>
          <w:sz w:val="24"/>
          <w:szCs w:val="24"/>
          <w:lang w:eastAsia="en-GB"/>
        </w:rPr>
        <w:t>). The introduction of palliative care principles (symptom management, shared decision-making, and psychosocial support) early in life can contribute greatly to the quality of life (Dunning et al., 2018). In this regard, the healthcare teams must focus on the advance care planning and the effective communication between the diabetes experts and the palliative care teams.</w:t>
      </w:r>
      <w:r w:rsidRPr="00FC7487">
        <w:rPr>
          <w:rFonts w:cstheme="minorHAnsi"/>
          <w:sz w:val="24"/>
          <w:szCs w:val="24"/>
        </w:rPr>
        <w:t xml:space="preserve"> </w:t>
      </w:r>
      <w:r w:rsidRPr="00FC7487">
        <w:rPr>
          <w:rFonts w:eastAsia="Times New Roman" w:cstheme="minorHAnsi"/>
          <w:sz w:val="24"/>
          <w:szCs w:val="24"/>
          <w:lang w:eastAsia="en-GB"/>
        </w:rPr>
        <w:t xml:space="preserve">This is proposed by NICE (2021), who suggested a patient-based, flexible approach to glycaemic targets in end-of-life care focusing on comfort and dignity, rather than strict control. Clinician education with respect to changes in treatment in palliative care is necessary to prevent both under-treatment and wasteful </w:t>
      </w:r>
      <w:r w:rsidR="00A87CDA" w:rsidRPr="00FC7487">
        <w:rPr>
          <w:rFonts w:eastAsia="Times New Roman" w:cstheme="minorHAnsi"/>
          <w:sz w:val="24"/>
          <w:szCs w:val="24"/>
          <w:lang w:eastAsia="en-GB"/>
        </w:rPr>
        <w:t>treatment.</w:t>
      </w:r>
    </w:p>
    <w:p w14:paraId="0F940ADC" w14:textId="77777777" w:rsidR="000A3F5C" w:rsidRPr="00FC7487" w:rsidRDefault="000A3F5C" w:rsidP="00A87CDA">
      <w:pPr>
        <w:spacing w:beforeLines="60" w:before="144" w:afterLines="60" w:after="144" w:line="360" w:lineRule="auto"/>
        <w:jc w:val="both"/>
        <w:rPr>
          <w:rFonts w:eastAsia="Times New Roman" w:cstheme="minorHAnsi"/>
          <w:b/>
          <w:sz w:val="24"/>
          <w:szCs w:val="24"/>
          <w:lang w:eastAsia="en-GB"/>
        </w:rPr>
      </w:pPr>
      <w:r w:rsidRPr="00FC7487">
        <w:rPr>
          <w:rFonts w:eastAsia="Times New Roman" w:cstheme="minorHAnsi"/>
          <w:b/>
          <w:sz w:val="24"/>
          <w:szCs w:val="24"/>
          <w:lang w:eastAsia="en-GB"/>
        </w:rPr>
        <w:t xml:space="preserve">Recommendations at the Policy and System-Level.  </w:t>
      </w:r>
    </w:p>
    <w:p w14:paraId="402E82A8" w14:textId="493E770A"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Investment in multidisciplinary integrated care should be done on-going system-wide. The development of Integrated Care Systems provides the opportunity to incorporate person-centred diabetes control into the large social and communal context (Ham et al., 2021). Service enhancement should be informed by continuous evaluation of patient experience, e.g., by the Patient Activation Measure (PAM). In addition, it is essential to encourage research practise partnerships that will translate research into frontline care more quickly and ensure that the services can be modified</w:t>
      </w:r>
      <w:r w:rsidR="00A87CDA" w:rsidRPr="00FC7487">
        <w:rPr>
          <w:rFonts w:eastAsia="Times New Roman" w:cstheme="minorHAnsi"/>
          <w:sz w:val="24"/>
          <w:szCs w:val="24"/>
          <w:lang w:eastAsia="en-GB"/>
        </w:rPr>
        <w:t xml:space="preserve"> to meet new needs of patients.</w:t>
      </w:r>
    </w:p>
    <w:p w14:paraId="53573987" w14:textId="77777777" w:rsidR="000A3F5C" w:rsidRPr="00FC7487" w:rsidRDefault="000A3F5C" w:rsidP="00A87CDA">
      <w:pPr>
        <w:spacing w:beforeLines="60" w:before="144" w:afterLines="60" w:after="144" w:line="360" w:lineRule="auto"/>
        <w:jc w:val="both"/>
        <w:rPr>
          <w:rFonts w:eastAsia="Times New Roman" w:cstheme="minorHAnsi"/>
          <w:b/>
          <w:sz w:val="24"/>
          <w:szCs w:val="24"/>
          <w:lang w:eastAsia="en-GB"/>
        </w:rPr>
      </w:pPr>
      <w:r w:rsidRPr="00FC7487">
        <w:rPr>
          <w:rFonts w:eastAsia="Times New Roman" w:cstheme="minorHAnsi"/>
          <w:b/>
          <w:sz w:val="24"/>
          <w:szCs w:val="24"/>
          <w:lang w:eastAsia="en-GB"/>
        </w:rPr>
        <w:t xml:space="preserve">Conclusion  </w:t>
      </w:r>
    </w:p>
    <w:p w14:paraId="3AA795AE" w14:textId="7B2F51F7"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Diabetes Mellitus (type 2 T2DM) is one of the timely health issues facing the United Kingdom with far-reaching consequences on the individual, family, and the social level. Treatment of the disease goes beyond pharmacological treatment, and requires a holistic, patient-centred approach, which considers the physical, psychological, and soc</w:t>
      </w:r>
      <w:r w:rsidR="00A87CDA" w:rsidRPr="00FC7487">
        <w:rPr>
          <w:rFonts w:eastAsia="Times New Roman" w:cstheme="minorHAnsi"/>
          <w:sz w:val="24"/>
          <w:szCs w:val="24"/>
          <w:lang w:eastAsia="en-GB"/>
        </w:rPr>
        <w:t xml:space="preserve">ial aspects of well-being.  </w:t>
      </w:r>
    </w:p>
    <w:p w14:paraId="2F778B99" w14:textId="4623650A"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 xml:space="preserve">Empirical data shows that the key to successful management of diabetes lies in its early diagnosis, prevention through lifestyle change, and equal access to pharmacological and educational support. The national and local policies include the NHS Long Term Plan and the Integrated Care Systems that give a solid structure of prevention and coordinated care. However, continuing the investment into the development of the workforce, digital innovation, and culturally responsive practise is paramount in minimising disparities and improving patient outcomes.  </w:t>
      </w:r>
    </w:p>
    <w:p w14:paraId="7DF6FEE2" w14:textId="7FFD8457" w:rsidR="000A3F5C" w:rsidRPr="00FC7487" w:rsidRDefault="000A3F5C" w:rsidP="00A87CDA">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 xml:space="preserve">Integration, empowerment, and sustainability are the key principles of the theoretical constructs, such as the Chronic Care Model and the Innovative Care for Chronic Conditions established by the WHO; the principles remain a crucial part of the development of the </w:t>
      </w:r>
      <w:r w:rsidR="00A87CDA" w:rsidRPr="00FC7487">
        <w:rPr>
          <w:rFonts w:eastAsia="Times New Roman" w:cstheme="minorHAnsi"/>
          <w:sz w:val="24"/>
          <w:szCs w:val="24"/>
          <w:lang w:eastAsia="en-GB"/>
        </w:rPr>
        <w:t xml:space="preserve">United Kingdom health system.  </w:t>
      </w:r>
    </w:p>
    <w:p w14:paraId="0C96DFF6" w14:textId="6939137C" w:rsidR="000A3F5C" w:rsidRPr="00FC7487" w:rsidRDefault="000A3F5C" w:rsidP="00D151FE">
      <w:pPr>
        <w:spacing w:beforeLines="60" w:before="144" w:afterLines="60" w:after="144" w:line="360" w:lineRule="auto"/>
        <w:jc w:val="both"/>
        <w:rPr>
          <w:rFonts w:eastAsia="Times New Roman" w:cstheme="minorHAnsi"/>
          <w:sz w:val="24"/>
          <w:szCs w:val="24"/>
          <w:lang w:eastAsia="en-GB"/>
        </w:rPr>
      </w:pPr>
      <w:r w:rsidRPr="00FC7487">
        <w:rPr>
          <w:rFonts w:eastAsia="Times New Roman" w:cstheme="minorHAnsi"/>
          <w:sz w:val="24"/>
          <w:szCs w:val="24"/>
          <w:lang w:eastAsia="en-GB"/>
        </w:rPr>
        <w:t>Finally, community, professional, and patient collaboration determine the successful management of T2DM. Through the emphasis on self-management support, holistic care planning, and compassionate end-of-life care, the health and social care sectors will be able to enhance the quality of life and enhance resilience in people with long-term conditions.</w:t>
      </w:r>
    </w:p>
    <w:p w14:paraId="3B6CAD3D" w14:textId="4376D992" w:rsidR="004D7FAD" w:rsidRPr="00FC7487" w:rsidRDefault="004D7FAD" w:rsidP="00A87CDA">
      <w:pPr>
        <w:spacing w:beforeLines="60" w:before="144" w:afterLines="60" w:after="144" w:line="360" w:lineRule="auto"/>
        <w:rPr>
          <w:rFonts w:cstheme="minorHAnsi"/>
          <w:b/>
          <w:sz w:val="24"/>
          <w:szCs w:val="24"/>
        </w:rPr>
      </w:pPr>
      <w:r w:rsidRPr="00FC7487">
        <w:rPr>
          <w:rFonts w:cstheme="minorHAnsi"/>
          <w:b/>
          <w:sz w:val="24"/>
          <w:szCs w:val="24"/>
        </w:rPr>
        <w:t xml:space="preserve">Reference </w:t>
      </w:r>
    </w:p>
    <w:p w14:paraId="154C693E"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Abada, A. and Altalafha, S.I. (2023) ‘Chronic disease management in primary care setting’, </w:t>
      </w:r>
      <w:r w:rsidRPr="00FC7487">
        <w:rPr>
          <w:rStyle w:val="Emphasis"/>
          <w:rFonts w:asciiTheme="minorHAnsi" w:eastAsiaTheme="majorEastAsia" w:hAnsiTheme="minorHAnsi" w:cstheme="minorHAnsi"/>
        </w:rPr>
        <w:t>Scholars Academic Journal of Biosciences</w:t>
      </w:r>
      <w:r w:rsidRPr="00FC7487">
        <w:rPr>
          <w:rFonts w:asciiTheme="minorHAnsi" w:hAnsiTheme="minorHAnsi" w:cstheme="minorHAnsi"/>
        </w:rPr>
        <w:t>, 2, pp. 63–68.</w:t>
      </w:r>
    </w:p>
    <w:p w14:paraId="2F6E2805"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Anari, R., Amani, R. and Veissi, M. (2019) ‘Sugary beverages are associated with cardiovascular risk factors in diabetic patients’, </w:t>
      </w:r>
      <w:r w:rsidRPr="00FC7487">
        <w:rPr>
          <w:rStyle w:val="Emphasis"/>
          <w:rFonts w:asciiTheme="minorHAnsi" w:eastAsiaTheme="majorEastAsia" w:hAnsiTheme="minorHAnsi" w:cstheme="minorHAnsi"/>
        </w:rPr>
        <w:t>Journal of Diabetes &amp; Metabolic Disorders</w:t>
      </w:r>
      <w:r w:rsidRPr="00FC7487">
        <w:rPr>
          <w:rFonts w:asciiTheme="minorHAnsi" w:hAnsiTheme="minorHAnsi" w:cstheme="minorHAnsi"/>
        </w:rPr>
        <w:t>, 18(1), pp. 7–13. Available at: https://doi.org/10.1007/s40200-019-00392-2</w:t>
      </w:r>
    </w:p>
    <w:p w14:paraId="30022002"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Aroda, V.R. et al. (2017) ‘Metformin for diabetes prevention: insights from the DPP/DPPOS’, </w:t>
      </w:r>
      <w:r w:rsidRPr="00FC7487">
        <w:rPr>
          <w:rStyle w:val="Emphasis"/>
          <w:rFonts w:asciiTheme="minorHAnsi" w:eastAsiaTheme="majorEastAsia" w:hAnsiTheme="minorHAnsi" w:cstheme="minorHAnsi"/>
        </w:rPr>
        <w:t>Diabetologia</w:t>
      </w:r>
      <w:r w:rsidRPr="00FC7487">
        <w:rPr>
          <w:rFonts w:asciiTheme="minorHAnsi" w:hAnsiTheme="minorHAnsi" w:cstheme="minorHAnsi"/>
        </w:rPr>
        <w:t>, 60(9), pp. 1601–1611. Available at: https://doi.org/10.1007/s00125-017-4361-9</w:t>
      </w:r>
    </w:p>
    <w:p w14:paraId="5C92BE8C"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Buse, J.B. et al. (2020) ‘Management of hyperglycaemia in Type 2 diabetes: ADA/EASD consensus report’, </w:t>
      </w:r>
      <w:r w:rsidRPr="00FC7487">
        <w:rPr>
          <w:rStyle w:val="Emphasis"/>
          <w:rFonts w:asciiTheme="minorHAnsi" w:eastAsiaTheme="majorEastAsia" w:hAnsiTheme="minorHAnsi" w:cstheme="minorHAnsi"/>
        </w:rPr>
        <w:t>Diabetes Care</w:t>
      </w:r>
      <w:r w:rsidRPr="00FC7487">
        <w:rPr>
          <w:rFonts w:asciiTheme="minorHAnsi" w:hAnsiTheme="minorHAnsi" w:cstheme="minorHAnsi"/>
        </w:rPr>
        <w:t>, 43(2), pp. 487–493. Available at: https://doi.org/10.2337/dci19-0066</w:t>
      </w:r>
    </w:p>
    <w:p w14:paraId="04A4E830"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Bush, K.J. et al. (2023) ‘Neighbourhood socioeconomic deprivation and diabetes risk’, </w:t>
      </w:r>
      <w:r w:rsidRPr="00FC7487">
        <w:rPr>
          <w:rStyle w:val="Emphasis"/>
          <w:rFonts w:asciiTheme="minorHAnsi" w:eastAsiaTheme="majorEastAsia" w:hAnsiTheme="minorHAnsi" w:cstheme="minorHAnsi"/>
        </w:rPr>
        <w:t>BMJ Open Diabetes Research &amp; Care</w:t>
      </w:r>
      <w:r w:rsidRPr="00FC7487">
        <w:rPr>
          <w:rFonts w:asciiTheme="minorHAnsi" w:hAnsiTheme="minorHAnsi" w:cstheme="minorHAnsi"/>
        </w:rPr>
        <w:t>, 11(5). Available at: https://doi.org/10.1136/bmjdrc-2023-003282</w:t>
      </w:r>
    </w:p>
    <w:p w14:paraId="456C3F6C"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Chrvala, C.A., Sherr, D. and Lipman, R.D. (2016) ‘Diabetes self-management education’, </w:t>
      </w:r>
      <w:r w:rsidRPr="00FC7487">
        <w:rPr>
          <w:rStyle w:val="Emphasis"/>
          <w:rFonts w:asciiTheme="minorHAnsi" w:eastAsiaTheme="majorEastAsia" w:hAnsiTheme="minorHAnsi" w:cstheme="minorHAnsi"/>
        </w:rPr>
        <w:t>Patient Education and Counseling</w:t>
      </w:r>
      <w:r w:rsidRPr="00FC7487">
        <w:rPr>
          <w:rFonts w:asciiTheme="minorHAnsi" w:hAnsiTheme="minorHAnsi" w:cstheme="minorHAnsi"/>
        </w:rPr>
        <w:t xml:space="preserve">, 99(6), pp. 926–943. Available at: </w:t>
      </w:r>
      <w:hyperlink r:id="rId13" w:tgtFrame="_new" w:history="1">
        <w:r w:rsidRPr="00FC7487">
          <w:rPr>
            <w:rStyle w:val="Hyperlink"/>
            <w:rFonts w:asciiTheme="minorHAnsi" w:eastAsiaTheme="majorEastAsia" w:hAnsiTheme="minorHAnsi" w:cstheme="minorHAnsi"/>
          </w:rPr>
          <w:t>https://doi.org/10.1016/j.pec.2015.11.003</w:t>
        </w:r>
      </w:hyperlink>
    </w:p>
    <w:p w14:paraId="64C9DEBC"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Colberg, S.R. et al. (2016) ‘Physical activity/exercise and diabetes: ADA position statement’, </w:t>
      </w:r>
      <w:r w:rsidRPr="00FC7487">
        <w:rPr>
          <w:rStyle w:val="Emphasis"/>
          <w:rFonts w:asciiTheme="minorHAnsi" w:eastAsiaTheme="majorEastAsia" w:hAnsiTheme="minorHAnsi" w:cstheme="minorHAnsi"/>
        </w:rPr>
        <w:t>Diabetes Care</w:t>
      </w:r>
      <w:r w:rsidRPr="00FC7487">
        <w:rPr>
          <w:rFonts w:asciiTheme="minorHAnsi" w:hAnsiTheme="minorHAnsi" w:cstheme="minorHAnsi"/>
        </w:rPr>
        <w:t xml:space="preserve">, 39(11), pp. 2065–2079. Available at: </w:t>
      </w:r>
      <w:hyperlink r:id="rId14" w:tgtFrame="_new" w:history="1">
        <w:r w:rsidRPr="00FC7487">
          <w:rPr>
            <w:rStyle w:val="Hyperlink"/>
            <w:rFonts w:asciiTheme="minorHAnsi" w:eastAsiaTheme="majorEastAsia" w:hAnsiTheme="minorHAnsi" w:cstheme="minorHAnsi"/>
          </w:rPr>
          <w:t>https://doi.org/10.2337/dc16-1728</w:t>
        </w:r>
      </w:hyperlink>
    </w:p>
    <w:p w14:paraId="2F72BD98"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Coulter, A., Entwistle, V.A. and Eccles, A. (2015) ‘Personalised care planning’, </w:t>
      </w:r>
      <w:r w:rsidRPr="00FC7487">
        <w:rPr>
          <w:rStyle w:val="Emphasis"/>
          <w:rFonts w:asciiTheme="minorHAnsi" w:eastAsiaTheme="majorEastAsia" w:hAnsiTheme="minorHAnsi" w:cstheme="minorHAnsi"/>
        </w:rPr>
        <w:t>Cochrane Database of Systematic Reviews</w:t>
      </w:r>
      <w:r w:rsidRPr="00FC7487">
        <w:rPr>
          <w:rFonts w:asciiTheme="minorHAnsi" w:hAnsiTheme="minorHAnsi" w:cstheme="minorHAnsi"/>
        </w:rPr>
        <w:t xml:space="preserve">, (3), CD010523. Available at: </w:t>
      </w:r>
      <w:hyperlink r:id="rId15" w:tgtFrame="_new" w:history="1">
        <w:r w:rsidRPr="00FC7487">
          <w:rPr>
            <w:rStyle w:val="Hyperlink"/>
            <w:rFonts w:asciiTheme="minorHAnsi" w:eastAsiaTheme="majorEastAsia" w:hAnsiTheme="minorHAnsi" w:cstheme="minorHAnsi"/>
          </w:rPr>
          <w:t>https://doi.org/10.1002/14651858.CD010523.pub2</w:t>
        </w:r>
      </w:hyperlink>
    </w:p>
    <w:p w14:paraId="5FE04E41"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Davies, M.J. et al. (2018) ‘Management of hyperglycaemia in Type 2 diabetes’, </w:t>
      </w:r>
      <w:r w:rsidRPr="00FC7487">
        <w:rPr>
          <w:rStyle w:val="Emphasis"/>
          <w:rFonts w:asciiTheme="minorHAnsi" w:eastAsiaTheme="majorEastAsia" w:hAnsiTheme="minorHAnsi" w:cstheme="minorHAnsi"/>
        </w:rPr>
        <w:t>Diabetologia</w:t>
      </w:r>
      <w:r w:rsidRPr="00FC7487">
        <w:rPr>
          <w:rFonts w:asciiTheme="minorHAnsi" w:hAnsiTheme="minorHAnsi" w:cstheme="minorHAnsi"/>
        </w:rPr>
        <w:t xml:space="preserve">, 61, pp. 2461–2498. Available at: </w:t>
      </w:r>
      <w:hyperlink r:id="rId16" w:tgtFrame="_new" w:history="1">
        <w:r w:rsidRPr="00FC7487">
          <w:rPr>
            <w:rStyle w:val="Hyperlink"/>
            <w:rFonts w:asciiTheme="minorHAnsi" w:eastAsiaTheme="majorEastAsia" w:hAnsiTheme="minorHAnsi" w:cstheme="minorHAnsi"/>
          </w:rPr>
          <w:t>https://doi.org/10.1007/s00125-018-4729-5</w:t>
        </w:r>
      </w:hyperlink>
    </w:p>
    <w:p w14:paraId="3B26EBE1"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Deakin, T. et al. (2017) ‘Structured patient education’, </w:t>
      </w:r>
      <w:r w:rsidRPr="00FC7487">
        <w:rPr>
          <w:rStyle w:val="Emphasis"/>
          <w:rFonts w:asciiTheme="minorHAnsi" w:eastAsiaTheme="majorEastAsia" w:hAnsiTheme="minorHAnsi" w:cstheme="minorHAnsi"/>
        </w:rPr>
        <w:t>Diabetic Medicine</w:t>
      </w:r>
      <w:r w:rsidRPr="00FC7487">
        <w:rPr>
          <w:rFonts w:asciiTheme="minorHAnsi" w:hAnsiTheme="minorHAnsi" w:cstheme="minorHAnsi"/>
        </w:rPr>
        <w:t xml:space="preserve">, 34(2), pp. 220–227. Available at: </w:t>
      </w:r>
      <w:hyperlink r:id="rId17" w:tgtFrame="_new" w:history="1">
        <w:r w:rsidRPr="00FC7487">
          <w:rPr>
            <w:rStyle w:val="Hyperlink"/>
            <w:rFonts w:asciiTheme="minorHAnsi" w:eastAsiaTheme="majorEastAsia" w:hAnsiTheme="minorHAnsi" w:cstheme="minorHAnsi"/>
          </w:rPr>
          <w:t>https://doi.org/10.1111/dme.13232</w:t>
        </w:r>
      </w:hyperlink>
    </w:p>
    <w:p w14:paraId="5F33EF87" w14:textId="0A1BB663"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Diabetes UK (2023) </w:t>
      </w:r>
      <w:r w:rsidRPr="00FC7487">
        <w:rPr>
          <w:rStyle w:val="Emphasis"/>
          <w:rFonts w:asciiTheme="minorHAnsi" w:eastAsiaTheme="majorEastAsia" w:hAnsiTheme="minorHAnsi" w:cstheme="minorHAnsi"/>
        </w:rPr>
        <w:t>Diabetes facts and statistics.</w:t>
      </w:r>
      <w:r w:rsidRPr="00FC7487">
        <w:rPr>
          <w:rFonts w:asciiTheme="minorHAnsi" w:hAnsiTheme="minorHAnsi" w:cstheme="minorHAnsi"/>
        </w:rPr>
        <w:t xml:space="preserve"> Available at: </w:t>
      </w:r>
      <w:hyperlink r:id="rId18" w:tgtFrame="_new" w:history="1">
        <w:r w:rsidRPr="00FC7487">
          <w:rPr>
            <w:rStyle w:val="Hyperlink"/>
            <w:rFonts w:asciiTheme="minorHAnsi" w:eastAsiaTheme="majorEastAsia" w:hAnsiTheme="minorHAnsi" w:cstheme="minorHAnsi"/>
          </w:rPr>
          <w:t>https://www.diabetes.org.uk/about_us/news</w:t>
        </w:r>
      </w:hyperlink>
      <w:r w:rsidR="00EE1B62" w:rsidRPr="00FC7487">
        <w:rPr>
          <w:rFonts w:asciiTheme="minorHAnsi" w:hAnsiTheme="minorHAnsi" w:cstheme="minorHAnsi"/>
        </w:rPr>
        <w:t xml:space="preserve"> (Accessed: 1</w:t>
      </w:r>
      <w:r w:rsidRPr="00FC7487">
        <w:rPr>
          <w:rFonts w:asciiTheme="minorHAnsi" w:hAnsiTheme="minorHAnsi" w:cstheme="minorHAnsi"/>
        </w:rPr>
        <w:t xml:space="preserve"> November 2025).</w:t>
      </w:r>
    </w:p>
    <w:p w14:paraId="6678F13F" w14:textId="3EB8DA43"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Diabetes UK (2024) </w:t>
      </w:r>
      <w:r w:rsidRPr="00FC7487">
        <w:rPr>
          <w:rStyle w:val="Emphasis"/>
          <w:rFonts w:asciiTheme="minorHAnsi" w:eastAsiaTheme="majorEastAsia" w:hAnsiTheme="minorHAnsi" w:cstheme="minorHAnsi"/>
        </w:rPr>
        <w:t>Emotional and practical support for people with diabetes.</w:t>
      </w:r>
      <w:r w:rsidRPr="00FC7487">
        <w:rPr>
          <w:rFonts w:asciiTheme="minorHAnsi" w:hAnsiTheme="minorHAnsi" w:cstheme="minorHAnsi"/>
        </w:rPr>
        <w:t xml:space="preserve"> Available at: </w:t>
      </w:r>
      <w:hyperlink r:id="rId19" w:tgtFrame="_new" w:history="1">
        <w:r w:rsidRPr="00FC7487">
          <w:rPr>
            <w:rStyle w:val="Hyperlink"/>
            <w:rFonts w:asciiTheme="minorHAnsi" w:eastAsiaTheme="majorEastAsia" w:hAnsiTheme="minorHAnsi" w:cstheme="minorHAnsi"/>
          </w:rPr>
          <w:t>https://www.diabetes.org.uk/guide-to-diabetes/emotions</w:t>
        </w:r>
      </w:hyperlink>
      <w:r w:rsidR="00EE1B62" w:rsidRPr="00FC7487">
        <w:rPr>
          <w:rFonts w:asciiTheme="minorHAnsi" w:hAnsiTheme="minorHAnsi" w:cstheme="minorHAnsi"/>
        </w:rPr>
        <w:t xml:space="preserve"> (Accessed: 1</w:t>
      </w:r>
      <w:r w:rsidRPr="00FC7487">
        <w:rPr>
          <w:rFonts w:asciiTheme="minorHAnsi" w:hAnsiTheme="minorHAnsi" w:cstheme="minorHAnsi"/>
        </w:rPr>
        <w:t xml:space="preserve"> November 2025).</w:t>
      </w:r>
    </w:p>
    <w:p w14:paraId="61790570" w14:textId="77777777" w:rsidR="00FC7487" w:rsidRPr="00FC7487" w:rsidRDefault="00FC7487" w:rsidP="00776A38">
      <w:pPr>
        <w:pStyle w:val="NormalWeb"/>
        <w:rPr>
          <w:rFonts w:asciiTheme="minorHAnsi" w:hAnsiTheme="minorHAnsi" w:cstheme="minorHAnsi"/>
        </w:rPr>
      </w:pPr>
      <w:r w:rsidRPr="00FC7487">
        <w:rPr>
          <w:rFonts w:asciiTheme="minorHAnsi" w:hAnsiTheme="minorHAnsi" w:cstheme="minorHAnsi"/>
        </w:rPr>
        <w:t xml:space="preserve">Eastern MedTech (2024) </w:t>
      </w:r>
      <w:r w:rsidRPr="00FC7487">
        <w:rPr>
          <w:rStyle w:val="Emphasis"/>
          <w:rFonts w:asciiTheme="minorHAnsi" w:eastAsiaTheme="majorEastAsia" w:hAnsiTheme="minorHAnsi" w:cstheme="minorHAnsi"/>
        </w:rPr>
        <w:t>Continuous glucose monitors: Diabetic game-changers or just another gadget?</w:t>
      </w:r>
      <w:r w:rsidRPr="00FC7487">
        <w:rPr>
          <w:rFonts w:asciiTheme="minorHAnsi" w:hAnsiTheme="minorHAnsi" w:cstheme="minorHAnsi"/>
        </w:rPr>
        <w:t xml:space="preserve"> Available at: </w:t>
      </w:r>
      <w:hyperlink r:id="rId20" w:tgtFrame="_new" w:history="1">
        <w:r w:rsidRPr="00FC7487">
          <w:rPr>
            <w:rStyle w:val="Hyperlink"/>
            <w:rFonts w:asciiTheme="minorHAnsi" w:eastAsiaTheme="majorEastAsia" w:hAnsiTheme="minorHAnsi" w:cstheme="minorHAnsi"/>
          </w:rPr>
          <w:t>https://easternmedtech.com/2024/07/16/continuous-glucose-monitors-diabetic-gamechangers-or-just-another-gadget/</w:t>
        </w:r>
      </w:hyperlink>
      <w:r w:rsidRPr="00FC7487">
        <w:rPr>
          <w:rFonts w:asciiTheme="minorHAnsi" w:hAnsiTheme="minorHAnsi" w:cstheme="minorHAnsi"/>
        </w:rPr>
        <w:t xml:space="preserve"> (Accessed: 9 November 2025).</w:t>
      </w:r>
    </w:p>
    <w:p w14:paraId="32901B3E" w14:textId="5EBF06E9" w:rsidR="00463F2B" w:rsidRPr="00FC7487" w:rsidRDefault="00463F2B" w:rsidP="00776A38">
      <w:pPr>
        <w:pStyle w:val="NormalWeb"/>
        <w:rPr>
          <w:rFonts w:asciiTheme="minorHAnsi" w:hAnsiTheme="minorHAnsi" w:cstheme="minorHAnsi"/>
        </w:rPr>
      </w:pPr>
      <w:r w:rsidRPr="00FC7487">
        <w:rPr>
          <w:rFonts w:asciiTheme="minorHAnsi" w:hAnsiTheme="minorHAnsi" w:cstheme="minorHAnsi"/>
        </w:rPr>
        <w:t xml:space="preserve">EatingWell (2024) </w:t>
      </w:r>
      <w:r w:rsidRPr="00FC7487">
        <w:rPr>
          <w:rStyle w:val="Emphasis"/>
          <w:rFonts w:asciiTheme="minorHAnsi" w:eastAsiaTheme="majorEastAsia" w:hAnsiTheme="minorHAnsi" w:cstheme="minorHAnsi"/>
        </w:rPr>
        <w:t>Mediterranean diet plan for beginners</w:t>
      </w:r>
      <w:r w:rsidRPr="00FC7487">
        <w:rPr>
          <w:rFonts w:asciiTheme="minorHAnsi" w:hAnsiTheme="minorHAnsi" w:cstheme="minorHAnsi"/>
        </w:rPr>
        <w:t xml:space="preserve">. Available at: </w:t>
      </w:r>
      <w:hyperlink r:id="rId21" w:tgtFrame="_new" w:history="1">
        <w:r w:rsidRPr="00FC7487">
          <w:rPr>
            <w:rStyle w:val="Hyperlink"/>
            <w:rFonts w:asciiTheme="minorHAnsi" w:eastAsiaTheme="majorEastAsia" w:hAnsiTheme="minorHAnsi" w:cstheme="minorHAnsi"/>
          </w:rPr>
          <w:t>https://www.eatingwell.com/article/7763980/mediterranean-diet-plan-for-beginners/</w:t>
        </w:r>
      </w:hyperlink>
      <w:r w:rsidRPr="00FC7487">
        <w:rPr>
          <w:rFonts w:asciiTheme="minorHAnsi" w:hAnsiTheme="minorHAnsi" w:cstheme="minorHAnsi"/>
        </w:rPr>
        <w:t xml:space="preserve"> (Accessed: 5 November 2025).</w:t>
      </w:r>
    </w:p>
    <w:p w14:paraId="48CBEA9C" w14:textId="3D2AEB42"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Einarson, T.R. et al. (2018) ‘Prevalence of cardiovascular disease in diabetes’, </w:t>
      </w:r>
      <w:r w:rsidRPr="00FC7487">
        <w:rPr>
          <w:rStyle w:val="Emphasis"/>
          <w:rFonts w:asciiTheme="minorHAnsi" w:eastAsiaTheme="majorEastAsia" w:hAnsiTheme="minorHAnsi" w:cstheme="minorHAnsi"/>
        </w:rPr>
        <w:t>Cardiovascular Diabetology</w:t>
      </w:r>
      <w:r w:rsidRPr="00FC7487">
        <w:rPr>
          <w:rFonts w:asciiTheme="minorHAnsi" w:hAnsiTheme="minorHAnsi" w:cstheme="minorHAnsi"/>
        </w:rPr>
        <w:t xml:space="preserve">, 17(83). Available at: </w:t>
      </w:r>
      <w:hyperlink r:id="rId22" w:tgtFrame="_new" w:history="1">
        <w:r w:rsidRPr="00FC7487">
          <w:rPr>
            <w:rStyle w:val="Hyperlink"/>
            <w:rFonts w:asciiTheme="minorHAnsi" w:eastAsiaTheme="majorEastAsia" w:hAnsiTheme="minorHAnsi" w:cstheme="minorHAnsi"/>
          </w:rPr>
          <w:t>https://doi.org/10.1186/s12933-018-0723-6</w:t>
        </w:r>
      </w:hyperlink>
    </w:p>
    <w:p w14:paraId="51F42BA7"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Farooqi, A. et al. (2022) ‘Depression prevalence in people with diabetes’, </w:t>
      </w:r>
      <w:r w:rsidRPr="00FC7487">
        <w:rPr>
          <w:rStyle w:val="Emphasis"/>
          <w:rFonts w:asciiTheme="minorHAnsi" w:eastAsiaTheme="majorEastAsia" w:hAnsiTheme="minorHAnsi" w:cstheme="minorHAnsi"/>
        </w:rPr>
        <w:t>Primary Care Diabetes</w:t>
      </w:r>
      <w:r w:rsidRPr="00FC7487">
        <w:rPr>
          <w:rFonts w:asciiTheme="minorHAnsi" w:hAnsiTheme="minorHAnsi" w:cstheme="minorHAnsi"/>
        </w:rPr>
        <w:t>, 16(1), pp. 1–10. Available at: https://doi.org/10.1016/j.pcd.2021.08.004</w:t>
      </w:r>
    </w:p>
    <w:p w14:paraId="1F3B7C5D"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Fisher, L., Polonsky, W.H. and Hessler, D.M. (2019) ‘Addressing diabetes distress in clinical care’, </w:t>
      </w:r>
      <w:r w:rsidRPr="00FC7487">
        <w:rPr>
          <w:rStyle w:val="Emphasis"/>
          <w:rFonts w:asciiTheme="minorHAnsi" w:eastAsiaTheme="majorEastAsia" w:hAnsiTheme="minorHAnsi" w:cstheme="minorHAnsi"/>
        </w:rPr>
        <w:t>Diabetic Medicine</w:t>
      </w:r>
      <w:r w:rsidRPr="00FC7487">
        <w:rPr>
          <w:rFonts w:asciiTheme="minorHAnsi" w:hAnsiTheme="minorHAnsi" w:cstheme="minorHAnsi"/>
        </w:rPr>
        <w:t>, 36(7), pp. 803–812. Available at: https://doi.org/10.1111/dme.13938</w:t>
      </w:r>
    </w:p>
    <w:p w14:paraId="481EB554"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Forouhi, N.G. and Wareham, N.J. (2019) ‘Epidemiology of diabetes’, </w:t>
      </w:r>
      <w:r w:rsidRPr="00FC7487">
        <w:rPr>
          <w:rStyle w:val="Emphasis"/>
          <w:rFonts w:asciiTheme="minorHAnsi" w:eastAsiaTheme="majorEastAsia" w:hAnsiTheme="minorHAnsi" w:cstheme="minorHAnsi"/>
        </w:rPr>
        <w:t>Medicine</w:t>
      </w:r>
      <w:r w:rsidRPr="00FC7487">
        <w:rPr>
          <w:rFonts w:asciiTheme="minorHAnsi" w:hAnsiTheme="minorHAnsi" w:cstheme="minorHAnsi"/>
        </w:rPr>
        <w:t xml:space="preserve">, 47(1), pp. 22–27. Available at: </w:t>
      </w:r>
      <w:hyperlink r:id="rId23" w:tgtFrame="_new" w:history="1">
        <w:r w:rsidRPr="00FC7487">
          <w:rPr>
            <w:rStyle w:val="Hyperlink"/>
            <w:rFonts w:asciiTheme="minorHAnsi" w:eastAsiaTheme="majorEastAsia" w:hAnsiTheme="minorHAnsi" w:cstheme="minorHAnsi"/>
          </w:rPr>
          <w:t>https://doi.org/10.1016/j.mpmed.2018.10.007</w:t>
        </w:r>
      </w:hyperlink>
    </w:p>
    <w:p w14:paraId="5D1F4489"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Galicia-Garcia, U. et al. (2020) ‘Pathophysiology of Type 2 diabetes’, </w:t>
      </w:r>
      <w:r w:rsidRPr="00FC7487">
        <w:rPr>
          <w:rStyle w:val="Emphasis"/>
          <w:rFonts w:asciiTheme="minorHAnsi" w:eastAsiaTheme="majorEastAsia" w:hAnsiTheme="minorHAnsi" w:cstheme="minorHAnsi"/>
        </w:rPr>
        <w:t>International Journal of Molecular Sciences</w:t>
      </w:r>
      <w:r w:rsidRPr="00FC7487">
        <w:rPr>
          <w:rFonts w:asciiTheme="minorHAnsi" w:hAnsiTheme="minorHAnsi" w:cstheme="minorHAnsi"/>
        </w:rPr>
        <w:t xml:space="preserve">, 21(17), 6275. Available at: </w:t>
      </w:r>
      <w:hyperlink r:id="rId24" w:tgtFrame="_new" w:history="1">
        <w:r w:rsidRPr="00FC7487">
          <w:rPr>
            <w:rStyle w:val="Hyperlink"/>
            <w:rFonts w:asciiTheme="minorHAnsi" w:eastAsiaTheme="majorEastAsia" w:hAnsiTheme="minorHAnsi" w:cstheme="minorHAnsi"/>
          </w:rPr>
          <w:t>https://doi.org/10.3390/ijms21176275</w:t>
        </w:r>
      </w:hyperlink>
    </w:p>
    <w:p w14:paraId="139520A0" w14:textId="0D094B3B"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Goodwin, N. et al. (2022) </w:t>
      </w:r>
      <w:r w:rsidRPr="00FC7487">
        <w:rPr>
          <w:rStyle w:val="Emphasis"/>
          <w:rFonts w:asciiTheme="minorHAnsi" w:eastAsiaTheme="majorEastAsia" w:hAnsiTheme="minorHAnsi" w:cstheme="minorHAnsi"/>
        </w:rPr>
        <w:t>Coordinated care for people with chronic conditions.</w:t>
      </w:r>
      <w:r w:rsidRPr="00FC7487">
        <w:rPr>
          <w:rFonts w:asciiTheme="minorHAnsi" w:hAnsiTheme="minorHAnsi" w:cstheme="minorHAnsi"/>
        </w:rPr>
        <w:t xml:space="preserve"> London: The King’s Fund. Available at: </w:t>
      </w:r>
      <w:hyperlink r:id="rId25" w:tgtFrame="_new" w:history="1">
        <w:r w:rsidRPr="00FC7487">
          <w:rPr>
            <w:rStyle w:val="Hyperlink"/>
            <w:rFonts w:asciiTheme="minorHAnsi" w:eastAsiaTheme="majorEastAsia" w:hAnsiTheme="minorHAnsi" w:cstheme="minorHAnsi"/>
          </w:rPr>
          <w:t>https://www.kingsfund.org.uk/publications/coordinated-care</w:t>
        </w:r>
      </w:hyperlink>
      <w:r w:rsidR="00EE1B62" w:rsidRPr="00FC7487">
        <w:rPr>
          <w:rFonts w:asciiTheme="minorHAnsi" w:hAnsiTheme="minorHAnsi" w:cstheme="minorHAnsi"/>
        </w:rPr>
        <w:t xml:space="preserve"> (Accessed: 2</w:t>
      </w:r>
      <w:r w:rsidRPr="00FC7487">
        <w:rPr>
          <w:rFonts w:asciiTheme="minorHAnsi" w:hAnsiTheme="minorHAnsi" w:cstheme="minorHAnsi"/>
        </w:rPr>
        <w:t xml:space="preserve"> November 2025).</w:t>
      </w:r>
    </w:p>
    <w:p w14:paraId="5B116055" w14:textId="2DECD3F3"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Ham, C., Alderwick, H. and Dunn, P. (2021) </w:t>
      </w:r>
      <w:r w:rsidRPr="00FC7487">
        <w:rPr>
          <w:rStyle w:val="Emphasis"/>
          <w:rFonts w:asciiTheme="minorHAnsi" w:eastAsiaTheme="majorEastAsia" w:hAnsiTheme="minorHAnsi" w:cstheme="minorHAnsi"/>
        </w:rPr>
        <w:t>Integrating care systems in England.</w:t>
      </w:r>
      <w:r w:rsidRPr="00FC7487">
        <w:rPr>
          <w:rFonts w:asciiTheme="minorHAnsi" w:hAnsiTheme="minorHAnsi" w:cstheme="minorHAnsi"/>
        </w:rPr>
        <w:t xml:space="preserve"> London: The King’s Fund. Available at: </w:t>
      </w:r>
      <w:hyperlink r:id="rId26" w:tgtFrame="_new" w:history="1">
        <w:r w:rsidRPr="00FC7487">
          <w:rPr>
            <w:rStyle w:val="Hyperlink"/>
            <w:rFonts w:asciiTheme="minorHAnsi" w:eastAsiaTheme="majorEastAsia" w:hAnsiTheme="minorHAnsi" w:cstheme="minorHAnsi"/>
          </w:rPr>
          <w:t>https://www.kingsfund.org.uk/publications/integrated-care-systems-explained</w:t>
        </w:r>
      </w:hyperlink>
      <w:r w:rsidR="00EE1B62" w:rsidRPr="00FC7487">
        <w:rPr>
          <w:rFonts w:asciiTheme="minorHAnsi" w:hAnsiTheme="minorHAnsi" w:cstheme="minorHAnsi"/>
        </w:rPr>
        <w:t xml:space="preserve"> (Accessed: 2</w:t>
      </w:r>
      <w:r w:rsidRPr="00FC7487">
        <w:rPr>
          <w:rFonts w:asciiTheme="minorHAnsi" w:hAnsiTheme="minorHAnsi" w:cstheme="minorHAnsi"/>
        </w:rPr>
        <w:t xml:space="preserve"> November 2025).</w:t>
      </w:r>
    </w:p>
    <w:p w14:paraId="44A97E49" w14:textId="2F6B4313"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International Diabetes Federation (2024) </w:t>
      </w:r>
      <w:r w:rsidRPr="00FC7487">
        <w:rPr>
          <w:rStyle w:val="Emphasis"/>
          <w:rFonts w:asciiTheme="minorHAnsi" w:eastAsiaTheme="majorEastAsia" w:hAnsiTheme="minorHAnsi" w:cstheme="minorHAnsi"/>
        </w:rPr>
        <w:t>IDF Diabetes Atlas.</w:t>
      </w:r>
      <w:r w:rsidRPr="00FC7487">
        <w:rPr>
          <w:rFonts w:asciiTheme="minorHAnsi" w:hAnsiTheme="minorHAnsi" w:cstheme="minorHAnsi"/>
        </w:rPr>
        <w:t xml:space="preserve"> Brussels: IDF. Available at: </w:t>
      </w:r>
      <w:hyperlink r:id="rId27" w:tgtFrame="_new" w:history="1">
        <w:r w:rsidRPr="00FC7487">
          <w:rPr>
            <w:rStyle w:val="Hyperlink"/>
            <w:rFonts w:asciiTheme="minorHAnsi" w:eastAsiaTheme="majorEastAsia" w:hAnsiTheme="minorHAnsi" w:cstheme="minorHAnsi"/>
          </w:rPr>
          <w:t>https://diabetesatlas.org</w:t>
        </w:r>
      </w:hyperlink>
      <w:r w:rsidR="00EE1B62" w:rsidRPr="00FC7487">
        <w:rPr>
          <w:rFonts w:asciiTheme="minorHAnsi" w:hAnsiTheme="minorHAnsi" w:cstheme="minorHAnsi"/>
        </w:rPr>
        <w:t xml:space="preserve"> (Accessed: 1</w:t>
      </w:r>
      <w:r w:rsidRPr="00FC7487">
        <w:rPr>
          <w:rFonts w:asciiTheme="minorHAnsi" w:hAnsiTheme="minorHAnsi" w:cstheme="minorHAnsi"/>
        </w:rPr>
        <w:t xml:space="preserve"> November 2025).</w:t>
      </w:r>
    </w:p>
    <w:p w14:paraId="355E9574"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Joo, J.Y. and Liu, M.F. (2021) ‘Culturally tailored interventions for ethnic minorities’, </w:t>
      </w:r>
      <w:r w:rsidRPr="00FC7487">
        <w:rPr>
          <w:rStyle w:val="Emphasis"/>
          <w:rFonts w:asciiTheme="minorHAnsi" w:eastAsiaTheme="majorEastAsia" w:hAnsiTheme="minorHAnsi" w:cstheme="minorHAnsi"/>
        </w:rPr>
        <w:t>Nursing Open</w:t>
      </w:r>
      <w:r w:rsidRPr="00FC7487">
        <w:rPr>
          <w:rFonts w:asciiTheme="minorHAnsi" w:hAnsiTheme="minorHAnsi" w:cstheme="minorHAnsi"/>
        </w:rPr>
        <w:t>, 8(5), pp. 2078–2090. Available at: https://doi.org/10.1002/nop2.819</w:t>
      </w:r>
    </w:p>
    <w:p w14:paraId="0898624E"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Lean, M.E.J. et al. (2018) ‘Primary care weight management for remission’, </w:t>
      </w:r>
      <w:r w:rsidRPr="00FC7487">
        <w:rPr>
          <w:rStyle w:val="Emphasis"/>
          <w:rFonts w:asciiTheme="minorHAnsi" w:eastAsiaTheme="majorEastAsia" w:hAnsiTheme="minorHAnsi" w:cstheme="minorHAnsi"/>
        </w:rPr>
        <w:t>The Lancet</w:t>
      </w:r>
      <w:r w:rsidRPr="00FC7487">
        <w:rPr>
          <w:rFonts w:asciiTheme="minorHAnsi" w:hAnsiTheme="minorHAnsi" w:cstheme="minorHAnsi"/>
        </w:rPr>
        <w:t xml:space="preserve">, 391, pp. 541–551. Available at: </w:t>
      </w:r>
      <w:hyperlink r:id="rId28" w:tgtFrame="_new" w:history="1">
        <w:r w:rsidRPr="00FC7487">
          <w:rPr>
            <w:rStyle w:val="Hyperlink"/>
            <w:rFonts w:asciiTheme="minorHAnsi" w:eastAsiaTheme="majorEastAsia" w:hAnsiTheme="minorHAnsi" w:cstheme="minorHAnsi"/>
          </w:rPr>
          <w:t>https://doi.org/10.1016/S0140-6736(17)33102-1</w:t>
        </w:r>
      </w:hyperlink>
    </w:p>
    <w:p w14:paraId="58FFF1AC"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Longo, M. et al. (2021) ‘Mediterranean diet in Type 2 diabetes’, </w:t>
      </w:r>
      <w:r w:rsidRPr="00FC7487">
        <w:rPr>
          <w:rStyle w:val="Emphasis"/>
          <w:rFonts w:asciiTheme="minorHAnsi" w:eastAsiaTheme="majorEastAsia" w:hAnsiTheme="minorHAnsi" w:cstheme="minorHAnsi"/>
        </w:rPr>
        <w:t>Current Opinion in Pharmacology</w:t>
      </w:r>
      <w:r w:rsidRPr="00FC7487">
        <w:rPr>
          <w:rFonts w:asciiTheme="minorHAnsi" w:hAnsiTheme="minorHAnsi" w:cstheme="minorHAnsi"/>
        </w:rPr>
        <w:t>, 60, pp. 27–33. Available at: https://doi.org/10.1016/j.coph.2021.06.002</w:t>
      </w:r>
    </w:p>
    <w:p w14:paraId="6DE73B2F"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Marso, S.P. et al. (2016) ‘Liraglutide and cardiovascular outcomes’, </w:t>
      </w:r>
      <w:r w:rsidRPr="00FC7487">
        <w:rPr>
          <w:rStyle w:val="Emphasis"/>
          <w:rFonts w:asciiTheme="minorHAnsi" w:eastAsiaTheme="majorEastAsia" w:hAnsiTheme="minorHAnsi" w:cstheme="minorHAnsi"/>
        </w:rPr>
        <w:t>New England Journal of Medicine</w:t>
      </w:r>
      <w:r w:rsidRPr="00FC7487">
        <w:rPr>
          <w:rFonts w:asciiTheme="minorHAnsi" w:hAnsiTheme="minorHAnsi" w:cstheme="minorHAnsi"/>
        </w:rPr>
        <w:t>, 375(4), pp. 311–322. Available at: https://doi.org/10.1056/NEJMoa1603827</w:t>
      </w:r>
    </w:p>
    <w:p w14:paraId="5AD662E6"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Mersha, A.G. et al. (2022) ‘Bidirectional relationship between diabetes and anxiety’, </w:t>
      </w:r>
      <w:r w:rsidRPr="00FC7487">
        <w:rPr>
          <w:rStyle w:val="Emphasis"/>
          <w:rFonts w:asciiTheme="minorHAnsi" w:eastAsiaTheme="majorEastAsia" w:hAnsiTheme="minorHAnsi" w:cstheme="minorHAnsi"/>
        </w:rPr>
        <w:t>Journal of Psychosomatic Research</w:t>
      </w:r>
      <w:r w:rsidRPr="00FC7487">
        <w:rPr>
          <w:rFonts w:asciiTheme="minorHAnsi" w:hAnsiTheme="minorHAnsi" w:cstheme="minorHAnsi"/>
        </w:rPr>
        <w:t>, 162, 110991. Available at: https://doi.org/10.1016/j.jpsychores.2022.110991</w:t>
      </w:r>
    </w:p>
    <w:p w14:paraId="6D9CEFE3"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Murray, E. et al. (2017) ‘Web-based diabetes self-management support’, </w:t>
      </w:r>
      <w:r w:rsidRPr="00FC7487">
        <w:rPr>
          <w:rStyle w:val="Emphasis"/>
          <w:rFonts w:asciiTheme="minorHAnsi" w:eastAsiaTheme="majorEastAsia" w:hAnsiTheme="minorHAnsi" w:cstheme="minorHAnsi"/>
        </w:rPr>
        <w:t>BMJ Open</w:t>
      </w:r>
      <w:r w:rsidRPr="00FC7487">
        <w:rPr>
          <w:rFonts w:asciiTheme="minorHAnsi" w:hAnsiTheme="minorHAnsi" w:cstheme="minorHAnsi"/>
        </w:rPr>
        <w:t>, 7(9), e016009. Available at: https://doi.org/10.1136/bmjopen-2017-016009</w:t>
      </w:r>
    </w:p>
    <w:p w14:paraId="38ABCB9B"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Muskiet, M.H. et al. (2023) ‘Diabetes care in older people’, </w:t>
      </w:r>
      <w:r w:rsidRPr="00FC7487">
        <w:rPr>
          <w:rStyle w:val="Emphasis"/>
          <w:rFonts w:asciiTheme="minorHAnsi" w:eastAsiaTheme="majorEastAsia" w:hAnsiTheme="minorHAnsi" w:cstheme="minorHAnsi"/>
        </w:rPr>
        <w:t>The Lancet Healthy Longevity</w:t>
      </w:r>
      <w:r w:rsidRPr="00FC7487">
        <w:rPr>
          <w:rFonts w:asciiTheme="minorHAnsi" w:hAnsiTheme="minorHAnsi" w:cstheme="minorHAnsi"/>
        </w:rPr>
        <w:t>, 4(12), e657–e659. Available at: https://doi.org/10.1016/S2666-7568(23)00253-9</w:t>
      </w:r>
    </w:p>
    <w:p w14:paraId="31AEC1C4"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National Diabetes Audit (2023) </w:t>
      </w:r>
      <w:r w:rsidRPr="00FC7487">
        <w:rPr>
          <w:rStyle w:val="Emphasis"/>
          <w:rFonts w:asciiTheme="minorHAnsi" w:eastAsiaTheme="majorEastAsia" w:hAnsiTheme="minorHAnsi" w:cstheme="minorHAnsi"/>
        </w:rPr>
        <w:t>National Diabetes Audit reports.</w:t>
      </w:r>
      <w:r w:rsidRPr="00FC7487">
        <w:rPr>
          <w:rFonts w:asciiTheme="minorHAnsi" w:hAnsiTheme="minorHAnsi" w:cstheme="minorHAnsi"/>
        </w:rPr>
        <w:t xml:space="preserve"> NHS Digital. Available at: </w:t>
      </w:r>
      <w:hyperlink r:id="rId29" w:tgtFrame="_new" w:history="1">
        <w:r w:rsidRPr="00FC7487">
          <w:rPr>
            <w:rStyle w:val="Hyperlink"/>
            <w:rFonts w:asciiTheme="minorHAnsi" w:eastAsiaTheme="majorEastAsia" w:hAnsiTheme="minorHAnsi" w:cstheme="minorHAnsi"/>
          </w:rPr>
          <w:t>https://digital.nhs.uk/data-and-information/publications/statistical/national-diabetes-audit</w:t>
        </w:r>
      </w:hyperlink>
      <w:r w:rsidRPr="00FC7487">
        <w:rPr>
          <w:rFonts w:asciiTheme="minorHAnsi" w:hAnsiTheme="minorHAnsi" w:cstheme="minorHAnsi"/>
        </w:rPr>
        <w:t xml:space="preserve"> (Accessed: 9 November 2025).</w:t>
      </w:r>
    </w:p>
    <w:p w14:paraId="184C487C"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NHS England (2019) </w:t>
      </w:r>
      <w:r w:rsidRPr="00FC7487">
        <w:rPr>
          <w:rStyle w:val="Emphasis"/>
          <w:rFonts w:asciiTheme="minorHAnsi" w:eastAsiaTheme="majorEastAsia" w:hAnsiTheme="minorHAnsi" w:cstheme="minorHAnsi"/>
        </w:rPr>
        <w:t>The NHS Long Term Plan.</w:t>
      </w:r>
      <w:r w:rsidRPr="00FC7487">
        <w:rPr>
          <w:rFonts w:asciiTheme="minorHAnsi" w:hAnsiTheme="minorHAnsi" w:cstheme="minorHAnsi"/>
        </w:rPr>
        <w:t xml:space="preserve"> Available at: </w:t>
      </w:r>
      <w:hyperlink r:id="rId30" w:tgtFrame="_new" w:history="1">
        <w:r w:rsidRPr="00FC7487">
          <w:rPr>
            <w:rStyle w:val="Hyperlink"/>
            <w:rFonts w:asciiTheme="minorHAnsi" w:eastAsiaTheme="majorEastAsia" w:hAnsiTheme="minorHAnsi" w:cstheme="minorHAnsi"/>
          </w:rPr>
          <w:t>https://www.longtermplan.nhs.uk/</w:t>
        </w:r>
      </w:hyperlink>
      <w:r w:rsidRPr="00FC7487">
        <w:rPr>
          <w:rFonts w:asciiTheme="minorHAnsi" w:hAnsiTheme="minorHAnsi" w:cstheme="minorHAnsi"/>
        </w:rPr>
        <w:t xml:space="preserve"> (Accessed: 9 November 2025).</w:t>
      </w:r>
    </w:p>
    <w:p w14:paraId="41856D13" w14:textId="0CBE2FBB"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NHS England (2023) </w:t>
      </w:r>
      <w:r w:rsidRPr="00FC7487">
        <w:rPr>
          <w:rStyle w:val="Emphasis"/>
          <w:rFonts w:asciiTheme="minorHAnsi" w:eastAsiaTheme="majorEastAsia" w:hAnsiTheme="minorHAnsi" w:cstheme="minorHAnsi"/>
        </w:rPr>
        <w:t>Diabetes Digital Framework.</w:t>
      </w:r>
      <w:r w:rsidRPr="00FC7487">
        <w:rPr>
          <w:rFonts w:asciiTheme="minorHAnsi" w:hAnsiTheme="minorHAnsi" w:cstheme="minorHAnsi"/>
        </w:rPr>
        <w:t xml:space="preserve"> Available at: </w:t>
      </w:r>
      <w:hyperlink r:id="rId31" w:tgtFrame="_new" w:history="1">
        <w:r w:rsidRPr="00FC7487">
          <w:rPr>
            <w:rStyle w:val="Hyperlink"/>
            <w:rFonts w:asciiTheme="minorHAnsi" w:eastAsiaTheme="majorEastAsia" w:hAnsiTheme="minorHAnsi" w:cstheme="minorHAnsi"/>
          </w:rPr>
          <w:t>https://www.england.nhs.uk/diabetes/digital</w:t>
        </w:r>
      </w:hyperlink>
      <w:r w:rsidR="00EE1B62" w:rsidRPr="00FC7487">
        <w:rPr>
          <w:rFonts w:asciiTheme="minorHAnsi" w:hAnsiTheme="minorHAnsi" w:cstheme="minorHAnsi"/>
        </w:rPr>
        <w:t xml:space="preserve"> (Accessed: 1</w:t>
      </w:r>
      <w:r w:rsidRPr="00FC7487">
        <w:rPr>
          <w:rFonts w:asciiTheme="minorHAnsi" w:hAnsiTheme="minorHAnsi" w:cstheme="minorHAnsi"/>
        </w:rPr>
        <w:t xml:space="preserve"> November 2025).</w:t>
      </w:r>
    </w:p>
    <w:p w14:paraId="36B65C4D" w14:textId="36F904C9"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NICE (2022) </w:t>
      </w:r>
      <w:r w:rsidRPr="00FC7487">
        <w:rPr>
          <w:rStyle w:val="Emphasis"/>
          <w:rFonts w:asciiTheme="minorHAnsi" w:eastAsiaTheme="majorEastAsia" w:hAnsiTheme="minorHAnsi" w:cstheme="minorHAnsi"/>
        </w:rPr>
        <w:t>Type 2 diabetes in adults: management (NG28).</w:t>
      </w:r>
      <w:r w:rsidRPr="00FC7487">
        <w:rPr>
          <w:rFonts w:asciiTheme="minorHAnsi" w:hAnsiTheme="minorHAnsi" w:cstheme="minorHAnsi"/>
        </w:rPr>
        <w:t xml:space="preserve"> Available at: </w:t>
      </w:r>
      <w:hyperlink r:id="rId32" w:tgtFrame="_new" w:history="1">
        <w:r w:rsidRPr="00FC7487">
          <w:rPr>
            <w:rStyle w:val="Hyperlink"/>
            <w:rFonts w:asciiTheme="minorHAnsi" w:eastAsiaTheme="majorEastAsia" w:hAnsiTheme="minorHAnsi" w:cstheme="minorHAnsi"/>
          </w:rPr>
          <w:t>https://www.nice.org.uk/guidance/ng28</w:t>
        </w:r>
      </w:hyperlink>
      <w:r w:rsidR="00EE1B62" w:rsidRPr="00FC7487">
        <w:rPr>
          <w:rFonts w:asciiTheme="minorHAnsi" w:hAnsiTheme="minorHAnsi" w:cstheme="minorHAnsi"/>
        </w:rPr>
        <w:t xml:space="preserve"> (Accessed: 2</w:t>
      </w:r>
      <w:r w:rsidRPr="00FC7487">
        <w:rPr>
          <w:rFonts w:asciiTheme="minorHAnsi" w:hAnsiTheme="minorHAnsi" w:cstheme="minorHAnsi"/>
        </w:rPr>
        <w:t xml:space="preserve"> November 2025).</w:t>
      </w:r>
    </w:p>
    <w:p w14:paraId="0CFFCD1E"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Nicolucci, A. et al. (2016) ‘Psychological outcomes in diabetes: DAWN2 study’, </w:t>
      </w:r>
      <w:r w:rsidRPr="00FC7487">
        <w:rPr>
          <w:rStyle w:val="Emphasis"/>
          <w:rFonts w:asciiTheme="minorHAnsi" w:eastAsiaTheme="majorEastAsia" w:hAnsiTheme="minorHAnsi" w:cstheme="minorHAnsi"/>
        </w:rPr>
        <w:t>Diabetic Medicine</w:t>
      </w:r>
      <w:r w:rsidRPr="00FC7487">
        <w:rPr>
          <w:rFonts w:asciiTheme="minorHAnsi" w:hAnsiTheme="minorHAnsi" w:cstheme="minorHAnsi"/>
        </w:rPr>
        <w:t>, 33(9), pp. 1194–1203. Available at: https://doi.org/10.1111/dme.13049</w:t>
      </w:r>
    </w:p>
    <w:p w14:paraId="4C6CB4E4"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Rawshani, A. et al. (2018) ‘Risk factors and outcomes in diabetes’, </w:t>
      </w:r>
      <w:r w:rsidRPr="00FC7487">
        <w:rPr>
          <w:rStyle w:val="Emphasis"/>
          <w:rFonts w:asciiTheme="minorHAnsi" w:eastAsiaTheme="majorEastAsia" w:hAnsiTheme="minorHAnsi" w:cstheme="minorHAnsi"/>
        </w:rPr>
        <w:t>New England Journal of Medicine</w:t>
      </w:r>
      <w:r w:rsidRPr="00FC7487">
        <w:rPr>
          <w:rFonts w:asciiTheme="minorHAnsi" w:hAnsiTheme="minorHAnsi" w:cstheme="minorHAnsi"/>
        </w:rPr>
        <w:t>, 379, pp. 633–644. Available at: https://doi.org/10.1056/NEJMoa1800256</w:t>
      </w:r>
    </w:p>
    <w:p w14:paraId="01646320"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Rena, G., Hardie, D.G. and Pearson, E.R. (2017) ‘Mechanisms of metformin’, </w:t>
      </w:r>
      <w:r w:rsidRPr="00FC7487">
        <w:rPr>
          <w:rStyle w:val="Emphasis"/>
          <w:rFonts w:asciiTheme="minorHAnsi" w:eastAsiaTheme="majorEastAsia" w:hAnsiTheme="minorHAnsi" w:cstheme="minorHAnsi"/>
        </w:rPr>
        <w:t>Diabetologia</w:t>
      </w:r>
      <w:r w:rsidRPr="00FC7487">
        <w:rPr>
          <w:rFonts w:asciiTheme="minorHAnsi" w:hAnsiTheme="minorHAnsi" w:cstheme="minorHAnsi"/>
        </w:rPr>
        <w:t xml:space="preserve">, 60, pp. 1577–1585. Available at: </w:t>
      </w:r>
      <w:hyperlink r:id="rId33" w:tgtFrame="_new" w:history="1">
        <w:r w:rsidRPr="00FC7487">
          <w:rPr>
            <w:rStyle w:val="Hyperlink"/>
            <w:rFonts w:asciiTheme="minorHAnsi" w:eastAsiaTheme="majorEastAsia" w:hAnsiTheme="minorHAnsi" w:cstheme="minorHAnsi"/>
          </w:rPr>
          <w:t>https://doi.org/10.1007/s00125-017-4342-z</w:t>
        </w:r>
      </w:hyperlink>
    </w:p>
    <w:p w14:paraId="033B835E"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Roden, M. and Shulman, G.I. (2019) ‘Integrative biology of Type 2 diabetes’, </w:t>
      </w:r>
      <w:r w:rsidRPr="00FC7487">
        <w:rPr>
          <w:rStyle w:val="Emphasis"/>
          <w:rFonts w:asciiTheme="minorHAnsi" w:eastAsiaTheme="majorEastAsia" w:hAnsiTheme="minorHAnsi" w:cstheme="minorHAnsi"/>
        </w:rPr>
        <w:t>Nature</w:t>
      </w:r>
      <w:r w:rsidRPr="00FC7487">
        <w:rPr>
          <w:rFonts w:asciiTheme="minorHAnsi" w:hAnsiTheme="minorHAnsi" w:cstheme="minorHAnsi"/>
        </w:rPr>
        <w:t>, 576(7785), pp. 51–60. Available at: https://doi.org/10.1038/s41586-019-1561-1</w:t>
      </w:r>
    </w:p>
    <w:p w14:paraId="1D2B5E3B"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Schmitt, A. et al. (2016) ‘Assessing diabetes self-management (DSMQ)’, </w:t>
      </w:r>
      <w:r w:rsidRPr="00FC7487">
        <w:rPr>
          <w:rStyle w:val="Emphasis"/>
          <w:rFonts w:asciiTheme="minorHAnsi" w:eastAsiaTheme="majorEastAsia" w:hAnsiTheme="minorHAnsi" w:cstheme="minorHAnsi"/>
        </w:rPr>
        <w:t>PLoS One</w:t>
      </w:r>
      <w:r w:rsidRPr="00FC7487">
        <w:rPr>
          <w:rFonts w:asciiTheme="minorHAnsi" w:hAnsiTheme="minorHAnsi" w:cstheme="minorHAnsi"/>
        </w:rPr>
        <w:t>, 11(3), e0150774. Available at: https://doi.org/10.1371/journal.pone.0150774</w:t>
      </w:r>
    </w:p>
    <w:p w14:paraId="23CABB70" w14:textId="6DB1E321"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Sharma, A. et al. (2020) ‘Diabetes and cardiovascular disease’, </w:t>
      </w:r>
      <w:r w:rsidRPr="00FC7487">
        <w:rPr>
          <w:rStyle w:val="Emphasis"/>
          <w:rFonts w:asciiTheme="minorHAnsi" w:eastAsiaTheme="majorEastAsia" w:hAnsiTheme="minorHAnsi" w:cstheme="minorHAnsi"/>
        </w:rPr>
        <w:t>Future Journal of Pharmaceutical Sciences</w:t>
      </w:r>
      <w:r w:rsidRPr="00FC7487">
        <w:rPr>
          <w:rFonts w:asciiTheme="minorHAnsi" w:hAnsiTheme="minorHAnsi" w:cstheme="minorHAnsi"/>
        </w:rPr>
        <w:t xml:space="preserve">, 6(1), 130. Available at: </w:t>
      </w:r>
      <w:hyperlink r:id="rId34" w:history="1">
        <w:r w:rsidR="00463F2B" w:rsidRPr="00FC7487">
          <w:rPr>
            <w:rStyle w:val="Hyperlink"/>
            <w:rFonts w:asciiTheme="minorHAnsi" w:hAnsiTheme="minorHAnsi" w:cstheme="minorHAnsi"/>
          </w:rPr>
          <w:t>https://doi.org/10.1186/s43094-020-00110-0</w:t>
        </w:r>
      </w:hyperlink>
    </w:p>
    <w:p w14:paraId="53A03B5E" w14:textId="039177CC" w:rsidR="00463F2B" w:rsidRPr="00FC7487" w:rsidRDefault="00463F2B" w:rsidP="00776A38">
      <w:pPr>
        <w:pStyle w:val="NormalWeb"/>
        <w:rPr>
          <w:rFonts w:asciiTheme="minorHAnsi" w:hAnsiTheme="minorHAnsi" w:cstheme="minorHAnsi"/>
        </w:rPr>
      </w:pPr>
      <w:r w:rsidRPr="00FC7487">
        <w:rPr>
          <w:rFonts w:asciiTheme="minorHAnsi" w:hAnsiTheme="minorHAnsi" w:cstheme="minorHAnsi"/>
        </w:rPr>
        <w:t xml:space="preserve">Times of India (2024) </w:t>
      </w:r>
      <w:r w:rsidRPr="00FC7487">
        <w:rPr>
          <w:rStyle w:val="Emphasis"/>
          <w:rFonts w:asciiTheme="minorHAnsi" w:eastAsiaTheme="majorEastAsia" w:hAnsiTheme="minorHAnsi" w:cstheme="minorHAnsi"/>
        </w:rPr>
        <w:t>8 ways walking outdoors can change our lifestyle</w:t>
      </w:r>
      <w:r w:rsidRPr="00FC7487">
        <w:rPr>
          <w:rFonts w:asciiTheme="minorHAnsi" w:hAnsiTheme="minorHAnsi" w:cstheme="minorHAnsi"/>
        </w:rPr>
        <w:t xml:space="preserve">. Available at: </w:t>
      </w:r>
      <w:hyperlink r:id="rId35" w:tgtFrame="_new" w:history="1">
        <w:r w:rsidRPr="00FC7487">
          <w:rPr>
            <w:rStyle w:val="Hyperlink"/>
            <w:rFonts w:asciiTheme="minorHAnsi" w:eastAsiaTheme="majorEastAsia" w:hAnsiTheme="minorHAnsi" w:cstheme="minorHAnsi"/>
          </w:rPr>
          <w:t>https://timesofindia.indiatimes.com/life-style/health-fitness/health-news/8-ways-walking-outdoors-can-change-our-lifestyle/photostory/112219855.cms</w:t>
        </w:r>
      </w:hyperlink>
      <w:r w:rsidRPr="00FC7487">
        <w:rPr>
          <w:rFonts w:asciiTheme="minorHAnsi" w:hAnsiTheme="minorHAnsi" w:cstheme="minorHAnsi"/>
        </w:rPr>
        <w:t xml:space="preserve"> (Accessed: 9 November 2025).</w:t>
      </w:r>
    </w:p>
    <w:p w14:paraId="33857325"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Winkley, K. et al. (2020) ‘Psychological interventions to improve diabetes self-management’, </w:t>
      </w:r>
      <w:r w:rsidRPr="00FC7487">
        <w:rPr>
          <w:rStyle w:val="Emphasis"/>
          <w:rFonts w:asciiTheme="minorHAnsi" w:eastAsiaTheme="majorEastAsia" w:hAnsiTheme="minorHAnsi" w:cstheme="minorHAnsi"/>
        </w:rPr>
        <w:t>Health Technology Assessment</w:t>
      </w:r>
      <w:r w:rsidRPr="00FC7487">
        <w:rPr>
          <w:rFonts w:asciiTheme="minorHAnsi" w:hAnsiTheme="minorHAnsi" w:cstheme="minorHAnsi"/>
        </w:rPr>
        <w:t>, 24(28). Available at: https://doi.org/10.3310/hta24280</w:t>
      </w:r>
    </w:p>
    <w:p w14:paraId="219F1E29" w14:textId="3890C5FE"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World Health Organization (2002) </w:t>
      </w:r>
      <w:r w:rsidRPr="00FC7487">
        <w:rPr>
          <w:rStyle w:val="Emphasis"/>
          <w:rFonts w:asciiTheme="minorHAnsi" w:eastAsiaTheme="majorEastAsia" w:hAnsiTheme="minorHAnsi" w:cstheme="minorHAnsi"/>
        </w:rPr>
        <w:t>Innovative care for chronic conditions.</w:t>
      </w:r>
      <w:r w:rsidRPr="00FC7487">
        <w:rPr>
          <w:rFonts w:asciiTheme="minorHAnsi" w:hAnsiTheme="minorHAnsi" w:cstheme="minorHAnsi"/>
        </w:rPr>
        <w:t xml:space="preserve"> Available at: </w:t>
      </w:r>
      <w:hyperlink r:id="rId36" w:tgtFrame="_new" w:history="1">
        <w:r w:rsidRPr="00FC7487">
          <w:rPr>
            <w:rStyle w:val="Hyperlink"/>
            <w:rFonts w:asciiTheme="minorHAnsi" w:eastAsiaTheme="majorEastAsia" w:hAnsiTheme="minorHAnsi" w:cstheme="minorHAnsi"/>
          </w:rPr>
          <w:t>https://apps.who.int/iris/handle/10665/42500</w:t>
        </w:r>
      </w:hyperlink>
      <w:r w:rsidR="00EE1B62" w:rsidRPr="00FC7487">
        <w:rPr>
          <w:rFonts w:asciiTheme="minorHAnsi" w:hAnsiTheme="minorHAnsi" w:cstheme="minorHAnsi"/>
        </w:rPr>
        <w:t xml:space="preserve"> (Accessed: 2</w:t>
      </w:r>
      <w:r w:rsidRPr="00FC7487">
        <w:rPr>
          <w:rFonts w:asciiTheme="minorHAnsi" w:hAnsiTheme="minorHAnsi" w:cstheme="minorHAnsi"/>
        </w:rPr>
        <w:t xml:space="preserve"> November 2025).</w:t>
      </w:r>
    </w:p>
    <w:p w14:paraId="7054C034"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Zhou, B. et al. (2024) ‘Worldwide trends in diabetes prevalence’, </w:t>
      </w:r>
      <w:r w:rsidRPr="00FC7487">
        <w:rPr>
          <w:rStyle w:val="Emphasis"/>
          <w:rFonts w:asciiTheme="minorHAnsi" w:eastAsiaTheme="majorEastAsia" w:hAnsiTheme="minorHAnsi" w:cstheme="minorHAnsi"/>
        </w:rPr>
        <w:t>The Lancet</w:t>
      </w:r>
      <w:r w:rsidRPr="00FC7487">
        <w:rPr>
          <w:rFonts w:asciiTheme="minorHAnsi" w:hAnsiTheme="minorHAnsi" w:cstheme="minorHAnsi"/>
        </w:rPr>
        <w:t>, 404(10467), pp. 2077–2093. Available at: https://doi.org/10.1016/S0140-6736(23)02654-5</w:t>
      </w:r>
    </w:p>
    <w:p w14:paraId="7E5E8103" w14:textId="77777777" w:rsidR="00776A38" w:rsidRPr="00FC7487" w:rsidRDefault="00776A38" w:rsidP="00776A38">
      <w:pPr>
        <w:pStyle w:val="NormalWeb"/>
        <w:rPr>
          <w:rFonts w:asciiTheme="minorHAnsi" w:hAnsiTheme="minorHAnsi" w:cstheme="minorHAnsi"/>
        </w:rPr>
      </w:pPr>
      <w:r w:rsidRPr="00FC7487">
        <w:rPr>
          <w:rFonts w:asciiTheme="minorHAnsi" w:hAnsiTheme="minorHAnsi" w:cstheme="minorHAnsi"/>
        </w:rPr>
        <w:t xml:space="preserve">Zou, H.T. et al. (2022) ‘High vs low dose SGLT2 inhibitors’, </w:t>
      </w:r>
      <w:r w:rsidRPr="00FC7487">
        <w:rPr>
          <w:rStyle w:val="Emphasis"/>
          <w:rFonts w:asciiTheme="minorHAnsi" w:eastAsiaTheme="majorEastAsia" w:hAnsiTheme="minorHAnsi" w:cstheme="minorHAnsi"/>
        </w:rPr>
        <w:t>Journal of Cardiovascular Pharmacology</w:t>
      </w:r>
      <w:r w:rsidRPr="00FC7487">
        <w:rPr>
          <w:rFonts w:asciiTheme="minorHAnsi" w:hAnsiTheme="minorHAnsi" w:cstheme="minorHAnsi"/>
        </w:rPr>
        <w:t>, 79(5), pp. 655–662. Available at: https://doi.org/10.1097/FJC.0000000000001248</w:t>
      </w:r>
    </w:p>
    <w:p w14:paraId="0BD02502" w14:textId="77777777" w:rsidR="00801DDA" w:rsidRPr="00FC7487" w:rsidRDefault="00801DDA" w:rsidP="00A87CDA">
      <w:pPr>
        <w:spacing w:beforeLines="60" w:before="144" w:afterLines="60" w:after="144" w:line="360" w:lineRule="auto"/>
        <w:rPr>
          <w:rFonts w:cstheme="minorHAnsi"/>
          <w:sz w:val="24"/>
          <w:szCs w:val="24"/>
        </w:rPr>
      </w:pPr>
    </w:p>
    <w:sectPr w:rsidR="00801DDA" w:rsidRPr="00FC7487" w:rsidSect="006C4883">
      <w:pgSz w:w="16838" w:h="11906" w:orient="landscape"/>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15C9"/>
    <w:multiLevelType w:val="hybridMultilevel"/>
    <w:tmpl w:val="F6248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75972"/>
    <w:multiLevelType w:val="hybridMultilevel"/>
    <w:tmpl w:val="600E6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7F2C59"/>
    <w:multiLevelType w:val="hybridMultilevel"/>
    <w:tmpl w:val="3FAA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7347864">
    <w:abstractNumId w:val="1"/>
  </w:num>
  <w:num w:numId="2" w16cid:durableId="2141072574">
    <w:abstractNumId w:val="0"/>
  </w:num>
  <w:num w:numId="3" w16cid:durableId="19685878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883"/>
    <w:rsid w:val="000456A1"/>
    <w:rsid w:val="000A3F5C"/>
    <w:rsid w:val="000A5589"/>
    <w:rsid w:val="000C7F62"/>
    <w:rsid w:val="001A1648"/>
    <w:rsid w:val="00226463"/>
    <w:rsid w:val="00241760"/>
    <w:rsid w:val="00247D87"/>
    <w:rsid w:val="002F4E3B"/>
    <w:rsid w:val="003002CE"/>
    <w:rsid w:val="0031674F"/>
    <w:rsid w:val="003C1F13"/>
    <w:rsid w:val="003E6CB0"/>
    <w:rsid w:val="004211FD"/>
    <w:rsid w:val="004257C8"/>
    <w:rsid w:val="00435CE9"/>
    <w:rsid w:val="00440D3A"/>
    <w:rsid w:val="00463F2B"/>
    <w:rsid w:val="004D7FAD"/>
    <w:rsid w:val="00544E12"/>
    <w:rsid w:val="005560F3"/>
    <w:rsid w:val="00567AA6"/>
    <w:rsid w:val="005F17F4"/>
    <w:rsid w:val="006C4883"/>
    <w:rsid w:val="006F7253"/>
    <w:rsid w:val="0072651C"/>
    <w:rsid w:val="00766EFE"/>
    <w:rsid w:val="00776A38"/>
    <w:rsid w:val="00783707"/>
    <w:rsid w:val="007E016C"/>
    <w:rsid w:val="00801DDA"/>
    <w:rsid w:val="0087464B"/>
    <w:rsid w:val="00904FC4"/>
    <w:rsid w:val="0091015B"/>
    <w:rsid w:val="0095198B"/>
    <w:rsid w:val="00973DEC"/>
    <w:rsid w:val="00992B0E"/>
    <w:rsid w:val="009B7AF4"/>
    <w:rsid w:val="009E239E"/>
    <w:rsid w:val="009E306C"/>
    <w:rsid w:val="00A32912"/>
    <w:rsid w:val="00A50B57"/>
    <w:rsid w:val="00A87CDA"/>
    <w:rsid w:val="00AC603B"/>
    <w:rsid w:val="00B8148F"/>
    <w:rsid w:val="00B84B4D"/>
    <w:rsid w:val="00C10ECD"/>
    <w:rsid w:val="00C47BE3"/>
    <w:rsid w:val="00C60E16"/>
    <w:rsid w:val="00CB30FC"/>
    <w:rsid w:val="00D015D9"/>
    <w:rsid w:val="00D068BE"/>
    <w:rsid w:val="00D151FE"/>
    <w:rsid w:val="00D34189"/>
    <w:rsid w:val="00D545C9"/>
    <w:rsid w:val="00D85293"/>
    <w:rsid w:val="00DB7BB0"/>
    <w:rsid w:val="00DF3743"/>
    <w:rsid w:val="00E151A1"/>
    <w:rsid w:val="00E35272"/>
    <w:rsid w:val="00E55877"/>
    <w:rsid w:val="00EE1B62"/>
    <w:rsid w:val="00F80973"/>
    <w:rsid w:val="00F940C1"/>
    <w:rsid w:val="00FA17AE"/>
    <w:rsid w:val="00FC7487"/>
    <w:rsid w:val="00FE4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F2B"/>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7AF4"/>
    <w:pPr>
      <w:ind w:left="720"/>
      <w:contextualSpacing/>
    </w:pPr>
  </w:style>
  <w:style w:type="paragraph" w:styleId="NormalWeb">
    <w:name w:val="Normal (Web)"/>
    <w:basedOn w:val="Normal"/>
    <w:uiPriority w:val="99"/>
    <w:unhideWhenUsed/>
    <w:rsid w:val="000A3F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7B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94453">
      <w:bodyDiv w:val="1"/>
      <w:marLeft w:val="0"/>
      <w:marRight w:val="0"/>
      <w:marTop w:val="0"/>
      <w:marBottom w:val="0"/>
      <w:divBdr>
        <w:top w:val="none" w:sz="0" w:space="0" w:color="auto"/>
        <w:left w:val="none" w:sz="0" w:space="0" w:color="auto"/>
        <w:bottom w:val="none" w:sz="0" w:space="0" w:color="auto"/>
        <w:right w:val="none" w:sz="0" w:space="0" w:color="auto"/>
      </w:divBdr>
    </w:div>
    <w:div w:id="843714213">
      <w:bodyDiv w:val="1"/>
      <w:marLeft w:val="0"/>
      <w:marRight w:val="0"/>
      <w:marTop w:val="0"/>
      <w:marBottom w:val="0"/>
      <w:divBdr>
        <w:top w:val="none" w:sz="0" w:space="0" w:color="auto"/>
        <w:left w:val="none" w:sz="0" w:space="0" w:color="auto"/>
        <w:bottom w:val="none" w:sz="0" w:space="0" w:color="auto"/>
        <w:right w:val="none" w:sz="0" w:space="0" w:color="auto"/>
      </w:divBdr>
    </w:div>
    <w:div w:id="1046762991">
      <w:bodyDiv w:val="1"/>
      <w:marLeft w:val="0"/>
      <w:marRight w:val="0"/>
      <w:marTop w:val="0"/>
      <w:marBottom w:val="0"/>
      <w:divBdr>
        <w:top w:val="none" w:sz="0" w:space="0" w:color="auto"/>
        <w:left w:val="none" w:sz="0" w:space="0" w:color="auto"/>
        <w:bottom w:val="none" w:sz="0" w:space="0" w:color="auto"/>
        <w:right w:val="none" w:sz="0" w:space="0" w:color="auto"/>
      </w:divBdr>
    </w:div>
    <w:div w:id="1364794187">
      <w:bodyDiv w:val="1"/>
      <w:marLeft w:val="0"/>
      <w:marRight w:val="0"/>
      <w:marTop w:val="0"/>
      <w:marBottom w:val="0"/>
      <w:divBdr>
        <w:top w:val="none" w:sz="0" w:space="0" w:color="auto"/>
        <w:left w:val="none" w:sz="0" w:space="0" w:color="auto"/>
        <w:bottom w:val="none" w:sz="0" w:space="0" w:color="auto"/>
        <w:right w:val="none" w:sz="0" w:space="0" w:color="auto"/>
      </w:divBdr>
    </w:div>
    <w:div w:id="1367297326">
      <w:bodyDiv w:val="1"/>
      <w:marLeft w:val="0"/>
      <w:marRight w:val="0"/>
      <w:marTop w:val="0"/>
      <w:marBottom w:val="0"/>
      <w:divBdr>
        <w:top w:val="none" w:sz="0" w:space="0" w:color="auto"/>
        <w:left w:val="none" w:sz="0" w:space="0" w:color="auto"/>
        <w:bottom w:val="none" w:sz="0" w:space="0" w:color="auto"/>
        <w:right w:val="none" w:sz="0" w:space="0" w:color="auto"/>
      </w:divBdr>
    </w:div>
    <w:div w:id="1511993516">
      <w:bodyDiv w:val="1"/>
      <w:marLeft w:val="0"/>
      <w:marRight w:val="0"/>
      <w:marTop w:val="0"/>
      <w:marBottom w:val="0"/>
      <w:divBdr>
        <w:top w:val="none" w:sz="0" w:space="0" w:color="auto"/>
        <w:left w:val="none" w:sz="0" w:space="0" w:color="auto"/>
        <w:bottom w:val="none" w:sz="0" w:space="0" w:color="auto"/>
        <w:right w:val="none" w:sz="0" w:space="0" w:color="auto"/>
      </w:divBdr>
    </w:div>
    <w:div w:id="1585069778">
      <w:bodyDiv w:val="1"/>
      <w:marLeft w:val="0"/>
      <w:marRight w:val="0"/>
      <w:marTop w:val="0"/>
      <w:marBottom w:val="0"/>
      <w:divBdr>
        <w:top w:val="none" w:sz="0" w:space="0" w:color="auto"/>
        <w:left w:val="none" w:sz="0" w:space="0" w:color="auto"/>
        <w:bottom w:val="none" w:sz="0" w:space="0" w:color="auto"/>
        <w:right w:val="none" w:sz="0" w:space="0" w:color="auto"/>
      </w:divBdr>
    </w:div>
    <w:div w:id="1609777937">
      <w:bodyDiv w:val="1"/>
      <w:marLeft w:val="0"/>
      <w:marRight w:val="0"/>
      <w:marTop w:val="0"/>
      <w:marBottom w:val="0"/>
      <w:divBdr>
        <w:top w:val="none" w:sz="0" w:space="0" w:color="auto"/>
        <w:left w:val="none" w:sz="0" w:space="0" w:color="auto"/>
        <w:bottom w:val="none" w:sz="0" w:space="0" w:color="auto"/>
        <w:right w:val="none" w:sz="0" w:space="0" w:color="auto"/>
      </w:divBdr>
    </w:div>
    <w:div w:id="1623609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ec.2015.11.003" TargetMode="External"/><Relationship Id="rId18" Type="http://schemas.openxmlformats.org/officeDocument/2006/relationships/hyperlink" Target="https://www.diabetes.org.uk/about_us/news" TargetMode="External"/><Relationship Id="rId26" Type="http://schemas.openxmlformats.org/officeDocument/2006/relationships/hyperlink" Target="https://www.kingsfund.org.uk/publications/integrated-care-systems-explained" TargetMode="External"/><Relationship Id="rId21" Type="http://schemas.openxmlformats.org/officeDocument/2006/relationships/hyperlink" Target="https://www.eatingwell.com/article/7763980/mediterranean-diet-plan-for-beginners/" TargetMode="External"/><Relationship Id="rId34" Type="http://schemas.openxmlformats.org/officeDocument/2006/relationships/hyperlink" Target="https://doi.org/10.1186/s43094-020-00110-0"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doi.org/10.1111/dme.13232" TargetMode="External"/><Relationship Id="rId25" Type="http://schemas.openxmlformats.org/officeDocument/2006/relationships/hyperlink" Target="https://www.kingsfund.org.uk/publications/coordinated-care" TargetMode="External"/><Relationship Id="rId33" Type="http://schemas.openxmlformats.org/officeDocument/2006/relationships/hyperlink" Target="https://doi.org/10.1007/s00125-017-4342-z"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s00125-018-4729-5" TargetMode="External"/><Relationship Id="rId20" Type="http://schemas.openxmlformats.org/officeDocument/2006/relationships/hyperlink" Target="https://easternmedtech.com/2024/07/16/continuous-glucose-monitors-diabetic-gamechangers-or-just-another-gadget/?utm_source=chatgpt.com" TargetMode="External"/><Relationship Id="rId29" Type="http://schemas.openxmlformats.org/officeDocument/2006/relationships/hyperlink" Target="https://digital.nhs.uk/data-and-information/publications/statistical/national-diabetes-audit?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doi.org/10.3390/ijms21176275" TargetMode="External"/><Relationship Id="rId32" Type="http://schemas.openxmlformats.org/officeDocument/2006/relationships/hyperlink" Target="https://www.nice.org.uk/guidance/ng28"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02/14651858.CD010523.pub2" TargetMode="External"/><Relationship Id="rId23" Type="http://schemas.openxmlformats.org/officeDocument/2006/relationships/hyperlink" Target="https://doi.org/10.1016/j.mpmed.2018.10.007" TargetMode="External"/><Relationship Id="rId28" Type="http://schemas.openxmlformats.org/officeDocument/2006/relationships/hyperlink" Target="https://doi.org/10.1016/S0140-6736(17)33102-1" TargetMode="External"/><Relationship Id="rId36" Type="http://schemas.openxmlformats.org/officeDocument/2006/relationships/hyperlink" Target="https://apps.who.int/iris/handle/10665/42500" TargetMode="External"/><Relationship Id="rId10" Type="http://schemas.openxmlformats.org/officeDocument/2006/relationships/image" Target="media/image3.jpeg"/><Relationship Id="rId19" Type="http://schemas.openxmlformats.org/officeDocument/2006/relationships/hyperlink" Target="https://www.diabetes.org.uk/guide-to-diabetes/emotions" TargetMode="External"/><Relationship Id="rId31" Type="http://schemas.openxmlformats.org/officeDocument/2006/relationships/hyperlink" Target="https://www.england.nhs.uk/diabetes/digital"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doi.org/10.2337/dc16-1728" TargetMode="External"/><Relationship Id="rId22" Type="http://schemas.openxmlformats.org/officeDocument/2006/relationships/hyperlink" Target="https://doi.org/10.1186/s12933-018-0723-6" TargetMode="External"/><Relationship Id="rId27" Type="http://schemas.openxmlformats.org/officeDocument/2006/relationships/hyperlink" Target="https://diabetesatlas.org" TargetMode="External"/><Relationship Id="rId30" Type="http://schemas.openxmlformats.org/officeDocument/2006/relationships/hyperlink" Target="https://www.longtermplan.nhs.uk/" TargetMode="External"/><Relationship Id="rId35" Type="http://schemas.openxmlformats.org/officeDocument/2006/relationships/hyperlink" Target="https://timesofindia.indiatimes.com/life-style/health-fitness/health-news/8-ways-walking-outdoors-can-change-our-lifestyle/photostory/112219855.cms?utm_source=chatgpt.com"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20948e47cf660ccd0651f1bc4d47f0c2">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c23c49f1a3cb8179eadfc0fb8044564"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3.xml><?xml version="1.0" encoding="utf-8"?>
<ds:datastoreItem xmlns:ds="http://schemas.openxmlformats.org/officeDocument/2006/customXml" ds:itemID="{6F77E104-1B7F-4B6B-8363-222586BDBE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4330</Words>
  <Characters>28105</Characters>
  <Application>Microsoft Office Word</Application>
  <DocSecurity>0</DocSecurity>
  <Lines>597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Ohikuare Irogho (2128365)</cp:lastModifiedBy>
  <cp:revision>2</cp:revision>
  <dcterms:created xsi:type="dcterms:W3CDTF">2025-11-09T17:22:00Z</dcterms:created>
  <dcterms:modified xsi:type="dcterms:W3CDTF">2025-11-09T17:22:00Z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y fmtid="{D5CDD505-2E9C-101B-9397-08002B2CF9AE}" pid="3" name="GrammarlyDocumentId">
    <vt:lpwstr>1b09b81b-9af7-43d5-a6a2-26a288aa6dd2</vt:lpwstr>
  </property>
</Properties>
</file>