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35B68" w14:textId="1676A73C" w:rsidR="003B250D" w:rsidRDefault="003B250D">
      <w:pPr>
        <w:rPr>
          <w:sz w:val="32"/>
          <w:szCs w:val="36"/>
          <w:lang w:val="en-US"/>
        </w:rPr>
      </w:pPr>
    </w:p>
    <w:p w14:paraId="3B37F1B5" w14:textId="77777777" w:rsidR="003B250D" w:rsidRPr="000011DB" w:rsidRDefault="003B250D" w:rsidP="003B250D">
      <w:pPr>
        <w:spacing w:line="360" w:lineRule="auto"/>
        <w:rPr>
          <w:sz w:val="32"/>
          <w:szCs w:val="36"/>
          <w:lang w:val="en-US"/>
        </w:rPr>
      </w:pPr>
      <w:r w:rsidRPr="00A406E5">
        <w:rPr>
          <w:rFonts w:ascii="Arial" w:hAnsi="Arial" w:cs="Arial"/>
          <w:noProof/>
        </w:rPr>
        <w:drawing>
          <wp:anchor distT="0" distB="0" distL="114300" distR="114300" simplePos="0" relativeHeight="251659264" behindDoc="0" locked="0" layoutInCell="1" allowOverlap="1" wp14:anchorId="05FD8606" wp14:editId="6A0B3944">
            <wp:simplePos x="0" y="0"/>
            <wp:positionH relativeFrom="column">
              <wp:posOffset>0</wp:posOffset>
            </wp:positionH>
            <wp:positionV relativeFrom="paragraph">
              <wp:posOffset>382270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anchor>
        </w:drawing>
      </w:r>
    </w:p>
    <w:p w14:paraId="6C407C5D" w14:textId="77777777" w:rsidR="003B250D" w:rsidRDefault="003B250D" w:rsidP="003B250D">
      <w:pPr>
        <w:spacing w:line="360" w:lineRule="auto"/>
        <w:rPr>
          <w:sz w:val="32"/>
          <w:szCs w:val="36"/>
          <w:lang w:val="en-US"/>
        </w:rPr>
      </w:pPr>
    </w:p>
    <w:p w14:paraId="00EFE896" w14:textId="77777777" w:rsidR="003B250D" w:rsidRDefault="003B250D" w:rsidP="003B250D">
      <w:pPr>
        <w:spacing w:line="360" w:lineRule="auto"/>
        <w:rPr>
          <w:sz w:val="32"/>
          <w:szCs w:val="36"/>
          <w:lang w:val="en-US"/>
        </w:rPr>
      </w:pPr>
    </w:p>
    <w:p w14:paraId="0EBA6C15" w14:textId="77777777" w:rsidR="003B250D" w:rsidRDefault="003B250D" w:rsidP="003B250D">
      <w:pPr>
        <w:spacing w:line="360" w:lineRule="auto"/>
        <w:rPr>
          <w:sz w:val="32"/>
          <w:szCs w:val="36"/>
          <w:lang w:val="en-US"/>
        </w:rPr>
      </w:pPr>
    </w:p>
    <w:tbl>
      <w:tblPr>
        <w:tblStyle w:val="TableGrid"/>
        <w:tblW w:w="9922" w:type="dxa"/>
        <w:tblLayout w:type="fixed"/>
        <w:tblLook w:val="0000" w:firstRow="0" w:lastRow="0" w:firstColumn="0" w:lastColumn="0" w:noHBand="0" w:noVBand="0"/>
      </w:tblPr>
      <w:tblGrid>
        <w:gridCol w:w="2093"/>
        <w:gridCol w:w="3293"/>
        <w:gridCol w:w="2268"/>
        <w:gridCol w:w="2268"/>
      </w:tblGrid>
      <w:tr w:rsidR="008F3965" w:rsidRPr="00756F4C" w14:paraId="7AB4E32F" w14:textId="77777777" w:rsidTr="008F3965">
        <w:tc>
          <w:tcPr>
            <w:tcW w:w="2093" w:type="dxa"/>
          </w:tcPr>
          <w:p w14:paraId="20D10DD7" w14:textId="26D1D6C5" w:rsidR="008F3965" w:rsidRPr="00756F4C" w:rsidRDefault="008F3965" w:rsidP="008F3965">
            <w:pPr>
              <w:spacing w:before="120" w:after="120" w:line="360" w:lineRule="auto"/>
              <w:rPr>
                <w:rFonts w:cs="Times New Roman"/>
                <w:b/>
                <w:szCs w:val="24"/>
              </w:rPr>
            </w:pPr>
            <w:r>
              <w:rPr>
                <w:rFonts w:cs="Times New Roman"/>
                <w:b/>
                <w:szCs w:val="24"/>
              </w:rPr>
              <w:t>Student name:</w:t>
            </w:r>
          </w:p>
        </w:tc>
        <w:tc>
          <w:tcPr>
            <w:tcW w:w="3293" w:type="dxa"/>
          </w:tcPr>
          <w:p w14:paraId="0F0CB688" w14:textId="07D44D4F" w:rsidR="008F3965" w:rsidRPr="00756F4C" w:rsidRDefault="00867B27" w:rsidP="008F3965">
            <w:pPr>
              <w:spacing w:before="120" w:after="120" w:line="360" w:lineRule="auto"/>
              <w:rPr>
                <w:rFonts w:cs="Times New Roman"/>
                <w:b/>
                <w:szCs w:val="24"/>
              </w:rPr>
            </w:pPr>
            <w:r w:rsidRPr="00867B27">
              <w:rPr>
                <w:rFonts w:cs="Times New Roman"/>
                <w:b/>
                <w:szCs w:val="24"/>
              </w:rPr>
              <w:t>MD Didarul Islam Anik</w:t>
            </w:r>
          </w:p>
        </w:tc>
        <w:tc>
          <w:tcPr>
            <w:tcW w:w="2268" w:type="dxa"/>
          </w:tcPr>
          <w:p w14:paraId="75C32AD3" w14:textId="3F9FFE56" w:rsidR="008F3965" w:rsidRPr="00756F4C" w:rsidRDefault="008F3965" w:rsidP="008F3965">
            <w:pPr>
              <w:spacing w:before="120" w:after="120" w:line="360" w:lineRule="auto"/>
              <w:rPr>
                <w:rFonts w:cs="Times New Roman"/>
                <w:b/>
                <w:szCs w:val="24"/>
              </w:rPr>
            </w:pPr>
            <w:r>
              <w:rPr>
                <w:rFonts w:cs="Times New Roman"/>
                <w:b/>
                <w:szCs w:val="24"/>
              </w:rPr>
              <w:t>Student ID number:</w:t>
            </w:r>
          </w:p>
        </w:tc>
        <w:tc>
          <w:tcPr>
            <w:tcW w:w="2268" w:type="dxa"/>
          </w:tcPr>
          <w:p w14:paraId="5B4ED7AD" w14:textId="7B1988BF" w:rsidR="008F3965" w:rsidRPr="00756F4C" w:rsidRDefault="00867B27" w:rsidP="008F3965">
            <w:pPr>
              <w:spacing w:before="120" w:after="120" w:line="360" w:lineRule="auto"/>
              <w:rPr>
                <w:rFonts w:cs="Times New Roman"/>
                <w:b/>
                <w:szCs w:val="24"/>
              </w:rPr>
            </w:pPr>
            <w:r w:rsidRPr="00867B27">
              <w:rPr>
                <w:rFonts w:cs="Times New Roman"/>
                <w:b/>
                <w:szCs w:val="24"/>
              </w:rPr>
              <w:t>2505168</w:t>
            </w:r>
          </w:p>
        </w:tc>
      </w:tr>
      <w:tr w:rsidR="003B250D" w:rsidRPr="00756F4C" w14:paraId="121327D6" w14:textId="77777777" w:rsidTr="008F3965">
        <w:tc>
          <w:tcPr>
            <w:tcW w:w="2093" w:type="dxa"/>
          </w:tcPr>
          <w:p w14:paraId="087C6C07" w14:textId="77777777" w:rsidR="003B250D" w:rsidRPr="00756F4C" w:rsidRDefault="003B250D" w:rsidP="00766FC8">
            <w:pPr>
              <w:spacing w:before="120" w:after="120" w:line="360" w:lineRule="auto"/>
              <w:rPr>
                <w:rFonts w:cs="Times New Roman"/>
                <w:b/>
                <w:szCs w:val="24"/>
              </w:rPr>
            </w:pPr>
            <w:r w:rsidRPr="00756F4C">
              <w:rPr>
                <w:rFonts w:cs="Times New Roman"/>
                <w:b/>
                <w:szCs w:val="24"/>
              </w:rPr>
              <w:t>Programme:</w:t>
            </w:r>
          </w:p>
        </w:tc>
        <w:tc>
          <w:tcPr>
            <w:tcW w:w="7829" w:type="dxa"/>
            <w:gridSpan w:val="3"/>
          </w:tcPr>
          <w:p w14:paraId="2848F607" w14:textId="77777777" w:rsidR="003B250D" w:rsidRPr="00756F4C" w:rsidRDefault="003B250D" w:rsidP="00766FC8">
            <w:pPr>
              <w:spacing w:before="120" w:after="120" w:line="360" w:lineRule="auto"/>
              <w:rPr>
                <w:rFonts w:cs="Times New Roman"/>
                <w:b/>
                <w:szCs w:val="24"/>
              </w:rPr>
            </w:pPr>
            <w:r w:rsidRPr="00756F4C">
              <w:rPr>
                <w:rFonts w:cs="Times New Roman"/>
                <w:szCs w:val="24"/>
              </w:rPr>
              <w:t>MBA</w:t>
            </w:r>
          </w:p>
        </w:tc>
      </w:tr>
      <w:tr w:rsidR="003B250D" w:rsidRPr="00756F4C" w14:paraId="4A2CC443" w14:textId="77777777" w:rsidTr="008F3965">
        <w:tc>
          <w:tcPr>
            <w:tcW w:w="2093" w:type="dxa"/>
          </w:tcPr>
          <w:p w14:paraId="03EC068D" w14:textId="77777777" w:rsidR="003B250D" w:rsidRPr="00756F4C" w:rsidRDefault="003B250D" w:rsidP="00766FC8">
            <w:pPr>
              <w:spacing w:before="120" w:after="120" w:line="360" w:lineRule="auto"/>
              <w:rPr>
                <w:rFonts w:cs="Times New Roman"/>
                <w:b/>
                <w:szCs w:val="24"/>
              </w:rPr>
            </w:pPr>
            <w:r w:rsidRPr="00756F4C">
              <w:rPr>
                <w:rFonts w:cs="Times New Roman"/>
                <w:b/>
                <w:szCs w:val="24"/>
              </w:rPr>
              <w:t>Module:</w:t>
            </w:r>
          </w:p>
        </w:tc>
        <w:tc>
          <w:tcPr>
            <w:tcW w:w="7829" w:type="dxa"/>
            <w:gridSpan w:val="3"/>
          </w:tcPr>
          <w:p w14:paraId="10C3FF7B" w14:textId="77777777" w:rsidR="003B250D" w:rsidRPr="00756F4C" w:rsidRDefault="003B250D" w:rsidP="00766FC8">
            <w:pPr>
              <w:spacing w:before="120" w:after="120" w:line="360" w:lineRule="auto"/>
              <w:rPr>
                <w:rFonts w:cs="Times New Roman"/>
                <w:b/>
                <w:szCs w:val="24"/>
              </w:rPr>
            </w:pPr>
            <w:r w:rsidRPr="00756F4C">
              <w:rPr>
                <w:rFonts w:cs="Times New Roman"/>
                <w:szCs w:val="24"/>
              </w:rPr>
              <w:t>Finance for Business Managers</w:t>
            </w:r>
          </w:p>
        </w:tc>
      </w:tr>
      <w:tr w:rsidR="003B250D" w:rsidRPr="00756F4C" w14:paraId="6FAB7515" w14:textId="77777777" w:rsidTr="008F3965">
        <w:tc>
          <w:tcPr>
            <w:tcW w:w="2093" w:type="dxa"/>
          </w:tcPr>
          <w:p w14:paraId="3272091F" w14:textId="77777777" w:rsidR="003B250D" w:rsidRPr="00756F4C" w:rsidRDefault="003B250D" w:rsidP="00766FC8">
            <w:pPr>
              <w:spacing w:before="120" w:after="120" w:line="360" w:lineRule="auto"/>
              <w:rPr>
                <w:rFonts w:cs="Times New Roman"/>
                <w:b/>
                <w:szCs w:val="24"/>
              </w:rPr>
            </w:pPr>
            <w:r w:rsidRPr="00756F4C">
              <w:rPr>
                <w:rFonts w:cs="Times New Roman"/>
                <w:b/>
                <w:szCs w:val="24"/>
              </w:rPr>
              <w:t>Module code:</w:t>
            </w:r>
          </w:p>
        </w:tc>
        <w:tc>
          <w:tcPr>
            <w:tcW w:w="3293" w:type="dxa"/>
          </w:tcPr>
          <w:p w14:paraId="5BD4A860" w14:textId="77777777" w:rsidR="003B250D" w:rsidRPr="00756F4C" w:rsidRDefault="003B250D" w:rsidP="00766FC8">
            <w:pPr>
              <w:spacing w:before="120" w:after="120" w:line="360" w:lineRule="auto"/>
              <w:rPr>
                <w:rFonts w:cs="Times New Roman"/>
                <w:b/>
                <w:szCs w:val="24"/>
              </w:rPr>
            </w:pPr>
            <w:r w:rsidRPr="00756F4C">
              <w:rPr>
                <w:rFonts w:cs="Times New Roman"/>
                <w:bCs/>
                <w:szCs w:val="24"/>
              </w:rPr>
              <w:t>BMMB7005D</w:t>
            </w:r>
          </w:p>
        </w:tc>
        <w:tc>
          <w:tcPr>
            <w:tcW w:w="2268" w:type="dxa"/>
          </w:tcPr>
          <w:p w14:paraId="084C5AF9" w14:textId="77777777" w:rsidR="003B250D" w:rsidRPr="00756F4C" w:rsidRDefault="003B250D" w:rsidP="00766FC8">
            <w:pPr>
              <w:pStyle w:val="Heading2"/>
              <w:spacing w:line="360" w:lineRule="auto"/>
              <w:outlineLvl w:val="1"/>
              <w:rPr>
                <w:rFonts w:cs="Times New Roman"/>
                <w:color w:val="auto"/>
                <w:sz w:val="24"/>
                <w:szCs w:val="24"/>
              </w:rPr>
            </w:pPr>
            <w:bookmarkStart w:id="0" w:name="_Toc224345104"/>
            <w:r w:rsidRPr="00756F4C">
              <w:rPr>
                <w:rFonts w:cs="Times New Roman"/>
                <w:color w:val="auto"/>
                <w:sz w:val="24"/>
                <w:szCs w:val="24"/>
              </w:rPr>
              <w:t>Contribution to Overall Module Assessment (%):</w:t>
            </w:r>
            <w:bookmarkEnd w:id="0"/>
          </w:p>
        </w:tc>
        <w:tc>
          <w:tcPr>
            <w:tcW w:w="2268" w:type="dxa"/>
          </w:tcPr>
          <w:p w14:paraId="744AABBD" w14:textId="77777777" w:rsidR="003B250D" w:rsidRPr="00756F4C" w:rsidRDefault="003B250D" w:rsidP="00766FC8">
            <w:pPr>
              <w:spacing w:before="120" w:after="120" w:line="360" w:lineRule="auto"/>
              <w:rPr>
                <w:rFonts w:cs="Times New Roman"/>
                <w:b/>
                <w:szCs w:val="24"/>
              </w:rPr>
            </w:pPr>
            <w:r w:rsidRPr="00756F4C">
              <w:rPr>
                <w:rFonts w:cs="Times New Roman"/>
                <w:szCs w:val="24"/>
              </w:rPr>
              <w:t>100%</w:t>
            </w:r>
          </w:p>
        </w:tc>
      </w:tr>
      <w:tr w:rsidR="003B250D" w:rsidRPr="00756F4C" w14:paraId="61A3E685" w14:textId="77777777" w:rsidTr="008F3965">
        <w:tc>
          <w:tcPr>
            <w:tcW w:w="2093" w:type="dxa"/>
          </w:tcPr>
          <w:p w14:paraId="1FB7978C" w14:textId="77777777" w:rsidR="003B250D" w:rsidRPr="00756F4C" w:rsidRDefault="003B250D" w:rsidP="00766FC8">
            <w:pPr>
              <w:spacing w:before="120" w:after="120" w:line="360" w:lineRule="auto"/>
              <w:rPr>
                <w:rFonts w:cs="Times New Roman"/>
                <w:b/>
                <w:szCs w:val="24"/>
              </w:rPr>
            </w:pPr>
            <w:r w:rsidRPr="00756F4C">
              <w:rPr>
                <w:rFonts w:cs="Times New Roman"/>
                <w:b/>
                <w:szCs w:val="24"/>
              </w:rPr>
              <w:t>Lecturer:</w:t>
            </w:r>
          </w:p>
        </w:tc>
        <w:tc>
          <w:tcPr>
            <w:tcW w:w="3293" w:type="dxa"/>
          </w:tcPr>
          <w:p w14:paraId="613DA582" w14:textId="77777777" w:rsidR="003B250D" w:rsidRPr="00756F4C" w:rsidRDefault="003B250D" w:rsidP="00766FC8">
            <w:pPr>
              <w:spacing w:before="120" w:after="120" w:line="360" w:lineRule="auto"/>
              <w:rPr>
                <w:rFonts w:cs="Times New Roman"/>
                <w:b/>
                <w:szCs w:val="24"/>
              </w:rPr>
            </w:pPr>
            <w:r w:rsidRPr="00756F4C">
              <w:rPr>
                <w:rFonts w:cs="Times New Roman"/>
                <w:szCs w:val="24"/>
              </w:rPr>
              <w:t>Marie Pitson</w:t>
            </w:r>
          </w:p>
        </w:tc>
        <w:tc>
          <w:tcPr>
            <w:tcW w:w="2268" w:type="dxa"/>
          </w:tcPr>
          <w:p w14:paraId="1503494A" w14:textId="77777777" w:rsidR="003B250D" w:rsidRPr="00756F4C" w:rsidRDefault="003B250D" w:rsidP="00766FC8">
            <w:pPr>
              <w:spacing w:before="120" w:after="120" w:line="360" w:lineRule="auto"/>
              <w:rPr>
                <w:rFonts w:cs="Times New Roman"/>
                <w:b/>
                <w:szCs w:val="24"/>
              </w:rPr>
            </w:pPr>
            <w:r w:rsidRPr="00756F4C">
              <w:rPr>
                <w:rFonts w:cs="Times New Roman"/>
                <w:b/>
                <w:szCs w:val="24"/>
              </w:rPr>
              <w:t>Internal Verifier:</w:t>
            </w:r>
          </w:p>
        </w:tc>
        <w:tc>
          <w:tcPr>
            <w:tcW w:w="2268" w:type="dxa"/>
          </w:tcPr>
          <w:p w14:paraId="3A1F664A" w14:textId="77777777" w:rsidR="003B250D" w:rsidRPr="00756F4C" w:rsidRDefault="003B250D" w:rsidP="00766FC8">
            <w:pPr>
              <w:spacing w:before="120" w:after="120" w:line="360" w:lineRule="auto"/>
              <w:rPr>
                <w:rFonts w:cs="Times New Roman"/>
                <w:b/>
                <w:szCs w:val="24"/>
              </w:rPr>
            </w:pPr>
            <w:r w:rsidRPr="00756F4C">
              <w:rPr>
                <w:rFonts w:cs="Times New Roman"/>
                <w:szCs w:val="24"/>
              </w:rPr>
              <w:t>Badir Miftah</w:t>
            </w:r>
          </w:p>
        </w:tc>
      </w:tr>
      <w:tr w:rsidR="003B250D" w:rsidRPr="00756F4C" w14:paraId="72F6377E" w14:textId="77777777" w:rsidTr="008F3965">
        <w:tc>
          <w:tcPr>
            <w:tcW w:w="2093" w:type="dxa"/>
          </w:tcPr>
          <w:p w14:paraId="67CF5AA6" w14:textId="77777777" w:rsidR="003B250D" w:rsidRPr="00756F4C" w:rsidRDefault="003B250D" w:rsidP="00766FC8">
            <w:pPr>
              <w:spacing w:before="120" w:after="120" w:line="360" w:lineRule="auto"/>
              <w:rPr>
                <w:rFonts w:cs="Times New Roman"/>
                <w:b/>
                <w:szCs w:val="24"/>
              </w:rPr>
            </w:pPr>
            <w:r w:rsidRPr="00756F4C">
              <w:rPr>
                <w:rFonts w:cs="Times New Roman"/>
                <w:b/>
                <w:szCs w:val="24"/>
              </w:rPr>
              <w:t>Assignment Title:</w:t>
            </w:r>
          </w:p>
        </w:tc>
        <w:tc>
          <w:tcPr>
            <w:tcW w:w="3293" w:type="dxa"/>
          </w:tcPr>
          <w:p w14:paraId="18D58672" w14:textId="1C95FE4A" w:rsidR="003B250D" w:rsidRPr="00756F4C" w:rsidRDefault="003B250D" w:rsidP="00766FC8">
            <w:pPr>
              <w:spacing w:before="120" w:after="120" w:line="360" w:lineRule="auto"/>
              <w:rPr>
                <w:rFonts w:cs="Times New Roman"/>
                <w:szCs w:val="24"/>
              </w:rPr>
            </w:pPr>
            <w:r>
              <w:rPr>
                <w:rFonts w:cs="Times New Roman"/>
                <w:szCs w:val="24"/>
              </w:rPr>
              <w:t xml:space="preserve">Finance Report for </w:t>
            </w:r>
            <w:r w:rsidR="00A40B29">
              <w:rPr>
                <w:lang w:val="en-US"/>
              </w:rPr>
              <w:t xml:space="preserve">Rolls-Royce Holdings </w:t>
            </w:r>
            <w:r>
              <w:rPr>
                <w:rFonts w:cs="Times New Roman"/>
                <w:szCs w:val="24"/>
              </w:rPr>
              <w:t xml:space="preserve">Plc &amp; </w:t>
            </w:r>
            <w:r w:rsidRPr="00756F4C">
              <w:rPr>
                <w:rFonts w:cs="Times New Roman"/>
                <w:szCs w:val="24"/>
              </w:rPr>
              <w:t>Westward Plc</w:t>
            </w:r>
          </w:p>
        </w:tc>
        <w:tc>
          <w:tcPr>
            <w:tcW w:w="2268" w:type="dxa"/>
          </w:tcPr>
          <w:p w14:paraId="52938BB8" w14:textId="77777777" w:rsidR="003B250D" w:rsidRPr="00756F4C" w:rsidRDefault="003B250D" w:rsidP="00766FC8">
            <w:pPr>
              <w:spacing w:before="120" w:after="120" w:line="360" w:lineRule="auto"/>
              <w:rPr>
                <w:rFonts w:cs="Times New Roman"/>
                <w:b/>
                <w:szCs w:val="24"/>
              </w:rPr>
            </w:pPr>
            <w:r w:rsidRPr="00756F4C">
              <w:rPr>
                <w:rFonts w:cs="Times New Roman"/>
                <w:b/>
                <w:szCs w:val="24"/>
              </w:rPr>
              <w:t>Word count (or equivalent):</w:t>
            </w:r>
          </w:p>
        </w:tc>
        <w:tc>
          <w:tcPr>
            <w:tcW w:w="2268" w:type="dxa"/>
          </w:tcPr>
          <w:p w14:paraId="0163F68D" w14:textId="77777777" w:rsidR="003B250D" w:rsidRPr="00756F4C" w:rsidRDefault="003B250D" w:rsidP="00766FC8">
            <w:pPr>
              <w:spacing w:before="120" w:after="120" w:line="360" w:lineRule="auto"/>
              <w:rPr>
                <w:rFonts w:cs="Times New Roman"/>
                <w:b/>
                <w:szCs w:val="24"/>
              </w:rPr>
            </w:pPr>
            <w:r w:rsidRPr="00756F4C">
              <w:rPr>
                <w:rFonts w:cs="Times New Roman"/>
                <w:szCs w:val="24"/>
              </w:rPr>
              <w:t>5000 words</w:t>
            </w:r>
          </w:p>
        </w:tc>
      </w:tr>
      <w:tr w:rsidR="003B250D" w:rsidRPr="00756F4C" w14:paraId="16A75209" w14:textId="77777777" w:rsidTr="008F3965">
        <w:tc>
          <w:tcPr>
            <w:tcW w:w="2093" w:type="dxa"/>
          </w:tcPr>
          <w:p w14:paraId="6ABBC66C" w14:textId="77777777" w:rsidR="003B250D" w:rsidRPr="00756F4C" w:rsidRDefault="003B250D" w:rsidP="00766FC8">
            <w:pPr>
              <w:spacing w:before="120" w:after="120" w:line="360" w:lineRule="auto"/>
              <w:rPr>
                <w:rFonts w:cs="Times New Roman"/>
                <w:b/>
                <w:szCs w:val="24"/>
              </w:rPr>
            </w:pPr>
            <w:r w:rsidRPr="00756F4C">
              <w:rPr>
                <w:rFonts w:cs="Times New Roman"/>
                <w:b/>
                <w:szCs w:val="24"/>
              </w:rPr>
              <w:t>Submission deadline:</w:t>
            </w:r>
          </w:p>
        </w:tc>
        <w:tc>
          <w:tcPr>
            <w:tcW w:w="3293" w:type="dxa"/>
          </w:tcPr>
          <w:p w14:paraId="40B806F5" w14:textId="361F9780" w:rsidR="003B250D" w:rsidRPr="00756F4C" w:rsidRDefault="000C7757" w:rsidP="00766FC8">
            <w:pPr>
              <w:spacing w:before="120" w:after="120" w:line="360" w:lineRule="auto"/>
              <w:rPr>
                <w:rFonts w:cs="Times New Roman"/>
                <w:szCs w:val="24"/>
              </w:rPr>
            </w:pPr>
            <w:r>
              <w:rPr>
                <w:rFonts w:cs="Times New Roman"/>
                <w:szCs w:val="24"/>
              </w:rPr>
              <w:t>20 March, 2026</w:t>
            </w:r>
          </w:p>
        </w:tc>
        <w:tc>
          <w:tcPr>
            <w:tcW w:w="2268" w:type="dxa"/>
          </w:tcPr>
          <w:p w14:paraId="6EEFCA28" w14:textId="77777777" w:rsidR="003B250D" w:rsidRPr="00756F4C" w:rsidRDefault="003B250D" w:rsidP="00766FC8">
            <w:pPr>
              <w:spacing w:before="120" w:after="120" w:line="360" w:lineRule="auto"/>
              <w:rPr>
                <w:rFonts w:cs="Times New Roman"/>
                <w:b/>
                <w:szCs w:val="24"/>
              </w:rPr>
            </w:pPr>
          </w:p>
        </w:tc>
        <w:tc>
          <w:tcPr>
            <w:tcW w:w="2268" w:type="dxa"/>
          </w:tcPr>
          <w:p w14:paraId="002B429E" w14:textId="77777777" w:rsidR="003B250D" w:rsidRPr="00756F4C" w:rsidRDefault="003B250D" w:rsidP="00766FC8">
            <w:pPr>
              <w:spacing w:before="120" w:after="120" w:line="360" w:lineRule="auto"/>
              <w:rPr>
                <w:rFonts w:cs="Times New Roman"/>
                <w:szCs w:val="24"/>
              </w:rPr>
            </w:pPr>
          </w:p>
        </w:tc>
      </w:tr>
    </w:tbl>
    <w:p w14:paraId="2C02E44F" w14:textId="77777777" w:rsidR="003B250D" w:rsidRDefault="003B250D" w:rsidP="003B250D">
      <w:pPr>
        <w:spacing w:line="360" w:lineRule="auto"/>
        <w:rPr>
          <w:sz w:val="32"/>
          <w:szCs w:val="36"/>
          <w:lang w:val="en-US"/>
        </w:rPr>
      </w:pPr>
    </w:p>
    <w:p w14:paraId="60FA656A" w14:textId="01116B54" w:rsidR="003B250D" w:rsidRDefault="003B250D">
      <w:pPr>
        <w:rPr>
          <w:sz w:val="32"/>
          <w:szCs w:val="36"/>
          <w:lang w:val="en-US"/>
        </w:rPr>
      </w:pPr>
    </w:p>
    <w:p w14:paraId="144F2480" w14:textId="77777777" w:rsidR="003B250D" w:rsidRDefault="003B250D">
      <w:pPr>
        <w:rPr>
          <w:sz w:val="32"/>
          <w:szCs w:val="36"/>
          <w:lang w:val="en-US"/>
        </w:rPr>
      </w:pPr>
    </w:p>
    <w:p w14:paraId="486F5092" w14:textId="77777777" w:rsidR="009C643C" w:rsidRDefault="009C643C">
      <w:pPr>
        <w:spacing w:after="160"/>
        <w:jc w:val="left"/>
        <w:rPr>
          <w:sz w:val="32"/>
          <w:szCs w:val="36"/>
          <w:lang w:val="en-US"/>
        </w:rPr>
      </w:pPr>
      <w:r>
        <w:rPr>
          <w:sz w:val="32"/>
          <w:szCs w:val="36"/>
          <w:lang w:val="en-US"/>
        </w:rPr>
        <w:br w:type="page"/>
      </w:r>
    </w:p>
    <w:p w14:paraId="7B18C372" w14:textId="77777777" w:rsidR="00BF541D" w:rsidRDefault="00BF541D" w:rsidP="00BF541D">
      <w:pPr>
        <w:pStyle w:val="Heading1"/>
        <w:spacing w:line="360" w:lineRule="auto"/>
        <w:rPr>
          <w:lang w:val="en-US"/>
        </w:rPr>
      </w:pPr>
      <w:bookmarkStart w:id="1" w:name="_Toc224345105"/>
      <w:r>
        <w:rPr>
          <w:lang w:val="en-US"/>
        </w:rPr>
        <w:lastRenderedPageBreak/>
        <w:t>Executive Summary</w:t>
      </w:r>
      <w:bookmarkEnd w:id="1"/>
    </w:p>
    <w:p w14:paraId="07F24930" w14:textId="77777777" w:rsidR="00A5053A" w:rsidRDefault="001C0EF4" w:rsidP="00BF541D">
      <w:pPr>
        <w:spacing w:after="160" w:line="360" w:lineRule="auto"/>
        <w:rPr>
          <w:lang w:val="en-US"/>
        </w:rPr>
      </w:pPr>
      <w:r>
        <w:rPr>
          <w:lang w:val="en-US"/>
        </w:rPr>
        <w:t xml:space="preserve">The report assesses the financial performance of Rolls-Royce Holdings PLC of recent time, ranging from 2023 to 2024. </w:t>
      </w:r>
      <w:r w:rsidR="00281126">
        <w:rPr>
          <w:lang w:val="en-US"/>
        </w:rPr>
        <w:t xml:space="preserve">For this particular financial performance analysis, ratio analysis </w:t>
      </w:r>
      <w:r w:rsidR="001C1626">
        <w:rPr>
          <w:lang w:val="en-US"/>
        </w:rPr>
        <w:t xml:space="preserve">has been undertaken in various aspects including profitability, liquidity, investor and others. </w:t>
      </w:r>
      <w:r w:rsidR="006D56EF">
        <w:rPr>
          <w:lang w:val="en-US"/>
        </w:rPr>
        <w:t xml:space="preserve">At the same time, the three mutually exclusive projects for Westward PLC have been evaluated using Net Present Value, Internal Rate of Return and Payback Period in order to decide on the most feasible one for the company. </w:t>
      </w:r>
      <w:r w:rsidR="00362D2D">
        <w:rPr>
          <w:lang w:val="en-US"/>
        </w:rPr>
        <w:t>Overall, this report highlights how Rolls-Royce has transitioned with its new upgrade program to improve upon its financial position.</w:t>
      </w:r>
    </w:p>
    <w:p w14:paraId="050BF421" w14:textId="7B2908DC" w:rsidR="00BF541D" w:rsidRPr="00BF541D" w:rsidRDefault="00A5053A" w:rsidP="00BF541D">
      <w:pPr>
        <w:spacing w:after="160" w:line="360" w:lineRule="auto"/>
        <w:rPr>
          <w:rFonts w:eastAsiaTheme="majorEastAsia" w:cstheme="majorBidi"/>
          <w:b/>
          <w:color w:val="2F5496" w:themeColor="accent1" w:themeShade="BF"/>
          <w:sz w:val="32"/>
          <w:szCs w:val="50"/>
          <w:lang w:val="en-US"/>
        </w:rPr>
      </w:pPr>
      <w:r>
        <w:rPr>
          <w:lang w:val="en-US"/>
        </w:rPr>
        <w:t xml:space="preserve">Now, </w:t>
      </w:r>
      <w:r w:rsidR="00031D4E">
        <w:rPr>
          <w:lang w:val="en-US"/>
        </w:rPr>
        <w:t xml:space="preserve">for the second part, </w:t>
      </w:r>
      <w:r w:rsidR="009F5D7B">
        <w:rPr>
          <w:lang w:val="en-US"/>
        </w:rPr>
        <w:t>NPV, IRR and Payback Period have been applied to the three projects where the ultimate decision has been formed using Net present Value with Internal Rate of Return validating the decision.</w:t>
      </w:r>
      <w:r w:rsidR="005C27AE">
        <w:rPr>
          <w:lang w:val="en-US"/>
        </w:rPr>
        <w:t xml:space="preserve"> This report has shown Rolls-Royce Holdings PLC’s profitability as well as its balance-sheet strength improving over the years while deciding upon Option B for Westward PLC as it generated the highest NPV out of the three mutually exclusive projects.</w:t>
      </w:r>
      <w:r w:rsidR="00BF541D">
        <w:rPr>
          <w:lang w:val="en-US"/>
        </w:rPr>
        <w:br w:type="page"/>
      </w:r>
    </w:p>
    <w:sdt>
      <w:sdtPr>
        <w:rPr>
          <w:rFonts w:ascii="Times New Roman" w:eastAsiaTheme="minorHAnsi" w:hAnsi="Times New Roman" w:cstheme="minorBidi"/>
          <w:color w:val="auto"/>
          <w:kern w:val="2"/>
          <w:sz w:val="24"/>
          <w:szCs w:val="30"/>
          <w:lang w:eastAsia="en-US"/>
          <w14:ligatures w14:val="standardContextual"/>
        </w:rPr>
        <w:id w:val="1745690338"/>
        <w:docPartObj>
          <w:docPartGallery w:val="Table of Contents"/>
          <w:docPartUnique/>
        </w:docPartObj>
      </w:sdtPr>
      <w:sdtEndPr>
        <w:rPr>
          <w:b/>
          <w:bCs/>
        </w:rPr>
      </w:sdtEndPr>
      <w:sdtContent>
        <w:p w14:paraId="52EDEF32" w14:textId="4E801414" w:rsidR="002F03F0" w:rsidRPr="002F03F0" w:rsidRDefault="009C643C" w:rsidP="002F03F0">
          <w:pPr>
            <w:pStyle w:val="TOCHeading"/>
          </w:pPr>
          <w:r>
            <w:t>Table of Contents</w:t>
          </w:r>
          <w:r>
            <w:fldChar w:fldCharType="begin"/>
          </w:r>
          <w:r>
            <w:instrText xml:space="preserve"> TOC \o "1-3" \h \z \u </w:instrText>
          </w:r>
          <w:r>
            <w:fldChar w:fldCharType="separate"/>
          </w:r>
        </w:p>
        <w:p w14:paraId="0CFE2CBB" w14:textId="64B136D2" w:rsidR="002F03F0" w:rsidRDefault="009D0B63">
          <w:pPr>
            <w:pStyle w:val="TOC1"/>
            <w:tabs>
              <w:tab w:val="right" w:leader="dot" w:pos="9016"/>
            </w:tabs>
            <w:rPr>
              <w:rFonts w:asciiTheme="minorHAnsi" w:eastAsiaTheme="minorEastAsia" w:hAnsiTheme="minorHAnsi"/>
              <w:noProof/>
              <w:lang w:eastAsia="en-GB"/>
            </w:rPr>
          </w:pPr>
          <w:hyperlink w:anchor="_Toc224345105" w:history="1">
            <w:r w:rsidR="002F03F0" w:rsidRPr="00330BC1">
              <w:rPr>
                <w:rStyle w:val="Hyperlink"/>
                <w:noProof/>
                <w:lang w:val="en-US"/>
              </w:rPr>
              <w:t>Executive Summary</w:t>
            </w:r>
            <w:r w:rsidR="002F03F0">
              <w:rPr>
                <w:noProof/>
                <w:webHidden/>
              </w:rPr>
              <w:tab/>
            </w:r>
            <w:r w:rsidR="002F03F0">
              <w:rPr>
                <w:noProof/>
                <w:webHidden/>
              </w:rPr>
              <w:fldChar w:fldCharType="begin"/>
            </w:r>
            <w:r w:rsidR="002F03F0">
              <w:rPr>
                <w:noProof/>
                <w:webHidden/>
              </w:rPr>
              <w:instrText xml:space="preserve"> PAGEREF _Toc224345105 \h </w:instrText>
            </w:r>
            <w:r w:rsidR="002F03F0">
              <w:rPr>
                <w:noProof/>
                <w:webHidden/>
              </w:rPr>
            </w:r>
            <w:r w:rsidR="002F03F0">
              <w:rPr>
                <w:noProof/>
                <w:webHidden/>
              </w:rPr>
              <w:fldChar w:fldCharType="separate"/>
            </w:r>
            <w:r w:rsidR="002F03F0">
              <w:rPr>
                <w:noProof/>
                <w:webHidden/>
              </w:rPr>
              <w:t>2</w:t>
            </w:r>
            <w:r w:rsidR="002F03F0">
              <w:rPr>
                <w:noProof/>
                <w:webHidden/>
              </w:rPr>
              <w:fldChar w:fldCharType="end"/>
            </w:r>
          </w:hyperlink>
        </w:p>
        <w:p w14:paraId="0E06B410" w14:textId="407DA3F0" w:rsidR="002F03F0" w:rsidRDefault="009D0B63">
          <w:pPr>
            <w:pStyle w:val="TOC1"/>
            <w:tabs>
              <w:tab w:val="right" w:leader="dot" w:pos="9016"/>
            </w:tabs>
            <w:rPr>
              <w:rFonts w:asciiTheme="minorHAnsi" w:eastAsiaTheme="minorEastAsia" w:hAnsiTheme="minorHAnsi"/>
              <w:noProof/>
              <w:lang w:eastAsia="en-GB"/>
            </w:rPr>
          </w:pPr>
          <w:hyperlink w:anchor="_Toc224345106" w:history="1">
            <w:r w:rsidR="002F03F0" w:rsidRPr="00330BC1">
              <w:rPr>
                <w:rStyle w:val="Hyperlink"/>
                <w:noProof/>
                <w:lang w:val="en-US"/>
              </w:rPr>
              <w:t>Introduction</w:t>
            </w:r>
            <w:r w:rsidR="002F03F0">
              <w:rPr>
                <w:noProof/>
                <w:webHidden/>
              </w:rPr>
              <w:tab/>
            </w:r>
            <w:r w:rsidR="002F03F0">
              <w:rPr>
                <w:noProof/>
                <w:webHidden/>
              </w:rPr>
              <w:fldChar w:fldCharType="begin"/>
            </w:r>
            <w:r w:rsidR="002F03F0">
              <w:rPr>
                <w:noProof/>
                <w:webHidden/>
              </w:rPr>
              <w:instrText xml:space="preserve"> PAGEREF _Toc224345106 \h </w:instrText>
            </w:r>
            <w:r w:rsidR="002F03F0">
              <w:rPr>
                <w:noProof/>
                <w:webHidden/>
              </w:rPr>
            </w:r>
            <w:r w:rsidR="002F03F0">
              <w:rPr>
                <w:noProof/>
                <w:webHidden/>
              </w:rPr>
              <w:fldChar w:fldCharType="separate"/>
            </w:r>
            <w:r w:rsidR="002F03F0">
              <w:rPr>
                <w:noProof/>
                <w:webHidden/>
              </w:rPr>
              <w:t>5</w:t>
            </w:r>
            <w:r w:rsidR="002F03F0">
              <w:rPr>
                <w:noProof/>
                <w:webHidden/>
              </w:rPr>
              <w:fldChar w:fldCharType="end"/>
            </w:r>
          </w:hyperlink>
        </w:p>
        <w:p w14:paraId="32369125" w14:textId="3DD12EF0" w:rsidR="002F03F0" w:rsidRDefault="009D0B63">
          <w:pPr>
            <w:pStyle w:val="TOC1"/>
            <w:tabs>
              <w:tab w:val="right" w:leader="dot" w:pos="9016"/>
            </w:tabs>
            <w:rPr>
              <w:rFonts w:asciiTheme="minorHAnsi" w:eastAsiaTheme="minorEastAsia" w:hAnsiTheme="minorHAnsi"/>
              <w:noProof/>
              <w:lang w:eastAsia="en-GB"/>
            </w:rPr>
          </w:pPr>
          <w:hyperlink w:anchor="_Toc224345107" w:history="1">
            <w:r w:rsidR="002F03F0" w:rsidRPr="00330BC1">
              <w:rPr>
                <w:rStyle w:val="Hyperlink"/>
                <w:noProof/>
                <w:lang w:val="en-US"/>
              </w:rPr>
              <w:t>Part One: Financial Ratio Analysis of Rolls-Royce Holdings Plc</w:t>
            </w:r>
            <w:r w:rsidR="002F03F0">
              <w:rPr>
                <w:noProof/>
                <w:webHidden/>
              </w:rPr>
              <w:tab/>
            </w:r>
            <w:r w:rsidR="002F03F0">
              <w:rPr>
                <w:noProof/>
                <w:webHidden/>
              </w:rPr>
              <w:fldChar w:fldCharType="begin"/>
            </w:r>
            <w:r w:rsidR="002F03F0">
              <w:rPr>
                <w:noProof/>
                <w:webHidden/>
              </w:rPr>
              <w:instrText xml:space="preserve"> PAGEREF _Toc224345107 \h </w:instrText>
            </w:r>
            <w:r w:rsidR="002F03F0">
              <w:rPr>
                <w:noProof/>
                <w:webHidden/>
              </w:rPr>
            </w:r>
            <w:r w:rsidR="002F03F0">
              <w:rPr>
                <w:noProof/>
                <w:webHidden/>
              </w:rPr>
              <w:fldChar w:fldCharType="separate"/>
            </w:r>
            <w:r w:rsidR="002F03F0">
              <w:rPr>
                <w:noProof/>
                <w:webHidden/>
              </w:rPr>
              <w:t>6</w:t>
            </w:r>
            <w:r w:rsidR="002F03F0">
              <w:rPr>
                <w:noProof/>
                <w:webHidden/>
              </w:rPr>
              <w:fldChar w:fldCharType="end"/>
            </w:r>
          </w:hyperlink>
        </w:p>
        <w:p w14:paraId="726B0F48" w14:textId="0303403D" w:rsidR="002F03F0" w:rsidRDefault="009D0B63">
          <w:pPr>
            <w:pStyle w:val="TOC2"/>
            <w:tabs>
              <w:tab w:val="right" w:leader="dot" w:pos="9016"/>
            </w:tabs>
            <w:rPr>
              <w:rFonts w:asciiTheme="minorHAnsi" w:eastAsiaTheme="minorEastAsia" w:hAnsiTheme="minorHAnsi"/>
              <w:noProof/>
              <w:lang w:eastAsia="en-GB"/>
            </w:rPr>
          </w:pPr>
          <w:hyperlink w:anchor="_Toc224345108" w:history="1">
            <w:r w:rsidR="002F03F0" w:rsidRPr="00330BC1">
              <w:rPr>
                <w:rStyle w:val="Hyperlink"/>
                <w:noProof/>
                <w:lang w:val="en-US"/>
              </w:rPr>
              <w:t>Overview of Rolls-Royce Holdings PLC</w:t>
            </w:r>
            <w:r w:rsidR="002F03F0">
              <w:rPr>
                <w:noProof/>
                <w:webHidden/>
              </w:rPr>
              <w:tab/>
            </w:r>
            <w:r w:rsidR="002F03F0">
              <w:rPr>
                <w:noProof/>
                <w:webHidden/>
              </w:rPr>
              <w:fldChar w:fldCharType="begin"/>
            </w:r>
            <w:r w:rsidR="002F03F0">
              <w:rPr>
                <w:noProof/>
                <w:webHidden/>
              </w:rPr>
              <w:instrText xml:space="preserve"> PAGEREF _Toc224345108 \h </w:instrText>
            </w:r>
            <w:r w:rsidR="002F03F0">
              <w:rPr>
                <w:noProof/>
                <w:webHidden/>
              </w:rPr>
            </w:r>
            <w:r w:rsidR="002F03F0">
              <w:rPr>
                <w:noProof/>
                <w:webHidden/>
              </w:rPr>
              <w:fldChar w:fldCharType="separate"/>
            </w:r>
            <w:r w:rsidR="002F03F0">
              <w:rPr>
                <w:noProof/>
                <w:webHidden/>
              </w:rPr>
              <w:t>6</w:t>
            </w:r>
            <w:r w:rsidR="002F03F0">
              <w:rPr>
                <w:noProof/>
                <w:webHidden/>
              </w:rPr>
              <w:fldChar w:fldCharType="end"/>
            </w:r>
          </w:hyperlink>
        </w:p>
        <w:p w14:paraId="10362B01" w14:textId="346C92A6" w:rsidR="002F03F0" w:rsidRDefault="009D0B63">
          <w:pPr>
            <w:pStyle w:val="TOC2"/>
            <w:tabs>
              <w:tab w:val="right" w:leader="dot" w:pos="9016"/>
            </w:tabs>
            <w:rPr>
              <w:rFonts w:asciiTheme="minorHAnsi" w:eastAsiaTheme="minorEastAsia" w:hAnsiTheme="minorHAnsi"/>
              <w:noProof/>
              <w:lang w:eastAsia="en-GB"/>
            </w:rPr>
          </w:pPr>
          <w:hyperlink w:anchor="_Toc224345109" w:history="1">
            <w:r w:rsidR="002F03F0" w:rsidRPr="00330BC1">
              <w:rPr>
                <w:rStyle w:val="Hyperlink"/>
                <w:noProof/>
                <w:lang w:val="en-US"/>
              </w:rPr>
              <w:t>Calculation and Analysis of Financial Ratios</w:t>
            </w:r>
            <w:r w:rsidR="002F03F0">
              <w:rPr>
                <w:noProof/>
                <w:webHidden/>
              </w:rPr>
              <w:tab/>
            </w:r>
            <w:r w:rsidR="002F03F0">
              <w:rPr>
                <w:noProof/>
                <w:webHidden/>
              </w:rPr>
              <w:fldChar w:fldCharType="begin"/>
            </w:r>
            <w:r w:rsidR="002F03F0">
              <w:rPr>
                <w:noProof/>
                <w:webHidden/>
              </w:rPr>
              <w:instrText xml:space="preserve"> PAGEREF _Toc224345109 \h </w:instrText>
            </w:r>
            <w:r w:rsidR="002F03F0">
              <w:rPr>
                <w:noProof/>
                <w:webHidden/>
              </w:rPr>
            </w:r>
            <w:r w:rsidR="002F03F0">
              <w:rPr>
                <w:noProof/>
                <w:webHidden/>
              </w:rPr>
              <w:fldChar w:fldCharType="separate"/>
            </w:r>
            <w:r w:rsidR="002F03F0">
              <w:rPr>
                <w:noProof/>
                <w:webHidden/>
              </w:rPr>
              <w:t>6</w:t>
            </w:r>
            <w:r w:rsidR="002F03F0">
              <w:rPr>
                <w:noProof/>
                <w:webHidden/>
              </w:rPr>
              <w:fldChar w:fldCharType="end"/>
            </w:r>
          </w:hyperlink>
        </w:p>
        <w:p w14:paraId="091C83EF" w14:textId="4DF60D6F" w:rsidR="002F03F0" w:rsidRDefault="009D0B63">
          <w:pPr>
            <w:pStyle w:val="TOC3"/>
            <w:tabs>
              <w:tab w:val="right" w:leader="dot" w:pos="9016"/>
            </w:tabs>
            <w:rPr>
              <w:rFonts w:asciiTheme="minorHAnsi" w:eastAsiaTheme="minorEastAsia" w:hAnsiTheme="minorHAnsi"/>
              <w:noProof/>
              <w:lang w:eastAsia="en-GB"/>
            </w:rPr>
          </w:pPr>
          <w:hyperlink w:anchor="_Toc224345110" w:history="1">
            <w:r w:rsidR="002F03F0" w:rsidRPr="00330BC1">
              <w:rPr>
                <w:rStyle w:val="Hyperlink"/>
                <w:rFonts w:cs="Times New Roman"/>
                <w:b/>
                <w:bCs/>
                <w:noProof/>
                <w:lang w:val="en-US"/>
              </w:rPr>
              <w:t>Profitability Ratios</w:t>
            </w:r>
            <w:r w:rsidR="002F03F0">
              <w:rPr>
                <w:noProof/>
                <w:webHidden/>
              </w:rPr>
              <w:tab/>
            </w:r>
            <w:r w:rsidR="002F03F0">
              <w:rPr>
                <w:noProof/>
                <w:webHidden/>
              </w:rPr>
              <w:fldChar w:fldCharType="begin"/>
            </w:r>
            <w:r w:rsidR="002F03F0">
              <w:rPr>
                <w:noProof/>
                <w:webHidden/>
              </w:rPr>
              <w:instrText xml:space="preserve"> PAGEREF _Toc224345110 \h </w:instrText>
            </w:r>
            <w:r w:rsidR="002F03F0">
              <w:rPr>
                <w:noProof/>
                <w:webHidden/>
              </w:rPr>
            </w:r>
            <w:r w:rsidR="002F03F0">
              <w:rPr>
                <w:noProof/>
                <w:webHidden/>
              </w:rPr>
              <w:fldChar w:fldCharType="separate"/>
            </w:r>
            <w:r w:rsidR="002F03F0">
              <w:rPr>
                <w:noProof/>
                <w:webHidden/>
              </w:rPr>
              <w:t>6</w:t>
            </w:r>
            <w:r w:rsidR="002F03F0">
              <w:rPr>
                <w:noProof/>
                <w:webHidden/>
              </w:rPr>
              <w:fldChar w:fldCharType="end"/>
            </w:r>
          </w:hyperlink>
        </w:p>
        <w:p w14:paraId="25FE0EA4" w14:textId="68EE5BEA" w:rsidR="002F03F0" w:rsidRDefault="009D0B63">
          <w:pPr>
            <w:pStyle w:val="TOC3"/>
            <w:tabs>
              <w:tab w:val="right" w:leader="dot" w:pos="9016"/>
            </w:tabs>
            <w:rPr>
              <w:rFonts w:asciiTheme="minorHAnsi" w:eastAsiaTheme="minorEastAsia" w:hAnsiTheme="minorHAnsi"/>
              <w:noProof/>
              <w:lang w:eastAsia="en-GB"/>
            </w:rPr>
          </w:pPr>
          <w:hyperlink w:anchor="_Toc224345111" w:history="1">
            <w:r w:rsidR="002F03F0" w:rsidRPr="00330BC1">
              <w:rPr>
                <w:rStyle w:val="Hyperlink"/>
                <w:rFonts w:cs="Times New Roman"/>
                <w:b/>
                <w:bCs/>
                <w:noProof/>
                <w:lang w:val="en-US"/>
              </w:rPr>
              <w:t>Liquidity Ratios</w:t>
            </w:r>
            <w:r w:rsidR="002F03F0">
              <w:rPr>
                <w:noProof/>
                <w:webHidden/>
              </w:rPr>
              <w:tab/>
            </w:r>
            <w:r w:rsidR="002F03F0">
              <w:rPr>
                <w:noProof/>
                <w:webHidden/>
              </w:rPr>
              <w:fldChar w:fldCharType="begin"/>
            </w:r>
            <w:r w:rsidR="002F03F0">
              <w:rPr>
                <w:noProof/>
                <w:webHidden/>
              </w:rPr>
              <w:instrText xml:space="preserve"> PAGEREF _Toc224345111 \h </w:instrText>
            </w:r>
            <w:r w:rsidR="002F03F0">
              <w:rPr>
                <w:noProof/>
                <w:webHidden/>
              </w:rPr>
            </w:r>
            <w:r w:rsidR="002F03F0">
              <w:rPr>
                <w:noProof/>
                <w:webHidden/>
              </w:rPr>
              <w:fldChar w:fldCharType="separate"/>
            </w:r>
            <w:r w:rsidR="002F03F0">
              <w:rPr>
                <w:noProof/>
                <w:webHidden/>
              </w:rPr>
              <w:t>8</w:t>
            </w:r>
            <w:r w:rsidR="002F03F0">
              <w:rPr>
                <w:noProof/>
                <w:webHidden/>
              </w:rPr>
              <w:fldChar w:fldCharType="end"/>
            </w:r>
          </w:hyperlink>
        </w:p>
        <w:p w14:paraId="1E846081" w14:textId="5DE45A9E" w:rsidR="002F03F0" w:rsidRDefault="009D0B63">
          <w:pPr>
            <w:pStyle w:val="TOC3"/>
            <w:tabs>
              <w:tab w:val="right" w:leader="dot" w:pos="9016"/>
            </w:tabs>
            <w:rPr>
              <w:rFonts w:asciiTheme="minorHAnsi" w:eastAsiaTheme="minorEastAsia" w:hAnsiTheme="minorHAnsi"/>
              <w:noProof/>
              <w:lang w:eastAsia="en-GB"/>
            </w:rPr>
          </w:pPr>
          <w:hyperlink w:anchor="_Toc224345112" w:history="1">
            <w:r w:rsidR="002F03F0" w:rsidRPr="00330BC1">
              <w:rPr>
                <w:rStyle w:val="Hyperlink"/>
                <w:rFonts w:cs="Times New Roman"/>
                <w:b/>
                <w:bCs/>
                <w:noProof/>
                <w:lang w:val="en-US"/>
              </w:rPr>
              <w:t>Gearing Ratios</w:t>
            </w:r>
            <w:r w:rsidR="002F03F0">
              <w:rPr>
                <w:noProof/>
                <w:webHidden/>
              </w:rPr>
              <w:tab/>
            </w:r>
            <w:r w:rsidR="002F03F0">
              <w:rPr>
                <w:noProof/>
                <w:webHidden/>
              </w:rPr>
              <w:fldChar w:fldCharType="begin"/>
            </w:r>
            <w:r w:rsidR="002F03F0">
              <w:rPr>
                <w:noProof/>
                <w:webHidden/>
              </w:rPr>
              <w:instrText xml:space="preserve"> PAGEREF _Toc224345112 \h </w:instrText>
            </w:r>
            <w:r w:rsidR="002F03F0">
              <w:rPr>
                <w:noProof/>
                <w:webHidden/>
              </w:rPr>
            </w:r>
            <w:r w:rsidR="002F03F0">
              <w:rPr>
                <w:noProof/>
                <w:webHidden/>
              </w:rPr>
              <w:fldChar w:fldCharType="separate"/>
            </w:r>
            <w:r w:rsidR="002F03F0">
              <w:rPr>
                <w:noProof/>
                <w:webHidden/>
              </w:rPr>
              <w:t>9</w:t>
            </w:r>
            <w:r w:rsidR="002F03F0">
              <w:rPr>
                <w:noProof/>
                <w:webHidden/>
              </w:rPr>
              <w:fldChar w:fldCharType="end"/>
            </w:r>
          </w:hyperlink>
        </w:p>
        <w:p w14:paraId="5776EDCF" w14:textId="5A55117C" w:rsidR="002F03F0" w:rsidRDefault="009D0B63">
          <w:pPr>
            <w:pStyle w:val="TOC3"/>
            <w:tabs>
              <w:tab w:val="right" w:leader="dot" w:pos="9016"/>
            </w:tabs>
            <w:rPr>
              <w:rFonts w:asciiTheme="minorHAnsi" w:eastAsiaTheme="minorEastAsia" w:hAnsiTheme="minorHAnsi"/>
              <w:noProof/>
              <w:lang w:eastAsia="en-GB"/>
            </w:rPr>
          </w:pPr>
          <w:hyperlink w:anchor="_Toc224345113" w:history="1">
            <w:r w:rsidR="002F03F0" w:rsidRPr="00330BC1">
              <w:rPr>
                <w:rStyle w:val="Hyperlink"/>
                <w:rFonts w:cs="Times New Roman"/>
                <w:b/>
                <w:bCs/>
                <w:noProof/>
                <w:lang w:val="en-US"/>
              </w:rPr>
              <w:t>Efficiency Ratios</w:t>
            </w:r>
            <w:r w:rsidR="002F03F0">
              <w:rPr>
                <w:noProof/>
                <w:webHidden/>
              </w:rPr>
              <w:tab/>
            </w:r>
            <w:r w:rsidR="002F03F0">
              <w:rPr>
                <w:noProof/>
                <w:webHidden/>
              </w:rPr>
              <w:fldChar w:fldCharType="begin"/>
            </w:r>
            <w:r w:rsidR="002F03F0">
              <w:rPr>
                <w:noProof/>
                <w:webHidden/>
              </w:rPr>
              <w:instrText xml:space="preserve"> PAGEREF _Toc224345113 \h </w:instrText>
            </w:r>
            <w:r w:rsidR="002F03F0">
              <w:rPr>
                <w:noProof/>
                <w:webHidden/>
              </w:rPr>
            </w:r>
            <w:r w:rsidR="002F03F0">
              <w:rPr>
                <w:noProof/>
                <w:webHidden/>
              </w:rPr>
              <w:fldChar w:fldCharType="separate"/>
            </w:r>
            <w:r w:rsidR="002F03F0">
              <w:rPr>
                <w:noProof/>
                <w:webHidden/>
              </w:rPr>
              <w:t>10</w:t>
            </w:r>
            <w:r w:rsidR="002F03F0">
              <w:rPr>
                <w:noProof/>
                <w:webHidden/>
              </w:rPr>
              <w:fldChar w:fldCharType="end"/>
            </w:r>
          </w:hyperlink>
        </w:p>
        <w:p w14:paraId="088DF9D7" w14:textId="08E3698A" w:rsidR="002F03F0" w:rsidRDefault="009D0B63">
          <w:pPr>
            <w:pStyle w:val="TOC3"/>
            <w:tabs>
              <w:tab w:val="right" w:leader="dot" w:pos="9016"/>
            </w:tabs>
            <w:rPr>
              <w:rFonts w:asciiTheme="minorHAnsi" w:eastAsiaTheme="minorEastAsia" w:hAnsiTheme="minorHAnsi"/>
              <w:noProof/>
              <w:lang w:eastAsia="en-GB"/>
            </w:rPr>
          </w:pPr>
          <w:hyperlink w:anchor="_Toc224345114" w:history="1">
            <w:r w:rsidR="002F03F0" w:rsidRPr="00330BC1">
              <w:rPr>
                <w:rStyle w:val="Hyperlink"/>
                <w:rFonts w:cs="Times New Roman"/>
                <w:b/>
                <w:bCs/>
                <w:noProof/>
                <w:lang w:val="en-US"/>
              </w:rPr>
              <w:t>Investor Ratios</w:t>
            </w:r>
            <w:r w:rsidR="002F03F0">
              <w:rPr>
                <w:noProof/>
                <w:webHidden/>
              </w:rPr>
              <w:tab/>
            </w:r>
            <w:r w:rsidR="002F03F0">
              <w:rPr>
                <w:noProof/>
                <w:webHidden/>
              </w:rPr>
              <w:fldChar w:fldCharType="begin"/>
            </w:r>
            <w:r w:rsidR="002F03F0">
              <w:rPr>
                <w:noProof/>
                <w:webHidden/>
              </w:rPr>
              <w:instrText xml:space="preserve"> PAGEREF _Toc224345114 \h </w:instrText>
            </w:r>
            <w:r w:rsidR="002F03F0">
              <w:rPr>
                <w:noProof/>
                <w:webHidden/>
              </w:rPr>
            </w:r>
            <w:r w:rsidR="002F03F0">
              <w:rPr>
                <w:noProof/>
                <w:webHidden/>
              </w:rPr>
              <w:fldChar w:fldCharType="separate"/>
            </w:r>
            <w:r w:rsidR="002F03F0">
              <w:rPr>
                <w:noProof/>
                <w:webHidden/>
              </w:rPr>
              <w:t>11</w:t>
            </w:r>
            <w:r w:rsidR="002F03F0">
              <w:rPr>
                <w:noProof/>
                <w:webHidden/>
              </w:rPr>
              <w:fldChar w:fldCharType="end"/>
            </w:r>
          </w:hyperlink>
        </w:p>
        <w:p w14:paraId="49B66633" w14:textId="1EABF824" w:rsidR="002F03F0" w:rsidRDefault="009D0B63">
          <w:pPr>
            <w:pStyle w:val="TOC2"/>
            <w:tabs>
              <w:tab w:val="right" w:leader="dot" w:pos="9016"/>
            </w:tabs>
            <w:rPr>
              <w:rFonts w:asciiTheme="minorHAnsi" w:eastAsiaTheme="minorEastAsia" w:hAnsiTheme="minorHAnsi"/>
              <w:noProof/>
              <w:lang w:eastAsia="en-GB"/>
            </w:rPr>
          </w:pPr>
          <w:hyperlink w:anchor="_Toc224345115" w:history="1">
            <w:r w:rsidR="002F03F0" w:rsidRPr="00330BC1">
              <w:rPr>
                <w:rStyle w:val="Hyperlink"/>
                <w:noProof/>
                <w:lang w:val="en-US"/>
              </w:rPr>
              <w:t>Critical Evaluation of Financial Ratios and Analysis</w:t>
            </w:r>
            <w:r w:rsidR="002F03F0">
              <w:rPr>
                <w:noProof/>
                <w:webHidden/>
              </w:rPr>
              <w:tab/>
            </w:r>
            <w:r w:rsidR="002F03F0">
              <w:rPr>
                <w:noProof/>
                <w:webHidden/>
              </w:rPr>
              <w:fldChar w:fldCharType="begin"/>
            </w:r>
            <w:r w:rsidR="002F03F0">
              <w:rPr>
                <w:noProof/>
                <w:webHidden/>
              </w:rPr>
              <w:instrText xml:space="preserve"> PAGEREF _Toc224345115 \h </w:instrText>
            </w:r>
            <w:r w:rsidR="002F03F0">
              <w:rPr>
                <w:noProof/>
                <w:webHidden/>
              </w:rPr>
            </w:r>
            <w:r w:rsidR="002F03F0">
              <w:rPr>
                <w:noProof/>
                <w:webHidden/>
              </w:rPr>
              <w:fldChar w:fldCharType="separate"/>
            </w:r>
            <w:r w:rsidR="002F03F0">
              <w:rPr>
                <w:noProof/>
                <w:webHidden/>
              </w:rPr>
              <w:t>12</w:t>
            </w:r>
            <w:r w:rsidR="002F03F0">
              <w:rPr>
                <w:noProof/>
                <w:webHidden/>
              </w:rPr>
              <w:fldChar w:fldCharType="end"/>
            </w:r>
          </w:hyperlink>
        </w:p>
        <w:p w14:paraId="757B9C19" w14:textId="37B81757" w:rsidR="002F03F0" w:rsidRDefault="009D0B63">
          <w:pPr>
            <w:pStyle w:val="TOC3"/>
            <w:tabs>
              <w:tab w:val="right" w:leader="dot" w:pos="9016"/>
            </w:tabs>
            <w:rPr>
              <w:rFonts w:asciiTheme="minorHAnsi" w:eastAsiaTheme="minorEastAsia" w:hAnsiTheme="minorHAnsi"/>
              <w:noProof/>
              <w:lang w:eastAsia="en-GB"/>
            </w:rPr>
          </w:pPr>
          <w:hyperlink w:anchor="_Toc224345116" w:history="1">
            <w:r w:rsidR="002F03F0" w:rsidRPr="00330BC1">
              <w:rPr>
                <w:rStyle w:val="Hyperlink"/>
                <w:rFonts w:cs="Times New Roman"/>
                <w:b/>
                <w:bCs/>
                <w:noProof/>
                <w:lang w:val="en-US"/>
              </w:rPr>
              <w:t>Trends and Changes over the Period</w:t>
            </w:r>
            <w:r w:rsidR="002F03F0">
              <w:rPr>
                <w:noProof/>
                <w:webHidden/>
              </w:rPr>
              <w:tab/>
            </w:r>
            <w:r w:rsidR="002F03F0">
              <w:rPr>
                <w:noProof/>
                <w:webHidden/>
              </w:rPr>
              <w:fldChar w:fldCharType="begin"/>
            </w:r>
            <w:r w:rsidR="002F03F0">
              <w:rPr>
                <w:noProof/>
                <w:webHidden/>
              </w:rPr>
              <w:instrText xml:space="preserve"> PAGEREF _Toc224345116 \h </w:instrText>
            </w:r>
            <w:r w:rsidR="002F03F0">
              <w:rPr>
                <w:noProof/>
                <w:webHidden/>
              </w:rPr>
            </w:r>
            <w:r w:rsidR="002F03F0">
              <w:rPr>
                <w:noProof/>
                <w:webHidden/>
              </w:rPr>
              <w:fldChar w:fldCharType="separate"/>
            </w:r>
            <w:r w:rsidR="002F03F0">
              <w:rPr>
                <w:noProof/>
                <w:webHidden/>
              </w:rPr>
              <w:t>12</w:t>
            </w:r>
            <w:r w:rsidR="002F03F0">
              <w:rPr>
                <w:noProof/>
                <w:webHidden/>
              </w:rPr>
              <w:fldChar w:fldCharType="end"/>
            </w:r>
          </w:hyperlink>
        </w:p>
        <w:p w14:paraId="222068AA" w14:textId="19FF0CA5" w:rsidR="002F03F0" w:rsidRDefault="009D0B63">
          <w:pPr>
            <w:pStyle w:val="TOC3"/>
            <w:tabs>
              <w:tab w:val="right" w:leader="dot" w:pos="9016"/>
            </w:tabs>
            <w:rPr>
              <w:rFonts w:asciiTheme="minorHAnsi" w:eastAsiaTheme="minorEastAsia" w:hAnsiTheme="minorHAnsi"/>
              <w:noProof/>
              <w:lang w:eastAsia="en-GB"/>
            </w:rPr>
          </w:pPr>
          <w:hyperlink w:anchor="_Toc224345117" w:history="1">
            <w:r w:rsidR="002F03F0" w:rsidRPr="00330BC1">
              <w:rPr>
                <w:rStyle w:val="Hyperlink"/>
                <w:rFonts w:cs="Times New Roman"/>
                <w:b/>
                <w:bCs/>
                <w:noProof/>
                <w:lang w:val="en-US"/>
              </w:rPr>
              <w:t>Reasons for Changes in Ratios</w:t>
            </w:r>
            <w:r w:rsidR="002F03F0">
              <w:rPr>
                <w:noProof/>
                <w:webHidden/>
              </w:rPr>
              <w:tab/>
            </w:r>
            <w:r w:rsidR="002F03F0">
              <w:rPr>
                <w:noProof/>
                <w:webHidden/>
              </w:rPr>
              <w:fldChar w:fldCharType="begin"/>
            </w:r>
            <w:r w:rsidR="002F03F0">
              <w:rPr>
                <w:noProof/>
                <w:webHidden/>
              </w:rPr>
              <w:instrText xml:space="preserve"> PAGEREF _Toc224345117 \h </w:instrText>
            </w:r>
            <w:r w:rsidR="002F03F0">
              <w:rPr>
                <w:noProof/>
                <w:webHidden/>
              </w:rPr>
            </w:r>
            <w:r w:rsidR="002F03F0">
              <w:rPr>
                <w:noProof/>
                <w:webHidden/>
              </w:rPr>
              <w:fldChar w:fldCharType="separate"/>
            </w:r>
            <w:r w:rsidR="002F03F0">
              <w:rPr>
                <w:noProof/>
                <w:webHidden/>
              </w:rPr>
              <w:t>13</w:t>
            </w:r>
            <w:r w:rsidR="002F03F0">
              <w:rPr>
                <w:noProof/>
                <w:webHidden/>
              </w:rPr>
              <w:fldChar w:fldCharType="end"/>
            </w:r>
          </w:hyperlink>
        </w:p>
        <w:p w14:paraId="505C05B8" w14:textId="3025125A" w:rsidR="002F03F0" w:rsidRDefault="009D0B63">
          <w:pPr>
            <w:pStyle w:val="TOC3"/>
            <w:tabs>
              <w:tab w:val="right" w:leader="dot" w:pos="9016"/>
            </w:tabs>
            <w:rPr>
              <w:rFonts w:asciiTheme="minorHAnsi" w:eastAsiaTheme="minorEastAsia" w:hAnsiTheme="minorHAnsi"/>
              <w:noProof/>
              <w:lang w:eastAsia="en-GB"/>
            </w:rPr>
          </w:pPr>
          <w:hyperlink w:anchor="_Toc224345118" w:history="1">
            <w:r w:rsidR="002F03F0" w:rsidRPr="00330BC1">
              <w:rPr>
                <w:rStyle w:val="Hyperlink"/>
                <w:rFonts w:cs="Times New Roman"/>
                <w:b/>
                <w:bCs/>
                <w:noProof/>
                <w:lang w:val="en-US"/>
              </w:rPr>
              <w:t>Comparisons with Industry Benchmark</w:t>
            </w:r>
            <w:r w:rsidR="002F03F0">
              <w:rPr>
                <w:noProof/>
                <w:webHidden/>
              </w:rPr>
              <w:tab/>
            </w:r>
            <w:r w:rsidR="002F03F0">
              <w:rPr>
                <w:noProof/>
                <w:webHidden/>
              </w:rPr>
              <w:fldChar w:fldCharType="begin"/>
            </w:r>
            <w:r w:rsidR="002F03F0">
              <w:rPr>
                <w:noProof/>
                <w:webHidden/>
              </w:rPr>
              <w:instrText xml:space="preserve"> PAGEREF _Toc224345118 \h </w:instrText>
            </w:r>
            <w:r w:rsidR="002F03F0">
              <w:rPr>
                <w:noProof/>
                <w:webHidden/>
              </w:rPr>
            </w:r>
            <w:r w:rsidR="002F03F0">
              <w:rPr>
                <w:noProof/>
                <w:webHidden/>
              </w:rPr>
              <w:fldChar w:fldCharType="separate"/>
            </w:r>
            <w:r w:rsidR="002F03F0">
              <w:rPr>
                <w:noProof/>
                <w:webHidden/>
              </w:rPr>
              <w:t>14</w:t>
            </w:r>
            <w:r w:rsidR="002F03F0">
              <w:rPr>
                <w:noProof/>
                <w:webHidden/>
              </w:rPr>
              <w:fldChar w:fldCharType="end"/>
            </w:r>
          </w:hyperlink>
        </w:p>
        <w:p w14:paraId="75543404" w14:textId="7609B75F" w:rsidR="002F03F0" w:rsidRDefault="009D0B63">
          <w:pPr>
            <w:pStyle w:val="TOC3"/>
            <w:tabs>
              <w:tab w:val="right" w:leader="dot" w:pos="9016"/>
            </w:tabs>
            <w:rPr>
              <w:rFonts w:asciiTheme="minorHAnsi" w:eastAsiaTheme="minorEastAsia" w:hAnsiTheme="minorHAnsi"/>
              <w:noProof/>
              <w:lang w:eastAsia="en-GB"/>
            </w:rPr>
          </w:pPr>
          <w:hyperlink w:anchor="_Toc224345119" w:history="1">
            <w:r w:rsidR="002F03F0" w:rsidRPr="00330BC1">
              <w:rPr>
                <w:rStyle w:val="Hyperlink"/>
                <w:rFonts w:cs="Times New Roman"/>
                <w:b/>
                <w:bCs/>
                <w:noProof/>
                <w:lang w:val="en-US"/>
              </w:rPr>
              <w:t>Limitations of Ratio Analysis</w:t>
            </w:r>
            <w:r w:rsidR="002F03F0">
              <w:rPr>
                <w:noProof/>
                <w:webHidden/>
              </w:rPr>
              <w:tab/>
            </w:r>
            <w:r w:rsidR="002F03F0">
              <w:rPr>
                <w:noProof/>
                <w:webHidden/>
              </w:rPr>
              <w:fldChar w:fldCharType="begin"/>
            </w:r>
            <w:r w:rsidR="002F03F0">
              <w:rPr>
                <w:noProof/>
                <w:webHidden/>
              </w:rPr>
              <w:instrText xml:space="preserve"> PAGEREF _Toc224345119 \h </w:instrText>
            </w:r>
            <w:r w:rsidR="002F03F0">
              <w:rPr>
                <w:noProof/>
                <w:webHidden/>
              </w:rPr>
            </w:r>
            <w:r w:rsidR="002F03F0">
              <w:rPr>
                <w:noProof/>
                <w:webHidden/>
              </w:rPr>
              <w:fldChar w:fldCharType="separate"/>
            </w:r>
            <w:r w:rsidR="002F03F0">
              <w:rPr>
                <w:noProof/>
                <w:webHidden/>
              </w:rPr>
              <w:t>14</w:t>
            </w:r>
            <w:r w:rsidR="002F03F0">
              <w:rPr>
                <w:noProof/>
                <w:webHidden/>
              </w:rPr>
              <w:fldChar w:fldCharType="end"/>
            </w:r>
          </w:hyperlink>
        </w:p>
        <w:p w14:paraId="3A5C64EE" w14:textId="5D7DA998" w:rsidR="002F03F0" w:rsidRDefault="009D0B63">
          <w:pPr>
            <w:pStyle w:val="TOC2"/>
            <w:tabs>
              <w:tab w:val="right" w:leader="dot" w:pos="9016"/>
            </w:tabs>
            <w:rPr>
              <w:rFonts w:asciiTheme="minorHAnsi" w:eastAsiaTheme="minorEastAsia" w:hAnsiTheme="minorHAnsi"/>
              <w:noProof/>
              <w:lang w:eastAsia="en-GB"/>
            </w:rPr>
          </w:pPr>
          <w:hyperlink w:anchor="_Toc224345120" w:history="1">
            <w:r w:rsidR="002F03F0" w:rsidRPr="00330BC1">
              <w:rPr>
                <w:rStyle w:val="Hyperlink"/>
                <w:noProof/>
                <w:lang w:val="en-US"/>
              </w:rPr>
              <w:t>Recommendations for Improving Financial Management</w:t>
            </w:r>
            <w:r w:rsidR="002F03F0">
              <w:rPr>
                <w:noProof/>
                <w:webHidden/>
              </w:rPr>
              <w:tab/>
            </w:r>
            <w:r w:rsidR="002F03F0">
              <w:rPr>
                <w:noProof/>
                <w:webHidden/>
              </w:rPr>
              <w:fldChar w:fldCharType="begin"/>
            </w:r>
            <w:r w:rsidR="002F03F0">
              <w:rPr>
                <w:noProof/>
                <w:webHidden/>
              </w:rPr>
              <w:instrText xml:space="preserve"> PAGEREF _Toc224345120 \h </w:instrText>
            </w:r>
            <w:r w:rsidR="002F03F0">
              <w:rPr>
                <w:noProof/>
                <w:webHidden/>
              </w:rPr>
            </w:r>
            <w:r w:rsidR="002F03F0">
              <w:rPr>
                <w:noProof/>
                <w:webHidden/>
              </w:rPr>
              <w:fldChar w:fldCharType="separate"/>
            </w:r>
            <w:r w:rsidR="002F03F0">
              <w:rPr>
                <w:noProof/>
                <w:webHidden/>
              </w:rPr>
              <w:t>15</w:t>
            </w:r>
            <w:r w:rsidR="002F03F0">
              <w:rPr>
                <w:noProof/>
                <w:webHidden/>
              </w:rPr>
              <w:fldChar w:fldCharType="end"/>
            </w:r>
          </w:hyperlink>
        </w:p>
        <w:p w14:paraId="0598D276" w14:textId="0754E81B" w:rsidR="002F03F0" w:rsidRDefault="009D0B63">
          <w:pPr>
            <w:pStyle w:val="TOC1"/>
            <w:tabs>
              <w:tab w:val="right" w:leader="dot" w:pos="9016"/>
            </w:tabs>
            <w:rPr>
              <w:rFonts w:asciiTheme="minorHAnsi" w:eastAsiaTheme="minorEastAsia" w:hAnsiTheme="minorHAnsi"/>
              <w:noProof/>
              <w:lang w:eastAsia="en-GB"/>
            </w:rPr>
          </w:pPr>
          <w:hyperlink w:anchor="_Toc224345121" w:history="1">
            <w:r w:rsidR="002F03F0" w:rsidRPr="00330BC1">
              <w:rPr>
                <w:rStyle w:val="Hyperlink"/>
                <w:noProof/>
                <w:lang w:val="en-US"/>
              </w:rPr>
              <w:t>Part Two: Investment Appraisal for Westward Plc</w:t>
            </w:r>
            <w:r w:rsidR="002F03F0">
              <w:rPr>
                <w:noProof/>
                <w:webHidden/>
              </w:rPr>
              <w:tab/>
            </w:r>
            <w:r w:rsidR="002F03F0">
              <w:rPr>
                <w:noProof/>
                <w:webHidden/>
              </w:rPr>
              <w:fldChar w:fldCharType="begin"/>
            </w:r>
            <w:r w:rsidR="002F03F0">
              <w:rPr>
                <w:noProof/>
                <w:webHidden/>
              </w:rPr>
              <w:instrText xml:space="preserve"> PAGEREF _Toc224345121 \h </w:instrText>
            </w:r>
            <w:r w:rsidR="002F03F0">
              <w:rPr>
                <w:noProof/>
                <w:webHidden/>
              </w:rPr>
            </w:r>
            <w:r w:rsidR="002F03F0">
              <w:rPr>
                <w:noProof/>
                <w:webHidden/>
              </w:rPr>
              <w:fldChar w:fldCharType="separate"/>
            </w:r>
            <w:r w:rsidR="002F03F0">
              <w:rPr>
                <w:noProof/>
                <w:webHidden/>
              </w:rPr>
              <w:t>16</w:t>
            </w:r>
            <w:r w:rsidR="002F03F0">
              <w:rPr>
                <w:noProof/>
                <w:webHidden/>
              </w:rPr>
              <w:fldChar w:fldCharType="end"/>
            </w:r>
          </w:hyperlink>
        </w:p>
        <w:p w14:paraId="52CE9DBB" w14:textId="74B5D5FC" w:rsidR="002F03F0" w:rsidRDefault="009D0B63">
          <w:pPr>
            <w:pStyle w:val="TOC2"/>
            <w:tabs>
              <w:tab w:val="right" w:leader="dot" w:pos="9016"/>
            </w:tabs>
            <w:rPr>
              <w:rFonts w:asciiTheme="minorHAnsi" w:eastAsiaTheme="minorEastAsia" w:hAnsiTheme="minorHAnsi"/>
              <w:noProof/>
              <w:lang w:eastAsia="en-GB"/>
            </w:rPr>
          </w:pPr>
          <w:hyperlink w:anchor="_Toc224345122" w:history="1">
            <w:r w:rsidR="002F03F0" w:rsidRPr="00330BC1">
              <w:rPr>
                <w:rStyle w:val="Hyperlink"/>
                <w:noProof/>
                <w:lang w:val="en-US"/>
              </w:rPr>
              <w:t>Background and Investment Options</w:t>
            </w:r>
            <w:r w:rsidR="002F03F0">
              <w:rPr>
                <w:noProof/>
                <w:webHidden/>
              </w:rPr>
              <w:tab/>
            </w:r>
            <w:r w:rsidR="002F03F0">
              <w:rPr>
                <w:noProof/>
                <w:webHidden/>
              </w:rPr>
              <w:fldChar w:fldCharType="begin"/>
            </w:r>
            <w:r w:rsidR="002F03F0">
              <w:rPr>
                <w:noProof/>
                <w:webHidden/>
              </w:rPr>
              <w:instrText xml:space="preserve"> PAGEREF _Toc224345122 \h </w:instrText>
            </w:r>
            <w:r w:rsidR="002F03F0">
              <w:rPr>
                <w:noProof/>
                <w:webHidden/>
              </w:rPr>
            </w:r>
            <w:r w:rsidR="002F03F0">
              <w:rPr>
                <w:noProof/>
                <w:webHidden/>
              </w:rPr>
              <w:fldChar w:fldCharType="separate"/>
            </w:r>
            <w:r w:rsidR="002F03F0">
              <w:rPr>
                <w:noProof/>
                <w:webHidden/>
              </w:rPr>
              <w:t>16</w:t>
            </w:r>
            <w:r w:rsidR="002F03F0">
              <w:rPr>
                <w:noProof/>
                <w:webHidden/>
              </w:rPr>
              <w:fldChar w:fldCharType="end"/>
            </w:r>
          </w:hyperlink>
        </w:p>
        <w:p w14:paraId="5B85F6DC" w14:textId="4D811A50" w:rsidR="002F03F0" w:rsidRDefault="009D0B63">
          <w:pPr>
            <w:pStyle w:val="TOC2"/>
            <w:tabs>
              <w:tab w:val="right" w:leader="dot" w:pos="9016"/>
            </w:tabs>
            <w:rPr>
              <w:rFonts w:asciiTheme="minorHAnsi" w:eastAsiaTheme="minorEastAsia" w:hAnsiTheme="minorHAnsi"/>
              <w:noProof/>
              <w:lang w:eastAsia="en-GB"/>
            </w:rPr>
          </w:pPr>
          <w:hyperlink w:anchor="_Toc224345123" w:history="1">
            <w:r w:rsidR="002F03F0" w:rsidRPr="00330BC1">
              <w:rPr>
                <w:rStyle w:val="Hyperlink"/>
                <w:noProof/>
                <w:lang w:val="en-US"/>
              </w:rPr>
              <w:t>Net Present Value Analysis</w:t>
            </w:r>
            <w:r w:rsidR="002F03F0">
              <w:rPr>
                <w:noProof/>
                <w:webHidden/>
              </w:rPr>
              <w:tab/>
            </w:r>
            <w:r w:rsidR="002F03F0">
              <w:rPr>
                <w:noProof/>
                <w:webHidden/>
              </w:rPr>
              <w:fldChar w:fldCharType="begin"/>
            </w:r>
            <w:r w:rsidR="002F03F0">
              <w:rPr>
                <w:noProof/>
                <w:webHidden/>
              </w:rPr>
              <w:instrText xml:space="preserve"> PAGEREF _Toc224345123 \h </w:instrText>
            </w:r>
            <w:r w:rsidR="002F03F0">
              <w:rPr>
                <w:noProof/>
                <w:webHidden/>
              </w:rPr>
            </w:r>
            <w:r w:rsidR="002F03F0">
              <w:rPr>
                <w:noProof/>
                <w:webHidden/>
              </w:rPr>
              <w:fldChar w:fldCharType="separate"/>
            </w:r>
            <w:r w:rsidR="002F03F0">
              <w:rPr>
                <w:noProof/>
                <w:webHidden/>
              </w:rPr>
              <w:t>16</w:t>
            </w:r>
            <w:r w:rsidR="002F03F0">
              <w:rPr>
                <w:noProof/>
                <w:webHidden/>
              </w:rPr>
              <w:fldChar w:fldCharType="end"/>
            </w:r>
          </w:hyperlink>
        </w:p>
        <w:p w14:paraId="3D5C2D4A" w14:textId="33DED3B6" w:rsidR="002F03F0" w:rsidRDefault="009D0B63">
          <w:pPr>
            <w:pStyle w:val="TOC3"/>
            <w:tabs>
              <w:tab w:val="right" w:leader="dot" w:pos="9016"/>
            </w:tabs>
            <w:rPr>
              <w:rFonts w:asciiTheme="minorHAnsi" w:eastAsiaTheme="minorEastAsia" w:hAnsiTheme="minorHAnsi"/>
              <w:noProof/>
              <w:lang w:eastAsia="en-GB"/>
            </w:rPr>
          </w:pPr>
          <w:hyperlink w:anchor="_Toc224345124" w:history="1">
            <w:r w:rsidR="002F03F0" w:rsidRPr="00330BC1">
              <w:rPr>
                <w:rStyle w:val="Hyperlink"/>
                <w:rFonts w:cs="Times New Roman"/>
                <w:b/>
                <w:bCs/>
                <w:noProof/>
                <w:lang w:val="en-US"/>
              </w:rPr>
              <w:t>Theoretical Foundation of NPV</w:t>
            </w:r>
            <w:r w:rsidR="002F03F0">
              <w:rPr>
                <w:noProof/>
                <w:webHidden/>
              </w:rPr>
              <w:tab/>
            </w:r>
            <w:r w:rsidR="002F03F0">
              <w:rPr>
                <w:noProof/>
                <w:webHidden/>
              </w:rPr>
              <w:fldChar w:fldCharType="begin"/>
            </w:r>
            <w:r w:rsidR="002F03F0">
              <w:rPr>
                <w:noProof/>
                <w:webHidden/>
              </w:rPr>
              <w:instrText xml:space="preserve"> PAGEREF _Toc224345124 \h </w:instrText>
            </w:r>
            <w:r w:rsidR="002F03F0">
              <w:rPr>
                <w:noProof/>
                <w:webHidden/>
              </w:rPr>
            </w:r>
            <w:r w:rsidR="002F03F0">
              <w:rPr>
                <w:noProof/>
                <w:webHidden/>
              </w:rPr>
              <w:fldChar w:fldCharType="separate"/>
            </w:r>
            <w:r w:rsidR="002F03F0">
              <w:rPr>
                <w:noProof/>
                <w:webHidden/>
              </w:rPr>
              <w:t>16</w:t>
            </w:r>
            <w:r w:rsidR="002F03F0">
              <w:rPr>
                <w:noProof/>
                <w:webHidden/>
              </w:rPr>
              <w:fldChar w:fldCharType="end"/>
            </w:r>
          </w:hyperlink>
        </w:p>
        <w:p w14:paraId="144241C8" w14:textId="14C08633" w:rsidR="002F03F0" w:rsidRDefault="009D0B63">
          <w:pPr>
            <w:pStyle w:val="TOC3"/>
            <w:tabs>
              <w:tab w:val="right" w:leader="dot" w:pos="9016"/>
            </w:tabs>
            <w:rPr>
              <w:rFonts w:asciiTheme="minorHAnsi" w:eastAsiaTheme="minorEastAsia" w:hAnsiTheme="minorHAnsi"/>
              <w:noProof/>
              <w:lang w:eastAsia="en-GB"/>
            </w:rPr>
          </w:pPr>
          <w:hyperlink w:anchor="_Toc224345125" w:history="1">
            <w:r w:rsidR="002F03F0" w:rsidRPr="00330BC1">
              <w:rPr>
                <w:rStyle w:val="Hyperlink"/>
                <w:rFonts w:cs="Times New Roman"/>
                <w:b/>
                <w:bCs/>
                <w:noProof/>
                <w:lang w:val="en-US"/>
              </w:rPr>
              <w:t>NPV Calculations</w:t>
            </w:r>
            <w:r w:rsidR="002F03F0">
              <w:rPr>
                <w:noProof/>
                <w:webHidden/>
              </w:rPr>
              <w:tab/>
            </w:r>
            <w:r w:rsidR="002F03F0">
              <w:rPr>
                <w:noProof/>
                <w:webHidden/>
              </w:rPr>
              <w:fldChar w:fldCharType="begin"/>
            </w:r>
            <w:r w:rsidR="002F03F0">
              <w:rPr>
                <w:noProof/>
                <w:webHidden/>
              </w:rPr>
              <w:instrText xml:space="preserve"> PAGEREF _Toc224345125 \h </w:instrText>
            </w:r>
            <w:r w:rsidR="002F03F0">
              <w:rPr>
                <w:noProof/>
                <w:webHidden/>
              </w:rPr>
            </w:r>
            <w:r w:rsidR="002F03F0">
              <w:rPr>
                <w:noProof/>
                <w:webHidden/>
              </w:rPr>
              <w:fldChar w:fldCharType="separate"/>
            </w:r>
            <w:r w:rsidR="002F03F0">
              <w:rPr>
                <w:noProof/>
                <w:webHidden/>
              </w:rPr>
              <w:t>16</w:t>
            </w:r>
            <w:r w:rsidR="002F03F0">
              <w:rPr>
                <w:noProof/>
                <w:webHidden/>
              </w:rPr>
              <w:fldChar w:fldCharType="end"/>
            </w:r>
          </w:hyperlink>
        </w:p>
        <w:p w14:paraId="4CE25D96" w14:textId="5DE5EE0D" w:rsidR="002F03F0" w:rsidRDefault="009D0B63">
          <w:pPr>
            <w:pStyle w:val="TOC3"/>
            <w:tabs>
              <w:tab w:val="right" w:leader="dot" w:pos="9016"/>
            </w:tabs>
            <w:rPr>
              <w:rFonts w:asciiTheme="minorHAnsi" w:eastAsiaTheme="minorEastAsia" w:hAnsiTheme="minorHAnsi"/>
              <w:noProof/>
              <w:lang w:eastAsia="en-GB"/>
            </w:rPr>
          </w:pPr>
          <w:hyperlink w:anchor="_Toc224345126" w:history="1">
            <w:r w:rsidR="002F03F0" w:rsidRPr="00330BC1">
              <w:rPr>
                <w:rStyle w:val="Hyperlink"/>
                <w:rFonts w:cs="Times New Roman"/>
                <w:b/>
                <w:bCs/>
                <w:noProof/>
                <w:lang w:val="en-US"/>
              </w:rPr>
              <w:t>NPV Recommendations</w:t>
            </w:r>
            <w:r w:rsidR="002F03F0">
              <w:rPr>
                <w:noProof/>
                <w:webHidden/>
              </w:rPr>
              <w:tab/>
            </w:r>
            <w:r w:rsidR="002F03F0">
              <w:rPr>
                <w:noProof/>
                <w:webHidden/>
              </w:rPr>
              <w:fldChar w:fldCharType="begin"/>
            </w:r>
            <w:r w:rsidR="002F03F0">
              <w:rPr>
                <w:noProof/>
                <w:webHidden/>
              </w:rPr>
              <w:instrText xml:space="preserve"> PAGEREF _Toc224345126 \h </w:instrText>
            </w:r>
            <w:r w:rsidR="002F03F0">
              <w:rPr>
                <w:noProof/>
                <w:webHidden/>
              </w:rPr>
            </w:r>
            <w:r w:rsidR="002F03F0">
              <w:rPr>
                <w:noProof/>
                <w:webHidden/>
              </w:rPr>
              <w:fldChar w:fldCharType="separate"/>
            </w:r>
            <w:r w:rsidR="002F03F0">
              <w:rPr>
                <w:noProof/>
                <w:webHidden/>
              </w:rPr>
              <w:t>18</w:t>
            </w:r>
            <w:r w:rsidR="002F03F0">
              <w:rPr>
                <w:noProof/>
                <w:webHidden/>
              </w:rPr>
              <w:fldChar w:fldCharType="end"/>
            </w:r>
          </w:hyperlink>
        </w:p>
        <w:p w14:paraId="232D2BB8" w14:textId="31C2B50D" w:rsidR="002F03F0" w:rsidRDefault="009D0B63">
          <w:pPr>
            <w:pStyle w:val="TOC2"/>
            <w:tabs>
              <w:tab w:val="right" w:leader="dot" w:pos="9016"/>
            </w:tabs>
            <w:rPr>
              <w:rFonts w:asciiTheme="minorHAnsi" w:eastAsiaTheme="minorEastAsia" w:hAnsiTheme="minorHAnsi"/>
              <w:noProof/>
              <w:lang w:eastAsia="en-GB"/>
            </w:rPr>
          </w:pPr>
          <w:hyperlink w:anchor="_Toc224345127" w:history="1">
            <w:r w:rsidR="002F03F0" w:rsidRPr="00330BC1">
              <w:rPr>
                <w:rStyle w:val="Hyperlink"/>
                <w:noProof/>
                <w:lang w:val="en-US"/>
              </w:rPr>
              <w:t>Payback Period Analysis</w:t>
            </w:r>
            <w:r w:rsidR="002F03F0">
              <w:rPr>
                <w:noProof/>
                <w:webHidden/>
              </w:rPr>
              <w:tab/>
            </w:r>
            <w:r w:rsidR="002F03F0">
              <w:rPr>
                <w:noProof/>
                <w:webHidden/>
              </w:rPr>
              <w:fldChar w:fldCharType="begin"/>
            </w:r>
            <w:r w:rsidR="002F03F0">
              <w:rPr>
                <w:noProof/>
                <w:webHidden/>
              </w:rPr>
              <w:instrText xml:space="preserve"> PAGEREF _Toc224345127 \h </w:instrText>
            </w:r>
            <w:r w:rsidR="002F03F0">
              <w:rPr>
                <w:noProof/>
                <w:webHidden/>
              </w:rPr>
            </w:r>
            <w:r w:rsidR="002F03F0">
              <w:rPr>
                <w:noProof/>
                <w:webHidden/>
              </w:rPr>
              <w:fldChar w:fldCharType="separate"/>
            </w:r>
            <w:r w:rsidR="002F03F0">
              <w:rPr>
                <w:noProof/>
                <w:webHidden/>
              </w:rPr>
              <w:t>18</w:t>
            </w:r>
            <w:r w:rsidR="002F03F0">
              <w:rPr>
                <w:noProof/>
                <w:webHidden/>
              </w:rPr>
              <w:fldChar w:fldCharType="end"/>
            </w:r>
          </w:hyperlink>
        </w:p>
        <w:p w14:paraId="16F2FEB9" w14:textId="7A690BBA" w:rsidR="002F03F0" w:rsidRDefault="009D0B63">
          <w:pPr>
            <w:pStyle w:val="TOC2"/>
            <w:tabs>
              <w:tab w:val="right" w:leader="dot" w:pos="9016"/>
            </w:tabs>
            <w:rPr>
              <w:rFonts w:asciiTheme="minorHAnsi" w:eastAsiaTheme="minorEastAsia" w:hAnsiTheme="minorHAnsi"/>
              <w:noProof/>
              <w:lang w:eastAsia="en-GB"/>
            </w:rPr>
          </w:pPr>
          <w:hyperlink w:anchor="_Toc224345128" w:history="1">
            <w:r w:rsidR="002F03F0" w:rsidRPr="00330BC1">
              <w:rPr>
                <w:rStyle w:val="Hyperlink"/>
                <w:noProof/>
                <w:lang w:val="en-US"/>
              </w:rPr>
              <w:t>Internal Rate of Return Analysis</w:t>
            </w:r>
            <w:r w:rsidR="002F03F0">
              <w:rPr>
                <w:noProof/>
                <w:webHidden/>
              </w:rPr>
              <w:tab/>
            </w:r>
            <w:r w:rsidR="002F03F0">
              <w:rPr>
                <w:noProof/>
                <w:webHidden/>
              </w:rPr>
              <w:fldChar w:fldCharType="begin"/>
            </w:r>
            <w:r w:rsidR="002F03F0">
              <w:rPr>
                <w:noProof/>
                <w:webHidden/>
              </w:rPr>
              <w:instrText xml:space="preserve"> PAGEREF _Toc224345128 \h </w:instrText>
            </w:r>
            <w:r w:rsidR="002F03F0">
              <w:rPr>
                <w:noProof/>
                <w:webHidden/>
              </w:rPr>
            </w:r>
            <w:r w:rsidR="002F03F0">
              <w:rPr>
                <w:noProof/>
                <w:webHidden/>
              </w:rPr>
              <w:fldChar w:fldCharType="separate"/>
            </w:r>
            <w:r w:rsidR="002F03F0">
              <w:rPr>
                <w:noProof/>
                <w:webHidden/>
              </w:rPr>
              <w:t>19</w:t>
            </w:r>
            <w:r w:rsidR="002F03F0">
              <w:rPr>
                <w:noProof/>
                <w:webHidden/>
              </w:rPr>
              <w:fldChar w:fldCharType="end"/>
            </w:r>
          </w:hyperlink>
        </w:p>
        <w:p w14:paraId="0322C0A0" w14:textId="699C1954" w:rsidR="002F03F0" w:rsidRDefault="009D0B63">
          <w:pPr>
            <w:pStyle w:val="TOC3"/>
            <w:tabs>
              <w:tab w:val="right" w:leader="dot" w:pos="9016"/>
            </w:tabs>
            <w:rPr>
              <w:rFonts w:asciiTheme="minorHAnsi" w:eastAsiaTheme="minorEastAsia" w:hAnsiTheme="minorHAnsi"/>
              <w:noProof/>
              <w:lang w:eastAsia="en-GB"/>
            </w:rPr>
          </w:pPr>
          <w:hyperlink w:anchor="_Toc224345129" w:history="1">
            <w:r w:rsidR="002F03F0" w:rsidRPr="00330BC1">
              <w:rPr>
                <w:rStyle w:val="Hyperlink"/>
                <w:rFonts w:cs="Times New Roman"/>
                <w:b/>
                <w:bCs/>
                <w:noProof/>
                <w:lang w:val="en-US"/>
              </w:rPr>
              <w:t>Theoretical Foundation of IRR</w:t>
            </w:r>
            <w:r w:rsidR="002F03F0">
              <w:rPr>
                <w:noProof/>
                <w:webHidden/>
              </w:rPr>
              <w:tab/>
            </w:r>
            <w:r w:rsidR="002F03F0">
              <w:rPr>
                <w:noProof/>
                <w:webHidden/>
              </w:rPr>
              <w:fldChar w:fldCharType="begin"/>
            </w:r>
            <w:r w:rsidR="002F03F0">
              <w:rPr>
                <w:noProof/>
                <w:webHidden/>
              </w:rPr>
              <w:instrText xml:space="preserve"> PAGEREF _Toc224345129 \h </w:instrText>
            </w:r>
            <w:r w:rsidR="002F03F0">
              <w:rPr>
                <w:noProof/>
                <w:webHidden/>
              </w:rPr>
            </w:r>
            <w:r w:rsidR="002F03F0">
              <w:rPr>
                <w:noProof/>
                <w:webHidden/>
              </w:rPr>
              <w:fldChar w:fldCharType="separate"/>
            </w:r>
            <w:r w:rsidR="002F03F0">
              <w:rPr>
                <w:noProof/>
                <w:webHidden/>
              </w:rPr>
              <w:t>19</w:t>
            </w:r>
            <w:r w:rsidR="002F03F0">
              <w:rPr>
                <w:noProof/>
                <w:webHidden/>
              </w:rPr>
              <w:fldChar w:fldCharType="end"/>
            </w:r>
          </w:hyperlink>
        </w:p>
        <w:p w14:paraId="67445D30" w14:textId="0E4CBF95" w:rsidR="002F03F0" w:rsidRDefault="009D0B63">
          <w:pPr>
            <w:pStyle w:val="TOC3"/>
            <w:tabs>
              <w:tab w:val="right" w:leader="dot" w:pos="9016"/>
            </w:tabs>
            <w:rPr>
              <w:rFonts w:asciiTheme="minorHAnsi" w:eastAsiaTheme="minorEastAsia" w:hAnsiTheme="minorHAnsi"/>
              <w:noProof/>
              <w:lang w:eastAsia="en-GB"/>
            </w:rPr>
          </w:pPr>
          <w:hyperlink w:anchor="_Toc224345130" w:history="1">
            <w:r w:rsidR="002F03F0" w:rsidRPr="00330BC1">
              <w:rPr>
                <w:rStyle w:val="Hyperlink"/>
                <w:rFonts w:cs="Times New Roman"/>
                <w:b/>
                <w:bCs/>
                <w:noProof/>
                <w:lang w:val="en-US"/>
              </w:rPr>
              <w:t>IRR Calculation of Option B</w:t>
            </w:r>
            <w:r w:rsidR="002F03F0">
              <w:rPr>
                <w:noProof/>
                <w:webHidden/>
              </w:rPr>
              <w:tab/>
            </w:r>
            <w:r w:rsidR="002F03F0">
              <w:rPr>
                <w:noProof/>
                <w:webHidden/>
              </w:rPr>
              <w:fldChar w:fldCharType="begin"/>
            </w:r>
            <w:r w:rsidR="002F03F0">
              <w:rPr>
                <w:noProof/>
                <w:webHidden/>
              </w:rPr>
              <w:instrText xml:space="preserve"> PAGEREF _Toc224345130 \h </w:instrText>
            </w:r>
            <w:r w:rsidR="002F03F0">
              <w:rPr>
                <w:noProof/>
                <w:webHidden/>
              </w:rPr>
            </w:r>
            <w:r w:rsidR="002F03F0">
              <w:rPr>
                <w:noProof/>
                <w:webHidden/>
              </w:rPr>
              <w:fldChar w:fldCharType="separate"/>
            </w:r>
            <w:r w:rsidR="002F03F0">
              <w:rPr>
                <w:noProof/>
                <w:webHidden/>
              </w:rPr>
              <w:t>19</w:t>
            </w:r>
            <w:r w:rsidR="002F03F0">
              <w:rPr>
                <w:noProof/>
                <w:webHidden/>
              </w:rPr>
              <w:fldChar w:fldCharType="end"/>
            </w:r>
          </w:hyperlink>
        </w:p>
        <w:p w14:paraId="44B7FAF1" w14:textId="0FE45A32" w:rsidR="002F03F0" w:rsidRDefault="009D0B63">
          <w:pPr>
            <w:pStyle w:val="TOC3"/>
            <w:tabs>
              <w:tab w:val="right" w:leader="dot" w:pos="9016"/>
            </w:tabs>
            <w:rPr>
              <w:rFonts w:asciiTheme="minorHAnsi" w:eastAsiaTheme="minorEastAsia" w:hAnsiTheme="minorHAnsi"/>
              <w:noProof/>
              <w:lang w:eastAsia="en-GB"/>
            </w:rPr>
          </w:pPr>
          <w:hyperlink w:anchor="_Toc224345131" w:history="1">
            <w:r w:rsidR="002F03F0" w:rsidRPr="00330BC1">
              <w:rPr>
                <w:rStyle w:val="Hyperlink"/>
                <w:rFonts w:cs="Times New Roman"/>
                <w:b/>
                <w:bCs/>
                <w:noProof/>
                <w:lang w:val="en-US"/>
              </w:rPr>
              <w:t>IRR Interpretation</w:t>
            </w:r>
            <w:r w:rsidR="002F03F0">
              <w:rPr>
                <w:noProof/>
                <w:webHidden/>
              </w:rPr>
              <w:tab/>
            </w:r>
            <w:r w:rsidR="002F03F0">
              <w:rPr>
                <w:noProof/>
                <w:webHidden/>
              </w:rPr>
              <w:fldChar w:fldCharType="begin"/>
            </w:r>
            <w:r w:rsidR="002F03F0">
              <w:rPr>
                <w:noProof/>
                <w:webHidden/>
              </w:rPr>
              <w:instrText xml:space="preserve"> PAGEREF _Toc224345131 \h </w:instrText>
            </w:r>
            <w:r w:rsidR="002F03F0">
              <w:rPr>
                <w:noProof/>
                <w:webHidden/>
              </w:rPr>
            </w:r>
            <w:r w:rsidR="002F03F0">
              <w:rPr>
                <w:noProof/>
                <w:webHidden/>
              </w:rPr>
              <w:fldChar w:fldCharType="separate"/>
            </w:r>
            <w:r w:rsidR="002F03F0">
              <w:rPr>
                <w:noProof/>
                <w:webHidden/>
              </w:rPr>
              <w:t>20</w:t>
            </w:r>
            <w:r w:rsidR="002F03F0">
              <w:rPr>
                <w:noProof/>
                <w:webHidden/>
              </w:rPr>
              <w:fldChar w:fldCharType="end"/>
            </w:r>
          </w:hyperlink>
        </w:p>
        <w:p w14:paraId="6122CDBC" w14:textId="2AAB57A7" w:rsidR="002F03F0" w:rsidRDefault="009D0B63">
          <w:pPr>
            <w:pStyle w:val="TOC2"/>
            <w:tabs>
              <w:tab w:val="right" w:leader="dot" w:pos="9016"/>
            </w:tabs>
            <w:rPr>
              <w:rFonts w:asciiTheme="minorHAnsi" w:eastAsiaTheme="minorEastAsia" w:hAnsiTheme="minorHAnsi"/>
              <w:noProof/>
              <w:lang w:eastAsia="en-GB"/>
            </w:rPr>
          </w:pPr>
          <w:hyperlink w:anchor="_Toc224345132" w:history="1">
            <w:r w:rsidR="002F03F0" w:rsidRPr="00330BC1">
              <w:rPr>
                <w:rStyle w:val="Hyperlink"/>
                <w:noProof/>
                <w:lang w:val="en-US"/>
              </w:rPr>
              <w:t>Theoretical Arguments for NPV as the Best Investment Appraisal Method</w:t>
            </w:r>
            <w:r w:rsidR="002F03F0">
              <w:rPr>
                <w:noProof/>
                <w:webHidden/>
              </w:rPr>
              <w:tab/>
            </w:r>
            <w:r w:rsidR="002F03F0">
              <w:rPr>
                <w:noProof/>
                <w:webHidden/>
              </w:rPr>
              <w:fldChar w:fldCharType="begin"/>
            </w:r>
            <w:r w:rsidR="002F03F0">
              <w:rPr>
                <w:noProof/>
                <w:webHidden/>
              </w:rPr>
              <w:instrText xml:space="preserve"> PAGEREF _Toc224345132 \h </w:instrText>
            </w:r>
            <w:r w:rsidR="002F03F0">
              <w:rPr>
                <w:noProof/>
                <w:webHidden/>
              </w:rPr>
            </w:r>
            <w:r w:rsidR="002F03F0">
              <w:rPr>
                <w:noProof/>
                <w:webHidden/>
              </w:rPr>
              <w:fldChar w:fldCharType="separate"/>
            </w:r>
            <w:r w:rsidR="002F03F0">
              <w:rPr>
                <w:noProof/>
                <w:webHidden/>
              </w:rPr>
              <w:t>21</w:t>
            </w:r>
            <w:r w:rsidR="002F03F0">
              <w:rPr>
                <w:noProof/>
                <w:webHidden/>
              </w:rPr>
              <w:fldChar w:fldCharType="end"/>
            </w:r>
          </w:hyperlink>
        </w:p>
        <w:p w14:paraId="0F3B8B81" w14:textId="7D86772F" w:rsidR="002F03F0" w:rsidRDefault="009D0B63">
          <w:pPr>
            <w:pStyle w:val="TOC2"/>
            <w:tabs>
              <w:tab w:val="right" w:leader="dot" w:pos="9016"/>
            </w:tabs>
            <w:rPr>
              <w:rFonts w:asciiTheme="minorHAnsi" w:eastAsiaTheme="minorEastAsia" w:hAnsiTheme="minorHAnsi"/>
              <w:noProof/>
              <w:lang w:eastAsia="en-GB"/>
            </w:rPr>
          </w:pPr>
          <w:hyperlink w:anchor="_Toc224345133" w:history="1">
            <w:r w:rsidR="002F03F0" w:rsidRPr="00330BC1">
              <w:rPr>
                <w:rStyle w:val="Hyperlink"/>
                <w:noProof/>
                <w:lang w:val="en-US"/>
              </w:rPr>
              <w:t>Continued Popularity of Non-Discounting Methods</w:t>
            </w:r>
            <w:r w:rsidR="002F03F0">
              <w:rPr>
                <w:noProof/>
                <w:webHidden/>
              </w:rPr>
              <w:tab/>
            </w:r>
            <w:r w:rsidR="002F03F0">
              <w:rPr>
                <w:noProof/>
                <w:webHidden/>
              </w:rPr>
              <w:fldChar w:fldCharType="begin"/>
            </w:r>
            <w:r w:rsidR="002F03F0">
              <w:rPr>
                <w:noProof/>
                <w:webHidden/>
              </w:rPr>
              <w:instrText xml:space="preserve"> PAGEREF _Toc224345133 \h </w:instrText>
            </w:r>
            <w:r w:rsidR="002F03F0">
              <w:rPr>
                <w:noProof/>
                <w:webHidden/>
              </w:rPr>
            </w:r>
            <w:r w:rsidR="002F03F0">
              <w:rPr>
                <w:noProof/>
                <w:webHidden/>
              </w:rPr>
              <w:fldChar w:fldCharType="separate"/>
            </w:r>
            <w:r w:rsidR="002F03F0">
              <w:rPr>
                <w:noProof/>
                <w:webHidden/>
              </w:rPr>
              <w:t>21</w:t>
            </w:r>
            <w:r w:rsidR="002F03F0">
              <w:rPr>
                <w:noProof/>
                <w:webHidden/>
              </w:rPr>
              <w:fldChar w:fldCharType="end"/>
            </w:r>
          </w:hyperlink>
        </w:p>
        <w:p w14:paraId="7A637E0B" w14:textId="06731A82" w:rsidR="002F03F0" w:rsidRDefault="009D0B63">
          <w:pPr>
            <w:pStyle w:val="TOC2"/>
            <w:tabs>
              <w:tab w:val="right" w:leader="dot" w:pos="9016"/>
            </w:tabs>
            <w:rPr>
              <w:rFonts w:asciiTheme="minorHAnsi" w:eastAsiaTheme="minorEastAsia" w:hAnsiTheme="minorHAnsi"/>
              <w:noProof/>
              <w:lang w:eastAsia="en-GB"/>
            </w:rPr>
          </w:pPr>
          <w:hyperlink w:anchor="_Toc224345134" w:history="1">
            <w:r w:rsidR="002F03F0" w:rsidRPr="00330BC1">
              <w:rPr>
                <w:rStyle w:val="Hyperlink"/>
                <w:noProof/>
                <w:lang w:val="en-US"/>
              </w:rPr>
              <w:t>Other Factors to Consider before Investment Decision</w:t>
            </w:r>
            <w:r w:rsidR="002F03F0">
              <w:rPr>
                <w:noProof/>
                <w:webHidden/>
              </w:rPr>
              <w:tab/>
            </w:r>
            <w:r w:rsidR="002F03F0">
              <w:rPr>
                <w:noProof/>
                <w:webHidden/>
              </w:rPr>
              <w:fldChar w:fldCharType="begin"/>
            </w:r>
            <w:r w:rsidR="002F03F0">
              <w:rPr>
                <w:noProof/>
                <w:webHidden/>
              </w:rPr>
              <w:instrText xml:space="preserve"> PAGEREF _Toc224345134 \h </w:instrText>
            </w:r>
            <w:r w:rsidR="002F03F0">
              <w:rPr>
                <w:noProof/>
                <w:webHidden/>
              </w:rPr>
            </w:r>
            <w:r w:rsidR="002F03F0">
              <w:rPr>
                <w:noProof/>
                <w:webHidden/>
              </w:rPr>
              <w:fldChar w:fldCharType="separate"/>
            </w:r>
            <w:r w:rsidR="002F03F0">
              <w:rPr>
                <w:noProof/>
                <w:webHidden/>
              </w:rPr>
              <w:t>22</w:t>
            </w:r>
            <w:r w:rsidR="002F03F0">
              <w:rPr>
                <w:noProof/>
                <w:webHidden/>
              </w:rPr>
              <w:fldChar w:fldCharType="end"/>
            </w:r>
          </w:hyperlink>
        </w:p>
        <w:p w14:paraId="55E77650" w14:textId="2F5772E1" w:rsidR="002F03F0" w:rsidRDefault="009D0B63">
          <w:pPr>
            <w:pStyle w:val="TOC2"/>
            <w:tabs>
              <w:tab w:val="right" w:leader="dot" w:pos="9016"/>
            </w:tabs>
            <w:rPr>
              <w:rFonts w:asciiTheme="minorHAnsi" w:eastAsiaTheme="minorEastAsia" w:hAnsiTheme="minorHAnsi"/>
              <w:noProof/>
              <w:lang w:eastAsia="en-GB"/>
            </w:rPr>
          </w:pPr>
          <w:hyperlink w:anchor="_Toc224345135" w:history="1">
            <w:r w:rsidR="002F03F0" w:rsidRPr="00330BC1">
              <w:rPr>
                <w:rStyle w:val="Hyperlink"/>
                <w:noProof/>
                <w:lang w:val="en-US"/>
              </w:rPr>
              <w:t>Capital Rationing and Optimal Investment Policy</w:t>
            </w:r>
            <w:r w:rsidR="002F03F0">
              <w:rPr>
                <w:noProof/>
                <w:webHidden/>
              </w:rPr>
              <w:tab/>
            </w:r>
            <w:r w:rsidR="002F03F0">
              <w:rPr>
                <w:noProof/>
                <w:webHidden/>
              </w:rPr>
              <w:fldChar w:fldCharType="begin"/>
            </w:r>
            <w:r w:rsidR="002F03F0">
              <w:rPr>
                <w:noProof/>
                <w:webHidden/>
              </w:rPr>
              <w:instrText xml:space="preserve"> PAGEREF _Toc224345135 \h </w:instrText>
            </w:r>
            <w:r w:rsidR="002F03F0">
              <w:rPr>
                <w:noProof/>
                <w:webHidden/>
              </w:rPr>
            </w:r>
            <w:r w:rsidR="002F03F0">
              <w:rPr>
                <w:noProof/>
                <w:webHidden/>
              </w:rPr>
              <w:fldChar w:fldCharType="separate"/>
            </w:r>
            <w:r w:rsidR="002F03F0">
              <w:rPr>
                <w:noProof/>
                <w:webHidden/>
              </w:rPr>
              <w:t>22</w:t>
            </w:r>
            <w:r w:rsidR="002F03F0">
              <w:rPr>
                <w:noProof/>
                <w:webHidden/>
              </w:rPr>
              <w:fldChar w:fldCharType="end"/>
            </w:r>
          </w:hyperlink>
        </w:p>
        <w:p w14:paraId="2BB2C0E4" w14:textId="2CD39509" w:rsidR="002F03F0" w:rsidRDefault="009D0B63">
          <w:pPr>
            <w:pStyle w:val="TOC2"/>
            <w:tabs>
              <w:tab w:val="right" w:leader="dot" w:pos="9016"/>
            </w:tabs>
            <w:rPr>
              <w:rFonts w:asciiTheme="minorHAnsi" w:eastAsiaTheme="minorEastAsia" w:hAnsiTheme="minorHAnsi"/>
              <w:noProof/>
              <w:lang w:eastAsia="en-GB"/>
            </w:rPr>
          </w:pPr>
          <w:hyperlink w:anchor="_Toc224345136" w:history="1">
            <w:r w:rsidR="002F03F0" w:rsidRPr="00330BC1">
              <w:rPr>
                <w:rStyle w:val="Hyperlink"/>
                <w:noProof/>
                <w:lang w:val="en-US"/>
              </w:rPr>
              <w:t>Sources of Finance for Investment Program</w:t>
            </w:r>
            <w:r w:rsidR="002F03F0">
              <w:rPr>
                <w:noProof/>
                <w:webHidden/>
              </w:rPr>
              <w:tab/>
            </w:r>
            <w:r w:rsidR="002F03F0">
              <w:rPr>
                <w:noProof/>
                <w:webHidden/>
              </w:rPr>
              <w:fldChar w:fldCharType="begin"/>
            </w:r>
            <w:r w:rsidR="002F03F0">
              <w:rPr>
                <w:noProof/>
                <w:webHidden/>
              </w:rPr>
              <w:instrText xml:space="preserve"> PAGEREF _Toc224345136 \h </w:instrText>
            </w:r>
            <w:r w:rsidR="002F03F0">
              <w:rPr>
                <w:noProof/>
                <w:webHidden/>
              </w:rPr>
            </w:r>
            <w:r w:rsidR="002F03F0">
              <w:rPr>
                <w:noProof/>
                <w:webHidden/>
              </w:rPr>
              <w:fldChar w:fldCharType="separate"/>
            </w:r>
            <w:r w:rsidR="002F03F0">
              <w:rPr>
                <w:noProof/>
                <w:webHidden/>
              </w:rPr>
              <w:t>23</w:t>
            </w:r>
            <w:r w:rsidR="002F03F0">
              <w:rPr>
                <w:noProof/>
                <w:webHidden/>
              </w:rPr>
              <w:fldChar w:fldCharType="end"/>
            </w:r>
          </w:hyperlink>
        </w:p>
        <w:p w14:paraId="039EBEE7" w14:textId="19DBCB27" w:rsidR="002F03F0" w:rsidRDefault="009D0B63">
          <w:pPr>
            <w:pStyle w:val="TOC1"/>
            <w:tabs>
              <w:tab w:val="right" w:leader="dot" w:pos="9016"/>
            </w:tabs>
            <w:rPr>
              <w:rFonts w:asciiTheme="minorHAnsi" w:eastAsiaTheme="minorEastAsia" w:hAnsiTheme="minorHAnsi"/>
              <w:noProof/>
              <w:lang w:eastAsia="en-GB"/>
            </w:rPr>
          </w:pPr>
          <w:hyperlink w:anchor="_Toc224345137" w:history="1">
            <w:r w:rsidR="002F03F0" w:rsidRPr="00330BC1">
              <w:rPr>
                <w:rStyle w:val="Hyperlink"/>
                <w:noProof/>
                <w:lang w:val="en-US"/>
              </w:rPr>
              <w:t>Conclusion</w:t>
            </w:r>
            <w:r w:rsidR="002F03F0">
              <w:rPr>
                <w:noProof/>
                <w:webHidden/>
              </w:rPr>
              <w:tab/>
            </w:r>
            <w:r w:rsidR="002F03F0">
              <w:rPr>
                <w:noProof/>
                <w:webHidden/>
              </w:rPr>
              <w:fldChar w:fldCharType="begin"/>
            </w:r>
            <w:r w:rsidR="002F03F0">
              <w:rPr>
                <w:noProof/>
                <w:webHidden/>
              </w:rPr>
              <w:instrText xml:space="preserve"> PAGEREF _Toc224345137 \h </w:instrText>
            </w:r>
            <w:r w:rsidR="002F03F0">
              <w:rPr>
                <w:noProof/>
                <w:webHidden/>
              </w:rPr>
            </w:r>
            <w:r w:rsidR="002F03F0">
              <w:rPr>
                <w:noProof/>
                <w:webHidden/>
              </w:rPr>
              <w:fldChar w:fldCharType="separate"/>
            </w:r>
            <w:r w:rsidR="002F03F0">
              <w:rPr>
                <w:noProof/>
                <w:webHidden/>
              </w:rPr>
              <w:t>25</w:t>
            </w:r>
            <w:r w:rsidR="002F03F0">
              <w:rPr>
                <w:noProof/>
                <w:webHidden/>
              </w:rPr>
              <w:fldChar w:fldCharType="end"/>
            </w:r>
          </w:hyperlink>
        </w:p>
        <w:p w14:paraId="7C0E4FBF" w14:textId="3AC438CB" w:rsidR="002F03F0" w:rsidRDefault="009D0B63">
          <w:pPr>
            <w:pStyle w:val="TOC1"/>
            <w:tabs>
              <w:tab w:val="right" w:leader="dot" w:pos="9016"/>
            </w:tabs>
            <w:rPr>
              <w:rFonts w:asciiTheme="minorHAnsi" w:eastAsiaTheme="minorEastAsia" w:hAnsiTheme="minorHAnsi"/>
              <w:noProof/>
              <w:lang w:eastAsia="en-GB"/>
            </w:rPr>
          </w:pPr>
          <w:hyperlink w:anchor="_Toc224345138" w:history="1">
            <w:r w:rsidR="002F03F0" w:rsidRPr="00330BC1">
              <w:rPr>
                <w:rStyle w:val="Hyperlink"/>
                <w:noProof/>
                <w:lang w:val="en-US"/>
              </w:rPr>
              <w:t>References</w:t>
            </w:r>
            <w:r w:rsidR="002F03F0">
              <w:rPr>
                <w:noProof/>
                <w:webHidden/>
              </w:rPr>
              <w:tab/>
            </w:r>
            <w:r w:rsidR="002F03F0">
              <w:rPr>
                <w:noProof/>
                <w:webHidden/>
              </w:rPr>
              <w:fldChar w:fldCharType="begin"/>
            </w:r>
            <w:r w:rsidR="002F03F0">
              <w:rPr>
                <w:noProof/>
                <w:webHidden/>
              </w:rPr>
              <w:instrText xml:space="preserve"> PAGEREF _Toc224345138 \h </w:instrText>
            </w:r>
            <w:r w:rsidR="002F03F0">
              <w:rPr>
                <w:noProof/>
                <w:webHidden/>
              </w:rPr>
            </w:r>
            <w:r w:rsidR="002F03F0">
              <w:rPr>
                <w:noProof/>
                <w:webHidden/>
              </w:rPr>
              <w:fldChar w:fldCharType="separate"/>
            </w:r>
            <w:r w:rsidR="002F03F0">
              <w:rPr>
                <w:noProof/>
                <w:webHidden/>
              </w:rPr>
              <w:t>26</w:t>
            </w:r>
            <w:r w:rsidR="002F03F0">
              <w:rPr>
                <w:noProof/>
                <w:webHidden/>
              </w:rPr>
              <w:fldChar w:fldCharType="end"/>
            </w:r>
          </w:hyperlink>
        </w:p>
        <w:p w14:paraId="4C165C8E" w14:textId="2DBE0978" w:rsidR="002F03F0" w:rsidRDefault="009D0B63">
          <w:pPr>
            <w:pStyle w:val="TOC1"/>
            <w:tabs>
              <w:tab w:val="right" w:leader="dot" w:pos="9016"/>
            </w:tabs>
            <w:rPr>
              <w:rFonts w:asciiTheme="minorHAnsi" w:eastAsiaTheme="minorEastAsia" w:hAnsiTheme="minorHAnsi"/>
              <w:noProof/>
              <w:lang w:eastAsia="en-GB"/>
            </w:rPr>
          </w:pPr>
          <w:hyperlink w:anchor="_Toc224345139" w:history="1">
            <w:r w:rsidR="002F03F0" w:rsidRPr="00330BC1">
              <w:rPr>
                <w:rStyle w:val="Hyperlink"/>
                <w:noProof/>
                <w:lang w:val="en-US"/>
              </w:rPr>
              <w:t>Appendix</w:t>
            </w:r>
            <w:r w:rsidR="002F03F0">
              <w:rPr>
                <w:noProof/>
                <w:webHidden/>
              </w:rPr>
              <w:tab/>
            </w:r>
            <w:r w:rsidR="002F03F0">
              <w:rPr>
                <w:noProof/>
                <w:webHidden/>
              </w:rPr>
              <w:fldChar w:fldCharType="begin"/>
            </w:r>
            <w:r w:rsidR="002F03F0">
              <w:rPr>
                <w:noProof/>
                <w:webHidden/>
              </w:rPr>
              <w:instrText xml:space="preserve"> PAGEREF _Toc224345139 \h </w:instrText>
            </w:r>
            <w:r w:rsidR="002F03F0">
              <w:rPr>
                <w:noProof/>
                <w:webHidden/>
              </w:rPr>
            </w:r>
            <w:r w:rsidR="002F03F0">
              <w:rPr>
                <w:noProof/>
                <w:webHidden/>
              </w:rPr>
              <w:fldChar w:fldCharType="separate"/>
            </w:r>
            <w:r w:rsidR="002F03F0">
              <w:rPr>
                <w:noProof/>
                <w:webHidden/>
              </w:rPr>
              <w:t>30</w:t>
            </w:r>
            <w:r w:rsidR="002F03F0">
              <w:rPr>
                <w:noProof/>
                <w:webHidden/>
              </w:rPr>
              <w:fldChar w:fldCharType="end"/>
            </w:r>
          </w:hyperlink>
        </w:p>
        <w:p w14:paraId="254F5EA7" w14:textId="10E98B55" w:rsidR="009C643C" w:rsidRDefault="009C643C">
          <w:r>
            <w:rPr>
              <w:b/>
              <w:bCs/>
              <w:noProof/>
            </w:rPr>
            <w:fldChar w:fldCharType="end"/>
          </w:r>
        </w:p>
      </w:sdtContent>
    </w:sdt>
    <w:p w14:paraId="798542C3" w14:textId="07BD076B" w:rsidR="009C643C" w:rsidRDefault="009C643C">
      <w:pPr>
        <w:spacing w:after="160"/>
        <w:jc w:val="left"/>
        <w:rPr>
          <w:sz w:val="32"/>
          <w:szCs w:val="36"/>
          <w:lang w:val="en-US"/>
        </w:rPr>
      </w:pPr>
      <w:r>
        <w:rPr>
          <w:sz w:val="32"/>
          <w:szCs w:val="36"/>
          <w:lang w:val="en-US"/>
        </w:rPr>
        <w:br w:type="page"/>
      </w:r>
    </w:p>
    <w:p w14:paraId="79D24D7D" w14:textId="7E8D8C02" w:rsidR="009C643C" w:rsidRDefault="009C643C" w:rsidP="009C643C">
      <w:pPr>
        <w:pStyle w:val="Heading1"/>
        <w:spacing w:line="360" w:lineRule="auto"/>
        <w:rPr>
          <w:lang w:val="en-US"/>
        </w:rPr>
      </w:pPr>
      <w:bookmarkStart w:id="2" w:name="_Toc224345106"/>
      <w:r>
        <w:rPr>
          <w:lang w:val="en-US"/>
        </w:rPr>
        <w:lastRenderedPageBreak/>
        <w:t>Introduction</w:t>
      </w:r>
      <w:bookmarkEnd w:id="2"/>
    </w:p>
    <w:p w14:paraId="1C517584" w14:textId="3D929A49" w:rsidR="009C643C" w:rsidRDefault="00FB07AF" w:rsidP="009C643C">
      <w:pPr>
        <w:spacing w:line="360" w:lineRule="auto"/>
        <w:rPr>
          <w:lang w:val="en-US"/>
        </w:rPr>
      </w:pPr>
      <w:r>
        <w:rPr>
          <w:lang w:val="en-US"/>
        </w:rPr>
        <w:t xml:space="preserve">In order to undertake corporate finance operations, it is </w:t>
      </w:r>
      <w:r w:rsidR="00284435">
        <w:rPr>
          <w:lang w:val="en-US"/>
        </w:rPr>
        <w:t>essential</w:t>
      </w:r>
      <w:r>
        <w:rPr>
          <w:lang w:val="en-US"/>
        </w:rPr>
        <w:t xml:space="preserve"> to understand the fundamentals of financial analysis and investment appraisal techniques. </w:t>
      </w:r>
      <w:r w:rsidR="00647949">
        <w:rPr>
          <w:lang w:val="en-US"/>
        </w:rPr>
        <w:t>This helps the stakeholders of an organisation to make sound decisions regarding resource allocation, performance evaluation</w:t>
      </w:r>
      <w:r w:rsidR="00284435">
        <w:rPr>
          <w:lang w:val="en-US"/>
        </w:rPr>
        <w:t>,</w:t>
      </w:r>
      <w:r w:rsidR="00647949">
        <w:rPr>
          <w:lang w:val="en-US"/>
        </w:rPr>
        <w:t xml:space="preserve"> as well as strategic planning. This report will be divided into two sections</w:t>
      </w:r>
      <w:r w:rsidR="00284435">
        <w:rPr>
          <w:lang w:val="en-US"/>
        </w:rPr>
        <w:t>,</w:t>
      </w:r>
      <w:r w:rsidR="00647949">
        <w:rPr>
          <w:lang w:val="en-US"/>
        </w:rPr>
        <w:t xml:space="preserve"> of which the first will be a retrospective performance analysis of Rolls-Royce Holdings PLC through ratio analysis</w:t>
      </w:r>
      <w:r w:rsidR="00284435">
        <w:rPr>
          <w:lang w:val="en-US"/>
        </w:rPr>
        <w:t>,</w:t>
      </w:r>
      <w:r w:rsidR="00647949">
        <w:rPr>
          <w:lang w:val="en-US"/>
        </w:rPr>
        <w:t xml:space="preserve"> and the other will be a prospective decision-making process by utili</w:t>
      </w:r>
      <w:r w:rsidR="00284435">
        <w:rPr>
          <w:lang w:val="en-US"/>
        </w:rPr>
        <w:t>s</w:t>
      </w:r>
      <w:r w:rsidR="00647949">
        <w:rPr>
          <w:lang w:val="en-US"/>
        </w:rPr>
        <w:t>ing various capital budgeting techniques.</w:t>
      </w:r>
      <w:r w:rsidR="00CF0E77">
        <w:rPr>
          <w:lang w:val="en-US"/>
        </w:rPr>
        <w:t xml:space="preserve"> Now, for the first part, </w:t>
      </w:r>
      <w:r w:rsidR="00337737">
        <w:rPr>
          <w:lang w:val="en-US"/>
        </w:rPr>
        <w:t>Rolls-Royce Holdings PLC has been selected which is a global leader and has already undergone a major transformation since 2023</w:t>
      </w:r>
      <w:r w:rsidR="005B1EA1">
        <w:rPr>
          <w:lang w:val="en-US"/>
        </w:rPr>
        <w:t xml:space="preserve"> after Tufan Erginbilgic</w:t>
      </w:r>
      <w:r w:rsidR="00BC663E">
        <w:rPr>
          <w:lang w:val="en-US"/>
        </w:rPr>
        <w:t xml:space="preserve"> took over as the C</w:t>
      </w:r>
      <w:r w:rsidR="00177D4F">
        <w:rPr>
          <w:lang w:val="en-US"/>
        </w:rPr>
        <w:t xml:space="preserve">EO. </w:t>
      </w:r>
      <w:r w:rsidR="002472AB">
        <w:rPr>
          <w:lang w:val="en-US"/>
        </w:rPr>
        <w:t>Due to strategic initiatives undertaken by the company in the previous two years, the company has seen a significant uplift in its operating performance which has resulted in the company’s operating profit almost quadrupling over the same time period (Stone, 2024).</w:t>
      </w:r>
      <w:r w:rsidR="0021720F">
        <w:rPr>
          <w:lang w:val="en-US"/>
        </w:rPr>
        <w:t xml:space="preserve"> </w:t>
      </w:r>
      <w:r w:rsidR="00D84693">
        <w:rPr>
          <w:lang w:val="en-US"/>
        </w:rPr>
        <w:t>Th</w:t>
      </w:r>
      <w:r w:rsidR="00CB3572">
        <w:rPr>
          <w:lang w:val="en-US"/>
        </w:rPr>
        <w:t xml:space="preserve">e first part will undertake a detailed ratio analysis to comprehend how the company has managed to achieve such a feat in just two years. In the second </w:t>
      </w:r>
      <w:r w:rsidR="00EB63CF">
        <w:rPr>
          <w:lang w:val="en-US"/>
        </w:rPr>
        <w:t xml:space="preserve">part of the report, </w:t>
      </w:r>
      <w:r w:rsidR="003058DD">
        <w:rPr>
          <w:lang w:val="en-US"/>
        </w:rPr>
        <w:t>the investment decision to be undertaken by Westward PLC will be evaluated by using discounted cash flow methods</w:t>
      </w:r>
      <w:r w:rsidR="004C1043">
        <w:rPr>
          <w:lang w:val="en-US"/>
        </w:rPr>
        <w:t>,</w:t>
      </w:r>
      <w:r w:rsidR="003058DD">
        <w:rPr>
          <w:lang w:val="en-US"/>
        </w:rPr>
        <w:t xml:space="preserve"> including net present value and internal rate of return. </w:t>
      </w:r>
      <w:r w:rsidR="00DB74F3">
        <w:rPr>
          <w:lang w:val="en-US"/>
        </w:rPr>
        <w:t xml:space="preserve">By integrating both theory and practice into this report by using the necessary frameworks, </w:t>
      </w:r>
      <w:r w:rsidR="000E2DAB">
        <w:rPr>
          <w:lang w:val="en-US"/>
        </w:rPr>
        <w:t>Rolls-Royce Holdings PLC’s ratio analysis will be conducted</w:t>
      </w:r>
      <w:r w:rsidR="004C1043">
        <w:rPr>
          <w:lang w:val="en-US"/>
        </w:rPr>
        <w:t>,</w:t>
      </w:r>
      <w:r w:rsidR="000E2DAB">
        <w:rPr>
          <w:lang w:val="en-US"/>
        </w:rPr>
        <w:t xml:space="preserve"> alongside Westward PLC’s investment decision will be evaluated, as well.</w:t>
      </w:r>
      <w:r w:rsidR="00DB224C">
        <w:rPr>
          <w:lang w:val="en-US"/>
        </w:rPr>
        <w:t xml:space="preserve"> Ultimately, this report will showcase how financial analysis can help create value in dynamic and challenging environments</w:t>
      </w:r>
      <w:r w:rsidR="00E654E3">
        <w:rPr>
          <w:lang w:val="en-US"/>
        </w:rPr>
        <w:t xml:space="preserve"> effectively.</w:t>
      </w:r>
    </w:p>
    <w:p w14:paraId="18DFA46C" w14:textId="77777777" w:rsidR="009C643C" w:rsidRDefault="009C643C">
      <w:pPr>
        <w:spacing w:after="160"/>
        <w:jc w:val="left"/>
        <w:rPr>
          <w:lang w:val="en-US"/>
        </w:rPr>
      </w:pPr>
      <w:r>
        <w:rPr>
          <w:lang w:val="en-US"/>
        </w:rPr>
        <w:br w:type="page"/>
      </w:r>
    </w:p>
    <w:p w14:paraId="2336AA60" w14:textId="641A9918" w:rsidR="009C643C" w:rsidRDefault="009C643C" w:rsidP="009C643C">
      <w:pPr>
        <w:pStyle w:val="Heading1"/>
        <w:spacing w:line="360" w:lineRule="auto"/>
        <w:rPr>
          <w:lang w:val="en-US"/>
        </w:rPr>
      </w:pPr>
      <w:bookmarkStart w:id="3" w:name="_Toc224345107"/>
      <w:r>
        <w:rPr>
          <w:lang w:val="en-US"/>
        </w:rPr>
        <w:lastRenderedPageBreak/>
        <w:t>Part One: Financial Ratio Analysis of Rolls-Royce Holdings Plc</w:t>
      </w:r>
      <w:bookmarkEnd w:id="3"/>
    </w:p>
    <w:p w14:paraId="556035B3" w14:textId="4F884F9F" w:rsidR="009C643C" w:rsidRDefault="006E4C9F" w:rsidP="006E4C9F">
      <w:pPr>
        <w:pStyle w:val="Heading2"/>
        <w:spacing w:line="360" w:lineRule="auto"/>
        <w:rPr>
          <w:lang w:val="en-US"/>
        </w:rPr>
      </w:pPr>
      <w:bookmarkStart w:id="4" w:name="_Toc224345108"/>
      <w:r>
        <w:rPr>
          <w:lang w:val="en-US"/>
        </w:rPr>
        <w:t>Overview of Rolls-Royce Holdings PLC</w:t>
      </w:r>
      <w:bookmarkEnd w:id="4"/>
    </w:p>
    <w:p w14:paraId="75B7C38C" w14:textId="738D8D8E" w:rsidR="00DB3D03" w:rsidRDefault="00916560" w:rsidP="006E4C9F">
      <w:pPr>
        <w:spacing w:line="360" w:lineRule="auto"/>
        <w:rPr>
          <w:lang w:val="en-US"/>
        </w:rPr>
      </w:pPr>
      <w:r>
        <w:rPr>
          <w:lang w:val="en-US"/>
        </w:rPr>
        <w:t xml:space="preserve">Rolls-Royce Holdings PLC is </w:t>
      </w:r>
      <w:r w:rsidR="00E03E1B">
        <w:rPr>
          <w:lang w:val="en-US"/>
        </w:rPr>
        <w:t>a</w:t>
      </w:r>
      <w:r>
        <w:rPr>
          <w:lang w:val="en-US"/>
        </w:rPr>
        <w:t xml:space="preserve"> major </w:t>
      </w:r>
      <w:r w:rsidR="00E03E1B">
        <w:rPr>
          <w:lang w:val="en-US"/>
        </w:rPr>
        <w:t xml:space="preserve">global </w:t>
      </w:r>
      <w:r>
        <w:rPr>
          <w:lang w:val="en-US"/>
        </w:rPr>
        <w:t xml:space="preserve">engineering </w:t>
      </w:r>
      <w:r w:rsidR="00E03E1B">
        <w:rPr>
          <w:lang w:val="en-US"/>
        </w:rPr>
        <w:t>company</w:t>
      </w:r>
      <w:r>
        <w:rPr>
          <w:lang w:val="en-US"/>
        </w:rPr>
        <w:t xml:space="preserve"> which on making </w:t>
      </w:r>
      <w:r w:rsidR="004C1043">
        <w:rPr>
          <w:lang w:val="en-US"/>
        </w:rPr>
        <w:t xml:space="preserve">an </w:t>
      </w:r>
      <w:r>
        <w:rPr>
          <w:lang w:val="en-US"/>
        </w:rPr>
        <w:t xml:space="preserve">impact in aerospace, defense and power systems. The company has around </w:t>
      </w:r>
      <w:r w:rsidR="00244369">
        <w:rPr>
          <w:lang w:val="en-US"/>
        </w:rPr>
        <w:t>50</w:t>
      </w:r>
      <w:r>
        <w:rPr>
          <w:lang w:val="en-US"/>
        </w:rPr>
        <w:t xml:space="preserve">,000 employees </w:t>
      </w:r>
      <w:r w:rsidR="005D721A">
        <w:rPr>
          <w:lang w:val="en-US"/>
        </w:rPr>
        <w:t xml:space="preserve">in over </w:t>
      </w:r>
      <w:r>
        <w:rPr>
          <w:lang w:val="en-US"/>
        </w:rPr>
        <w:t>4</w:t>
      </w:r>
      <w:r w:rsidR="005D721A">
        <w:rPr>
          <w:lang w:val="en-US"/>
        </w:rPr>
        <w:t>0</w:t>
      </w:r>
      <w:r>
        <w:rPr>
          <w:lang w:val="en-US"/>
        </w:rPr>
        <w:t xml:space="preserve"> countries as of 2024</w:t>
      </w:r>
      <w:r w:rsidR="005D721A">
        <w:rPr>
          <w:lang w:val="en-US"/>
        </w:rPr>
        <w:t xml:space="preserve"> (Rolls-Royce, 2025)</w:t>
      </w:r>
      <w:r>
        <w:rPr>
          <w:lang w:val="en-US"/>
        </w:rPr>
        <w:t>. Currently, the company has three major divisions under its belt</w:t>
      </w:r>
      <w:r w:rsidR="004C1043">
        <w:rPr>
          <w:lang w:val="en-US"/>
        </w:rPr>
        <w:t>,</w:t>
      </w:r>
      <w:r>
        <w:rPr>
          <w:lang w:val="en-US"/>
        </w:rPr>
        <w:t xml:space="preserve"> including civil aerospace, defense and power systems. </w:t>
      </w:r>
      <w:r w:rsidR="003000F4">
        <w:rPr>
          <w:lang w:val="en-US"/>
        </w:rPr>
        <w:t>However, it is also expanding its operations towards a new market of sustainable technologies</w:t>
      </w:r>
      <w:r w:rsidR="00C0445B">
        <w:rPr>
          <w:lang w:val="en-US"/>
        </w:rPr>
        <w:t xml:space="preserve"> (Stone, 2024)</w:t>
      </w:r>
      <w:r w:rsidR="003000F4">
        <w:rPr>
          <w:lang w:val="en-US"/>
        </w:rPr>
        <w:t xml:space="preserve">. </w:t>
      </w:r>
    </w:p>
    <w:p w14:paraId="17727B5B" w14:textId="71C4BACF" w:rsidR="00DB3D03" w:rsidRDefault="00DB3D03" w:rsidP="00DB3D03">
      <w:pPr>
        <w:spacing w:line="360" w:lineRule="auto"/>
        <w:jc w:val="center"/>
        <w:rPr>
          <w:lang w:val="en-US"/>
        </w:rPr>
      </w:pPr>
      <w:r>
        <w:rPr>
          <w:noProof/>
        </w:rPr>
        <w:drawing>
          <wp:inline distT="0" distB="0" distL="0" distR="0" wp14:anchorId="76CC23B4" wp14:editId="09992FA1">
            <wp:extent cx="5731510" cy="3402965"/>
            <wp:effectExtent l="0" t="0" r="2540" b="6985"/>
            <wp:docPr id="1845324983" name="Picture 2" descr="Rolls-Royce Holdings Plc Announces Strong Performance And Growth At AG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lls-Royce Holdings Plc Announces Strong Performance And Growth At AG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02965"/>
                    </a:xfrm>
                    <a:prstGeom prst="rect">
                      <a:avLst/>
                    </a:prstGeom>
                    <a:noFill/>
                    <a:ln>
                      <a:noFill/>
                    </a:ln>
                  </pic:spPr>
                </pic:pic>
              </a:graphicData>
            </a:graphic>
          </wp:inline>
        </w:drawing>
      </w:r>
    </w:p>
    <w:p w14:paraId="2358A6D3" w14:textId="726C4DA1" w:rsidR="00DB3D03" w:rsidRPr="00DB3D03" w:rsidRDefault="00DB3D03" w:rsidP="00DB3D03">
      <w:pPr>
        <w:spacing w:line="360" w:lineRule="auto"/>
        <w:jc w:val="center"/>
        <w:rPr>
          <w:lang w:val="en-US"/>
        </w:rPr>
      </w:pPr>
      <w:r>
        <w:rPr>
          <w:b/>
          <w:bCs/>
          <w:lang w:val="en-US"/>
        </w:rPr>
        <w:t xml:space="preserve">Figure 1: </w:t>
      </w:r>
      <w:r>
        <w:rPr>
          <w:lang w:val="en-US"/>
        </w:rPr>
        <w:t>Logo of Rolls-Royce Holdings PLC (Stone, 2024)</w:t>
      </w:r>
    </w:p>
    <w:p w14:paraId="24A94FFF" w14:textId="4AC05686" w:rsidR="006E4C9F" w:rsidRDefault="00755BD9" w:rsidP="006E4C9F">
      <w:pPr>
        <w:spacing w:line="360" w:lineRule="auto"/>
        <w:rPr>
          <w:lang w:val="en-US"/>
        </w:rPr>
      </w:pPr>
      <w:r>
        <w:rPr>
          <w:lang w:val="en-US"/>
        </w:rPr>
        <w:t xml:space="preserve">Since COVID-19 disastrous impact on the company, Rolls-Royce Holdings PLC has undergone significant transformations in order to achieve sustainable and operational financial health. </w:t>
      </w:r>
      <w:r w:rsidR="00DE45E0">
        <w:rPr>
          <w:lang w:val="en-US"/>
        </w:rPr>
        <w:t>Recent results suggest that the company has, indeed, improved its profitability, cash generation as well as leverage with its future relying on stability of global air-travel trends, defence spending of its core customers and wider macroeconomic conditions</w:t>
      </w:r>
      <w:r w:rsidR="005D721A">
        <w:rPr>
          <w:lang w:val="en-US"/>
        </w:rPr>
        <w:t xml:space="preserve"> (</w:t>
      </w:r>
      <w:r w:rsidR="00DE45E0">
        <w:rPr>
          <w:lang w:val="en-US"/>
        </w:rPr>
        <w:t>Fatihudin, 2018).</w:t>
      </w:r>
    </w:p>
    <w:p w14:paraId="0228000F" w14:textId="03041BAE" w:rsidR="006E4C9F" w:rsidRDefault="006E4C9F" w:rsidP="006E4C9F">
      <w:pPr>
        <w:pStyle w:val="Heading2"/>
        <w:spacing w:line="360" w:lineRule="auto"/>
        <w:rPr>
          <w:lang w:val="en-US"/>
        </w:rPr>
      </w:pPr>
      <w:bookmarkStart w:id="5" w:name="_Toc224345109"/>
      <w:r>
        <w:rPr>
          <w:lang w:val="en-US"/>
        </w:rPr>
        <w:t>Calculation and Analysis of Financial Ratios</w:t>
      </w:r>
      <w:bookmarkEnd w:id="5"/>
    </w:p>
    <w:p w14:paraId="702A07DA" w14:textId="73098DFF" w:rsidR="006E4C9F" w:rsidRPr="006E4C9F" w:rsidRDefault="006E4C9F" w:rsidP="006E4C9F">
      <w:pPr>
        <w:pStyle w:val="Heading3"/>
        <w:spacing w:line="360" w:lineRule="auto"/>
        <w:rPr>
          <w:rFonts w:ascii="Times New Roman" w:hAnsi="Times New Roman" w:cs="Times New Roman"/>
          <w:b/>
          <w:bCs/>
          <w:sz w:val="24"/>
          <w:szCs w:val="32"/>
          <w:lang w:val="en-US"/>
        </w:rPr>
      </w:pPr>
      <w:bookmarkStart w:id="6" w:name="_Toc224345110"/>
      <w:r>
        <w:rPr>
          <w:rFonts w:ascii="Times New Roman" w:hAnsi="Times New Roman" w:cs="Times New Roman"/>
          <w:b/>
          <w:bCs/>
          <w:sz w:val="24"/>
          <w:szCs w:val="32"/>
          <w:lang w:val="en-US"/>
        </w:rPr>
        <w:t>Profitability Ratios</w:t>
      </w:r>
      <w:bookmarkEnd w:id="6"/>
    </w:p>
    <w:p w14:paraId="3240FC9E" w14:textId="400F9E6C" w:rsidR="006E4C9F" w:rsidRDefault="003B2B11" w:rsidP="006E4C9F">
      <w:pPr>
        <w:spacing w:line="360" w:lineRule="auto"/>
        <w:rPr>
          <w:lang w:val="en-US"/>
        </w:rPr>
      </w:pPr>
      <w:r>
        <w:rPr>
          <w:lang w:val="en-US"/>
        </w:rPr>
        <w:t>These are the ratios which refer to the capacity of an organisation to generate earnings or profits relative to its revenues, assets</w:t>
      </w:r>
      <w:r w:rsidR="00E03E1B">
        <w:rPr>
          <w:lang w:val="en-US"/>
        </w:rPr>
        <w:t xml:space="preserve"> and shareholders’ </w:t>
      </w:r>
      <w:r>
        <w:rPr>
          <w:lang w:val="en-US"/>
        </w:rPr>
        <w:t>equity</w:t>
      </w:r>
      <w:r w:rsidR="00E03E1B">
        <w:rPr>
          <w:lang w:val="en-US"/>
        </w:rPr>
        <w:t xml:space="preserve"> </w:t>
      </w:r>
      <w:r w:rsidR="00C35C3B">
        <w:rPr>
          <w:lang w:val="en-US"/>
        </w:rPr>
        <w:t>(</w:t>
      </w:r>
      <w:r w:rsidR="00C35C3B" w:rsidRPr="00C35C3B">
        <w:t>Rashid</w:t>
      </w:r>
      <w:r w:rsidR="00C35C3B">
        <w:t xml:space="preserve">, 2021). </w:t>
      </w:r>
      <w:r w:rsidR="00C733F7">
        <w:rPr>
          <w:lang w:val="en-US"/>
        </w:rPr>
        <w:t xml:space="preserve">These ratios are crucial to ensure operational efficiency as well as understand </w:t>
      </w:r>
      <w:r w:rsidR="004C1043">
        <w:rPr>
          <w:lang w:val="en-US"/>
        </w:rPr>
        <w:t xml:space="preserve">the </w:t>
      </w:r>
      <w:r w:rsidR="00C733F7">
        <w:rPr>
          <w:lang w:val="en-US"/>
        </w:rPr>
        <w:t xml:space="preserve">competitive positioning of a company </w:t>
      </w:r>
      <w:r w:rsidR="00C733F7">
        <w:rPr>
          <w:lang w:val="en-US"/>
        </w:rPr>
        <w:lastRenderedPageBreak/>
        <w:t xml:space="preserve">in competitive spaces. </w:t>
      </w:r>
      <w:r w:rsidR="00FA64C4">
        <w:rPr>
          <w:lang w:val="en-US"/>
        </w:rPr>
        <w:t>Now, the major profitability ratios of Rolls-Royce Holdings PLC are calculated and interpreted below.</w:t>
      </w:r>
    </w:p>
    <w:p w14:paraId="6F4AB50F" w14:textId="1B1AF4A0" w:rsidR="00FA64C4" w:rsidRDefault="00FA64C4" w:rsidP="006E4C9F">
      <w:pPr>
        <w:spacing w:line="360" w:lineRule="auto"/>
        <w:rPr>
          <w:b/>
          <w:bCs/>
          <w:lang w:val="en-US"/>
        </w:rPr>
      </w:pPr>
      <w:r>
        <w:rPr>
          <w:b/>
          <w:bCs/>
          <w:lang w:val="en-US"/>
        </w:rPr>
        <w:t>Gross Profit Margin</w:t>
      </w:r>
    </w:p>
    <w:p w14:paraId="2685EF2F" w14:textId="55A5572D" w:rsidR="00FA64C4" w:rsidRDefault="00FA64C4" w:rsidP="006E4C9F">
      <w:pPr>
        <w:spacing w:line="360" w:lineRule="auto"/>
        <w:rPr>
          <w:lang w:val="en-US"/>
        </w:rPr>
      </w:pPr>
      <w:r>
        <w:rPr>
          <w:lang w:val="en-US"/>
        </w:rPr>
        <w:t>The formula to calculate gross profit margin is = (Gross Profit / Revenue) * 100</w:t>
      </w:r>
    </w:p>
    <w:p w14:paraId="123ED094" w14:textId="140C4D63" w:rsidR="00FA64C4" w:rsidRDefault="00FA64C4" w:rsidP="006E4C9F">
      <w:pPr>
        <w:spacing w:line="360" w:lineRule="auto"/>
        <w:rPr>
          <w:lang w:val="en-US"/>
        </w:rPr>
      </w:pPr>
      <w:r>
        <w:rPr>
          <w:lang w:val="en-US"/>
        </w:rPr>
        <w:t>In 2023, GPM is = (3,</w:t>
      </w:r>
      <w:r w:rsidR="00AE6EE5">
        <w:rPr>
          <w:lang w:val="en-US"/>
        </w:rPr>
        <w:t>620</w:t>
      </w:r>
      <w:r>
        <w:rPr>
          <w:lang w:val="en-US"/>
        </w:rPr>
        <w:t xml:space="preserve"> / 16,486) * 100 = 21.96%</w:t>
      </w:r>
    </w:p>
    <w:p w14:paraId="3DB1FA48" w14:textId="56F7FE35" w:rsidR="00FA64C4" w:rsidRDefault="00FA64C4" w:rsidP="006E4C9F">
      <w:pPr>
        <w:spacing w:line="360" w:lineRule="auto"/>
        <w:rPr>
          <w:lang w:val="en-US"/>
        </w:rPr>
      </w:pPr>
      <w:r>
        <w:rPr>
          <w:lang w:val="en-US"/>
        </w:rPr>
        <w:t>In 2024, GPM is = (4,221 / 18,909) * 100 = 22.32%</w:t>
      </w:r>
    </w:p>
    <w:p w14:paraId="6BCB370F" w14:textId="781D544C" w:rsidR="00FA64C4" w:rsidRDefault="00E75FE9" w:rsidP="006E4C9F">
      <w:pPr>
        <w:spacing w:line="360" w:lineRule="auto"/>
        <w:rPr>
          <w:lang w:val="en-US"/>
        </w:rPr>
      </w:pPr>
      <w:r>
        <w:rPr>
          <w:lang w:val="en-US"/>
        </w:rPr>
        <w:t xml:space="preserve">The gross profit margin or GPM has marginally increased from a steady 21.96% in 2023 to 22.32% in 2024. This indicates that the company has converted revenue quite efficiently into gross profit (Rolls-Royce, 2024). </w:t>
      </w:r>
      <w:r w:rsidR="004070FE">
        <w:rPr>
          <w:lang w:val="en-US"/>
        </w:rPr>
        <w:t>When it comes to capital-intensive manufacturing industries, usually increasing gross margins are taken as guaranty of the company’s pricing power and cost control (Rashid, 2021).</w:t>
      </w:r>
    </w:p>
    <w:p w14:paraId="71F41B6D" w14:textId="6C659371" w:rsidR="00FA64C4" w:rsidRDefault="00FA64C4" w:rsidP="00FA64C4">
      <w:pPr>
        <w:spacing w:line="360" w:lineRule="auto"/>
        <w:rPr>
          <w:b/>
          <w:bCs/>
          <w:lang w:val="en-US"/>
        </w:rPr>
      </w:pPr>
      <w:r>
        <w:rPr>
          <w:b/>
          <w:bCs/>
          <w:lang w:val="en-US"/>
        </w:rPr>
        <w:t>Operating Profit Margin</w:t>
      </w:r>
    </w:p>
    <w:p w14:paraId="3CCD216E" w14:textId="0C0C6A98" w:rsidR="00FA64C4" w:rsidRDefault="00FA64C4" w:rsidP="00FA64C4">
      <w:pPr>
        <w:spacing w:line="360" w:lineRule="auto"/>
        <w:rPr>
          <w:lang w:val="en-US"/>
        </w:rPr>
      </w:pPr>
      <w:r>
        <w:rPr>
          <w:lang w:val="en-US"/>
        </w:rPr>
        <w:t xml:space="preserve">The formula to calculate </w:t>
      </w:r>
      <w:r w:rsidR="00DE6879">
        <w:rPr>
          <w:lang w:val="en-US"/>
        </w:rPr>
        <w:t>operating</w:t>
      </w:r>
      <w:r>
        <w:rPr>
          <w:lang w:val="en-US"/>
        </w:rPr>
        <w:t xml:space="preserve"> profit margin is = (</w:t>
      </w:r>
      <w:r w:rsidR="00DE6879">
        <w:rPr>
          <w:lang w:val="en-US"/>
        </w:rPr>
        <w:t>Operating</w:t>
      </w:r>
      <w:r>
        <w:rPr>
          <w:lang w:val="en-US"/>
        </w:rPr>
        <w:t xml:space="preserve"> Profit / Revenue) * 100</w:t>
      </w:r>
    </w:p>
    <w:p w14:paraId="2488441E" w14:textId="276A2183" w:rsidR="00FA64C4" w:rsidRDefault="00FA64C4" w:rsidP="00FA64C4">
      <w:pPr>
        <w:spacing w:line="360" w:lineRule="auto"/>
        <w:rPr>
          <w:lang w:val="en-US"/>
        </w:rPr>
      </w:pPr>
      <w:r>
        <w:rPr>
          <w:lang w:val="en-US"/>
        </w:rPr>
        <w:t xml:space="preserve">In 2023, </w:t>
      </w:r>
      <w:r w:rsidR="00DE6879">
        <w:rPr>
          <w:lang w:val="en-US"/>
        </w:rPr>
        <w:t>OPM</w:t>
      </w:r>
      <w:r>
        <w:rPr>
          <w:lang w:val="en-US"/>
        </w:rPr>
        <w:t xml:space="preserve"> is = (</w:t>
      </w:r>
      <w:r w:rsidR="00DE6879">
        <w:rPr>
          <w:lang w:val="en-US"/>
        </w:rPr>
        <w:t>1,944</w:t>
      </w:r>
      <w:r>
        <w:rPr>
          <w:lang w:val="en-US"/>
        </w:rPr>
        <w:t xml:space="preserve"> / </w:t>
      </w:r>
      <w:r w:rsidR="00DE6879">
        <w:rPr>
          <w:lang w:val="en-US"/>
        </w:rPr>
        <w:t>16,486</w:t>
      </w:r>
      <w:r>
        <w:rPr>
          <w:lang w:val="en-US"/>
        </w:rPr>
        <w:t xml:space="preserve">) * 100 = </w:t>
      </w:r>
      <w:r w:rsidR="00DE6879">
        <w:rPr>
          <w:lang w:val="en-US"/>
        </w:rPr>
        <w:t>11.79</w:t>
      </w:r>
      <w:r>
        <w:rPr>
          <w:lang w:val="en-US"/>
        </w:rPr>
        <w:t>%</w:t>
      </w:r>
    </w:p>
    <w:p w14:paraId="1AA9ED7F" w14:textId="60D514E3" w:rsidR="00FA64C4" w:rsidRDefault="00FA64C4" w:rsidP="00FA64C4">
      <w:pPr>
        <w:spacing w:line="360" w:lineRule="auto"/>
        <w:rPr>
          <w:lang w:val="en-US"/>
        </w:rPr>
      </w:pPr>
      <w:r>
        <w:rPr>
          <w:lang w:val="en-US"/>
        </w:rPr>
        <w:t xml:space="preserve">In 2024, </w:t>
      </w:r>
      <w:r w:rsidR="00DE6879">
        <w:rPr>
          <w:lang w:val="en-US"/>
        </w:rPr>
        <w:t>O</w:t>
      </w:r>
      <w:r>
        <w:rPr>
          <w:lang w:val="en-US"/>
        </w:rPr>
        <w:t>PM is = (</w:t>
      </w:r>
      <w:r w:rsidR="00DE6879">
        <w:rPr>
          <w:lang w:val="en-US"/>
        </w:rPr>
        <w:t>2,906</w:t>
      </w:r>
      <w:r>
        <w:rPr>
          <w:lang w:val="en-US"/>
        </w:rPr>
        <w:t xml:space="preserve"> / 18,909) * 100 = </w:t>
      </w:r>
      <w:r w:rsidR="00DE6879">
        <w:rPr>
          <w:lang w:val="en-US"/>
        </w:rPr>
        <w:t>15.37</w:t>
      </w:r>
      <w:r>
        <w:rPr>
          <w:lang w:val="en-US"/>
        </w:rPr>
        <w:t>%</w:t>
      </w:r>
    </w:p>
    <w:p w14:paraId="6136BAC3" w14:textId="6C577C9E" w:rsidR="00FA64C4" w:rsidRDefault="00F96EBB" w:rsidP="006E4C9F">
      <w:pPr>
        <w:spacing w:line="360" w:lineRule="auto"/>
        <w:rPr>
          <w:lang w:val="en-US"/>
        </w:rPr>
      </w:pPr>
      <w:r>
        <w:rPr>
          <w:lang w:val="en-US"/>
        </w:rPr>
        <w:t xml:space="preserve">The operating margin increased, as well, from 11.79% in 2023 to 15.37% in 2024. This is a major uplift in OPM considering the minor increase in the company’s GPM. This shows the company’s stronger operating leverage and positive effects of its transformation program undertaken in recent years (Stone, 2024). </w:t>
      </w:r>
      <w:r w:rsidR="00545B52">
        <w:rPr>
          <w:lang w:val="en-US"/>
        </w:rPr>
        <w:t xml:space="preserve">In relation to academic studies, </w:t>
      </w:r>
      <w:r w:rsidR="002E3473">
        <w:rPr>
          <w:lang w:val="en-US"/>
        </w:rPr>
        <w:t>sustained operating margins refer to improved cost efficiency and commercial discipline of an engineering company (Harrison and Morton, 2007).</w:t>
      </w:r>
    </w:p>
    <w:p w14:paraId="62C8DEF9" w14:textId="1B1234FC" w:rsidR="00FA64C4" w:rsidRDefault="00FA64C4" w:rsidP="00FA64C4">
      <w:pPr>
        <w:spacing w:line="360" w:lineRule="auto"/>
        <w:rPr>
          <w:b/>
          <w:bCs/>
          <w:lang w:val="en-US"/>
        </w:rPr>
      </w:pPr>
      <w:r>
        <w:rPr>
          <w:b/>
          <w:bCs/>
          <w:lang w:val="en-US"/>
        </w:rPr>
        <w:t>Net Profit Margin</w:t>
      </w:r>
    </w:p>
    <w:p w14:paraId="4F1EED98" w14:textId="39F41BCF" w:rsidR="00FA64C4" w:rsidRDefault="00FA64C4" w:rsidP="00FA64C4">
      <w:pPr>
        <w:spacing w:line="360" w:lineRule="auto"/>
        <w:rPr>
          <w:lang w:val="en-US"/>
        </w:rPr>
      </w:pPr>
      <w:r>
        <w:rPr>
          <w:lang w:val="en-US"/>
        </w:rPr>
        <w:t xml:space="preserve">The formula to calculate </w:t>
      </w:r>
      <w:r w:rsidR="00DE6879">
        <w:rPr>
          <w:lang w:val="en-US"/>
        </w:rPr>
        <w:t>net</w:t>
      </w:r>
      <w:r>
        <w:rPr>
          <w:lang w:val="en-US"/>
        </w:rPr>
        <w:t xml:space="preserve"> profit margin is = (</w:t>
      </w:r>
      <w:r w:rsidR="00DE6879">
        <w:rPr>
          <w:lang w:val="en-US"/>
        </w:rPr>
        <w:t>Net</w:t>
      </w:r>
      <w:r>
        <w:rPr>
          <w:lang w:val="en-US"/>
        </w:rPr>
        <w:t xml:space="preserve"> Profit / Revenue) * 100</w:t>
      </w:r>
    </w:p>
    <w:p w14:paraId="708DB2B6" w14:textId="60E32033" w:rsidR="00FA64C4" w:rsidRDefault="00FA64C4" w:rsidP="00FA64C4">
      <w:pPr>
        <w:spacing w:line="360" w:lineRule="auto"/>
        <w:rPr>
          <w:lang w:val="en-US"/>
        </w:rPr>
      </w:pPr>
      <w:r>
        <w:rPr>
          <w:lang w:val="en-US"/>
        </w:rPr>
        <w:t xml:space="preserve">In 2023, </w:t>
      </w:r>
      <w:r w:rsidR="00DE6879">
        <w:rPr>
          <w:lang w:val="en-US"/>
        </w:rPr>
        <w:t>N</w:t>
      </w:r>
      <w:r>
        <w:rPr>
          <w:lang w:val="en-US"/>
        </w:rPr>
        <w:t>PM is = (</w:t>
      </w:r>
      <w:r w:rsidR="00AE6EE5">
        <w:rPr>
          <w:lang w:val="en-US"/>
        </w:rPr>
        <w:t>2,404</w:t>
      </w:r>
      <w:r>
        <w:rPr>
          <w:lang w:val="en-US"/>
        </w:rPr>
        <w:t xml:space="preserve"> / 16,486) * 100 = </w:t>
      </w:r>
      <w:r w:rsidR="00AE6EE5">
        <w:rPr>
          <w:lang w:val="en-US"/>
        </w:rPr>
        <w:t>14.58</w:t>
      </w:r>
      <w:r>
        <w:rPr>
          <w:lang w:val="en-US"/>
        </w:rPr>
        <w:t>%</w:t>
      </w:r>
    </w:p>
    <w:p w14:paraId="2E2BD64C" w14:textId="11F7938D" w:rsidR="00FA64C4" w:rsidRDefault="00FA64C4" w:rsidP="006E4C9F">
      <w:pPr>
        <w:spacing w:line="360" w:lineRule="auto"/>
        <w:rPr>
          <w:lang w:val="en-US"/>
        </w:rPr>
      </w:pPr>
      <w:r>
        <w:rPr>
          <w:lang w:val="en-US"/>
        </w:rPr>
        <w:t xml:space="preserve">In 2024, </w:t>
      </w:r>
      <w:r w:rsidR="00DE6879">
        <w:rPr>
          <w:lang w:val="en-US"/>
        </w:rPr>
        <w:t>N</w:t>
      </w:r>
      <w:r>
        <w:rPr>
          <w:lang w:val="en-US"/>
        </w:rPr>
        <w:t>PM is = (</w:t>
      </w:r>
      <w:r w:rsidR="00AE6EE5">
        <w:rPr>
          <w:lang w:val="en-US"/>
        </w:rPr>
        <w:t>2,484</w:t>
      </w:r>
      <w:r>
        <w:rPr>
          <w:lang w:val="en-US"/>
        </w:rPr>
        <w:t xml:space="preserve"> / 18,909) * 100 = </w:t>
      </w:r>
      <w:r w:rsidR="00AE6EE5">
        <w:rPr>
          <w:lang w:val="en-US"/>
        </w:rPr>
        <w:t>13.14</w:t>
      </w:r>
      <w:r>
        <w:rPr>
          <w:lang w:val="en-US"/>
        </w:rPr>
        <w:t>%</w:t>
      </w:r>
    </w:p>
    <w:p w14:paraId="78D077AB" w14:textId="67B31868" w:rsidR="00FA64C4" w:rsidRDefault="00DA1D90" w:rsidP="006E4C9F">
      <w:pPr>
        <w:spacing w:line="360" w:lineRule="auto"/>
        <w:rPr>
          <w:lang w:val="en-US"/>
        </w:rPr>
      </w:pPr>
      <w:r>
        <w:rPr>
          <w:lang w:val="en-US"/>
        </w:rPr>
        <w:t xml:space="preserve">The </w:t>
      </w:r>
      <w:r w:rsidR="00AF6135">
        <w:rPr>
          <w:lang w:val="en-US"/>
        </w:rPr>
        <w:t xml:space="preserve">net profit margin has declined from 14.58% in 2023 to 13.14% in 2024 which is a setback for the company despite its increasing operating profit margin and gross profit margin. </w:t>
      </w:r>
      <w:r w:rsidR="006C6D30">
        <w:rPr>
          <w:lang w:val="en-US"/>
        </w:rPr>
        <w:t>This problem can be traced back to its increased financing costs as well as other below-the-line-items (Stone, 2024)</w:t>
      </w:r>
      <w:r w:rsidR="00567CD3">
        <w:rPr>
          <w:lang w:val="en-US"/>
        </w:rPr>
        <w:t>.</w:t>
      </w:r>
      <w:r w:rsidR="00C76AFB">
        <w:rPr>
          <w:lang w:val="en-US"/>
        </w:rPr>
        <w:t xml:space="preserve"> This helps to illustrate that increasing OPM and GPM can</w:t>
      </w:r>
      <w:r w:rsidR="003F48B2">
        <w:rPr>
          <w:lang w:val="en-US"/>
        </w:rPr>
        <w:t>not always capture the impact of a company’s financing structure as other items can have impact on profitability of a company, as well (Faello, 2015).</w:t>
      </w:r>
    </w:p>
    <w:p w14:paraId="54E9E720" w14:textId="45000257" w:rsidR="00B80166" w:rsidRDefault="00B80166" w:rsidP="00B80166">
      <w:pPr>
        <w:spacing w:line="360" w:lineRule="auto"/>
        <w:jc w:val="center"/>
      </w:pPr>
      <w:r>
        <w:rPr>
          <w:noProof/>
        </w:rPr>
        <w:lastRenderedPageBreak/>
        <w:drawing>
          <wp:inline distT="0" distB="0" distL="0" distR="0" wp14:anchorId="2C6699ED" wp14:editId="276204E0">
            <wp:extent cx="5486400" cy="3200400"/>
            <wp:effectExtent l="0" t="0" r="0" b="0"/>
            <wp:docPr id="93939533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0F71299" w14:textId="30FEE18F" w:rsidR="00B80166" w:rsidRPr="00B80166" w:rsidRDefault="00B80166" w:rsidP="00B80166">
      <w:pPr>
        <w:spacing w:line="360" w:lineRule="auto"/>
        <w:jc w:val="center"/>
      </w:pPr>
      <w:r>
        <w:rPr>
          <w:b/>
          <w:bCs/>
        </w:rPr>
        <w:t>Figure</w:t>
      </w:r>
      <w:r w:rsidR="007F39CA">
        <w:rPr>
          <w:b/>
          <w:bCs/>
        </w:rPr>
        <w:t xml:space="preserve"> 2</w:t>
      </w:r>
      <w:r>
        <w:rPr>
          <w:b/>
          <w:bCs/>
        </w:rPr>
        <w:t xml:space="preserve">: </w:t>
      </w:r>
      <w:r>
        <w:t>Profitability Ratios (Source: Own)</w:t>
      </w:r>
    </w:p>
    <w:p w14:paraId="2238901A" w14:textId="0FB9DD59" w:rsidR="006E4C9F" w:rsidRPr="006E4C9F" w:rsidRDefault="00EB0658" w:rsidP="006E4C9F">
      <w:pPr>
        <w:pStyle w:val="Heading3"/>
        <w:spacing w:line="360" w:lineRule="auto"/>
        <w:rPr>
          <w:rFonts w:ascii="Times New Roman" w:hAnsi="Times New Roman" w:cs="Times New Roman"/>
          <w:b/>
          <w:bCs/>
          <w:sz w:val="24"/>
          <w:szCs w:val="32"/>
          <w:lang w:val="en-US"/>
        </w:rPr>
      </w:pPr>
      <w:bookmarkStart w:id="7" w:name="_Toc224345111"/>
      <w:r>
        <w:rPr>
          <w:rFonts w:ascii="Times New Roman" w:hAnsi="Times New Roman" w:cs="Times New Roman"/>
          <w:b/>
          <w:bCs/>
          <w:sz w:val="24"/>
          <w:szCs w:val="32"/>
          <w:lang w:val="en-US"/>
        </w:rPr>
        <w:t>Liquidity</w:t>
      </w:r>
      <w:r w:rsidR="006E4C9F">
        <w:rPr>
          <w:rFonts w:ascii="Times New Roman" w:hAnsi="Times New Roman" w:cs="Times New Roman"/>
          <w:b/>
          <w:bCs/>
          <w:sz w:val="24"/>
          <w:szCs w:val="32"/>
          <w:lang w:val="en-US"/>
        </w:rPr>
        <w:t xml:space="preserve"> Ratios</w:t>
      </w:r>
      <w:bookmarkEnd w:id="7"/>
    </w:p>
    <w:p w14:paraId="6EFCFBF3" w14:textId="4BE9A95C" w:rsidR="006E4C9F" w:rsidRDefault="00AE6EE5" w:rsidP="006E4C9F">
      <w:pPr>
        <w:spacing w:line="360" w:lineRule="auto"/>
        <w:rPr>
          <w:lang w:val="en-US"/>
        </w:rPr>
      </w:pPr>
      <w:r>
        <w:rPr>
          <w:lang w:val="en-US"/>
        </w:rPr>
        <w:t>These are the ratios which refer to the ability of a company to meet its short-term debt obligations using its relatively short-term assets</w:t>
      </w:r>
      <w:r w:rsidR="004C1043">
        <w:rPr>
          <w:lang w:val="en-US"/>
        </w:rPr>
        <w:t>,</w:t>
      </w:r>
      <w:r>
        <w:rPr>
          <w:lang w:val="en-US"/>
        </w:rPr>
        <w:t xml:space="preserve"> such as cash, accounts </w:t>
      </w:r>
      <w:r w:rsidR="004C1043">
        <w:rPr>
          <w:lang w:val="en-US"/>
        </w:rPr>
        <w:t>receivable</w:t>
      </w:r>
      <w:r>
        <w:rPr>
          <w:lang w:val="en-US"/>
        </w:rPr>
        <w:t>, inventory</w:t>
      </w:r>
      <w:r w:rsidR="004C1043">
        <w:rPr>
          <w:lang w:val="en-US"/>
        </w:rPr>
        <w:t>,</w:t>
      </w:r>
      <w:r>
        <w:rPr>
          <w:lang w:val="en-US"/>
        </w:rPr>
        <w:t xml:space="preserve"> etc.</w:t>
      </w:r>
      <w:r w:rsidR="009671D0">
        <w:rPr>
          <w:lang w:val="en-US"/>
        </w:rPr>
        <w:t xml:space="preserve"> </w:t>
      </w:r>
      <w:r w:rsidR="00C35C3B">
        <w:rPr>
          <w:lang w:val="en-US"/>
        </w:rPr>
        <w:t>(</w:t>
      </w:r>
      <w:r w:rsidR="00C35C3B" w:rsidRPr="00C35C3B">
        <w:t>Rashid</w:t>
      </w:r>
      <w:r w:rsidR="00C35C3B">
        <w:t xml:space="preserve">, 2018). </w:t>
      </w:r>
      <w:r w:rsidR="009671D0">
        <w:rPr>
          <w:lang w:val="en-US"/>
        </w:rPr>
        <w:t xml:space="preserve">Liquidity ratios are important to check the financial condition of companies to pay </w:t>
      </w:r>
      <w:r w:rsidR="004C1043">
        <w:rPr>
          <w:lang w:val="en-US"/>
        </w:rPr>
        <w:t>their</w:t>
      </w:r>
      <w:r w:rsidR="009671D0">
        <w:rPr>
          <w:lang w:val="en-US"/>
        </w:rPr>
        <w:t xml:space="preserve"> debts. </w:t>
      </w:r>
      <w:r w:rsidR="00362837">
        <w:rPr>
          <w:lang w:val="en-US"/>
        </w:rPr>
        <w:t>The necessary liquidity ratios for Rolls-Royce Holdings PLC are calculated below.</w:t>
      </w:r>
    </w:p>
    <w:p w14:paraId="53B8D248" w14:textId="27F38A05" w:rsidR="00EA6BEF" w:rsidRDefault="00EA6BEF" w:rsidP="006E4C9F">
      <w:pPr>
        <w:spacing w:line="360" w:lineRule="auto"/>
        <w:rPr>
          <w:b/>
          <w:bCs/>
          <w:lang w:val="en-US"/>
        </w:rPr>
      </w:pPr>
      <w:r>
        <w:rPr>
          <w:b/>
          <w:bCs/>
          <w:lang w:val="en-US"/>
        </w:rPr>
        <w:t>Current Ratio</w:t>
      </w:r>
    </w:p>
    <w:p w14:paraId="1DA1D61E" w14:textId="0EF7C953" w:rsidR="00EA6BEF" w:rsidRDefault="00EA6BEF" w:rsidP="00EA6BEF">
      <w:pPr>
        <w:spacing w:line="360" w:lineRule="auto"/>
        <w:rPr>
          <w:lang w:val="en-US"/>
        </w:rPr>
      </w:pPr>
      <w:r>
        <w:rPr>
          <w:lang w:val="en-US"/>
        </w:rPr>
        <w:t xml:space="preserve">The formula to calculate </w:t>
      </w:r>
      <w:r w:rsidR="004C1043">
        <w:rPr>
          <w:lang w:val="en-US"/>
        </w:rPr>
        <w:t xml:space="preserve">the </w:t>
      </w:r>
      <w:r>
        <w:rPr>
          <w:lang w:val="en-US"/>
        </w:rPr>
        <w:t>current ratio is = (Current Assets</w:t>
      </w:r>
      <w:r w:rsidR="001640CA">
        <w:rPr>
          <w:lang w:val="en-US"/>
        </w:rPr>
        <w:t xml:space="preserve"> </w:t>
      </w:r>
      <w:r>
        <w:rPr>
          <w:lang w:val="en-US"/>
        </w:rPr>
        <w:t>/ Current Debts)</w:t>
      </w:r>
    </w:p>
    <w:p w14:paraId="64A001AE" w14:textId="108A5F6B" w:rsidR="00EA6BEF" w:rsidRDefault="00EA6BEF" w:rsidP="00EA6BEF">
      <w:pPr>
        <w:spacing w:line="360" w:lineRule="auto"/>
        <w:rPr>
          <w:lang w:val="en-US"/>
        </w:rPr>
      </w:pPr>
      <w:r>
        <w:rPr>
          <w:lang w:val="en-US"/>
        </w:rPr>
        <w:t>In 2023, CR is = (18,111 / 14,926) = 1.21:1</w:t>
      </w:r>
    </w:p>
    <w:p w14:paraId="129E67F6" w14:textId="416A555E" w:rsidR="00EA6BEF" w:rsidRDefault="00EA6BEF" w:rsidP="00EA6BEF">
      <w:pPr>
        <w:spacing w:line="360" w:lineRule="auto"/>
        <w:rPr>
          <w:lang w:val="en-US"/>
        </w:rPr>
      </w:pPr>
      <w:r>
        <w:rPr>
          <w:lang w:val="en-US"/>
        </w:rPr>
        <w:t>In 2024, CR is = (21,473 / 16,763) = 1.28:1</w:t>
      </w:r>
    </w:p>
    <w:p w14:paraId="41618E85" w14:textId="61097139" w:rsidR="00EA6BEF" w:rsidRPr="00A1147F" w:rsidRDefault="00A1147F" w:rsidP="00EA6BEF">
      <w:pPr>
        <w:spacing w:line="360" w:lineRule="auto"/>
        <w:rPr>
          <w:lang w:val="en-US"/>
        </w:rPr>
      </w:pPr>
      <w:r>
        <w:rPr>
          <w:lang w:val="en-US"/>
        </w:rPr>
        <w:t xml:space="preserve">The </w:t>
      </w:r>
      <w:r w:rsidR="001640CA">
        <w:rPr>
          <w:lang w:val="en-US"/>
        </w:rPr>
        <w:t>current ratio</w:t>
      </w:r>
      <w:r>
        <w:rPr>
          <w:lang w:val="en-US"/>
        </w:rPr>
        <w:t xml:space="preserve"> improved from 1.21:1 in 2023 to 1.28:1 in 2024, showcasing </w:t>
      </w:r>
      <w:r w:rsidR="004C1043">
        <w:rPr>
          <w:lang w:val="en-US"/>
        </w:rPr>
        <w:t xml:space="preserve">the </w:t>
      </w:r>
      <w:r>
        <w:rPr>
          <w:lang w:val="en-US"/>
        </w:rPr>
        <w:t>strengthening liquidity positioning of the company</w:t>
      </w:r>
      <w:r w:rsidR="005D721A">
        <w:rPr>
          <w:lang w:val="en-US"/>
        </w:rPr>
        <w:t xml:space="preserve"> (Rolls-Royce, 2024)</w:t>
      </w:r>
      <w:r>
        <w:rPr>
          <w:lang w:val="en-US"/>
        </w:rPr>
        <w:t xml:space="preserve">. </w:t>
      </w:r>
      <w:r w:rsidR="002209B1">
        <w:rPr>
          <w:lang w:val="en-US"/>
        </w:rPr>
        <w:t xml:space="preserve">Although </w:t>
      </w:r>
      <w:r w:rsidR="001640CA">
        <w:rPr>
          <w:lang w:val="en-US"/>
        </w:rPr>
        <w:t>many texts recommend to</w:t>
      </w:r>
      <w:r w:rsidR="002209B1">
        <w:rPr>
          <w:lang w:val="en-US"/>
        </w:rPr>
        <w:t xml:space="preserve"> maintain a </w:t>
      </w:r>
      <w:r w:rsidR="001640CA">
        <w:rPr>
          <w:lang w:val="en-US"/>
        </w:rPr>
        <w:t>current ratio</w:t>
      </w:r>
      <w:r w:rsidR="002209B1">
        <w:rPr>
          <w:lang w:val="en-US"/>
        </w:rPr>
        <w:t xml:space="preserve"> of 2:1</w:t>
      </w:r>
      <w:r w:rsidR="001640CA">
        <w:rPr>
          <w:lang w:val="en-US"/>
        </w:rPr>
        <w:t xml:space="preserve"> as more of a broad rule of thumb, the adequate ones can vary from one industry to another one (Rashid, 2018).</w:t>
      </w:r>
      <w:r w:rsidR="002209B1">
        <w:rPr>
          <w:lang w:val="en-US"/>
        </w:rPr>
        <w:t xml:space="preserve"> </w:t>
      </w:r>
      <w:r w:rsidR="001640CA">
        <w:rPr>
          <w:lang w:val="en-US"/>
        </w:rPr>
        <w:t>A</w:t>
      </w:r>
      <w:r w:rsidR="002209B1">
        <w:rPr>
          <w:lang w:val="en-US"/>
        </w:rPr>
        <w:t xml:space="preserve">s the company is still </w:t>
      </w:r>
      <w:r w:rsidR="004C1043">
        <w:rPr>
          <w:lang w:val="en-US"/>
        </w:rPr>
        <w:t>transforming</w:t>
      </w:r>
      <w:r w:rsidR="002209B1">
        <w:rPr>
          <w:lang w:val="en-US"/>
        </w:rPr>
        <w:t xml:space="preserve">, </w:t>
      </w:r>
      <w:r w:rsidR="001E48F3">
        <w:rPr>
          <w:lang w:val="en-US"/>
        </w:rPr>
        <w:t xml:space="preserve">the </w:t>
      </w:r>
      <w:r w:rsidR="004C1043">
        <w:rPr>
          <w:lang w:val="en-US"/>
        </w:rPr>
        <w:t>improved</w:t>
      </w:r>
      <w:r w:rsidR="001E48F3">
        <w:rPr>
          <w:lang w:val="en-US"/>
        </w:rPr>
        <w:t xml:space="preserve"> scenario showcases </w:t>
      </w:r>
      <w:r w:rsidR="004C1043">
        <w:rPr>
          <w:lang w:val="en-US"/>
        </w:rPr>
        <w:t xml:space="preserve">the </w:t>
      </w:r>
      <w:r w:rsidR="001E48F3">
        <w:rPr>
          <w:lang w:val="en-US"/>
        </w:rPr>
        <w:t>effectiveness</w:t>
      </w:r>
      <w:r w:rsidR="00386999">
        <w:rPr>
          <w:lang w:val="en-US"/>
        </w:rPr>
        <w:t xml:space="preserve"> of the company’s strategic decisions.</w:t>
      </w:r>
    </w:p>
    <w:p w14:paraId="34ACE6B7" w14:textId="5BF47ACB" w:rsidR="0080129C" w:rsidRDefault="0080129C" w:rsidP="00EA6BEF">
      <w:pPr>
        <w:spacing w:line="360" w:lineRule="auto"/>
        <w:rPr>
          <w:b/>
          <w:bCs/>
          <w:lang w:val="en-US"/>
        </w:rPr>
      </w:pPr>
      <w:r>
        <w:rPr>
          <w:b/>
          <w:bCs/>
          <w:lang w:val="en-US"/>
        </w:rPr>
        <w:t>Quick Ratio</w:t>
      </w:r>
    </w:p>
    <w:p w14:paraId="3C01DD00" w14:textId="51183AE3" w:rsidR="00EA6BEF" w:rsidRDefault="00EA6BEF" w:rsidP="00EA6BEF">
      <w:pPr>
        <w:spacing w:line="360" w:lineRule="auto"/>
        <w:rPr>
          <w:lang w:val="en-US"/>
        </w:rPr>
      </w:pPr>
      <w:r>
        <w:rPr>
          <w:lang w:val="en-US"/>
        </w:rPr>
        <w:t xml:space="preserve">The formula to calculate </w:t>
      </w:r>
      <w:r w:rsidR="004C1043">
        <w:rPr>
          <w:lang w:val="en-US"/>
        </w:rPr>
        <w:t xml:space="preserve">the </w:t>
      </w:r>
      <w:r>
        <w:rPr>
          <w:lang w:val="en-US"/>
        </w:rPr>
        <w:t>quick ratio is = (Quick Assets/ Current Debts)</w:t>
      </w:r>
    </w:p>
    <w:p w14:paraId="2E8827EF" w14:textId="36FC6CB4" w:rsidR="00EA6BEF" w:rsidRDefault="00EA6BEF" w:rsidP="00EA6BEF">
      <w:pPr>
        <w:spacing w:line="360" w:lineRule="auto"/>
        <w:rPr>
          <w:lang w:val="en-US"/>
        </w:rPr>
      </w:pPr>
      <w:r>
        <w:rPr>
          <w:lang w:val="en-US"/>
        </w:rPr>
        <w:t xml:space="preserve">In 2023, QR is = </w:t>
      </w:r>
      <w:r w:rsidR="00E31C89">
        <w:rPr>
          <w:lang w:val="en-US"/>
        </w:rPr>
        <w:t>[</w:t>
      </w:r>
      <w:r>
        <w:rPr>
          <w:lang w:val="en-US"/>
        </w:rPr>
        <w:t>(</w:t>
      </w:r>
      <w:r w:rsidR="00E31C89">
        <w:rPr>
          <w:lang w:val="en-US"/>
        </w:rPr>
        <w:t>18,111 – 4,848)</w:t>
      </w:r>
      <w:r>
        <w:rPr>
          <w:lang w:val="en-US"/>
        </w:rPr>
        <w:t xml:space="preserve"> / 16,486</w:t>
      </w:r>
      <w:r w:rsidR="00E31C89">
        <w:rPr>
          <w:lang w:val="en-US"/>
        </w:rPr>
        <w:t>]</w:t>
      </w:r>
      <w:r>
        <w:rPr>
          <w:lang w:val="en-US"/>
        </w:rPr>
        <w:t xml:space="preserve"> = </w:t>
      </w:r>
      <w:r w:rsidR="00190F09">
        <w:rPr>
          <w:lang w:val="en-US"/>
        </w:rPr>
        <w:t>0.89:1</w:t>
      </w:r>
    </w:p>
    <w:p w14:paraId="3870DAFC" w14:textId="5F3EBE89" w:rsidR="00EA6BEF" w:rsidRDefault="00EA6BEF" w:rsidP="00EA6BEF">
      <w:pPr>
        <w:spacing w:line="360" w:lineRule="auto"/>
        <w:rPr>
          <w:lang w:val="en-US"/>
        </w:rPr>
      </w:pPr>
      <w:r>
        <w:rPr>
          <w:lang w:val="en-US"/>
        </w:rPr>
        <w:lastRenderedPageBreak/>
        <w:t xml:space="preserve">In 2024, QR is = </w:t>
      </w:r>
      <w:r w:rsidR="00190F09">
        <w:rPr>
          <w:lang w:val="en-US"/>
        </w:rPr>
        <w:t>[</w:t>
      </w:r>
      <w:r>
        <w:rPr>
          <w:lang w:val="en-US"/>
        </w:rPr>
        <w:t>(</w:t>
      </w:r>
      <w:r w:rsidR="00190F09">
        <w:rPr>
          <w:lang w:val="en-US"/>
        </w:rPr>
        <w:t>21,473 – 5,092)</w:t>
      </w:r>
      <w:r>
        <w:rPr>
          <w:lang w:val="en-US"/>
        </w:rPr>
        <w:t xml:space="preserve"> / 18,909</w:t>
      </w:r>
      <w:r w:rsidR="00190F09">
        <w:rPr>
          <w:lang w:val="en-US"/>
        </w:rPr>
        <w:t xml:space="preserve">] </w:t>
      </w:r>
      <w:r>
        <w:rPr>
          <w:lang w:val="en-US"/>
        </w:rPr>
        <w:t xml:space="preserve">= </w:t>
      </w:r>
      <w:r w:rsidR="00190F09">
        <w:rPr>
          <w:lang w:val="en-US"/>
        </w:rPr>
        <w:t>0.98:1</w:t>
      </w:r>
    </w:p>
    <w:p w14:paraId="20E5BFA4" w14:textId="0BAC6946" w:rsidR="00EA6BEF" w:rsidRDefault="00B41F2F" w:rsidP="00EA6BEF">
      <w:pPr>
        <w:spacing w:line="360" w:lineRule="auto"/>
        <w:rPr>
          <w:lang w:val="en-US"/>
        </w:rPr>
      </w:pPr>
      <w:r>
        <w:rPr>
          <w:lang w:val="en-US"/>
        </w:rPr>
        <w:t>The QR has dramatically increased from 0.89:1 in 2023 to 0.98:1 in 2024, indicating more than 10% improvement</w:t>
      </w:r>
      <w:r w:rsidR="005D721A">
        <w:rPr>
          <w:lang w:val="en-US"/>
        </w:rPr>
        <w:t xml:space="preserve"> (Rolls-Royce, 2024)</w:t>
      </w:r>
      <w:r>
        <w:rPr>
          <w:lang w:val="en-US"/>
        </w:rPr>
        <w:t xml:space="preserve">. </w:t>
      </w:r>
      <w:r w:rsidR="00E00BC5">
        <w:rPr>
          <w:lang w:val="en-US"/>
        </w:rPr>
        <w:t>Now, many texts suggest to maintain</w:t>
      </w:r>
      <w:r w:rsidR="003C7FFC">
        <w:rPr>
          <w:lang w:val="en-US"/>
        </w:rPr>
        <w:t xml:space="preserve"> a 1:1 </w:t>
      </w:r>
      <w:r w:rsidR="00E00BC5">
        <w:rPr>
          <w:lang w:val="en-US"/>
        </w:rPr>
        <w:t>quick ratio</w:t>
      </w:r>
      <w:r w:rsidR="003C7FFC">
        <w:rPr>
          <w:lang w:val="en-US"/>
        </w:rPr>
        <w:t>,</w:t>
      </w:r>
      <w:r w:rsidR="001547E2">
        <w:rPr>
          <w:lang w:val="en-US"/>
        </w:rPr>
        <w:t xml:space="preserve"> the applicable one for specific companies can vary from one industry to another one (Harris and El-Massri, 2011).</w:t>
      </w:r>
      <w:r w:rsidR="003C7FFC">
        <w:rPr>
          <w:lang w:val="en-US"/>
        </w:rPr>
        <w:t xml:space="preserve"> </w:t>
      </w:r>
      <w:r w:rsidR="001547E2">
        <w:rPr>
          <w:lang w:val="en-US"/>
        </w:rPr>
        <w:t xml:space="preserve">However, in the case of Rolls-Royce, </w:t>
      </w:r>
      <w:r w:rsidR="00A76173">
        <w:rPr>
          <w:lang w:val="en-US"/>
        </w:rPr>
        <w:t>t</w:t>
      </w:r>
      <w:r w:rsidR="00342878">
        <w:rPr>
          <w:lang w:val="en-US"/>
        </w:rPr>
        <w:t xml:space="preserve">he company’s business model </w:t>
      </w:r>
      <w:r w:rsidR="004C1043">
        <w:rPr>
          <w:lang w:val="en-US"/>
        </w:rPr>
        <w:t>restrains</w:t>
      </w:r>
      <w:r w:rsidR="00342878">
        <w:rPr>
          <w:lang w:val="en-US"/>
        </w:rPr>
        <w:t xml:space="preserve"> the company </w:t>
      </w:r>
      <w:r w:rsidR="004C1043">
        <w:rPr>
          <w:lang w:val="en-US"/>
        </w:rPr>
        <w:t>from maintaining</w:t>
      </w:r>
      <w:r w:rsidR="00342878">
        <w:rPr>
          <w:lang w:val="en-US"/>
        </w:rPr>
        <w:t xml:space="preserve"> a </w:t>
      </w:r>
      <w:r w:rsidR="00A76173">
        <w:rPr>
          <w:lang w:val="en-US"/>
        </w:rPr>
        <w:t>quick ratio</w:t>
      </w:r>
      <w:r w:rsidR="00342878">
        <w:rPr>
          <w:lang w:val="en-US"/>
        </w:rPr>
        <w:t xml:space="preserve"> over 1. </w:t>
      </w:r>
      <w:r w:rsidR="00800363">
        <w:rPr>
          <w:lang w:val="en-US"/>
        </w:rPr>
        <w:t>As a result, it is not a concer</w:t>
      </w:r>
      <w:r w:rsidR="0001739D">
        <w:rPr>
          <w:lang w:val="en-US"/>
        </w:rPr>
        <w:t>n.</w:t>
      </w:r>
    </w:p>
    <w:p w14:paraId="383A1927" w14:textId="648DB4FB" w:rsidR="00DB3D03" w:rsidRDefault="00DB3D03" w:rsidP="00DB3D03">
      <w:pPr>
        <w:spacing w:line="360" w:lineRule="auto"/>
        <w:jc w:val="center"/>
        <w:rPr>
          <w:lang w:val="en-US"/>
        </w:rPr>
      </w:pPr>
      <w:r>
        <w:rPr>
          <w:noProof/>
          <w:lang w:val="en-US"/>
        </w:rPr>
        <w:drawing>
          <wp:inline distT="0" distB="0" distL="0" distR="0" wp14:anchorId="2B64E24B" wp14:editId="05AA3336">
            <wp:extent cx="5486400" cy="3200400"/>
            <wp:effectExtent l="0" t="0" r="0" b="0"/>
            <wp:docPr id="143113920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FFCD22E" w14:textId="6A5DD4F4" w:rsidR="00DB3D03" w:rsidRPr="00DB3D03" w:rsidRDefault="00DB3D03" w:rsidP="00DB3D03">
      <w:pPr>
        <w:spacing w:line="360" w:lineRule="auto"/>
        <w:jc w:val="center"/>
        <w:rPr>
          <w:lang w:val="en-US"/>
        </w:rPr>
      </w:pPr>
      <w:r>
        <w:rPr>
          <w:b/>
          <w:bCs/>
          <w:lang w:val="en-US"/>
        </w:rPr>
        <w:t xml:space="preserve">Figure 3: </w:t>
      </w:r>
      <w:r>
        <w:rPr>
          <w:lang w:val="en-US"/>
        </w:rPr>
        <w:t>Liquidity Ratios (Source: Own)</w:t>
      </w:r>
    </w:p>
    <w:p w14:paraId="7D525263" w14:textId="29D1EC30" w:rsidR="006E4C9F" w:rsidRPr="006E4C9F" w:rsidRDefault="00EB0658" w:rsidP="006E4C9F">
      <w:pPr>
        <w:pStyle w:val="Heading3"/>
        <w:spacing w:line="360" w:lineRule="auto"/>
        <w:rPr>
          <w:rFonts w:ascii="Times New Roman" w:hAnsi="Times New Roman" w:cs="Times New Roman"/>
          <w:b/>
          <w:bCs/>
          <w:sz w:val="24"/>
          <w:szCs w:val="32"/>
          <w:lang w:val="en-US"/>
        </w:rPr>
      </w:pPr>
      <w:bookmarkStart w:id="8" w:name="_Toc224345112"/>
      <w:r>
        <w:rPr>
          <w:rFonts w:ascii="Times New Roman" w:hAnsi="Times New Roman" w:cs="Times New Roman"/>
          <w:b/>
          <w:bCs/>
          <w:sz w:val="24"/>
          <w:szCs w:val="32"/>
          <w:lang w:val="en-US"/>
        </w:rPr>
        <w:t>Gearing</w:t>
      </w:r>
      <w:r w:rsidR="006E4C9F">
        <w:rPr>
          <w:rFonts w:ascii="Times New Roman" w:hAnsi="Times New Roman" w:cs="Times New Roman"/>
          <w:b/>
          <w:bCs/>
          <w:sz w:val="24"/>
          <w:szCs w:val="32"/>
          <w:lang w:val="en-US"/>
        </w:rPr>
        <w:t xml:space="preserve"> Ratios</w:t>
      </w:r>
      <w:bookmarkEnd w:id="8"/>
    </w:p>
    <w:p w14:paraId="5A2F8CFC" w14:textId="5AE38B6B" w:rsidR="006E4C9F" w:rsidRDefault="00190F09" w:rsidP="006E4C9F">
      <w:pPr>
        <w:spacing w:line="360" w:lineRule="auto"/>
        <w:rPr>
          <w:lang w:val="en-US"/>
        </w:rPr>
      </w:pPr>
      <w:r>
        <w:rPr>
          <w:lang w:val="en-US"/>
        </w:rPr>
        <w:t xml:space="preserve">These are the ratios </w:t>
      </w:r>
      <w:r w:rsidR="004C1043">
        <w:rPr>
          <w:lang w:val="en-US"/>
        </w:rPr>
        <w:t xml:space="preserve">that </w:t>
      </w:r>
      <w:r>
        <w:rPr>
          <w:lang w:val="en-US"/>
        </w:rPr>
        <w:t>help to better understand the capital structure of a company</w:t>
      </w:r>
      <w:r w:rsidR="004C1043">
        <w:rPr>
          <w:lang w:val="en-US"/>
        </w:rPr>
        <w:t>,</w:t>
      </w:r>
      <w:r>
        <w:rPr>
          <w:lang w:val="en-US"/>
        </w:rPr>
        <w:t xml:space="preserve"> including how much debt a company uses versus equity</w:t>
      </w:r>
      <w:r w:rsidR="004C1043">
        <w:rPr>
          <w:lang w:val="en-US"/>
        </w:rPr>
        <w:t>,</w:t>
      </w:r>
      <w:r>
        <w:rPr>
          <w:lang w:val="en-US"/>
        </w:rPr>
        <w:t xml:space="preserve"> to properly </w:t>
      </w:r>
      <w:r w:rsidR="004C1043">
        <w:rPr>
          <w:lang w:val="en-US"/>
        </w:rPr>
        <w:t>assess</w:t>
      </w:r>
      <w:r>
        <w:rPr>
          <w:lang w:val="en-US"/>
        </w:rPr>
        <w:t xml:space="preserve"> the risk assumed and the efficiency of the capital structure maintained</w:t>
      </w:r>
      <w:r w:rsidR="00C35C3B">
        <w:rPr>
          <w:lang w:val="en-US"/>
        </w:rPr>
        <w:t xml:space="preserve"> (</w:t>
      </w:r>
      <w:r w:rsidR="00C35C3B" w:rsidRPr="00C35C3B">
        <w:t>Harrison</w:t>
      </w:r>
      <w:r w:rsidR="00C35C3B">
        <w:t xml:space="preserve"> and Morton, 2007)</w:t>
      </w:r>
      <w:r>
        <w:rPr>
          <w:lang w:val="en-US"/>
        </w:rPr>
        <w:t>. The major gearing ratios are elaborated below.</w:t>
      </w:r>
    </w:p>
    <w:p w14:paraId="1818DC5B" w14:textId="2CA27179" w:rsidR="00585D29" w:rsidRDefault="00585D29" w:rsidP="00585D29">
      <w:pPr>
        <w:spacing w:line="360" w:lineRule="auto"/>
        <w:rPr>
          <w:b/>
          <w:bCs/>
          <w:lang w:val="en-US"/>
        </w:rPr>
      </w:pPr>
      <w:r>
        <w:rPr>
          <w:b/>
          <w:bCs/>
          <w:lang w:val="en-US"/>
        </w:rPr>
        <w:t>Debt-to-Equity Ratio</w:t>
      </w:r>
    </w:p>
    <w:p w14:paraId="0CCA4FCD" w14:textId="4B38ACE4" w:rsidR="00585D29" w:rsidRDefault="00585D29" w:rsidP="00585D29">
      <w:pPr>
        <w:spacing w:line="360" w:lineRule="auto"/>
        <w:rPr>
          <w:lang w:val="en-US"/>
        </w:rPr>
      </w:pPr>
      <w:r>
        <w:rPr>
          <w:lang w:val="en-US"/>
        </w:rPr>
        <w:t xml:space="preserve">The formula to calculate </w:t>
      </w:r>
      <w:r w:rsidR="008F45EF">
        <w:rPr>
          <w:lang w:val="en-US"/>
        </w:rPr>
        <w:t>debt-to-equity ratio</w:t>
      </w:r>
      <w:r>
        <w:rPr>
          <w:lang w:val="en-US"/>
        </w:rPr>
        <w:t xml:space="preserve"> is = (</w:t>
      </w:r>
      <w:r w:rsidR="00DC373A">
        <w:rPr>
          <w:lang w:val="en-US"/>
        </w:rPr>
        <w:t xml:space="preserve">Total Debt </w:t>
      </w:r>
      <w:r>
        <w:rPr>
          <w:lang w:val="en-US"/>
        </w:rPr>
        <w:t xml:space="preserve">/ </w:t>
      </w:r>
      <w:r w:rsidR="00DC373A">
        <w:rPr>
          <w:lang w:val="en-US"/>
        </w:rPr>
        <w:t>Total Equity</w:t>
      </w:r>
      <w:r>
        <w:rPr>
          <w:lang w:val="en-US"/>
        </w:rPr>
        <w:t>)</w:t>
      </w:r>
    </w:p>
    <w:p w14:paraId="4864280D" w14:textId="1ADE3CBF" w:rsidR="00585D29" w:rsidRDefault="00585D29" w:rsidP="00585D29">
      <w:pPr>
        <w:spacing w:line="360" w:lineRule="auto"/>
        <w:rPr>
          <w:lang w:val="en-US"/>
        </w:rPr>
      </w:pPr>
      <w:r>
        <w:rPr>
          <w:lang w:val="en-US"/>
        </w:rPr>
        <w:t xml:space="preserve">In 2023, </w:t>
      </w:r>
      <w:r w:rsidR="003B3EA4">
        <w:rPr>
          <w:lang w:val="en-US"/>
        </w:rPr>
        <w:t>Debt-to-Equity Ratio</w:t>
      </w:r>
      <w:r>
        <w:rPr>
          <w:lang w:val="en-US"/>
        </w:rPr>
        <w:t xml:space="preserve"> is = </w:t>
      </w:r>
      <w:r w:rsidR="009C16E0">
        <w:rPr>
          <w:lang w:val="en-US"/>
        </w:rPr>
        <w:t>(5,759</w:t>
      </w:r>
      <w:r>
        <w:rPr>
          <w:lang w:val="en-US"/>
        </w:rPr>
        <w:t xml:space="preserve"> / </w:t>
      </w:r>
      <w:r w:rsidR="009C16E0">
        <w:rPr>
          <w:lang w:val="en-US"/>
        </w:rPr>
        <w:t xml:space="preserve">-3,629) </w:t>
      </w:r>
      <w:r>
        <w:rPr>
          <w:lang w:val="en-US"/>
        </w:rPr>
        <w:t xml:space="preserve">= </w:t>
      </w:r>
      <w:r w:rsidR="009C16E0">
        <w:rPr>
          <w:lang w:val="en-US"/>
        </w:rPr>
        <w:t>-1.59</w:t>
      </w:r>
    </w:p>
    <w:p w14:paraId="4094A7ED" w14:textId="3C9083CD" w:rsidR="0080129C" w:rsidRDefault="00585D29" w:rsidP="00585D29">
      <w:pPr>
        <w:spacing w:line="360" w:lineRule="auto"/>
        <w:rPr>
          <w:lang w:val="en-US"/>
        </w:rPr>
      </w:pPr>
      <w:r>
        <w:rPr>
          <w:lang w:val="en-US"/>
        </w:rPr>
        <w:t xml:space="preserve">In 2024, </w:t>
      </w:r>
      <w:r w:rsidR="003B3EA4">
        <w:rPr>
          <w:lang w:val="en-US"/>
        </w:rPr>
        <w:t xml:space="preserve">Debt-to-Equity Ratio </w:t>
      </w:r>
      <w:r>
        <w:rPr>
          <w:lang w:val="en-US"/>
        </w:rPr>
        <w:t>is = (</w:t>
      </w:r>
      <w:r w:rsidR="009C16E0">
        <w:rPr>
          <w:lang w:val="en-US"/>
        </w:rPr>
        <w:t xml:space="preserve">5,132 </w:t>
      </w:r>
      <w:r>
        <w:rPr>
          <w:lang w:val="en-US"/>
        </w:rPr>
        <w:t xml:space="preserve">/ </w:t>
      </w:r>
      <w:r w:rsidR="009C16E0">
        <w:rPr>
          <w:lang w:val="en-US"/>
        </w:rPr>
        <w:t>-881)</w:t>
      </w:r>
      <w:r>
        <w:rPr>
          <w:lang w:val="en-US"/>
        </w:rPr>
        <w:t xml:space="preserve"> = </w:t>
      </w:r>
      <w:r w:rsidR="009C16E0">
        <w:rPr>
          <w:lang w:val="en-US"/>
        </w:rPr>
        <w:t>-5.82</w:t>
      </w:r>
    </w:p>
    <w:p w14:paraId="4FF1250B" w14:textId="1DD50EA7" w:rsidR="00585D29" w:rsidRDefault="00235EB3" w:rsidP="00585D29">
      <w:pPr>
        <w:spacing w:line="360" w:lineRule="auto"/>
        <w:rPr>
          <w:lang w:val="en-US"/>
        </w:rPr>
      </w:pPr>
      <w:r>
        <w:rPr>
          <w:lang w:val="en-US"/>
        </w:rPr>
        <w:t>Because owners’ equity has come out to be negative here, the debt-to-equity ratio is not appropriate to base any analysis in the conventional sense</w:t>
      </w:r>
      <w:r w:rsidR="00491639">
        <w:rPr>
          <w:lang w:val="en-US"/>
        </w:rPr>
        <w:t>.</w:t>
      </w:r>
      <w:r>
        <w:rPr>
          <w:lang w:val="en-US"/>
        </w:rPr>
        <w:t xml:space="preserve"> However, as the net debt has reduced while equity moving towards positive territory indicate that the company’s capital structure is improving. </w:t>
      </w:r>
    </w:p>
    <w:p w14:paraId="3B0CF0ED" w14:textId="6624C2BC" w:rsidR="00585D29" w:rsidRDefault="00585D29" w:rsidP="00585D29">
      <w:pPr>
        <w:spacing w:line="360" w:lineRule="auto"/>
        <w:rPr>
          <w:b/>
          <w:bCs/>
          <w:lang w:val="en-US"/>
        </w:rPr>
      </w:pPr>
      <w:r>
        <w:rPr>
          <w:b/>
          <w:bCs/>
          <w:lang w:val="en-US"/>
        </w:rPr>
        <w:lastRenderedPageBreak/>
        <w:t>Debt-to-Asset Ratio</w:t>
      </w:r>
    </w:p>
    <w:p w14:paraId="7A839739" w14:textId="5EA9D307" w:rsidR="00585D29" w:rsidRDefault="00585D29" w:rsidP="00585D29">
      <w:pPr>
        <w:spacing w:line="360" w:lineRule="auto"/>
        <w:rPr>
          <w:lang w:val="en-US"/>
        </w:rPr>
      </w:pPr>
      <w:r>
        <w:rPr>
          <w:lang w:val="en-US"/>
        </w:rPr>
        <w:t xml:space="preserve">The formula to calculate </w:t>
      </w:r>
      <w:r w:rsidR="008F45EF">
        <w:rPr>
          <w:lang w:val="en-US"/>
        </w:rPr>
        <w:t>debt-to-asset ratio</w:t>
      </w:r>
      <w:r>
        <w:rPr>
          <w:lang w:val="en-US"/>
        </w:rPr>
        <w:t xml:space="preserve"> is = (</w:t>
      </w:r>
      <w:r w:rsidR="00924EAB">
        <w:rPr>
          <w:lang w:val="en-US"/>
        </w:rPr>
        <w:t xml:space="preserve">Total Debt </w:t>
      </w:r>
      <w:r>
        <w:rPr>
          <w:lang w:val="en-US"/>
        </w:rPr>
        <w:t xml:space="preserve">/ </w:t>
      </w:r>
      <w:r w:rsidR="00924EAB">
        <w:rPr>
          <w:lang w:val="en-US"/>
        </w:rPr>
        <w:t>Total Assets</w:t>
      </w:r>
      <w:r>
        <w:rPr>
          <w:lang w:val="en-US"/>
        </w:rPr>
        <w:t>)</w:t>
      </w:r>
    </w:p>
    <w:p w14:paraId="7FCF863A" w14:textId="0B964FB3" w:rsidR="009C16E0" w:rsidRDefault="00585D29" w:rsidP="009C16E0">
      <w:pPr>
        <w:spacing w:line="360" w:lineRule="auto"/>
        <w:rPr>
          <w:lang w:val="en-US"/>
        </w:rPr>
      </w:pPr>
      <w:r>
        <w:rPr>
          <w:lang w:val="en-US"/>
        </w:rPr>
        <w:t xml:space="preserve">In 2023, </w:t>
      </w:r>
      <w:r w:rsidR="003B3EA4">
        <w:rPr>
          <w:lang w:val="en-US"/>
        </w:rPr>
        <w:t>Debt-to-Asset Ratio</w:t>
      </w:r>
      <w:r>
        <w:rPr>
          <w:lang w:val="en-US"/>
        </w:rPr>
        <w:t xml:space="preserve"> is = </w:t>
      </w:r>
      <w:r w:rsidR="009C16E0">
        <w:rPr>
          <w:lang w:val="en-US"/>
        </w:rPr>
        <w:t>(5,759 / 31,512) * 100 = 18.28%</w:t>
      </w:r>
    </w:p>
    <w:p w14:paraId="575D4F3D" w14:textId="05CA9E1B" w:rsidR="009C16E0" w:rsidRDefault="009C16E0" w:rsidP="009C16E0">
      <w:pPr>
        <w:spacing w:line="360" w:lineRule="auto"/>
        <w:rPr>
          <w:lang w:val="en-US"/>
        </w:rPr>
      </w:pPr>
      <w:r>
        <w:rPr>
          <w:lang w:val="en-US"/>
        </w:rPr>
        <w:t>In 2024, Debt-to-Asset Ratio is = (5,132 / 35,686) * 100 = 14.38%</w:t>
      </w:r>
    </w:p>
    <w:p w14:paraId="2622579A" w14:textId="4A07A8F8" w:rsidR="00585D29" w:rsidRDefault="00F7165F" w:rsidP="009C16E0">
      <w:pPr>
        <w:spacing w:line="360" w:lineRule="auto"/>
        <w:rPr>
          <w:lang w:val="en-US"/>
        </w:rPr>
      </w:pPr>
      <w:r>
        <w:rPr>
          <w:lang w:val="en-US"/>
        </w:rPr>
        <w:t>This ratio has declined by 3.90% from 2023 to 2024</w:t>
      </w:r>
      <w:r w:rsidR="00ED0611">
        <w:rPr>
          <w:lang w:val="en-US"/>
        </w:rPr>
        <w:t>, showcasing enhancing asset base and declining debt, further improving the financial risks assumed by the company</w:t>
      </w:r>
      <w:r w:rsidR="005D721A">
        <w:rPr>
          <w:lang w:val="en-US"/>
        </w:rPr>
        <w:t xml:space="preserve"> (Rolls-Royce, 2024)</w:t>
      </w:r>
      <w:r w:rsidR="00ED0611">
        <w:rPr>
          <w:lang w:val="en-US"/>
        </w:rPr>
        <w:t xml:space="preserve">. </w:t>
      </w:r>
      <w:r w:rsidR="006F0F64">
        <w:rPr>
          <w:lang w:val="en-US"/>
        </w:rPr>
        <w:t xml:space="preserve">Because the aerospace manufacturing industry is very capital-intensive, the company’s increasing </w:t>
      </w:r>
      <w:r w:rsidR="00537B32">
        <w:rPr>
          <w:lang w:val="en-US"/>
        </w:rPr>
        <w:t xml:space="preserve">asset base compared to declining debt showcases </w:t>
      </w:r>
      <w:r w:rsidR="004C1043">
        <w:rPr>
          <w:lang w:val="en-US"/>
        </w:rPr>
        <w:t xml:space="preserve">the </w:t>
      </w:r>
      <w:r w:rsidR="00537B32">
        <w:rPr>
          <w:lang w:val="en-US"/>
        </w:rPr>
        <w:t>resilience of the company</w:t>
      </w:r>
      <w:r w:rsidR="003E621C">
        <w:rPr>
          <w:lang w:val="en-US"/>
        </w:rPr>
        <w:t>.</w:t>
      </w:r>
    </w:p>
    <w:p w14:paraId="2FB5ACA2" w14:textId="364DA31B" w:rsidR="00DB3D03" w:rsidRDefault="00DB3D03" w:rsidP="00DB3D03">
      <w:pPr>
        <w:spacing w:line="360" w:lineRule="auto"/>
        <w:jc w:val="center"/>
        <w:rPr>
          <w:lang w:val="en-US"/>
        </w:rPr>
      </w:pPr>
      <w:r>
        <w:rPr>
          <w:noProof/>
          <w:lang w:val="en-US"/>
        </w:rPr>
        <w:drawing>
          <wp:inline distT="0" distB="0" distL="0" distR="0" wp14:anchorId="5B7701E6" wp14:editId="12F137B6">
            <wp:extent cx="5486400" cy="3200400"/>
            <wp:effectExtent l="0" t="0" r="0" b="0"/>
            <wp:docPr id="2054878309"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2DF37A2" w14:textId="42AB4F17" w:rsidR="00DB3D03" w:rsidRPr="00DB3D03" w:rsidRDefault="00DB3D03" w:rsidP="00DB3D03">
      <w:pPr>
        <w:spacing w:line="360" w:lineRule="auto"/>
        <w:jc w:val="center"/>
        <w:rPr>
          <w:lang w:val="en-US"/>
        </w:rPr>
      </w:pPr>
      <w:r>
        <w:rPr>
          <w:b/>
          <w:bCs/>
          <w:lang w:val="en-US"/>
        </w:rPr>
        <w:t xml:space="preserve">Figure 4: </w:t>
      </w:r>
      <w:r>
        <w:rPr>
          <w:lang w:val="en-US"/>
        </w:rPr>
        <w:t>Gearing Ratios (Source: Own</w:t>
      </w:r>
      <w:r w:rsidR="001A1794">
        <w:rPr>
          <w:lang w:val="en-US"/>
        </w:rPr>
        <w:t>)</w:t>
      </w:r>
    </w:p>
    <w:p w14:paraId="3FFECC2A" w14:textId="3446B793" w:rsidR="006E4C9F" w:rsidRPr="006E4C9F" w:rsidRDefault="00EB0658" w:rsidP="006E4C9F">
      <w:pPr>
        <w:pStyle w:val="Heading3"/>
        <w:spacing w:line="360" w:lineRule="auto"/>
        <w:rPr>
          <w:rFonts w:ascii="Times New Roman" w:hAnsi="Times New Roman" w:cs="Times New Roman"/>
          <w:b/>
          <w:bCs/>
          <w:sz w:val="24"/>
          <w:szCs w:val="32"/>
          <w:lang w:val="en-US"/>
        </w:rPr>
      </w:pPr>
      <w:bookmarkStart w:id="9" w:name="_Toc224345113"/>
      <w:r>
        <w:rPr>
          <w:rFonts w:ascii="Times New Roman" w:hAnsi="Times New Roman" w:cs="Times New Roman"/>
          <w:b/>
          <w:bCs/>
          <w:sz w:val="24"/>
          <w:szCs w:val="32"/>
          <w:lang w:val="en-US"/>
        </w:rPr>
        <w:t>Efficiency</w:t>
      </w:r>
      <w:r w:rsidR="006E4C9F">
        <w:rPr>
          <w:rFonts w:ascii="Times New Roman" w:hAnsi="Times New Roman" w:cs="Times New Roman"/>
          <w:b/>
          <w:bCs/>
          <w:sz w:val="24"/>
          <w:szCs w:val="32"/>
          <w:lang w:val="en-US"/>
        </w:rPr>
        <w:t xml:space="preserve"> Ratios</w:t>
      </w:r>
      <w:bookmarkEnd w:id="9"/>
    </w:p>
    <w:p w14:paraId="2CEB3842" w14:textId="1180E2A0" w:rsidR="006E4C9F" w:rsidRDefault="00F150B7" w:rsidP="006E4C9F">
      <w:pPr>
        <w:spacing w:line="360" w:lineRule="auto"/>
        <w:rPr>
          <w:lang w:val="en-US"/>
        </w:rPr>
      </w:pPr>
      <w:r>
        <w:rPr>
          <w:lang w:val="en-US"/>
        </w:rPr>
        <w:t xml:space="preserve">These are the ratios which help to measure how effective a company is in </w:t>
      </w:r>
      <w:r w:rsidR="004C1043">
        <w:rPr>
          <w:lang w:val="en-US"/>
        </w:rPr>
        <w:t>utilising</w:t>
      </w:r>
      <w:r>
        <w:rPr>
          <w:lang w:val="en-US"/>
        </w:rPr>
        <w:t xml:space="preserve"> its assets to generate revenues. This also facilitates the process to determine </w:t>
      </w:r>
      <w:r w:rsidR="004C1043">
        <w:rPr>
          <w:lang w:val="en-US"/>
        </w:rPr>
        <w:t xml:space="preserve">the </w:t>
      </w:r>
      <w:r>
        <w:rPr>
          <w:lang w:val="en-US"/>
        </w:rPr>
        <w:t>operational competence of an organisation</w:t>
      </w:r>
      <w:r w:rsidR="00C35C3B">
        <w:rPr>
          <w:lang w:val="en-US"/>
        </w:rPr>
        <w:t xml:space="preserve"> (</w:t>
      </w:r>
      <w:r w:rsidR="00C35C3B" w:rsidRPr="00C35C3B">
        <w:t>Santosuosso</w:t>
      </w:r>
      <w:r w:rsidR="00C35C3B">
        <w:t>, 2014)</w:t>
      </w:r>
      <w:r>
        <w:rPr>
          <w:lang w:val="en-US"/>
        </w:rPr>
        <w:t>. The most important efficiency ratios are calculated below for Rolls-Royce Holdings PLC.</w:t>
      </w:r>
    </w:p>
    <w:p w14:paraId="73224BBE" w14:textId="16315D9F" w:rsidR="00F150B7" w:rsidRDefault="00F150B7" w:rsidP="00F150B7">
      <w:pPr>
        <w:spacing w:line="360" w:lineRule="auto"/>
        <w:rPr>
          <w:b/>
          <w:bCs/>
          <w:lang w:val="en-US"/>
        </w:rPr>
      </w:pPr>
      <w:r>
        <w:rPr>
          <w:b/>
          <w:bCs/>
          <w:lang w:val="en-US"/>
        </w:rPr>
        <w:t>Asset Turnover Ratio</w:t>
      </w:r>
    </w:p>
    <w:p w14:paraId="05C0A8B8" w14:textId="1882D4DE" w:rsidR="00F150B7" w:rsidRDefault="00F150B7" w:rsidP="00F150B7">
      <w:pPr>
        <w:spacing w:line="360" w:lineRule="auto"/>
        <w:rPr>
          <w:lang w:val="en-US"/>
        </w:rPr>
      </w:pPr>
      <w:r>
        <w:rPr>
          <w:lang w:val="en-US"/>
        </w:rPr>
        <w:t xml:space="preserve">The formula to calculate </w:t>
      </w:r>
      <w:r w:rsidR="004C1043">
        <w:rPr>
          <w:lang w:val="en-US"/>
        </w:rPr>
        <w:t xml:space="preserve">the </w:t>
      </w:r>
      <w:r w:rsidR="00881EAB">
        <w:rPr>
          <w:lang w:val="en-US"/>
        </w:rPr>
        <w:t>asset turnover</w:t>
      </w:r>
      <w:r>
        <w:rPr>
          <w:lang w:val="en-US"/>
        </w:rPr>
        <w:t xml:space="preserve"> ratio is = (</w:t>
      </w:r>
      <w:r w:rsidR="00C237C6">
        <w:rPr>
          <w:lang w:val="en-US"/>
        </w:rPr>
        <w:t>Revenue / Total Assets</w:t>
      </w:r>
      <w:r>
        <w:rPr>
          <w:lang w:val="en-US"/>
        </w:rPr>
        <w:t>)</w:t>
      </w:r>
    </w:p>
    <w:p w14:paraId="4B155583" w14:textId="6D121D86" w:rsidR="00F150B7" w:rsidRDefault="00F150B7" w:rsidP="00F150B7">
      <w:pPr>
        <w:spacing w:line="360" w:lineRule="auto"/>
        <w:rPr>
          <w:lang w:val="en-US"/>
        </w:rPr>
      </w:pPr>
      <w:r>
        <w:rPr>
          <w:lang w:val="en-US"/>
        </w:rPr>
        <w:t xml:space="preserve">In 2023, </w:t>
      </w:r>
      <w:r w:rsidR="00621136">
        <w:rPr>
          <w:lang w:val="en-US"/>
        </w:rPr>
        <w:t>AT</w:t>
      </w:r>
      <w:r>
        <w:rPr>
          <w:lang w:val="en-US"/>
        </w:rPr>
        <w:t xml:space="preserve"> Ratio is = (</w:t>
      </w:r>
      <w:r w:rsidR="00BE49EA">
        <w:rPr>
          <w:lang w:val="en-US"/>
        </w:rPr>
        <w:t xml:space="preserve">16,484 </w:t>
      </w:r>
      <w:r>
        <w:rPr>
          <w:lang w:val="en-US"/>
        </w:rPr>
        <w:t xml:space="preserve">/ 31,512) = </w:t>
      </w:r>
      <w:r w:rsidR="00BE49EA">
        <w:rPr>
          <w:lang w:val="en-US"/>
        </w:rPr>
        <w:t>0.52 Times</w:t>
      </w:r>
    </w:p>
    <w:p w14:paraId="0C7E650D" w14:textId="3622955D" w:rsidR="00F150B7" w:rsidRDefault="00F150B7" w:rsidP="00F150B7">
      <w:pPr>
        <w:spacing w:line="360" w:lineRule="auto"/>
        <w:rPr>
          <w:lang w:val="en-US"/>
        </w:rPr>
      </w:pPr>
      <w:r>
        <w:rPr>
          <w:lang w:val="en-US"/>
        </w:rPr>
        <w:t xml:space="preserve">In 2024, </w:t>
      </w:r>
      <w:r w:rsidR="00621136">
        <w:rPr>
          <w:lang w:val="en-US"/>
        </w:rPr>
        <w:t xml:space="preserve">AT </w:t>
      </w:r>
      <w:r>
        <w:rPr>
          <w:lang w:val="en-US"/>
        </w:rPr>
        <w:t>Ratio is = (</w:t>
      </w:r>
      <w:r w:rsidR="00BE49EA">
        <w:rPr>
          <w:lang w:val="en-US"/>
        </w:rPr>
        <w:t xml:space="preserve">18,909 </w:t>
      </w:r>
      <w:r>
        <w:rPr>
          <w:lang w:val="en-US"/>
        </w:rPr>
        <w:t xml:space="preserve">/ 35,686) = </w:t>
      </w:r>
      <w:r w:rsidR="00BE49EA">
        <w:rPr>
          <w:lang w:val="en-US"/>
        </w:rPr>
        <w:t>0.53 Times</w:t>
      </w:r>
    </w:p>
    <w:p w14:paraId="67F74AC2" w14:textId="64000831" w:rsidR="00F150B7" w:rsidRDefault="0091106F" w:rsidP="00F150B7">
      <w:pPr>
        <w:spacing w:line="360" w:lineRule="auto"/>
        <w:rPr>
          <w:lang w:val="en-US"/>
        </w:rPr>
      </w:pPr>
      <w:r>
        <w:rPr>
          <w:lang w:val="en-US"/>
        </w:rPr>
        <w:t>This ratio has remained relatively stable over the two years period</w:t>
      </w:r>
      <w:r w:rsidR="005D721A">
        <w:rPr>
          <w:lang w:val="en-US"/>
        </w:rPr>
        <w:t xml:space="preserve"> (Rolls-Royce, 2024)</w:t>
      </w:r>
      <w:r>
        <w:rPr>
          <w:lang w:val="en-US"/>
        </w:rPr>
        <w:t>. This means that the company has not been able to enhance its utilization of assets to generate more revenues, but the company’s asset turnover ratio directly complies with the industry norms.</w:t>
      </w:r>
    </w:p>
    <w:p w14:paraId="06BBC0C1" w14:textId="1172C599" w:rsidR="00F150B7" w:rsidRDefault="00F150B7" w:rsidP="00F150B7">
      <w:pPr>
        <w:spacing w:line="360" w:lineRule="auto"/>
        <w:rPr>
          <w:b/>
          <w:bCs/>
          <w:lang w:val="en-US"/>
        </w:rPr>
      </w:pPr>
      <w:r>
        <w:rPr>
          <w:b/>
          <w:bCs/>
          <w:lang w:val="en-US"/>
        </w:rPr>
        <w:t>Inventory Turnover Ratio</w:t>
      </w:r>
    </w:p>
    <w:p w14:paraId="6BDE6296" w14:textId="076A683C" w:rsidR="00F150B7" w:rsidRDefault="00F150B7" w:rsidP="00F150B7">
      <w:pPr>
        <w:spacing w:line="360" w:lineRule="auto"/>
        <w:rPr>
          <w:lang w:val="en-US"/>
        </w:rPr>
      </w:pPr>
      <w:r>
        <w:rPr>
          <w:lang w:val="en-US"/>
        </w:rPr>
        <w:t xml:space="preserve">The formula to </w:t>
      </w:r>
      <w:r w:rsidR="00881EAB">
        <w:rPr>
          <w:lang w:val="en-US"/>
        </w:rPr>
        <w:t xml:space="preserve">inventory turnover </w:t>
      </w:r>
      <w:r>
        <w:rPr>
          <w:lang w:val="en-US"/>
        </w:rPr>
        <w:t>ratio is = (</w:t>
      </w:r>
      <w:r w:rsidR="00C237C6">
        <w:rPr>
          <w:lang w:val="en-US"/>
        </w:rPr>
        <w:t>Cost of Sales</w:t>
      </w:r>
      <w:r>
        <w:rPr>
          <w:lang w:val="en-US"/>
        </w:rPr>
        <w:t xml:space="preserve"> / </w:t>
      </w:r>
      <w:r w:rsidR="00C237C6">
        <w:rPr>
          <w:lang w:val="en-US"/>
        </w:rPr>
        <w:t>Average Inventory</w:t>
      </w:r>
      <w:r>
        <w:rPr>
          <w:lang w:val="en-US"/>
        </w:rPr>
        <w:t>)</w:t>
      </w:r>
    </w:p>
    <w:p w14:paraId="4D78FBDB" w14:textId="4E0AAAB4" w:rsidR="00F150B7" w:rsidRDefault="00F150B7" w:rsidP="00F150B7">
      <w:pPr>
        <w:spacing w:line="360" w:lineRule="auto"/>
        <w:rPr>
          <w:lang w:val="en-US"/>
        </w:rPr>
      </w:pPr>
      <w:r>
        <w:rPr>
          <w:lang w:val="en-US"/>
        </w:rPr>
        <w:t xml:space="preserve">In 2023, </w:t>
      </w:r>
      <w:r w:rsidR="00621136">
        <w:rPr>
          <w:lang w:val="en-US"/>
        </w:rPr>
        <w:t xml:space="preserve">IT </w:t>
      </w:r>
      <w:r>
        <w:rPr>
          <w:lang w:val="en-US"/>
        </w:rPr>
        <w:t xml:space="preserve">Ratio is = </w:t>
      </w:r>
      <w:r w:rsidR="00DA5DE7">
        <w:rPr>
          <w:lang w:val="en-US"/>
        </w:rPr>
        <w:t>[12,866</w:t>
      </w:r>
      <w:r>
        <w:rPr>
          <w:lang w:val="en-US"/>
        </w:rPr>
        <w:t xml:space="preserve"> / </w:t>
      </w:r>
      <w:r w:rsidR="00DA5DE7">
        <w:rPr>
          <w:lang w:val="en-US"/>
        </w:rPr>
        <w:t xml:space="preserve">{(4,708 + 4,848) / 2}] </w:t>
      </w:r>
      <w:r>
        <w:rPr>
          <w:lang w:val="en-US"/>
        </w:rPr>
        <w:t xml:space="preserve">= </w:t>
      </w:r>
      <w:r w:rsidR="00DA5DE7">
        <w:rPr>
          <w:lang w:val="en-US"/>
        </w:rPr>
        <w:t>2.68 Times</w:t>
      </w:r>
    </w:p>
    <w:p w14:paraId="3562DD3F" w14:textId="023F32F8" w:rsidR="00F150B7" w:rsidRDefault="00F150B7" w:rsidP="00F150B7">
      <w:pPr>
        <w:spacing w:line="360" w:lineRule="auto"/>
        <w:rPr>
          <w:lang w:val="en-US"/>
        </w:rPr>
      </w:pPr>
      <w:r>
        <w:rPr>
          <w:lang w:val="en-US"/>
        </w:rPr>
        <w:t xml:space="preserve">In 2024, </w:t>
      </w:r>
      <w:r w:rsidR="00621136">
        <w:rPr>
          <w:lang w:val="en-US"/>
        </w:rPr>
        <w:t xml:space="preserve">IT </w:t>
      </w:r>
      <w:r>
        <w:rPr>
          <w:lang w:val="en-US"/>
        </w:rPr>
        <w:t>Ratio is =</w:t>
      </w:r>
      <w:r w:rsidR="00DA5DE7">
        <w:rPr>
          <w:lang w:val="en-US"/>
        </w:rPr>
        <w:t xml:space="preserve"> [14,688 / {(4,848 + 5,092) / 2}] = 2.96 Times</w:t>
      </w:r>
    </w:p>
    <w:p w14:paraId="0F090FE5" w14:textId="2CC2720F" w:rsidR="00F150B7" w:rsidRDefault="002E16AB" w:rsidP="006E4C9F">
      <w:pPr>
        <w:spacing w:line="360" w:lineRule="auto"/>
        <w:rPr>
          <w:lang w:val="en-US"/>
        </w:rPr>
      </w:pPr>
      <w:r>
        <w:rPr>
          <w:lang w:val="en-US"/>
        </w:rPr>
        <w:t>The increase in inventory turnover from 2.68 times to 2.96 times showcases that the company is now able to rotate its stocks faste</w:t>
      </w:r>
      <w:r w:rsidR="00702964">
        <w:rPr>
          <w:lang w:val="en-US"/>
        </w:rPr>
        <w:t>r with the holding period reducing to 123 days from 136 days (</w:t>
      </w:r>
      <w:r w:rsidR="00E442EB">
        <w:rPr>
          <w:lang w:val="en-US"/>
        </w:rPr>
        <w:t>Stone, 2024</w:t>
      </w:r>
      <w:r w:rsidR="00702964">
        <w:rPr>
          <w:lang w:val="en-US"/>
        </w:rPr>
        <w:t>)</w:t>
      </w:r>
      <w:r w:rsidR="00C34D0D">
        <w:rPr>
          <w:lang w:val="en-US"/>
        </w:rPr>
        <w:t>. Although the inventory holding period is quite high, but considering the nature of the company’s industry and the declining ratio, the company is on-track.</w:t>
      </w:r>
    </w:p>
    <w:p w14:paraId="14787A8A" w14:textId="6D01AED0" w:rsidR="00ED773C" w:rsidRDefault="00ED773C" w:rsidP="00ED773C">
      <w:pPr>
        <w:spacing w:line="360" w:lineRule="auto"/>
        <w:jc w:val="center"/>
        <w:rPr>
          <w:lang w:val="en-US"/>
        </w:rPr>
      </w:pPr>
      <w:r>
        <w:rPr>
          <w:noProof/>
          <w:lang w:val="en-US"/>
        </w:rPr>
        <w:drawing>
          <wp:inline distT="0" distB="0" distL="0" distR="0" wp14:anchorId="3B252E0F" wp14:editId="682069E8">
            <wp:extent cx="5486400" cy="3200400"/>
            <wp:effectExtent l="0" t="0" r="0" b="0"/>
            <wp:docPr id="1924148887"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98E4582" w14:textId="29C153CA" w:rsidR="00ED773C" w:rsidRPr="00ED773C" w:rsidRDefault="00ED773C" w:rsidP="00ED773C">
      <w:pPr>
        <w:spacing w:line="360" w:lineRule="auto"/>
        <w:jc w:val="center"/>
        <w:rPr>
          <w:lang w:val="en-US"/>
        </w:rPr>
      </w:pPr>
      <w:r>
        <w:rPr>
          <w:b/>
          <w:bCs/>
          <w:lang w:val="en-US"/>
        </w:rPr>
        <w:t xml:space="preserve">Figure 5: </w:t>
      </w:r>
      <w:r>
        <w:rPr>
          <w:lang w:val="en-US"/>
        </w:rPr>
        <w:t>Efficiency Ratios (Source: Own)</w:t>
      </w:r>
    </w:p>
    <w:p w14:paraId="1699869C" w14:textId="7A63020E" w:rsidR="006E4C9F" w:rsidRPr="006E4C9F" w:rsidRDefault="00EB0658" w:rsidP="006E4C9F">
      <w:pPr>
        <w:pStyle w:val="Heading3"/>
        <w:spacing w:line="360" w:lineRule="auto"/>
        <w:rPr>
          <w:rFonts w:ascii="Times New Roman" w:hAnsi="Times New Roman" w:cs="Times New Roman"/>
          <w:b/>
          <w:bCs/>
          <w:sz w:val="24"/>
          <w:szCs w:val="32"/>
          <w:lang w:val="en-US"/>
        </w:rPr>
      </w:pPr>
      <w:bookmarkStart w:id="10" w:name="_Toc224345114"/>
      <w:r>
        <w:rPr>
          <w:rFonts w:ascii="Times New Roman" w:hAnsi="Times New Roman" w:cs="Times New Roman"/>
          <w:b/>
          <w:bCs/>
          <w:sz w:val="24"/>
          <w:szCs w:val="32"/>
          <w:lang w:val="en-US"/>
        </w:rPr>
        <w:t>Investor</w:t>
      </w:r>
      <w:r w:rsidR="006E4C9F">
        <w:rPr>
          <w:rFonts w:ascii="Times New Roman" w:hAnsi="Times New Roman" w:cs="Times New Roman"/>
          <w:b/>
          <w:bCs/>
          <w:sz w:val="24"/>
          <w:szCs w:val="32"/>
          <w:lang w:val="en-US"/>
        </w:rPr>
        <w:t xml:space="preserve"> Ratios</w:t>
      </w:r>
      <w:bookmarkEnd w:id="10"/>
    </w:p>
    <w:p w14:paraId="7F65BEB6" w14:textId="419D1AE0" w:rsidR="006E4C9F" w:rsidRDefault="00940421" w:rsidP="006E4C9F">
      <w:pPr>
        <w:spacing w:line="360" w:lineRule="auto"/>
        <w:rPr>
          <w:lang w:val="en-US"/>
        </w:rPr>
      </w:pPr>
      <w:r>
        <w:rPr>
          <w:lang w:val="en-US"/>
        </w:rPr>
        <w:t xml:space="preserve">These ratios directly enable investors to assess the feasibility of either investing in a company or </w:t>
      </w:r>
      <w:r w:rsidR="00C35C3B">
        <w:rPr>
          <w:lang w:val="en-US"/>
        </w:rPr>
        <w:t>reevaluate</w:t>
      </w:r>
      <w:r>
        <w:rPr>
          <w:lang w:val="en-US"/>
        </w:rPr>
        <w:t xml:space="preserve"> the existing investments effectively</w:t>
      </w:r>
      <w:r w:rsidR="0018297D">
        <w:rPr>
          <w:lang w:val="en-US"/>
        </w:rPr>
        <w:t xml:space="preserve"> to guide sound investment decisions</w:t>
      </w:r>
      <w:r w:rsidR="00C35C3B">
        <w:rPr>
          <w:lang w:val="en-US"/>
        </w:rPr>
        <w:t xml:space="preserve"> (</w:t>
      </w:r>
      <w:r w:rsidR="00C35C3B" w:rsidRPr="00C35C3B">
        <w:t>Asiri</w:t>
      </w:r>
      <w:r w:rsidR="00C35C3B">
        <w:t>, 2015)</w:t>
      </w:r>
      <w:r w:rsidR="0018297D">
        <w:rPr>
          <w:lang w:val="en-US"/>
        </w:rPr>
        <w:t xml:space="preserve">. The major investor ratio of Rolls-Royce Holdings LTD </w:t>
      </w:r>
      <w:r w:rsidR="006E658F">
        <w:rPr>
          <w:lang w:val="en-US"/>
        </w:rPr>
        <w:t>is</w:t>
      </w:r>
      <w:r w:rsidR="0018297D">
        <w:rPr>
          <w:lang w:val="en-US"/>
        </w:rPr>
        <w:t xml:space="preserve"> calculated below.</w:t>
      </w:r>
    </w:p>
    <w:p w14:paraId="46C94B61" w14:textId="6D638752" w:rsidR="00CE4BE5" w:rsidRDefault="00DA21B0" w:rsidP="00CE4BE5">
      <w:pPr>
        <w:spacing w:line="360" w:lineRule="auto"/>
        <w:rPr>
          <w:b/>
          <w:bCs/>
          <w:lang w:val="en-US"/>
        </w:rPr>
      </w:pPr>
      <w:r>
        <w:rPr>
          <w:b/>
          <w:bCs/>
          <w:lang w:val="en-US"/>
        </w:rPr>
        <w:t>Earnings per Share</w:t>
      </w:r>
    </w:p>
    <w:p w14:paraId="335D9CE9" w14:textId="6258DCA7" w:rsidR="00CE4BE5" w:rsidRDefault="00CE4BE5" w:rsidP="00CE4BE5">
      <w:pPr>
        <w:spacing w:line="360" w:lineRule="auto"/>
        <w:rPr>
          <w:lang w:val="en-US"/>
        </w:rPr>
      </w:pPr>
      <w:r>
        <w:rPr>
          <w:lang w:val="en-US"/>
        </w:rPr>
        <w:t xml:space="preserve">The formula to calculate </w:t>
      </w:r>
      <w:r w:rsidR="003554CE">
        <w:rPr>
          <w:lang w:val="en-US"/>
        </w:rPr>
        <w:t>earnings per share</w:t>
      </w:r>
      <w:r>
        <w:rPr>
          <w:lang w:val="en-US"/>
        </w:rPr>
        <w:t xml:space="preserve"> is = (</w:t>
      </w:r>
      <w:r w:rsidR="003554CE">
        <w:rPr>
          <w:lang w:val="en-US"/>
        </w:rPr>
        <w:t>Profit Attributable to Ordinary Shareholders / Number of Shares Outstanding</w:t>
      </w:r>
      <w:r>
        <w:rPr>
          <w:lang w:val="en-US"/>
        </w:rPr>
        <w:t>)</w:t>
      </w:r>
    </w:p>
    <w:p w14:paraId="295953DD" w14:textId="2B737EF8" w:rsidR="00CE4BE5" w:rsidRPr="00B44FE5" w:rsidRDefault="00CE4BE5" w:rsidP="00CE4BE5">
      <w:pPr>
        <w:spacing w:line="360" w:lineRule="auto"/>
        <w:rPr>
          <w:b/>
          <w:bCs/>
          <w:lang w:val="en-US"/>
        </w:rPr>
      </w:pPr>
      <w:r>
        <w:rPr>
          <w:lang w:val="en-US"/>
        </w:rPr>
        <w:t>In 2023</w:t>
      </w:r>
      <w:r w:rsidRPr="00B44FE5">
        <w:rPr>
          <w:lang w:val="en-US"/>
        </w:rPr>
        <w:t xml:space="preserve">, </w:t>
      </w:r>
      <w:r w:rsidR="00B44FE5" w:rsidRPr="00B44FE5">
        <w:rPr>
          <w:lang w:val="en-US"/>
        </w:rPr>
        <w:t>Earnings per Share</w:t>
      </w:r>
      <w:r w:rsidR="00B44FE5">
        <w:rPr>
          <w:b/>
          <w:bCs/>
          <w:lang w:val="en-US"/>
        </w:rPr>
        <w:t xml:space="preserve"> </w:t>
      </w:r>
      <w:r>
        <w:rPr>
          <w:lang w:val="en-US"/>
        </w:rPr>
        <w:t xml:space="preserve">is = </w:t>
      </w:r>
      <w:r w:rsidR="00D65ABC">
        <w:rPr>
          <w:lang w:val="en-US"/>
        </w:rPr>
        <w:t>(2,412</w:t>
      </w:r>
      <w:r w:rsidR="00E42F09">
        <w:rPr>
          <w:lang w:val="en-US"/>
        </w:rPr>
        <w:t>m</w:t>
      </w:r>
      <w:r w:rsidR="00D65ABC">
        <w:rPr>
          <w:lang w:val="en-US"/>
        </w:rPr>
        <w:t xml:space="preserve"> / 8,366</w:t>
      </w:r>
      <w:r w:rsidR="00E42F09">
        <w:rPr>
          <w:lang w:val="en-US"/>
        </w:rPr>
        <w:t>m</w:t>
      </w:r>
      <w:r>
        <w:rPr>
          <w:lang w:val="en-US"/>
        </w:rPr>
        <w:t xml:space="preserve">) = </w:t>
      </w:r>
      <w:r w:rsidR="00D65ABC">
        <w:rPr>
          <w:lang w:val="en-US"/>
        </w:rPr>
        <w:t>28.85p per Share</w:t>
      </w:r>
    </w:p>
    <w:p w14:paraId="573C31CE" w14:textId="550E94E9" w:rsidR="00CE4BE5" w:rsidRPr="00B44FE5" w:rsidRDefault="00CE4BE5" w:rsidP="00CE4BE5">
      <w:pPr>
        <w:spacing w:line="360" w:lineRule="auto"/>
        <w:rPr>
          <w:b/>
          <w:bCs/>
          <w:lang w:val="en-US"/>
        </w:rPr>
      </w:pPr>
      <w:r>
        <w:rPr>
          <w:lang w:val="en-US"/>
        </w:rPr>
        <w:t xml:space="preserve">In 2024, </w:t>
      </w:r>
      <w:r w:rsidR="00B44FE5" w:rsidRPr="00B44FE5">
        <w:rPr>
          <w:lang w:val="en-US"/>
        </w:rPr>
        <w:t>Earnings per Share</w:t>
      </w:r>
      <w:r w:rsidR="00B44FE5">
        <w:rPr>
          <w:lang w:val="en-US"/>
        </w:rPr>
        <w:t xml:space="preserve"> </w:t>
      </w:r>
      <w:r>
        <w:rPr>
          <w:lang w:val="en-US"/>
        </w:rPr>
        <w:t>is = (</w:t>
      </w:r>
      <w:r w:rsidR="00D65ABC">
        <w:rPr>
          <w:lang w:val="en-US"/>
        </w:rPr>
        <w:t>2,521</w:t>
      </w:r>
      <w:r w:rsidR="00E42F09">
        <w:rPr>
          <w:lang w:val="en-US"/>
        </w:rPr>
        <w:t>m</w:t>
      </w:r>
      <w:r w:rsidR="00D65ABC">
        <w:rPr>
          <w:lang w:val="en-US"/>
        </w:rPr>
        <w:t xml:space="preserve"> / 8,390</w:t>
      </w:r>
      <w:r w:rsidR="00E42F09">
        <w:rPr>
          <w:lang w:val="en-US"/>
        </w:rPr>
        <w:t>m</w:t>
      </w:r>
      <w:r>
        <w:rPr>
          <w:lang w:val="en-US"/>
        </w:rPr>
        <w:t xml:space="preserve">) = </w:t>
      </w:r>
      <w:r w:rsidR="00D65ABC">
        <w:rPr>
          <w:lang w:val="en-US"/>
        </w:rPr>
        <w:t>30.05p per Share</w:t>
      </w:r>
    </w:p>
    <w:p w14:paraId="6E188A33" w14:textId="5495466C" w:rsidR="00CE4BE5" w:rsidRDefault="0047390E" w:rsidP="00CE4BE5">
      <w:pPr>
        <w:spacing w:line="360" w:lineRule="auto"/>
        <w:rPr>
          <w:lang w:val="en-US"/>
        </w:rPr>
      </w:pPr>
      <w:r>
        <w:rPr>
          <w:lang w:val="en-US"/>
        </w:rPr>
        <w:t>EPS has increased by 4.2% from 2023 to 2024</w:t>
      </w:r>
      <w:r w:rsidR="004C1043">
        <w:rPr>
          <w:lang w:val="en-US"/>
        </w:rPr>
        <w:t>,</w:t>
      </w:r>
      <w:r w:rsidR="006E658F">
        <w:rPr>
          <w:lang w:val="en-US"/>
        </w:rPr>
        <w:t xml:space="preserve"> which showcases a clear growth in </w:t>
      </w:r>
      <w:r w:rsidR="007443BC">
        <w:rPr>
          <w:lang w:val="en-US"/>
        </w:rPr>
        <w:t>profits</w:t>
      </w:r>
      <w:r w:rsidR="00B660FB">
        <w:rPr>
          <w:lang w:val="en-US"/>
        </w:rPr>
        <w:t xml:space="preserve"> of the company. </w:t>
      </w:r>
      <w:r w:rsidR="004A4025">
        <w:rPr>
          <w:lang w:val="en-US"/>
        </w:rPr>
        <w:t>The underlying EPS</w:t>
      </w:r>
      <w:r w:rsidR="004C1043">
        <w:rPr>
          <w:lang w:val="en-US"/>
        </w:rPr>
        <w:t>,</w:t>
      </w:r>
      <w:r w:rsidR="004A4025">
        <w:rPr>
          <w:lang w:val="en-US"/>
        </w:rPr>
        <w:t xml:space="preserve"> when adjusted for the exceptional items</w:t>
      </w:r>
      <w:r w:rsidR="004C1043">
        <w:rPr>
          <w:lang w:val="en-US"/>
        </w:rPr>
        <w:t>,</w:t>
      </w:r>
      <w:r w:rsidR="00D52CC7">
        <w:rPr>
          <w:lang w:val="en-US"/>
        </w:rPr>
        <w:t xml:space="preserve"> has increased by almost 50% in the same period (from 13.75p to 20.29p), indicating massive improvements</w:t>
      </w:r>
      <w:r w:rsidR="005D721A">
        <w:rPr>
          <w:lang w:val="en-US"/>
        </w:rPr>
        <w:t xml:space="preserve"> (</w:t>
      </w:r>
      <w:r w:rsidR="00B64E6B">
        <w:rPr>
          <w:lang w:val="en-US"/>
        </w:rPr>
        <w:t>Stone</w:t>
      </w:r>
      <w:r w:rsidR="005D721A">
        <w:rPr>
          <w:lang w:val="en-US"/>
        </w:rPr>
        <w:t>, 2024)</w:t>
      </w:r>
      <w:r w:rsidR="00D52CC7">
        <w:rPr>
          <w:lang w:val="en-US"/>
        </w:rPr>
        <w:t>.</w:t>
      </w:r>
    </w:p>
    <w:p w14:paraId="20989792" w14:textId="019E64DF" w:rsidR="00C73919" w:rsidRDefault="00C73919" w:rsidP="00C73919">
      <w:pPr>
        <w:spacing w:line="360" w:lineRule="auto"/>
        <w:jc w:val="center"/>
        <w:rPr>
          <w:lang w:val="en-US"/>
        </w:rPr>
      </w:pPr>
      <w:r>
        <w:rPr>
          <w:noProof/>
          <w:lang w:val="en-US"/>
        </w:rPr>
        <w:drawing>
          <wp:inline distT="0" distB="0" distL="0" distR="0" wp14:anchorId="349060F5" wp14:editId="74F9A394">
            <wp:extent cx="5486400" cy="3200400"/>
            <wp:effectExtent l="0" t="0" r="0" b="0"/>
            <wp:docPr id="1052130341"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3570E72" w14:textId="62D564A3" w:rsidR="00C73919" w:rsidRPr="00C73919" w:rsidRDefault="00C73919" w:rsidP="00C73919">
      <w:pPr>
        <w:spacing w:line="360" w:lineRule="auto"/>
        <w:jc w:val="center"/>
        <w:rPr>
          <w:lang w:val="en-US"/>
        </w:rPr>
      </w:pPr>
      <w:r>
        <w:rPr>
          <w:b/>
          <w:bCs/>
          <w:lang w:val="en-US"/>
        </w:rPr>
        <w:t xml:space="preserve">Figure 6: </w:t>
      </w:r>
      <w:r>
        <w:rPr>
          <w:lang w:val="en-US"/>
        </w:rPr>
        <w:t>Earnings per Share (Source: Own)</w:t>
      </w:r>
    </w:p>
    <w:p w14:paraId="45C9544A" w14:textId="2552ACD0" w:rsidR="006E4C9F" w:rsidRDefault="006E4C9F" w:rsidP="006E4C9F">
      <w:pPr>
        <w:pStyle w:val="Heading2"/>
        <w:spacing w:line="360" w:lineRule="auto"/>
        <w:rPr>
          <w:lang w:val="en-US"/>
        </w:rPr>
      </w:pPr>
      <w:bookmarkStart w:id="11" w:name="_Toc224345115"/>
      <w:r>
        <w:rPr>
          <w:lang w:val="en-US"/>
        </w:rPr>
        <w:t>Critical Evaluation of Financial Ratios and Analysis</w:t>
      </w:r>
      <w:bookmarkEnd w:id="11"/>
    </w:p>
    <w:p w14:paraId="749D93AE" w14:textId="3297563D" w:rsidR="00E107EE" w:rsidRPr="00E107EE" w:rsidRDefault="00E107EE" w:rsidP="00E107EE">
      <w:pPr>
        <w:pStyle w:val="Heading3"/>
        <w:spacing w:line="360" w:lineRule="auto"/>
        <w:rPr>
          <w:rFonts w:ascii="Times New Roman" w:hAnsi="Times New Roman" w:cs="Times New Roman"/>
          <w:b/>
          <w:bCs/>
          <w:sz w:val="24"/>
          <w:szCs w:val="32"/>
          <w:lang w:val="en-US"/>
        </w:rPr>
      </w:pPr>
      <w:bookmarkStart w:id="12" w:name="_Toc224345116"/>
      <w:r>
        <w:rPr>
          <w:rFonts w:ascii="Times New Roman" w:hAnsi="Times New Roman" w:cs="Times New Roman"/>
          <w:b/>
          <w:bCs/>
          <w:sz w:val="24"/>
          <w:szCs w:val="32"/>
          <w:lang w:val="en-US"/>
        </w:rPr>
        <w:t>Trends and Changes over the Period</w:t>
      </w:r>
      <w:bookmarkEnd w:id="12"/>
    </w:p>
    <w:p w14:paraId="20018023" w14:textId="1FBC1DA2" w:rsidR="00E107EE" w:rsidRDefault="00956942" w:rsidP="00E107EE">
      <w:pPr>
        <w:spacing w:line="360" w:lineRule="auto"/>
        <w:rPr>
          <w:lang w:val="en-US"/>
        </w:rPr>
      </w:pPr>
      <w:r>
        <w:rPr>
          <w:lang w:val="en-US"/>
        </w:rPr>
        <w:t>All of the financial ratios showcase an effective turnaround of the company</w:t>
      </w:r>
      <w:r w:rsidR="004C1043">
        <w:rPr>
          <w:lang w:val="en-US"/>
        </w:rPr>
        <w:t>,</w:t>
      </w:r>
      <w:r>
        <w:rPr>
          <w:lang w:val="en-US"/>
        </w:rPr>
        <w:t xml:space="preserve"> even if some of the ratios did not see much </w:t>
      </w:r>
      <w:r w:rsidR="004C1043">
        <w:rPr>
          <w:lang w:val="en-US"/>
        </w:rPr>
        <w:t>change;</w:t>
      </w:r>
      <w:r>
        <w:rPr>
          <w:lang w:val="en-US"/>
        </w:rPr>
        <w:t xml:space="preserve"> however, underlying the ratios hid necessary information. </w:t>
      </w:r>
      <w:r w:rsidR="000C1F31">
        <w:rPr>
          <w:lang w:val="en-US"/>
        </w:rPr>
        <w:t xml:space="preserve">For instance, </w:t>
      </w:r>
      <w:r w:rsidR="00EE77E4">
        <w:rPr>
          <w:lang w:val="en-US"/>
        </w:rPr>
        <w:t>the debt-to-equity ratio resulted in negative results for both 2023 and 2024</w:t>
      </w:r>
      <w:r w:rsidR="004C1043">
        <w:rPr>
          <w:lang w:val="en-US"/>
        </w:rPr>
        <w:t>;</w:t>
      </w:r>
      <w:r w:rsidR="00EE77E4">
        <w:rPr>
          <w:lang w:val="en-US"/>
        </w:rPr>
        <w:t xml:space="preserve"> however,</w:t>
      </w:r>
      <w:r w:rsidR="00A6013D">
        <w:rPr>
          <w:lang w:val="en-US"/>
        </w:rPr>
        <w:t xml:space="preserve"> the debts have decreased</w:t>
      </w:r>
      <w:r w:rsidR="004C1043">
        <w:rPr>
          <w:lang w:val="en-US"/>
        </w:rPr>
        <w:t>,</w:t>
      </w:r>
      <w:r w:rsidR="00A6013D">
        <w:rPr>
          <w:lang w:val="en-US"/>
        </w:rPr>
        <w:t xml:space="preserve"> and equity </w:t>
      </w:r>
      <w:r w:rsidR="004C1043">
        <w:rPr>
          <w:lang w:val="en-US"/>
        </w:rPr>
        <w:t>has</w:t>
      </w:r>
      <w:r w:rsidR="00A6013D">
        <w:rPr>
          <w:lang w:val="en-US"/>
        </w:rPr>
        <w:t xml:space="preserve"> significantly increased, showcasing </w:t>
      </w:r>
      <w:r w:rsidR="004C1043">
        <w:rPr>
          <w:lang w:val="en-US"/>
        </w:rPr>
        <w:t xml:space="preserve">a </w:t>
      </w:r>
      <w:r w:rsidR="00A6013D">
        <w:rPr>
          <w:lang w:val="en-US"/>
        </w:rPr>
        <w:t xml:space="preserve">necessary </w:t>
      </w:r>
      <w:r w:rsidR="00D55855">
        <w:rPr>
          <w:lang w:val="en-US"/>
        </w:rPr>
        <w:t xml:space="preserve">turnaround. </w:t>
      </w:r>
      <w:r w:rsidR="009552F6">
        <w:rPr>
          <w:lang w:val="en-US"/>
        </w:rPr>
        <w:t xml:space="preserve">When considered together, </w:t>
      </w:r>
      <w:r w:rsidR="00E93D3C">
        <w:rPr>
          <w:lang w:val="en-US"/>
        </w:rPr>
        <w:t>these change of trends showcases the transformation program of the company has significantly enhanced the company’s profitability, liquidity and leverage, but the company’s current conditions still depend on wider industry and macroeconomic conditions (Danbolt et al., 2018).</w:t>
      </w:r>
    </w:p>
    <w:p w14:paraId="4B2975FE" w14:textId="3B2D88A3" w:rsidR="00573C3F" w:rsidRDefault="00573C3F" w:rsidP="00E107EE">
      <w:pPr>
        <w:spacing w:line="360" w:lineRule="auto"/>
        <w:rPr>
          <w:lang w:val="en-US"/>
        </w:rPr>
      </w:pPr>
      <w:r>
        <w:rPr>
          <w:lang w:val="en-US"/>
        </w:rPr>
        <w:t>Profits have enhanced all around</w:t>
      </w:r>
      <w:r w:rsidR="004C1043">
        <w:rPr>
          <w:lang w:val="en-US"/>
        </w:rPr>
        <w:t>,</w:t>
      </w:r>
      <w:r>
        <w:rPr>
          <w:lang w:val="en-US"/>
        </w:rPr>
        <w:t xml:space="preserve"> alongside </w:t>
      </w:r>
      <w:r w:rsidR="0071039F">
        <w:rPr>
          <w:lang w:val="en-US"/>
        </w:rPr>
        <w:t xml:space="preserve">the liquidity strengthening, as well. </w:t>
      </w:r>
      <w:r w:rsidR="0080534E">
        <w:rPr>
          <w:lang w:val="en-US"/>
        </w:rPr>
        <w:t xml:space="preserve">Moreover, the cash positions have improved, too. </w:t>
      </w:r>
      <w:r w:rsidR="007F442A">
        <w:rPr>
          <w:lang w:val="en-US"/>
        </w:rPr>
        <w:t>More importantly, the transformation has remained largely successful for Rolls-Royce Holdings PLC</w:t>
      </w:r>
      <w:r w:rsidR="004C1043">
        <w:rPr>
          <w:lang w:val="en-US"/>
        </w:rPr>
        <w:t>,</w:t>
      </w:r>
      <w:r w:rsidR="007F442A">
        <w:rPr>
          <w:lang w:val="en-US"/>
        </w:rPr>
        <w:t xml:space="preserve"> as the 2024 performance, when compared with that of 2022</w:t>
      </w:r>
      <w:r w:rsidR="00815B0D">
        <w:rPr>
          <w:lang w:val="en-US"/>
        </w:rPr>
        <w:t xml:space="preserve"> as the baseline, has significantly improved with near-quadrupling operating profits</w:t>
      </w:r>
      <w:r w:rsidR="00234D5E">
        <w:rPr>
          <w:lang w:val="en-US"/>
        </w:rPr>
        <w:t xml:space="preserve">. </w:t>
      </w:r>
    </w:p>
    <w:p w14:paraId="290B5292" w14:textId="5CF8D568" w:rsidR="0080491B" w:rsidRDefault="0080491B" w:rsidP="0080491B">
      <w:pPr>
        <w:spacing w:line="360" w:lineRule="auto"/>
        <w:jc w:val="center"/>
        <w:rPr>
          <w:lang w:val="en-US"/>
        </w:rPr>
      </w:pPr>
      <w:r>
        <w:rPr>
          <w:noProof/>
          <w:lang w:val="en-US"/>
        </w:rPr>
        <w:drawing>
          <wp:inline distT="0" distB="0" distL="0" distR="0" wp14:anchorId="511FE3E0" wp14:editId="3F03CA57">
            <wp:extent cx="5486400" cy="3200400"/>
            <wp:effectExtent l="0" t="0" r="0" b="0"/>
            <wp:docPr id="1947924512"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4AF1D02" w14:textId="4282B606" w:rsidR="0080491B" w:rsidRPr="0080491B" w:rsidRDefault="0080491B" w:rsidP="0080491B">
      <w:pPr>
        <w:spacing w:line="360" w:lineRule="auto"/>
        <w:jc w:val="center"/>
        <w:rPr>
          <w:lang w:val="en-US"/>
        </w:rPr>
      </w:pPr>
      <w:r>
        <w:rPr>
          <w:b/>
          <w:bCs/>
          <w:lang w:val="en-US"/>
        </w:rPr>
        <w:t xml:space="preserve">Figure 7: </w:t>
      </w:r>
      <w:r>
        <w:rPr>
          <w:lang w:val="en-US"/>
        </w:rPr>
        <w:t>Trend Line (Source: Own)</w:t>
      </w:r>
    </w:p>
    <w:p w14:paraId="0CD69DFE" w14:textId="188C1359" w:rsidR="00E107EE" w:rsidRPr="00E107EE" w:rsidRDefault="00E107EE" w:rsidP="00E107EE">
      <w:pPr>
        <w:pStyle w:val="Heading3"/>
        <w:spacing w:line="360" w:lineRule="auto"/>
        <w:rPr>
          <w:rFonts w:ascii="Times New Roman" w:hAnsi="Times New Roman" w:cs="Times New Roman"/>
          <w:b/>
          <w:bCs/>
          <w:sz w:val="24"/>
          <w:szCs w:val="32"/>
          <w:lang w:val="en-US"/>
        </w:rPr>
      </w:pPr>
      <w:bookmarkStart w:id="13" w:name="_Toc224345117"/>
      <w:r>
        <w:rPr>
          <w:rFonts w:ascii="Times New Roman" w:hAnsi="Times New Roman" w:cs="Times New Roman"/>
          <w:b/>
          <w:bCs/>
          <w:sz w:val="24"/>
          <w:szCs w:val="32"/>
          <w:lang w:val="en-US"/>
        </w:rPr>
        <w:t>Reasons for Changes in Ratios</w:t>
      </w:r>
      <w:bookmarkEnd w:id="13"/>
    </w:p>
    <w:p w14:paraId="219C863D" w14:textId="0B9665E9" w:rsidR="00E107EE" w:rsidRDefault="00C82D31" w:rsidP="00E107EE">
      <w:pPr>
        <w:spacing w:line="360" w:lineRule="auto"/>
        <w:rPr>
          <w:lang w:val="en-US"/>
        </w:rPr>
      </w:pPr>
      <w:r>
        <w:rPr>
          <w:lang w:val="en-US"/>
        </w:rPr>
        <w:t>The improvement of ratios ha</w:t>
      </w:r>
      <w:r w:rsidR="00605C08">
        <w:rPr>
          <w:lang w:val="en-US"/>
        </w:rPr>
        <w:t>s</w:t>
      </w:r>
      <w:r>
        <w:rPr>
          <w:lang w:val="en-US"/>
        </w:rPr>
        <w:t xml:space="preserve"> </w:t>
      </w:r>
      <w:r w:rsidR="004C1043">
        <w:rPr>
          <w:lang w:val="en-US"/>
        </w:rPr>
        <w:t>materialised</w:t>
      </w:r>
      <w:r>
        <w:rPr>
          <w:lang w:val="en-US"/>
        </w:rPr>
        <w:t xml:space="preserve"> due to various reasons. These reasons are elaborated below.</w:t>
      </w:r>
    </w:p>
    <w:p w14:paraId="1D8E2A0A" w14:textId="1B2D7644" w:rsidR="00225FFE" w:rsidRDefault="002C6104" w:rsidP="00E107EE">
      <w:pPr>
        <w:spacing w:line="360" w:lineRule="auto"/>
        <w:rPr>
          <w:lang w:val="en-US"/>
        </w:rPr>
      </w:pPr>
      <w:r>
        <w:rPr>
          <w:b/>
          <w:bCs/>
          <w:lang w:val="en-US"/>
        </w:rPr>
        <w:t xml:space="preserve">Strategic Transformation Program: </w:t>
      </w:r>
      <w:r>
        <w:rPr>
          <w:lang w:val="en-US"/>
        </w:rPr>
        <w:t xml:space="preserve">After Tufan’s takeover and implementation of all the systematic transformation programs, </w:t>
      </w:r>
      <w:r w:rsidR="00BF2BBC">
        <w:rPr>
          <w:lang w:val="en-US"/>
        </w:rPr>
        <w:t xml:space="preserve">the company has </w:t>
      </w:r>
      <w:r w:rsidR="004C1043">
        <w:rPr>
          <w:lang w:val="en-US"/>
        </w:rPr>
        <w:t>materialised</w:t>
      </w:r>
      <w:r w:rsidR="00BF2BBC">
        <w:rPr>
          <w:lang w:val="en-US"/>
        </w:rPr>
        <w:t xml:space="preserve"> </w:t>
      </w:r>
      <w:r w:rsidR="00CA4C27">
        <w:rPr>
          <w:lang w:val="en-US"/>
        </w:rPr>
        <w:t xml:space="preserve">major improvements across financial performance, commercial operations and cost efficiency. </w:t>
      </w:r>
      <w:r w:rsidR="00464CB2">
        <w:rPr>
          <w:lang w:val="en-US"/>
        </w:rPr>
        <w:t xml:space="preserve">In the last two years, the transformation program has already resulted in cost savings </w:t>
      </w:r>
      <w:r w:rsidR="004C1043">
        <w:rPr>
          <w:lang w:val="en-US"/>
        </w:rPr>
        <w:t xml:space="preserve">of </w:t>
      </w:r>
      <w:r w:rsidR="00464CB2">
        <w:rPr>
          <w:lang w:val="en-US"/>
        </w:rPr>
        <w:t>over 250 million Pounds in 2024</w:t>
      </w:r>
      <w:r w:rsidR="004C1043">
        <w:rPr>
          <w:lang w:val="en-US"/>
        </w:rPr>
        <w:t>,</w:t>
      </w:r>
      <w:r w:rsidR="00024D50">
        <w:rPr>
          <w:lang w:val="en-US"/>
        </w:rPr>
        <w:t xml:space="preserve"> with a target </w:t>
      </w:r>
      <w:r w:rsidR="004C1043">
        <w:rPr>
          <w:lang w:val="en-US"/>
        </w:rPr>
        <w:t xml:space="preserve">of </w:t>
      </w:r>
      <w:r w:rsidR="00024D50">
        <w:rPr>
          <w:lang w:val="en-US"/>
        </w:rPr>
        <w:t>over 400-500 million Pounds in savings</w:t>
      </w:r>
      <w:r w:rsidR="0063098D">
        <w:rPr>
          <w:lang w:val="en-US"/>
        </w:rPr>
        <w:t xml:space="preserve"> in the mid-term</w:t>
      </w:r>
      <w:r w:rsidR="005D721A">
        <w:rPr>
          <w:lang w:val="en-US"/>
        </w:rPr>
        <w:t xml:space="preserve"> (Rolls-Royce, 2024)</w:t>
      </w:r>
      <w:r w:rsidR="0063098D">
        <w:rPr>
          <w:lang w:val="en-US"/>
        </w:rPr>
        <w:t>.</w:t>
      </w:r>
    </w:p>
    <w:p w14:paraId="7BD60A89" w14:textId="22FE1B3A" w:rsidR="002C6104" w:rsidRDefault="002C6104" w:rsidP="00E107EE">
      <w:pPr>
        <w:spacing w:line="360" w:lineRule="auto"/>
        <w:rPr>
          <w:lang w:val="en-US"/>
        </w:rPr>
      </w:pPr>
      <w:r>
        <w:rPr>
          <w:b/>
          <w:bCs/>
          <w:lang w:val="en-US"/>
        </w:rPr>
        <w:t xml:space="preserve">Aviation Recovery: </w:t>
      </w:r>
      <w:r w:rsidR="00417A02">
        <w:rPr>
          <w:lang w:val="en-US"/>
        </w:rPr>
        <w:t xml:space="preserve">As LTSA is directly linked to flying hours, the company has seen boosted high-margin aftermarket income since global air travel has significantly improved after COVID-19 has come to </w:t>
      </w:r>
      <w:r w:rsidR="00233A20">
        <w:rPr>
          <w:lang w:val="en-US"/>
        </w:rPr>
        <w:t xml:space="preserve">normal </w:t>
      </w:r>
      <w:r w:rsidR="00417A02">
        <w:rPr>
          <w:lang w:val="en-US"/>
        </w:rPr>
        <w:t>levels.</w:t>
      </w:r>
    </w:p>
    <w:p w14:paraId="179F8B78" w14:textId="48555FEF" w:rsidR="002C6104" w:rsidRPr="002C6104" w:rsidRDefault="002C6104" w:rsidP="00E107EE">
      <w:pPr>
        <w:spacing w:line="360" w:lineRule="auto"/>
        <w:rPr>
          <w:lang w:val="en-US"/>
        </w:rPr>
      </w:pPr>
      <w:r>
        <w:rPr>
          <w:b/>
          <w:bCs/>
          <w:lang w:val="en-US"/>
        </w:rPr>
        <w:t xml:space="preserve">Working Capital Management: </w:t>
      </w:r>
      <w:r w:rsidR="005F5993">
        <w:rPr>
          <w:lang w:val="en-US"/>
        </w:rPr>
        <w:t xml:space="preserve">By </w:t>
      </w:r>
      <w:r w:rsidR="00BB1408">
        <w:rPr>
          <w:lang w:val="en-US"/>
        </w:rPr>
        <w:t xml:space="preserve">reducing both inventory days and improving receivables management, </w:t>
      </w:r>
      <w:r w:rsidR="004613EA">
        <w:rPr>
          <w:lang w:val="en-US"/>
        </w:rPr>
        <w:t xml:space="preserve">the company has translated the metrics into strengthening its working capital efficiency as identified with its higher inventory turnover and liquidity ratios. </w:t>
      </w:r>
      <w:r w:rsidR="00D078A9">
        <w:rPr>
          <w:lang w:val="en-US"/>
        </w:rPr>
        <w:t>Moreover, the company has also reduced its reliance on external short-term finances which has greatly contributed to the company’s current situation (Stone, 2024).</w:t>
      </w:r>
    </w:p>
    <w:p w14:paraId="60669AC1" w14:textId="124E2B0A" w:rsidR="004C1043" w:rsidRDefault="00E107EE" w:rsidP="004C1043">
      <w:pPr>
        <w:pStyle w:val="Heading3"/>
        <w:spacing w:line="360" w:lineRule="auto"/>
        <w:rPr>
          <w:lang w:val="en-US"/>
        </w:rPr>
      </w:pPr>
      <w:bookmarkStart w:id="14" w:name="_Toc224345118"/>
      <w:r>
        <w:rPr>
          <w:rFonts w:ascii="Times New Roman" w:hAnsi="Times New Roman" w:cs="Times New Roman"/>
          <w:b/>
          <w:bCs/>
          <w:sz w:val="24"/>
          <w:szCs w:val="32"/>
          <w:lang w:val="en-US"/>
        </w:rPr>
        <w:t>Comparisons with Industry Benchmark</w:t>
      </w:r>
      <w:bookmarkEnd w:id="14"/>
    </w:p>
    <w:p w14:paraId="1CE03539" w14:textId="1DC89D8B" w:rsidR="00E107EE" w:rsidRDefault="004C1043" w:rsidP="00E107EE">
      <w:pPr>
        <w:spacing w:line="360" w:lineRule="auto"/>
        <w:rPr>
          <w:lang w:val="en-US"/>
        </w:rPr>
      </w:pPr>
      <w:r>
        <w:rPr>
          <w:lang w:val="en-US"/>
        </w:rPr>
        <w:t>Based</w:t>
      </w:r>
      <w:r w:rsidR="00CB5836">
        <w:rPr>
          <w:lang w:val="en-US"/>
        </w:rPr>
        <w:t xml:space="preserve"> on the available </w:t>
      </w:r>
      <w:r>
        <w:rPr>
          <w:lang w:val="en-US"/>
        </w:rPr>
        <w:t>evidence</w:t>
      </w:r>
      <w:r w:rsidR="00CB5836">
        <w:rPr>
          <w:lang w:val="en-US"/>
        </w:rPr>
        <w:t xml:space="preserve">, Rolls-Royce Holdings PLC </w:t>
      </w:r>
      <w:r w:rsidR="0094588A">
        <w:rPr>
          <w:lang w:val="en-US"/>
        </w:rPr>
        <w:t>is now operating at or above the industry standards</w:t>
      </w:r>
      <w:r w:rsidR="00983123">
        <w:rPr>
          <w:lang w:val="en-US"/>
        </w:rPr>
        <w:t xml:space="preserve"> in most areas. The available data is compared to the company’s performance levels below.</w:t>
      </w:r>
    </w:p>
    <w:p w14:paraId="5EA962A4" w14:textId="72EBB419" w:rsidR="00983123" w:rsidRPr="000A0512" w:rsidRDefault="00983123" w:rsidP="00E107EE">
      <w:pPr>
        <w:spacing w:line="360" w:lineRule="auto"/>
        <w:rPr>
          <w:lang w:val="en-US"/>
        </w:rPr>
      </w:pPr>
      <w:r>
        <w:rPr>
          <w:b/>
          <w:bCs/>
          <w:lang w:val="en-US"/>
        </w:rPr>
        <w:t xml:space="preserve">Operating Margin: </w:t>
      </w:r>
      <w:r w:rsidR="000A0512">
        <w:rPr>
          <w:lang w:val="en-US"/>
        </w:rPr>
        <w:t xml:space="preserve">As Rolls-Royce Holding PLC’s OPM is in the mid-teens, the company </w:t>
      </w:r>
      <w:r w:rsidR="00EB6049">
        <w:rPr>
          <w:lang w:val="en-US"/>
        </w:rPr>
        <w:t>can be considered to be strong as a capital-intensive engineering firm as academic and practitioner sources tend to consider such OPM to be quite effective (Rashid, 2021).</w:t>
      </w:r>
    </w:p>
    <w:p w14:paraId="2C187206" w14:textId="3BE8079E" w:rsidR="00983123" w:rsidRPr="007F35AB" w:rsidRDefault="00983123" w:rsidP="00E107EE">
      <w:pPr>
        <w:spacing w:line="360" w:lineRule="auto"/>
      </w:pPr>
      <w:r>
        <w:rPr>
          <w:b/>
          <w:bCs/>
          <w:lang w:val="en-US"/>
        </w:rPr>
        <w:t xml:space="preserve">Liquidity: </w:t>
      </w:r>
      <w:r w:rsidR="00244B11">
        <w:rPr>
          <w:lang w:val="en-US"/>
        </w:rPr>
        <w:t xml:space="preserve">With a current ratio of 1.28, Rolls Royce Holdings PLC strikes to have an adequate buffer over current liabilities due to greater current assets. This is also consistent with ranges reported for manufacturing companies that are as large as Rolls Royce Holdings PLC (Faello, 2015). </w:t>
      </w:r>
      <w:r>
        <w:rPr>
          <w:lang w:val="en-US"/>
        </w:rPr>
        <w:t xml:space="preserve">The current market price of Rolls-Royce Holdings PLC’s shares not only </w:t>
      </w:r>
      <w:r w:rsidR="004C1043">
        <w:rPr>
          <w:lang w:val="en-US"/>
        </w:rPr>
        <w:t>justifies</w:t>
      </w:r>
      <w:r>
        <w:rPr>
          <w:lang w:val="en-US"/>
        </w:rPr>
        <w:t xml:space="preserve"> its market validation but also the company’s increasing dominance in the global aerospace and </w:t>
      </w:r>
      <w:r w:rsidR="004C1043">
        <w:rPr>
          <w:lang w:val="en-US"/>
        </w:rPr>
        <w:t>defence</w:t>
      </w:r>
      <w:r>
        <w:rPr>
          <w:lang w:val="en-US"/>
        </w:rPr>
        <w:t xml:space="preserve"> market, as well</w:t>
      </w:r>
      <w:r w:rsidR="005D721A">
        <w:rPr>
          <w:lang w:val="en-US"/>
        </w:rPr>
        <w:t xml:space="preserve"> (</w:t>
      </w:r>
      <w:r w:rsidR="00B67BD5">
        <w:rPr>
          <w:lang w:val="en-US"/>
        </w:rPr>
        <w:t>Stone, 2024</w:t>
      </w:r>
      <w:r w:rsidR="005D721A">
        <w:rPr>
          <w:lang w:val="en-US"/>
        </w:rPr>
        <w:t>)</w:t>
      </w:r>
      <w:r>
        <w:rPr>
          <w:lang w:val="en-US"/>
        </w:rPr>
        <w:t xml:space="preserve">. </w:t>
      </w:r>
      <w:r w:rsidR="001A6B72">
        <w:rPr>
          <w:lang w:val="en-US"/>
        </w:rPr>
        <w:t xml:space="preserve">As a result, the competitive positioning of the company </w:t>
      </w:r>
      <w:r w:rsidR="004C1043">
        <w:rPr>
          <w:lang w:val="en-US"/>
        </w:rPr>
        <w:t>has</w:t>
      </w:r>
      <w:r w:rsidR="001A6B72">
        <w:rPr>
          <w:lang w:val="en-US"/>
        </w:rPr>
        <w:t xml:space="preserve"> only </w:t>
      </w:r>
      <w:r w:rsidR="004C1043">
        <w:rPr>
          <w:lang w:val="en-US"/>
        </w:rPr>
        <w:t>improved</w:t>
      </w:r>
      <w:r w:rsidR="007F35AB">
        <w:rPr>
          <w:lang w:val="en-US"/>
        </w:rPr>
        <w:t xml:space="preserve"> since the major transformation the company has undergone under Tufan’s leadershi</w:t>
      </w:r>
      <w:r w:rsidR="00B633C1">
        <w:rPr>
          <w:lang w:val="en-US"/>
        </w:rPr>
        <w:t xml:space="preserve">p. </w:t>
      </w:r>
    </w:p>
    <w:p w14:paraId="6A0A7317" w14:textId="0AE20D4B" w:rsidR="00E107EE" w:rsidRPr="00E107EE" w:rsidRDefault="00E107EE" w:rsidP="005F766F">
      <w:pPr>
        <w:pStyle w:val="Heading3"/>
        <w:spacing w:line="360" w:lineRule="auto"/>
        <w:rPr>
          <w:rFonts w:ascii="Times New Roman" w:hAnsi="Times New Roman" w:cs="Times New Roman"/>
          <w:b/>
          <w:bCs/>
          <w:sz w:val="24"/>
          <w:szCs w:val="32"/>
          <w:lang w:val="en-US"/>
        </w:rPr>
      </w:pPr>
      <w:bookmarkStart w:id="15" w:name="_Toc224345119"/>
      <w:r>
        <w:rPr>
          <w:rFonts w:ascii="Times New Roman" w:hAnsi="Times New Roman" w:cs="Times New Roman"/>
          <w:b/>
          <w:bCs/>
          <w:sz w:val="24"/>
          <w:szCs w:val="32"/>
          <w:lang w:val="en-US"/>
        </w:rPr>
        <w:t>Limitations of Ratio Analysis</w:t>
      </w:r>
      <w:bookmarkEnd w:id="15"/>
    </w:p>
    <w:p w14:paraId="780EC78D" w14:textId="7AD59477" w:rsidR="00E107EE" w:rsidRDefault="005F766F" w:rsidP="005F766F">
      <w:pPr>
        <w:spacing w:line="360" w:lineRule="auto"/>
        <w:rPr>
          <w:lang w:val="en-US"/>
        </w:rPr>
      </w:pPr>
      <w:r>
        <w:rPr>
          <w:lang w:val="en-US"/>
        </w:rPr>
        <w:t xml:space="preserve">Now, ratio analysis provides a lot of beneficial insights to make reasonable </w:t>
      </w:r>
      <w:r w:rsidR="004C1043">
        <w:rPr>
          <w:lang w:val="en-US"/>
        </w:rPr>
        <w:t>judgments</w:t>
      </w:r>
      <w:r>
        <w:rPr>
          <w:lang w:val="en-US"/>
        </w:rPr>
        <w:t xml:space="preserve"> about a company</w:t>
      </w:r>
      <w:r w:rsidR="004C1043">
        <w:rPr>
          <w:lang w:val="en-US"/>
        </w:rPr>
        <w:t>;</w:t>
      </w:r>
      <w:r>
        <w:rPr>
          <w:lang w:val="en-US"/>
        </w:rPr>
        <w:t xml:space="preserve"> however, it also has its limitations. These limitations are as follows.</w:t>
      </w:r>
    </w:p>
    <w:p w14:paraId="79760147" w14:textId="78B6F0E9" w:rsidR="005F766F" w:rsidRDefault="005F766F" w:rsidP="005F766F">
      <w:pPr>
        <w:pStyle w:val="ListParagraph"/>
        <w:numPr>
          <w:ilvl w:val="0"/>
          <w:numId w:val="1"/>
        </w:numPr>
        <w:spacing w:line="360" w:lineRule="auto"/>
        <w:rPr>
          <w:lang w:val="en-US"/>
        </w:rPr>
      </w:pPr>
      <w:r>
        <w:rPr>
          <w:b/>
          <w:bCs/>
          <w:lang w:val="en-US"/>
        </w:rPr>
        <w:t xml:space="preserve">Historical Nature: </w:t>
      </w:r>
      <w:r>
        <w:rPr>
          <w:lang w:val="en-US"/>
        </w:rPr>
        <w:t>Ratios are always derived from historical financial statements</w:t>
      </w:r>
      <w:r w:rsidR="004C1043">
        <w:rPr>
          <w:lang w:val="en-US"/>
        </w:rPr>
        <w:t>,</w:t>
      </w:r>
      <w:r>
        <w:rPr>
          <w:lang w:val="en-US"/>
        </w:rPr>
        <w:t xml:space="preserve"> and there can never be any guarantee of whether a company can repeat its past performance in the future</w:t>
      </w:r>
      <w:r w:rsidR="00B8634C">
        <w:rPr>
          <w:lang w:val="en-US"/>
        </w:rPr>
        <w:t xml:space="preserve"> (</w:t>
      </w:r>
      <w:r w:rsidR="00B8634C" w:rsidRPr="00B8634C">
        <w:t>Faello</w:t>
      </w:r>
      <w:r w:rsidR="00B8634C">
        <w:t>, 2015)</w:t>
      </w:r>
      <w:r>
        <w:rPr>
          <w:lang w:val="en-US"/>
        </w:rPr>
        <w:t xml:space="preserve">. </w:t>
      </w:r>
      <w:r w:rsidR="008015B6">
        <w:rPr>
          <w:lang w:val="en-US"/>
        </w:rPr>
        <w:t>As a result, even if Rolls-Royce Holdings PLC has posted a turnaround, there is no guarantee that the company will continue to do so.</w:t>
      </w:r>
    </w:p>
    <w:p w14:paraId="55C81B2F" w14:textId="4B81C9EF" w:rsidR="005F766F" w:rsidRDefault="005F766F" w:rsidP="005F766F">
      <w:pPr>
        <w:pStyle w:val="ListParagraph"/>
        <w:numPr>
          <w:ilvl w:val="0"/>
          <w:numId w:val="1"/>
        </w:numPr>
        <w:spacing w:line="360" w:lineRule="auto"/>
        <w:rPr>
          <w:lang w:val="en-US"/>
        </w:rPr>
      </w:pPr>
      <w:r>
        <w:rPr>
          <w:b/>
          <w:bCs/>
          <w:lang w:val="en-US"/>
        </w:rPr>
        <w:t xml:space="preserve">Accounting Policy Impacts: </w:t>
      </w:r>
      <w:r w:rsidR="0003791F">
        <w:rPr>
          <w:lang w:val="en-US"/>
        </w:rPr>
        <w:t xml:space="preserve">When different choices are made to use various accounting policies, </w:t>
      </w:r>
      <w:r w:rsidR="00F550AA">
        <w:rPr>
          <w:lang w:val="en-US"/>
        </w:rPr>
        <w:t>the results can differ significantly</w:t>
      </w:r>
      <w:r w:rsidR="00B8634C">
        <w:rPr>
          <w:lang w:val="en-US"/>
        </w:rPr>
        <w:t xml:space="preserve"> (</w:t>
      </w:r>
      <w:r w:rsidR="00B8634C" w:rsidRPr="00B8634C">
        <w:t>Bojarenko</w:t>
      </w:r>
      <w:r w:rsidR="00B8634C">
        <w:t>, 2017)</w:t>
      </w:r>
      <w:r w:rsidR="00F550AA">
        <w:rPr>
          <w:lang w:val="en-US"/>
        </w:rPr>
        <w:t>.</w:t>
      </w:r>
      <w:r w:rsidR="00E666F8">
        <w:rPr>
          <w:lang w:val="en-US"/>
        </w:rPr>
        <w:t xml:space="preserve"> This tends to obfuscate the interpretation of a company’s balance sheet.</w:t>
      </w:r>
    </w:p>
    <w:p w14:paraId="3FEDDD8A" w14:textId="5668036A" w:rsidR="005F766F" w:rsidRPr="005F766F" w:rsidRDefault="005F766F" w:rsidP="005F766F">
      <w:pPr>
        <w:pStyle w:val="ListParagraph"/>
        <w:numPr>
          <w:ilvl w:val="0"/>
          <w:numId w:val="1"/>
        </w:numPr>
        <w:spacing w:line="360" w:lineRule="auto"/>
        <w:rPr>
          <w:lang w:val="en-US"/>
        </w:rPr>
      </w:pPr>
      <w:r>
        <w:rPr>
          <w:b/>
          <w:bCs/>
          <w:lang w:val="en-US"/>
        </w:rPr>
        <w:t>Industry Specificity:</w:t>
      </w:r>
      <w:r>
        <w:rPr>
          <w:lang w:val="en-US"/>
        </w:rPr>
        <w:t xml:space="preserve"> </w:t>
      </w:r>
      <w:r w:rsidR="002A2F49">
        <w:rPr>
          <w:lang w:val="en-US"/>
        </w:rPr>
        <w:t xml:space="preserve">Not all ratios can be used for companies across various industries. </w:t>
      </w:r>
      <w:r w:rsidR="007D2D73">
        <w:rPr>
          <w:lang w:val="en-US"/>
        </w:rPr>
        <w:t>In the aerospace industry, the focus on long-development cycles, deferred revenues for extended periods of time, LTSA structures</w:t>
      </w:r>
      <w:r w:rsidR="004C1043">
        <w:rPr>
          <w:lang w:val="en-US"/>
        </w:rPr>
        <w:t>,</w:t>
      </w:r>
      <w:r w:rsidR="007D2D73">
        <w:rPr>
          <w:lang w:val="en-US"/>
        </w:rPr>
        <w:t xml:space="preserve"> etc.</w:t>
      </w:r>
      <w:r w:rsidR="004C1043">
        <w:rPr>
          <w:lang w:val="en-US"/>
        </w:rPr>
        <w:t>,</w:t>
      </w:r>
      <w:r w:rsidR="007D2D73">
        <w:rPr>
          <w:lang w:val="en-US"/>
        </w:rPr>
        <w:t xml:space="preserve"> makes it very difficult to apply the standard benchmarks directly. </w:t>
      </w:r>
    </w:p>
    <w:p w14:paraId="458F796B" w14:textId="409DCFA6" w:rsidR="005F766F" w:rsidRDefault="005F766F" w:rsidP="005F766F">
      <w:pPr>
        <w:pStyle w:val="ListParagraph"/>
        <w:numPr>
          <w:ilvl w:val="0"/>
          <w:numId w:val="1"/>
        </w:numPr>
        <w:spacing w:line="360" w:lineRule="auto"/>
        <w:rPr>
          <w:lang w:val="en-US"/>
        </w:rPr>
      </w:pPr>
      <w:r>
        <w:rPr>
          <w:b/>
          <w:bCs/>
          <w:lang w:val="en-US"/>
        </w:rPr>
        <w:t xml:space="preserve">Inability to Capture Intangibles: </w:t>
      </w:r>
      <w:r w:rsidR="00E46141">
        <w:rPr>
          <w:lang w:val="en-US"/>
        </w:rPr>
        <w:t xml:space="preserve">Ratios cannot showcase qualitative aspects such as brand image, </w:t>
      </w:r>
      <w:r w:rsidR="00DB5CA1">
        <w:rPr>
          <w:lang w:val="en-US"/>
        </w:rPr>
        <w:t>customer relationships, technological capabilities</w:t>
      </w:r>
      <w:r w:rsidR="004C1043">
        <w:rPr>
          <w:lang w:val="en-US"/>
        </w:rPr>
        <w:t>,</w:t>
      </w:r>
      <w:r w:rsidR="00DB5CA1">
        <w:rPr>
          <w:lang w:val="en-US"/>
        </w:rPr>
        <w:t xml:space="preserve"> etc. Rather, </w:t>
      </w:r>
      <w:r w:rsidR="004C1043">
        <w:rPr>
          <w:lang w:val="en-US"/>
        </w:rPr>
        <w:t>they</w:t>
      </w:r>
      <w:r w:rsidR="00DB5CA1">
        <w:rPr>
          <w:lang w:val="en-US"/>
        </w:rPr>
        <w:t xml:space="preserve"> can only show the quantitative sides of </w:t>
      </w:r>
      <w:r w:rsidR="004C1043">
        <w:rPr>
          <w:lang w:val="en-US"/>
        </w:rPr>
        <w:t>things</w:t>
      </w:r>
      <w:r w:rsidR="00DB5CA1">
        <w:rPr>
          <w:lang w:val="en-US"/>
        </w:rPr>
        <w:t xml:space="preserve">, further limiting </w:t>
      </w:r>
      <w:r w:rsidR="004C1043">
        <w:rPr>
          <w:lang w:val="en-US"/>
        </w:rPr>
        <w:t>their</w:t>
      </w:r>
      <w:r w:rsidR="00DB5CA1">
        <w:rPr>
          <w:lang w:val="en-US"/>
        </w:rPr>
        <w:t xml:space="preserve"> use cases.</w:t>
      </w:r>
    </w:p>
    <w:p w14:paraId="51BD2C25" w14:textId="43DAF28A" w:rsidR="005F766F" w:rsidRPr="005F766F" w:rsidRDefault="005F766F" w:rsidP="005F766F">
      <w:pPr>
        <w:pStyle w:val="ListParagraph"/>
        <w:numPr>
          <w:ilvl w:val="0"/>
          <w:numId w:val="1"/>
        </w:numPr>
        <w:spacing w:line="360" w:lineRule="auto"/>
        <w:rPr>
          <w:lang w:val="en-US"/>
        </w:rPr>
      </w:pPr>
      <w:r>
        <w:rPr>
          <w:b/>
          <w:bCs/>
          <w:lang w:val="en-US"/>
        </w:rPr>
        <w:t>Potentiality for Manipulation:</w:t>
      </w:r>
      <w:r>
        <w:rPr>
          <w:lang w:val="en-US"/>
        </w:rPr>
        <w:t xml:space="preserve"> </w:t>
      </w:r>
      <w:r w:rsidR="00637A0D">
        <w:rPr>
          <w:lang w:val="en-US"/>
        </w:rPr>
        <w:t>The use of window dressing to improve ratios is one of the tactics companies use to improve various ratios by delaying purchases to improve cash balances</w:t>
      </w:r>
      <w:r w:rsidR="004C1043">
        <w:rPr>
          <w:lang w:val="en-US"/>
        </w:rPr>
        <w:t>,</w:t>
      </w:r>
      <w:r w:rsidR="00637A0D">
        <w:rPr>
          <w:lang w:val="en-US"/>
        </w:rPr>
        <w:t xml:space="preserve"> and as such</w:t>
      </w:r>
      <w:r w:rsidR="00B8634C">
        <w:rPr>
          <w:lang w:val="en-US"/>
        </w:rPr>
        <w:t xml:space="preserve"> (</w:t>
      </w:r>
      <w:r w:rsidR="00B8634C" w:rsidRPr="00B8634C">
        <w:t>Gabric</w:t>
      </w:r>
      <w:r w:rsidR="00B8634C">
        <w:t>, 2018)</w:t>
      </w:r>
      <w:r w:rsidR="00637A0D">
        <w:rPr>
          <w:lang w:val="en-US"/>
        </w:rPr>
        <w:t>. As a result, there always remains the potential for possible manipulation</w:t>
      </w:r>
      <w:r w:rsidR="004C1043">
        <w:rPr>
          <w:lang w:val="en-US"/>
        </w:rPr>
        <w:t>,</w:t>
      </w:r>
      <w:r w:rsidR="00637A0D">
        <w:rPr>
          <w:lang w:val="en-US"/>
        </w:rPr>
        <w:t xml:space="preserve"> although there has been no evidence against Rolls-Royce Holdings PLC. </w:t>
      </w:r>
    </w:p>
    <w:p w14:paraId="26FEB3C0" w14:textId="36C52CE3" w:rsidR="006E4C9F" w:rsidRPr="006E4C9F" w:rsidRDefault="006E4C9F" w:rsidP="00FB3F84">
      <w:pPr>
        <w:pStyle w:val="Heading2"/>
        <w:spacing w:line="360" w:lineRule="auto"/>
        <w:rPr>
          <w:lang w:val="en-US"/>
        </w:rPr>
      </w:pPr>
      <w:bookmarkStart w:id="16" w:name="_Toc224345120"/>
      <w:r>
        <w:rPr>
          <w:lang w:val="en-US"/>
        </w:rPr>
        <w:t>Recommendations for Improving Financial Management</w:t>
      </w:r>
      <w:bookmarkEnd w:id="16"/>
    </w:p>
    <w:p w14:paraId="325D7E7B" w14:textId="5E608C8D" w:rsidR="00FB3F84" w:rsidRDefault="00436659" w:rsidP="00FB3F84">
      <w:pPr>
        <w:spacing w:after="160" w:line="360" w:lineRule="auto"/>
        <w:rPr>
          <w:lang w:val="en-US"/>
        </w:rPr>
      </w:pPr>
      <w:r>
        <w:rPr>
          <w:lang w:val="en-US"/>
        </w:rPr>
        <w:t xml:space="preserve">Based on all the analyses </w:t>
      </w:r>
      <w:r w:rsidR="004C1043">
        <w:rPr>
          <w:lang w:val="en-US"/>
        </w:rPr>
        <w:t>presented</w:t>
      </w:r>
      <w:r>
        <w:rPr>
          <w:lang w:val="en-US"/>
        </w:rPr>
        <w:t xml:space="preserve"> above, the following recommendations can enable Rolls-Royce Holdings PLC to improve its financial management capacities.</w:t>
      </w:r>
    </w:p>
    <w:p w14:paraId="32A9B32E" w14:textId="2E20B72A" w:rsidR="00FB3F84" w:rsidRDefault="00FB3F84" w:rsidP="00FB3F84">
      <w:pPr>
        <w:pStyle w:val="ListParagraph"/>
        <w:numPr>
          <w:ilvl w:val="0"/>
          <w:numId w:val="2"/>
        </w:numPr>
        <w:spacing w:after="160" w:line="360" w:lineRule="auto"/>
        <w:rPr>
          <w:lang w:val="en-US"/>
        </w:rPr>
      </w:pPr>
      <w:r>
        <w:rPr>
          <w:b/>
          <w:bCs/>
          <w:lang w:val="en-US"/>
        </w:rPr>
        <w:t xml:space="preserve">Continuance of Balance Sheet Strengthening: </w:t>
      </w:r>
      <w:r w:rsidR="00830FF6">
        <w:rPr>
          <w:lang w:val="en-US"/>
        </w:rPr>
        <w:t>Rolls-Royce Holdings PLC has achieved a major milestone in achieving net positive cash flow</w:t>
      </w:r>
      <w:r w:rsidR="004C1043">
        <w:rPr>
          <w:lang w:val="en-US"/>
        </w:rPr>
        <w:t>;</w:t>
      </w:r>
      <w:r w:rsidR="00830FF6">
        <w:rPr>
          <w:lang w:val="en-US"/>
        </w:rPr>
        <w:t xml:space="preserve"> however, </w:t>
      </w:r>
      <w:r w:rsidR="004C1043">
        <w:rPr>
          <w:lang w:val="en-US"/>
        </w:rPr>
        <w:t>the company needs to continue</w:t>
      </w:r>
      <w:r w:rsidR="00830FF6">
        <w:rPr>
          <w:lang w:val="en-US"/>
        </w:rPr>
        <w:t xml:space="preserve"> to strengthen its balance sheet. </w:t>
      </w:r>
      <w:r w:rsidR="00FD2F5F">
        <w:rPr>
          <w:lang w:val="en-US"/>
        </w:rPr>
        <w:t>In this regard, the company’s announcement of 1 billion Pounds of share buyback in 2025 can significantly enhance the capital returns due to the financial capacity it has already developed.</w:t>
      </w:r>
      <w:r w:rsidR="001213E5">
        <w:rPr>
          <w:lang w:val="en-US"/>
        </w:rPr>
        <w:t xml:space="preserve"> Now, the company must aim at achieving positive equity in the next 2-3 years to eliminate any negative book value.</w:t>
      </w:r>
      <w:r w:rsidR="000B1543">
        <w:rPr>
          <w:lang w:val="en-US"/>
        </w:rPr>
        <w:t xml:space="preserve"> As a result, if Rolls-Royce continues to deleverage and rebuild its own equity to finance its operations and acquisitions, the company will have reduced its financial risk thoroughly (Harris and El-Massri, 2011).</w:t>
      </w:r>
    </w:p>
    <w:p w14:paraId="739083CC" w14:textId="3D21C440" w:rsidR="00FB3F84" w:rsidRDefault="004C1043" w:rsidP="00FB3F84">
      <w:pPr>
        <w:pStyle w:val="ListParagraph"/>
        <w:numPr>
          <w:ilvl w:val="0"/>
          <w:numId w:val="2"/>
        </w:numPr>
        <w:spacing w:after="160" w:line="360" w:lineRule="auto"/>
        <w:rPr>
          <w:lang w:val="en-US"/>
        </w:rPr>
      </w:pPr>
      <w:r>
        <w:rPr>
          <w:b/>
          <w:bCs/>
          <w:lang w:val="en-US"/>
        </w:rPr>
        <w:t>Optimisation</w:t>
      </w:r>
      <w:r w:rsidR="00FB3F84">
        <w:rPr>
          <w:b/>
          <w:bCs/>
          <w:lang w:val="en-US"/>
        </w:rPr>
        <w:t xml:space="preserve"> of Capital Allocation: </w:t>
      </w:r>
      <w:r w:rsidR="00EA2792">
        <w:rPr>
          <w:lang w:val="en-US"/>
        </w:rPr>
        <w:t xml:space="preserve">Because the company has already restored its financial health in the past two years, it should </w:t>
      </w:r>
      <w:r>
        <w:rPr>
          <w:lang w:val="en-US"/>
        </w:rPr>
        <w:t xml:space="preserve">now </w:t>
      </w:r>
      <w:r w:rsidR="00EA2792">
        <w:rPr>
          <w:lang w:val="en-US"/>
        </w:rPr>
        <w:t xml:space="preserve">shift its focus </w:t>
      </w:r>
      <w:r>
        <w:rPr>
          <w:lang w:val="en-US"/>
        </w:rPr>
        <w:t>to maximising</w:t>
      </w:r>
      <w:r w:rsidR="00EA2792">
        <w:rPr>
          <w:lang w:val="en-US"/>
        </w:rPr>
        <w:t xml:space="preserve"> returns on its capital deployed. </w:t>
      </w:r>
      <w:r w:rsidR="006F5BA8">
        <w:rPr>
          <w:lang w:val="en-US"/>
        </w:rPr>
        <w:t xml:space="preserve">By expanding its investments in high-return initiatives, </w:t>
      </w:r>
      <w:r w:rsidR="000E3A10">
        <w:rPr>
          <w:lang w:val="en-US"/>
        </w:rPr>
        <w:t xml:space="preserve">the company can further narrow the scope of </w:t>
      </w:r>
      <w:r>
        <w:rPr>
          <w:lang w:val="en-US"/>
        </w:rPr>
        <w:t>utilising</w:t>
      </w:r>
      <w:r w:rsidR="000E3A10">
        <w:rPr>
          <w:lang w:val="en-US"/>
        </w:rPr>
        <w:t xml:space="preserve"> its capital and enhance </w:t>
      </w:r>
      <w:r>
        <w:rPr>
          <w:lang w:val="en-US"/>
        </w:rPr>
        <w:t>its</w:t>
      </w:r>
      <w:r w:rsidR="000E3A10">
        <w:rPr>
          <w:lang w:val="en-US"/>
        </w:rPr>
        <w:t xml:space="preserve"> </w:t>
      </w:r>
      <w:r w:rsidR="005529BE">
        <w:rPr>
          <w:lang w:val="en-US"/>
        </w:rPr>
        <w:t>returns</w:t>
      </w:r>
      <w:r w:rsidR="006A3BED">
        <w:rPr>
          <w:lang w:val="en-US"/>
        </w:rPr>
        <w:t>.</w:t>
      </w:r>
    </w:p>
    <w:p w14:paraId="33BFFE6E" w14:textId="5E58A6AB" w:rsidR="009C643C" w:rsidRPr="00FB3F84" w:rsidRDefault="00FB3F84" w:rsidP="00FB3F84">
      <w:pPr>
        <w:pStyle w:val="ListParagraph"/>
        <w:numPr>
          <w:ilvl w:val="0"/>
          <w:numId w:val="2"/>
        </w:numPr>
        <w:spacing w:after="160" w:line="360" w:lineRule="auto"/>
        <w:rPr>
          <w:lang w:val="en-US"/>
        </w:rPr>
      </w:pPr>
      <w:r>
        <w:rPr>
          <w:b/>
          <w:bCs/>
          <w:lang w:val="en-US"/>
        </w:rPr>
        <w:t xml:space="preserve">Refinement of Contract Profitability Management: </w:t>
      </w:r>
      <w:r w:rsidR="006A3BED">
        <w:rPr>
          <w:lang w:val="en-US"/>
        </w:rPr>
        <w:t xml:space="preserve">The company must try </w:t>
      </w:r>
      <w:r w:rsidR="004C1043">
        <w:rPr>
          <w:lang w:val="en-US"/>
        </w:rPr>
        <w:t>to</w:t>
      </w:r>
      <w:r w:rsidR="006A3BED">
        <w:rPr>
          <w:lang w:val="en-US"/>
        </w:rPr>
        <w:t xml:space="preserve"> renegotiate to implement real-time contract profitability tracking for its LTSA agreements so that necessary operational adjustments can be implemented before any losses </w:t>
      </w:r>
      <w:r w:rsidR="004C1043">
        <w:rPr>
          <w:lang w:val="en-US"/>
        </w:rPr>
        <w:t>are</w:t>
      </w:r>
      <w:r w:rsidR="00BF08AE">
        <w:rPr>
          <w:lang w:val="en-US"/>
        </w:rPr>
        <w:t xml:space="preserve"> accumulated</w:t>
      </w:r>
      <w:r w:rsidR="008C25D5">
        <w:rPr>
          <w:lang w:val="en-US"/>
        </w:rPr>
        <w:t xml:space="preserve"> (</w:t>
      </w:r>
      <w:r w:rsidR="008C25D5" w:rsidRPr="008C25D5">
        <w:t>Moghadasnian</w:t>
      </w:r>
      <w:r w:rsidR="008C25D5">
        <w:t xml:space="preserve"> and Ketabchi, 2024</w:t>
      </w:r>
      <w:r w:rsidR="003E08B4">
        <w:t>)</w:t>
      </w:r>
      <w:r w:rsidR="00BF08AE">
        <w:rPr>
          <w:lang w:val="en-US"/>
        </w:rPr>
        <w:t>.</w:t>
      </w:r>
      <w:r w:rsidR="009C643C" w:rsidRPr="00FB3F84">
        <w:rPr>
          <w:lang w:val="en-US"/>
        </w:rPr>
        <w:br w:type="page"/>
      </w:r>
    </w:p>
    <w:p w14:paraId="67907E0D" w14:textId="34509CBD" w:rsidR="009C643C" w:rsidRDefault="009C643C" w:rsidP="009C643C">
      <w:pPr>
        <w:pStyle w:val="Heading1"/>
        <w:spacing w:line="360" w:lineRule="auto"/>
        <w:rPr>
          <w:lang w:val="en-US"/>
        </w:rPr>
      </w:pPr>
      <w:bookmarkStart w:id="17" w:name="_Toc224345121"/>
      <w:r>
        <w:rPr>
          <w:lang w:val="en-US"/>
        </w:rPr>
        <w:t>Part Two: Investment Appraisal for Westward Plc</w:t>
      </w:r>
      <w:bookmarkEnd w:id="17"/>
    </w:p>
    <w:p w14:paraId="144221B3" w14:textId="591A407B" w:rsidR="00E107EE" w:rsidRDefault="00F60C8D" w:rsidP="00E107EE">
      <w:pPr>
        <w:pStyle w:val="Heading2"/>
        <w:spacing w:line="360" w:lineRule="auto"/>
        <w:rPr>
          <w:lang w:val="en-US"/>
        </w:rPr>
      </w:pPr>
      <w:bookmarkStart w:id="18" w:name="_Toc224345122"/>
      <w:r>
        <w:rPr>
          <w:lang w:val="en-US"/>
        </w:rPr>
        <w:t>Background and Investment Options</w:t>
      </w:r>
      <w:bookmarkEnd w:id="18"/>
    </w:p>
    <w:p w14:paraId="4D47DA58" w14:textId="6D3B8E36" w:rsidR="009C643C" w:rsidRDefault="004326D2" w:rsidP="009C643C">
      <w:pPr>
        <w:spacing w:line="360" w:lineRule="auto"/>
        <w:rPr>
          <w:lang w:val="en-US"/>
        </w:rPr>
      </w:pPr>
      <w:r>
        <w:rPr>
          <w:lang w:val="en-US"/>
        </w:rPr>
        <w:t xml:space="preserve">As per the brief, Westward PLC is a high-quality curtain manufacturing which is currently faced with a strategic decision-making dilemma. </w:t>
      </w:r>
      <w:r w:rsidR="00CA4CC9">
        <w:rPr>
          <w:lang w:val="en-US"/>
        </w:rPr>
        <w:t xml:space="preserve">It has identified three mutually exclusive investment projects, but it is unsure of which one to opt for. </w:t>
      </w:r>
      <w:r w:rsidR="00A949B1">
        <w:rPr>
          <w:lang w:val="en-US"/>
        </w:rPr>
        <w:t>The options are as follows.</w:t>
      </w:r>
    </w:p>
    <w:p w14:paraId="403A0A13" w14:textId="1EC2EE47" w:rsidR="00A949B1" w:rsidRDefault="00A949B1" w:rsidP="009C643C">
      <w:pPr>
        <w:spacing w:line="360" w:lineRule="auto"/>
        <w:rPr>
          <w:lang w:val="en-US"/>
        </w:rPr>
      </w:pPr>
      <w:r>
        <w:rPr>
          <w:b/>
          <w:bCs/>
          <w:lang w:val="en-US"/>
        </w:rPr>
        <w:t xml:space="preserve">Option – A: </w:t>
      </w:r>
      <w:r>
        <w:rPr>
          <w:lang w:val="en-US"/>
        </w:rPr>
        <w:t>Expand retail outlet to include all products at 600,000 Pounds initial investment</w:t>
      </w:r>
    </w:p>
    <w:p w14:paraId="4081D473" w14:textId="136F05D2" w:rsidR="00A949B1" w:rsidRDefault="00A949B1" w:rsidP="00A949B1">
      <w:pPr>
        <w:spacing w:line="360" w:lineRule="auto"/>
        <w:rPr>
          <w:lang w:val="en-US"/>
        </w:rPr>
      </w:pPr>
      <w:r>
        <w:rPr>
          <w:b/>
          <w:bCs/>
          <w:lang w:val="en-US"/>
        </w:rPr>
        <w:t xml:space="preserve">Option – B: </w:t>
      </w:r>
      <w:r>
        <w:rPr>
          <w:lang w:val="en-US"/>
        </w:rPr>
        <w:t>Develop internet sales capabilities at 1,000,000 Pounds initial investment</w:t>
      </w:r>
    </w:p>
    <w:p w14:paraId="5F763926" w14:textId="2CD12EC7" w:rsidR="00A949B1" w:rsidRDefault="00A949B1" w:rsidP="009C643C">
      <w:pPr>
        <w:spacing w:line="360" w:lineRule="auto"/>
        <w:rPr>
          <w:lang w:val="en-US"/>
        </w:rPr>
      </w:pPr>
      <w:r>
        <w:rPr>
          <w:b/>
          <w:bCs/>
          <w:lang w:val="en-US"/>
        </w:rPr>
        <w:t xml:space="preserve">Option – C: </w:t>
      </w:r>
      <w:r>
        <w:rPr>
          <w:lang w:val="en-US"/>
        </w:rPr>
        <w:t xml:space="preserve">Diversify </w:t>
      </w:r>
      <w:r w:rsidR="00174121">
        <w:rPr>
          <w:lang w:val="en-US"/>
        </w:rPr>
        <w:t>into wooden blinds and Roman blinds at 1,600,000 Pounds initial investment</w:t>
      </w:r>
    </w:p>
    <w:p w14:paraId="1586095A" w14:textId="102B46A2" w:rsidR="00C6737A" w:rsidRPr="00A949B1" w:rsidRDefault="00C6737A" w:rsidP="009C643C">
      <w:pPr>
        <w:spacing w:line="360" w:lineRule="auto"/>
        <w:rPr>
          <w:lang w:val="en-US"/>
        </w:rPr>
      </w:pPr>
      <w:r>
        <w:rPr>
          <w:lang w:val="en-US"/>
        </w:rPr>
        <w:t xml:space="preserve">The given context of the company is that it enjoys a corporate tax rate of 25% with </w:t>
      </w:r>
      <w:r w:rsidR="004C1043">
        <w:rPr>
          <w:lang w:val="en-US"/>
        </w:rPr>
        <w:t xml:space="preserve">the </w:t>
      </w:r>
      <w:r>
        <w:rPr>
          <w:lang w:val="en-US"/>
        </w:rPr>
        <w:t xml:space="preserve">availability of capital allowances at 20% straight-line basis. </w:t>
      </w:r>
      <w:r w:rsidR="00E166F6">
        <w:rPr>
          <w:lang w:val="en-US"/>
        </w:rPr>
        <w:t>The cost of capital is 6%</w:t>
      </w:r>
      <w:r w:rsidR="004C1043">
        <w:rPr>
          <w:lang w:val="en-US"/>
        </w:rPr>
        <w:t>,</w:t>
      </w:r>
      <w:r w:rsidR="00C92B19">
        <w:rPr>
          <w:lang w:val="en-US"/>
        </w:rPr>
        <w:t xml:space="preserve"> which also represents the very minimum </w:t>
      </w:r>
      <w:r w:rsidR="004C1043">
        <w:rPr>
          <w:lang w:val="en-US"/>
        </w:rPr>
        <w:t>required</w:t>
      </w:r>
      <w:r w:rsidR="00C92B19">
        <w:rPr>
          <w:lang w:val="en-US"/>
        </w:rPr>
        <w:t xml:space="preserve"> rate of return to compensate the investors.</w:t>
      </w:r>
    </w:p>
    <w:p w14:paraId="57DDAA1B" w14:textId="57DFA8FA" w:rsidR="00E107EE" w:rsidRDefault="00F60C8D" w:rsidP="00E107EE">
      <w:pPr>
        <w:pStyle w:val="Heading2"/>
        <w:spacing w:line="360" w:lineRule="auto"/>
        <w:rPr>
          <w:lang w:val="en-US"/>
        </w:rPr>
      </w:pPr>
      <w:bookmarkStart w:id="19" w:name="_Toc224345123"/>
      <w:r>
        <w:rPr>
          <w:lang w:val="en-US"/>
        </w:rPr>
        <w:t>Net Present Value Analysis</w:t>
      </w:r>
      <w:bookmarkEnd w:id="19"/>
    </w:p>
    <w:p w14:paraId="2B5430B7" w14:textId="3D191BA2" w:rsidR="00E107EE" w:rsidRDefault="00FF3FBD" w:rsidP="00FF3FBD">
      <w:pPr>
        <w:pStyle w:val="Heading3"/>
        <w:spacing w:line="360" w:lineRule="auto"/>
        <w:rPr>
          <w:rFonts w:ascii="Times New Roman" w:hAnsi="Times New Roman" w:cs="Times New Roman"/>
          <w:b/>
          <w:bCs/>
          <w:sz w:val="24"/>
          <w:szCs w:val="32"/>
          <w:lang w:val="en-US"/>
        </w:rPr>
      </w:pPr>
      <w:bookmarkStart w:id="20" w:name="_Toc224345124"/>
      <w:r>
        <w:rPr>
          <w:rFonts w:ascii="Times New Roman" w:hAnsi="Times New Roman" w:cs="Times New Roman"/>
          <w:b/>
          <w:bCs/>
          <w:sz w:val="24"/>
          <w:szCs w:val="32"/>
          <w:lang w:val="en-US"/>
        </w:rPr>
        <w:t>Theoretical Foundation of NPV</w:t>
      </w:r>
      <w:bookmarkEnd w:id="20"/>
    </w:p>
    <w:p w14:paraId="22A1589C" w14:textId="7EB99580" w:rsidR="00FF3FBD" w:rsidRDefault="00E2782C" w:rsidP="00FF3FBD">
      <w:pPr>
        <w:spacing w:line="360" w:lineRule="auto"/>
        <w:rPr>
          <w:lang w:val="en-US"/>
        </w:rPr>
      </w:pPr>
      <w:r>
        <w:rPr>
          <w:lang w:val="en-US"/>
        </w:rPr>
        <w:t>Net Present Value or NPV is one of the major investment appraisal theories</w:t>
      </w:r>
      <w:r w:rsidR="004C1043">
        <w:rPr>
          <w:lang w:val="en-US"/>
        </w:rPr>
        <w:t>,</w:t>
      </w:r>
      <w:r>
        <w:rPr>
          <w:lang w:val="en-US"/>
        </w:rPr>
        <w:t xml:space="preserve"> which is also considered to be a foundational principle </w:t>
      </w:r>
      <w:r w:rsidR="00D1370E">
        <w:rPr>
          <w:lang w:val="en-US"/>
        </w:rPr>
        <w:t xml:space="preserve">for </w:t>
      </w:r>
      <w:r w:rsidR="004C1043">
        <w:rPr>
          <w:lang w:val="en-US"/>
        </w:rPr>
        <w:t xml:space="preserve">the </w:t>
      </w:r>
      <w:r w:rsidR="00D1370E">
        <w:rPr>
          <w:lang w:val="en-US"/>
        </w:rPr>
        <w:t xml:space="preserve">time value of money. </w:t>
      </w:r>
      <w:r w:rsidR="001E323E">
        <w:rPr>
          <w:lang w:val="en-US"/>
        </w:rPr>
        <w:t>NPV is calculated for the present value of all the future cash inflows and outflows associated with an investment</w:t>
      </w:r>
      <w:r w:rsidR="00BC489E">
        <w:rPr>
          <w:lang w:val="en-US"/>
        </w:rPr>
        <w:t xml:space="preserve"> (</w:t>
      </w:r>
      <w:r w:rsidR="00BC489E" w:rsidRPr="00BC489E">
        <w:t>Arnold</w:t>
      </w:r>
      <w:r w:rsidR="00BC489E">
        <w:t>, 2014)</w:t>
      </w:r>
      <w:r w:rsidR="001E323E">
        <w:rPr>
          <w:lang w:val="en-US"/>
        </w:rPr>
        <w:t xml:space="preserve">. </w:t>
      </w:r>
      <w:r w:rsidR="00842F68">
        <w:rPr>
          <w:lang w:val="en-US"/>
        </w:rPr>
        <w:t xml:space="preserve">In order to come to the NPV of a project, </w:t>
      </w:r>
      <w:r w:rsidR="00760C85">
        <w:rPr>
          <w:lang w:val="en-US"/>
        </w:rPr>
        <w:t>a discount rate is required with which the discounting process is undertaken.</w:t>
      </w:r>
      <w:r w:rsidR="00677B91">
        <w:rPr>
          <w:lang w:val="en-US"/>
        </w:rPr>
        <w:t xml:space="preserve"> Now, the decision rule using the NPV technique is that a project must yield a positive NPV</w:t>
      </w:r>
      <w:r w:rsidR="004C1043">
        <w:rPr>
          <w:lang w:val="en-US"/>
        </w:rPr>
        <w:t>,</w:t>
      </w:r>
      <w:r w:rsidR="00677B91">
        <w:rPr>
          <w:lang w:val="en-US"/>
        </w:rPr>
        <w:t xml:space="preserve"> and when being compared to other projects, </w:t>
      </w:r>
      <w:r w:rsidR="00EB5289">
        <w:rPr>
          <w:lang w:val="en-US"/>
        </w:rPr>
        <w:t xml:space="preserve">one of the projects must yield the highest NPV to be considered. </w:t>
      </w:r>
      <w:r w:rsidR="001A5154">
        <w:rPr>
          <w:lang w:val="en-US"/>
        </w:rPr>
        <w:t xml:space="preserve">The superiority of NPV in this regard stems from the following attributes. </w:t>
      </w:r>
    </w:p>
    <w:p w14:paraId="03288ED2" w14:textId="1FE8112A" w:rsidR="001373D8" w:rsidRDefault="001373D8" w:rsidP="001373D8">
      <w:pPr>
        <w:pStyle w:val="ListParagraph"/>
        <w:numPr>
          <w:ilvl w:val="0"/>
          <w:numId w:val="3"/>
        </w:numPr>
        <w:spacing w:line="360" w:lineRule="auto"/>
        <w:rPr>
          <w:lang w:val="en-US"/>
        </w:rPr>
      </w:pPr>
      <w:r>
        <w:rPr>
          <w:b/>
          <w:bCs/>
          <w:lang w:val="en-US"/>
        </w:rPr>
        <w:t xml:space="preserve">Time Value of Money: </w:t>
      </w:r>
      <w:r w:rsidR="006534D9">
        <w:rPr>
          <w:lang w:val="en-US"/>
        </w:rPr>
        <w:t xml:space="preserve">By accounting for </w:t>
      </w:r>
      <w:r w:rsidR="004C1043">
        <w:rPr>
          <w:lang w:val="en-US"/>
        </w:rPr>
        <w:t xml:space="preserve">the </w:t>
      </w:r>
      <w:r w:rsidR="006534D9">
        <w:rPr>
          <w:lang w:val="en-US"/>
        </w:rPr>
        <w:t xml:space="preserve">time value of money, NPV showcases the most realistic returns to the </w:t>
      </w:r>
      <w:r w:rsidR="007B703A">
        <w:rPr>
          <w:lang w:val="en-US"/>
        </w:rPr>
        <w:t>projects</w:t>
      </w:r>
      <w:r w:rsidR="0077202E">
        <w:rPr>
          <w:lang w:val="en-US"/>
        </w:rPr>
        <w:t xml:space="preserve"> (</w:t>
      </w:r>
      <w:r w:rsidR="0077202E" w:rsidRPr="0077202E">
        <w:t>Arshad</w:t>
      </w:r>
      <w:r w:rsidR="0077202E">
        <w:t>, 2012)</w:t>
      </w:r>
      <w:r w:rsidR="007B703A">
        <w:rPr>
          <w:lang w:val="en-US"/>
        </w:rPr>
        <w:t xml:space="preserve">. </w:t>
      </w:r>
    </w:p>
    <w:p w14:paraId="4362B5C9" w14:textId="14FE6B88" w:rsidR="001373D8" w:rsidRDefault="001373D8" w:rsidP="001373D8">
      <w:pPr>
        <w:pStyle w:val="ListParagraph"/>
        <w:numPr>
          <w:ilvl w:val="0"/>
          <w:numId w:val="3"/>
        </w:numPr>
        <w:spacing w:line="360" w:lineRule="auto"/>
        <w:rPr>
          <w:lang w:val="en-US"/>
        </w:rPr>
      </w:pPr>
      <w:r>
        <w:rPr>
          <w:b/>
          <w:bCs/>
          <w:lang w:val="en-US"/>
        </w:rPr>
        <w:t>Risk Consideration:</w:t>
      </w:r>
      <w:r>
        <w:rPr>
          <w:lang w:val="en-US"/>
        </w:rPr>
        <w:t xml:space="preserve"> </w:t>
      </w:r>
      <w:r w:rsidR="00662906">
        <w:rPr>
          <w:lang w:val="en-US"/>
        </w:rPr>
        <w:t xml:space="preserve">NPV </w:t>
      </w:r>
      <w:r w:rsidR="004C1043">
        <w:rPr>
          <w:lang w:val="en-US"/>
        </w:rPr>
        <w:t>utilises</w:t>
      </w:r>
      <w:r w:rsidR="00662906">
        <w:rPr>
          <w:lang w:val="en-US"/>
        </w:rPr>
        <w:t xml:space="preserve"> cash flows of the projects </w:t>
      </w:r>
      <w:r w:rsidR="00FE411A">
        <w:rPr>
          <w:lang w:val="en-US"/>
        </w:rPr>
        <w:t>instead of relying on accounting profits</w:t>
      </w:r>
      <w:r w:rsidR="004C1043">
        <w:rPr>
          <w:lang w:val="en-US"/>
        </w:rPr>
        <w:t>,</w:t>
      </w:r>
      <w:r w:rsidR="00FE411A">
        <w:rPr>
          <w:lang w:val="en-US"/>
        </w:rPr>
        <w:t xml:space="preserve"> which can be easily manipulated. </w:t>
      </w:r>
    </w:p>
    <w:p w14:paraId="0A877FD3" w14:textId="0855CF76" w:rsidR="001373D8" w:rsidRPr="001373D8" w:rsidRDefault="001373D8" w:rsidP="001373D8">
      <w:pPr>
        <w:pStyle w:val="ListParagraph"/>
        <w:numPr>
          <w:ilvl w:val="0"/>
          <w:numId w:val="3"/>
        </w:numPr>
        <w:spacing w:line="360" w:lineRule="auto"/>
        <w:rPr>
          <w:lang w:val="en-US"/>
        </w:rPr>
      </w:pPr>
      <w:r>
        <w:rPr>
          <w:b/>
          <w:bCs/>
          <w:lang w:val="en-US"/>
        </w:rPr>
        <w:t xml:space="preserve">Shareholder Wealth </w:t>
      </w:r>
      <w:r w:rsidR="004C1043">
        <w:rPr>
          <w:b/>
          <w:bCs/>
          <w:lang w:val="en-US"/>
        </w:rPr>
        <w:t>Maximisation</w:t>
      </w:r>
      <w:r>
        <w:rPr>
          <w:b/>
          <w:bCs/>
          <w:lang w:val="en-US"/>
        </w:rPr>
        <w:t>:</w:t>
      </w:r>
      <w:r>
        <w:rPr>
          <w:lang w:val="en-US"/>
        </w:rPr>
        <w:t xml:space="preserve"> </w:t>
      </w:r>
      <w:r w:rsidR="00F02191">
        <w:rPr>
          <w:lang w:val="en-US"/>
        </w:rPr>
        <w:t>NPV helps to account for the amount that directly contributes to shareholders’ wealth</w:t>
      </w:r>
      <w:r w:rsidR="0077202E">
        <w:rPr>
          <w:lang w:val="en-US"/>
        </w:rPr>
        <w:t xml:space="preserve"> (</w:t>
      </w:r>
      <w:r w:rsidR="0077202E" w:rsidRPr="0077202E">
        <w:t>Yan</w:t>
      </w:r>
      <w:r w:rsidR="0077202E">
        <w:t xml:space="preserve"> and Zhang, 2022)</w:t>
      </w:r>
      <w:r w:rsidR="00F02191">
        <w:rPr>
          <w:lang w:val="en-US"/>
        </w:rPr>
        <w:t>.</w:t>
      </w:r>
    </w:p>
    <w:p w14:paraId="43C9231B" w14:textId="1685A118" w:rsidR="00FF3FBD" w:rsidRDefault="00387D1D" w:rsidP="00FF3FBD">
      <w:pPr>
        <w:pStyle w:val="Heading3"/>
        <w:spacing w:line="360" w:lineRule="auto"/>
        <w:rPr>
          <w:rFonts w:ascii="Times New Roman" w:hAnsi="Times New Roman" w:cs="Times New Roman"/>
          <w:b/>
          <w:bCs/>
          <w:sz w:val="24"/>
          <w:szCs w:val="32"/>
          <w:lang w:val="en-US"/>
        </w:rPr>
      </w:pPr>
      <w:bookmarkStart w:id="21" w:name="_Toc224345125"/>
      <w:r>
        <w:rPr>
          <w:rFonts w:ascii="Times New Roman" w:hAnsi="Times New Roman" w:cs="Times New Roman"/>
          <w:b/>
          <w:bCs/>
          <w:sz w:val="24"/>
          <w:szCs w:val="32"/>
          <w:lang w:val="en-US"/>
        </w:rPr>
        <w:t>NPV Calculations</w:t>
      </w:r>
      <w:bookmarkEnd w:id="21"/>
    </w:p>
    <w:p w14:paraId="1654A98A" w14:textId="281E8846" w:rsidR="00FF3FBD" w:rsidRDefault="00294369" w:rsidP="00FF3FBD">
      <w:pPr>
        <w:spacing w:line="360" w:lineRule="auto"/>
        <w:rPr>
          <w:lang w:val="en-US"/>
        </w:rPr>
      </w:pPr>
      <w:r>
        <w:rPr>
          <w:lang w:val="en-US"/>
        </w:rPr>
        <w:t>The NPV calculations for all three of the options are provided below.</w:t>
      </w:r>
    </w:p>
    <w:p w14:paraId="3C8E7311" w14:textId="65AA9696" w:rsidR="00E574A8" w:rsidRDefault="00E574A8" w:rsidP="00FF3FBD">
      <w:pPr>
        <w:spacing w:line="360" w:lineRule="auto"/>
        <w:rPr>
          <w:b/>
          <w:bCs/>
          <w:lang w:val="en-US"/>
        </w:rPr>
      </w:pPr>
      <w:r>
        <w:rPr>
          <w:b/>
          <w:bCs/>
          <w:lang w:val="en-US"/>
        </w:rPr>
        <w:t>Option – A: Retail Outlet Expansion</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D46DD7" w14:paraId="22A971AD" w14:textId="77777777" w:rsidTr="00D46DD7">
        <w:tc>
          <w:tcPr>
            <w:tcW w:w="1288" w:type="dxa"/>
          </w:tcPr>
          <w:p w14:paraId="5544BEB3" w14:textId="3996A02E" w:rsidR="00D46DD7" w:rsidRPr="00D46DD7" w:rsidRDefault="00D46DD7" w:rsidP="00D46DD7">
            <w:pPr>
              <w:spacing w:line="360" w:lineRule="auto"/>
              <w:jc w:val="center"/>
              <w:rPr>
                <w:b/>
                <w:bCs/>
                <w:lang w:val="en-US"/>
              </w:rPr>
            </w:pPr>
            <w:r>
              <w:rPr>
                <w:b/>
                <w:bCs/>
                <w:lang w:val="en-US"/>
              </w:rPr>
              <w:t>Year</w:t>
            </w:r>
          </w:p>
        </w:tc>
        <w:tc>
          <w:tcPr>
            <w:tcW w:w="1288" w:type="dxa"/>
          </w:tcPr>
          <w:p w14:paraId="4954BD49" w14:textId="25081B59" w:rsidR="00D46DD7" w:rsidRPr="00D46DD7" w:rsidRDefault="00D46DD7" w:rsidP="00D46DD7">
            <w:pPr>
              <w:spacing w:line="360" w:lineRule="auto"/>
              <w:jc w:val="center"/>
              <w:rPr>
                <w:b/>
                <w:bCs/>
                <w:lang w:val="en-US"/>
              </w:rPr>
            </w:pPr>
            <w:r>
              <w:rPr>
                <w:b/>
                <w:bCs/>
                <w:lang w:val="en-US"/>
              </w:rPr>
              <w:t>Pre-Tax Cash Flow (</w:t>
            </w:r>
            <w:r w:rsidRPr="00D46DD7">
              <w:rPr>
                <w:b/>
                <w:bCs/>
              </w:rPr>
              <w:t>£'000)</w:t>
            </w:r>
          </w:p>
        </w:tc>
        <w:tc>
          <w:tcPr>
            <w:tcW w:w="1288" w:type="dxa"/>
          </w:tcPr>
          <w:p w14:paraId="52EE6559" w14:textId="0281A3F6" w:rsidR="00D46DD7" w:rsidRPr="00D46DD7" w:rsidRDefault="00D46DD7" w:rsidP="00D46DD7">
            <w:pPr>
              <w:spacing w:line="360" w:lineRule="auto"/>
              <w:jc w:val="center"/>
              <w:rPr>
                <w:b/>
                <w:bCs/>
                <w:lang w:val="en-US"/>
              </w:rPr>
            </w:pPr>
            <w:r>
              <w:rPr>
                <w:b/>
                <w:bCs/>
                <w:lang w:val="en-US"/>
              </w:rPr>
              <w:t>Tax at 25% (</w:t>
            </w:r>
            <w:r w:rsidRPr="00D46DD7">
              <w:rPr>
                <w:b/>
                <w:bCs/>
              </w:rPr>
              <w:t>£'000)</w:t>
            </w:r>
          </w:p>
        </w:tc>
        <w:tc>
          <w:tcPr>
            <w:tcW w:w="1288" w:type="dxa"/>
          </w:tcPr>
          <w:p w14:paraId="1EB2DA48" w14:textId="06CC5C15" w:rsidR="00D46DD7" w:rsidRPr="00D46DD7" w:rsidRDefault="00D46DD7" w:rsidP="00D46DD7">
            <w:pPr>
              <w:spacing w:line="360" w:lineRule="auto"/>
              <w:jc w:val="center"/>
              <w:rPr>
                <w:b/>
                <w:bCs/>
                <w:lang w:val="en-US"/>
              </w:rPr>
            </w:pPr>
            <w:r>
              <w:rPr>
                <w:b/>
                <w:bCs/>
                <w:lang w:val="en-US"/>
              </w:rPr>
              <w:t>Tax Shield (</w:t>
            </w:r>
            <w:r w:rsidRPr="00D46DD7">
              <w:rPr>
                <w:b/>
                <w:bCs/>
              </w:rPr>
              <w:t>£'000)</w:t>
            </w:r>
          </w:p>
        </w:tc>
        <w:tc>
          <w:tcPr>
            <w:tcW w:w="1288" w:type="dxa"/>
          </w:tcPr>
          <w:p w14:paraId="4E6CB28E" w14:textId="0FD0AB14" w:rsidR="00D46DD7" w:rsidRPr="00D46DD7" w:rsidRDefault="00D46DD7" w:rsidP="00D46DD7">
            <w:pPr>
              <w:spacing w:line="360" w:lineRule="auto"/>
              <w:jc w:val="center"/>
              <w:rPr>
                <w:b/>
                <w:bCs/>
                <w:lang w:val="en-US"/>
              </w:rPr>
            </w:pPr>
            <w:r>
              <w:rPr>
                <w:b/>
                <w:bCs/>
                <w:lang w:val="en-US"/>
              </w:rPr>
              <w:t>After-Tax Cash Flow (</w:t>
            </w:r>
            <w:r w:rsidRPr="00D46DD7">
              <w:rPr>
                <w:b/>
                <w:bCs/>
              </w:rPr>
              <w:t>£'000)</w:t>
            </w:r>
          </w:p>
        </w:tc>
        <w:tc>
          <w:tcPr>
            <w:tcW w:w="1288" w:type="dxa"/>
          </w:tcPr>
          <w:p w14:paraId="3B0AC67B" w14:textId="5C239A35" w:rsidR="00D46DD7" w:rsidRPr="00D46DD7" w:rsidRDefault="00D46DD7" w:rsidP="00D46DD7">
            <w:pPr>
              <w:spacing w:line="360" w:lineRule="auto"/>
              <w:jc w:val="center"/>
              <w:rPr>
                <w:b/>
                <w:bCs/>
                <w:lang w:val="en-US"/>
              </w:rPr>
            </w:pPr>
            <w:r>
              <w:rPr>
                <w:b/>
                <w:bCs/>
                <w:lang w:val="en-US"/>
              </w:rPr>
              <w:t>Discount Factor @ 6%</w:t>
            </w:r>
          </w:p>
        </w:tc>
        <w:tc>
          <w:tcPr>
            <w:tcW w:w="1288" w:type="dxa"/>
          </w:tcPr>
          <w:p w14:paraId="2EC6D6CF" w14:textId="77777777" w:rsidR="00D46DD7" w:rsidRDefault="00D46DD7" w:rsidP="00D46DD7">
            <w:pPr>
              <w:spacing w:line="360" w:lineRule="auto"/>
              <w:jc w:val="center"/>
              <w:rPr>
                <w:b/>
                <w:bCs/>
              </w:rPr>
            </w:pPr>
            <w:r>
              <w:rPr>
                <w:b/>
                <w:bCs/>
                <w:lang w:val="en-US"/>
              </w:rPr>
              <w:t>PV (</w:t>
            </w:r>
            <w:r w:rsidRPr="00D46DD7">
              <w:rPr>
                <w:b/>
                <w:bCs/>
              </w:rPr>
              <w:t>£'000)</w:t>
            </w:r>
          </w:p>
          <w:p w14:paraId="276D2ECF" w14:textId="3C4D2685" w:rsidR="009608C4" w:rsidRPr="00D46DD7" w:rsidRDefault="009608C4" w:rsidP="00D46DD7">
            <w:pPr>
              <w:spacing w:line="360" w:lineRule="auto"/>
              <w:jc w:val="center"/>
              <w:rPr>
                <w:b/>
                <w:bCs/>
                <w:lang w:val="en-US"/>
              </w:rPr>
            </w:pPr>
            <w:r>
              <w:rPr>
                <w:b/>
                <w:bCs/>
              </w:rPr>
              <w:t>(ATCF * DF)</w:t>
            </w:r>
          </w:p>
        </w:tc>
      </w:tr>
      <w:tr w:rsidR="00D46DD7" w14:paraId="6BA43F23" w14:textId="77777777" w:rsidTr="00D46DD7">
        <w:tc>
          <w:tcPr>
            <w:tcW w:w="1288" w:type="dxa"/>
          </w:tcPr>
          <w:p w14:paraId="597AAF58" w14:textId="72C2392F" w:rsidR="00D46DD7" w:rsidRDefault="009608C4" w:rsidP="00D46DD7">
            <w:pPr>
              <w:spacing w:line="360" w:lineRule="auto"/>
              <w:jc w:val="center"/>
              <w:rPr>
                <w:lang w:val="en-US"/>
              </w:rPr>
            </w:pPr>
            <w:r>
              <w:rPr>
                <w:lang w:val="en-US"/>
              </w:rPr>
              <w:t>0</w:t>
            </w:r>
          </w:p>
        </w:tc>
        <w:tc>
          <w:tcPr>
            <w:tcW w:w="1288" w:type="dxa"/>
          </w:tcPr>
          <w:p w14:paraId="52A5B755" w14:textId="7EAF80E4" w:rsidR="00D46DD7" w:rsidRDefault="009608C4" w:rsidP="00D46DD7">
            <w:pPr>
              <w:spacing w:line="360" w:lineRule="auto"/>
              <w:jc w:val="center"/>
              <w:rPr>
                <w:lang w:val="en-US"/>
              </w:rPr>
            </w:pPr>
            <w:r>
              <w:rPr>
                <w:lang w:val="en-US"/>
              </w:rPr>
              <w:t>(600)</w:t>
            </w:r>
          </w:p>
        </w:tc>
        <w:tc>
          <w:tcPr>
            <w:tcW w:w="1288" w:type="dxa"/>
          </w:tcPr>
          <w:p w14:paraId="3A771517" w14:textId="73881A11" w:rsidR="00D46DD7" w:rsidRDefault="009608C4" w:rsidP="00D46DD7">
            <w:pPr>
              <w:spacing w:line="360" w:lineRule="auto"/>
              <w:jc w:val="center"/>
              <w:rPr>
                <w:lang w:val="en-US"/>
              </w:rPr>
            </w:pPr>
            <w:r>
              <w:rPr>
                <w:lang w:val="en-US"/>
              </w:rPr>
              <w:t>0</w:t>
            </w:r>
          </w:p>
        </w:tc>
        <w:tc>
          <w:tcPr>
            <w:tcW w:w="1288" w:type="dxa"/>
          </w:tcPr>
          <w:p w14:paraId="0570EBB3" w14:textId="475CFBFB" w:rsidR="00D46DD7" w:rsidRDefault="009608C4" w:rsidP="00D46DD7">
            <w:pPr>
              <w:spacing w:line="360" w:lineRule="auto"/>
              <w:jc w:val="center"/>
              <w:rPr>
                <w:lang w:val="en-US"/>
              </w:rPr>
            </w:pPr>
            <w:r>
              <w:rPr>
                <w:lang w:val="en-US"/>
              </w:rPr>
              <w:t>0</w:t>
            </w:r>
          </w:p>
        </w:tc>
        <w:tc>
          <w:tcPr>
            <w:tcW w:w="1288" w:type="dxa"/>
          </w:tcPr>
          <w:p w14:paraId="580EEB6C" w14:textId="3A0C0B0A" w:rsidR="00D46DD7" w:rsidRDefault="009608C4" w:rsidP="00D46DD7">
            <w:pPr>
              <w:spacing w:line="360" w:lineRule="auto"/>
              <w:jc w:val="center"/>
              <w:rPr>
                <w:lang w:val="en-US"/>
              </w:rPr>
            </w:pPr>
            <w:r>
              <w:rPr>
                <w:lang w:val="en-US"/>
              </w:rPr>
              <w:t>(600)</w:t>
            </w:r>
          </w:p>
        </w:tc>
        <w:tc>
          <w:tcPr>
            <w:tcW w:w="1288" w:type="dxa"/>
          </w:tcPr>
          <w:p w14:paraId="4F6A6D51" w14:textId="72CA7B45" w:rsidR="00D46DD7" w:rsidRDefault="009608C4" w:rsidP="00D46DD7">
            <w:pPr>
              <w:spacing w:line="360" w:lineRule="auto"/>
              <w:jc w:val="center"/>
              <w:rPr>
                <w:lang w:val="en-US"/>
              </w:rPr>
            </w:pPr>
            <w:r>
              <w:rPr>
                <w:lang w:val="en-US"/>
              </w:rPr>
              <w:t>1.00</w:t>
            </w:r>
          </w:p>
        </w:tc>
        <w:tc>
          <w:tcPr>
            <w:tcW w:w="1288" w:type="dxa"/>
          </w:tcPr>
          <w:p w14:paraId="40F0A986" w14:textId="5C248B75" w:rsidR="00D46DD7" w:rsidRDefault="009608C4" w:rsidP="00D46DD7">
            <w:pPr>
              <w:spacing w:line="360" w:lineRule="auto"/>
              <w:jc w:val="center"/>
              <w:rPr>
                <w:lang w:val="en-US"/>
              </w:rPr>
            </w:pPr>
            <w:r>
              <w:rPr>
                <w:lang w:val="en-US"/>
              </w:rPr>
              <w:t>(600)</w:t>
            </w:r>
          </w:p>
        </w:tc>
      </w:tr>
      <w:tr w:rsidR="00D46DD7" w14:paraId="7E8DDA5D" w14:textId="77777777" w:rsidTr="00D46DD7">
        <w:tc>
          <w:tcPr>
            <w:tcW w:w="1288" w:type="dxa"/>
          </w:tcPr>
          <w:p w14:paraId="17170A2B" w14:textId="2018C5AC" w:rsidR="00D46DD7" w:rsidRDefault="009608C4" w:rsidP="00D46DD7">
            <w:pPr>
              <w:spacing w:line="360" w:lineRule="auto"/>
              <w:jc w:val="center"/>
              <w:rPr>
                <w:lang w:val="en-US"/>
              </w:rPr>
            </w:pPr>
            <w:r>
              <w:rPr>
                <w:lang w:val="en-US"/>
              </w:rPr>
              <w:t>1</w:t>
            </w:r>
          </w:p>
        </w:tc>
        <w:tc>
          <w:tcPr>
            <w:tcW w:w="1288" w:type="dxa"/>
          </w:tcPr>
          <w:p w14:paraId="69EDCF30" w14:textId="5CFA6321" w:rsidR="00D46DD7" w:rsidRDefault="009608C4" w:rsidP="00D46DD7">
            <w:pPr>
              <w:spacing w:line="360" w:lineRule="auto"/>
              <w:jc w:val="center"/>
              <w:rPr>
                <w:lang w:val="en-US"/>
              </w:rPr>
            </w:pPr>
            <w:r>
              <w:rPr>
                <w:lang w:val="en-US"/>
              </w:rPr>
              <w:t>200</w:t>
            </w:r>
          </w:p>
        </w:tc>
        <w:tc>
          <w:tcPr>
            <w:tcW w:w="1288" w:type="dxa"/>
          </w:tcPr>
          <w:p w14:paraId="63324DC9" w14:textId="0C08D3FA" w:rsidR="00D46DD7" w:rsidRDefault="009608C4" w:rsidP="00D46DD7">
            <w:pPr>
              <w:spacing w:line="360" w:lineRule="auto"/>
              <w:jc w:val="center"/>
              <w:rPr>
                <w:lang w:val="en-US"/>
              </w:rPr>
            </w:pPr>
            <w:r>
              <w:rPr>
                <w:lang w:val="en-US"/>
              </w:rPr>
              <w:t>(50)</w:t>
            </w:r>
          </w:p>
        </w:tc>
        <w:tc>
          <w:tcPr>
            <w:tcW w:w="1288" w:type="dxa"/>
          </w:tcPr>
          <w:p w14:paraId="1BDF00B2" w14:textId="4A27EFEE" w:rsidR="00D46DD7" w:rsidRDefault="009608C4" w:rsidP="00D46DD7">
            <w:pPr>
              <w:spacing w:line="360" w:lineRule="auto"/>
              <w:jc w:val="center"/>
              <w:rPr>
                <w:lang w:val="en-US"/>
              </w:rPr>
            </w:pPr>
            <w:r>
              <w:rPr>
                <w:lang w:val="en-US"/>
              </w:rPr>
              <w:t>30</w:t>
            </w:r>
          </w:p>
        </w:tc>
        <w:tc>
          <w:tcPr>
            <w:tcW w:w="1288" w:type="dxa"/>
          </w:tcPr>
          <w:p w14:paraId="552A7CFC" w14:textId="0F9A46E9" w:rsidR="00D46DD7" w:rsidRDefault="009608C4" w:rsidP="00D46DD7">
            <w:pPr>
              <w:spacing w:line="360" w:lineRule="auto"/>
              <w:jc w:val="center"/>
              <w:rPr>
                <w:lang w:val="en-US"/>
              </w:rPr>
            </w:pPr>
            <w:r>
              <w:rPr>
                <w:lang w:val="en-US"/>
              </w:rPr>
              <w:t>180</w:t>
            </w:r>
          </w:p>
        </w:tc>
        <w:tc>
          <w:tcPr>
            <w:tcW w:w="1288" w:type="dxa"/>
          </w:tcPr>
          <w:p w14:paraId="5A09C4F5" w14:textId="46FBA1DD" w:rsidR="00D46DD7" w:rsidRDefault="009608C4" w:rsidP="00D46DD7">
            <w:pPr>
              <w:spacing w:line="360" w:lineRule="auto"/>
              <w:jc w:val="center"/>
              <w:rPr>
                <w:lang w:val="en-US"/>
              </w:rPr>
            </w:pPr>
            <w:r>
              <w:rPr>
                <w:lang w:val="en-US"/>
              </w:rPr>
              <w:t>0.9434</w:t>
            </w:r>
          </w:p>
        </w:tc>
        <w:tc>
          <w:tcPr>
            <w:tcW w:w="1288" w:type="dxa"/>
          </w:tcPr>
          <w:p w14:paraId="43D5DD0B" w14:textId="238315E9" w:rsidR="00D46DD7" w:rsidRDefault="009608C4" w:rsidP="00D46DD7">
            <w:pPr>
              <w:spacing w:line="360" w:lineRule="auto"/>
              <w:jc w:val="center"/>
              <w:rPr>
                <w:lang w:val="en-US"/>
              </w:rPr>
            </w:pPr>
            <w:r>
              <w:rPr>
                <w:lang w:val="en-US"/>
              </w:rPr>
              <w:t>169.81</w:t>
            </w:r>
          </w:p>
        </w:tc>
      </w:tr>
      <w:tr w:rsidR="00D46DD7" w14:paraId="27FAAFB4" w14:textId="77777777" w:rsidTr="00D46DD7">
        <w:tc>
          <w:tcPr>
            <w:tcW w:w="1288" w:type="dxa"/>
          </w:tcPr>
          <w:p w14:paraId="22FF2D27" w14:textId="71642C3A" w:rsidR="00D46DD7" w:rsidRDefault="009608C4" w:rsidP="00D46DD7">
            <w:pPr>
              <w:spacing w:line="360" w:lineRule="auto"/>
              <w:jc w:val="center"/>
              <w:rPr>
                <w:lang w:val="en-US"/>
              </w:rPr>
            </w:pPr>
            <w:r>
              <w:rPr>
                <w:lang w:val="en-US"/>
              </w:rPr>
              <w:t>2</w:t>
            </w:r>
          </w:p>
        </w:tc>
        <w:tc>
          <w:tcPr>
            <w:tcW w:w="1288" w:type="dxa"/>
          </w:tcPr>
          <w:p w14:paraId="32740550" w14:textId="7241AE7E" w:rsidR="00D46DD7" w:rsidRDefault="009608C4" w:rsidP="00D46DD7">
            <w:pPr>
              <w:spacing w:line="360" w:lineRule="auto"/>
              <w:jc w:val="center"/>
              <w:rPr>
                <w:lang w:val="en-US"/>
              </w:rPr>
            </w:pPr>
            <w:r>
              <w:rPr>
                <w:lang w:val="en-US"/>
              </w:rPr>
              <w:t>400</w:t>
            </w:r>
          </w:p>
        </w:tc>
        <w:tc>
          <w:tcPr>
            <w:tcW w:w="1288" w:type="dxa"/>
          </w:tcPr>
          <w:p w14:paraId="27FCA73B" w14:textId="1B10AF73" w:rsidR="00D46DD7" w:rsidRDefault="009608C4" w:rsidP="00D46DD7">
            <w:pPr>
              <w:spacing w:line="360" w:lineRule="auto"/>
              <w:jc w:val="center"/>
              <w:rPr>
                <w:lang w:val="en-US"/>
              </w:rPr>
            </w:pPr>
            <w:r>
              <w:rPr>
                <w:lang w:val="en-US"/>
              </w:rPr>
              <w:t>(100)</w:t>
            </w:r>
          </w:p>
        </w:tc>
        <w:tc>
          <w:tcPr>
            <w:tcW w:w="1288" w:type="dxa"/>
          </w:tcPr>
          <w:p w14:paraId="22A83BC1" w14:textId="4E69149A" w:rsidR="00D46DD7" w:rsidRDefault="009608C4" w:rsidP="00D46DD7">
            <w:pPr>
              <w:spacing w:line="360" w:lineRule="auto"/>
              <w:jc w:val="center"/>
              <w:rPr>
                <w:lang w:val="en-US"/>
              </w:rPr>
            </w:pPr>
            <w:r>
              <w:rPr>
                <w:lang w:val="en-US"/>
              </w:rPr>
              <w:t>30</w:t>
            </w:r>
          </w:p>
        </w:tc>
        <w:tc>
          <w:tcPr>
            <w:tcW w:w="1288" w:type="dxa"/>
          </w:tcPr>
          <w:p w14:paraId="2B09333B" w14:textId="49CFCC99" w:rsidR="00D46DD7" w:rsidRDefault="009608C4" w:rsidP="00D46DD7">
            <w:pPr>
              <w:spacing w:line="360" w:lineRule="auto"/>
              <w:jc w:val="center"/>
              <w:rPr>
                <w:lang w:val="en-US"/>
              </w:rPr>
            </w:pPr>
            <w:r>
              <w:rPr>
                <w:lang w:val="en-US"/>
              </w:rPr>
              <w:t>330</w:t>
            </w:r>
          </w:p>
        </w:tc>
        <w:tc>
          <w:tcPr>
            <w:tcW w:w="1288" w:type="dxa"/>
          </w:tcPr>
          <w:p w14:paraId="1AFF294A" w14:textId="0156830E" w:rsidR="00D46DD7" w:rsidRDefault="009608C4" w:rsidP="00D46DD7">
            <w:pPr>
              <w:spacing w:line="360" w:lineRule="auto"/>
              <w:jc w:val="center"/>
              <w:rPr>
                <w:lang w:val="en-US"/>
              </w:rPr>
            </w:pPr>
            <w:r>
              <w:rPr>
                <w:lang w:val="en-US"/>
              </w:rPr>
              <w:t>0.8900</w:t>
            </w:r>
          </w:p>
        </w:tc>
        <w:tc>
          <w:tcPr>
            <w:tcW w:w="1288" w:type="dxa"/>
          </w:tcPr>
          <w:p w14:paraId="49DFC0F7" w14:textId="1F7EBD7C" w:rsidR="00D46DD7" w:rsidRDefault="009608C4" w:rsidP="00D46DD7">
            <w:pPr>
              <w:spacing w:line="360" w:lineRule="auto"/>
              <w:jc w:val="center"/>
              <w:rPr>
                <w:lang w:val="en-US"/>
              </w:rPr>
            </w:pPr>
            <w:r>
              <w:rPr>
                <w:lang w:val="en-US"/>
              </w:rPr>
              <w:t>293.70</w:t>
            </w:r>
          </w:p>
        </w:tc>
      </w:tr>
      <w:tr w:rsidR="00D46DD7" w14:paraId="052E4853" w14:textId="77777777" w:rsidTr="00D46DD7">
        <w:tc>
          <w:tcPr>
            <w:tcW w:w="1288" w:type="dxa"/>
          </w:tcPr>
          <w:p w14:paraId="57335C6A" w14:textId="2B01979F" w:rsidR="00D46DD7" w:rsidRDefault="009608C4" w:rsidP="00D46DD7">
            <w:pPr>
              <w:spacing w:line="360" w:lineRule="auto"/>
              <w:jc w:val="center"/>
              <w:rPr>
                <w:lang w:val="en-US"/>
              </w:rPr>
            </w:pPr>
            <w:r>
              <w:rPr>
                <w:lang w:val="en-US"/>
              </w:rPr>
              <w:t>3</w:t>
            </w:r>
          </w:p>
        </w:tc>
        <w:tc>
          <w:tcPr>
            <w:tcW w:w="1288" w:type="dxa"/>
          </w:tcPr>
          <w:p w14:paraId="686D280C" w14:textId="112C76A2" w:rsidR="00D46DD7" w:rsidRDefault="009608C4" w:rsidP="00D46DD7">
            <w:pPr>
              <w:spacing w:line="360" w:lineRule="auto"/>
              <w:jc w:val="center"/>
              <w:rPr>
                <w:lang w:val="en-US"/>
              </w:rPr>
            </w:pPr>
            <w:r>
              <w:rPr>
                <w:lang w:val="en-US"/>
              </w:rPr>
              <w:t>500</w:t>
            </w:r>
          </w:p>
        </w:tc>
        <w:tc>
          <w:tcPr>
            <w:tcW w:w="1288" w:type="dxa"/>
          </w:tcPr>
          <w:p w14:paraId="3EA63086" w14:textId="017A478D" w:rsidR="00D46DD7" w:rsidRDefault="009608C4" w:rsidP="00D46DD7">
            <w:pPr>
              <w:spacing w:line="360" w:lineRule="auto"/>
              <w:jc w:val="center"/>
              <w:rPr>
                <w:lang w:val="en-US"/>
              </w:rPr>
            </w:pPr>
            <w:r>
              <w:rPr>
                <w:lang w:val="en-US"/>
              </w:rPr>
              <w:t>(125)</w:t>
            </w:r>
          </w:p>
        </w:tc>
        <w:tc>
          <w:tcPr>
            <w:tcW w:w="1288" w:type="dxa"/>
          </w:tcPr>
          <w:p w14:paraId="08A04832" w14:textId="3CD2D625" w:rsidR="00D46DD7" w:rsidRDefault="009608C4" w:rsidP="00D46DD7">
            <w:pPr>
              <w:spacing w:line="360" w:lineRule="auto"/>
              <w:jc w:val="center"/>
              <w:rPr>
                <w:lang w:val="en-US"/>
              </w:rPr>
            </w:pPr>
            <w:r>
              <w:rPr>
                <w:lang w:val="en-US"/>
              </w:rPr>
              <w:t>30</w:t>
            </w:r>
          </w:p>
        </w:tc>
        <w:tc>
          <w:tcPr>
            <w:tcW w:w="1288" w:type="dxa"/>
          </w:tcPr>
          <w:p w14:paraId="07FE4C88" w14:textId="0071E572" w:rsidR="00D46DD7" w:rsidRDefault="009608C4" w:rsidP="00D46DD7">
            <w:pPr>
              <w:spacing w:line="360" w:lineRule="auto"/>
              <w:jc w:val="center"/>
              <w:rPr>
                <w:lang w:val="en-US"/>
              </w:rPr>
            </w:pPr>
            <w:r>
              <w:rPr>
                <w:lang w:val="en-US"/>
              </w:rPr>
              <w:t>405</w:t>
            </w:r>
          </w:p>
        </w:tc>
        <w:tc>
          <w:tcPr>
            <w:tcW w:w="1288" w:type="dxa"/>
          </w:tcPr>
          <w:p w14:paraId="41CAB0E2" w14:textId="31FEE031" w:rsidR="00D46DD7" w:rsidRDefault="009608C4" w:rsidP="00D46DD7">
            <w:pPr>
              <w:spacing w:line="360" w:lineRule="auto"/>
              <w:jc w:val="center"/>
              <w:rPr>
                <w:lang w:val="en-US"/>
              </w:rPr>
            </w:pPr>
            <w:r>
              <w:rPr>
                <w:lang w:val="en-US"/>
              </w:rPr>
              <w:t>0.8396</w:t>
            </w:r>
          </w:p>
        </w:tc>
        <w:tc>
          <w:tcPr>
            <w:tcW w:w="1288" w:type="dxa"/>
          </w:tcPr>
          <w:p w14:paraId="17F09FC7" w14:textId="74730D67" w:rsidR="00D46DD7" w:rsidRDefault="009608C4" w:rsidP="00D46DD7">
            <w:pPr>
              <w:spacing w:line="360" w:lineRule="auto"/>
              <w:jc w:val="center"/>
              <w:rPr>
                <w:lang w:val="en-US"/>
              </w:rPr>
            </w:pPr>
            <w:r>
              <w:rPr>
                <w:lang w:val="en-US"/>
              </w:rPr>
              <w:t>340.04</w:t>
            </w:r>
          </w:p>
        </w:tc>
      </w:tr>
      <w:tr w:rsidR="00D46DD7" w14:paraId="52DF3D67" w14:textId="77777777" w:rsidTr="00D46DD7">
        <w:tc>
          <w:tcPr>
            <w:tcW w:w="1288" w:type="dxa"/>
          </w:tcPr>
          <w:p w14:paraId="5B994003" w14:textId="77226DA0" w:rsidR="00D46DD7" w:rsidRDefault="009608C4" w:rsidP="00D46DD7">
            <w:pPr>
              <w:spacing w:line="360" w:lineRule="auto"/>
              <w:jc w:val="center"/>
              <w:rPr>
                <w:lang w:val="en-US"/>
              </w:rPr>
            </w:pPr>
            <w:r>
              <w:rPr>
                <w:lang w:val="en-US"/>
              </w:rPr>
              <w:t>4</w:t>
            </w:r>
          </w:p>
        </w:tc>
        <w:tc>
          <w:tcPr>
            <w:tcW w:w="1288" w:type="dxa"/>
          </w:tcPr>
          <w:p w14:paraId="2139A535" w14:textId="768BFD7A" w:rsidR="00D46DD7" w:rsidRDefault="009608C4" w:rsidP="00D46DD7">
            <w:pPr>
              <w:spacing w:line="360" w:lineRule="auto"/>
              <w:jc w:val="center"/>
              <w:rPr>
                <w:lang w:val="en-US"/>
              </w:rPr>
            </w:pPr>
            <w:r>
              <w:rPr>
                <w:lang w:val="en-US"/>
              </w:rPr>
              <w:t>700</w:t>
            </w:r>
          </w:p>
        </w:tc>
        <w:tc>
          <w:tcPr>
            <w:tcW w:w="1288" w:type="dxa"/>
          </w:tcPr>
          <w:p w14:paraId="3B83AE3B" w14:textId="41DEE5ED" w:rsidR="00D46DD7" w:rsidRDefault="009608C4" w:rsidP="00D46DD7">
            <w:pPr>
              <w:spacing w:line="360" w:lineRule="auto"/>
              <w:jc w:val="center"/>
              <w:rPr>
                <w:lang w:val="en-US"/>
              </w:rPr>
            </w:pPr>
            <w:r>
              <w:rPr>
                <w:lang w:val="en-US"/>
              </w:rPr>
              <w:t>(175)</w:t>
            </w:r>
          </w:p>
        </w:tc>
        <w:tc>
          <w:tcPr>
            <w:tcW w:w="1288" w:type="dxa"/>
          </w:tcPr>
          <w:p w14:paraId="45BFEE51" w14:textId="1E0A4ABB" w:rsidR="00D46DD7" w:rsidRDefault="009608C4" w:rsidP="00D46DD7">
            <w:pPr>
              <w:spacing w:line="360" w:lineRule="auto"/>
              <w:jc w:val="center"/>
              <w:rPr>
                <w:lang w:val="en-US"/>
              </w:rPr>
            </w:pPr>
            <w:r>
              <w:rPr>
                <w:lang w:val="en-US"/>
              </w:rPr>
              <w:t>30</w:t>
            </w:r>
          </w:p>
        </w:tc>
        <w:tc>
          <w:tcPr>
            <w:tcW w:w="1288" w:type="dxa"/>
          </w:tcPr>
          <w:p w14:paraId="6F266DF1" w14:textId="7AB77B2B" w:rsidR="00D46DD7" w:rsidRDefault="009608C4" w:rsidP="00D46DD7">
            <w:pPr>
              <w:spacing w:line="360" w:lineRule="auto"/>
              <w:jc w:val="center"/>
              <w:rPr>
                <w:lang w:val="en-US"/>
              </w:rPr>
            </w:pPr>
            <w:r>
              <w:rPr>
                <w:lang w:val="en-US"/>
              </w:rPr>
              <w:t>555</w:t>
            </w:r>
          </w:p>
        </w:tc>
        <w:tc>
          <w:tcPr>
            <w:tcW w:w="1288" w:type="dxa"/>
          </w:tcPr>
          <w:p w14:paraId="3054B28F" w14:textId="6C2D98F2" w:rsidR="00D46DD7" w:rsidRDefault="009608C4" w:rsidP="00D46DD7">
            <w:pPr>
              <w:spacing w:line="360" w:lineRule="auto"/>
              <w:jc w:val="center"/>
              <w:rPr>
                <w:lang w:val="en-US"/>
              </w:rPr>
            </w:pPr>
            <w:r>
              <w:rPr>
                <w:lang w:val="en-US"/>
              </w:rPr>
              <w:t>0.7921</w:t>
            </w:r>
          </w:p>
        </w:tc>
        <w:tc>
          <w:tcPr>
            <w:tcW w:w="1288" w:type="dxa"/>
          </w:tcPr>
          <w:p w14:paraId="3C52E31A" w14:textId="1EA713A2" w:rsidR="00D46DD7" w:rsidRDefault="009608C4" w:rsidP="00D46DD7">
            <w:pPr>
              <w:spacing w:line="360" w:lineRule="auto"/>
              <w:jc w:val="center"/>
              <w:rPr>
                <w:lang w:val="en-US"/>
              </w:rPr>
            </w:pPr>
            <w:r>
              <w:rPr>
                <w:lang w:val="en-US"/>
              </w:rPr>
              <w:t>439.62</w:t>
            </w:r>
          </w:p>
        </w:tc>
      </w:tr>
      <w:tr w:rsidR="009608C4" w14:paraId="4F320F80" w14:textId="77777777" w:rsidTr="00D46DD7">
        <w:tc>
          <w:tcPr>
            <w:tcW w:w="1288" w:type="dxa"/>
          </w:tcPr>
          <w:p w14:paraId="17577DC2" w14:textId="77777777" w:rsidR="009608C4" w:rsidRDefault="009608C4" w:rsidP="00D46DD7">
            <w:pPr>
              <w:spacing w:line="360" w:lineRule="auto"/>
              <w:jc w:val="center"/>
              <w:rPr>
                <w:lang w:val="en-US"/>
              </w:rPr>
            </w:pPr>
          </w:p>
        </w:tc>
        <w:tc>
          <w:tcPr>
            <w:tcW w:w="1288" w:type="dxa"/>
          </w:tcPr>
          <w:p w14:paraId="128046EF" w14:textId="77777777" w:rsidR="009608C4" w:rsidRDefault="009608C4" w:rsidP="00D46DD7">
            <w:pPr>
              <w:spacing w:line="360" w:lineRule="auto"/>
              <w:jc w:val="center"/>
              <w:rPr>
                <w:lang w:val="en-US"/>
              </w:rPr>
            </w:pPr>
          </w:p>
        </w:tc>
        <w:tc>
          <w:tcPr>
            <w:tcW w:w="1288" w:type="dxa"/>
          </w:tcPr>
          <w:p w14:paraId="5E2DEEED" w14:textId="77777777" w:rsidR="009608C4" w:rsidRDefault="009608C4" w:rsidP="00D46DD7">
            <w:pPr>
              <w:spacing w:line="360" w:lineRule="auto"/>
              <w:jc w:val="center"/>
              <w:rPr>
                <w:lang w:val="en-US"/>
              </w:rPr>
            </w:pPr>
          </w:p>
        </w:tc>
        <w:tc>
          <w:tcPr>
            <w:tcW w:w="1288" w:type="dxa"/>
          </w:tcPr>
          <w:p w14:paraId="2333EB77" w14:textId="77777777" w:rsidR="009608C4" w:rsidRDefault="009608C4" w:rsidP="00D46DD7">
            <w:pPr>
              <w:spacing w:line="360" w:lineRule="auto"/>
              <w:jc w:val="center"/>
              <w:rPr>
                <w:lang w:val="en-US"/>
              </w:rPr>
            </w:pPr>
          </w:p>
        </w:tc>
        <w:tc>
          <w:tcPr>
            <w:tcW w:w="1288" w:type="dxa"/>
          </w:tcPr>
          <w:p w14:paraId="19DD0741" w14:textId="77777777" w:rsidR="009608C4" w:rsidRDefault="009608C4" w:rsidP="00D46DD7">
            <w:pPr>
              <w:spacing w:line="360" w:lineRule="auto"/>
              <w:jc w:val="center"/>
              <w:rPr>
                <w:lang w:val="en-US"/>
              </w:rPr>
            </w:pPr>
          </w:p>
        </w:tc>
        <w:tc>
          <w:tcPr>
            <w:tcW w:w="1288" w:type="dxa"/>
          </w:tcPr>
          <w:p w14:paraId="4F6C05FB" w14:textId="676A015E" w:rsidR="009608C4" w:rsidRPr="009608C4" w:rsidRDefault="008C0C9A" w:rsidP="00D46DD7">
            <w:pPr>
              <w:spacing w:line="360" w:lineRule="auto"/>
              <w:jc w:val="center"/>
              <w:rPr>
                <w:b/>
                <w:bCs/>
                <w:lang w:val="en-US"/>
              </w:rPr>
            </w:pPr>
            <w:r>
              <w:rPr>
                <w:b/>
                <w:bCs/>
                <w:lang w:val="en-US"/>
              </w:rPr>
              <w:t>N</w:t>
            </w:r>
            <w:r w:rsidR="009608C4" w:rsidRPr="009608C4">
              <w:rPr>
                <w:b/>
                <w:bCs/>
                <w:lang w:val="en-US"/>
              </w:rPr>
              <w:t>PV</w:t>
            </w:r>
          </w:p>
        </w:tc>
        <w:tc>
          <w:tcPr>
            <w:tcW w:w="1288" w:type="dxa"/>
          </w:tcPr>
          <w:p w14:paraId="7E2E3EF4" w14:textId="780A1BD6" w:rsidR="009608C4" w:rsidRPr="009608C4" w:rsidRDefault="009608C4" w:rsidP="00D46DD7">
            <w:pPr>
              <w:spacing w:line="360" w:lineRule="auto"/>
              <w:jc w:val="center"/>
              <w:rPr>
                <w:b/>
                <w:bCs/>
                <w:lang w:val="en-US"/>
              </w:rPr>
            </w:pPr>
            <w:r w:rsidRPr="009608C4">
              <w:rPr>
                <w:b/>
                <w:bCs/>
                <w:lang w:val="en-US"/>
              </w:rPr>
              <w:t>643.1</w:t>
            </w:r>
            <w:r w:rsidR="00FB3A35">
              <w:rPr>
                <w:b/>
                <w:bCs/>
                <w:lang w:val="en-US"/>
              </w:rPr>
              <w:t>65</w:t>
            </w:r>
          </w:p>
        </w:tc>
      </w:tr>
    </w:tbl>
    <w:p w14:paraId="6705E4E9" w14:textId="566A8126" w:rsidR="009608C4" w:rsidRPr="009608C4" w:rsidRDefault="009608C4" w:rsidP="009608C4">
      <w:pPr>
        <w:spacing w:line="360" w:lineRule="auto"/>
        <w:rPr>
          <w:lang w:val="en-US"/>
        </w:rPr>
      </w:pPr>
      <w:r>
        <w:rPr>
          <w:b/>
          <w:bCs/>
          <w:lang w:val="en-US"/>
        </w:rPr>
        <w:t xml:space="preserve">Option – B: </w:t>
      </w:r>
      <w:r>
        <w:rPr>
          <w:lang w:val="en-US"/>
        </w:rPr>
        <w:t>Internet Sales Development</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9608C4" w14:paraId="44609B74" w14:textId="77777777" w:rsidTr="00E81AC4">
        <w:tc>
          <w:tcPr>
            <w:tcW w:w="1288" w:type="dxa"/>
          </w:tcPr>
          <w:p w14:paraId="682BA4B2" w14:textId="77777777" w:rsidR="009608C4" w:rsidRPr="00D46DD7" w:rsidRDefault="009608C4" w:rsidP="00E81AC4">
            <w:pPr>
              <w:spacing w:line="360" w:lineRule="auto"/>
              <w:jc w:val="center"/>
              <w:rPr>
                <w:b/>
                <w:bCs/>
                <w:lang w:val="en-US"/>
              </w:rPr>
            </w:pPr>
            <w:r>
              <w:rPr>
                <w:b/>
                <w:bCs/>
                <w:lang w:val="en-US"/>
              </w:rPr>
              <w:t>Year</w:t>
            </w:r>
          </w:p>
        </w:tc>
        <w:tc>
          <w:tcPr>
            <w:tcW w:w="1288" w:type="dxa"/>
          </w:tcPr>
          <w:p w14:paraId="6D5A29A3" w14:textId="77777777" w:rsidR="009608C4" w:rsidRPr="00D46DD7" w:rsidRDefault="009608C4" w:rsidP="00E81AC4">
            <w:pPr>
              <w:spacing w:line="360" w:lineRule="auto"/>
              <w:jc w:val="center"/>
              <w:rPr>
                <w:b/>
                <w:bCs/>
                <w:lang w:val="en-US"/>
              </w:rPr>
            </w:pPr>
            <w:r>
              <w:rPr>
                <w:b/>
                <w:bCs/>
                <w:lang w:val="en-US"/>
              </w:rPr>
              <w:t>Pre-Tax Cash Flow (</w:t>
            </w:r>
            <w:r w:rsidRPr="00D46DD7">
              <w:rPr>
                <w:b/>
                <w:bCs/>
              </w:rPr>
              <w:t>£'000)</w:t>
            </w:r>
          </w:p>
        </w:tc>
        <w:tc>
          <w:tcPr>
            <w:tcW w:w="1288" w:type="dxa"/>
          </w:tcPr>
          <w:p w14:paraId="36FC3E6A" w14:textId="77777777" w:rsidR="009608C4" w:rsidRPr="00D46DD7" w:rsidRDefault="009608C4" w:rsidP="00E81AC4">
            <w:pPr>
              <w:spacing w:line="360" w:lineRule="auto"/>
              <w:jc w:val="center"/>
              <w:rPr>
                <w:b/>
                <w:bCs/>
                <w:lang w:val="en-US"/>
              </w:rPr>
            </w:pPr>
            <w:r>
              <w:rPr>
                <w:b/>
                <w:bCs/>
                <w:lang w:val="en-US"/>
              </w:rPr>
              <w:t>Tax at 25% (</w:t>
            </w:r>
            <w:r w:rsidRPr="00D46DD7">
              <w:rPr>
                <w:b/>
                <w:bCs/>
              </w:rPr>
              <w:t>£'000)</w:t>
            </w:r>
          </w:p>
        </w:tc>
        <w:tc>
          <w:tcPr>
            <w:tcW w:w="1288" w:type="dxa"/>
          </w:tcPr>
          <w:p w14:paraId="05F32714" w14:textId="77777777" w:rsidR="009608C4" w:rsidRPr="00D46DD7" w:rsidRDefault="009608C4" w:rsidP="00E81AC4">
            <w:pPr>
              <w:spacing w:line="360" w:lineRule="auto"/>
              <w:jc w:val="center"/>
              <w:rPr>
                <w:b/>
                <w:bCs/>
                <w:lang w:val="en-US"/>
              </w:rPr>
            </w:pPr>
            <w:r>
              <w:rPr>
                <w:b/>
                <w:bCs/>
                <w:lang w:val="en-US"/>
              </w:rPr>
              <w:t>Tax Shield (</w:t>
            </w:r>
            <w:r w:rsidRPr="00D46DD7">
              <w:rPr>
                <w:b/>
                <w:bCs/>
              </w:rPr>
              <w:t>£'000)</w:t>
            </w:r>
          </w:p>
        </w:tc>
        <w:tc>
          <w:tcPr>
            <w:tcW w:w="1288" w:type="dxa"/>
          </w:tcPr>
          <w:p w14:paraId="5C2ED114" w14:textId="77777777" w:rsidR="009608C4" w:rsidRPr="00D46DD7" w:rsidRDefault="009608C4" w:rsidP="00E81AC4">
            <w:pPr>
              <w:spacing w:line="360" w:lineRule="auto"/>
              <w:jc w:val="center"/>
              <w:rPr>
                <w:b/>
                <w:bCs/>
                <w:lang w:val="en-US"/>
              </w:rPr>
            </w:pPr>
            <w:r>
              <w:rPr>
                <w:b/>
                <w:bCs/>
                <w:lang w:val="en-US"/>
              </w:rPr>
              <w:t>After-Tax Cash Flow (</w:t>
            </w:r>
            <w:r w:rsidRPr="00D46DD7">
              <w:rPr>
                <w:b/>
                <w:bCs/>
              </w:rPr>
              <w:t>£'000)</w:t>
            </w:r>
          </w:p>
        </w:tc>
        <w:tc>
          <w:tcPr>
            <w:tcW w:w="1288" w:type="dxa"/>
          </w:tcPr>
          <w:p w14:paraId="0B17C98E" w14:textId="77777777" w:rsidR="009608C4" w:rsidRPr="00D46DD7" w:rsidRDefault="009608C4" w:rsidP="00E81AC4">
            <w:pPr>
              <w:spacing w:line="360" w:lineRule="auto"/>
              <w:jc w:val="center"/>
              <w:rPr>
                <w:b/>
                <w:bCs/>
                <w:lang w:val="en-US"/>
              </w:rPr>
            </w:pPr>
            <w:r>
              <w:rPr>
                <w:b/>
                <w:bCs/>
                <w:lang w:val="en-US"/>
              </w:rPr>
              <w:t>Discount Factor @ 6%</w:t>
            </w:r>
          </w:p>
        </w:tc>
        <w:tc>
          <w:tcPr>
            <w:tcW w:w="1288" w:type="dxa"/>
          </w:tcPr>
          <w:p w14:paraId="2A9C0588" w14:textId="77777777" w:rsidR="009608C4" w:rsidRDefault="009608C4" w:rsidP="00E81AC4">
            <w:pPr>
              <w:spacing w:line="360" w:lineRule="auto"/>
              <w:jc w:val="center"/>
              <w:rPr>
                <w:b/>
                <w:bCs/>
              </w:rPr>
            </w:pPr>
            <w:r>
              <w:rPr>
                <w:b/>
                <w:bCs/>
                <w:lang w:val="en-US"/>
              </w:rPr>
              <w:t>PV (</w:t>
            </w:r>
            <w:r w:rsidRPr="00D46DD7">
              <w:rPr>
                <w:b/>
                <w:bCs/>
              </w:rPr>
              <w:t>£'000)</w:t>
            </w:r>
          </w:p>
          <w:p w14:paraId="3E8D0E0B" w14:textId="77777777" w:rsidR="009608C4" w:rsidRPr="00D46DD7" w:rsidRDefault="009608C4" w:rsidP="00E81AC4">
            <w:pPr>
              <w:spacing w:line="360" w:lineRule="auto"/>
              <w:jc w:val="center"/>
              <w:rPr>
                <w:b/>
                <w:bCs/>
                <w:lang w:val="en-US"/>
              </w:rPr>
            </w:pPr>
            <w:r>
              <w:rPr>
                <w:b/>
                <w:bCs/>
              </w:rPr>
              <w:t>(ATCF * DF)</w:t>
            </w:r>
          </w:p>
        </w:tc>
      </w:tr>
      <w:tr w:rsidR="009608C4" w14:paraId="001C2C9D" w14:textId="77777777" w:rsidTr="00E81AC4">
        <w:tc>
          <w:tcPr>
            <w:tcW w:w="1288" w:type="dxa"/>
          </w:tcPr>
          <w:p w14:paraId="49389AB7" w14:textId="77777777" w:rsidR="009608C4" w:rsidRDefault="009608C4" w:rsidP="00E81AC4">
            <w:pPr>
              <w:spacing w:line="360" w:lineRule="auto"/>
              <w:jc w:val="center"/>
              <w:rPr>
                <w:lang w:val="en-US"/>
              </w:rPr>
            </w:pPr>
            <w:r>
              <w:rPr>
                <w:lang w:val="en-US"/>
              </w:rPr>
              <w:t>0</w:t>
            </w:r>
          </w:p>
        </w:tc>
        <w:tc>
          <w:tcPr>
            <w:tcW w:w="1288" w:type="dxa"/>
          </w:tcPr>
          <w:p w14:paraId="1B9435B3" w14:textId="73A0334A" w:rsidR="009608C4" w:rsidRDefault="009608C4" w:rsidP="00E81AC4">
            <w:pPr>
              <w:spacing w:line="360" w:lineRule="auto"/>
              <w:jc w:val="center"/>
              <w:rPr>
                <w:lang w:val="en-US"/>
              </w:rPr>
            </w:pPr>
            <w:r>
              <w:rPr>
                <w:lang w:val="en-US"/>
              </w:rPr>
              <w:t>(</w:t>
            </w:r>
            <w:r w:rsidR="00631B7B">
              <w:rPr>
                <w:lang w:val="en-US"/>
              </w:rPr>
              <w:t>1,000</w:t>
            </w:r>
            <w:r>
              <w:rPr>
                <w:lang w:val="en-US"/>
              </w:rPr>
              <w:t>)</w:t>
            </w:r>
          </w:p>
        </w:tc>
        <w:tc>
          <w:tcPr>
            <w:tcW w:w="1288" w:type="dxa"/>
          </w:tcPr>
          <w:p w14:paraId="1FDCD7FD" w14:textId="77777777" w:rsidR="009608C4" w:rsidRDefault="009608C4" w:rsidP="00E81AC4">
            <w:pPr>
              <w:spacing w:line="360" w:lineRule="auto"/>
              <w:jc w:val="center"/>
              <w:rPr>
                <w:lang w:val="en-US"/>
              </w:rPr>
            </w:pPr>
            <w:r>
              <w:rPr>
                <w:lang w:val="en-US"/>
              </w:rPr>
              <w:t>0</w:t>
            </w:r>
          </w:p>
        </w:tc>
        <w:tc>
          <w:tcPr>
            <w:tcW w:w="1288" w:type="dxa"/>
          </w:tcPr>
          <w:p w14:paraId="7656D515" w14:textId="77777777" w:rsidR="009608C4" w:rsidRDefault="009608C4" w:rsidP="00E81AC4">
            <w:pPr>
              <w:spacing w:line="360" w:lineRule="auto"/>
              <w:jc w:val="center"/>
              <w:rPr>
                <w:lang w:val="en-US"/>
              </w:rPr>
            </w:pPr>
            <w:r>
              <w:rPr>
                <w:lang w:val="en-US"/>
              </w:rPr>
              <w:t>0</w:t>
            </w:r>
          </w:p>
        </w:tc>
        <w:tc>
          <w:tcPr>
            <w:tcW w:w="1288" w:type="dxa"/>
          </w:tcPr>
          <w:p w14:paraId="7C396E1A" w14:textId="70AAA49E" w:rsidR="009608C4" w:rsidRDefault="009608C4" w:rsidP="00E81AC4">
            <w:pPr>
              <w:spacing w:line="360" w:lineRule="auto"/>
              <w:jc w:val="center"/>
              <w:rPr>
                <w:lang w:val="en-US"/>
              </w:rPr>
            </w:pPr>
            <w:r>
              <w:rPr>
                <w:lang w:val="en-US"/>
              </w:rPr>
              <w:t>(</w:t>
            </w:r>
            <w:r w:rsidR="00631B7B">
              <w:rPr>
                <w:lang w:val="en-US"/>
              </w:rPr>
              <w:t>1,0</w:t>
            </w:r>
            <w:r>
              <w:rPr>
                <w:lang w:val="en-US"/>
              </w:rPr>
              <w:t>00)</w:t>
            </w:r>
          </w:p>
        </w:tc>
        <w:tc>
          <w:tcPr>
            <w:tcW w:w="1288" w:type="dxa"/>
          </w:tcPr>
          <w:p w14:paraId="4241D5CE" w14:textId="77777777" w:rsidR="009608C4" w:rsidRDefault="009608C4" w:rsidP="00E81AC4">
            <w:pPr>
              <w:spacing w:line="360" w:lineRule="auto"/>
              <w:jc w:val="center"/>
              <w:rPr>
                <w:lang w:val="en-US"/>
              </w:rPr>
            </w:pPr>
            <w:r>
              <w:rPr>
                <w:lang w:val="en-US"/>
              </w:rPr>
              <w:t>1.00</w:t>
            </w:r>
          </w:p>
        </w:tc>
        <w:tc>
          <w:tcPr>
            <w:tcW w:w="1288" w:type="dxa"/>
          </w:tcPr>
          <w:p w14:paraId="72B40B23" w14:textId="0F45183B" w:rsidR="009608C4" w:rsidRDefault="009608C4" w:rsidP="00E81AC4">
            <w:pPr>
              <w:spacing w:line="360" w:lineRule="auto"/>
              <w:jc w:val="center"/>
              <w:rPr>
                <w:lang w:val="en-US"/>
              </w:rPr>
            </w:pPr>
            <w:r>
              <w:rPr>
                <w:lang w:val="en-US"/>
              </w:rPr>
              <w:t>(</w:t>
            </w:r>
            <w:r w:rsidR="00631B7B">
              <w:rPr>
                <w:lang w:val="en-US"/>
              </w:rPr>
              <w:t>1,0</w:t>
            </w:r>
            <w:r>
              <w:rPr>
                <w:lang w:val="en-US"/>
              </w:rPr>
              <w:t>00)</w:t>
            </w:r>
          </w:p>
        </w:tc>
      </w:tr>
      <w:tr w:rsidR="009608C4" w14:paraId="209DD008" w14:textId="77777777" w:rsidTr="00E81AC4">
        <w:tc>
          <w:tcPr>
            <w:tcW w:w="1288" w:type="dxa"/>
          </w:tcPr>
          <w:p w14:paraId="53E82FEB" w14:textId="77777777" w:rsidR="009608C4" w:rsidRDefault="009608C4" w:rsidP="00E81AC4">
            <w:pPr>
              <w:spacing w:line="360" w:lineRule="auto"/>
              <w:jc w:val="center"/>
              <w:rPr>
                <w:lang w:val="en-US"/>
              </w:rPr>
            </w:pPr>
            <w:r>
              <w:rPr>
                <w:lang w:val="en-US"/>
              </w:rPr>
              <w:t>1</w:t>
            </w:r>
          </w:p>
        </w:tc>
        <w:tc>
          <w:tcPr>
            <w:tcW w:w="1288" w:type="dxa"/>
          </w:tcPr>
          <w:p w14:paraId="0D831CA6" w14:textId="5A04153F" w:rsidR="009608C4" w:rsidRDefault="00631B7B" w:rsidP="00E81AC4">
            <w:pPr>
              <w:spacing w:line="360" w:lineRule="auto"/>
              <w:jc w:val="center"/>
              <w:rPr>
                <w:lang w:val="en-US"/>
              </w:rPr>
            </w:pPr>
            <w:r>
              <w:rPr>
                <w:lang w:val="en-US"/>
              </w:rPr>
              <w:t>400</w:t>
            </w:r>
          </w:p>
        </w:tc>
        <w:tc>
          <w:tcPr>
            <w:tcW w:w="1288" w:type="dxa"/>
          </w:tcPr>
          <w:p w14:paraId="79EEB8BC" w14:textId="57E4B310" w:rsidR="009608C4" w:rsidRDefault="00631B7B" w:rsidP="00E81AC4">
            <w:pPr>
              <w:spacing w:line="360" w:lineRule="auto"/>
              <w:jc w:val="center"/>
              <w:rPr>
                <w:lang w:val="en-US"/>
              </w:rPr>
            </w:pPr>
            <w:r>
              <w:rPr>
                <w:lang w:val="en-US"/>
              </w:rPr>
              <w:t>(100)</w:t>
            </w:r>
          </w:p>
        </w:tc>
        <w:tc>
          <w:tcPr>
            <w:tcW w:w="1288" w:type="dxa"/>
          </w:tcPr>
          <w:p w14:paraId="5631F97C" w14:textId="1ACFA5B2" w:rsidR="009608C4" w:rsidRDefault="00631B7B" w:rsidP="00E81AC4">
            <w:pPr>
              <w:spacing w:line="360" w:lineRule="auto"/>
              <w:jc w:val="center"/>
              <w:rPr>
                <w:lang w:val="en-US"/>
              </w:rPr>
            </w:pPr>
            <w:r>
              <w:rPr>
                <w:lang w:val="en-US"/>
              </w:rPr>
              <w:t>50</w:t>
            </w:r>
          </w:p>
        </w:tc>
        <w:tc>
          <w:tcPr>
            <w:tcW w:w="1288" w:type="dxa"/>
          </w:tcPr>
          <w:p w14:paraId="563CE72F" w14:textId="1BFCBDD7" w:rsidR="009608C4" w:rsidRDefault="00631B7B" w:rsidP="00E81AC4">
            <w:pPr>
              <w:spacing w:line="360" w:lineRule="auto"/>
              <w:jc w:val="center"/>
              <w:rPr>
                <w:lang w:val="en-US"/>
              </w:rPr>
            </w:pPr>
            <w:r>
              <w:rPr>
                <w:lang w:val="en-US"/>
              </w:rPr>
              <w:t>350</w:t>
            </w:r>
          </w:p>
        </w:tc>
        <w:tc>
          <w:tcPr>
            <w:tcW w:w="1288" w:type="dxa"/>
          </w:tcPr>
          <w:p w14:paraId="797DC771" w14:textId="204C71E0" w:rsidR="009608C4" w:rsidRDefault="00631B7B" w:rsidP="00E81AC4">
            <w:pPr>
              <w:spacing w:line="360" w:lineRule="auto"/>
              <w:jc w:val="center"/>
              <w:rPr>
                <w:lang w:val="en-US"/>
              </w:rPr>
            </w:pPr>
            <w:r>
              <w:rPr>
                <w:lang w:val="en-US"/>
              </w:rPr>
              <w:t>0.9434</w:t>
            </w:r>
          </w:p>
        </w:tc>
        <w:tc>
          <w:tcPr>
            <w:tcW w:w="1288" w:type="dxa"/>
          </w:tcPr>
          <w:p w14:paraId="6959444B" w14:textId="1511FA53" w:rsidR="009608C4" w:rsidRDefault="00631B7B" w:rsidP="00E81AC4">
            <w:pPr>
              <w:spacing w:line="360" w:lineRule="auto"/>
              <w:jc w:val="center"/>
              <w:rPr>
                <w:lang w:val="en-US"/>
              </w:rPr>
            </w:pPr>
            <w:r>
              <w:rPr>
                <w:lang w:val="en-US"/>
              </w:rPr>
              <w:t>330.19</w:t>
            </w:r>
          </w:p>
        </w:tc>
      </w:tr>
      <w:tr w:rsidR="009608C4" w14:paraId="213B4BEB" w14:textId="77777777" w:rsidTr="00E81AC4">
        <w:tc>
          <w:tcPr>
            <w:tcW w:w="1288" w:type="dxa"/>
          </w:tcPr>
          <w:p w14:paraId="61429420" w14:textId="77777777" w:rsidR="009608C4" w:rsidRDefault="009608C4" w:rsidP="00E81AC4">
            <w:pPr>
              <w:spacing w:line="360" w:lineRule="auto"/>
              <w:jc w:val="center"/>
              <w:rPr>
                <w:lang w:val="en-US"/>
              </w:rPr>
            </w:pPr>
            <w:r>
              <w:rPr>
                <w:lang w:val="en-US"/>
              </w:rPr>
              <w:t>2</w:t>
            </w:r>
          </w:p>
        </w:tc>
        <w:tc>
          <w:tcPr>
            <w:tcW w:w="1288" w:type="dxa"/>
          </w:tcPr>
          <w:p w14:paraId="52398BEE" w14:textId="7E771479" w:rsidR="009608C4" w:rsidRDefault="00631B7B" w:rsidP="00E81AC4">
            <w:pPr>
              <w:spacing w:line="360" w:lineRule="auto"/>
              <w:jc w:val="center"/>
              <w:rPr>
                <w:lang w:val="en-US"/>
              </w:rPr>
            </w:pPr>
            <w:r>
              <w:rPr>
                <w:lang w:val="en-US"/>
              </w:rPr>
              <w:t>450</w:t>
            </w:r>
          </w:p>
        </w:tc>
        <w:tc>
          <w:tcPr>
            <w:tcW w:w="1288" w:type="dxa"/>
          </w:tcPr>
          <w:p w14:paraId="04BA106B" w14:textId="5B443CC3" w:rsidR="009608C4" w:rsidRDefault="00631B7B" w:rsidP="00E81AC4">
            <w:pPr>
              <w:spacing w:line="360" w:lineRule="auto"/>
              <w:jc w:val="center"/>
              <w:rPr>
                <w:lang w:val="en-US"/>
              </w:rPr>
            </w:pPr>
            <w:r>
              <w:rPr>
                <w:lang w:val="en-US"/>
              </w:rPr>
              <w:t>(112.5)</w:t>
            </w:r>
          </w:p>
        </w:tc>
        <w:tc>
          <w:tcPr>
            <w:tcW w:w="1288" w:type="dxa"/>
          </w:tcPr>
          <w:p w14:paraId="71147C03" w14:textId="26801CD6" w:rsidR="009608C4" w:rsidRDefault="00631B7B" w:rsidP="00E81AC4">
            <w:pPr>
              <w:spacing w:line="360" w:lineRule="auto"/>
              <w:jc w:val="center"/>
              <w:rPr>
                <w:lang w:val="en-US"/>
              </w:rPr>
            </w:pPr>
            <w:r>
              <w:rPr>
                <w:lang w:val="en-US"/>
              </w:rPr>
              <w:t>50</w:t>
            </w:r>
          </w:p>
        </w:tc>
        <w:tc>
          <w:tcPr>
            <w:tcW w:w="1288" w:type="dxa"/>
          </w:tcPr>
          <w:p w14:paraId="39E66033" w14:textId="6A9CCA6F" w:rsidR="009608C4" w:rsidRDefault="00631B7B" w:rsidP="00E81AC4">
            <w:pPr>
              <w:spacing w:line="360" w:lineRule="auto"/>
              <w:jc w:val="center"/>
              <w:rPr>
                <w:lang w:val="en-US"/>
              </w:rPr>
            </w:pPr>
            <w:r>
              <w:rPr>
                <w:lang w:val="en-US"/>
              </w:rPr>
              <w:t>387.5</w:t>
            </w:r>
          </w:p>
        </w:tc>
        <w:tc>
          <w:tcPr>
            <w:tcW w:w="1288" w:type="dxa"/>
          </w:tcPr>
          <w:p w14:paraId="56054796" w14:textId="4747DD87" w:rsidR="009608C4" w:rsidRDefault="00631B7B" w:rsidP="00E81AC4">
            <w:pPr>
              <w:spacing w:line="360" w:lineRule="auto"/>
              <w:jc w:val="center"/>
              <w:rPr>
                <w:lang w:val="en-US"/>
              </w:rPr>
            </w:pPr>
            <w:r>
              <w:rPr>
                <w:lang w:val="en-US"/>
              </w:rPr>
              <w:t>0.8900</w:t>
            </w:r>
          </w:p>
        </w:tc>
        <w:tc>
          <w:tcPr>
            <w:tcW w:w="1288" w:type="dxa"/>
          </w:tcPr>
          <w:p w14:paraId="23983523" w14:textId="69D13300" w:rsidR="009608C4" w:rsidRDefault="00631B7B" w:rsidP="00E81AC4">
            <w:pPr>
              <w:spacing w:line="360" w:lineRule="auto"/>
              <w:jc w:val="center"/>
              <w:rPr>
                <w:lang w:val="en-US"/>
              </w:rPr>
            </w:pPr>
            <w:r>
              <w:rPr>
                <w:lang w:val="en-US"/>
              </w:rPr>
              <w:t>344.88</w:t>
            </w:r>
          </w:p>
        </w:tc>
      </w:tr>
      <w:tr w:rsidR="00631B7B" w14:paraId="3C93F201" w14:textId="77777777" w:rsidTr="00E81AC4">
        <w:tc>
          <w:tcPr>
            <w:tcW w:w="1288" w:type="dxa"/>
          </w:tcPr>
          <w:p w14:paraId="7ADC45CB" w14:textId="77777777" w:rsidR="00631B7B" w:rsidRDefault="00631B7B" w:rsidP="00631B7B">
            <w:pPr>
              <w:spacing w:line="360" w:lineRule="auto"/>
              <w:jc w:val="center"/>
              <w:rPr>
                <w:lang w:val="en-US"/>
              </w:rPr>
            </w:pPr>
            <w:r>
              <w:rPr>
                <w:lang w:val="en-US"/>
              </w:rPr>
              <w:t>3</w:t>
            </w:r>
          </w:p>
        </w:tc>
        <w:tc>
          <w:tcPr>
            <w:tcW w:w="1288" w:type="dxa"/>
          </w:tcPr>
          <w:p w14:paraId="6F6E6B43" w14:textId="13EB8DD7" w:rsidR="00631B7B" w:rsidRDefault="00631B7B" w:rsidP="00631B7B">
            <w:pPr>
              <w:spacing w:line="360" w:lineRule="auto"/>
              <w:jc w:val="center"/>
              <w:rPr>
                <w:lang w:val="en-US"/>
              </w:rPr>
            </w:pPr>
            <w:r>
              <w:rPr>
                <w:lang w:val="en-US"/>
              </w:rPr>
              <w:t>720</w:t>
            </w:r>
          </w:p>
        </w:tc>
        <w:tc>
          <w:tcPr>
            <w:tcW w:w="1288" w:type="dxa"/>
          </w:tcPr>
          <w:p w14:paraId="7A15E68B" w14:textId="7460FAEC" w:rsidR="00631B7B" w:rsidRDefault="00631B7B" w:rsidP="00631B7B">
            <w:pPr>
              <w:spacing w:line="360" w:lineRule="auto"/>
              <w:jc w:val="center"/>
              <w:rPr>
                <w:lang w:val="en-US"/>
              </w:rPr>
            </w:pPr>
            <w:r>
              <w:rPr>
                <w:lang w:val="en-US"/>
              </w:rPr>
              <w:t>(180)</w:t>
            </w:r>
          </w:p>
        </w:tc>
        <w:tc>
          <w:tcPr>
            <w:tcW w:w="1288" w:type="dxa"/>
          </w:tcPr>
          <w:p w14:paraId="353A506B" w14:textId="55FD515E" w:rsidR="00631B7B" w:rsidRDefault="00631B7B" w:rsidP="00631B7B">
            <w:pPr>
              <w:spacing w:line="360" w:lineRule="auto"/>
              <w:jc w:val="center"/>
              <w:rPr>
                <w:lang w:val="en-US"/>
              </w:rPr>
            </w:pPr>
            <w:r>
              <w:rPr>
                <w:lang w:val="en-US"/>
              </w:rPr>
              <w:t>50</w:t>
            </w:r>
          </w:p>
        </w:tc>
        <w:tc>
          <w:tcPr>
            <w:tcW w:w="1288" w:type="dxa"/>
          </w:tcPr>
          <w:p w14:paraId="192BDE55" w14:textId="04A20111" w:rsidR="00631B7B" w:rsidRDefault="00631B7B" w:rsidP="00631B7B">
            <w:pPr>
              <w:spacing w:line="360" w:lineRule="auto"/>
              <w:jc w:val="center"/>
              <w:rPr>
                <w:lang w:val="en-US"/>
              </w:rPr>
            </w:pPr>
            <w:r>
              <w:rPr>
                <w:lang w:val="en-US"/>
              </w:rPr>
              <w:t>590</w:t>
            </w:r>
          </w:p>
        </w:tc>
        <w:tc>
          <w:tcPr>
            <w:tcW w:w="1288" w:type="dxa"/>
          </w:tcPr>
          <w:p w14:paraId="42FD24F7" w14:textId="7063D450" w:rsidR="00631B7B" w:rsidRDefault="00631B7B" w:rsidP="00631B7B">
            <w:pPr>
              <w:spacing w:line="360" w:lineRule="auto"/>
              <w:jc w:val="center"/>
              <w:rPr>
                <w:lang w:val="en-US"/>
              </w:rPr>
            </w:pPr>
            <w:r>
              <w:rPr>
                <w:lang w:val="en-US"/>
              </w:rPr>
              <w:t>0.8396</w:t>
            </w:r>
          </w:p>
        </w:tc>
        <w:tc>
          <w:tcPr>
            <w:tcW w:w="1288" w:type="dxa"/>
          </w:tcPr>
          <w:p w14:paraId="047FF984" w14:textId="334D3A63" w:rsidR="00631B7B" w:rsidRDefault="00631B7B" w:rsidP="00631B7B">
            <w:pPr>
              <w:spacing w:line="360" w:lineRule="auto"/>
              <w:jc w:val="center"/>
              <w:rPr>
                <w:lang w:val="en-US"/>
              </w:rPr>
            </w:pPr>
            <w:r>
              <w:rPr>
                <w:lang w:val="en-US"/>
              </w:rPr>
              <w:t>495.36</w:t>
            </w:r>
          </w:p>
        </w:tc>
      </w:tr>
      <w:tr w:rsidR="00631B7B" w14:paraId="41CEA36F" w14:textId="77777777" w:rsidTr="00E81AC4">
        <w:tc>
          <w:tcPr>
            <w:tcW w:w="1288" w:type="dxa"/>
          </w:tcPr>
          <w:p w14:paraId="12B7DAEC" w14:textId="77777777" w:rsidR="00631B7B" w:rsidRDefault="00631B7B" w:rsidP="00631B7B">
            <w:pPr>
              <w:spacing w:line="360" w:lineRule="auto"/>
              <w:jc w:val="center"/>
              <w:rPr>
                <w:lang w:val="en-US"/>
              </w:rPr>
            </w:pPr>
            <w:r>
              <w:rPr>
                <w:lang w:val="en-US"/>
              </w:rPr>
              <w:t>4</w:t>
            </w:r>
          </w:p>
        </w:tc>
        <w:tc>
          <w:tcPr>
            <w:tcW w:w="1288" w:type="dxa"/>
          </w:tcPr>
          <w:p w14:paraId="325638F2" w14:textId="46E9FEA7" w:rsidR="00631B7B" w:rsidRDefault="00631B7B" w:rsidP="00631B7B">
            <w:pPr>
              <w:spacing w:line="360" w:lineRule="auto"/>
              <w:jc w:val="center"/>
              <w:rPr>
                <w:lang w:val="en-US"/>
              </w:rPr>
            </w:pPr>
            <w:r>
              <w:rPr>
                <w:lang w:val="en-US"/>
              </w:rPr>
              <w:t>980</w:t>
            </w:r>
          </w:p>
        </w:tc>
        <w:tc>
          <w:tcPr>
            <w:tcW w:w="1288" w:type="dxa"/>
          </w:tcPr>
          <w:p w14:paraId="30D37202" w14:textId="09BA6ECB" w:rsidR="00631B7B" w:rsidRDefault="00631B7B" w:rsidP="00631B7B">
            <w:pPr>
              <w:spacing w:line="360" w:lineRule="auto"/>
              <w:jc w:val="center"/>
              <w:rPr>
                <w:lang w:val="en-US"/>
              </w:rPr>
            </w:pPr>
            <w:r>
              <w:rPr>
                <w:lang w:val="en-US"/>
              </w:rPr>
              <w:t>(245)</w:t>
            </w:r>
          </w:p>
        </w:tc>
        <w:tc>
          <w:tcPr>
            <w:tcW w:w="1288" w:type="dxa"/>
          </w:tcPr>
          <w:p w14:paraId="3AC98541" w14:textId="0D45E93C" w:rsidR="00631B7B" w:rsidRDefault="00631B7B" w:rsidP="00631B7B">
            <w:pPr>
              <w:spacing w:line="360" w:lineRule="auto"/>
              <w:jc w:val="center"/>
              <w:rPr>
                <w:lang w:val="en-US"/>
              </w:rPr>
            </w:pPr>
            <w:r>
              <w:rPr>
                <w:lang w:val="en-US"/>
              </w:rPr>
              <w:t>50</w:t>
            </w:r>
          </w:p>
        </w:tc>
        <w:tc>
          <w:tcPr>
            <w:tcW w:w="1288" w:type="dxa"/>
          </w:tcPr>
          <w:p w14:paraId="6009CFE0" w14:textId="528791B2" w:rsidR="00631B7B" w:rsidRDefault="00631B7B" w:rsidP="00631B7B">
            <w:pPr>
              <w:spacing w:line="360" w:lineRule="auto"/>
              <w:jc w:val="center"/>
              <w:rPr>
                <w:lang w:val="en-US"/>
              </w:rPr>
            </w:pPr>
            <w:r>
              <w:rPr>
                <w:lang w:val="en-US"/>
              </w:rPr>
              <w:t>785</w:t>
            </w:r>
          </w:p>
        </w:tc>
        <w:tc>
          <w:tcPr>
            <w:tcW w:w="1288" w:type="dxa"/>
          </w:tcPr>
          <w:p w14:paraId="7378A63B" w14:textId="40D4EB29" w:rsidR="00631B7B" w:rsidRDefault="00631B7B" w:rsidP="00631B7B">
            <w:pPr>
              <w:spacing w:line="360" w:lineRule="auto"/>
              <w:jc w:val="center"/>
              <w:rPr>
                <w:lang w:val="en-US"/>
              </w:rPr>
            </w:pPr>
            <w:r>
              <w:rPr>
                <w:lang w:val="en-US"/>
              </w:rPr>
              <w:t>0.7921</w:t>
            </w:r>
          </w:p>
        </w:tc>
        <w:tc>
          <w:tcPr>
            <w:tcW w:w="1288" w:type="dxa"/>
          </w:tcPr>
          <w:p w14:paraId="768E07D0" w14:textId="7F3FF1C8" w:rsidR="00631B7B" w:rsidRDefault="00631B7B" w:rsidP="00631B7B">
            <w:pPr>
              <w:spacing w:line="360" w:lineRule="auto"/>
              <w:jc w:val="center"/>
              <w:rPr>
                <w:lang w:val="en-US"/>
              </w:rPr>
            </w:pPr>
            <w:r>
              <w:rPr>
                <w:lang w:val="en-US"/>
              </w:rPr>
              <w:t>621.80</w:t>
            </w:r>
          </w:p>
        </w:tc>
      </w:tr>
      <w:tr w:rsidR="00631B7B" w14:paraId="2D1B94AA" w14:textId="77777777" w:rsidTr="00E81AC4">
        <w:tc>
          <w:tcPr>
            <w:tcW w:w="1288" w:type="dxa"/>
          </w:tcPr>
          <w:p w14:paraId="2F60B051" w14:textId="77777777" w:rsidR="00631B7B" w:rsidRDefault="00631B7B" w:rsidP="00631B7B">
            <w:pPr>
              <w:spacing w:line="360" w:lineRule="auto"/>
              <w:jc w:val="center"/>
              <w:rPr>
                <w:lang w:val="en-US"/>
              </w:rPr>
            </w:pPr>
          </w:p>
        </w:tc>
        <w:tc>
          <w:tcPr>
            <w:tcW w:w="1288" w:type="dxa"/>
          </w:tcPr>
          <w:p w14:paraId="2B58E8D8" w14:textId="77777777" w:rsidR="00631B7B" w:rsidRDefault="00631B7B" w:rsidP="00631B7B">
            <w:pPr>
              <w:spacing w:line="360" w:lineRule="auto"/>
              <w:jc w:val="center"/>
              <w:rPr>
                <w:lang w:val="en-US"/>
              </w:rPr>
            </w:pPr>
          </w:p>
        </w:tc>
        <w:tc>
          <w:tcPr>
            <w:tcW w:w="1288" w:type="dxa"/>
          </w:tcPr>
          <w:p w14:paraId="0CE98302" w14:textId="77777777" w:rsidR="00631B7B" w:rsidRDefault="00631B7B" w:rsidP="00631B7B">
            <w:pPr>
              <w:spacing w:line="360" w:lineRule="auto"/>
              <w:jc w:val="center"/>
              <w:rPr>
                <w:lang w:val="en-US"/>
              </w:rPr>
            </w:pPr>
          </w:p>
        </w:tc>
        <w:tc>
          <w:tcPr>
            <w:tcW w:w="1288" w:type="dxa"/>
          </w:tcPr>
          <w:p w14:paraId="7553A3B6" w14:textId="77777777" w:rsidR="00631B7B" w:rsidRDefault="00631B7B" w:rsidP="00631B7B">
            <w:pPr>
              <w:spacing w:line="360" w:lineRule="auto"/>
              <w:jc w:val="center"/>
              <w:rPr>
                <w:lang w:val="en-US"/>
              </w:rPr>
            </w:pPr>
          </w:p>
        </w:tc>
        <w:tc>
          <w:tcPr>
            <w:tcW w:w="1288" w:type="dxa"/>
          </w:tcPr>
          <w:p w14:paraId="24BC81F8" w14:textId="77777777" w:rsidR="00631B7B" w:rsidRDefault="00631B7B" w:rsidP="00631B7B">
            <w:pPr>
              <w:spacing w:line="360" w:lineRule="auto"/>
              <w:jc w:val="center"/>
              <w:rPr>
                <w:lang w:val="en-US"/>
              </w:rPr>
            </w:pPr>
          </w:p>
        </w:tc>
        <w:tc>
          <w:tcPr>
            <w:tcW w:w="1288" w:type="dxa"/>
          </w:tcPr>
          <w:p w14:paraId="6ED2BC84" w14:textId="5C8CE501" w:rsidR="00631B7B" w:rsidRPr="009608C4" w:rsidRDefault="008C0C9A" w:rsidP="00631B7B">
            <w:pPr>
              <w:spacing w:line="360" w:lineRule="auto"/>
              <w:jc w:val="center"/>
              <w:rPr>
                <w:b/>
                <w:bCs/>
                <w:lang w:val="en-US"/>
              </w:rPr>
            </w:pPr>
            <w:r>
              <w:rPr>
                <w:b/>
                <w:bCs/>
                <w:lang w:val="en-US"/>
              </w:rPr>
              <w:t>N</w:t>
            </w:r>
            <w:r w:rsidR="00631B7B" w:rsidRPr="009608C4">
              <w:rPr>
                <w:b/>
                <w:bCs/>
                <w:lang w:val="en-US"/>
              </w:rPr>
              <w:t>PV</w:t>
            </w:r>
          </w:p>
        </w:tc>
        <w:tc>
          <w:tcPr>
            <w:tcW w:w="1288" w:type="dxa"/>
          </w:tcPr>
          <w:p w14:paraId="2597015A" w14:textId="24A34E66" w:rsidR="00631B7B" w:rsidRPr="009608C4" w:rsidRDefault="00631B7B" w:rsidP="00631B7B">
            <w:pPr>
              <w:spacing w:line="360" w:lineRule="auto"/>
              <w:jc w:val="center"/>
              <w:rPr>
                <w:b/>
                <w:bCs/>
                <w:lang w:val="en-US"/>
              </w:rPr>
            </w:pPr>
            <w:r>
              <w:rPr>
                <w:b/>
                <w:bCs/>
                <w:lang w:val="en-US"/>
              </w:rPr>
              <w:t>792.2</w:t>
            </w:r>
            <w:r w:rsidR="00FB3A35">
              <w:rPr>
                <w:b/>
                <w:bCs/>
                <w:lang w:val="en-US"/>
              </w:rPr>
              <w:t>28</w:t>
            </w:r>
          </w:p>
        </w:tc>
      </w:tr>
    </w:tbl>
    <w:p w14:paraId="793B775C" w14:textId="59CCF250" w:rsidR="008C0C9A" w:rsidRPr="008C0C9A" w:rsidRDefault="008C0C9A" w:rsidP="008C0C9A">
      <w:pPr>
        <w:spacing w:line="360" w:lineRule="auto"/>
        <w:rPr>
          <w:lang w:val="en-US"/>
        </w:rPr>
      </w:pPr>
      <w:r>
        <w:rPr>
          <w:b/>
          <w:bCs/>
          <w:lang w:val="en-US"/>
        </w:rPr>
        <w:t xml:space="preserve">Option – C: </w:t>
      </w:r>
      <w:r>
        <w:rPr>
          <w:lang w:val="en-US"/>
        </w:rPr>
        <w:t>Wooden Blinds and Roman Blinds</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8C0C9A" w14:paraId="303F7DE4" w14:textId="77777777" w:rsidTr="00E81AC4">
        <w:tc>
          <w:tcPr>
            <w:tcW w:w="1288" w:type="dxa"/>
          </w:tcPr>
          <w:p w14:paraId="795EF556" w14:textId="77777777" w:rsidR="008C0C9A" w:rsidRPr="00D46DD7" w:rsidRDefault="008C0C9A" w:rsidP="00E81AC4">
            <w:pPr>
              <w:spacing w:line="360" w:lineRule="auto"/>
              <w:jc w:val="center"/>
              <w:rPr>
                <w:b/>
                <w:bCs/>
                <w:lang w:val="en-US"/>
              </w:rPr>
            </w:pPr>
            <w:r>
              <w:rPr>
                <w:b/>
                <w:bCs/>
                <w:lang w:val="en-US"/>
              </w:rPr>
              <w:t>Year</w:t>
            </w:r>
          </w:p>
        </w:tc>
        <w:tc>
          <w:tcPr>
            <w:tcW w:w="1288" w:type="dxa"/>
          </w:tcPr>
          <w:p w14:paraId="4AF6DA41" w14:textId="77777777" w:rsidR="008C0C9A" w:rsidRPr="00D46DD7" w:rsidRDefault="008C0C9A" w:rsidP="00E81AC4">
            <w:pPr>
              <w:spacing w:line="360" w:lineRule="auto"/>
              <w:jc w:val="center"/>
              <w:rPr>
                <w:b/>
                <w:bCs/>
                <w:lang w:val="en-US"/>
              </w:rPr>
            </w:pPr>
            <w:r>
              <w:rPr>
                <w:b/>
                <w:bCs/>
                <w:lang w:val="en-US"/>
              </w:rPr>
              <w:t>Pre-Tax Cash Flow (</w:t>
            </w:r>
            <w:r w:rsidRPr="00D46DD7">
              <w:rPr>
                <w:b/>
                <w:bCs/>
              </w:rPr>
              <w:t>£'000)</w:t>
            </w:r>
          </w:p>
        </w:tc>
        <w:tc>
          <w:tcPr>
            <w:tcW w:w="1288" w:type="dxa"/>
          </w:tcPr>
          <w:p w14:paraId="7B1FCCBF" w14:textId="77777777" w:rsidR="008C0C9A" w:rsidRPr="00D46DD7" w:rsidRDefault="008C0C9A" w:rsidP="00E81AC4">
            <w:pPr>
              <w:spacing w:line="360" w:lineRule="auto"/>
              <w:jc w:val="center"/>
              <w:rPr>
                <w:b/>
                <w:bCs/>
                <w:lang w:val="en-US"/>
              </w:rPr>
            </w:pPr>
            <w:r>
              <w:rPr>
                <w:b/>
                <w:bCs/>
                <w:lang w:val="en-US"/>
              </w:rPr>
              <w:t>Tax at 25% (</w:t>
            </w:r>
            <w:r w:rsidRPr="00D46DD7">
              <w:rPr>
                <w:b/>
                <w:bCs/>
              </w:rPr>
              <w:t>£'000)</w:t>
            </w:r>
          </w:p>
        </w:tc>
        <w:tc>
          <w:tcPr>
            <w:tcW w:w="1288" w:type="dxa"/>
          </w:tcPr>
          <w:p w14:paraId="0DFEB320" w14:textId="77777777" w:rsidR="008C0C9A" w:rsidRPr="00D46DD7" w:rsidRDefault="008C0C9A" w:rsidP="00E81AC4">
            <w:pPr>
              <w:spacing w:line="360" w:lineRule="auto"/>
              <w:jc w:val="center"/>
              <w:rPr>
                <w:b/>
                <w:bCs/>
                <w:lang w:val="en-US"/>
              </w:rPr>
            </w:pPr>
            <w:r>
              <w:rPr>
                <w:b/>
                <w:bCs/>
                <w:lang w:val="en-US"/>
              </w:rPr>
              <w:t>Tax Shield (</w:t>
            </w:r>
            <w:r w:rsidRPr="00D46DD7">
              <w:rPr>
                <w:b/>
                <w:bCs/>
              </w:rPr>
              <w:t>£'000)</w:t>
            </w:r>
          </w:p>
        </w:tc>
        <w:tc>
          <w:tcPr>
            <w:tcW w:w="1288" w:type="dxa"/>
          </w:tcPr>
          <w:p w14:paraId="7F2A904A" w14:textId="77777777" w:rsidR="008C0C9A" w:rsidRPr="00D46DD7" w:rsidRDefault="008C0C9A" w:rsidP="00E81AC4">
            <w:pPr>
              <w:spacing w:line="360" w:lineRule="auto"/>
              <w:jc w:val="center"/>
              <w:rPr>
                <w:b/>
                <w:bCs/>
                <w:lang w:val="en-US"/>
              </w:rPr>
            </w:pPr>
            <w:r>
              <w:rPr>
                <w:b/>
                <w:bCs/>
                <w:lang w:val="en-US"/>
              </w:rPr>
              <w:t>After-Tax Cash Flow (</w:t>
            </w:r>
            <w:r w:rsidRPr="00D46DD7">
              <w:rPr>
                <w:b/>
                <w:bCs/>
              </w:rPr>
              <w:t>£'000)</w:t>
            </w:r>
          </w:p>
        </w:tc>
        <w:tc>
          <w:tcPr>
            <w:tcW w:w="1288" w:type="dxa"/>
          </w:tcPr>
          <w:p w14:paraId="1EEE5388" w14:textId="77777777" w:rsidR="008C0C9A" w:rsidRPr="00D46DD7" w:rsidRDefault="008C0C9A" w:rsidP="00E81AC4">
            <w:pPr>
              <w:spacing w:line="360" w:lineRule="auto"/>
              <w:jc w:val="center"/>
              <w:rPr>
                <w:b/>
                <w:bCs/>
                <w:lang w:val="en-US"/>
              </w:rPr>
            </w:pPr>
            <w:r>
              <w:rPr>
                <w:b/>
                <w:bCs/>
                <w:lang w:val="en-US"/>
              </w:rPr>
              <w:t>Discount Factor @ 6%</w:t>
            </w:r>
          </w:p>
        </w:tc>
        <w:tc>
          <w:tcPr>
            <w:tcW w:w="1288" w:type="dxa"/>
          </w:tcPr>
          <w:p w14:paraId="38074A92" w14:textId="77777777" w:rsidR="008C0C9A" w:rsidRDefault="008C0C9A" w:rsidP="00E81AC4">
            <w:pPr>
              <w:spacing w:line="360" w:lineRule="auto"/>
              <w:jc w:val="center"/>
              <w:rPr>
                <w:b/>
                <w:bCs/>
              </w:rPr>
            </w:pPr>
            <w:r>
              <w:rPr>
                <w:b/>
                <w:bCs/>
                <w:lang w:val="en-US"/>
              </w:rPr>
              <w:t>PV (</w:t>
            </w:r>
            <w:r w:rsidRPr="00D46DD7">
              <w:rPr>
                <w:b/>
                <w:bCs/>
              </w:rPr>
              <w:t>£'000)</w:t>
            </w:r>
          </w:p>
          <w:p w14:paraId="0AC4856E" w14:textId="77777777" w:rsidR="008C0C9A" w:rsidRPr="00D46DD7" w:rsidRDefault="008C0C9A" w:rsidP="00E81AC4">
            <w:pPr>
              <w:spacing w:line="360" w:lineRule="auto"/>
              <w:jc w:val="center"/>
              <w:rPr>
                <w:b/>
                <w:bCs/>
                <w:lang w:val="en-US"/>
              </w:rPr>
            </w:pPr>
            <w:r>
              <w:rPr>
                <w:b/>
                <w:bCs/>
              </w:rPr>
              <w:t>(ATCF * DF)</w:t>
            </w:r>
          </w:p>
        </w:tc>
      </w:tr>
      <w:tr w:rsidR="008C0C9A" w14:paraId="3EC10868" w14:textId="77777777" w:rsidTr="00E81AC4">
        <w:tc>
          <w:tcPr>
            <w:tcW w:w="1288" w:type="dxa"/>
          </w:tcPr>
          <w:p w14:paraId="0ECD5EC2" w14:textId="77777777" w:rsidR="008C0C9A" w:rsidRDefault="008C0C9A" w:rsidP="00E81AC4">
            <w:pPr>
              <w:spacing w:line="360" w:lineRule="auto"/>
              <w:jc w:val="center"/>
              <w:rPr>
                <w:lang w:val="en-US"/>
              </w:rPr>
            </w:pPr>
            <w:r>
              <w:rPr>
                <w:lang w:val="en-US"/>
              </w:rPr>
              <w:t>0</w:t>
            </w:r>
          </w:p>
        </w:tc>
        <w:tc>
          <w:tcPr>
            <w:tcW w:w="1288" w:type="dxa"/>
          </w:tcPr>
          <w:p w14:paraId="77B90487" w14:textId="03E034D3" w:rsidR="008C0C9A" w:rsidRDefault="008C0C9A" w:rsidP="00E81AC4">
            <w:pPr>
              <w:spacing w:line="360" w:lineRule="auto"/>
              <w:jc w:val="center"/>
              <w:rPr>
                <w:lang w:val="en-US"/>
              </w:rPr>
            </w:pPr>
            <w:r>
              <w:rPr>
                <w:lang w:val="en-US"/>
              </w:rPr>
              <w:t>(1,600)</w:t>
            </w:r>
          </w:p>
        </w:tc>
        <w:tc>
          <w:tcPr>
            <w:tcW w:w="1288" w:type="dxa"/>
          </w:tcPr>
          <w:p w14:paraId="0FEF96E6" w14:textId="77777777" w:rsidR="008C0C9A" w:rsidRDefault="008C0C9A" w:rsidP="00E81AC4">
            <w:pPr>
              <w:spacing w:line="360" w:lineRule="auto"/>
              <w:jc w:val="center"/>
              <w:rPr>
                <w:lang w:val="en-US"/>
              </w:rPr>
            </w:pPr>
            <w:r>
              <w:rPr>
                <w:lang w:val="en-US"/>
              </w:rPr>
              <w:t>0</w:t>
            </w:r>
          </w:p>
        </w:tc>
        <w:tc>
          <w:tcPr>
            <w:tcW w:w="1288" w:type="dxa"/>
          </w:tcPr>
          <w:p w14:paraId="757C9FBD" w14:textId="77777777" w:rsidR="008C0C9A" w:rsidRDefault="008C0C9A" w:rsidP="00E81AC4">
            <w:pPr>
              <w:spacing w:line="360" w:lineRule="auto"/>
              <w:jc w:val="center"/>
              <w:rPr>
                <w:lang w:val="en-US"/>
              </w:rPr>
            </w:pPr>
            <w:r>
              <w:rPr>
                <w:lang w:val="en-US"/>
              </w:rPr>
              <w:t>0</w:t>
            </w:r>
          </w:p>
        </w:tc>
        <w:tc>
          <w:tcPr>
            <w:tcW w:w="1288" w:type="dxa"/>
          </w:tcPr>
          <w:p w14:paraId="4908F99D" w14:textId="3F254BED" w:rsidR="008C0C9A" w:rsidRDefault="008C0C9A" w:rsidP="00E81AC4">
            <w:pPr>
              <w:spacing w:line="360" w:lineRule="auto"/>
              <w:jc w:val="center"/>
              <w:rPr>
                <w:lang w:val="en-US"/>
              </w:rPr>
            </w:pPr>
            <w:r>
              <w:rPr>
                <w:lang w:val="en-US"/>
              </w:rPr>
              <w:t>(1,600)</w:t>
            </w:r>
          </w:p>
        </w:tc>
        <w:tc>
          <w:tcPr>
            <w:tcW w:w="1288" w:type="dxa"/>
          </w:tcPr>
          <w:p w14:paraId="785CE1DC" w14:textId="77777777" w:rsidR="008C0C9A" w:rsidRDefault="008C0C9A" w:rsidP="00E81AC4">
            <w:pPr>
              <w:spacing w:line="360" w:lineRule="auto"/>
              <w:jc w:val="center"/>
              <w:rPr>
                <w:lang w:val="en-US"/>
              </w:rPr>
            </w:pPr>
            <w:r>
              <w:rPr>
                <w:lang w:val="en-US"/>
              </w:rPr>
              <w:t>1.00</w:t>
            </w:r>
          </w:p>
        </w:tc>
        <w:tc>
          <w:tcPr>
            <w:tcW w:w="1288" w:type="dxa"/>
          </w:tcPr>
          <w:p w14:paraId="1E51AF5B" w14:textId="3937CBE1" w:rsidR="008C0C9A" w:rsidRDefault="008C0C9A" w:rsidP="00E81AC4">
            <w:pPr>
              <w:spacing w:line="360" w:lineRule="auto"/>
              <w:jc w:val="center"/>
              <w:rPr>
                <w:lang w:val="en-US"/>
              </w:rPr>
            </w:pPr>
            <w:r>
              <w:rPr>
                <w:lang w:val="en-US"/>
              </w:rPr>
              <w:t>(1,600)</w:t>
            </w:r>
          </w:p>
        </w:tc>
      </w:tr>
      <w:tr w:rsidR="008C0C9A" w14:paraId="191ECA63" w14:textId="77777777" w:rsidTr="00E81AC4">
        <w:tc>
          <w:tcPr>
            <w:tcW w:w="1288" w:type="dxa"/>
          </w:tcPr>
          <w:p w14:paraId="0E6C492A" w14:textId="77777777" w:rsidR="008C0C9A" w:rsidRDefault="008C0C9A" w:rsidP="008C0C9A">
            <w:pPr>
              <w:spacing w:line="360" w:lineRule="auto"/>
              <w:jc w:val="center"/>
              <w:rPr>
                <w:lang w:val="en-US"/>
              </w:rPr>
            </w:pPr>
            <w:r>
              <w:rPr>
                <w:lang w:val="en-US"/>
              </w:rPr>
              <w:t>1</w:t>
            </w:r>
          </w:p>
        </w:tc>
        <w:tc>
          <w:tcPr>
            <w:tcW w:w="1288" w:type="dxa"/>
          </w:tcPr>
          <w:p w14:paraId="6B3F7964" w14:textId="5B9A107E" w:rsidR="008C0C9A" w:rsidRDefault="008C0C9A" w:rsidP="008C0C9A">
            <w:pPr>
              <w:spacing w:line="360" w:lineRule="auto"/>
              <w:jc w:val="center"/>
              <w:rPr>
                <w:lang w:val="en-US"/>
              </w:rPr>
            </w:pPr>
            <w:r>
              <w:rPr>
                <w:lang w:val="en-US"/>
              </w:rPr>
              <w:t>450</w:t>
            </w:r>
          </w:p>
        </w:tc>
        <w:tc>
          <w:tcPr>
            <w:tcW w:w="1288" w:type="dxa"/>
          </w:tcPr>
          <w:p w14:paraId="7D20E6D0" w14:textId="5372C50F" w:rsidR="008C0C9A" w:rsidRDefault="008C0C9A" w:rsidP="008C0C9A">
            <w:pPr>
              <w:spacing w:line="360" w:lineRule="auto"/>
              <w:jc w:val="center"/>
              <w:rPr>
                <w:lang w:val="en-US"/>
              </w:rPr>
            </w:pPr>
            <w:r>
              <w:rPr>
                <w:lang w:val="en-US"/>
              </w:rPr>
              <w:t>(112.5)</w:t>
            </w:r>
          </w:p>
        </w:tc>
        <w:tc>
          <w:tcPr>
            <w:tcW w:w="1288" w:type="dxa"/>
          </w:tcPr>
          <w:p w14:paraId="7243B292" w14:textId="538978FF" w:rsidR="008C0C9A" w:rsidRDefault="008C0C9A" w:rsidP="008C0C9A">
            <w:pPr>
              <w:spacing w:line="360" w:lineRule="auto"/>
              <w:jc w:val="center"/>
              <w:rPr>
                <w:lang w:val="en-US"/>
              </w:rPr>
            </w:pPr>
            <w:r>
              <w:rPr>
                <w:lang w:val="en-US"/>
              </w:rPr>
              <w:t>80</w:t>
            </w:r>
          </w:p>
        </w:tc>
        <w:tc>
          <w:tcPr>
            <w:tcW w:w="1288" w:type="dxa"/>
          </w:tcPr>
          <w:p w14:paraId="2A26725E" w14:textId="54161178" w:rsidR="008C0C9A" w:rsidRDefault="008C0C9A" w:rsidP="008C0C9A">
            <w:pPr>
              <w:spacing w:line="360" w:lineRule="auto"/>
              <w:jc w:val="center"/>
              <w:rPr>
                <w:lang w:val="en-US"/>
              </w:rPr>
            </w:pPr>
            <w:r>
              <w:rPr>
                <w:lang w:val="en-US"/>
              </w:rPr>
              <w:t>417.5</w:t>
            </w:r>
          </w:p>
        </w:tc>
        <w:tc>
          <w:tcPr>
            <w:tcW w:w="1288" w:type="dxa"/>
          </w:tcPr>
          <w:p w14:paraId="1FFE4635" w14:textId="5534AF88" w:rsidR="008C0C9A" w:rsidRDefault="008C0C9A" w:rsidP="008C0C9A">
            <w:pPr>
              <w:spacing w:line="360" w:lineRule="auto"/>
              <w:jc w:val="center"/>
              <w:rPr>
                <w:lang w:val="en-US"/>
              </w:rPr>
            </w:pPr>
            <w:r>
              <w:rPr>
                <w:lang w:val="en-US"/>
              </w:rPr>
              <w:t>0.9434</w:t>
            </w:r>
          </w:p>
        </w:tc>
        <w:tc>
          <w:tcPr>
            <w:tcW w:w="1288" w:type="dxa"/>
          </w:tcPr>
          <w:p w14:paraId="78D832B9" w14:textId="5A77BE16" w:rsidR="008C0C9A" w:rsidRDefault="008C0C9A" w:rsidP="008C0C9A">
            <w:pPr>
              <w:spacing w:line="360" w:lineRule="auto"/>
              <w:jc w:val="center"/>
              <w:rPr>
                <w:lang w:val="en-US"/>
              </w:rPr>
            </w:pPr>
            <w:r>
              <w:rPr>
                <w:lang w:val="en-US"/>
              </w:rPr>
              <w:t>393.87</w:t>
            </w:r>
          </w:p>
        </w:tc>
      </w:tr>
      <w:tr w:rsidR="008C0C9A" w14:paraId="194DDE51" w14:textId="77777777" w:rsidTr="00E81AC4">
        <w:tc>
          <w:tcPr>
            <w:tcW w:w="1288" w:type="dxa"/>
          </w:tcPr>
          <w:p w14:paraId="4D46F016" w14:textId="77777777" w:rsidR="008C0C9A" w:rsidRDefault="008C0C9A" w:rsidP="008C0C9A">
            <w:pPr>
              <w:spacing w:line="360" w:lineRule="auto"/>
              <w:jc w:val="center"/>
              <w:rPr>
                <w:lang w:val="en-US"/>
              </w:rPr>
            </w:pPr>
            <w:r>
              <w:rPr>
                <w:lang w:val="en-US"/>
              </w:rPr>
              <w:t>2</w:t>
            </w:r>
          </w:p>
        </w:tc>
        <w:tc>
          <w:tcPr>
            <w:tcW w:w="1288" w:type="dxa"/>
          </w:tcPr>
          <w:p w14:paraId="357557B5" w14:textId="68EE2C91" w:rsidR="008C0C9A" w:rsidRDefault="008C0C9A" w:rsidP="008C0C9A">
            <w:pPr>
              <w:spacing w:line="360" w:lineRule="auto"/>
              <w:jc w:val="center"/>
              <w:rPr>
                <w:lang w:val="en-US"/>
              </w:rPr>
            </w:pPr>
            <w:r>
              <w:rPr>
                <w:lang w:val="en-US"/>
              </w:rPr>
              <w:t>700</w:t>
            </w:r>
          </w:p>
        </w:tc>
        <w:tc>
          <w:tcPr>
            <w:tcW w:w="1288" w:type="dxa"/>
          </w:tcPr>
          <w:p w14:paraId="71B27AD1" w14:textId="559BD7C6" w:rsidR="008C0C9A" w:rsidRDefault="008C0C9A" w:rsidP="008C0C9A">
            <w:pPr>
              <w:spacing w:line="360" w:lineRule="auto"/>
              <w:jc w:val="center"/>
              <w:rPr>
                <w:lang w:val="en-US"/>
              </w:rPr>
            </w:pPr>
            <w:r>
              <w:rPr>
                <w:lang w:val="en-US"/>
              </w:rPr>
              <w:t>(175)</w:t>
            </w:r>
          </w:p>
        </w:tc>
        <w:tc>
          <w:tcPr>
            <w:tcW w:w="1288" w:type="dxa"/>
          </w:tcPr>
          <w:p w14:paraId="671E8960" w14:textId="3A648EB9" w:rsidR="008C0C9A" w:rsidRDefault="008C0C9A" w:rsidP="008C0C9A">
            <w:pPr>
              <w:spacing w:line="360" w:lineRule="auto"/>
              <w:jc w:val="center"/>
              <w:rPr>
                <w:lang w:val="en-US"/>
              </w:rPr>
            </w:pPr>
            <w:r>
              <w:rPr>
                <w:lang w:val="en-US"/>
              </w:rPr>
              <w:t>80</w:t>
            </w:r>
          </w:p>
        </w:tc>
        <w:tc>
          <w:tcPr>
            <w:tcW w:w="1288" w:type="dxa"/>
          </w:tcPr>
          <w:p w14:paraId="198925FB" w14:textId="5DAF99ED" w:rsidR="008C0C9A" w:rsidRDefault="008C0C9A" w:rsidP="008C0C9A">
            <w:pPr>
              <w:spacing w:line="360" w:lineRule="auto"/>
              <w:jc w:val="center"/>
              <w:rPr>
                <w:lang w:val="en-US"/>
              </w:rPr>
            </w:pPr>
            <w:r>
              <w:rPr>
                <w:lang w:val="en-US"/>
              </w:rPr>
              <w:t>605</w:t>
            </w:r>
          </w:p>
        </w:tc>
        <w:tc>
          <w:tcPr>
            <w:tcW w:w="1288" w:type="dxa"/>
          </w:tcPr>
          <w:p w14:paraId="3D82DC8F" w14:textId="613EC541" w:rsidR="008C0C9A" w:rsidRDefault="008C0C9A" w:rsidP="008C0C9A">
            <w:pPr>
              <w:spacing w:line="360" w:lineRule="auto"/>
              <w:jc w:val="center"/>
              <w:rPr>
                <w:lang w:val="en-US"/>
              </w:rPr>
            </w:pPr>
            <w:r>
              <w:rPr>
                <w:lang w:val="en-US"/>
              </w:rPr>
              <w:t>0.8900</w:t>
            </w:r>
          </w:p>
        </w:tc>
        <w:tc>
          <w:tcPr>
            <w:tcW w:w="1288" w:type="dxa"/>
          </w:tcPr>
          <w:p w14:paraId="605433A3" w14:textId="560A2C02" w:rsidR="008C0C9A" w:rsidRDefault="008C0C9A" w:rsidP="008C0C9A">
            <w:pPr>
              <w:spacing w:line="360" w:lineRule="auto"/>
              <w:jc w:val="center"/>
              <w:rPr>
                <w:lang w:val="en-US"/>
              </w:rPr>
            </w:pPr>
            <w:r>
              <w:rPr>
                <w:lang w:val="en-US"/>
              </w:rPr>
              <w:t>538.45</w:t>
            </w:r>
          </w:p>
        </w:tc>
      </w:tr>
      <w:tr w:rsidR="008C0C9A" w14:paraId="7971F55B" w14:textId="77777777" w:rsidTr="00E81AC4">
        <w:tc>
          <w:tcPr>
            <w:tcW w:w="1288" w:type="dxa"/>
          </w:tcPr>
          <w:p w14:paraId="5B5684B1" w14:textId="77777777" w:rsidR="008C0C9A" w:rsidRDefault="008C0C9A" w:rsidP="008C0C9A">
            <w:pPr>
              <w:spacing w:line="360" w:lineRule="auto"/>
              <w:jc w:val="center"/>
              <w:rPr>
                <w:lang w:val="en-US"/>
              </w:rPr>
            </w:pPr>
            <w:r>
              <w:rPr>
                <w:lang w:val="en-US"/>
              </w:rPr>
              <w:t>3</w:t>
            </w:r>
          </w:p>
        </w:tc>
        <w:tc>
          <w:tcPr>
            <w:tcW w:w="1288" w:type="dxa"/>
          </w:tcPr>
          <w:p w14:paraId="212D6E24" w14:textId="04A4D596" w:rsidR="008C0C9A" w:rsidRDefault="008C0C9A" w:rsidP="008C0C9A">
            <w:pPr>
              <w:spacing w:line="360" w:lineRule="auto"/>
              <w:jc w:val="center"/>
              <w:rPr>
                <w:lang w:val="en-US"/>
              </w:rPr>
            </w:pPr>
            <w:r>
              <w:rPr>
                <w:lang w:val="en-US"/>
              </w:rPr>
              <w:t>900</w:t>
            </w:r>
          </w:p>
        </w:tc>
        <w:tc>
          <w:tcPr>
            <w:tcW w:w="1288" w:type="dxa"/>
          </w:tcPr>
          <w:p w14:paraId="66E72DDF" w14:textId="7FD2F445" w:rsidR="008C0C9A" w:rsidRDefault="008C0C9A" w:rsidP="008C0C9A">
            <w:pPr>
              <w:spacing w:line="360" w:lineRule="auto"/>
              <w:jc w:val="center"/>
              <w:rPr>
                <w:lang w:val="en-US"/>
              </w:rPr>
            </w:pPr>
            <w:r>
              <w:rPr>
                <w:lang w:val="en-US"/>
              </w:rPr>
              <w:t>(225)</w:t>
            </w:r>
          </w:p>
        </w:tc>
        <w:tc>
          <w:tcPr>
            <w:tcW w:w="1288" w:type="dxa"/>
          </w:tcPr>
          <w:p w14:paraId="4DD7B933" w14:textId="5BAFAB90" w:rsidR="008C0C9A" w:rsidRDefault="008C0C9A" w:rsidP="008C0C9A">
            <w:pPr>
              <w:spacing w:line="360" w:lineRule="auto"/>
              <w:jc w:val="center"/>
              <w:rPr>
                <w:lang w:val="en-US"/>
              </w:rPr>
            </w:pPr>
            <w:r>
              <w:rPr>
                <w:lang w:val="en-US"/>
              </w:rPr>
              <w:t>80</w:t>
            </w:r>
          </w:p>
        </w:tc>
        <w:tc>
          <w:tcPr>
            <w:tcW w:w="1288" w:type="dxa"/>
          </w:tcPr>
          <w:p w14:paraId="67E8B6A9" w14:textId="77EBE2CE" w:rsidR="008C0C9A" w:rsidRDefault="008C0C9A" w:rsidP="008C0C9A">
            <w:pPr>
              <w:spacing w:line="360" w:lineRule="auto"/>
              <w:jc w:val="center"/>
              <w:rPr>
                <w:lang w:val="en-US"/>
              </w:rPr>
            </w:pPr>
            <w:r>
              <w:rPr>
                <w:lang w:val="en-US"/>
              </w:rPr>
              <w:t>755</w:t>
            </w:r>
          </w:p>
        </w:tc>
        <w:tc>
          <w:tcPr>
            <w:tcW w:w="1288" w:type="dxa"/>
          </w:tcPr>
          <w:p w14:paraId="65B46921" w14:textId="40222814" w:rsidR="008C0C9A" w:rsidRDefault="008C0C9A" w:rsidP="008C0C9A">
            <w:pPr>
              <w:spacing w:line="360" w:lineRule="auto"/>
              <w:jc w:val="center"/>
              <w:rPr>
                <w:lang w:val="en-US"/>
              </w:rPr>
            </w:pPr>
            <w:r>
              <w:rPr>
                <w:lang w:val="en-US"/>
              </w:rPr>
              <w:t>0.8396</w:t>
            </w:r>
          </w:p>
        </w:tc>
        <w:tc>
          <w:tcPr>
            <w:tcW w:w="1288" w:type="dxa"/>
          </w:tcPr>
          <w:p w14:paraId="5531FADE" w14:textId="7830BBE4" w:rsidR="008C0C9A" w:rsidRDefault="008C0C9A" w:rsidP="008C0C9A">
            <w:pPr>
              <w:spacing w:line="360" w:lineRule="auto"/>
              <w:jc w:val="center"/>
              <w:rPr>
                <w:lang w:val="en-US"/>
              </w:rPr>
            </w:pPr>
            <w:r>
              <w:rPr>
                <w:lang w:val="en-US"/>
              </w:rPr>
              <w:t>633.90</w:t>
            </w:r>
          </w:p>
        </w:tc>
      </w:tr>
      <w:tr w:rsidR="008C0C9A" w14:paraId="5ABC9433" w14:textId="77777777" w:rsidTr="00E81AC4">
        <w:tc>
          <w:tcPr>
            <w:tcW w:w="1288" w:type="dxa"/>
          </w:tcPr>
          <w:p w14:paraId="23DE94AE" w14:textId="77777777" w:rsidR="008C0C9A" w:rsidRDefault="008C0C9A" w:rsidP="008C0C9A">
            <w:pPr>
              <w:spacing w:line="360" w:lineRule="auto"/>
              <w:jc w:val="center"/>
              <w:rPr>
                <w:lang w:val="en-US"/>
              </w:rPr>
            </w:pPr>
            <w:r>
              <w:rPr>
                <w:lang w:val="en-US"/>
              </w:rPr>
              <w:t>4</w:t>
            </w:r>
          </w:p>
        </w:tc>
        <w:tc>
          <w:tcPr>
            <w:tcW w:w="1288" w:type="dxa"/>
          </w:tcPr>
          <w:p w14:paraId="2CFA8AFD" w14:textId="36AA1049" w:rsidR="008C0C9A" w:rsidRDefault="008C0C9A" w:rsidP="008C0C9A">
            <w:pPr>
              <w:spacing w:line="360" w:lineRule="auto"/>
              <w:jc w:val="center"/>
              <w:rPr>
                <w:lang w:val="en-US"/>
              </w:rPr>
            </w:pPr>
            <w:r>
              <w:rPr>
                <w:lang w:val="en-US"/>
              </w:rPr>
              <w:t>1,200</w:t>
            </w:r>
          </w:p>
        </w:tc>
        <w:tc>
          <w:tcPr>
            <w:tcW w:w="1288" w:type="dxa"/>
          </w:tcPr>
          <w:p w14:paraId="22B2D318" w14:textId="1AB88F03" w:rsidR="008C0C9A" w:rsidRDefault="008C0C9A" w:rsidP="008C0C9A">
            <w:pPr>
              <w:spacing w:line="360" w:lineRule="auto"/>
              <w:jc w:val="center"/>
              <w:rPr>
                <w:lang w:val="en-US"/>
              </w:rPr>
            </w:pPr>
            <w:r>
              <w:rPr>
                <w:lang w:val="en-US"/>
              </w:rPr>
              <w:t>(300)</w:t>
            </w:r>
          </w:p>
        </w:tc>
        <w:tc>
          <w:tcPr>
            <w:tcW w:w="1288" w:type="dxa"/>
          </w:tcPr>
          <w:p w14:paraId="415908A0" w14:textId="78DC0836" w:rsidR="008C0C9A" w:rsidRDefault="008C0C9A" w:rsidP="008C0C9A">
            <w:pPr>
              <w:spacing w:line="360" w:lineRule="auto"/>
              <w:jc w:val="center"/>
              <w:rPr>
                <w:lang w:val="en-US"/>
              </w:rPr>
            </w:pPr>
            <w:r>
              <w:rPr>
                <w:lang w:val="en-US"/>
              </w:rPr>
              <w:t>80</w:t>
            </w:r>
          </w:p>
        </w:tc>
        <w:tc>
          <w:tcPr>
            <w:tcW w:w="1288" w:type="dxa"/>
          </w:tcPr>
          <w:p w14:paraId="0FACB1DA" w14:textId="0E2AE7F7" w:rsidR="008C0C9A" w:rsidRDefault="008C0C9A" w:rsidP="008C0C9A">
            <w:pPr>
              <w:spacing w:line="360" w:lineRule="auto"/>
              <w:jc w:val="center"/>
              <w:rPr>
                <w:lang w:val="en-US"/>
              </w:rPr>
            </w:pPr>
            <w:r>
              <w:rPr>
                <w:lang w:val="en-US"/>
              </w:rPr>
              <w:t>980</w:t>
            </w:r>
          </w:p>
        </w:tc>
        <w:tc>
          <w:tcPr>
            <w:tcW w:w="1288" w:type="dxa"/>
          </w:tcPr>
          <w:p w14:paraId="6F2FB5DC" w14:textId="79685C75" w:rsidR="008C0C9A" w:rsidRDefault="008C0C9A" w:rsidP="008C0C9A">
            <w:pPr>
              <w:spacing w:line="360" w:lineRule="auto"/>
              <w:jc w:val="center"/>
              <w:rPr>
                <w:lang w:val="en-US"/>
              </w:rPr>
            </w:pPr>
            <w:r>
              <w:rPr>
                <w:lang w:val="en-US"/>
              </w:rPr>
              <w:t>0.7921</w:t>
            </w:r>
          </w:p>
        </w:tc>
        <w:tc>
          <w:tcPr>
            <w:tcW w:w="1288" w:type="dxa"/>
          </w:tcPr>
          <w:p w14:paraId="1460A592" w14:textId="4E50AC59" w:rsidR="008C0C9A" w:rsidRDefault="008C0C9A" w:rsidP="008C0C9A">
            <w:pPr>
              <w:spacing w:line="360" w:lineRule="auto"/>
              <w:jc w:val="center"/>
              <w:rPr>
                <w:lang w:val="en-US"/>
              </w:rPr>
            </w:pPr>
            <w:r>
              <w:rPr>
                <w:lang w:val="en-US"/>
              </w:rPr>
              <w:t>776.26</w:t>
            </w:r>
          </w:p>
        </w:tc>
      </w:tr>
      <w:tr w:rsidR="008C0C9A" w14:paraId="79D2F7AC" w14:textId="77777777" w:rsidTr="00E81AC4">
        <w:tc>
          <w:tcPr>
            <w:tcW w:w="1288" w:type="dxa"/>
          </w:tcPr>
          <w:p w14:paraId="0F8E5148" w14:textId="77777777" w:rsidR="008C0C9A" w:rsidRDefault="008C0C9A" w:rsidP="008C0C9A">
            <w:pPr>
              <w:spacing w:line="360" w:lineRule="auto"/>
              <w:jc w:val="center"/>
              <w:rPr>
                <w:lang w:val="en-US"/>
              </w:rPr>
            </w:pPr>
          </w:p>
        </w:tc>
        <w:tc>
          <w:tcPr>
            <w:tcW w:w="1288" w:type="dxa"/>
          </w:tcPr>
          <w:p w14:paraId="61D0E815" w14:textId="77777777" w:rsidR="008C0C9A" w:rsidRDefault="008C0C9A" w:rsidP="008C0C9A">
            <w:pPr>
              <w:spacing w:line="360" w:lineRule="auto"/>
              <w:jc w:val="center"/>
              <w:rPr>
                <w:lang w:val="en-US"/>
              </w:rPr>
            </w:pPr>
          </w:p>
        </w:tc>
        <w:tc>
          <w:tcPr>
            <w:tcW w:w="1288" w:type="dxa"/>
          </w:tcPr>
          <w:p w14:paraId="26645EEC" w14:textId="77777777" w:rsidR="008C0C9A" w:rsidRDefault="008C0C9A" w:rsidP="008C0C9A">
            <w:pPr>
              <w:spacing w:line="360" w:lineRule="auto"/>
              <w:jc w:val="center"/>
              <w:rPr>
                <w:lang w:val="en-US"/>
              </w:rPr>
            </w:pPr>
          </w:p>
        </w:tc>
        <w:tc>
          <w:tcPr>
            <w:tcW w:w="1288" w:type="dxa"/>
          </w:tcPr>
          <w:p w14:paraId="739A4FC9" w14:textId="77777777" w:rsidR="008C0C9A" w:rsidRDefault="008C0C9A" w:rsidP="008C0C9A">
            <w:pPr>
              <w:spacing w:line="360" w:lineRule="auto"/>
              <w:jc w:val="center"/>
              <w:rPr>
                <w:lang w:val="en-US"/>
              </w:rPr>
            </w:pPr>
          </w:p>
        </w:tc>
        <w:tc>
          <w:tcPr>
            <w:tcW w:w="1288" w:type="dxa"/>
          </w:tcPr>
          <w:p w14:paraId="01F3B9E0" w14:textId="77777777" w:rsidR="008C0C9A" w:rsidRDefault="008C0C9A" w:rsidP="008C0C9A">
            <w:pPr>
              <w:spacing w:line="360" w:lineRule="auto"/>
              <w:jc w:val="center"/>
              <w:rPr>
                <w:lang w:val="en-US"/>
              </w:rPr>
            </w:pPr>
          </w:p>
        </w:tc>
        <w:tc>
          <w:tcPr>
            <w:tcW w:w="1288" w:type="dxa"/>
          </w:tcPr>
          <w:p w14:paraId="7E2E708E" w14:textId="67E41EF8" w:rsidR="008C0C9A" w:rsidRPr="009608C4" w:rsidRDefault="008C0C9A" w:rsidP="008C0C9A">
            <w:pPr>
              <w:spacing w:line="360" w:lineRule="auto"/>
              <w:jc w:val="center"/>
              <w:rPr>
                <w:b/>
                <w:bCs/>
                <w:lang w:val="en-US"/>
              </w:rPr>
            </w:pPr>
            <w:r>
              <w:rPr>
                <w:b/>
                <w:bCs/>
                <w:lang w:val="en-US"/>
              </w:rPr>
              <w:t>N</w:t>
            </w:r>
            <w:r w:rsidRPr="009608C4">
              <w:rPr>
                <w:b/>
                <w:bCs/>
                <w:lang w:val="en-US"/>
              </w:rPr>
              <w:t>PV</w:t>
            </w:r>
          </w:p>
        </w:tc>
        <w:tc>
          <w:tcPr>
            <w:tcW w:w="1288" w:type="dxa"/>
          </w:tcPr>
          <w:p w14:paraId="56A101E8" w14:textId="2EEE089B" w:rsidR="008C0C9A" w:rsidRPr="009608C4" w:rsidRDefault="008C0C9A" w:rsidP="008C0C9A">
            <w:pPr>
              <w:spacing w:line="360" w:lineRule="auto"/>
              <w:jc w:val="center"/>
              <w:rPr>
                <w:b/>
                <w:bCs/>
                <w:lang w:val="en-US"/>
              </w:rPr>
            </w:pPr>
            <w:r>
              <w:rPr>
                <w:b/>
                <w:bCs/>
                <w:lang w:val="en-US"/>
              </w:rPr>
              <w:t>742</w:t>
            </w:r>
            <w:r w:rsidR="00A80C33">
              <w:rPr>
                <w:b/>
                <w:bCs/>
                <w:lang w:val="en-US"/>
              </w:rPr>
              <w:t>.</w:t>
            </w:r>
            <w:r>
              <w:rPr>
                <w:b/>
                <w:bCs/>
                <w:lang w:val="en-US"/>
              </w:rPr>
              <w:t>4</w:t>
            </w:r>
            <w:r w:rsidR="00FB3A35">
              <w:rPr>
                <w:b/>
                <w:bCs/>
                <w:lang w:val="en-US"/>
              </w:rPr>
              <w:t>75</w:t>
            </w:r>
          </w:p>
        </w:tc>
      </w:tr>
    </w:tbl>
    <w:p w14:paraId="1DCB3849" w14:textId="3BACE287" w:rsidR="00FF3FBD" w:rsidRDefault="00387D1D" w:rsidP="00FF3FBD">
      <w:pPr>
        <w:pStyle w:val="Heading3"/>
        <w:spacing w:line="360" w:lineRule="auto"/>
        <w:rPr>
          <w:rFonts w:ascii="Times New Roman" w:hAnsi="Times New Roman" w:cs="Times New Roman"/>
          <w:b/>
          <w:bCs/>
          <w:sz w:val="24"/>
          <w:szCs w:val="32"/>
          <w:lang w:val="en-US"/>
        </w:rPr>
      </w:pPr>
      <w:bookmarkStart w:id="22" w:name="_Toc224345126"/>
      <w:r>
        <w:rPr>
          <w:rFonts w:ascii="Times New Roman" w:hAnsi="Times New Roman" w:cs="Times New Roman"/>
          <w:b/>
          <w:bCs/>
          <w:sz w:val="24"/>
          <w:szCs w:val="32"/>
          <w:lang w:val="en-US"/>
        </w:rPr>
        <w:t>NPV Recommendations</w:t>
      </w:r>
      <w:bookmarkEnd w:id="22"/>
    </w:p>
    <w:p w14:paraId="0CD5C758" w14:textId="41977771" w:rsidR="003B434F" w:rsidRPr="00FF3FBD" w:rsidRDefault="00484F0A" w:rsidP="00FF3FBD">
      <w:pPr>
        <w:spacing w:line="360" w:lineRule="auto"/>
        <w:rPr>
          <w:lang w:val="en-US"/>
        </w:rPr>
      </w:pPr>
      <w:r>
        <w:rPr>
          <w:lang w:val="en-US"/>
        </w:rPr>
        <w:t>All three of the options generate positive NPVs</w:t>
      </w:r>
      <w:r w:rsidR="004C1043">
        <w:rPr>
          <w:lang w:val="en-US"/>
        </w:rPr>
        <w:t>,</w:t>
      </w:r>
      <w:r>
        <w:rPr>
          <w:lang w:val="en-US"/>
        </w:rPr>
        <w:t xml:space="preserve"> for which only the option with the highest NPV is to be considered. </w:t>
      </w:r>
      <w:r w:rsidR="0029321B">
        <w:rPr>
          <w:lang w:val="en-US"/>
        </w:rPr>
        <w:t>In this regard, only Option B can be considered as its NPV is the highest of the three</w:t>
      </w:r>
      <w:r w:rsidR="004C1043">
        <w:rPr>
          <w:lang w:val="en-US"/>
        </w:rPr>
        <w:t>,</w:t>
      </w:r>
      <w:r w:rsidR="004040BF">
        <w:rPr>
          <w:lang w:val="en-US"/>
        </w:rPr>
        <w:t xml:space="preserve"> with an NPV of 792,228 Pounds. </w:t>
      </w:r>
      <w:r w:rsidR="003B434F">
        <w:rPr>
          <w:lang w:val="en-US"/>
        </w:rPr>
        <w:t xml:space="preserve">Option A requires 600,000 Pounds but only yields about </w:t>
      </w:r>
      <w:r w:rsidR="00FB3A35">
        <w:rPr>
          <w:lang w:val="en-US"/>
        </w:rPr>
        <w:t>6</w:t>
      </w:r>
      <w:r w:rsidR="003B434F">
        <w:rPr>
          <w:lang w:val="en-US"/>
        </w:rPr>
        <w:t>43,165 Pounds and at the same time, Option C requires 1,600,000 Pounds but yields a substantial 742,475 Pounds</w:t>
      </w:r>
      <w:r w:rsidR="00C23548">
        <w:rPr>
          <w:lang w:val="en-US"/>
        </w:rPr>
        <w:t xml:space="preserve"> in return. </w:t>
      </w:r>
      <w:r w:rsidR="000359AC">
        <w:rPr>
          <w:lang w:val="en-US"/>
        </w:rPr>
        <w:t xml:space="preserve">Now, as Option B requires less initial investment than Option C while yielding almost 50,000 Pounds more, </w:t>
      </w:r>
      <w:r w:rsidR="00471125">
        <w:rPr>
          <w:lang w:val="en-US"/>
        </w:rPr>
        <w:t>it is the most optimum choice to undertake.</w:t>
      </w:r>
    </w:p>
    <w:p w14:paraId="24185C9B" w14:textId="1F708058" w:rsidR="00E1734E" w:rsidRDefault="00E1734E" w:rsidP="00137E28">
      <w:pPr>
        <w:pStyle w:val="Heading2"/>
        <w:spacing w:line="360" w:lineRule="auto"/>
        <w:rPr>
          <w:lang w:val="en-US"/>
        </w:rPr>
      </w:pPr>
      <w:bookmarkStart w:id="23" w:name="_Toc224345127"/>
      <w:r>
        <w:rPr>
          <w:lang w:val="en-US"/>
        </w:rPr>
        <w:t>Payback Period Analysis</w:t>
      </w:r>
      <w:bookmarkEnd w:id="23"/>
    </w:p>
    <w:p w14:paraId="1B4ECC83" w14:textId="4D38C16E" w:rsidR="00E1734E" w:rsidRDefault="00137E28" w:rsidP="00137E28">
      <w:pPr>
        <w:spacing w:line="360" w:lineRule="auto"/>
        <w:rPr>
          <w:lang w:val="en-US"/>
        </w:rPr>
      </w:pPr>
      <w:r>
        <w:rPr>
          <w:lang w:val="en-US"/>
        </w:rPr>
        <w:t xml:space="preserve">For the three mutually exclusive projects, </w:t>
      </w:r>
      <w:r w:rsidR="00F61C30">
        <w:rPr>
          <w:lang w:val="en-US"/>
        </w:rPr>
        <w:t xml:space="preserve">the simple payback period will be used now in order to calculate the payback period and understand which project will ensure recovery of initial investment the fastest. </w:t>
      </w:r>
      <w:r w:rsidR="00B8465D">
        <w:rPr>
          <w:lang w:val="en-US"/>
        </w:rPr>
        <w:t xml:space="preserve">This is essential in assessing liquidity and risk involved with a particular project (Dai et al., 2022). </w:t>
      </w:r>
      <w:r w:rsidR="00320420">
        <w:rPr>
          <w:lang w:val="en-US"/>
        </w:rPr>
        <w:t>Now, using the after-tax cash flows from net present value calculations, the simple payback period can be calculated for each of the projects.</w:t>
      </w:r>
    </w:p>
    <w:p w14:paraId="454A9E57" w14:textId="7F4F94F6" w:rsidR="002502FE" w:rsidRDefault="002502FE" w:rsidP="00137E28">
      <w:pPr>
        <w:spacing w:line="360" w:lineRule="auto"/>
        <w:rPr>
          <w:lang w:val="en-US"/>
        </w:rPr>
      </w:pPr>
      <w:r>
        <w:rPr>
          <w:b/>
          <w:bCs/>
          <w:lang w:val="en-US"/>
        </w:rPr>
        <w:t xml:space="preserve">Option A: </w:t>
      </w:r>
      <w:r>
        <w:rPr>
          <w:lang w:val="en-US"/>
        </w:rPr>
        <w:t>It will recover the 600,000 Pounds investment in around 2.</w:t>
      </w:r>
      <w:r w:rsidR="00B6621B">
        <w:rPr>
          <w:lang w:val="en-US"/>
        </w:rPr>
        <w:t>2</w:t>
      </w:r>
      <w:r>
        <w:rPr>
          <w:lang w:val="en-US"/>
        </w:rPr>
        <w:t xml:space="preserve"> years.</w:t>
      </w:r>
    </w:p>
    <w:p w14:paraId="7250B7B4" w14:textId="1B2B0752" w:rsidR="002502FE" w:rsidRPr="002502FE" w:rsidRDefault="002502FE" w:rsidP="002502FE">
      <w:pPr>
        <w:spacing w:line="360" w:lineRule="auto"/>
        <w:rPr>
          <w:lang w:val="en-US"/>
        </w:rPr>
      </w:pPr>
      <w:r>
        <w:rPr>
          <w:b/>
          <w:bCs/>
          <w:lang w:val="en-US"/>
        </w:rPr>
        <w:t xml:space="preserve">Option B: </w:t>
      </w:r>
      <w:r>
        <w:rPr>
          <w:lang w:val="en-US"/>
        </w:rPr>
        <w:t>It will recover the 1,000,000 Pounds investment in around 2.</w:t>
      </w:r>
      <w:r w:rsidR="00B6621B">
        <w:rPr>
          <w:lang w:val="en-US"/>
        </w:rPr>
        <w:t>5</w:t>
      </w:r>
      <w:r>
        <w:rPr>
          <w:lang w:val="en-US"/>
        </w:rPr>
        <w:t xml:space="preserve"> years.</w:t>
      </w:r>
    </w:p>
    <w:p w14:paraId="35EE41C1" w14:textId="08DC8A41" w:rsidR="002502FE" w:rsidRDefault="002502FE" w:rsidP="00137E28">
      <w:pPr>
        <w:spacing w:line="360" w:lineRule="auto"/>
        <w:rPr>
          <w:lang w:val="en-US"/>
        </w:rPr>
      </w:pPr>
      <w:r>
        <w:rPr>
          <w:b/>
          <w:bCs/>
          <w:lang w:val="en-US"/>
        </w:rPr>
        <w:t xml:space="preserve">Option C: </w:t>
      </w:r>
      <w:r>
        <w:rPr>
          <w:lang w:val="en-US"/>
        </w:rPr>
        <w:t>It will recover the 1,600,000 Pounds investment in around 2.8 years.</w:t>
      </w:r>
    </w:p>
    <w:p w14:paraId="7304D25B" w14:textId="5045276E" w:rsidR="00AA3868" w:rsidRDefault="00AA3868" w:rsidP="00137E28">
      <w:pPr>
        <w:spacing w:line="360" w:lineRule="auto"/>
        <w:rPr>
          <w:b/>
          <w:bCs/>
          <w:lang w:val="en-US"/>
        </w:rPr>
      </w:pPr>
      <w:r>
        <w:rPr>
          <w:b/>
          <w:bCs/>
          <w:lang w:val="en-US"/>
        </w:rPr>
        <w:t>Calculations:</w:t>
      </w:r>
    </w:p>
    <w:p w14:paraId="741D144D" w14:textId="61D31519" w:rsidR="00C76543" w:rsidRDefault="00C76543" w:rsidP="00137E28">
      <w:pPr>
        <w:spacing w:line="360" w:lineRule="auto"/>
        <w:rPr>
          <w:b/>
          <w:bCs/>
          <w:lang w:val="en-US"/>
        </w:rPr>
      </w:pPr>
      <w:r>
        <w:rPr>
          <w:b/>
          <w:bCs/>
          <w:lang w:val="en-US"/>
        </w:rPr>
        <w:t>Option A:</w:t>
      </w:r>
    </w:p>
    <w:tbl>
      <w:tblPr>
        <w:tblStyle w:val="TableGrid"/>
        <w:tblW w:w="0" w:type="auto"/>
        <w:tblLook w:val="04A0" w:firstRow="1" w:lastRow="0" w:firstColumn="1" w:lastColumn="0" w:noHBand="0" w:noVBand="1"/>
      </w:tblPr>
      <w:tblGrid>
        <w:gridCol w:w="3005"/>
        <w:gridCol w:w="3005"/>
        <w:gridCol w:w="3006"/>
      </w:tblGrid>
      <w:tr w:rsidR="00C76543" w14:paraId="7E5D766F" w14:textId="77777777" w:rsidTr="00C76543">
        <w:tc>
          <w:tcPr>
            <w:tcW w:w="3005" w:type="dxa"/>
          </w:tcPr>
          <w:p w14:paraId="0E9540B4" w14:textId="61290411" w:rsidR="00C76543" w:rsidRPr="00C76543" w:rsidRDefault="00C76543" w:rsidP="00C76543">
            <w:pPr>
              <w:spacing w:line="360" w:lineRule="auto"/>
              <w:jc w:val="center"/>
              <w:rPr>
                <w:b/>
                <w:bCs/>
                <w:lang w:val="en-US"/>
              </w:rPr>
            </w:pPr>
            <w:r>
              <w:rPr>
                <w:b/>
                <w:bCs/>
                <w:lang w:val="en-US"/>
              </w:rPr>
              <w:t>Year</w:t>
            </w:r>
          </w:p>
        </w:tc>
        <w:tc>
          <w:tcPr>
            <w:tcW w:w="3005" w:type="dxa"/>
          </w:tcPr>
          <w:p w14:paraId="0EDFFC74" w14:textId="10A24A17" w:rsidR="00C76543" w:rsidRPr="00C76543" w:rsidRDefault="00C76543" w:rsidP="00C76543">
            <w:pPr>
              <w:spacing w:line="360" w:lineRule="auto"/>
              <w:jc w:val="center"/>
              <w:rPr>
                <w:b/>
                <w:bCs/>
                <w:lang w:val="en-US"/>
              </w:rPr>
            </w:pPr>
            <w:r>
              <w:rPr>
                <w:b/>
                <w:bCs/>
                <w:lang w:val="en-US"/>
              </w:rPr>
              <w:t>Cash Flow</w:t>
            </w:r>
          </w:p>
        </w:tc>
        <w:tc>
          <w:tcPr>
            <w:tcW w:w="3006" w:type="dxa"/>
          </w:tcPr>
          <w:p w14:paraId="41E4B76C" w14:textId="2EA8DED2" w:rsidR="00C76543" w:rsidRPr="00C76543" w:rsidRDefault="00C76543" w:rsidP="00C76543">
            <w:pPr>
              <w:spacing w:line="360" w:lineRule="auto"/>
              <w:jc w:val="center"/>
              <w:rPr>
                <w:b/>
                <w:bCs/>
                <w:lang w:val="en-US"/>
              </w:rPr>
            </w:pPr>
            <w:r>
              <w:rPr>
                <w:b/>
                <w:bCs/>
                <w:lang w:val="en-US"/>
              </w:rPr>
              <w:t>Cumulative</w:t>
            </w:r>
          </w:p>
        </w:tc>
      </w:tr>
      <w:tr w:rsidR="00C76543" w14:paraId="0857AA0E" w14:textId="77777777" w:rsidTr="00C76543">
        <w:tc>
          <w:tcPr>
            <w:tcW w:w="3005" w:type="dxa"/>
          </w:tcPr>
          <w:p w14:paraId="6295761C" w14:textId="1F78DFA1" w:rsidR="00C76543" w:rsidRDefault="00C76543" w:rsidP="00C76543">
            <w:pPr>
              <w:spacing w:line="360" w:lineRule="auto"/>
              <w:jc w:val="center"/>
              <w:rPr>
                <w:lang w:val="en-US"/>
              </w:rPr>
            </w:pPr>
            <w:r>
              <w:rPr>
                <w:lang w:val="en-US"/>
              </w:rPr>
              <w:t>0</w:t>
            </w:r>
          </w:p>
        </w:tc>
        <w:tc>
          <w:tcPr>
            <w:tcW w:w="3005" w:type="dxa"/>
          </w:tcPr>
          <w:p w14:paraId="1AE0FEB2" w14:textId="68AF190A" w:rsidR="00C76543" w:rsidRDefault="00C76543" w:rsidP="00C76543">
            <w:pPr>
              <w:spacing w:line="360" w:lineRule="auto"/>
              <w:jc w:val="center"/>
              <w:rPr>
                <w:lang w:val="en-US"/>
              </w:rPr>
            </w:pPr>
            <w:r>
              <w:rPr>
                <w:lang w:val="en-US"/>
              </w:rPr>
              <w:t>(600,000)</w:t>
            </w:r>
          </w:p>
        </w:tc>
        <w:tc>
          <w:tcPr>
            <w:tcW w:w="3006" w:type="dxa"/>
          </w:tcPr>
          <w:p w14:paraId="4497A311" w14:textId="6E7B7805" w:rsidR="00C76543" w:rsidRDefault="00C76543" w:rsidP="00C76543">
            <w:pPr>
              <w:spacing w:line="360" w:lineRule="auto"/>
              <w:jc w:val="center"/>
              <w:rPr>
                <w:lang w:val="en-US"/>
              </w:rPr>
            </w:pPr>
            <w:r>
              <w:rPr>
                <w:lang w:val="en-US"/>
              </w:rPr>
              <w:t>(600,000)</w:t>
            </w:r>
          </w:p>
        </w:tc>
      </w:tr>
      <w:tr w:rsidR="00C76543" w14:paraId="33DA7D2B" w14:textId="77777777" w:rsidTr="00C76543">
        <w:tc>
          <w:tcPr>
            <w:tcW w:w="3005" w:type="dxa"/>
          </w:tcPr>
          <w:p w14:paraId="26239DA0" w14:textId="7B27E5F2" w:rsidR="00C76543" w:rsidRDefault="00C76543" w:rsidP="00C76543">
            <w:pPr>
              <w:spacing w:line="360" w:lineRule="auto"/>
              <w:jc w:val="center"/>
              <w:rPr>
                <w:lang w:val="en-US"/>
              </w:rPr>
            </w:pPr>
            <w:r>
              <w:rPr>
                <w:lang w:val="en-US"/>
              </w:rPr>
              <w:t>1</w:t>
            </w:r>
          </w:p>
        </w:tc>
        <w:tc>
          <w:tcPr>
            <w:tcW w:w="3005" w:type="dxa"/>
          </w:tcPr>
          <w:p w14:paraId="3F62C1FD" w14:textId="2E188B90" w:rsidR="00C76543" w:rsidRDefault="00C76543" w:rsidP="00C76543">
            <w:pPr>
              <w:spacing w:line="360" w:lineRule="auto"/>
              <w:jc w:val="center"/>
              <w:rPr>
                <w:lang w:val="en-US"/>
              </w:rPr>
            </w:pPr>
            <w:r>
              <w:rPr>
                <w:lang w:val="en-US"/>
              </w:rPr>
              <w:t>180,000</w:t>
            </w:r>
          </w:p>
        </w:tc>
        <w:tc>
          <w:tcPr>
            <w:tcW w:w="3006" w:type="dxa"/>
          </w:tcPr>
          <w:p w14:paraId="4AB8EFF6" w14:textId="360620D1" w:rsidR="00C76543" w:rsidRDefault="00C76543" w:rsidP="00C76543">
            <w:pPr>
              <w:spacing w:line="360" w:lineRule="auto"/>
              <w:jc w:val="center"/>
              <w:rPr>
                <w:lang w:val="en-US"/>
              </w:rPr>
            </w:pPr>
            <w:r>
              <w:rPr>
                <w:lang w:val="en-US"/>
              </w:rPr>
              <w:t>(420,000)</w:t>
            </w:r>
          </w:p>
        </w:tc>
      </w:tr>
      <w:tr w:rsidR="00C76543" w14:paraId="3B2814C3" w14:textId="77777777" w:rsidTr="00C76543">
        <w:tc>
          <w:tcPr>
            <w:tcW w:w="3005" w:type="dxa"/>
          </w:tcPr>
          <w:p w14:paraId="6000BB6D" w14:textId="44AD798A" w:rsidR="00C76543" w:rsidRDefault="00C76543" w:rsidP="00C76543">
            <w:pPr>
              <w:spacing w:line="360" w:lineRule="auto"/>
              <w:jc w:val="center"/>
              <w:rPr>
                <w:lang w:val="en-US"/>
              </w:rPr>
            </w:pPr>
            <w:r>
              <w:rPr>
                <w:lang w:val="en-US"/>
              </w:rPr>
              <w:t>2</w:t>
            </w:r>
          </w:p>
        </w:tc>
        <w:tc>
          <w:tcPr>
            <w:tcW w:w="3005" w:type="dxa"/>
          </w:tcPr>
          <w:p w14:paraId="17233884" w14:textId="6B8B4CB6" w:rsidR="00C76543" w:rsidRDefault="00C76543" w:rsidP="00C76543">
            <w:pPr>
              <w:spacing w:line="360" w:lineRule="auto"/>
              <w:jc w:val="center"/>
              <w:rPr>
                <w:lang w:val="en-US"/>
              </w:rPr>
            </w:pPr>
            <w:r>
              <w:rPr>
                <w:lang w:val="en-US"/>
              </w:rPr>
              <w:t>330,000</w:t>
            </w:r>
          </w:p>
        </w:tc>
        <w:tc>
          <w:tcPr>
            <w:tcW w:w="3006" w:type="dxa"/>
          </w:tcPr>
          <w:p w14:paraId="3D3BD35B" w14:textId="7F7D0EA0" w:rsidR="00C76543" w:rsidRDefault="00C76543" w:rsidP="00C76543">
            <w:pPr>
              <w:spacing w:line="360" w:lineRule="auto"/>
              <w:jc w:val="center"/>
              <w:rPr>
                <w:lang w:val="en-US"/>
              </w:rPr>
            </w:pPr>
            <w:r>
              <w:rPr>
                <w:lang w:val="en-US"/>
              </w:rPr>
              <w:t>(90,000)</w:t>
            </w:r>
          </w:p>
        </w:tc>
      </w:tr>
      <w:tr w:rsidR="00C76543" w14:paraId="576136EF" w14:textId="77777777" w:rsidTr="00C76543">
        <w:tc>
          <w:tcPr>
            <w:tcW w:w="3005" w:type="dxa"/>
          </w:tcPr>
          <w:p w14:paraId="0BB15A5B" w14:textId="4E1C6A17" w:rsidR="00C76543" w:rsidRDefault="00C76543" w:rsidP="00C76543">
            <w:pPr>
              <w:spacing w:line="360" w:lineRule="auto"/>
              <w:jc w:val="center"/>
              <w:rPr>
                <w:lang w:val="en-US"/>
              </w:rPr>
            </w:pPr>
            <w:r>
              <w:rPr>
                <w:lang w:val="en-US"/>
              </w:rPr>
              <w:t>3</w:t>
            </w:r>
          </w:p>
        </w:tc>
        <w:tc>
          <w:tcPr>
            <w:tcW w:w="3005" w:type="dxa"/>
          </w:tcPr>
          <w:p w14:paraId="2DE3FC8C" w14:textId="00AB4A22" w:rsidR="00C76543" w:rsidRDefault="00C76543" w:rsidP="00C76543">
            <w:pPr>
              <w:spacing w:line="360" w:lineRule="auto"/>
              <w:jc w:val="center"/>
              <w:rPr>
                <w:lang w:val="en-US"/>
              </w:rPr>
            </w:pPr>
            <w:r>
              <w:rPr>
                <w:lang w:val="en-US"/>
              </w:rPr>
              <w:t>405,000</w:t>
            </w:r>
          </w:p>
        </w:tc>
        <w:tc>
          <w:tcPr>
            <w:tcW w:w="3006" w:type="dxa"/>
          </w:tcPr>
          <w:p w14:paraId="1E5C5623" w14:textId="5CE8ACCF" w:rsidR="00C76543" w:rsidRDefault="00C76543" w:rsidP="00C76543">
            <w:pPr>
              <w:spacing w:line="360" w:lineRule="auto"/>
              <w:jc w:val="center"/>
              <w:rPr>
                <w:lang w:val="en-US"/>
              </w:rPr>
            </w:pPr>
            <w:r>
              <w:rPr>
                <w:lang w:val="en-US"/>
              </w:rPr>
              <w:t>315,000</w:t>
            </w:r>
          </w:p>
        </w:tc>
      </w:tr>
    </w:tbl>
    <w:p w14:paraId="46F5C5E9" w14:textId="5DEA4632" w:rsidR="00C76543" w:rsidRPr="00C76543" w:rsidRDefault="00C76543" w:rsidP="00137E28">
      <w:pPr>
        <w:spacing w:line="360" w:lineRule="auto"/>
        <w:rPr>
          <w:lang w:val="en-US"/>
        </w:rPr>
      </w:pPr>
      <w:r>
        <w:rPr>
          <w:lang w:val="en-US"/>
        </w:rPr>
        <w:t>Payback Period = 2 + (90,000 / 405,000) = 2.2</w:t>
      </w:r>
    </w:p>
    <w:p w14:paraId="7E4E35B5" w14:textId="4647AE47" w:rsidR="00AA3868" w:rsidRPr="00C76543" w:rsidRDefault="00C76543" w:rsidP="00137E28">
      <w:pPr>
        <w:spacing w:line="360" w:lineRule="auto"/>
        <w:rPr>
          <w:b/>
          <w:bCs/>
          <w:lang w:val="en-US"/>
        </w:rPr>
      </w:pPr>
      <w:r>
        <w:rPr>
          <w:b/>
          <w:bCs/>
          <w:lang w:val="en-US"/>
        </w:rPr>
        <w:t>Option B:</w:t>
      </w:r>
    </w:p>
    <w:tbl>
      <w:tblPr>
        <w:tblStyle w:val="TableGrid"/>
        <w:tblW w:w="0" w:type="auto"/>
        <w:tblLook w:val="04A0" w:firstRow="1" w:lastRow="0" w:firstColumn="1" w:lastColumn="0" w:noHBand="0" w:noVBand="1"/>
      </w:tblPr>
      <w:tblGrid>
        <w:gridCol w:w="3005"/>
        <w:gridCol w:w="3005"/>
        <w:gridCol w:w="3006"/>
      </w:tblGrid>
      <w:tr w:rsidR="00C76543" w:rsidRPr="00C76543" w14:paraId="72DDBBF0" w14:textId="77777777" w:rsidTr="008E5A78">
        <w:tc>
          <w:tcPr>
            <w:tcW w:w="3005" w:type="dxa"/>
          </w:tcPr>
          <w:p w14:paraId="78703326" w14:textId="77777777" w:rsidR="00C76543" w:rsidRPr="00C76543" w:rsidRDefault="00C76543" w:rsidP="008E5A78">
            <w:pPr>
              <w:spacing w:line="360" w:lineRule="auto"/>
              <w:jc w:val="center"/>
              <w:rPr>
                <w:b/>
                <w:bCs/>
                <w:lang w:val="en-US"/>
              </w:rPr>
            </w:pPr>
            <w:r>
              <w:rPr>
                <w:b/>
                <w:bCs/>
                <w:lang w:val="en-US"/>
              </w:rPr>
              <w:t>Year</w:t>
            </w:r>
          </w:p>
        </w:tc>
        <w:tc>
          <w:tcPr>
            <w:tcW w:w="3005" w:type="dxa"/>
          </w:tcPr>
          <w:p w14:paraId="03673736" w14:textId="77777777" w:rsidR="00C76543" w:rsidRPr="00C76543" w:rsidRDefault="00C76543" w:rsidP="008E5A78">
            <w:pPr>
              <w:spacing w:line="360" w:lineRule="auto"/>
              <w:jc w:val="center"/>
              <w:rPr>
                <w:b/>
                <w:bCs/>
                <w:lang w:val="en-US"/>
              </w:rPr>
            </w:pPr>
            <w:r>
              <w:rPr>
                <w:b/>
                <w:bCs/>
                <w:lang w:val="en-US"/>
              </w:rPr>
              <w:t>Cash Flow</w:t>
            </w:r>
          </w:p>
        </w:tc>
        <w:tc>
          <w:tcPr>
            <w:tcW w:w="3006" w:type="dxa"/>
          </w:tcPr>
          <w:p w14:paraId="29BDD694" w14:textId="77777777" w:rsidR="00C76543" w:rsidRPr="00C76543" w:rsidRDefault="00C76543" w:rsidP="008E5A78">
            <w:pPr>
              <w:spacing w:line="360" w:lineRule="auto"/>
              <w:jc w:val="center"/>
              <w:rPr>
                <w:b/>
                <w:bCs/>
                <w:lang w:val="en-US"/>
              </w:rPr>
            </w:pPr>
            <w:r>
              <w:rPr>
                <w:b/>
                <w:bCs/>
                <w:lang w:val="en-US"/>
              </w:rPr>
              <w:t>Cumulative</w:t>
            </w:r>
          </w:p>
        </w:tc>
      </w:tr>
      <w:tr w:rsidR="00C76543" w14:paraId="41FDE288" w14:textId="77777777" w:rsidTr="008E5A78">
        <w:tc>
          <w:tcPr>
            <w:tcW w:w="3005" w:type="dxa"/>
          </w:tcPr>
          <w:p w14:paraId="3F7FCDAA" w14:textId="77777777" w:rsidR="00C76543" w:rsidRDefault="00C76543" w:rsidP="008E5A78">
            <w:pPr>
              <w:spacing w:line="360" w:lineRule="auto"/>
              <w:jc w:val="center"/>
              <w:rPr>
                <w:lang w:val="en-US"/>
              </w:rPr>
            </w:pPr>
            <w:r>
              <w:rPr>
                <w:lang w:val="en-US"/>
              </w:rPr>
              <w:t>0</w:t>
            </w:r>
          </w:p>
        </w:tc>
        <w:tc>
          <w:tcPr>
            <w:tcW w:w="3005" w:type="dxa"/>
          </w:tcPr>
          <w:p w14:paraId="2501C6C1" w14:textId="133652A4" w:rsidR="00C76543" w:rsidRDefault="00C76543" w:rsidP="008E5A78">
            <w:pPr>
              <w:spacing w:line="360" w:lineRule="auto"/>
              <w:jc w:val="center"/>
              <w:rPr>
                <w:lang w:val="en-US"/>
              </w:rPr>
            </w:pPr>
            <w:r>
              <w:rPr>
                <w:lang w:val="en-US"/>
              </w:rPr>
              <w:t>(1,000,000)</w:t>
            </w:r>
          </w:p>
        </w:tc>
        <w:tc>
          <w:tcPr>
            <w:tcW w:w="3006" w:type="dxa"/>
          </w:tcPr>
          <w:p w14:paraId="5032A557" w14:textId="7A0D91FC" w:rsidR="00C76543" w:rsidRDefault="00C76543" w:rsidP="008E5A78">
            <w:pPr>
              <w:spacing w:line="360" w:lineRule="auto"/>
              <w:jc w:val="center"/>
              <w:rPr>
                <w:lang w:val="en-US"/>
              </w:rPr>
            </w:pPr>
            <w:r>
              <w:rPr>
                <w:lang w:val="en-US"/>
              </w:rPr>
              <w:t>(1,000,000)</w:t>
            </w:r>
          </w:p>
        </w:tc>
      </w:tr>
      <w:tr w:rsidR="00C76543" w14:paraId="7666C723" w14:textId="77777777" w:rsidTr="008E5A78">
        <w:tc>
          <w:tcPr>
            <w:tcW w:w="3005" w:type="dxa"/>
          </w:tcPr>
          <w:p w14:paraId="43E852C6" w14:textId="77777777" w:rsidR="00C76543" w:rsidRDefault="00C76543" w:rsidP="008E5A78">
            <w:pPr>
              <w:spacing w:line="360" w:lineRule="auto"/>
              <w:jc w:val="center"/>
              <w:rPr>
                <w:lang w:val="en-US"/>
              </w:rPr>
            </w:pPr>
            <w:r>
              <w:rPr>
                <w:lang w:val="en-US"/>
              </w:rPr>
              <w:t>1</w:t>
            </w:r>
          </w:p>
        </w:tc>
        <w:tc>
          <w:tcPr>
            <w:tcW w:w="3005" w:type="dxa"/>
          </w:tcPr>
          <w:p w14:paraId="42BC47D4" w14:textId="2A56B7C9" w:rsidR="00C76543" w:rsidRDefault="00C76543" w:rsidP="008E5A78">
            <w:pPr>
              <w:spacing w:line="360" w:lineRule="auto"/>
              <w:jc w:val="center"/>
              <w:rPr>
                <w:lang w:val="en-US"/>
              </w:rPr>
            </w:pPr>
            <w:r>
              <w:rPr>
                <w:lang w:val="en-US"/>
              </w:rPr>
              <w:t>350,000</w:t>
            </w:r>
          </w:p>
        </w:tc>
        <w:tc>
          <w:tcPr>
            <w:tcW w:w="3006" w:type="dxa"/>
          </w:tcPr>
          <w:p w14:paraId="4C1C57F2" w14:textId="2787E7A9" w:rsidR="00C76543" w:rsidRDefault="00C76543" w:rsidP="008E5A78">
            <w:pPr>
              <w:spacing w:line="360" w:lineRule="auto"/>
              <w:jc w:val="center"/>
              <w:rPr>
                <w:lang w:val="en-US"/>
              </w:rPr>
            </w:pPr>
            <w:r>
              <w:rPr>
                <w:lang w:val="en-US"/>
              </w:rPr>
              <w:t>(650,000)</w:t>
            </w:r>
          </w:p>
        </w:tc>
      </w:tr>
      <w:tr w:rsidR="00C76543" w14:paraId="0455260C" w14:textId="77777777" w:rsidTr="008E5A78">
        <w:tc>
          <w:tcPr>
            <w:tcW w:w="3005" w:type="dxa"/>
          </w:tcPr>
          <w:p w14:paraId="5FF27CF4" w14:textId="77777777" w:rsidR="00C76543" w:rsidRDefault="00C76543" w:rsidP="008E5A78">
            <w:pPr>
              <w:spacing w:line="360" w:lineRule="auto"/>
              <w:jc w:val="center"/>
              <w:rPr>
                <w:lang w:val="en-US"/>
              </w:rPr>
            </w:pPr>
            <w:r>
              <w:rPr>
                <w:lang w:val="en-US"/>
              </w:rPr>
              <w:t>2</w:t>
            </w:r>
          </w:p>
        </w:tc>
        <w:tc>
          <w:tcPr>
            <w:tcW w:w="3005" w:type="dxa"/>
          </w:tcPr>
          <w:p w14:paraId="74B08490" w14:textId="12AC08AB" w:rsidR="00C76543" w:rsidRDefault="00C76543" w:rsidP="008E5A78">
            <w:pPr>
              <w:spacing w:line="360" w:lineRule="auto"/>
              <w:jc w:val="center"/>
              <w:rPr>
                <w:lang w:val="en-US"/>
              </w:rPr>
            </w:pPr>
            <w:r>
              <w:rPr>
                <w:lang w:val="en-US"/>
              </w:rPr>
              <w:t>387,500</w:t>
            </w:r>
          </w:p>
        </w:tc>
        <w:tc>
          <w:tcPr>
            <w:tcW w:w="3006" w:type="dxa"/>
          </w:tcPr>
          <w:p w14:paraId="32DA860B" w14:textId="4396B681" w:rsidR="00C76543" w:rsidRDefault="00C76543" w:rsidP="008E5A78">
            <w:pPr>
              <w:spacing w:line="360" w:lineRule="auto"/>
              <w:jc w:val="center"/>
              <w:rPr>
                <w:lang w:val="en-US"/>
              </w:rPr>
            </w:pPr>
            <w:r>
              <w:rPr>
                <w:lang w:val="en-US"/>
              </w:rPr>
              <w:t>(262,500)</w:t>
            </w:r>
          </w:p>
        </w:tc>
      </w:tr>
      <w:tr w:rsidR="00C76543" w14:paraId="73B85608" w14:textId="77777777" w:rsidTr="008E5A78">
        <w:tc>
          <w:tcPr>
            <w:tcW w:w="3005" w:type="dxa"/>
          </w:tcPr>
          <w:p w14:paraId="51A149DD" w14:textId="77777777" w:rsidR="00C76543" w:rsidRDefault="00C76543" w:rsidP="008E5A78">
            <w:pPr>
              <w:spacing w:line="360" w:lineRule="auto"/>
              <w:jc w:val="center"/>
              <w:rPr>
                <w:lang w:val="en-US"/>
              </w:rPr>
            </w:pPr>
            <w:r>
              <w:rPr>
                <w:lang w:val="en-US"/>
              </w:rPr>
              <w:t>3</w:t>
            </w:r>
          </w:p>
        </w:tc>
        <w:tc>
          <w:tcPr>
            <w:tcW w:w="3005" w:type="dxa"/>
          </w:tcPr>
          <w:p w14:paraId="339B8345" w14:textId="0B61E025" w:rsidR="00C76543" w:rsidRDefault="00C76543" w:rsidP="008E5A78">
            <w:pPr>
              <w:spacing w:line="360" w:lineRule="auto"/>
              <w:jc w:val="center"/>
              <w:rPr>
                <w:lang w:val="en-US"/>
              </w:rPr>
            </w:pPr>
            <w:r>
              <w:rPr>
                <w:lang w:val="en-US"/>
              </w:rPr>
              <w:t>590,000</w:t>
            </w:r>
          </w:p>
        </w:tc>
        <w:tc>
          <w:tcPr>
            <w:tcW w:w="3006" w:type="dxa"/>
          </w:tcPr>
          <w:p w14:paraId="7007BBB1" w14:textId="08264458" w:rsidR="00C76543" w:rsidRDefault="00C76543" w:rsidP="008E5A78">
            <w:pPr>
              <w:spacing w:line="360" w:lineRule="auto"/>
              <w:jc w:val="center"/>
              <w:rPr>
                <w:lang w:val="en-US"/>
              </w:rPr>
            </w:pPr>
            <w:r>
              <w:rPr>
                <w:lang w:val="en-US"/>
              </w:rPr>
              <w:t>327,500</w:t>
            </w:r>
          </w:p>
        </w:tc>
      </w:tr>
    </w:tbl>
    <w:p w14:paraId="760CE842" w14:textId="56AE3B73" w:rsidR="00C76543" w:rsidRPr="00C76543" w:rsidRDefault="00C76543" w:rsidP="00137E28">
      <w:pPr>
        <w:spacing w:line="360" w:lineRule="auto"/>
        <w:rPr>
          <w:lang w:val="en-US"/>
        </w:rPr>
      </w:pPr>
      <w:r>
        <w:rPr>
          <w:lang w:val="en-US"/>
        </w:rPr>
        <w:t>Payback Period = 2 + (262,500 / 590,000) = 2.5</w:t>
      </w:r>
    </w:p>
    <w:p w14:paraId="406B88E9" w14:textId="44E0904E" w:rsidR="00C76543" w:rsidRPr="00C76543" w:rsidRDefault="00C76543" w:rsidP="00137E28">
      <w:pPr>
        <w:spacing w:line="360" w:lineRule="auto"/>
        <w:rPr>
          <w:b/>
          <w:bCs/>
          <w:lang w:val="en-US"/>
        </w:rPr>
      </w:pPr>
      <w:r>
        <w:rPr>
          <w:b/>
          <w:bCs/>
          <w:lang w:val="en-US"/>
        </w:rPr>
        <w:t>Option C:</w:t>
      </w:r>
    </w:p>
    <w:tbl>
      <w:tblPr>
        <w:tblStyle w:val="TableGrid"/>
        <w:tblW w:w="0" w:type="auto"/>
        <w:tblLook w:val="04A0" w:firstRow="1" w:lastRow="0" w:firstColumn="1" w:lastColumn="0" w:noHBand="0" w:noVBand="1"/>
      </w:tblPr>
      <w:tblGrid>
        <w:gridCol w:w="3005"/>
        <w:gridCol w:w="3005"/>
        <w:gridCol w:w="3006"/>
      </w:tblGrid>
      <w:tr w:rsidR="00C76543" w:rsidRPr="00C76543" w14:paraId="7B89230A" w14:textId="77777777" w:rsidTr="008E5A78">
        <w:tc>
          <w:tcPr>
            <w:tcW w:w="3005" w:type="dxa"/>
          </w:tcPr>
          <w:p w14:paraId="06CB98EA" w14:textId="77777777" w:rsidR="00C76543" w:rsidRPr="00C76543" w:rsidRDefault="00C76543" w:rsidP="008E5A78">
            <w:pPr>
              <w:spacing w:line="360" w:lineRule="auto"/>
              <w:jc w:val="center"/>
              <w:rPr>
                <w:b/>
                <w:bCs/>
                <w:lang w:val="en-US"/>
              </w:rPr>
            </w:pPr>
            <w:r>
              <w:rPr>
                <w:b/>
                <w:bCs/>
                <w:lang w:val="en-US"/>
              </w:rPr>
              <w:t>Year</w:t>
            </w:r>
          </w:p>
        </w:tc>
        <w:tc>
          <w:tcPr>
            <w:tcW w:w="3005" w:type="dxa"/>
          </w:tcPr>
          <w:p w14:paraId="4BB5F930" w14:textId="77777777" w:rsidR="00C76543" w:rsidRPr="00C76543" w:rsidRDefault="00C76543" w:rsidP="008E5A78">
            <w:pPr>
              <w:spacing w:line="360" w:lineRule="auto"/>
              <w:jc w:val="center"/>
              <w:rPr>
                <w:b/>
                <w:bCs/>
                <w:lang w:val="en-US"/>
              </w:rPr>
            </w:pPr>
            <w:r>
              <w:rPr>
                <w:b/>
                <w:bCs/>
                <w:lang w:val="en-US"/>
              </w:rPr>
              <w:t>Cash Flow</w:t>
            </w:r>
          </w:p>
        </w:tc>
        <w:tc>
          <w:tcPr>
            <w:tcW w:w="3006" w:type="dxa"/>
          </w:tcPr>
          <w:p w14:paraId="1F257869" w14:textId="77777777" w:rsidR="00C76543" w:rsidRPr="00C76543" w:rsidRDefault="00C76543" w:rsidP="008E5A78">
            <w:pPr>
              <w:spacing w:line="360" w:lineRule="auto"/>
              <w:jc w:val="center"/>
              <w:rPr>
                <w:b/>
                <w:bCs/>
                <w:lang w:val="en-US"/>
              </w:rPr>
            </w:pPr>
            <w:r>
              <w:rPr>
                <w:b/>
                <w:bCs/>
                <w:lang w:val="en-US"/>
              </w:rPr>
              <w:t>Cumulative</w:t>
            </w:r>
          </w:p>
        </w:tc>
      </w:tr>
      <w:tr w:rsidR="00C76543" w14:paraId="429869B5" w14:textId="77777777" w:rsidTr="008E5A78">
        <w:tc>
          <w:tcPr>
            <w:tcW w:w="3005" w:type="dxa"/>
          </w:tcPr>
          <w:p w14:paraId="57124119" w14:textId="77777777" w:rsidR="00C76543" w:rsidRDefault="00C76543" w:rsidP="008E5A78">
            <w:pPr>
              <w:spacing w:line="360" w:lineRule="auto"/>
              <w:jc w:val="center"/>
              <w:rPr>
                <w:lang w:val="en-US"/>
              </w:rPr>
            </w:pPr>
            <w:r>
              <w:rPr>
                <w:lang w:val="en-US"/>
              </w:rPr>
              <w:t>0</w:t>
            </w:r>
          </w:p>
        </w:tc>
        <w:tc>
          <w:tcPr>
            <w:tcW w:w="3005" w:type="dxa"/>
          </w:tcPr>
          <w:p w14:paraId="72584FB2" w14:textId="26C5F642" w:rsidR="00C76543" w:rsidRDefault="00C76543" w:rsidP="008E5A78">
            <w:pPr>
              <w:spacing w:line="360" w:lineRule="auto"/>
              <w:jc w:val="center"/>
              <w:rPr>
                <w:lang w:val="en-US"/>
              </w:rPr>
            </w:pPr>
            <w:r>
              <w:rPr>
                <w:lang w:val="en-US"/>
              </w:rPr>
              <w:t>(1,600,000)</w:t>
            </w:r>
          </w:p>
        </w:tc>
        <w:tc>
          <w:tcPr>
            <w:tcW w:w="3006" w:type="dxa"/>
          </w:tcPr>
          <w:p w14:paraId="40F643EB" w14:textId="2572E982" w:rsidR="00C76543" w:rsidRDefault="00C76543" w:rsidP="008E5A78">
            <w:pPr>
              <w:spacing w:line="360" w:lineRule="auto"/>
              <w:jc w:val="center"/>
              <w:rPr>
                <w:lang w:val="en-US"/>
              </w:rPr>
            </w:pPr>
            <w:r>
              <w:rPr>
                <w:lang w:val="en-US"/>
              </w:rPr>
              <w:t>(1,600,000)</w:t>
            </w:r>
          </w:p>
        </w:tc>
      </w:tr>
      <w:tr w:rsidR="00C76543" w14:paraId="0702D00A" w14:textId="77777777" w:rsidTr="008E5A78">
        <w:tc>
          <w:tcPr>
            <w:tcW w:w="3005" w:type="dxa"/>
          </w:tcPr>
          <w:p w14:paraId="6C1C2EB3" w14:textId="77777777" w:rsidR="00C76543" w:rsidRDefault="00C76543" w:rsidP="008E5A78">
            <w:pPr>
              <w:spacing w:line="360" w:lineRule="auto"/>
              <w:jc w:val="center"/>
              <w:rPr>
                <w:lang w:val="en-US"/>
              </w:rPr>
            </w:pPr>
            <w:r>
              <w:rPr>
                <w:lang w:val="en-US"/>
              </w:rPr>
              <w:t>1</w:t>
            </w:r>
          </w:p>
        </w:tc>
        <w:tc>
          <w:tcPr>
            <w:tcW w:w="3005" w:type="dxa"/>
          </w:tcPr>
          <w:p w14:paraId="10388317" w14:textId="1839E32A" w:rsidR="00C76543" w:rsidRDefault="00C76543" w:rsidP="008E5A78">
            <w:pPr>
              <w:spacing w:line="360" w:lineRule="auto"/>
              <w:jc w:val="center"/>
              <w:rPr>
                <w:lang w:val="en-US"/>
              </w:rPr>
            </w:pPr>
            <w:r>
              <w:rPr>
                <w:lang w:val="en-US"/>
              </w:rPr>
              <w:t>417,500</w:t>
            </w:r>
          </w:p>
        </w:tc>
        <w:tc>
          <w:tcPr>
            <w:tcW w:w="3006" w:type="dxa"/>
          </w:tcPr>
          <w:p w14:paraId="6309B8C9" w14:textId="50764093" w:rsidR="00C76543" w:rsidRDefault="00C76543" w:rsidP="008E5A78">
            <w:pPr>
              <w:spacing w:line="360" w:lineRule="auto"/>
              <w:jc w:val="center"/>
              <w:rPr>
                <w:lang w:val="en-US"/>
              </w:rPr>
            </w:pPr>
            <w:r>
              <w:rPr>
                <w:lang w:val="en-US"/>
              </w:rPr>
              <w:t>(1,182,500)</w:t>
            </w:r>
          </w:p>
        </w:tc>
      </w:tr>
      <w:tr w:rsidR="00C76543" w14:paraId="5C40153F" w14:textId="77777777" w:rsidTr="008E5A78">
        <w:tc>
          <w:tcPr>
            <w:tcW w:w="3005" w:type="dxa"/>
          </w:tcPr>
          <w:p w14:paraId="11F3BB05" w14:textId="77777777" w:rsidR="00C76543" w:rsidRDefault="00C76543" w:rsidP="008E5A78">
            <w:pPr>
              <w:spacing w:line="360" w:lineRule="auto"/>
              <w:jc w:val="center"/>
              <w:rPr>
                <w:lang w:val="en-US"/>
              </w:rPr>
            </w:pPr>
            <w:r>
              <w:rPr>
                <w:lang w:val="en-US"/>
              </w:rPr>
              <w:t>2</w:t>
            </w:r>
          </w:p>
        </w:tc>
        <w:tc>
          <w:tcPr>
            <w:tcW w:w="3005" w:type="dxa"/>
          </w:tcPr>
          <w:p w14:paraId="4E5A68CF" w14:textId="7D57D1CB" w:rsidR="00C76543" w:rsidRDefault="00C76543" w:rsidP="008E5A78">
            <w:pPr>
              <w:spacing w:line="360" w:lineRule="auto"/>
              <w:jc w:val="center"/>
              <w:rPr>
                <w:lang w:val="en-US"/>
              </w:rPr>
            </w:pPr>
            <w:r>
              <w:rPr>
                <w:lang w:val="en-US"/>
              </w:rPr>
              <w:t>605,000</w:t>
            </w:r>
          </w:p>
        </w:tc>
        <w:tc>
          <w:tcPr>
            <w:tcW w:w="3006" w:type="dxa"/>
          </w:tcPr>
          <w:p w14:paraId="7D73BDAA" w14:textId="4DE98074" w:rsidR="00C76543" w:rsidRDefault="00C76543" w:rsidP="008E5A78">
            <w:pPr>
              <w:spacing w:line="360" w:lineRule="auto"/>
              <w:jc w:val="center"/>
              <w:rPr>
                <w:lang w:val="en-US"/>
              </w:rPr>
            </w:pPr>
            <w:r>
              <w:rPr>
                <w:lang w:val="en-US"/>
              </w:rPr>
              <w:t>(577,500)</w:t>
            </w:r>
          </w:p>
        </w:tc>
      </w:tr>
      <w:tr w:rsidR="00C76543" w14:paraId="6B87DF01" w14:textId="77777777" w:rsidTr="008E5A78">
        <w:tc>
          <w:tcPr>
            <w:tcW w:w="3005" w:type="dxa"/>
          </w:tcPr>
          <w:p w14:paraId="217C00B5" w14:textId="77777777" w:rsidR="00C76543" w:rsidRDefault="00C76543" w:rsidP="008E5A78">
            <w:pPr>
              <w:spacing w:line="360" w:lineRule="auto"/>
              <w:jc w:val="center"/>
              <w:rPr>
                <w:lang w:val="en-US"/>
              </w:rPr>
            </w:pPr>
            <w:r>
              <w:rPr>
                <w:lang w:val="en-US"/>
              </w:rPr>
              <w:t>3</w:t>
            </w:r>
          </w:p>
        </w:tc>
        <w:tc>
          <w:tcPr>
            <w:tcW w:w="3005" w:type="dxa"/>
          </w:tcPr>
          <w:p w14:paraId="2D33EC08" w14:textId="11CB6A45" w:rsidR="00C76543" w:rsidRDefault="00C76543" w:rsidP="008E5A78">
            <w:pPr>
              <w:spacing w:line="360" w:lineRule="auto"/>
              <w:jc w:val="center"/>
              <w:rPr>
                <w:lang w:val="en-US"/>
              </w:rPr>
            </w:pPr>
            <w:r>
              <w:rPr>
                <w:lang w:val="en-US"/>
              </w:rPr>
              <w:t>755,000</w:t>
            </w:r>
          </w:p>
        </w:tc>
        <w:tc>
          <w:tcPr>
            <w:tcW w:w="3006" w:type="dxa"/>
          </w:tcPr>
          <w:p w14:paraId="3BF2C54D" w14:textId="49C11788" w:rsidR="00C76543" w:rsidRDefault="00C76543" w:rsidP="008E5A78">
            <w:pPr>
              <w:spacing w:line="360" w:lineRule="auto"/>
              <w:jc w:val="center"/>
              <w:rPr>
                <w:lang w:val="en-US"/>
              </w:rPr>
            </w:pPr>
            <w:r>
              <w:rPr>
                <w:lang w:val="en-US"/>
              </w:rPr>
              <w:t>177,500</w:t>
            </w:r>
          </w:p>
        </w:tc>
      </w:tr>
    </w:tbl>
    <w:p w14:paraId="7AF792E7" w14:textId="0245F60C" w:rsidR="00C76543" w:rsidRPr="00AA3868" w:rsidRDefault="00C76543" w:rsidP="00137E28">
      <w:pPr>
        <w:spacing w:line="360" w:lineRule="auto"/>
        <w:rPr>
          <w:lang w:val="en-US"/>
        </w:rPr>
      </w:pPr>
      <w:r>
        <w:rPr>
          <w:lang w:val="en-US"/>
        </w:rPr>
        <w:t>Payback Period = 2 + (577,500 / 755,000) = 2.</w:t>
      </w:r>
      <w:r w:rsidR="006C4DC1">
        <w:rPr>
          <w:lang w:val="en-US"/>
        </w:rPr>
        <w:t>8</w:t>
      </w:r>
    </w:p>
    <w:p w14:paraId="7F6751E1" w14:textId="04979B95" w:rsidR="00524677" w:rsidRPr="002502FE" w:rsidRDefault="000D6A62" w:rsidP="00137E28">
      <w:pPr>
        <w:spacing w:line="360" w:lineRule="auto"/>
        <w:rPr>
          <w:lang w:val="en-US"/>
        </w:rPr>
      </w:pPr>
      <w:r>
        <w:rPr>
          <w:lang w:val="en-US"/>
        </w:rPr>
        <w:t xml:space="preserve">On the basis of Payback Period, the most feasible investment out of the three options is Option A because it has the lowest payback period, indicating the fastest recovery of initial investment for the company. </w:t>
      </w:r>
      <w:r w:rsidR="00AE7958">
        <w:rPr>
          <w:lang w:val="en-US"/>
        </w:rPr>
        <w:t xml:space="preserve">Now, as Option B has already yielded the highest net present value, </w:t>
      </w:r>
      <w:r w:rsidR="00A70ED7">
        <w:rPr>
          <w:lang w:val="en-US"/>
        </w:rPr>
        <w:t>a trade-off arises between payback period and net present value methods (Dai et al., 2022).</w:t>
      </w:r>
    </w:p>
    <w:p w14:paraId="31FCE8B9" w14:textId="12716ABC" w:rsidR="00E107EE" w:rsidRDefault="00F60C8D" w:rsidP="00137E28">
      <w:pPr>
        <w:pStyle w:val="Heading2"/>
        <w:spacing w:line="360" w:lineRule="auto"/>
        <w:rPr>
          <w:lang w:val="en-US"/>
        </w:rPr>
      </w:pPr>
      <w:bookmarkStart w:id="24" w:name="_Toc224345128"/>
      <w:r>
        <w:rPr>
          <w:lang w:val="en-US"/>
        </w:rPr>
        <w:t>Internal Rate of Return Analysis</w:t>
      </w:r>
      <w:bookmarkEnd w:id="24"/>
    </w:p>
    <w:p w14:paraId="727361C9" w14:textId="1D501D55" w:rsidR="00F3447B" w:rsidRDefault="00F3447B" w:rsidP="00137E28">
      <w:pPr>
        <w:pStyle w:val="Heading3"/>
        <w:spacing w:line="360" w:lineRule="auto"/>
        <w:rPr>
          <w:rFonts w:ascii="Times New Roman" w:hAnsi="Times New Roman" w:cs="Times New Roman"/>
          <w:b/>
          <w:bCs/>
          <w:sz w:val="24"/>
          <w:szCs w:val="32"/>
          <w:lang w:val="en-US"/>
        </w:rPr>
      </w:pPr>
      <w:bookmarkStart w:id="25" w:name="_Toc224345129"/>
      <w:r>
        <w:rPr>
          <w:rFonts w:ascii="Times New Roman" w:hAnsi="Times New Roman" w:cs="Times New Roman"/>
          <w:b/>
          <w:bCs/>
          <w:sz w:val="24"/>
          <w:szCs w:val="32"/>
          <w:lang w:val="en-US"/>
        </w:rPr>
        <w:t xml:space="preserve">Theoretical Foundation of </w:t>
      </w:r>
      <w:r w:rsidR="00387D1D">
        <w:rPr>
          <w:rFonts w:ascii="Times New Roman" w:hAnsi="Times New Roman" w:cs="Times New Roman"/>
          <w:b/>
          <w:bCs/>
          <w:sz w:val="24"/>
          <w:szCs w:val="32"/>
          <w:lang w:val="en-US"/>
        </w:rPr>
        <w:t>IRR</w:t>
      </w:r>
      <w:bookmarkEnd w:id="25"/>
    </w:p>
    <w:p w14:paraId="4F7B44B2" w14:textId="41885228" w:rsidR="00F3447B" w:rsidRDefault="001C411C" w:rsidP="00F3447B">
      <w:pPr>
        <w:spacing w:line="360" w:lineRule="auto"/>
        <w:rPr>
          <w:lang w:val="en-US"/>
        </w:rPr>
      </w:pPr>
      <w:r>
        <w:rPr>
          <w:lang w:val="en-US"/>
        </w:rPr>
        <w:t>Internal Rate of Return or IRR is the discount rate at which the NPV comes out to be zero</w:t>
      </w:r>
      <w:r w:rsidR="004C1043">
        <w:rPr>
          <w:lang w:val="en-US"/>
        </w:rPr>
        <w:t>,</w:t>
      </w:r>
      <w:r>
        <w:rPr>
          <w:lang w:val="en-US"/>
        </w:rPr>
        <w:t xml:space="preserve"> which indicates the break-even </w:t>
      </w:r>
      <w:r w:rsidR="004C1043">
        <w:rPr>
          <w:lang w:val="en-US"/>
        </w:rPr>
        <w:t xml:space="preserve">point </w:t>
      </w:r>
      <w:r>
        <w:rPr>
          <w:lang w:val="en-US"/>
        </w:rPr>
        <w:t xml:space="preserve">of a project. </w:t>
      </w:r>
      <w:r w:rsidR="00667AB0">
        <w:rPr>
          <w:lang w:val="en-US"/>
        </w:rPr>
        <w:t>IRR is the measurement which helps to calculate the intrinsic rate of return of a project</w:t>
      </w:r>
      <w:r w:rsidR="004C1043">
        <w:rPr>
          <w:lang w:val="en-US"/>
        </w:rPr>
        <w:t>,</w:t>
      </w:r>
      <w:r w:rsidR="006F144F">
        <w:rPr>
          <w:lang w:val="en-US"/>
        </w:rPr>
        <w:t xml:space="preserve"> which does not account for the project’s external factors</w:t>
      </w:r>
      <w:r w:rsidR="004C1043">
        <w:rPr>
          <w:lang w:val="en-US"/>
        </w:rPr>
        <w:t>,</w:t>
      </w:r>
      <w:r w:rsidR="006F144F">
        <w:rPr>
          <w:lang w:val="en-US"/>
        </w:rPr>
        <w:t xml:space="preserve"> such as </w:t>
      </w:r>
      <w:r w:rsidR="004C1043">
        <w:rPr>
          <w:lang w:val="en-US"/>
        </w:rPr>
        <w:t xml:space="preserve">the </w:t>
      </w:r>
      <w:r w:rsidR="006F144F">
        <w:rPr>
          <w:lang w:val="en-US"/>
        </w:rPr>
        <w:t>cost of capital</w:t>
      </w:r>
      <w:r w:rsidR="0077202E">
        <w:rPr>
          <w:lang w:val="en-US"/>
        </w:rPr>
        <w:t xml:space="preserve"> (</w:t>
      </w:r>
      <w:r w:rsidR="0077202E" w:rsidRPr="0077202E">
        <w:t>Patrick</w:t>
      </w:r>
      <w:r w:rsidR="0077202E">
        <w:t xml:space="preserve"> and French, 2016)</w:t>
      </w:r>
      <w:r w:rsidR="006F144F">
        <w:rPr>
          <w:lang w:val="en-US"/>
        </w:rPr>
        <w:t xml:space="preserve">. </w:t>
      </w:r>
      <w:r w:rsidR="00192BCC">
        <w:rPr>
          <w:lang w:val="en-US"/>
        </w:rPr>
        <w:t>As for the decision rule, if the IRR exceeds the cost of capital, then the project remains acceptable</w:t>
      </w:r>
      <w:r w:rsidR="004C1043">
        <w:rPr>
          <w:lang w:val="en-US"/>
        </w:rPr>
        <w:t>;</w:t>
      </w:r>
      <w:r w:rsidR="00192BCC">
        <w:rPr>
          <w:lang w:val="en-US"/>
        </w:rPr>
        <w:t xml:space="preserve"> however, if the IRR cannot exceed the cost of capital, then the project </w:t>
      </w:r>
      <w:r w:rsidR="004C1043">
        <w:rPr>
          <w:lang w:val="en-US"/>
        </w:rPr>
        <w:t>is</w:t>
      </w:r>
      <w:r w:rsidR="00192BCC">
        <w:rPr>
          <w:lang w:val="en-US"/>
        </w:rPr>
        <w:t xml:space="preserve"> rejected. </w:t>
      </w:r>
    </w:p>
    <w:p w14:paraId="32D36D9A" w14:textId="6A7A306F" w:rsidR="004C0E91" w:rsidRDefault="004C0E91" w:rsidP="00F3447B">
      <w:pPr>
        <w:spacing w:line="360" w:lineRule="auto"/>
        <w:rPr>
          <w:lang w:val="en-US"/>
        </w:rPr>
      </w:pPr>
      <w:r>
        <w:rPr>
          <w:lang w:val="en-US"/>
        </w:rPr>
        <w:t xml:space="preserve">Now, the popularity of the technique arises from its ability to interpret the profitability in a percentage form instead of a concrete figure. </w:t>
      </w:r>
      <w:r w:rsidR="005A0577">
        <w:rPr>
          <w:lang w:val="en-US"/>
        </w:rPr>
        <w:t>Although it has its benefits in evaluating investment projects, IRR also has certain limitations</w:t>
      </w:r>
      <w:r w:rsidR="004C1043">
        <w:rPr>
          <w:lang w:val="en-US"/>
        </w:rPr>
        <w:t>,</w:t>
      </w:r>
      <w:r w:rsidR="005A0577">
        <w:rPr>
          <w:lang w:val="en-US"/>
        </w:rPr>
        <w:t xml:space="preserve"> including calculating projects with multiple non-conventional cash</w:t>
      </w:r>
      <w:r w:rsidR="007D7AC8">
        <w:rPr>
          <w:lang w:val="en-US"/>
        </w:rPr>
        <w:t xml:space="preserve"> flows. </w:t>
      </w:r>
      <w:r w:rsidR="0093382E">
        <w:rPr>
          <w:lang w:val="en-US"/>
        </w:rPr>
        <w:t>Also, IRR assumes that the interim cash flows must be reinvested at the IRR</w:t>
      </w:r>
      <w:r w:rsidR="004C1043">
        <w:rPr>
          <w:lang w:val="en-US"/>
        </w:rPr>
        <w:t>,</w:t>
      </w:r>
      <w:r w:rsidR="0093382E">
        <w:rPr>
          <w:lang w:val="en-US"/>
        </w:rPr>
        <w:t xml:space="preserve"> which is nearly impossible in real-world </w:t>
      </w:r>
      <w:r w:rsidR="00491448">
        <w:rPr>
          <w:lang w:val="en-US"/>
        </w:rPr>
        <w:t>cases</w:t>
      </w:r>
      <w:r w:rsidR="0021519C">
        <w:rPr>
          <w:lang w:val="en-US"/>
        </w:rPr>
        <w:t xml:space="preserve"> (</w:t>
      </w:r>
      <w:r w:rsidR="0021519C" w:rsidRPr="0021519C">
        <w:t>Arshad</w:t>
      </w:r>
      <w:r w:rsidR="0021519C">
        <w:t>, 2012)</w:t>
      </w:r>
      <w:r w:rsidR="00491448">
        <w:rPr>
          <w:lang w:val="en-US"/>
        </w:rPr>
        <w:t>.</w:t>
      </w:r>
    </w:p>
    <w:p w14:paraId="47073110" w14:textId="418D0E08" w:rsidR="00F3447B" w:rsidRDefault="00387D1D" w:rsidP="00F3447B">
      <w:pPr>
        <w:pStyle w:val="Heading3"/>
        <w:spacing w:line="360" w:lineRule="auto"/>
        <w:rPr>
          <w:rFonts w:ascii="Times New Roman" w:hAnsi="Times New Roman" w:cs="Times New Roman"/>
          <w:b/>
          <w:bCs/>
          <w:sz w:val="24"/>
          <w:szCs w:val="32"/>
          <w:lang w:val="en-US"/>
        </w:rPr>
      </w:pPr>
      <w:bookmarkStart w:id="26" w:name="_Toc224345130"/>
      <w:r>
        <w:rPr>
          <w:rFonts w:ascii="Times New Roman" w:hAnsi="Times New Roman" w:cs="Times New Roman"/>
          <w:b/>
          <w:bCs/>
          <w:sz w:val="24"/>
          <w:szCs w:val="32"/>
          <w:lang w:val="en-US"/>
        </w:rPr>
        <w:t>IRR Calculation of Option B</w:t>
      </w:r>
      <w:bookmarkEnd w:id="26"/>
    </w:p>
    <w:p w14:paraId="79F208D4" w14:textId="2B86B50F" w:rsidR="00F3447B" w:rsidRDefault="00B33F38" w:rsidP="00F3447B">
      <w:pPr>
        <w:spacing w:line="360" w:lineRule="auto"/>
        <w:rPr>
          <w:lang w:val="en-US"/>
        </w:rPr>
      </w:pPr>
      <w:r>
        <w:rPr>
          <w:lang w:val="en-US"/>
        </w:rPr>
        <w:t>The IRR of Option B is calculated below</w:t>
      </w:r>
      <w:r w:rsidR="004C1043">
        <w:rPr>
          <w:lang w:val="en-US"/>
        </w:rPr>
        <w:t>,</w:t>
      </w:r>
      <w:r>
        <w:rPr>
          <w:lang w:val="en-US"/>
        </w:rPr>
        <w:t xml:space="preserve"> as it has been accepted in the previous section.</w:t>
      </w:r>
    </w:p>
    <w:p w14:paraId="6E45A4B7" w14:textId="56C3A633" w:rsidR="007A5861" w:rsidRPr="007A5861" w:rsidRDefault="007A5861" w:rsidP="00F3447B">
      <w:pPr>
        <w:spacing w:line="360" w:lineRule="auto"/>
        <w:rPr>
          <w:lang w:val="en-US"/>
        </w:rPr>
      </w:pPr>
      <w:r>
        <w:rPr>
          <w:b/>
          <w:bCs/>
          <w:lang w:val="en-US"/>
        </w:rPr>
        <w:t xml:space="preserve">Trial – 01: </w:t>
      </w:r>
      <w:r w:rsidR="0057563D">
        <w:rPr>
          <w:lang w:val="en-US"/>
        </w:rPr>
        <w:t>6</w:t>
      </w:r>
      <w:r>
        <w:rPr>
          <w:lang w:val="en-US"/>
        </w:rPr>
        <w:t>% Discount Rate</w:t>
      </w:r>
    </w:p>
    <w:tbl>
      <w:tblPr>
        <w:tblStyle w:val="TableGrid"/>
        <w:tblW w:w="0" w:type="auto"/>
        <w:tblLook w:val="04A0" w:firstRow="1" w:lastRow="0" w:firstColumn="1" w:lastColumn="0" w:noHBand="0" w:noVBand="1"/>
      </w:tblPr>
      <w:tblGrid>
        <w:gridCol w:w="2254"/>
        <w:gridCol w:w="2254"/>
        <w:gridCol w:w="2254"/>
        <w:gridCol w:w="2254"/>
      </w:tblGrid>
      <w:tr w:rsidR="007A5861" w14:paraId="4E669538" w14:textId="77777777" w:rsidTr="007A5861">
        <w:tc>
          <w:tcPr>
            <w:tcW w:w="2254" w:type="dxa"/>
          </w:tcPr>
          <w:p w14:paraId="58DECDBC" w14:textId="53800CB5" w:rsidR="007A5861" w:rsidRPr="007A5861" w:rsidRDefault="007A5861" w:rsidP="007A5861">
            <w:pPr>
              <w:spacing w:line="360" w:lineRule="auto"/>
              <w:jc w:val="center"/>
              <w:rPr>
                <w:b/>
                <w:bCs/>
                <w:lang w:val="en-US"/>
              </w:rPr>
            </w:pPr>
            <w:r>
              <w:rPr>
                <w:b/>
                <w:bCs/>
                <w:lang w:val="en-US"/>
              </w:rPr>
              <w:t>Year</w:t>
            </w:r>
          </w:p>
        </w:tc>
        <w:tc>
          <w:tcPr>
            <w:tcW w:w="2254" w:type="dxa"/>
          </w:tcPr>
          <w:p w14:paraId="76877B76" w14:textId="782D07F9" w:rsidR="007A5861" w:rsidRPr="007A5861" w:rsidRDefault="007A5861" w:rsidP="007A5861">
            <w:pPr>
              <w:spacing w:line="360" w:lineRule="auto"/>
              <w:jc w:val="center"/>
              <w:rPr>
                <w:b/>
                <w:bCs/>
                <w:lang w:val="en-US"/>
              </w:rPr>
            </w:pPr>
            <w:r>
              <w:rPr>
                <w:b/>
                <w:bCs/>
                <w:lang w:val="en-US"/>
              </w:rPr>
              <w:t xml:space="preserve">After-Tax Cash Flow </w:t>
            </w:r>
            <w:r w:rsidRPr="007A5861">
              <w:rPr>
                <w:b/>
                <w:bCs/>
              </w:rPr>
              <w:t>(£'000)</w:t>
            </w:r>
          </w:p>
        </w:tc>
        <w:tc>
          <w:tcPr>
            <w:tcW w:w="2254" w:type="dxa"/>
          </w:tcPr>
          <w:p w14:paraId="469859B9" w14:textId="3FBB3452" w:rsidR="007A5861" w:rsidRPr="007A5861" w:rsidRDefault="007A5861" w:rsidP="007A5861">
            <w:pPr>
              <w:spacing w:line="360" w:lineRule="auto"/>
              <w:jc w:val="center"/>
              <w:rPr>
                <w:b/>
                <w:bCs/>
                <w:lang w:val="en-US"/>
              </w:rPr>
            </w:pPr>
            <w:r>
              <w:rPr>
                <w:b/>
                <w:bCs/>
                <w:lang w:val="en-US"/>
              </w:rPr>
              <w:t xml:space="preserve">Discount Factor @ </w:t>
            </w:r>
            <w:r w:rsidR="0057563D">
              <w:rPr>
                <w:b/>
                <w:bCs/>
                <w:lang w:val="en-US"/>
              </w:rPr>
              <w:t>6</w:t>
            </w:r>
            <w:r>
              <w:rPr>
                <w:b/>
                <w:bCs/>
                <w:lang w:val="en-US"/>
              </w:rPr>
              <w:t>%</w:t>
            </w:r>
          </w:p>
        </w:tc>
        <w:tc>
          <w:tcPr>
            <w:tcW w:w="2254" w:type="dxa"/>
          </w:tcPr>
          <w:p w14:paraId="5DB6F1C9" w14:textId="3C512B2A" w:rsidR="007A5861" w:rsidRPr="007A5861" w:rsidRDefault="007A5861" w:rsidP="007A5861">
            <w:pPr>
              <w:spacing w:line="360" w:lineRule="auto"/>
              <w:jc w:val="center"/>
              <w:rPr>
                <w:b/>
                <w:bCs/>
                <w:lang w:val="en-US"/>
              </w:rPr>
            </w:pPr>
            <w:r>
              <w:rPr>
                <w:b/>
                <w:bCs/>
                <w:lang w:val="en-US"/>
              </w:rPr>
              <w:t xml:space="preserve">Present Value </w:t>
            </w:r>
            <w:r w:rsidRPr="007A5861">
              <w:rPr>
                <w:b/>
                <w:bCs/>
              </w:rPr>
              <w:t>(£'000)</w:t>
            </w:r>
          </w:p>
        </w:tc>
      </w:tr>
      <w:tr w:rsidR="004A499D" w14:paraId="0DFF0580" w14:textId="77777777" w:rsidTr="007A5861">
        <w:tc>
          <w:tcPr>
            <w:tcW w:w="2254" w:type="dxa"/>
          </w:tcPr>
          <w:p w14:paraId="50776015" w14:textId="40E22D3B" w:rsidR="004A499D" w:rsidRDefault="004A499D" w:rsidP="004A499D">
            <w:pPr>
              <w:spacing w:line="360" w:lineRule="auto"/>
              <w:jc w:val="center"/>
              <w:rPr>
                <w:lang w:val="en-US"/>
              </w:rPr>
            </w:pPr>
            <w:r>
              <w:rPr>
                <w:lang w:val="en-US"/>
              </w:rPr>
              <w:t>0</w:t>
            </w:r>
          </w:p>
        </w:tc>
        <w:tc>
          <w:tcPr>
            <w:tcW w:w="2254" w:type="dxa"/>
          </w:tcPr>
          <w:p w14:paraId="0EADDE33" w14:textId="6FB391B4" w:rsidR="004A499D" w:rsidRDefault="004A499D" w:rsidP="004A499D">
            <w:pPr>
              <w:spacing w:line="360" w:lineRule="auto"/>
              <w:jc w:val="center"/>
              <w:rPr>
                <w:lang w:val="en-US"/>
              </w:rPr>
            </w:pPr>
            <w:r>
              <w:rPr>
                <w:lang w:val="en-US"/>
              </w:rPr>
              <w:t>(1,000)</w:t>
            </w:r>
          </w:p>
        </w:tc>
        <w:tc>
          <w:tcPr>
            <w:tcW w:w="2254" w:type="dxa"/>
          </w:tcPr>
          <w:p w14:paraId="3F31F277" w14:textId="119FF012" w:rsidR="004A499D" w:rsidRDefault="004A499D" w:rsidP="004A499D">
            <w:pPr>
              <w:spacing w:line="360" w:lineRule="auto"/>
              <w:jc w:val="center"/>
              <w:rPr>
                <w:lang w:val="en-US"/>
              </w:rPr>
            </w:pPr>
            <w:r>
              <w:rPr>
                <w:lang w:val="en-US"/>
              </w:rPr>
              <w:t>1.00</w:t>
            </w:r>
          </w:p>
        </w:tc>
        <w:tc>
          <w:tcPr>
            <w:tcW w:w="2254" w:type="dxa"/>
          </w:tcPr>
          <w:p w14:paraId="7A2F91F3" w14:textId="60FE67B7" w:rsidR="004A499D" w:rsidRDefault="004A499D" w:rsidP="004A499D">
            <w:pPr>
              <w:spacing w:line="360" w:lineRule="auto"/>
              <w:jc w:val="center"/>
              <w:rPr>
                <w:lang w:val="en-US"/>
              </w:rPr>
            </w:pPr>
            <w:r>
              <w:rPr>
                <w:lang w:val="en-US"/>
              </w:rPr>
              <w:t>(1,</w:t>
            </w:r>
            <w:r w:rsidR="00AA3868">
              <w:rPr>
                <w:lang w:val="en-US"/>
              </w:rPr>
              <w:t>0</w:t>
            </w:r>
            <w:r>
              <w:rPr>
                <w:lang w:val="en-US"/>
              </w:rPr>
              <w:t>00)</w:t>
            </w:r>
          </w:p>
        </w:tc>
      </w:tr>
      <w:tr w:rsidR="004A499D" w14:paraId="7F1F23B2" w14:textId="77777777" w:rsidTr="007A5861">
        <w:tc>
          <w:tcPr>
            <w:tcW w:w="2254" w:type="dxa"/>
          </w:tcPr>
          <w:p w14:paraId="0B82BA79" w14:textId="3FEE0FBE" w:rsidR="004A499D" w:rsidRDefault="004A499D" w:rsidP="004A499D">
            <w:pPr>
              <w:spacing w:line="360" w:lineRule="auto"/>
              <w:jc w:val="center"/>
              <w:rPr>
                <w:lang w:val="en-US"/>
              </w:rPr>
            </w:pPr>
            <w:r>
              <w:rPr>
                <w:lang w:val="en-US"/>
              </w:rPr>
              <w:t>1</w:t>
            </w:r>
          </w:p>
        </w:tc>
        <w:tc>
          <w:tcPr>
            <w:tcW w:w="2254" w:type="dxa"/>
          </w:tcPr>
          <w:p w14:paraId="31386590" w14:textId="56E99A3B" w:rsidR="004A499D" w:rsidRDefault="004A499D" w:rsidP="004A499D">
            <w:pPr>
              <w:spacing w:line="360" w:lineRule="auto"/>
              <w:jc w:val="center"/>
              <w:rPr>
                <w:lang w:val="en-US"/>
              </w:rPr>
            </w:pPr>
            <w:r>
              <w:rPr>
                <w:lang w:val="en-US"/>
              </w:rPr>
              <w:t>350</w:t>
            </w:r>
          </w:p>
        </w:tc>
        <w:tc>
          <w:tcPr>
            <w:tcW w:w="2254" w:type="dxa"/>
          </w:tcPr>
          <w:p w14:paraId="5B9D023A" w14:textId="352AD681" w:rsidR="004A499D" w:rsidRDefault="004A499D" w:rsidP="004A499D">
            <w:pPr>
              <w:spacing w:line="360" w:lineRule="auto"/>
              <w:jc w:val="center"/>
              <w:rPr>
                <w:lang w:val="en-US"/>
              </w:rPr>
            </w:pPr>
            <w:r>
              <w:rPr>
                <w:lang w:val="en-US"/>
              </w:rPr>
              <w:t>0.9434</w:t>
            </w:r>
          </w:p>
        </w:tc>
        <w:tc>
          <w:tcPr>
            <w:tcW w:w="2254" w:type="dxa"/>
          </w:tcPr>
          <w:p w14:paraId="316B5EC3" w14:textId="4773DA45" w:rsidR="004A499D" w:rsidRDefault="004A499D" w:rsidP="004A499D">
            <w:pPr>
              <w:spacing w:line="360" w:lineRule="auto"/>
              <w:jc w:val="center"/>
              <w:rPr>
                <w:lang w:val="en-US"/>
              </w:rPr>
            </w:pPr>
            <w:r>
              <w:rPr>
                <w:lang w:val="en-US"/>
              </w:rPr>
              <w:t>393.87</w:t>
            </w:r>
          </w:p>
        </w:tc>
      </w:tr>
      <w:tr w:rsidR="004A499D" w14:paraId="05E6A8C6" w14:textId="77777777" w:rsidTr="007A5861">
        <w:tc>
          <w:tcPr>
            <w:tcW w:w="2254" w:type="dxa"/>
          </w:tcPr>
          <w:p w14:paraId="68A96118" w14:textId="2ADEC7AA" w:rsidR="004A499D" w:rsidRDefault="004A499D" w:rsidP="004A499D">
            <w:pPr>
              <w:spacing w:line="360" w:lineRule="auto"/>
              <w:jc w:val="center"/>
              <w:rPr>
                <w:lang w:val="en-US"/>
              </w:rPr>
            </w:pPr>
            <w:r>
              <w:rPr>
                <w:lang w:val="en-US"/>
              </w:rPr>
              <w:t>2</w:t>
            </w:r>
          </w:p>
        </w:tc>
        <w:tc>
          <w:tcPr>
            <w:tcW w:w="2254" w:type="dxa"/>
          </w:tcPr>
          <w:p w14:paraId="44FEB241" w14:textId="5ACE9C61" w:rsidR="004A499D" w:rsidRDefault="004A499D" w:rsidP="004A499D">
            <w:pPr>
              <w:spacing w:line="360" w:lineRule="auto"/>
              <w:jc w:val="center"/>
              <w:rPr>
                <w:lang w:val="en-US"/>
              </w:rPr>
            </w:pPr>
            <w:r>
              <w:rPr>
                <w:lang w:val="en-US"/>
              </w:rPr>
              <w:t>387.5</w:t>
            </w:r>
          </w:p>
        </w:tc>
        <w:tc>
          <w:tcPr>
            <w:tcW w:w="2254" w:type="dxa"/>
          </w:tcPr>
          <w:p w14:paraId="7A094DF6" w14:textId="428966E0" w:rsidR="004A499D" w:rsidRDefault="004A499D" w:rsidP="004A499D">
            <w:pPr>
              <w:spacing w:line="360" w:lineRule="auto"/>
              <w:jc w:val="center"/>
              <w:rPr>
                <w:lang w:val="en-US"/>
              </w:rPr>
            </w:pPr>
            <w:r>
              <w:rPr>
                <w:lang w:val="en-US"/>
              </w:rPr>
              <w:t>0.8900</w:t>
            </w:r>
          </w:p>
        </w:tc>
        <w:tc>
          <w:tcPr>
            <w:tcW w:w="2254" w:type="dxa"/>
          </w:tcPr>
          <w:p w14:paraId="5200DB37" w14:textId="2C3C891A" w:rsidR="004A499D" w:rsidRDefault="004A499D" w:rsidP="004A499D">
            <w:pPr>
              <w:spacing w:line="360" w:lineRule="auto"/>
              <w:jc w:val="center"/>
              <w:rPr>
                <w:lang w:val="en-US"/>
              </w:rPr>
            </w:pPr>
            <w:r>
              <w:rPr>
                <w:lang w:val="en-US"/>
              </w:rPr>
              <w:t>538.45</w:t>
            </w:r>
          </w:p>
        </w:tc>
      </w:tr>
      <w:tr w:rsidR="004A499D" w14:paraId="33CBD2E1" w14:textId="77777777" w:rsidTr="007A5861">
        <w:tc>
          <w:tcPr>
            <w:tcW w:w="2254" w:type="dxa"/>
          </w:tcPr>
          <w:p w14:paraId="7CE55498" w14:textId="3F9E7DDB" w:rsidR="004A499D" w:rsidRDefault="004A499D" w:rsidP="004A499D">
            <w:pPr>
              <w:spacing w:line="360" w:lineRule="auto"/>
              <w:jc w:val="center"/>
              <w:rPr>
                <w:lang w:val="en-US"/>
              </w:rPr>
            </w:pPr>
            <w:r>
              <w:rPr>
                <w:lang w:val="en-US"/>
              </w:rPr>
              <w:t>3</w:t>
            </w:r>
          </w:p>
        </w:tc>
        <w:tc>
          <w:tcPr>
            <w:tcW w:w="2254" w:type="dxa"/>
          </w:tcPr>
          <w:p w14:paraId="04EB52EB" w14:textId="43521200" w:rsidR="004A499D" w:rsidRDefault="004A499D" w:rsidP="004A499D">
            <w:pPr>
              <w:spacing w:line="360" w:lineRule="auto"/>
              <w:jc w:val="center"/>
              <w:rPr>
                <w:lang w:val="en-US"/>
              </w:rPr>
            </w:pPr>
            <w:r>
              <w:rPr>
                <w:lang w:val="en-US"/>
              </w:rPr>
              <w:t>590</w:t>
            </w:r>
          </w:p>
        </w:tc>
        <w:tc>
          <w:tcPr>
            <w:tcW w:w="2254" w:type="dxa"/>
          </w:tcPr>
          <w:p w14:paraId="52D8B30C" w14:textId="2964693D" w:rsidR="004A499D" w:rsidRDefault="004A499D" w:rsidP="004A499D">
            <w:pPr>
              <w:spacing w:line="360" w:lineRule="auto"/>
              <w:jc w:val="center"/>
              <w:rPr>
                <w:lang w:val="en-US"/>
              </w:rPr>
            </w:pPr>
            <w:r>
              <w:rPr>
                <w:lang w:val="en-US"/>
              </w:rPr>
              <w:t>0.8396</w:t>
            </w:r>
          </w:p>
        </w:tc>
        <w:tc>
          <w:tcPr>
            <w:tcW w:w="2254" w:type="dxa"/>
          </w:tcPr>
          <w:p w14:paraId="5E59BD9B" w14:textId="0C2604E2" w:rsidR="004A499D" w:rsidRDefault="004A499D" w:rsidP="004A499D">
            <w:pPr>
              <w:spacing w:line="360" w:lineRule="auto"/>
              <w:jc w:val="center"/>
              <w:rPr>
                <w:lang w:val="en-US"/>
              </w:rPr>
            </w:pPr>
            <w:r>
              <w:rPr>
                <w:lang w:val="en-US"/>
              </w:rPr>
              <w:t>633.90</w:t>
            </w:r>
          </w:p>
        </w:tc>
      </w:tr>
      <w:tr w:rsidR="004A499D" w14:paraId="298DC421" w14:textId="77777777" w:rsidTr="007A5861">
        <w:tc>
          <w:tcPr>
            <w:tcW w:w="2254" w:type="dxa"/>
          </w:tcPr>
          <w:p w14:paraId="2D65C6F9" w14:textId="3E4EFDC5" w:rsidR="004A499D" w:rsidRDefault="004A499D" w:rsidP="004A499D">
            <w:pPr>
              <w:spacing w:line="360" w:lineRule="auto"/>
              <w:jc w:val="center"/>
              <w:rPr>
                <w:lang w:val="en-US"/>
              </w:rPr>
            </w:pPr>
            <w:r>
              <w:rPr>
                <w:lang w:val="en-US"/>
              </w:rPr>
              <w:t>4</w:t>
            </w:r>
          </w:p>
        </w:tc>
        <w:tc>
          <w:tcPr>
            <w:tcW w:w="2254" w:type="dxa"/>
          </w:tcPr>
          <w:p w14:paraId="348F1201" w14:textId="3E895EE5" w:rsidR="004A499D" w:rsidRDefault="004A499D" w:rsidP="004A499D">
            <w:pPr>
              <w:spacing w:line="360" w:lineRule="auto"/>
              <w:jc w:val="center"/>
              <w:rPr>
                <w:lang w:val="en-US"/>
              </w:rPr>
            </w:pPr>
            <w:r>
              <w:rPr>
                <w:lang w:val="en-US"/>
              </w:rPr>
              <w:t>785</w:t>
            </w:r>
          </w:p>
        </w:tc>
        <w:tc>
          <w:tcPr>
            <w:tcW w:w="2254" w:type="dxa"/>
          </w:tcPr>
          <w:p w14:paraId="6FB27824" w14:textId="2995FCAA" w:rsidR="004A499D" w:rsidRDefault="004A499D" w:rsidP="004A499D">
            <w:pPr>
              <w:spacing w:line="360" w:lineRule="auto"/>
              <w:jc w:val="center"/>
              <w:rPr>
                <w:lang w:val="en-US"/>
              </w:rPr>
            </w:pPr>
            <w:r>
              <w:rPr>
                <w:lang w:val="en-US"/>
              </w:rPr>
              <w:t>0.7921</w:t>
            </w:r>
          </w:p>
        </w:tc>
        <w:tc>
          <w:tcPr>
            <w:tcW w:w="2254" w:type="dxa"/>
          </w:tcPr>
          <w:p w14:paraId="2CB7FDBB" w14:textId="7A0ABFD3" w:rsidR="004A499D" w:rsidRDefault="004A499D" w:rsidP="004A499D">
            <w:pPr>
              <w:spacing w:line="360" w:lineRule="auto"/>
              <w:jc w:val="center"/>
              <w:rPr>
                <w:lang w:val="en-US"/>
              </w:rPr>
            </w:pPr>
            <w:r>
              <w:rPr>
                <w:lang w:val="en-US"/>
              </w:rPr>
              <w:t>776.26</w:t>
            </w:r>
          </w:p>
        </w:tc>
      </w:tr>
      <w:tr w:rsidR="004A499D" w14:paraId="1F836310" w14:textId="77777777" w:rsidTr="007A5861">
        <w:tc>
          <w:tcPr>
            <w:tcW w:w="2254" w:type="dxa"/>
          </w:tcPr>
          <w:p w14:paraId="68843B94" w14:textId="77777777" w:rsidR="004A499D" w:rsidRDefault="004A499D" w:rsidP="004A499D">
            <w:pPr>
              <w:spacing w:line="360" w:lineRule="auto"/>
              <w:jc w:val="center"/>
              <w:rPr>
                <w:lang w:val="en-US"/>
              </w:rPr>
            </w:pPr>
          </w:p>
        </w:tc>
        <w:tc>
          <w:tcPr>
            <w:tcW w:w="2254" w:type="dxa"/>
          </w:tcPr>
          <w:p w14:paraId="33EE87C4" w14:textId="77777777" w:rsidR="004A499D" w:rsidRDefault="004A499D" w:rsidP="004A499D">
            <w:pPr>
              <w:spacing w:line="360" w:lineRule="auto"/>
              <w:jc w:val="center"/>
              <w:rPr>
                <w:lang w:val="en-US"/>
              </w:rPr>
            </w:pPr>
          </w:p>
        </w:tc>
        <w:tc>
          <w:tcPr>
            <w:tcW w:w="2254" w:type="dxa"/>
          </w:tcPr>
          <w:p w14:paraId="60DB2C5D" w14:textId="59992102" w:rsidR="004A499D" w:rsidRDefault="004A499D" w:rsidP="004A499D">
            <w:pPr>
              <w:spacing w:line="360" w:lineRule="auto"/>
              <w:jc w:val="center"/>
              <w:rPr>
                <w:lang w:val="en-US"/>
              </w:rPr>
            </w:pPr>
            <w:r>
              <w:rPr>
                <w:b/>
                <w:bCs/>
                <w:lang w:val="en-US"/>
              </w:rPr>
              <w:t>N</w:t>
            </w:r>
            <w:r w:rsidRPr="009608C4">
              <w:rPr>
                <w:b/>
                <w:bCs/>
                <w:lang w:val="en-US"/>
              </w:rPr>
              <w:t>PV</w:t>
            </w:r>
            <w:r w:rsidR="00BE5C2F">
              <w:rPr>
                <w:b/>
                <w:bCs/>
                <w:lang w:val="en-US"/>
              </w:rPr>
              <w:t xml:space="preserve"> @ 6%</w:t>
            </w:r>
          </w:p>
        </w:tc>
        <w:tc>
          <w:tcPr>
            <w:tcW w:w="2254" w:type="dxa"/>
          </w:tcPr>
          <w:p w14:paraId="5341D489" w14:textId="7FED174D" w:rsidR="004A499D" w:rsidRDefault="00BE5C2F" w:rsidP="004A499D">
            <w:pPr>
              <w:spacing w:line="360" w:lineRule="auto"/>
              <w:jc w:val="center"/>
              <w:rPr>
                <w:lang w:val="en-US"/>
              </w:rPr>
            </w:pPr>
            <w:r>
              <w:rPr>
                <w:b/>
                <w:bCs/>
                <w:lang w:val="en-US"/>
              </w:rPr>
              <w:t>792.228</w:t>
            </w:r>
          </w:p>
        </w:tc>
      </w:tr>
    </w:tbl>
    <w:p w14:paraId="118A7FB7" w14:textId="4E651B1C" w:rsidR="00180A37" w:rsidRPr="007A5861" w:rsidRDefault="00180A37" w:rsidP="00180A37">
      <w:pPr>
        <w:spacing w:line="360" w:lineRule="auto"/>
        <w:rPr>
          <w:lang w:val="en-US"/>
        </w:rPr>
      </w:pPr>
      <w:r>
        <w:rPr>
          <w:b/>
          <w:bCs/>
          <w:lang w:val="en-US"/>
        </w:rPr>
        <w:t xml:space="preserve">Trial – 02: </w:t>
      </w:r>
      <w:r w:rsidR="0057563D">
        <w:rPr>
          <w:lang w:val="en-US"/>
        </w:rPr>
        <w:t>40</w:t>
      </w:r>
      <w:r>
        <w:rPr>
          <w:lang w:val="en-US"/>
        </w:rPr>
        <w:t>% Discount Rate</w:t>
      </w:r>
    </w:p>
    <w:tbl>
      <w:tblPr>
        <w:tblStyle w:val="TableGrid"/>
        <w:tblW w:w="0" w:type="auto"/>
        <w:tblLook w:val="04A0" w:firstRow="1" w:lastRow="0" w:firstColumn="1" w:lastColumn="0" w:noHBand="0" w:noVBand="1"/>
      </w:tblPr>
      <w:tblGrid>
        <w:gridCol w:w="2254"/>
        <w:gridCol w:w="2254"/>
        <w:gridCol w:w="2254"/>
        <w:gridCol w:w="2254"/>
      </w:tblGrid>
      <w:tr w:rsidR="00180A37" w14:paraId="0FB96AD2" w14:textId="77777777" w:rsidTr="00E81AC4">
        <w:tc>
          <w:tcPr>
            <w:tcW w:w="2254" w:type="dxa"/>
          </w:tcPr>
          <w:p w14:paraId="09523B78" w14:textId="77777777" w:rsidR="00180A37" w:rsidRPr="007A5861" w:rsidRDefault="00180A37" w:rsidP="00E81AC4">
            <w:pPr>
              <w:spacing w:line="360" w:lineRule="auto"/>
              <w:jc w:val="center"/>
              <w:rPr>
                <w:b/>
                <w:bCs/>
                <w:lang w:val="en-US"/>
              </w:rPr>
            </w:pPr>
            <w:r>
              <w:rPr>
                <w:b/>
                <w:bCs/>
                <w:lang w:val="en-US"/>
              </w:rPr>
              <w:t>Year</w:t>
            </w:r>
          </w:p>
        </w:tc>
        <w:tc>
          <w:tcPr>
            <w:tcW w:w="2254" w:type="dxa"/>
          </w:tcPr>
          <w:p w14:paraId="32C00F9C" w14:textId="77777777" w:rsidR="00180A37" w:rsidRPr="007A5861" w:rsidRDefault="00180A37" w:rsidP="00E81AC4">
            <w:pPr>
              <w:spacing w:line="360" w:lineRule="auto"/>
              <w:jc w:val="center"/>
              <w:rPr>
                <w:b/>
                <w:bCs/>
                <w:lang w:val="en-US"/>
              </w:rPr>
            </w:pPr>
            <w:r>
              <w:rPr>
                <w:b/>
                <w:bCs/>
                <w:lang w:val="en-US"/>
              </w:rPr>
              <w:t xml:space="preserve">After-Tax Cash Flow </w:t>
            </w:r>
            <w:r w:rsidRPr="007A5861">
              <w:rPr>
                <w:b/>
                <w:bCs/>
              </w:rPr>
              <w:t>(£'000)</w:t>
            </w:r>
          </w:p>
        </w:tc>
        <w:tc>
          <w:tcPr>
            <w:tcW w:w="2254" w:type="dxa"/>
          </w:tcPr>
          <w:p w14:paraId="0D23A32D" w14:textId="1B05204D" w:rsidR="00180A37" w:rsidRPr="007A5861" w:rsidRDefault="00180A37" w:rsidP="00E81AC4">
            <w:pPr>
              <w:spacing w:line="360" w:lineRule="auto"/>
              <w:jc w:val="center"/>
              <w:rPr>
                <w:b/>
                <w:bCs/>
                <w:lang w:val="en-US"/>
              </w:rPr>
            </w:pPr>
            <w:r>
              <w:rPr>
                <w:b/>
                <w:bCs/>
                <w:lang w:val="en-US"/>
              </w:rPr>
              <w:t xml:space="preserve">Discount Factor @ </w:t>
            </w:r>
            <w:r w:rsidR="0057563D">
              <w:rPr>
                <w:b/>
                <w:bCs/>
                <w:lang w:val="en-US"/>
              </w:rPr>
              <w:t>4</w:t>
            </w:r>
            <w:r>
              <w:rPr>
                <w:b/>
                <w:bCs/>
                <w:lang w:val="en-US"/>
              </w:rPr>
              <w:t>0%</w:t>
            </w:r>
          </w:p>
        </w:tc>
        <w:tc>
          <w:tcPr>
            <w:tcW w:w="2254" w:type="dxa"/>
          </w:tcPr>
          <w:p w14:paraId="2B379E1C" w14:textId="77777777" w:rsidR="00180A37" w:rsidRPr="007A5861" w:rsidRDefault="00180A37" w:rsidP="00E81AC4">
            <w:pPr>
              <w:spacing w:line="360" w:lineRule="auto"/>
              <w:jc w:val="center"/>
              <w:rPr>
                <w:b/>
                <w:bCs/>
                <w:lang w:val="en-US"/>
              </w:rPr>
            </w:pPr>
            <w:r>
              <w:rPr>
                <w:b/>
                <w:bCs/>
                <w:lang w:val="en-US"/>
              </w:rPr>
              <w:t xml:space="preserve">Present Value </w:t>
            </w:r>
            <w:r w:rsidRPr="007A5861">
              <w:rPr>
                <w:b/>
                <w:bCs/>
              </w:rPr>
              <w:t>(£'000)</w:t>
            </w:r>
          </w:p>
        </w:tc>
      </w:tr>
      <w:tr w:rsidR="00180A37" w14:paraId="36759EC4" w14:textId="77777777" w:rsidTr="00E81AC4">
        <w:tc>
          <w:tcPr>
            <w:tcW w:w="2254" w:type="dxa"/>
          </w:tcPr>
          <w:p w14:paraId="5743BB2D" w14:textId="77777777" w:rsidR="00180A37" w:rsidRDefault="00180A37" w:rsidP="00E81AC4">
            <w:pPr>
              <w:spacing w:line="360" w:lineRule="auto"/>
              <w:jc w:val="center"/>
              <w:rPr>
                <w:lang w:val="en-US"/>
              </w:rPr>
            </w:pPr>
            <w:r>
              <w:rPr>
                <w:lang w:val="en-US"/>
              </w:rPr>
              <w:t>0</w:t>
            </w:r>
          </w:p>
        </w:tc>
        <w:tc>
          <w:tcPr>
            <w:tcW w:w="2254" w:type="dxa"/>
          </w:tcPr>
          <w:p w14:paraId="5C7092B9" w14:textId="2ED0DFD1" w:rsidR="00180A37" w:rsidRDefault="004A499D" w:rsidP="00E81AC4">
            <w:pPr>
              <w:spacing w:line="360" w:lineRule="auto"/>
              <w:jc w:val="center"/>
              <w:rPr>
                <w:lang w:val="en-US"/>
              </w:rPr>
            </w:pPr>
            <w:r>
              <w:rPr>
                <w:lang w:val="en-US"/>
              </w:rPr>
              <w:t>(1,000)</w:t>
            </w:r>
          </w:p>
        </w:tc>
        <w:tc>
          <w:tcPr>
            <w:tcW w:w="2254" w:type="dxa"/>
          </w:tcPr>
          <w:p w14:paraId="65B9BA31" w14:textId="32611E3E" w:rsidR="00180A37" w:rsidRDefault="004A499D" w:rsidP="00E81AC4">
            <w:pPr>
              <w:spacing w:line="360" w:lineRule="auto"/>
              <w:jc w:val="center"/>
              <w:rPr>
                <w:lang w:val="en-US"/>
              </w:rPr>
            </w:pPr>
            <w:r>
              <w:rPr>
                <w:lang w:val="en-US"/>
              </w:rPr>
              <w:t>1.00</w:t>
            </w:r>
          </w:p>
        </w:tc>
        <w:tc>
          <w:tcPr>
            <w:tcW w:w="2254" w:type="dxa"/>
          </w:tcPr>
          <w:p w14:paraId="2128D4BA" w14:textId="10E00BF4" w:rsidR="00180A37" w:rsidRDefault="004A499D" w:rsidP="00E81AC4">
            <w:pPr>
              <w:spacing w:line="360" w:lineRule="auto"/>
              <w:jc w:val="center"/>
              <w:rPr>
                <w:lang w:val="en-US"/>
              </w:rPr>
            </w:pPr>
            <w:r>
              <w:rPr>
                <w:lang w:val="en-US"/>
              </w:rPr>
              <w:t>(1,000)</w:t>
            </w:r>
          </w:p>
        </w:tc>
      </w:tr>
      <w:tr w:rsidR="00180A37" w14:paraId="7A728679" w14:textId="77777777" w:rsidTr="00E81AC4">
        <w:tc>
          <w:tcPr>
            <w:tcW w:w="2254" w:type="dxa"/>
          </w:tcPr>
          <w:p w14:paraId="59588BB6" w14:textId="77777777" w:rsidR="00180A37" w:rsidRDefault="00180A37" w:rsidP="00E81AC4">
            <w:pPr>
              <w:spacing w:line="360" w:lineRule="auto"/>
              <w:jc w:val="center"/>
              <w:rPr>
                <w:lang w:val="en-US"/>
              </w:rPr>
            </w:pPr>
            <w:r>
              <w:rPr>
                <w:lang w:val="en-US"/>
              </w:rPr>
              <w:t>1</w:t>
            </w:r>
          </w:p>
        </w:tc>
        <w:tc>
          <w:tcPr>
            <w:tcW w:w="2254" w:type="dxa"/>
          </w:tcPr>
          <w:p w14:paraId="34F49C09" w14:textId="3CB62194" w:rsidR="00180A37" w:rsidRDefault="004A499D" w:rsidP="00E81AC4">
            <w:pPr>
              <w:spacing w:line="360" w:lineRule="auto"/>
              <w:jc w:val="center"/>
              <w:rPr>
                <w:lang w:val="en-US"/>
              </w:rPr>
            </w:pPr>
            <w:r>
              <w:rPr>
                <w:lang w:val="en-US"/>
              </w:rPr>
              <w:t>350</w:t>
            </w:r>
          </w:p>
        </w:tc>
        <w:tc>
          <w:tcPr>
            <w:tcW w:w="2254" w:type="dxa"/>
          </w:tcPr>
          <w:p w14:paraId="2712D3B9" w14:textId="7661E47E" w:rsidR="00180A37" w:rsidRDefault="004A499D" w:rsidP="00E81AC4">
            <w:pPr>
              <w:spacing w:line="360" w:lineRule="auto"/>
              <w:jc w:val="center"/>
              <w:rPr>
                <w:lang w:val="en-US"/>
              </w:rPr>
            </w:pPr>
            <w:r>
              <w:rPr>
                <w:lang w:val="en-US"/>
              </w:rPr>
              <w:t>0.7143</w:t>
            </w:r>
          </w:p>
        </w:tc>
        <w:tc>
          <w:tcPr>
            <w:tcW w:w="2254" w:type="dxa"/>
          </w:tcPr>
          <w:p w14:paraId="18511A81" w14:textId="3D2BC297" w:rsidR="00180A37" w:rsidRDefault="004A499D" w:rsidP="00E81AC4">
            <w:pPr>
              <w:spacing w:line="360" w:lineRule="auto"/>
              <w:jc w:val="center"/>
              <w:rPr>
                <w:lang w:val="en-US"/>
              </w:rPr>
            </w:pPr>
            <w:r>
              <w:rPr>
                <w:lang w:val="en-US"/>
              </w:rPr>
              <w:t>250</w:t>
            </w:r>
          </w:p>
        </w:tc>
      </w:tr>
      <w:tr w:rsidR="004A499D" w14:paraId="5A077264" w14:textId="77777777" w:rsidTr="00E81AC4">
        <w:tc>
          <w:tcPr>
            <w:tcW w:w="2254" w:type="dxa"/>
          </w:tcPr>
          <w:p w14:paraId="169DD854" w14:textId="77777777" w:rsidR="004A499D" w:rsidRDefault="004A499D" w:rsidP="004A499D">
            <w:pPr>
              <w:spacing w:line="360" w:lineRule="auto"/>
              <w:jc w:val="center"/>
              <w:rPr>
                <w:lang w:val="en-US"/>
              </w:rPr>
            </w:pPr>
            <w:r>
              <w:rPr>
                <w:lang w:val="en-US"/>
              </w:rPr>
              <w:t>2</w:t>
            </w:r>
          </w:p>
        </w:tc>
        <w:tc>
          <w:tcPr>
            <w:tcW w:w="2254" w:type="dxa"/>
          </w:tcPr>
          <w:p w14:paraId="4080D878" w14:textId="65037C75" w:rsidR="004A499D" w:rsidRDefault="004A499D" w:rsidP="004A499D">
            <w:pPr>
              <w:spacing w:line="360" w:lineRule="auto"/>
              <w:jc w:val="center"/>
              <w:rPr>
                <w:lang w:val="en-US"/>
              </w:rPr>
            </w:pPr>
            <w:r>
              <w:rPr>
                <w:lang w:val="en-US"/>
              </w:rPr>
              <w:t>387.5</w:t>
            </w:r>
          </w:p>
        </w:tc>
        <w:tc>
          <w:tcPr>
            <w:tcW w:w="2254" w:type="dxa"/>
          </w:tcPr>
          <w:p w14:paraId="29FD5826" w14:textId="16E07A5A" w:rsidR="004A499D" w:rsidRDefault="004A499D" w:rsidP="004A499D">
            <w:pPr>
              <w:spacing w:line="360" w:lineRule="auto"/>
              <w:jc w:val="center"/>
              <w:rPr>
                <w:lang w:val="en-US"/>
              </w:rPr>
            </w:pPr>
            <w:r>
              <w:rPr>
                <w:lang w:val="en-US"/>
              </w:rPr>
              <w:t>0.5102</w:t>
            </w:r>
          </w:p>
        </w:tc>
        <w:tc>
          <w:tcPr>
            <w:tcW w:w="2254" w:type="dxa"/>
          </w:tcPr>
          <w:p w14:paraId="772B7A80" w14:textId="512409E8" w:rsidR="004A499D" w:rsidRDefault="004A499D" w:rsidP="004A499D">
            <w:pPr>
              <w:spacing w:line="360" w:lineRule="auto"/>
              <w:jc w:val="center"/>
              <w:rPr>
                <w:lang w:val="en-US"/>
              </w:rPr>
            </w:pPr>
            <w:r>
              <w:rPr>
                <w:lang w:val="en-US"/>
              </w:rPr>
              <w:t>197.70</w:t>
            </w:r>
          </w:p>
        </w:tc>
      </w:tr>
      <w:tr w:rsidR="004A499D" w14:paraId="62DE6084" w14:textId="77777777" w:rsidTr="00E81AC4">
        <w:tc>
          <w:tcPr>
            <w:tcW w:w="2254" w:type="dxa"/>
          </w:tcPr>
          <w:p w14:paraId="6ABC43C3" w14:textId="77777777" w:rsidR="004A499D" w:rsidRDefault="004A499D" w:rsidP="004A499D">
            <w:pPr>
              <w:spacing w:line="360" w:lineRule="auto"/>
              <w:jc w:val="center"/>
              <w:rPr>
                <w:lang w:val="en-US"/>
              </w:rPr>
            </w:pPr>
            <w:r>
              <w:rPr>
                <w:lang w:val="en-US"/>
              </w:rPr>
              <w:t>3</w:t>
            </w:r>
          </w:p>
        </w:tc>
        <w:tc>
          <w:tcPr>
            <w:tcW w:w="2254" w:type="dxa"/>
          </w:tcPr>
          <w:p w14:paraId="53807D16" w14:textId="51CA8E90" w:rsidR="004A499D" w:rsidRDefault="004A499D" w:rsidP="004A499D">
            <w:pPr>
              <w:spacing w:line="360" w:lineRule="auto"/>
              <w:jc w:val="center"/>
              <w:rPr>
                <w:lang w:val="en-US"/>
              </w:rPr>
            </w:pPr>
            <w:r>
              <w:rPr>
                <w:lang w:val="en-US"/>
              </w:rPr>
              <w:t>590</w:t>
            </w:r>
          </w:p>
        </w:tc>
        <w:tc>
          <w:tcPr>
            <w:tcW w:w="2254" w:type="dxa"/>
          </w:tcPr>
          <w:p w14:paraId="034B8864" w14:textId="39FB6FCE" w:rsidR="004A499D" w:rsidRDefault="004A499D" w:rsidP="004A499D">
            <w:pPr>
              <w:spacing w:line="360" w:lineRule="auto"/>
              <w:jc w:val="center"/>
              <w:rPr>
                <w:lang w:val="en-US"/>
              </w:rPr>
            </w:pPr>
            <w:r>
              <w:rPr>
                <w:lang w:val="en-US"/>
              </w:rPr>
              <w:t>0.3644</w:t>
            </w:r>
          </w:p>
        </w:tc>
        <w:tc>
          <w:tcPr>
            <w:tcW w:w="2254" w:type="dxa"/>
          </w:tcPr>
          <w:p w14:paraId="03BC1E2D" w14:textId="0069846D" w:rsidR="004A499D" w:rsidRDefault="004A499D" w:rsidP="004A499D">
            <w:pPr>
              <w:spacing w:line="360" w:lineRule="auto"/>
              <w:jc w:val="center"/>
              <w:rPr>
                <w:lang w:val="en-US"/>
              </w:rPr>
            </w:pPr>
            <w:r>
              <w:rPr>
                <w:lang w:val="en-US"/>
              </w:rPr>
              <w:t>215.00</w:t>
            </w:r>
          </w:p>
        </w:tc>
      </w:tr>
      <w:tr w:rsidR="004A499D" w14:paraId="614415ED" w14:textId="77777777" w:rsidTr="00E81AC4">
        <w:tc>
          <w:tcPr>
            <w:tcW w:w="2254" w:type="dxa"/>
          </w:tcPr>
          <w:p w14:paraId="08299352" w14:textId="77777777" w:rsidR="004A499D" w:rsidRDefault="004A499D" w:rsidP="004A499D">
            <w:pPr>
              <w:spacing w:line="360" w:lineRule="auto"/>
              <w:jc w:val="center"/>
              <w:rPr>
                <w:lang w:val="en-US"/>
              </w:rPr>
            </w:pPr>
            <w:r>
              <w:rPr>
                <w:lang w:val="en-US"/>
              </w:rPr>
              <w:t>4</w:t>
            </w:r>
          </w:p>
        </w:tc>
        <w:tc>
          <w:tcPr>
            <w:tcW w:w="2254" w:type="dxa"/>
          </w:tcPr>
          <w:p w14:paraId="3E056025" w14:textId="62CC0007" w:rsidR="004A499D" w:rsidRDefault="004A499D" w:rsidP="004A499D">
            <w:pPr>
              <w:spacing w:line="360" w:lineRule="auto"/>
              <w:jc w:val="center"/>
              <w:rPr>
                <w:lang w:val="en-US"/>
              </w:rPr>
            </w:pPr>
            <w:r>
              <w:rPr>
                <w:lang w:val="en-US"/>
              </w:rPr>
              <w:t>785</w:t>
            </w:r>
          </w:p>
        </w:tc>
        <w:tc>
          <w:tcPr>
            <w:tcW w:w="2254" w:type="dxa"/>
          </w:tcPr>
          <w:p w14:paraId="6F463D7C" w14:textId="77392ADA" w:rsidR="004A499D" w:rsidRDefault="004A499D" w:rsidP="004A499D">
            <w:pPr>
              <w:spacing w:line="360" w:lineRule="auto"/>
              <w:jc w:val="center"/>
              <w:rPr>
                <w:lang w:val="en-US"/>
              </w:rPr>
            </w:pPr>
            <w:r>
              <w:rPr>
                <w:lang w:val="en-US"/>
              </w:rPr>
              <w:t>0.2603</w:t>
            </w:r>
          </w:p>
        </w:tc>
        <w:tc>
          <w:tcPr>
            <w:tcW w:w="2254" w:type="dxa"/>
          </w:tcPr>
          <w:p w14:paraId="74B1BA46" w14:textId="599DDAC5" w:rsidR="004A499D" w:rsidRDefault="004A499D" w:rsidP="004A499D">
            <w:pPr>
              <w:spacing w:line="360" w:lineRule="auto"/>
              <w:jc w:val="center"/>
              <w:rPr>
                <w:lang w:val="en-US"/>
              </w:rPr>
            </w:pPr>
            <w:r>
              <w:rPr>
                <w:lang w:val="en-US"/>
              </w:rPr>
              <w:t>204.34</w:t>
            </w:r>
          </w:p>
        </w:tc>
      </w:tr>
      <w:tr w:rsidR="004A499D" w14:paraId="6F27115C" w14:textId="77777777" w:rsidTr="00E81AC4">
        <w:tc>
          <w:tcPr>
            <w:tcW w:w="2254" w:type="dxa"/>
          </w:tcPr>
          <w:p w14:paraId="0C0A00BD" w14:textId="77777777" w:rsidR="004A499D" w:rsidRDefault="004A499D" w:rsidP="004A499D">
            <w:pPr>
              <w:spacing w:line="360" w:lineRule="auto"/>
              <w:jc w:val="center"/>
              <w:rPr>
                <w:lang w:val="en-US"/>
              </w:rPr>
            </w:pPr>
          </w:p>
        </w:tc>
        <w:tc>
          <w:tcPr>
            <w:tcW w:w="2254" w:type="dxa"/>
          </w:tcPr>
          <w:p w14:paraId="76CB0BC1" w14:textId="77777777" w:rsidR="004A499D" w:rsidRDefault="004A499D" w:rsidP="004A499D">
            <w:pPr>
              <w:spacing w:line="360" w:lineRule="auto"/>
              <w:jc w:val="center"/>
              <w:rPr>
                <w:lang w:val="en-US"/>
              </w:rPr>
            </w:pPr>
          </w:p>
        </w:tc>
        <w:tc>
          <w:tcPr>
            <w:tcW w:w="2254" w:type="dxa"/>
          </w:tcPr>
          <w:p w14:paraId="668ED4AF" w14:textId="4DE22493" w:rsidR="004A499D" w:rsidRPr="00BE5C2F" w:rsidRDefault="004A499D" w:rsidP="004A499D">
            <w:pPr>
              <w:spacing w:line="360" w:lineRule="auto"/>
              <w:jc w:val="center"/>
              <w:rPr>
                <w:b/>
                <w:bCs/>
                <w:lang w:val="en-US"/>
              </w:rPr>
            </w:pPr>
            <w:r w:rsidRPr="00BE5C2F">
              <w:rPr>
                <w:b/>
                <w:bCs/>
                <w:lang w:val="en-US"/>
              </w:rPr>
              <w:t>NPV @ 40%</w:t>
            </w:r>
          </w:p>
        </w:tc>
        <w:tc>
          <w:tcPr>
            <w:tcW w:w="2254" w:type="dxa"/>
          </w:tcPr>
          <w:p w14:paraId="10823B3B" w14:textId="459BDE39" w:rsidR="004A499D" w:rsidRPr="00BE5C2F" w:rsidRDefault="004A499D" w:rsidP="004A499D">
            <w:pPr>
              <w:spacing w:line="360" w:lineRule="auto"/>
              <w:jc w:val="center"/>
              <w:rPr>
                <w:b/>
                <w:bCs/>
                <w:lang w:val="en-US"/>
              </w:rPr>
            </w:pPr>
            <w:r w:rsidRPr="00BE5C2F">
              <w:rPr>
                <w:b/>
                <w:bCs/>
                <w:lang w:val="en-US"/>
              </w:rPr>
              <w:t>(132.960)</w:t>
            </w:r>
          </w:p>
        </w:tc>
      </w:tr>
    </w:tbl>
    <w:p w14:paraId="6568BBAE" w14:textId="27025FC1" w:rsidR="007A5861" w:rsidRPr="00FF3FBD" w:rsidRDefault="000F577E" w:rsidP="00F3447B">
      <w:pPr>
        <w:spacing w:line="360" w:lineRule="auto"/>
        <w:rPr>
          <w:lang w:val="en-US"/>
        </w:rPr>
      </w:pPr>
      <w:r>
        <w:rPr>
          <w:lang w:val="en-US"/>
        </w:rPr>
        <w:t xml:space="preserve">Hence, IRR is = </w:t>
      </w:r>
      <w:r w:rsidR="00186279">
        <w:rPr>
          <w:lang w:val="en-US"/>
        </w:rPr>
        <w:t>6</w:t>
      </w:r>
      <w:r>
        <w:rPr>
          <w:lang w:val="en-US"/>
        </w:rPr>
        <w:t>% + [(</w:t>
      </w:r>
      <w:r w:rsidR="00186279">
        <w:rPr>
          <w:lang w:val="en-US"/>
        </w:rPr>
        <w:t>792,228</w:t>
      </w:r>
      <w:r>
        <w:rPr>
          <w:lang w:val="en-US"/>
        </w:rPr>
        <w:t xml:space="preserve"> / (</w:t>
      </w:r>
      <w:r w:rsidR="00186279">
        <w:rPr>
          <w:lang w:val="en-US"/>
        </w:rPr>
        <w:t>792,228</w:t>
      </w:r>
      <w:r>
        <w:rPr>
          <w:lang w:val="en-US"/>
        </w:rPr>
        <w:t xml:space="preserve"> – </w:t>
      </w:r>
      <w:r w:rsidR="00186279">
        <w:rPr>
          <w:lang w:val="en-US"/>
        </w:rPr>
        <w:t>(-132,960</w:t>
      </w:r>
      <w:r>
        <w:rPr>
          <w:lang w:val="en-US"/>
        </w:rPr>
        <w:t>)] * (</w:t>
      </w:r>
      <w:r w:rsidR="00186279">
        <w:rPr>
          <w:lang w:val="en-US"/>
        </w:rPr>
        <w:t>4</w:t>
      </w:r>
      <w:r>
        <w:rPr>
          <w:lang w:val="en-US"/>
        </w:rPr>
        <w:t xml:space="preserve">0% - </w:t>
      </w:r>
      <w:r w:rsidR="00186279">
        <w:rPr>
          <w:lang w:val="en-US"/>
        </w:rPr>
        <w:t>6</w:t>
      </w:r>
      <w:r>
        <w:rPr>
          <w:lang w:val="en-US"/>
        </w:rPr>
        <w:t xml:space="preserve">%) = </w:t>
      </w:r>
      <w:r w:rsidRPr="00C53D9F">
        <w:rPr>
          <w:b/>
          <w:bCs/>
          <w:lang w:val="en-US"/>
        </w:rPr>
        <w:t>3</w:t>
      </w:r>
      <w:r w:rsidR="00186279">
        <w:rPr>
          <w:b/>
          <w:bCs/>
          <w:lang w:val="en-US"/>
        </w:rPr>
        <w:t>5.11</w:t>
      </w:r>
      <w:r w:rsidRPr="00C53D9F">
        <w:rPr>
          <w:b/>
          <w:bCs/>
          <w:lang w:val="en-US"/>
        </w:rPr>
        <w:t>%</w:t>
      </w:r>
    </w:p>
    <w:p w14:paraId="55499AEF" w14:textId="7EF36DE5" w:rsidR="00F3447B" w:rsidRDefault="00387D1D" w:rsidP="00F3447B">
      <w:pPr>
        <w:pStyle w:val="Heading3"/>
        <w:spacing w:line="360" w:lineRule="auto"/>
        <w:rPr>
          <w:rFonts w:ascii="Times New Roman" w:hAnsi="Times New Roman" w:cs="Times New Roman"/>
          <w:b/>
          <w:bCs/>
          <w:sz w:val="24"/>
          <w:szCs w:val="32"/>
          <w:lang w:val="en-US"/>
        </w:rPr>
      </w:pPr>
      <w:bookmarkStart w:id="27" w:name="_Toc224345131"/>
      <w:r>
        <w:rPr>
          <w:rFonts w:ascii="Times New Roman" w:hAnsi="Times New Roman" w:cs="Times New Roman"/>
          <w:b/>
          <w:bCs/>
          <w:sz w:val="24"/>
          <w:szCs w:val="32"/>
          <w:lang w:val="en-US"/>
        </w:rPr>
        <w:t>IRR Interpretation</w:t>
      </w:r>
      <w:bookmarkEnd w:id="27"/>
    </w:p>
    <w:p w14:paraId="7BF2F062" w14:textId="01C7DBEF" w:rsidR="00E107EE" w:rsidRDefault="00AC33B6" w:rsidP="00E107EE">
      <w:pPr>
        <w:spacing w:line="360" w:lineRule="auto"/>
        <w:rPr>
          <w:lang w:val="en-US"/>
        </w:rPr>
      </w:pPr>
      <w:r>
        <w:rPr>
          <w:lang w:val="en-US"/>
        </w:rPr>
        <w:t>The IRR of Option B has resulted in</w:t>
      </w:r>
      <w:r w:rsidR="0069480A">
        <w:rPr>
          <w:lang w:val="en-US"/>
        </w:rPr>
        <w:t xml:space="preserve"> 3</w:t>
      </w:r>
      <w:r w:rsidR="0021519C">
        <w:rPr>
          <w:lang w:val="en-US"/>
        </w:rPr>
        <w:t>5.11</w:t>
      </w:r>
      <w:r w:rsidR="0069480A">
        <w:rPr>
          <w:lang w:val="en-US"/>
        </w:rPr>
        <w:t>%</w:t>
      </w:r>
      <w:r w:rsidR="004C1043">
        <w:rPr>
          <w:lang w:val="en-US"/>
        </w:rPr>
        <w:t>,</w:t>
      </w:r>
      <w:r w:rsidR="0069480A">
        <w:rPr>
          <w:lang w:val="en-US"/>
        </w:rPr>
        <w:t xml:space="preserve"> which exceeds the cost of capital of 6% significantly. </w:t>
      </w:r>
      <w:r w:rsidR="00097B0A">
        <w:rPr>
          <w:lang w:val="en-US"/>
        </w:rPr>
        <w:t xml:space="preserve">Now, even if the actual returns fall considerably short of the projected returns, the project will remain lucrative to invest in. </w:t>
      </w:r>
      <w:r w:rsidR="00884177">
        <w:rPr>
          <w:lang w:val="en-US"/>
        </w:rPr>
        <w:t xml:space="preserve">As there is </w:t>
      </w:r>
      <w:r w:rsidR="004C1043">
        <w:rPr>
          <w:lang w:val="en-US"/>
        </w:rPr>
        <w:t xml:space="preserve">an </w:t>
      </w:r>
      <w:r w:rsidR="00884177">
        <w:rPr>
          <w:lang w:val="en-US"/>
        </w:rPr>
        <w:t>excess of returns</w:t>
      </w:r>
      <w:r w:rsidR="00307BB0">
        <w:rPr>
          <w:lang w:val="en-US"/>
        </w:rPr>
        <w:t xml:space="preserve">, the project yields </w:t>
      </w:r>
      <w:r w:rsidR="004C1043">
        <w:rPr>
          <w:lang w:val="en-US"/>
        </w:rPr>
        <w:t xml:space="preserve">a </w:t>
      </w:r>
      <w:r w:rsidR="00307BB0">
        <w:rPr>
          <w:lang w:val="en-US"/>
        </w:rPr>
        <w:t xml:space="preserve">greater margin of safety for the company to invest in. </w:t>
      </w:r>
      <w:r w:rsidR="0068694E">
        <w:rPr>
          <w:lang w:val="en-US"/>
        </w:rPr>
        <w:t xml:space="preserve">As a result, even if there </w:t>
      </w:r>
      <w:r w:rsidR="00C7444C">
        <w:rPr>
          <w:lang w:val="en-US"/>
        </w:rPr>
        <w:t xml:space="preserve">are </w:t>
      </w:r>
      <w:r w:rsidR="0068694E">
        <w:rPr>
          <w:lang w:val="en-US"/>
        </w:rPr>
        <w:t xml:space="preserve">significant forecasting errors or the economic conditions degrade, </w:t>
      </w:r>
      <w:r w:rsidR="00A109ED">
        <w:rPr>
          <w:lang w:val="en-US"/>
        </w:rPr>
        <w:t xml:space="preserve">the company will still stand to benefit. </w:t>
      </w:r>
    </w:p>
    <w:p w14:paraId="2C628AC3" w14:textId="3611C3EB" w:rsidR="00C7444C" w:rsidRDefault="00C7444C" w:rsidP="00E107EE">
      <w:pPr>
        <w:spacing w:line="360" w:lineRule="auto"/>
        <w:rPr>
          <w:lang w:val="en-US"/>
        </w:rPr>
      </w:pPr>
      <w:r>
        <w:rPr>
          <w:lang w:val="en-US"/>
        </w:rPr>
        <w:t xml:space="preserve">The spread of </w:t>
      </w:r>
      <w:r w:rsidR="0021519C">
        <w:rPr>
          <w:lang w:val="en-US"/>
        </w:rPr>
        <w:t xml:space="preserve">over </w:t>
      </w:r>
      <w:r>
        <w:rPr>
          <w:lang w:val="en-US"/>
        </w:rPr>
        <w:t>2</w:t>
      </w:r>
      <w:r w:rsidR="0021519C">
        <w:rPr>
          <w:lang w:val="en-US"/>
        </w:rPr>
        <w:t>9</w:t>
      </w:r>
      <w:r>
        <w:rPr>
          <w:lang w:val="en-US"/>
        </w:rPr>
        <w:t xml:space="preserve">% clearly showcases that the project remains lucrative. For instance, if cash flows are to be 60% of projections, even then the project will exceed the cost of capital the company bears. </w:t>
      </w:r>
    </w:p>
    <w:p w14:paraId="404524E7" w14:textId="06A825A0" w:rsidR="002872CC" w:rsidRDefault="002872CC" w:rsidP="00E107EE">
      <w:pPr>
        <w:spacing w:line="360" w:lineRule="auto"/>
        <w:rPr>
          <w:lang w:val="en-US"/>
        </w:rPr>
      </w:pPr>
      <w:r>
        <w:rPr>
          <w:lang w:val="en-US"/>
        </w:rPr>
        <w:t xml:space="preserve">Lastly, the IRR must not be considered separately and rather should be used as a complement to NPV. Although the IRR suggests that Option B is excellent in terms of </w:t>
      </w:r>
      <w:r w:rsidR="004C1043">
        <w:rPr>
          <w:lang w:val="en-US"/>
        </w:rPr>
        <w:t>generating</w:t>
      </w:r>
      <w:r>
        <w:rPr>
          <w:lang w:val="en-US"/>
        </w:rPr>
        <w:t xml:space="preserve"> returns, it cannot showcase the volume of that value creation. </w:t>
      </w:r>
      <w:r w:rsidR="003E6FC8">
        <w:rPr>
          <w:lang w:val="en-US"/>
        </w:rPr>
        <w:t xml:space="preserve">This is why NPV must be incorporated to address the limitations that NPV has. </w:t>
      </w:r>
    </w:p>
    <w:p w14:paraId="149EC096" w14:textId="0354AD70" w:rsidR="00E107EE" w:rsidRDefault="001A6228" w:rsidP="00E107EE">
      <w:pPr>
        <w:pStyle w:val="Heading2"/>
        <w:spacing w:line="360" w:lineRule="auto"/>
        <w:rPr>
          <w:lang w:val="en-US"/>
        </w:rPr>
      </w:pPr>
      <w:bookmarkStart w:id="28" w:name="_Toc224345132"/>
      <w:r>
        <w:rPr>
          <w:lang w:val="en-US"/>
        </w:rPr>
        <w:t>Theoretical Arguments for NPV as the Best Investment Appraisal Method</w:t>
      </w:r>
      <w:bookmarkEnd w:id="28"/>
    </w:p>
    <w:p w14:paraId="5F4C7E86" w14:textId="3076D244" w:rsidR="00E107EE" w:rsidRDefault="0000168C" w:rsidP="00E107EE">
      <w:pPr>
        <w:spacing w:line="360" w:lineRule="auto"/>
        <w:rPr>
          <w:lang w:val="en-US"/>
        </w:rPr>
      </w:pPr>
      <w:r>
        <w:rPr>
          <w:lang w:val="en-US"/>
        </w:rPr>
        <w:t xml:space="preserve">There are multiple arguments for NPV to be the best investment appraisal method. </w:t>
      </w:r>
      <w:r w:rsidR="00F27F3C">
        <w:rPr>
          <w:lang w:val="en-US"/>
        </w:rPr>
        <w:t>These arguments are provided below.</w:t>
      </w:r>
    </w:p>
    <w:p w14:paraId="67A715DA" w14:textId="18FE5632" w:rsidR="00507DD5" w:rsidRDefault="00507DD5" w:rsidP="00507DD5">
      <w:pPr>
        <w:pStyle w:val="ListParagraph"/>
        <w:numPr>
          <w:ilvl w:val="0"/>
          <w:numId w:val="4"/>
        </w:numPr>
        <w:spacing w:line="360" w:lineRule="auto"/>
        <w:rPr>
          <w:lang w:val="en-US"/>
        </w:rPr>
      </w:pPr>
      <w:r>
        <w:rPr>
          <w:b/>
          <w:bCs/>
          <w:lang w:val="en-US"/>
        </w:rPr>
        <w:t xml:space="preserve">Consistency with Shareholder Wealth </w:t>
      </w:r>
      <w:r w:rsidR="004C1043">
        <w:rPr>
          <w:b/>
          <w:bCs/>
          <w:lang w:val="en-US"/>
        </w:rPr>
        <w:t>Maximisation</w:t>
      </w:r>
      <w:r>
        <w:rPr>
          <w:b/>
          <w:bCs/>
          <w:lang w:val="en-US"/>
        </w:rPr>
        <w:t xml:space="preserve">: </w:t>
      </w:r>
      <w:r>
        <w:rPr>
          <w:lang w:val="en-US"/>
        </w:rPr>
        <w:t>NPV is one such method which directly showcases the amount of value added by a particular project</w:t>
      </w:r>
      <w:r w:rsidR="004C1043">
        <w:rPr>
          <w:lang w:val="en-US"/>
        </w:rPr>
        <w:t>,</w:t>
      </w:r>
      <w:r w:rsidR="000816A6">
        <w:rPr>
          <w:lang w:val="en-US"/>
        </w:rPr>
        <w:t xml:space="preserve"> which illustrates the value additivity of a project to </w:t>
      </w:r>
      <w:r w:rsidR="004C1043">
        <w:rPr>
          <w:lang w:val="en-US"/>
        </w:rPr>
        <w:t>shareholders’</w:t>
      </w:r>
      <w:r w:rsidR="000816A6">
        <w:rPr>
          <w:lang w:val="en-US"/>
        </w:rPr>
        <w:t xml:space="preserve"> wealth</w:t>
      </w:r>
      <w:r w:rsidR="0021519C">
        <w:rPr>
          <w:lang w:val="en-US"/>
        </w:rPr>
        <w:t xml:space="preserve"> (</w:t>
      </w:r>
      <w:r w:rsidR="0021519C" w:rsidRPr="0021519C">
        <w:t>Wang</w:t>
      </w:r>
      <w:r w:rsidR="0021519C">
        <w:t>, 2021)</w:t>
      </w:r>
      <w:r w:rsidR="000816A6">
        <w:rPr>
          <w:lang w:val="en-US"/>
        </w:rPr>
        <w:t>. For instance, Option B showcases that an additional 792,228 Pounds</w:t>
      </w:r>
      <w:r w:rsidR="008D0312">
        <w:rPr>
          <w:lang w:val="en-US"/>
        </w:rPr>
        <w:t xml:space="preserve"> will be added to the company’s value generation. </w:t>
      </w:r>
      <w:r w:rsidR="009F4B65">
        <w:rPr>
          <w:lang w:val="en-US"/>
        </w:rPr>
        <w:t xml:space="preserve">As a result, it automatically becomes </w:t>
      </w:r>
      <w:r w:rsidR="004C1043">
        <w:rPr>
          <w:lang w:val="en-US"/>
        </w:rPr>
        <w:t>a</w:t>
      </w:r>
      <w:r w:rsidR="009F4B65">
        <w:rPr>
          <w:lang w:val="en-US"/>
        </w:rPr>
        <w:t xml:space="preserve"> superior metric compared to other available ones. </w:t>
      </w:r>
    </w:p>
    <w:p w14:paraId="14731913" w14:textId="703D7362" w:rsidR="00507DD5" w:rsidRDefault="00507DD5" w:rsidP="00507DD5">
      <w:pPr>
        <w:pStyle w:val="ListParagraph"/>
        <w:numPr>
          <w:ilvl w:val="0"/>
          <w:numId w:val="4"/>
        </w:numPr>
        <w:spacing w:line="360" w:lineRule="auto"/>
        <w:rPr>
          <w:lang w:val="en-US"/>
        </w:rPr>
      </w:pPr>
      <w:r>
        <w:rPr>
          <w:b/>
          <w:bCs/>
          <w:lang w:val="en-US"/>
        </w:rPr>
        <w:t>Proper Treatment of Time Value of Money:</w:t>
      </w:r>
      <w:r>
        <w:rPr>
          <w:lang w:val="en-US"/>
        </w:rPr>
        <w:t xml:space="preserve"> </w:t>
      </w:r>
      <w:r w:rsidR="00132A95">
        <w:rPr>
          <w:lang w:val="en-US"/>
        </w:rPr>
        <w:t xml:space="preserve">NPV properly discounts all the cash flows to the present value to calculate the profitability of a project. </w:t>
      </w:r>
      <w:r w:rsidR="00015726">
        <w:rPr>
          <w:lang w:val="en-US"/>
        </w:rPr>
        <w:t xml:space="preserve">In this </w:t>
      </w:r>
      <w:r w:rsidR="00C979E4">
        <w:rPr>
          <w:lang w:val="en-US"/>
        </w:rPr>
        <w:t>way</w:t>
      </w:r>
      <w:r w:rsidR="00015726">
        <w:rPr>
          <w:lang w:val="en-US"/>
        </w:rPr>
        <w:t xml:space="preserve">, the </w:t>
      </w:r>
      <w:r w:rsidR="00C979E4">
        <w:rPr>
          <w:lang w:val="en-US"/>
        </w:rPr>
        <w:t xml:space="preserve">process </w:t>
      </w:r>
      <w:r w:rsidR="00015726">
        <w:rPr>
          <w:lang w:val="en-US"/>
        </w:rPr>
        <w:t>incorporates the time value of money concept</w:t>
      </w:r>
      <w:r w:rsidR="00AB4659">
        <w:rPr>
          <w:lang w:val="en-US"/>
        </w:rPr>
        <w:t xml:space="preserve"> effectively into calculating NPV.  </w:t>
      </w:r>
      <w:r w:rsidR="009A3FE9">
        <w:rPr>
          <w:lang w:val="en-US"/>
        </w:rPr>
        <w:t xml:space="preserve">In this regard, even if </w:t>
      </w:r>
      <w:r w:rsidR="004C1043">
        <w:rPr>
          <w:lang w:val="en-US"/>
        </w:rPr>
        <w:t xml:space="preserve">the </w:t>
      </w:r>
      <w:r w:rsidR="009A3FE9">
        <w:rPr>
          <w:lang w:val="en-US"/>
        </w:rPr>
        <w:t xml:space="preserve">discounted payback period is to be used, it will not yield the same results due to its timing constraints. </w:t>
      </w:r>
    </w:p>
    <w:p w14:paraId="2114E5A7" w14:textId="012AC8CF" w:rsidR="00507DD5" w:rsidRPr="00507DD5" w:rsidRDefault="00507DD5" w:rsidP="00507DD5">
      <w:pPr>
        <w:pStyle w:val="ListParagraph"/>
        <w:numPr>
          <w:ilvl w:val="0"/>
          <w:numId w:val="4"/>
        </w:numPr>
        <w:spacing w:line="360" w:lineRule="auto"/>
        <w:rPr>
          <w:lang w:val="en-US"/>
        </w:rPr>
      </w:pPr>
      <w:r>
        <w:rPr>
          <w:b/>
          <w:bCs/>
          <w:lang w:val="en-US"/>
        </w:rPr>
        <w:t>Consideration of All Cash Flows:</w:t>
      </w:r>
      <w:r>
        <w:rPr>
          <w:lang w:val="en-US"/>
        </w:rPr>
        <w:t xml:space="preserve"> </w:t>
      </w:r>
      <w:r w:rsidR="00533693">
        <w:rPr>
          <w:lang w:val="en-US"/>
        </w:rPr>
        <w:t>NPV is one such appraisal technique which considers all the cash flows related to a project</w:t>
      </w:r>
      <w:r w:rsidR="004C1043">
        <w:rPr>
          <w:lang w:val="en-US"/>
        </w:rPr>
        <w:t>,</w:t>
      </w:r>
      <w:r w:rsidR="00533693">
        <w:rPr>
          <w:lang w:val="en-US"/>
        </w:rPr>
        <w:t xml:space="preserve"> unlike </w:t>
      </w:r>
      <w:r w:rsidR="004C1043">
        <w:rPr>
          <w:lang w:val="en-US"/>
        </w:rPr>
        <w:t xml:space="preserve">the </w:t>
      </w:r>
      <w:r w:rsidR="00533693">
        <w:rPr>
          <w:lang w:val="en-US"/>
        </w:rPr>
        <w:t>payback period</w:t>
      </w:r>
      <w:r w:rsidR="004C1043">
        <w:rPr>
          <w:lang w:val="en-US"/>
        </w:rPr>
        <w:t>,</w:t>
      </w:r>
      <w:r w:rsidR="00533693">
        <w:rPr>
          <w:lang w:val="en-US"/>
        </w:rPr>
        <w:t xml:space="preserve"> which does not go beyond the cash flow of the payback year</w:t>
      </w:r>
      <w:r w:rsidR="0021519C">
        <w:rPr>
          <w:lang w:val="en-US"/>
        </w:rPr>
        <w:t xml:space="preserve"> (</w:t>
      </w:r>
      <w:r w:rsidR="0021519C" w:rsidRPr="0021519C">
        <w:t>Dai</w:t>
      </w:r>
      <w:r w:rsidR="0021519C">
        <w:t xml:space="preserve"> et al., 2022)</w:t>
      </w:r>
      <w:r w:rsidR="00533693">
        <w:rPr>
          <w:lang w:val="en-US"/>
        </w:rPr>
        <w:t xml:space="preserve">. </w:t>
      </w:r>
      <w:r w:rsidR="00690593">
        <w:rPr>
          <w:lang w:val="en-US"/>
        </w:rPr>
        <w:t>Moreover, it is one of the very few appraisal techniques which calculates the profitability of a project effectively.</w:t>
      </w:r>
    </w:p>
    <w:p w14:paraId="486DD7A6" w14:textId="2758D967" w:rsidR="00E107EE" w:rsidRDefault="001A6228" w:rsidP="00E107EE">
      <w:pPr>
        <w:pStyle w:val="Heading2"/>
        <w:spacing w:line="360" w:lineRule="auto"/>
        <w:rPr>
          <w:lang w:val="en-US"/>
        </w:rPr>
      </w:pPr>
      <w:bookmarkStart w:id="29" w:name="_Toc224345133"/>
      <w:r>
        <w:rPr>
          <w:lang w:val="en-US"/>
        </w:rPr>
        <w:t>Continued Popularity of Non-Discounting Methods</w:t>
      </w:r>
      <w:bookmarkEnd w:id="29"/>
    </w:p>
    <w:p w14:paraId="4C35D65F" w14:textId="631AE57F" w:rsidR="00E107EE" w:rsidRDefault="00244AD4" w:rsidP="00E107EE">
      <w:pPr>
        <w:spacing w:line="360" w:lineRule="auto"/>
        <w:rPr>
          <w:lang w:val="en-US"/>
        </w:rPr>
      </w:pPr>
      <w:r>
        <w:rPr>
          <w:lang w:val="en-US"/>
        </w:rPr>
        <w:t xml:space="preserve">Although the discounting methods yield the closest to accurate results, the non-discounting methods such as payback period, accounting rate of return etc. are still very popular. </w:t>
      </w:r>
      <w:r w:rsidR="000F2EB0">
        <w:rPr>
          <w:lang w:val="en-US"/>
        </w:rPr>
        <w:t>The reasonings are as follows.</w:t>
      </w:r>
    </w:p>
    <w:p w14:paraId="67A5FCDC" w14:textId="26705EB2" w:rsidR="00866B51" w:rsidRDefault="00866B51" w:rsidP="00E107EE">
      <w:pPr>
        <w:spacing w:line="360" w:lineRule="auto"/>
        <w:rPr>
          <w:b/>
          <w:bCs/>
          <w:lang w:val="en-US"/>
        </w:rPr>
      </w:pPr>
      <w:r>
        <w:rPr>
          <w:b/>
          <w:bCs/>
          <w:lang w:val="en-US"/>
        </w:rPr>
        <w:t>Popularity of Payback Period</w:t>
      </w:r>
    </w:p>
    <w:p w14:paraId="1B0E2D67" w14:textId="3C54A847" w:rsidR="00866B51" w:rsidRPr="00866B51" w:rsidRDefault="00E14DF9" w:rsidP="00866B51">
      <w:pPr>
        <w:pStyle w:val="ListParagraph"/>
        <w:numPr>
          <w:ilvl w:val="0"/>
          <w:numId w:val="5"/>
        </w:numPr>
        <w:spacing w:line="360" w:lineRule="auto"/>
        <w:rPr>
          <w:b/>
          <w:bCs/>
          <w:lang w:val="en-US"/>
        </w:rPr>
      </w:pPr>
      <w:r>
        <w:rPr>
          <w:lang w:val="en-US"/>
        </w:rPr>
        <w:t xml:space="preserve">It is an intuitive concept to answer a very simple question. “How long till we get our money back?” </w:t>
      </w:r>
      <w:r w:rsidR="00546638">
        <w:rPr>
          <w:lang w:val="en-US"/>
        </w:rPr>
        <w:t xml:space="preserve">To answer this question, no professional training is required nor any financial training is needed. </w:t>
      </w:r>
      <w:r w:rsidR="00E84E37">
        <w:rPr>
          <w:lang w:val="en-US"/>
        </w:rPr>
        <w:t>As a result, managers from non-technical backgrounds are also able to use it and interpret an investment decision efficiently.</w:t>
      </w:r>
    </w:p>
    <w:p w14:paraId="5F569E65" w14:textId="5C7ED958" w:rsidR="00866B51" w:rsidRPr="00C87383" w:rsidRDefault="00DB3E05" w:rsidP="00866B51">
      <w:pPr>
        <w:pStyle w:val="ListParagraph"/>
        <w:numPr>
          <w:ilvl w:val="0"/>
          <w:numId w:val="5"/>
        </w:numPr>
        <w:spacing w:line="360" w:lineRule="auto"/>
        <w:rPr>
          <w:b/>
          <w:bCs/>
          <w:lang w:val="en-US"/>
        </w:rPr>
      </w:pPr>
      <w:r>
        <w:rPr>
          <w:lang w:val="en-US"/>
        </w:rPr>
        <w:t xml:space="preserve">The use of payback period has remained dominant even after the reliability of discounted methods has been proven because of its ability to define the shorter payback period and differentiate projects based on liquidity alone. </w:t>
      </w:r>
      <w:r w:rsidR="00A32B1E">
        <w:rPr>
          <w:lang w:val="en-US"/>
        </w:rPr>
        <w:t xml:space="preserve">For riskier projects, </w:t>
      </w:r>
      <w:r w:rsidR="009A704E">
        <w:rPr>
          <w:lang w:val="en-US"/>
        </w:rPr>
        <w:t>it is important to ensure that the payback period is lower</w:t>
      </w:r>
      <w:r w:rsidR="00AC2B27">
        <w:rPr>
          <w:lang w:val="en-US"/>
        </w:rPr>
        <w:t xml:space="preserve"> (</w:t>
      </w:r>
      <w:r w:rsidR="00AC2B27" w:rsidRPr="00AC2B27">
        <w:t>Cotter</w:t>
      </w:r>
      <w:r w:rsidR="00AC2B27">
        <w:t>, 2023)</w:t>
      </w:r>
      <w:r w:rsidR="009A704E">
        <w:rPr>
          <w:lang w:val="en-US"/>
        </w:rPr>
        <w:t>.</w:t>
      </w:r>
    </w:p>
    <w:p w14:paraId="70A48A38" w14:textId="465EE421" w:rsidR="00C87383" w:rsidRPr="00866B51" w:rsidRDefault="00C87383" w:rsidP="00866B51">
      <w:pPr>
        <w:pStyle w:val="ListParagraph"/>
        <w:numPr>
          <w:ilvl w:val="0"/>
          <w:numId w:val="5"/>
        </w:numPr>
        <w:spacing w:line="360" w:lineRule="auto"/>
        <w:rPr>
          <w:b/>
          <w:bCs/>
          <w:lang w:val="en-US"/>
        </w:rPr>
      </w:pPr>
      <w:r>
        <w:rPr>
          <w:lang w:val="en-US"/>
        </w:rPr>
        <w:t xml:space="preserve">Because of the simplicity of the method, </w:t>
      </w:r>
      <w:r w:rsidR="00A84A0A">
        <w:rPr>
          <w:lang w:val="en-US"/>
        </w:rPr>
        <w:t xml:space="preserve">it does not require much </w:t>
      </w:r>
      <w:r w:rsidR="00B12192">
        <w:rPr>
          <w:lang w:val="en-US"/>
        </w:rPr>
        <w:t xml:space="preserve">data to complete the </w:t>
      </w:r>
      <w:r w:rsidR="00D84FB2">
        <w:rPr>
          <w:lang w:val="en-US"/>
        </w:rPr>
        <w:t xml:space="preserve">process. </w:t>
      </w:r>
      <w:r w:rsidR="00C51C6D">
        <w:rPr>
          <w:lang w:val="en-US"/>
        </w:rPr>
        <w:t>As a result, it remains to be a dominant method.</w:t>
      </w:r>
    </w:p>
    <w:p w14:paraId="5867A889" w14:textId="55BFEB14" w:rsidR="00866B51" w:rsidRDefault="00866B51" w:rsidP="00866B51">
      <w:pPr>
        <w:spacing w:line="360" w:lineRule="auto"/>
        <w:rPr>
          <w:b/>
          <w:bCs/>
          <w:lang w:val="en-US"/>
        </w:rPr>
      </w:pPr>
      <w:r>
        <w:rPr>
          <w:b/>
          <w:bCs/>
          <w:lang w:val="en-US"/>
        </w:rPr>
        <w:t>Persistence of Accounting Rate of Return</w:t>
      </w:r>
    </w:p>
    <w:p w14:paraId="1BB97274" w14:textId="2843E2E1" w:rsidR="00866B51" w:rsidRPr="00866B51" w:rsidRDefault="00886D92" w:rsidP="00866B51">
      <w:pPr>
        <w:pStyle w:val="ListParagraph"/>
        <w:numPr>
          <w:ilvl w:val="0"/>
          <w:numId w:val="5"/>
        </w:numPr>
        <w:spacing w:line="360" w:lineRule="auto"/>
        <w:rPr>
          <w:b/>
          <w:bCs/>
          <w:lang w:val="en-US"/>
        </w:rPr>
      </w:pPr>
      <w:r>
        <w:rPr>
          <w:lang w:val="en-US"/>
        </w:rPr>
        <w:t xml:space="preserve">Due to the use of accounting profits, </w:t>
      </w:r>
      <w:r w:rsidR="000847C3">
        <w:rPr>
          <w:lang w:val="en-US"/>
        </w:rPr>
        <w:t xml:space="preserve">ARR uses information from the financial statements directly. </w:t>
      </w:r>
      <w:r w:rsidR="00A708E2">
        <w:rPr>
          <w:lang w:val="en-US"/>
        </w:rPr>
        <w:t>This ensures of consistency and integrates the control systems of a company with its investment appraisal techniques.</w:t>
      </w:r>
    </w:p>
    <w:p w14:paraId="1DAA5076" w14:textId="10EDB1D1" w:rsidR="00866B51" w:rsidRPr="00866B51" w:rsidRDefault="0010165D" w:rsidP="00866B51">
      <w:pPr>
        <w:pStyle w:val="ListParagraph"/>
        <w:numPr>
          <w:ilvl w:val="0"/>
          <w:numId w:val="5"/>
        </w:numPr>
        <w:spacing w:line="360" w:lineRule="auto"/>
        <w:rPr>
          <w:b/>
          <w:bCs/>
          <w:lang w:val="en-US"/>
        </w:rPr>
      </w:pPr>
      <w:r>
        <w:rPr>
          <w:lang w:val="en-US"/>
        </w:rPr>
        <w:t xml:space="preserve">When accounting-based profitability measures </w:t>
      </w:r>
      <w:r w:rsidR="001859FB">
        <w:rPr>
          <w:lang w:val="en-US"/>
        </w:rPr>
        <w:t>are used by the executives</w:t>
      </w:r>
      <w:r w:rsidR="00630D69">
        <w:rPr>
          <w:lang w:val="en-US"/>
        </w:rPr>
        <w:t xml:space="preserve"> such as ROE, ROCE and as such ones, </w:t>
      </w:r>
      <w:r w:rsidR="004712BC">
        <w:rPr>
          <w:lang w:val="en-US"/>
        </w:rPr>
        <w:t xml:space="preserve">ARR becomes intuitively more relevant and useable. </w:t>
      </w:r>
      <w:r w:rsidR="000840F6">
        <w:rPr>
          <w:lang w:val="en-US"/>
        </w:rPr>
        <w:t>As a result, it remains to be dominant</w:t>
      </w:r>
      <w:r w:rsidR="00AC2B27">
        <w:rPr>
          <w:lang w:val="en-US"/>
        </w:rPr>
        <w:t xml:space="preserve"> (</w:t>
      </w:r>
      <w:r w:rsidR="00AC2B27" w:rsidRPr="00AC2B27">
        <w:t>Whittington</w:t>
      </w:r>
      <w:r w:rsidR="00AC2B27">
        <w:t>, 2013)</w:t>
      </w:r>
      <w:r w:rsidR="000840F6">
        <w:rPr>
          <w:lang w:val="en-US"/>
        </w:rPr>
        <w:t>.</w:t>
      </w:r>
    </w:p>
    <w:p w14:paraId="7A841E05" w14:textId="3187CC9D" w:rsidR="00E107EE" w:rsidRDefault="001A6228" w:rsidP="00E107EE">
      <w:pPr>
        <w:pStyle w:val="Heading2"/>
        <w:spacing w:line="360" w:lineRule="auto"/>
        <w:rPr>
          <w:lang w:val="en-US"/>
        </w:rPr>
      </w:pPr>
      <w:bookmarkStart w:id="30" w:name="_Toc224345134"/>
      <w:r>
        <w:rPr>
          <w:lang w:val="en-US"/>
        </w:rPr>
        <w:t>Other Factors to Consider before Investment Decision</w:t>
      </w:r>
      <w:bookmarkEnd w:id="30"/>
    </w:p>
    <w:p w14:paraId="58F9998A" w14:textId="634D8053" w:rsidR="00E107EE" w:rsidRDefault="00DC075C" w:rsidP="00E107EE">
      <w:pPr>
        <w:spacing w:line="360" w:lineRule="auto"/>
        <w:rPr>
          <w:lang w:val="en-US"/>
        </w:rPr>
      </w:pPr>
      <w:r>
        <w:rPr>
          <w:lang w:val="en-US"/>
        </w:rPr>
        <w:t xml:space="preserve">Although having financial underpinning </w:t>
      </w:r>
      <w:r w:rsidR="003C2F64">
        <w:rPr>
          <w:lang w:val="en-US"/>
        </w:rPr>
        <w:t xml:space="preserve">is essential for any investment decisions, </w:t>
      </w:r>
      <w:r w:rsidR="006F2436">
        <w:rPr>
          <w:lang w:val="en-US"/>
        </w:rPr>
        <w:t xml:space="preserve">it is also necessary to consider other factors to ensure of best possible results. </w:t>
      </w:r>
      <w:r w:rsidR="00934B04">
        <w:rPr>
          <w:lang w:val="en-US"/>
        </w:rPr>
        <w:t>These other factors are elaborated below.</w:t>
      </w:r>
    </w:p>
    <w:p w14:paraId="768C485C" w14:textId="00316C87" w:rsidR="00065B99" w:rsidRPr="00065B99" w:rsidRDefault="00065B99" w:rsidP="00065B99">
      <w:pPr>
        <w:pStyle w:val="ListParagraph"/>
        <w:numPr>
          <w:ilvl w:val="0"/>
          <w:numId w:val="6"/>
        </w:numPr>
        <w:spacing w:line="360" w:lineRule="auto"/>
        <w:rPr>
          <w:b/>
          <w:bCs/>
          <w:lang w:val="en-US"/>
        </w:rPr>
      </w:pPr>
      <w:r>
        <w:rPr>
          <w:b/>
          <w:bCs/>
          <w:lang w:val="en-US"/>
        </w:rPr>
        <w:t xml:space="preserve">Strategic Fit and Competitive Positioning: </w:t>
      </w:r>
      <w:r>
        <w:rPr>
          <w:lang w:val="en-US"/>
        </w:rPr>
        <w:t xml:space="preserve">Option B </w:t>
      </w:r>
      <w:r w:rsidR="00DC5318">
        <w:rPr>
          <w:lang w:val="en-US"/>
        </w:rPr>
        <w:t xml:space="preserve">aligns directly with the company’s industry positioning </w:t>
      </w:r>
      <w:r w:rsidR="00471561">
        <w:rPr>
          <w:lang w:val="en-US"/>
        </w:rPr>
        <w:t xml:space="preserve">in the retail industry. </w:t>
      </w:r>
      <w:r w:rsidR="00C47BAD">
        <w:rPr>
          <w:lang w:val="en-US"/>
        </w:rPr>
        <w:t xml:space="preserve">Moreover, in the UK, online retail penetration has been expanding over quite a few years. </w:t>
      </w:r>
      <w:r w:rsidR="00956108">
        <w:rPr>
          <w:lang w:val="en-US"/>
        </w:rPr>
        <w:t xml:space="preserve">Current estimates range from 25-30% for total retail to shift to online medium by the end of 2025. </w:t>
      </w:r>
      <w:r w:rsidR="006B0B81">
        <w:rPr>
          <w:lang w:val="en-US"/>
        </w:rPr>
        <w:t>As a result, developing internet capabilities in the face of digitalization is only feasible for the company</w:t>
      </w:r>
      <w:r w:rsidR="00AC2B27">
        <w:rPr>
          <w:lang w:val="en-US"/>
        </w:rPr>
        <w:t xml:space="preserve"> (</w:t>
      </w:r>
      <w:r w:rsidR="00AC2B27" w:rsidRPr="00AC2B27">
        <w:t>Alkaraan</w:t>
      </w:r>
      <w:r w:rsidR="00AC2B27">
        <w:t xml:space="preserve"> and Northcott, 2013)</w:t>
      </w:r>
      <w:r w:rsidR="006B0B81">
        <w:rPr>
          <w:lang w:val="en-US"/>
        </w:rPr>
        <w:t>.</w:t>
      </w:r>
    </w:p>
    <w:p w14:paraId="60647337" w14:textId="0B6902B4" w:rsidR="00065B99" w:rsidRPr="00065B99" w:rsidRDefault="00065B99" w:rsidP="00065B99">
      <w:pPr>
        <w:pStyle w:val="ListParagraph"/>
        <w:numPr>
          <w:ilvl w:val="0"/>
          <w:numId w:val="6"/>
        </w:numPr>
        <w:spacing w:line="360" w:lineRule="auto"/>
        <w:rPr>
          <w:b/>
          <w:bCs/>
          <w:lang w:val="en-US"/>
        </w:rPr>
      </w:pPr>
      <w:r>
        <w:rPr>
          <w:b/>
          <w:bCs/>
          <w:lang w:val="en-US"/>
        </w:rPr>
        <w:t xml:space="preserve">Market and Demand Risk: </w:t>
      </w:r>
      <w:r w:rsidR="0057316B">
        <w:rPr>
          <w:lang w:val="en-US"/>
        </w:rPr>
        <w:t xml:space="preserve">One of the major risks of the projections about the cash flows made is that the demand </w:t>
      </w:r>
      <w:r w:rsidR="004C1043">
        <w:rPr>
          <w:lang w:val="en-US"/>
        </w:rPr>
        <w:t>materialises</w:t>
      </w:r>
      <w:r w:rsidR="0057316B">
        <w:rPr>
          <w:lang w:val="en-US"/>
        </w:rPr>
        <w:t xml:space="preserve"> just as projected</w:t>
      </w:r>
      <w:r w:rsidR="004C1043">
        <w:rPr>
          <w:lang w:val="en-US"/>
        </w:rPr>
        <w:t>;</w:t>
      </w:r>
      <w:r w:rsidR="0057316B">
        <w:rPr>
          <w:lang w:val="en-US"/>
        </w:rPr>
        <w:t xml:space="preserve"> however, in </w:t>
      </w:r>
      <w:r w:rsidR="004C1043">
        <w:rPr>
          <w:lang w:val="en-US"/>
        </w:rPr>
        <w:t xml:space="preserve">the </w:t>
      </w:r>
      <w:r w:rsidR="0057316B">
        <w:rPr>
          <w:lang w:val="en-US"/>
        </w:rPr>
        <w:t xml:space="preserve">real world, it may not </w:t>
      </w:r>
      <w:r w:rsidR="004C1043">
        <w:rPr>
          <w:lang w:val="en-US"/>
        </w:rPr>
        <w:t>materialise</w:t>
      </w:r>
      <w:r w:rsidR="0057316B">
        <w:rPr>
          <w:lang w:val="en-US"/>
        </w:rPr>
        <w:t xml:space="preserve"> as per expectations. </w:t>
      </w:r>
      <w:r w:rsidR="00046827">
        <w:rPr>
          <w:lang w:val="en-US"/>
        </w:rPr>
        <w:t xml:space="preserve">For instance, </w:t>
      </w:r>
      <w:r w:rsidR="00885301">
        <w:rPr>
          <w:lang w:val="en-US"/>
        </w:rPr>
        <w:t>Option C incorporates product diversification</w:t>
      </w:r>
      <w:r w:rsidR="004C1043">
        <w:rPr>
          <w:lang w:val="en-US"/>
        </w:rPr>
        <w:t>,</w:t>
      </w:r>
      <w:r w:rsidR="00885301">
        <w:rPr>
          <w:lang w:val="en-US"/>
        </w:rPr>
        <w:t xml:space="preserve"> </w:t>
      </w:r>
      <w:r w:rsidR="00FA59E9">
        <w:rPr>
          <w:lang w:val="en-US"/>
        </w:rPr>
        <w:t>which reduces product risk effectively.</w:t>
      </w:r>
    </w:p>
    <w:p w14:paraId="2726255F" w14:textId="2BDCE58A" w:rsidR="00065B99" w:rsidRPr="00065B99" w:rsidRDefault="00065B99" w:rsidP="00065B99">
      <w:pPr>
        <w:pStyle w:val="ListParagraph"/>
        <w:numPr>
          <w:ilvl w:val="0"/>
          <w:numId w:val="6"/>
        </w:numPr>
        <w:spacing w:line="360" w:lineRule="auto"/>
        <w:rPr>
          <w:b/>
          <w:bCs/>
          <w:lang w:val="en-US"/>
        </w:rPr>
      </w:pPr>
      <w:r>
        <w:rPr>
          <w:b/>
          <w:bCs/>
          <w:lang w:val="en-US"/>
        </w:rPr>
        <w:t xml:space="preserve">Organisational Capabilities and Resources: </w:t>
      </w:r>
      <w:r w:rsidR="008F3192">
        <w:rPr>
          <w:lang w:val="en-US"/>
        </w:rPr>
        <w:t xml:space="preserve">Each of the options will equip the company with different capabilities. </w:t>
      </w:r>
      <w:r w:rsidR="00C41648">
        <w:rPr>
          <w:lang w:val="en-US"/>
        </w:rPr>
        <w:t xml:space="preserve">Option B will </w:t>
      </w:r>
      <w:r w:rsidR="004C1043">
        <w:rPr>
          <w:lang w:val="en-US"/>
        </w:rPr>
        <w:t>digitalise</w:t>
      </w:r>
      <w:r w:rsidR="00C41648">
        <w:rPr>
          <w:lang w:val="en-US"/>
        </w:rPr>
        <w:t xml:space="preserve"> the company’s operations</w:t>
      </w:r>
      <w:r w:rsidR="004C1043">
        <w:rPr>
          <w:lang w:val="en-US"/>
        </w:rPr>
        <w:t>,</w:t>
      </w:r>
      <w:r w:rsidR="00C41648">
        <w:rPr>
          <w:lang w:val="en-US"/>
        </w:rPr>
        <w:t xml:space="preserve"> while Option C will diversify its product</w:t>
      </w:r>
      <w:r w:rsidR="00A10C73">
        <w:rPr>
          <w:lang w:val="en-US"/>
        </w:rPr>
        <w:t xml:space="preserve"> lineups. </w:t>
      </w:r>
      <w:r w:rsidR="005113E5">
        <w:rPr>
          <w:lang w:val="en-US"/>
        </w:rPr>
        <w:t xml:space="preserve">As a result, the company must </w:t>
      </w:r>
      <w:r w:rsidR="004C1043">
        <w:rPr>
          <w:lang w:val="en-US"/>
        </w:rPr>
        <w:t>prioritise</w:t>
      </w:r>
      <w:r w:rsidR="005113E5">
        <w:rPr>
          <w:lang w:val="en-US"/>
        </w:rPr>
        <w:t xml:space="preserve"> what it </w:t>
      </w:r>
      <w:r w:rsidR="004C1043">
        <w:rPr>
          <w:lang w:val="en-US"/>
        </w:rPr>
        <w:t>currently</w:t>
      </w:r>
      <w:r w:rsidR="005113E5">
        <w:rPr>
          <w:lang w:val="en-US"/>
        </w:rPr>
        <w:t xml:space="preserve"> has in its hands and take </w:t>
      </w:r>
      <w:r w:rsidR="004C1043">
        <w:rPr>
          <w:lang w:val="en-US"/>
        </w:rPr>
        <w:t>action</w:t>
      </w:r>
      <w:r w:rsidR="005113E5">
        <w:rPr>
          <w:lang w:val="en-US"/>
        </w:rPr>
        <w:t xml:space="preserve"> accordingly. </w:t>
      </w:r>
      <w:r w:rsidR="00354189">
        <w:rPr>
          <w:lang w:val="en-US"/>
        </w:rPr>
        <w:t xml:space="preserve">In doing so, the management should rather assess its capability gaps and incorporate the possible factor acquisition costs as well as the risks involved to make the decision. </w:t>
      </w:r>
    </w:p>
    <w:p w14:paraId="5E7F7620" w14:textId="5D81F3A3" w:rsidR="00B945EB" w:rsidRDefault="00B945EB" w:rsidP="00B945EB">
      <w:pPr>
        <w:pStyle w:val="Heading2"/>
        <w:spacing w:line="360" w:lineRule="auto"/>
        <w:rPr>
          <w:lang w:val="en-US"/>
        </w:rPr>
      </w:pPr>
      <w:bookmarkStart w:id="31" w:name="_Toc224345135"/>
      <w:r>
        <w:rPr>
          <w:lang w:val="en-US"/>
        </w:rPr>
        <w:t>Capital Rationing and Optimal Investment Policy</w:t>
      </w:r>
      <w:bookmarkEnd w:id="31"/>
    </w:p>
    <w:p w14:paraId="6A896E43" w14:textId="6E990EED" w:rsidR="00B945EB" w:rsidRDefault="00053375" w:rsidP="00B945EB">
      <w:pPr>
        <w:spacing w:line="360" w:lineRule="auto"/>
        <w:rPr>
          <w:lang w:val="en-US"/>
        </w:rPr>
      </w:pPr>
      <w:r>
        <w:rPr>
          <w:lang w:val="en-US"/>
        </w:rPr>
        <w:t xml:space="preserve">The concept of capital rationing refers to the process of allocating resources amongst available investment projects based on </w:t>
      </w:r>
      <w:r w:rsidR="004C1043">
        <w:rPr>
          <w:lang w:val="en-US"/>
        </w:rPr>
        <w:t>the maximisation</w:t>
      </w:r>
      <w:r>
        <w:rPr>
          <w:lang w:val="en-US"/>
        </w:rPr>
        <w:t xml:space="preserve"> of returns. </w:t>
      </w:r>
      <w:r w:rsidR="000904DD">
        <w:rPr>
          <w:lang w:val="en-US"/>
        </w:rPr>
        <w:t xml:space="preserve">This process prevents a company </w:t>
      </w:r>
      <w:r w:rsidR="004C1043">
        <w:rPr>
          <w:lang w:val="en-US"/>
        </w:rPr>
        <w:t>from undertaking</w:t>
      </w:r>
      <w:r w:rsidR="000904DD">
        <w:rPr>
          <w:lang w:val="en-US"/>
        </w:rPr>
        <w:t xml:space="preserve"> every project available at hand. </w:t>
      </w:r>
      <w:r w:rsidR="00E436F8">
        <w:rPr>
          <w:lang w:val="en-US"/>
        </w:rPr>
        <w:t xml:space="preserve">Rather, the diversification of </w:t>
      </w:r>
      <w:r w:rsidR="007F6228">
        <w:rPr>
          <w:lang w:val="en-US"/>
        </w:rPr>
        <w:t>projects helps to reduce financial risks</w:t>
      </w:r>
      <w:r w:rsidR="00345E84">
        <w:rPr>
          <w:lang w:val="en-US"/>
        </w:rPr>
        <w:t xml:space="preserve"> (</w:t>
      </w:r>
      <w:r w:rsidR="00345E84" w:rsidRPr="00345E84">
        <w:t>Bruggen</w:t>
      </w:r>
      <w:r w:rsidR="00345E84">
        <w:t>, 2011)</w:t>
      </w:r>
      <w:r w:rsidR="007F6228">
        <w:rPr>
          <w:lang w:val="en-US"/>
        </w:rPr>
        <w:t xml:space="preserve">. </w:t>
      </w:r>
      <w:r w:rsidR="00097B2E">
        <w:rPr>
          <w:lang w:val="en-US"/>
        </w:rPr>
        <w:t xml:space="preserve">The process of undertaking capital rationing entails the use of </w:t>
      </w:r>
      <w:r w:rsidR="004C1043">
        <w:rPr>
          <w:lang w:val="en-US"/>
        </w:rPr>
        <w:t xml:space="preserve">the </w:t>
      </w:r>
      <w:r w:rsidR="00097B2E">
        <w:rPr>
          <w:lang w:val="en-US"/>
        </w:rPr>
        <w:t>profitability index</w:t>
      </w:r>
      <w:r w:rsidR="009674A0">
        <w:rPr>
          <w:lang w:val="en-US"/>
        </w:rPr>
        <w:t xml:space="preserve"> to rank projects based on priority.</w:t>
      </w:r>
    </w:p>
    <w:p w14:paraId="249A5A30" w14:textId="4F8BE1A6" w:rsidR="00881508" w:rsidRDefault="00881508" w:rsidP="00B945EB">
      <w:pPr>
        <w:spacing w:line="360" w:lineRule="auto"/>
        <w:rPr>
          <w:lang w:val="en-US"/>
        </w:rPr>
      </w:pPr>
      <w:r>
        <w:rPr>
          <w:lang w:val="en-US"/>
        </w:rPr>
        <w:t xml:space="preserve">Profitability Index is a process of dividing </w:t>
      </w:r>
      <w:r w:rsidR="004C1043">
        <w:rPr>
          <w:lang w:val="en-US"/>
        </w:rPr>
        <w:t xml:space="preserve">the </w:t>
      </w:r>
      <w:r>
        <w:rPr>
          <w:lang w:val="en-US"/>
        </w:rPr>
        <w:t xml:space="preserve">initial investment by </w:t>
      </w:r>
      <w:r w:rsidR="004C1043">
        <w:rPr>
          <w:lang w:val="en-US"/>
        </w:rPr>
        <w:t xml:space="preserve">the </w:t>
      </w:r>
      <w:r>
        <w:rPr>
          <w:lang w:val="en-US"/>
        </w:rPr>
        <w:t>PV of future cash flows of each of the projects</w:t>
      </w:r>
      <w:r w:rsidR="004C1043">
        <w:rPr>
          <w:lang w:val="en-US"/>
        </w:rPr>
        <w:t>,</w:t>
      </w:r>
      <w:r>
        <w:rPr>
          <w:lang w:val="en-US"/>
        </w:rPr>
        <w:t xml:space="preserve"> </w:t>
      </w:r>
      <w:r w:rsidR="00C7351F">
        <w:rPr>
          <w:lang w:val="en-US"/>
        </w:rPr>
        <w:t xml:space="preserve">which provides </w:t>
      </w:r>
      <w:r w:rsidR="004C1043">
        <w:rPr>
          <w:lang w:val="en-US"/>
        </w:rPr>
        <w:t>the</w:t>
      </w:r>
      <w:r w:rsidR="00C7351F">
        <w:rPr>
          <w:lang w:val="en-US"/>
        </w:rPr>
        <w:t xml:space="preserve"> value created based on </w:t>
      </w:r>
      <w:r w:rsidR="004C1043">
        <w:rPr>
          <w:lang w:val="en-US"/>
        </w:rPr>
        <w:t>each</w:t>
      </w:r>
      <w:r w:rsidR="00C7351F">
        <w:rPr>
          <w:lang w:val="en-US"/>
        </w:rPr>
        <w:t xml:space="preserve"> currency unit invested. </w:t>
      </w:r>
      <w:r w:rsidR="009E4501">
        <w:rPr>
          <w:lang w:val="en-US"/>
        </w:rPr>
        <w:t>The higher a project ranks, the more priority it gets in times of making a decision</w:t>
      </w:r>
      <w:r w:rsidR="00F37E8B">
        <w:rPr>
          <w:lang w:val="en-US"/>
        </w:rPr>
        <w:t xml:space="preserve"> (</w:t>
      </w:r>
      <w:r w:rsidR="00F37E8B" w:rsidRPr="00345E84">
        <w:t>Bruggen</w:t>
      </w:r>
      <w:r w:rsidR="00F37E8B">
        <w:t>, 2011)</w:t>
      </w:r>
      <w:r w:rsidR="009E4501">
        <w:rPr>
          <w:lang w:val="en-US"/>
        </w:rPr>
        <w:t xml:space="preserve">. </w:t>
      </w:r>
    </w:p>
    <w:p w14:paraId="07CDE799" w14:textId="0F87CBBB" w:rsidR="009C2673" w:rsidRDefault="009C2673" w:rsidP="00B945EB">
      <w:pPr>
        <w:spacing w:line="360" w:lineRule="auto"/>
        <w:rPr>
          <w:lang w:val="en-US"/>
        </w:rPr>
      </w:pPr>
      <w:r>
        <w:rPr>
          <w:lang w:val="en-US"/>
        </w:rPr>
        <w:t>Now, if the same concept is to be applied to the case of Westward PLC</w:t>
      </w:r>
      <w:r w:rsidR="00A34DA0">
        <w:rPr>
          <w:lang w:val="en-US"/>
        </w:rPr>
        <w:t xml:space="preserve"> with a budget of 2,500,000 Pounds, </w:t>
      </w:r>
      <w:r w:rsidR="004C1043">
        <w:rPr>
          <w:lang w:val="en-US"/>
        </w:rPr>
        <w:t xml:space="preserve">the </w:t>
      </w:r>
      <w:r w:rsidR="00A34DA0">
        <w:rPr>
          <w:lang w:val="en-US"/>
        </w:rPr>
        <w:t>decision-making process can be made more efficient and effective. The PI of each of the options is calculated below.</w:t>
      </w:r>
    </w:p>
    <w:tbl>
      <w:tblPr>
        <w:tblStyle w:val="TableGrid"/>
        <w:tblW w:w="0" w:type="auto"/>
        <w:tblLook w:val="04A0" w:firstRow="1" w:lastRow="0" w:firstColumn="1" w:lastColumn="0" w:noHBand="0" w:noVBand="1"/>
      </w:tblPr>
      <w:tblGrid>
        <w:gridCol w:w="1803"/>
        <w:gridCol w:w="1803"/>
        <w:gridCol w:w="1803"/>
        <w:gridCol w:w="1803"/>
        <w:gridCol w:w="1804"/>
      </w:tblGrid>
      <w:tr w:rsidR="00140AA0" w14:paraId="5D312C43" w14:textId="77777777" w:rsidTr="00140AA0">
        <w:tc>
          <w:tcPr>
            <w:tcW w:w="1803" w:type="dxa"/>
          </w:tcPr>
          <w:p w14:paraId="304C762A" w14:textId="694DCE7B" w:rsidR="00140AA0" w:rsidRPr="00140AA0" w:rsidRDefault="00365283" w:rsidP="00140AA0">
            <w:pPr>
              <w:spacing w:line="360" w:lineRule="auto"/>
              <w:jc w:val="center"/>
              <w:rPr>
                <w:b/>
                <w:bCs/>
                <w:lang w:val="en-US"/>
              </w:rPr>
            </w:pPr>
            <w:r>
              <w:rPr>
                <w:b/>
                <w:bCs/>
                <w:lang w:val="en-US"/>
              </w:rPr>
              <w:t>Options</w:t>
            </w:r>
          </w:p>
        </w:tc>
        <w:tc>
          <w:tcPr>
            <w:tcW w:w="1803" w:type="dxa"/>
          </w:tcPr>
          <w:p w14:paraId="005DE5A7" w14:textId="15C17F61" w:rsidR="00140AA0" w:rsidRPr="00140AA0" w:rsidRDefault="00365283" w:rsidP="00140AA0">
            <w:pPr>
              <w:spacing w:line="360" w:lineRule="auto"/>
              <w:jc w:val="center"/>
              <w:rPr>
                <w:b/>
                <w:bCs/>
                <w:lang w:val="en-US"/>
              </w:rPr>
            </w:pPr>
            <w:r>
              <w:rPr>
                <w:b/>
                <w:bCs/>
                <w:lang w:val="en-US"/>
              </w:rPr>
              <w:t xml:space="preserve">Initial Investment </w:t>
            </w:r>
            <w:r w:rsidRPr="007A5861">
              <w:rPr>
                <w:b/>
                <w:bCs/>
              </w:rPr>
              <w:t>(£</w:t>
            </w:r>
            <w:r>
              <w:rPr>
                <w:b/>
                <w:bCs/>
              </w:rPr>
              <w:t>)</w:t>
            </w:r>
          </w:p>
        </w:tc>
        <w:tc>
          <w:tcPr>
            <w:tcW w:w="1803" w:type="dxa"/>
          </w:tcPr>
          <w:p w14:paraId="2D3FFA95" w14:textId="1A387F62" w:rsidR="00140AA0" w:rsidRPr="00140AA0" w:rsidRDefault="00365283" w:rsidP="00140AA0">
            <w:pPr>
              <w:spacing w:line="360" w:lineRule="auto"/>
              <w:jc w:val="center"/>
              <w:rPr>
                <w:b/>
                <w:bCs/>
                <w:lang w:val="en-US"/>
              </w:rPr>
            </w:pPr>
            <w:r>
              <w:rPr>
                <w:b/>
                <w:bCs/>
                <w:lang w:val="en-US"/>
              </w:rPr>
              <w:t xml:space="preserve">NPV </w:t>
            </w:r>
            <w:r w:rsidRPr="007A5861">
              <w:rPr>
                <w:b/>
                <w:bCs/>
              </w:rPr>
              <w:t>(£</w:t>
            </w:r>
            <w:r>
              <w:rPr>
                <w:b/>
                <w:bCs/>
              </w:rPr>
              <w:t>)</w:t>
            </w:r>
          </w:p>
        </w:tc>
        <w:tc>
          <w:tcPr>
            <w:tcW w:w="1803" w:type="dxa"/>
          </w:tcPr>
          <w:p w14:paraId="0A7CE17A" w14:textId="67E3C2DC" w:rsidR="00140AA0" w:rsidRPr="00140AA0" w:rsidRDefault="00365283" w:rsidP="00140AA0">
            <w:pPr>
              <w:spacing w:line="360" w:lineRule="auto"/>
              <w:jc w:val="center"/>
              <w:rPr>
                <w:b/>
                <w:bCs/>
                <w:lang w:val="en-US"/>
              </w:rPr>
            </w:pPr>
            <w:r>
              <w:rPr>
                <w:b/>
                <w:bCs/>
                <w:lang w:val="en-US"/>
              </w:rPr>
              <w:t xml:space="preserve">PV of Future Cash Flows </w:t>
            </w:r>
            <w:r w:rsidRPr="007A5861">
              <w:rPr>
                <w:b/>
                <w:bCs/>
              </w:rPr>
              <w:t>(£</w:t>
            </w:r>
            <w:r>
              <w:rPr>
                <w:b/>
                <w:bCs/>
              </w:rPr>
              <w:t>)</w:t>
            </w:r>
          </w:p>
        </w:tc>
        <w:tc>
          <w:tcPr>
            <w:tcW w:w="1804" w:type="dxa"/>
          </w:tcPr>
          <w:p w14:paraId="73E2C1C9" w14:textId="0B3D4737" w:rsidR="00140AA0" w:rsidRPr="00140AA0" w:rsidRDefault="00365283" w:rsidP="00140AA0">
            <w:pPr>
              <w:spacing w:line="360" w:lineRule="auto"/>
              <w:jc w:val="center"/>
              <w:rPr>
                <w:b/>
                <w:bCs/>
                <w:lang w:val="en-US"/>
              </w:rPr>
            </w:pPr>
            <w:r>
              <w:rPr>
                <w:b/>
                <w:bCs/>
                <w:lang w:val="en-US"/>
              </w:rPr>
              <w:t>PI</w:t>
            </w:r>
            <w:r w:rsidR="00D16827">
              <w:rPr>
                <w:b/>
                <w:bCs/>
                <w:lang w:val="en-US"/>
              </w:rPr>
              <w:t xml:space="preserve"> (PV of Future CFs / Initial Investment)</w:t>
            </w:r>
          </w:p>
        </w:tc>
      </w:tr>
      <w:tr w:rsidR="00140AA0" w14:paraId="24B5DEBB" w14:textId="77777777" w:rsidTr="00140AA0">
        <w:tc>
          <w:tcPr>
            <w:tcW w:w="1803" w:type="dxa"/>
          </w:tcPr>
          <w:p w14:paraId="427BE413" w14:textId="20228397" w:rsidR="00140AA0" w:rsidRDefault="00365283" w:rsidP="00140AA0">
            <w:pPr>
              <w:spacing w:line="360" w:lineRule="auto"/>
              <w:jc w:val="center"/>
              <w:rPr>
                <w:lang w:val="en-US"/>
              </w:rPr>
            </w:pPr>
            <w:r>
              <w:rPr>
                <w:lang w:val="en-US"/>
              </w:rPr>
              <w:t>A</w:t>
            </w:r>
          </w:p>
        </w:tc>
        <w:tc>
          <w:tcPr>
            <w:tcW w:w="1803" w:type="dxa"/>
          </w:tcPr>
          <w:p w14:paraId="25E98FA9" w14:textId="497E8B1D" w:rsidR="00140AA0" w:rsidRDefault="00365283" w:rsidP="00140AA0">
            <w:pPr>
              <w:spacing w:line="360" w:lineRule="auto"/>
              <w:jc w:val="center"/>
              <w:rPr>
                <w:lang w:val="en-US"/>
              </w:rPr>
            </w:pPr>
            <w:r>
              <w:rPr>
                <w:lang w:val="en-US"/>
              </w:rPr>
              <w:t>600,000</w:t>
            </w:r>
          </w:p>
        </w:tc>
        <w:tc>
          <w:tcPr>
            <w:tcW w:w="1803" w:type="dxa"/>
          </w:tcPr>
          <w:p w14:paraId="0C39094F" w14:textId="37AF04B5" w:rsidR="00140AA0" w:rsidRDefault="00365283" w:rsidP="00140AA0">
            <w:pPr>
              <w:spacing w:line="360" w:lineRule="auto"/>
              <w:jc w:val="center"/>
              <w:rPr>
                <w:lang w:val="en-US"/>
              </w:rPr>
            </w:pPr>
            <w:r>
              <w:rPr>
                <w:lang w:val="en-US"/>
              </w:rPr>
              <w:t>643,165</w:t>
            </w:r>
          </w:p>
        </w:tc>
        <w:tc>
          <w:tcPr>
            <w:tcW w:w="1803" w:type="dxa"/>
          </w:tcPr>
          <w:p w14:paraId="0326D70C" w14:textId="7E1826B6" w:rsidR="00140AA0" w:rsidRDefault="00365283" w:rsidP="00140AA0">
            <w:pPr>
              <w:spacing w:line="360" w:lineRule="auto"/>
              <w:jc w:val="center"/>
              <w:rPr>
                <w:lang w:val="en-US"/>
              </w:rPr>
            </w:pPr>
            <w:r>
              <w:rPr>
                <w:lang w:val="en-US"/>
              </w:rPr>
              <w:t>1,243,165</w:t>
            </w:r>
          </w:p>
        </w:tc>
        <w:tc>
          <w:tcPr>
            <w:tcW w:w="1804" w:type="dxa"/>
          </w:tcPr>
          <w:p w14:paraId="04149572" w14:textId="23E69AEA" w:rsidR="00140AA0" w:rsidRDefault="00196B52" w:rsidP="00140AA0">
            <w:pPr>
              <w:spacing w:line="360" w:lineRule="auto"/>
              <w:jc w:val="center"/>
              <w:rPr>
                <w:lang w:val="en-US"/>
              </w:rPr>
            </w:pPr>
            <w:r>
              <w:rPr>
                <w:lang w:val="en-US"/>
              </w:rPr>
              <w:t>2.07</w:t>
            </w:r>
          </w:p>
        </w:tc>
      </w:tr>
      <w:tr w:rsidR="00140AA0" w14:paraId="6C0FFF6E" w14:textId="77777777" w:rsidTr="00140AA0">
        <w:tc>
          <w:tcPr>
            <w:tcW w:w="1803" w:type="dxa"/>
          </w:tcPr>
          <w:p w14:paraId="702E6BC3" w14:textId="671EECC1" w:rsidR="00140AA0" w:rsidRDefault="00365283" w:rsidP="00140AA0">
            <w:pPr>
              <w:spacing w:line="360" w:lineRule="auto"/>
              <w:jc w:val="center"/>
              <w:rPr>
                <w:lang w:val="en-US"/>
              </w:rPr>
            </w:pPr>
            <w:r>
              <w:rPr>
                <w:lang w:val="en-US"/>
              </w:rPr>
              <w:t>B</w:t>
            </w:r>
          </w:p>
        </w:tc>
        <w:tc>
          <w:tcPr>
            <w:tcW w:w="1803" w:type="dxa"/>
          </w:tcPr>
          <w:p w14:paraId="3FE8FF81" w14:textId="508CE54D" w:rsidR="00140AA0" w:rsidRDefault="00365283" w:rsidP="00140AA0">
            <w:pPr>
              <w:spacing w:line="360" w:lineRule="auto"/>
              <w:jc w:val="center"/>
              <w:rPr>
                <w:lang w:val="en-US"/>
              </w:rPr>
            </w:pPr>
            <w:r>
              <w:rPr>
                <w:lang w:val="en-US"/>
              </w:rPr>
              <w:t>1,000,000</w:t>
            </w:r>
          </w:p>
        </w:tc>
        <w:tc>
          <w:tcPr>
            <w:tcW w:w="1803" w:type="dxa"/>
          </w:tcPr>
          <w:p w14:paraId="689ECA0F" w14:textId="70C6ED9F" w:rsidR="00140AA0" w:rsidRDefault="00365283" w:rsidP="00140AA0">
            <w:pPr>
              <w:spacing w:line="360" w:lineRule="auto"/>
              <w:jc w:val="center"/>
              <w:rPr>
                <w:lang w:val="en-US"/>
              </w:rPr>
            </w:pPr>
            <w:r>
              <w:rPr>
                <w:lang w:val="en-US"/>
              </w:rPr>
              <w:t>792,228</w:t>
            </w:r>
          </w:p>
        </w:tc>
        <w:tc>
          <w:tcPr>
            <w:tcW w:w="1803" w:type="dxa"/>
          </w:tcPr>
          <w:p w14:paraId="2EBA8541" w14:textId="78E3EBA0" w:rsidR="00140AA0" w:rsidRDefault="00365283" w:rsidP="00140AA0">
            <w:pPr>
              <w:spacing w:line="360" w:lineRule="auto"/>
              <w:jc w:val="center"/>
              <w:rPr>
                <w:lang w:val="en-US"/>
              </w:rPr>
            </w:pPr>
            <w:r>
              <w:rPr>
                <w:lang w:val="en-US"/>
              </w:rPr>
              <w:t>1,792,228</w:t>
            </w:r>
          </w:p>
        </w:tc>
        <w:tc>
          <w:tcPr>
            <w:tcW w:w="1804" w:type="dxa"/>
          </w:tcPr>
          <w:p w14:paraId="4496E65B" w14:textId="61155F29" w:rsidR="00140AA0" w:rsidRDefault="00365283" w:rsidP="00140AA0">
            <w:pPr>
              <w:spacing w:line="360" w:lineRule="auto"/>
              <w:jc w:val="center"/>
              <w:rPr>
                <w:lang w:val="en-US"/>
              </w:rPr>
            </w:pPr>
            <w:r>
              <w:rPr>
                <w:lang w:val="en-US"/>
              </w:rPr>
              <w:t>1.792</w:t>
            </w:r>
          </w:p>
        </w:tc>
      </w:tr>
      <w:tr w:rsidR="00140AA0" w14:paraId="2AF6F872" w14:textId="77777777" w:rsidTr="00140AA0">
        <w:tc>
          <w:tcPr>
            <w:tcW w:w="1803" w:type="dxa"/>
          </w:tcPr>
          <w:p w14:paraId="3CC71F04" w14:textId="286D8B18" w:rsidR="00140AA0" w:rsidRDefault="00365283" w:rsidP="00140AA0">
            <w:pPr>
              <w:spacing w:line="360" w:lineRule="auto"/>
              <w:jc w:val="center"/>
              <w:rPr>
                <w:lang w:val="en-US"/>
              </w:rPr>
            </w:pPr>
            <w:r>
              <w:rPr>
                <w:lang w:val="en-US"/>
              </w:rPr>
              <w:t>C</w:t>
            </w:r>
          </w:p>
        </w:tc>
        <w:tc>
          <w:tcPr>
            <w:tcW w:w="1803" w:type="dxa"/>
          </w:tcPr>
          <w:p w14:paraId="3DFDA044" w14:textId="5EC762B5" w:rsidR="00140AA0" w:rsidRDefault="00365283" w:rsidP="00140AA0">
            <w:pPr>
              <w:spacing w:line="360" w:lineRule="auto"/>
              <w:jc w:val="center"/>
              <w:rPr>
                <w:lang w:val="en-US"/>
              </w:rPr>
            </w:pPr>
            <w:r>
              <w:rPr>
                <w:lang w:val="en-US"/>
              </w:rPr>
              <w:t>1,600,000</w:t>
            </w:r>
          </w:p>
        </w:tc>
        <w:tc>
          <w:tcPr>
            <w:tcW w:w="1803" w:type="dxa"/>
          </w:tcPr>
          <w:p w14:paraId="45FA12F1" w14:textId="7F1FF406" w:rsidR="00140AA0" w:rsidRDefault="00365283" w:rsidP="00140AA0">
            <w:pPr>
              <w:spacing w:line="360" w:lineRule="auto"/>
              <w:jc w:val="center"/>
              <w:rPr>
                <w:lang w:val="en-US"/>
              </w:rPr>
            </w:pPr>
            <w:r>
              <w:rPr>
                <w:lang w:val="en-US"/>
              </w:rPr>
              <w:t>742,475</w:t>
            </w:r>
          </w:p>
        </w:tc>
        <w:tc>
          <w:tcPr>
            <w:tcW w:w="1803" w:type="dxa"/>
          </w:tcPr>
          <w:p w14:paraId="25B570E8" w14:textId="27D73A4C" w:rsidR="00140AA0" w:rsidRDefault="00365283" w:rsidP="00140AA0">
            <w:pPr>
              <w:spacing w:line="360" w:lineRule="auto"/>
              <w:jc w:val="center"/>
              <w:rPr>
                <w:lang w:val="en-US"/>
              </w:rPr>
            </w:pPr>
            <w:r>
              <w:rPr>
                <w:lang w:val="en-US"/>
              </w:rPr>
              <w:t>2,342,475</w:t>
            </w:r>
          </w:p>
        </w:tc>
        <w:tc>
          <w:tcPr>
            <w:tcW w:w="1804" w:type="dxa"/>
          </w:tcPr>
          <w:p w14:paraId="3CB94774" w14:textId="62A678F6" w:rsidR="00140AA0" w:rsidRDefault="00365283" w:rsidP="00140AA0">
            <w:pPr>
              <w:spacing w:line="360" w:lineRule="auto"/>
              <w:jc w:val="center"/>
              <w:rPr>
                <w:lang w:val="en-US"/>
              </w:rPr>
            </w:pPr>
            <w:r>
              <w:rPr>
                <w:lang w:val="en-US"/>
              </w:rPr>
              <w:t>1.464</w:t>
            </w:r>
          </w:p>
        </w:tc>
      </w:tr>
    </w:tbl>
    <w:p w14:paraId="278E9E42" w14:textId="4E2F2355" w:rsidR="00531842" w:rsidRPr="001B2354" w:rsidRDefault="00EA52C5" w:rsidP="00B945EB">
      <w:pPr>
        <w:spacing w:line="360" w:lineRule="auto"/>
        <w:rPr>
          <w:lang w:val="en-US"/>
        </w:rPr>
      </w:pPr>
      <w:r>
        <w:rPr>
          <w:lang w:val="en-US"/>
        </w:rPr>
        <w:t xml:space="preserve">Based on the PI results, the company must investment all of Option A and B alongside investing in </w:t>
      </w:r>
      <w:r w:rsidR="006C7C96">
        <w:rPr>
          <w:lang w:val="en-US"/>
        </w:rPr>
        <w:t xml:space="preserve">Option C for </w:t>
      </w:r>
      <w:r>
        <w:rPr>
          <w:lang w:val="en-US"/>
        </w:rPr>
        <w:t>56.25%</w:t>
      </w:r>
      <w:r w:rsidR="00710966">
        <w:rPr>
          <w:lang w:val="en-US"/>
        </w:rPr>
        <w:t>. This will help the company to generate the most profits for its 2,500,000 Pounds of budget</w:t>
      </w:r>
      <w:r w:rsidR="00C75F0E">
        <w:rPr>
          <w:lang w:val="en-US"/>
        </w:rPr>
        <w:t xml:space="preserve"> as it will ensure of maximum NPV for all of the projects.</w:t>
      </w:r>
    </w:p>
    <w:p w14:paraId="3557E3FF" w14:textId="1C73837B" w:rsidR="00B945EB" w:rsidRDefault="00B945EB" w:rsidP="00B945EB">
      <w:pPr>
        <w:pStyle w:val="Heading2"/>
        <w:spacing w:line="360" w:lineRule="auto"/>
        <w:rPr>
          <w:lang w:val="en-US"/>
        </w:rPr>
      </w:pPr>
      <w:bookmarkStart w:id="32" w:name="_Toc224345136"/>
      <w:r>
        <w:rPr>
          <w:lang w:val="en-US"/>
        </w:rPr>
        <w:t>Sources of Finance for Investment Program</w:t>
      </w:r>
      <w:bookmarkEnd w:id="32"/>
    </w:p>
    <w:p w14:paraId="6C111E33" w14:textId="679F7C27" w:rsidR="00574122" w:rsidRDefault="00E46A43" w:rsidP="00B945EB">
      <w:pPr>
        <w:spacing w:line="360" w:lineRule="auto"/>
        <w:rPr>
          <w:lang w:val="en-US"/>
        </w:rPr>
      </w:pPr>
      <w:r>
        <w:rPr>
          <w:lang w:val="en-US"/>
        </w:rPr>
        <w:t>There are various sources of finance for the investment program</w:t>
      </w:r>
      <w:r w:rsidR="004C1043">
        <w:rPr>
          <w:lang w:val="en-US"/>
        </w:rPr>
        <w:t>,</w:t>
      </w:r>
      <w:r>
        <w:rPr>
          <w:lang w:val="en-US"/>
        </w:rPr>
        <w:t xml:space="preserve"> including retained earnings, equity capital, bank loans and others. As these three are the major ones, their advantages and disadvantages are elaborated below.</w:t>
      </w:r>
    </w:p>
    <w:p w14:paraId="0B1F4A13" w14:textId="77777777" w:rsidR="00574122" w:rsidRDefault="00574122" w:rsidP="00B945EB">
      <w:pPr>
        <w:spacing w:line="360" w:lineRule="auto"/>
        <w:rPr>
          <w:b/>
          <w:bCs/>
          <w:lang w:val="en-US"/>
        </w:rPr>
      </w:pPr>
      <w:r>
        <w:rPr>
          <w:b/>
          <w:bCs/>
          <w:lang w:val="en-US"/>
        </w:rPr>
        <w:t>Retained Earnings</w:t>
      </w:r>
    </w:p>
    <w:p w14:paraId="0BA3CBB0" w14:textId="5B074AD9" w:rsidR="00A9700A" w:rsidRPr="00A9700A" w:rsidRDefault="00A9700A" w:rsidP="00B945EB">
      <w:pPr>
        <w:spacing w:line="360" w:lineRule="auto"/>
        <w:rPr>
          <w:lang w:val="en-US"/>
        </w:rPr>
      </w:pPr>
      <w:r>
        <w:rPr>
          <w:lang w:val="en-US"/>
        </w:rPr>
        <w:t xml:space="preserve">These are the earnings which get reinvested in the business instead of </w:t>
      </w:r>
      <w:r w:rsidR="004C1043">
        <w:rPr>
          <w:lang w:val="en-US"/>
        </w:rPr>
        <w:t>being</w:t>
      </w:r>
      <w:r>
        <w:rPr>
          <w:lang w:val="en-US"/>
        </w:rPr>
        <w:t xml:space="preserve"> distributed among the shareholders for future expansionary projects or contingencies.</w:t>
      </w:r>
    </w:p>
    <w:p w14:paraId="0948BF87" w14:textId="77777777" w:rsidR="00574122" w:rsidRDefault="00574122" w:rsidP="00B945EB">
      <w:pPr>
        <w:spacing w:line="360" w:lineRule="auto"/>
        <w:rPr>
          <w:b/>
          <w:bCs/>
          <w:lang w:val="en-US"/>
        </w:rPr>
      </w:pPr>
      <w:r>
        <w:rPr>
          <w:b/>
          <w:bCs/>
          <w:lang w:val="en-US"/>
        </w:rPr>
        <w:t>Advantages:</w:t>
      </w:r>
    </w:p>
    <w:p w14:paraId="0329EFD6" w14:textId="6BE6C384" w:rsidR="00574122" w:rsidRDefault="003A4992" w:rsidP="00574122">
      <w:pPr>
        <w:pStyle w:val="ListParagraph"/>
        <w:numPr>
          <w:ilvl w:val="0"/>
          <w:numId w:val="7"/>
        </w:numPr>
        <w:spacing w:line="360" w:lineRule="auto"/>
        <w:rPr>
          <w:lang w:val="en-US"/>
        </w:rPr>
      </w:pPr>
      <w:r>
        <w:rPr>
          <w:lang w:val="en-US"/>
        </w:rPr>
        <w:t>There are no explicit cost</w:t>
      </w:r>
      <w:r w:rsidR="008C45AC">
        <w:rPr>
          <w:lang w:val="en-US"/>
        </w:rPr>
        <w:t>s</w:t>
      </w:r>
      <w:r>
        <w:rPr>
          <w:lang w:val="en-US"/>
        </w:rPr>
        <w:t xml:space="preserve"> of retaining these earnings</w:t>
      </w:r>
      <w:r w:rsidR="004C1043">
        <w:rPr>
          <w:lang w:val="en-US"/>
        </w:rPr>
        <w:t>,</w:t>
      </w:r>
      <w:r>
        <w:rPr>
          <w:lang w:val="en-US"/>
        </w:rPr>
        <w:t xml:space="preserve"> as companies do not have to pay anything on the earnings retained</w:t>
      </w:r>
      <w:r w:rsidR="008C45AC">
        <w:rPr>
          <w:lang w:val="en-US"/>
        </w:rPr>
        <w:t>.</w:t>
      </w:r>
    </w:p>
    <w:p w14:paraId="756510BA" w14:textId="70B8A6D1" w:rsidR="00574122" w:rsidRDefault="008C45AC" w:rsidP="00574122">
      <w:pPr>
        <w:pStyle w:val="ListParagraph"/>
        <w:numPr>
          <w:ilvl w:val="0"/>
          <w:numId w:val="7"/>
        </w:numPr>
        <w:spacing w:line="360" w:lineRule="auto"/>
        <w:rPr>
          <w:lang w:val="en-US"/>
        </w:rPr>
      </w:pPr>
      <w:r>
        <w:rPr>
          <w:lang w:val="en-US"/>
        </w:rPr>
        <w:t xml:space="preserve">Because the funds are already available to the company, </w:t>
      </w:r>
      <w:r w:rsidR="00761C87">
        <w:rPr>
          <w:lang w:val="en-US"/>
        </w:rPr>
        <w:t>it does not have to wait to invest in a project.</w:t>
      </w:r>
    </w:p>
    <w:p w14:paraId="43930695" w14:textId="19FB1FDC" w:rsidR="00574122" w:rsidRDefault="00574122" w:rsidP="00574122">
      <w:pPr>
        <w:spacing w:line="360" w:lineRule="auto"/>
        <w:rPr>
          <w:b/>
          <w:bCs/>
          <w:lang w:val="en-US"/>
        </w:rPr>
      </w:pPr>
      <w:r>
        <w:rPr>
          <w:b/>
          <w:bCs/>
          <w:lang w:val="en-US"/>
        </w:rPr>
        <w:t>Disadvantages:</w:t>
      </w:r>
    </w:p>
    <w:p w14:paraId="29C477D2" w14:textId="242C9FD9" w:rsidR="00737051" w:rsidRPr="00737051" w:rsidRDefault="00737051" w:rsidP="00737051">
      <w:pPr>
        <w:pStyle w:val="ListParagraph"/>
        <w:numPr>
          <w:ilvl w:val="0"/>
          <w:numId w:val="8"/>
        </w:numPr>
        <w:spacing w:line="360" w:lineRule="auto"/>
        <w:rPr>
          <w:lang w:val="en-US"/>
        </w:rPr>
      </w:pPr>
      <w:r>
        <w:rPr>
          <w:lang w:val="en-US"/>
        </w:rPr>
        <w:t>It is dependent on the capacity of generating profits</w:t>
      </w:r>
      <w:r w:rsidR="004C1043">
        <w:rPr>
          <w:lang w:val="en-US"/>
        </w:rPr>
        <w:t>;</w:t>
      </w:r>
      <w:r>
        <w:rPr>
          <w:lang w:val="en-US"/>
        </w:rPr>
        <w:t xml:space="preserve"> lower profits may not yield any retained earnings.</w:t>
      </w:r>
    </w:p>
    <w:p w14:paraId="4833C8F4" w14:textId="0BCAC2B2" w:rsidR="00574122" w:rsidRDefault="00737051" w:rsidP="00574122">
      <w:pPr>
        <w:pStyle w:val="ListParagraph"/>
        <w:numPr>
          <w:ilvl w:val="0"/>
          <w:numId w:val="8"/>
        </w:numPr>
        <w:spacing w:line="360" w:lineRule="auto"/>
        <w:rPr>
          <w:lang w:val="en-US"/>
        </w:rPr>
      </w:pPr>
      <w:r>
        <w:rPr>
          <w:lang w:val="en-US"/>
        </w:rPr>
        <w:t xml:space="preserve">If the shareholders want dividends instead of the company retaining earnings, then the company may not be able to retain any earnings. </w:t>
      </w:r>
    </w:p>
    <w:p w14:paraId="71B96CB9" w14:textId="5B48C330" w:rsidR="00574122" w:rsidRDefault="00574122" w:rsidP="00574122">
      <w:pPr>
        <w:spacing w:line="360" w:lineRule="auto"/>
        <w:rPr>
          <w:b/>
          <w:bCs/>
          <w:lang w:val="en-US"/>
        </w:rPr>
      </w:pPr>
      <w:r>
        <w:rPr>
          <w:b/>
          <w:bCs/>
          <w:lang w:val="en-US"/>
        </w:rPr>
        <w:t>Equity Capital</w:t>
      </w:r>
    </w:p>
    <w:p w14:paraId="18F19E16" w14:textId="4F26513F" w:rsidR="0079705D" w:rsidRPr="0079705D" w:rsidRDefault="0079705D" w:rsidP="00574122">
      <w:pPr>
        <w:spacing w:line="360" w:lineRule="auto"/>
        <w:rPr>
          <w:lang w:val="en-US"/>
        </w:rPr>
      </w:pPr>
      <w:r>
        <w:rPr>
          <w:lang w:val="en-US"/>
        </w:rPr>
        <w:t>This is a</w:t>
      </w:r>
      <w:r w:rsidR="00BD5513">
        <w:rPr>
          <w:lang w:val="en-US"/>
        </w:rPr>
        <w:t xml:space="preserve"> source of</w:t>
      </w:r>
      <w:r>
        <w:rPr>
          <w:lang w:val="en-US"/>
        </w:rPr>
        <w:t xml:space="preserve"> funding which a company gets access to by selling equity </w:t>
      </w:r>
      <w:r w:rsidR="004C1043">
        <w:rPr>
          <w:lang w:val="en-US"/>
        </w:rPr>
        <w:t>in</w:t>
      </w:r>
      <w:r>
        <w:rPr>
          <w:lang w:val="en-US"/>
        </w:rPr>
        <w:t xml:space="preserve"> the company.</w:t>
      </w:r>
    </w:p>
    <w:p w14:paraId="718CE5BF" w14:textId="77777777" w:rsidR="00574122" w:rsidRDefault="00574122" w:rsidP="00574122">
      <w:pPr>
        <w:spacing w:line="360" w:lineRule="auto"/>
        <w:rPr>
          <w:b/>
          <w:bCs/>
          <w:lang w:val="en-US"/>
        </w:rPr>
      </w:pPr>
      <w:r>
        <w:rPr>
          <w:b/>
          <w:bCs/>
          <w:lang w:val="en-US"/>
        </w:rPr>
        <w:t>Advantages:</w:t>
      </w:r>
    </w:p>
    <w:p w14:paraId="4556C9FF" w14:textId="0DAB1477" w:rsidR="00574122" w:rsidRDefault="00FF4BE0" w:rsidP="00574122">
      <w:pPr>
        <w:pStyle w:val="ListParagraph"/>
        <w:numPr>
          <w:ilvl w:val="0"/>
          <w:numId w:val="9"/>
        </w:numPr>
        <w:spacing w:line="360" w:lineRule="auto"/>
        <w:rPr>
          <w:lang w:val="en-US"/>
        </w:rPr>
      </w:pPr>
      <w:r>
        <w:rPr>
          <w:lang w:val="en-US"/>
        </w:rPr>
        <w:t xml:space="preserve">There remains </w:t>
      </w:r>
      <w:r w:rsidR="004C1043">
        <w:rPr>
          <w:lang w:val="en-US"/>
        </w:rPr>
        <w:t>an</w:t>
      </w:r>
      <w:r>
        <w:rPr>
          <w:lang w:val="en-US"/>
        </w:rPr>
        <w:t xml:space="preserve"> obligation for the company to pay the capital back.</w:t>
      </w:r>
    </w:p>
    <w:p w14:paraId="2D900DFC" w14:textId="6E6635AF" w:rsidR="00574122" w:rsidRDefault="0070651D" w:rsidP="00574122">
      <w:pPr>
        <w:pStyle w:val="ListParagraph"/>
        <w:numPr>
          <w:ilvl w:val="0"/>
          <w:numId w:val="9"/>
        </w:numPr>
        <w:spacing w:line="360" w:lineRule="auto"/>
        <w:rPr>
          <w:lang w:val="en-US"/>
        </w:rPr>
      </w:pPr>
      <w:r>
        <w:rPr>
          <w:lang w:val="en-US"/>
        </w:rPr>
        <w:t>Unlike interes</w:t>
      </w:r>
      <w:r w:rsidR="008D56C8">
        <w:rPr>
          <w:lang w:val="en-US"/>
        </w:rPr>
        <w:t>t</w:t>
      </w:r>
      <w:r>
        <w:rPr>
          <w:lang w:val="en-US"/>
        </w:rPr>
        <w:t>s, the dividends are not required to be paid</w:t>
      </w:r>
      <w:r w:rsidR="00042EDF">
        <w:rPr>
          <w:lang w:val="en-US"/>
        </w:rPr>
        <w:t xml:space="preserve"> </w:t>
      </w:r>
      <w:r w:rsidR="004C1043">
        <w:rPr>
          <w:lang w:val="en-US"/>
        </w:rPr>
        <w:t>regularly</w:t>
      </w:r>
      <w:r w:rsidR="00F37E8B">
        <w:rPr>
          <w:lang w:val="en-US"/>
        </w:rPr>
        <w:t xml:space="preserve"> (</w:t>
      </w:r>
      <w:r w:rsidR="00F37E8B" w:rsidRPr="00F37E8B">
        <w:t>Karmazin</w:t>
      </w:r>
      <w:r w:rsidR="00F37E8B">
        <w:t xml:space="preserve"> and Bondar, 2013)</w:t>
      </w:r>
      <w:r w:rsidR="00042EDF">
        <w:rPr>
          <w:lang w:val="en-US"/>
        </w:rPr>
        <w:t>.</w:t>
      </w:r>
    </w:p>
    <w:p w14:paraId="0A7547EE" w14:textId="77777777" w:rsidR="00574122" w:rsidRDefault="00574122" w:rsidP="00574122">
      <w:pPr>
        <w:spacing w:line="360" w:lineRule="auto"/>
        <w:rPr>
          <w:b/>
          <w:bCs/>
          <w:lang w:val="en-US"/>
        </w:rPr>
      </w:pPr>
      <w:r>
        <w:rPr>
          <w:b/>
          <w:bCs/>
          <w:lang w:val="en-US"/>
        </w:rPr>
        <w:t>Disadvantages:</w:t>
      </w:r>
    </w:p>
    <w:p w14:paraId="19E4A8F2" w14:textId="7C459F84" w:rsidR="00574122" w:rsidRDefault="007624DD" w:rsidP="00574122">
      <w:pPr>
        <w:pStyle w:val="ListParagraph"/>
        <w:numPr>
          <w:ilvl w:val="0"/>
          <w:numId w:val="10"/>
        </w:numPr>
        <w:spacing w:line="360" w:lineRule="auto"/>
        <w:rPr>
          <w:lang w:val="en-US"/>
        </w:rPr>
      </w:pPr>
      <w:r>
        <w:rPr>
          <w:lang w:val="en-US"/>
        </w:rPr>
        <w:t>By issuing more shares, the company dilutes the ownership and control of the existing shareholders.</w:t>
      </w:r>
    </w:p>
    <w:p w14:paraId="6C765DC3" w14:textId="3B78DE3B" w:rsidR="007624DD" w:rsidRDefault="007624DD" w:rsidP="00574122">
      <w:pPr>
        <w:pStyle w:val="ListParagraph"/>
        <w:numPr>
          <w:ilvl w:val="0"/>
          <w:numId w:val="10"/>
        </w:numPr>
        <w:spacing w:line="360" w:lineRule="auto"/>
        <w:rPr>
          <w:lang w:val="en-US"/>
        </w:rPr>
      </w:pPr>
      <w:r>
        <w:rPr>
          <w:lang w:val="en-US"/>
        </w:rPr>
        <w:t>Dividends are not mandatory to be paid, but expectations of investors can change what the company will undertake for its dividend policies</w:t>
      </w:r>
      <w:r w:rsidR="00F37E8B">
        <w:rPr>
          <w:lang w:val="en-US"/>
        </w:rPr>
        <w:t xml:space="preserve"> (</w:t>
      </w:r>
      <w:r w:rsidR="00F37E8B" w:rsidRPr="00F37E8B">
        <w:t>Karmazin</w:t>
      </w:r>
      <w:r w:rsidR="00F37E8B">
        <w:t xml:space="preserve"> and Bondar, 2013)</w:t>
      </w:r>
      <w:r>
        <w:rPr>
          <w:lang w:val="en-US"/>
        </w:rPr>
        <w:t>.</w:t>
      </w:r>
    </w:p>
    <w:p w14:paraId="713014F3" w14:textId="6D138F05" w:rsidR="00574122" w:rsidRDefault="00574122" w:rsidP="00574122">
      <w:pPr>
        <w:spacing w:line="360" w:lineRule="auto"/>
        <w:rPr>
          <w:b/>
          <w:bCs/>
          <w:lang w:val="en-US"/>
        </w:rPr>
      </w:pPr>
      <w:r>
        <w:rPr>
          <w:b/>
          <w:bCs/>
          <w:lang w:val="en-US"/>
        </w:rPr>
        <w:t>Bank Loans</w:t>
      </w:r>
    </w:p>
    <w:p w14:paraId="4FDE2BC9" w14:textId="27C168B7" w:rsidR="006A1F42" w:rsidRPr="006A1F42" w:rsidRDefault="006A1F42" w:rsidP="00574122">
      <w:pPr>
        <w:spacing w:line="360" w:lineRule="auto"/>
        <w:rPr>
          <w:lang w:val="en-US"/>
        </w:rPr>
      </w:pPr>
      <w:r>
        <w:rPr>
          <w:lang w:val="en-US"/>
        </w:rPr>
        <w:t xml:space="preserve">This is one of the most accessible </w:t>
      </w:r>
      <w:r w:rsidR="00715565">
        <w:rPr>
          <w:lang w:val="en-US"/>
        </w:rPr>
        <w:t xml:space="preserve">sources of funding for any business to fund projects and other plans. It has its </w:t>
      </w:r>
      <w:r w:rsidR="0082049B">
        <w:rPr>
          <w:lang w:val="en-US"/>
        </w:rPr>
        <w:t xml:space="preserve">fair share of </w:t>
      </w:r>
      <w:r w:rsidR="00715565">
        <w:rPr>
          <w:lang w:val="en-US"/>
        </w:rPr>
        <w:t xml:space="preserve">advantages as well as disadvantages. </w:t>
      </w:r>
    </w:p>
    <w:p w14:paraId="5CA092E8" w14:textId="77777777" w:rsidR="00574122" w:rsidRDefault="00574122" w:rsidP="00574122">
      <w:pPr>
        <w:spacing w:line="360" w:lineRule="auto"/>
        <w:rPr>
          <w:b/>
          <w:bCs/>
          <w:lang w:val="en-US"/>
        </w:rPr>
      </w:pPr>
      <w:r>
        <w:rPr>
          <w:b/>
          <w:bCs/>
          <w:lang w:val="en-US"/>
        </w:rPr>
        <w:t>Advantages:</w:t>
      </w:r>
    </w:p>
    <w:p w14:paraId="1730A606" w14:textId="6C075D1D" w:rsidR="00574122" w:rsidRDefault="00431000" w:rsidP="00574122">
      <w:pPr>
        <w:pStyle w:val="ListParagraph"/>
        <w:numPr>
          <w:ilvl w:val="0"/>
          <w:numId w:val="11"/>
        </w:numPr>
        <w:spacing w:line="360" w:lineRule="auto"/>
        <w:rPr>
          <w:lang w:val="en-US"/>
        </w:rPr>
      </w:pPr>
      <w:r>
        <w:rPr>
          <w:lang w:val="en-US"/>
        </w:rPr>
        <w:t xml:space="preserve">As the money is being lent, </w:t>
      </w:r>
      <w:r w:rsidR="00F07E69">
        <w:rPr>
          <w:lang w:val="en-US"/>
        </w:rPr>
        <w:t>the ownership of the shareholders remain</w:t>
      </w:r>
      <w:r w:rsidR="003A0211">
        <w:rPr>
          <w:lang w:val="en-US"/>
        </w:rPr>
        <w:t>s</w:t>
      </w:r>
      <w:r w:rsidR="00F07E69">
        <w:rPr>
          <w:lang w:val="en-US"/>
        </w:rPr>
        <w:t xml:space="preserve"> undiluted.</w:t>
      </w:r>
    </w:p>
    <w:p w14:paraId="405E028E" w14:textId="5FDE19AB" w:rsidR="00574122" w:rsidRDefault="003A0211" w:rsidP="00574122">
      <w:pPr>
        <w:pStyle w:val="ListParagraph"/>
        <w:numPr>
          <w:ilvl w:val="0"/>
          <w:numId w:val="11"/>
        </w:numPr>
        <w:spacing w:line="360" w:lineRule="auto"/>
        <w:rPr>
          <w:lang w:val="en-US"/>
        </w:rPr>
      </w:pPr>
      <w:r>
        <w:rPr>
          <w:lang w:val="en-US"/>
        </w:rPr>
        <w:t>When loans are successfully repaid</w:t>
      </w:r>
      <w:r w:rsidR="00B73EE1">
        <w:rPr>
          <w:lang w:val="en-US"/>
        </w:rPr>
        <w:t xml:space="preserve">, </w:t>
      </w:r>
      <w:r w:rsidR="004B63BD">
        <w:rPr>
          <w:lang w:val="en-US"/>
        </w:rPr>
        <w:t xml:space="preserve">the company can build its credit history </w:t>
      </w:r>
      <w:r w:rsidR="00192874">
        <w:rPr>
          <w:lang w:val="en-US"/>
        </w:rPr>
        <w:t xml:space="preserve">and get access to more loans for future </w:t>
      </w:r>
      <w:r w:rsidR="004C1043">
        <w:rPr>
          <w:lang w:val="en-US"/>
        </w:rPr>
        <w:t>endeavours</w:t>
      </w:r>
      <w:r w:rsidR="00F37E8B">
        <w:rPr>
          <w:lang w:val="en-US"/>
        </w:rPr>
        <w:t xml:space="preserve"> (</w:t>
      </w:r>
      <w:r w:rsidR="00F37E8B" w:rsidRPr="00F37E8B">
        <w:t>VALLABHANENI</w:t>
      </w:r>
      <w:r w:rsidR="00F37E8B">
        <w:t>, 2022)</w:t>
      </w:r>
      <w:r w:rsidR="00A45519">
        <w:rPr>
          <w:lang w:val="en-US"/>
        </w:rPr>
        <w:t>.</w:t>
      </w:r>
    </w:p>
    <w:p w14:paraId="7194DB46" w14:textId="77777777" w:rsidR="00574122" w:rsidRDefault="00574122" w:rsidP="00574122">
      <w:pPr>
        <w:spacing w:line="360" w:lineRule="auto"/>
        <w:rPr>
          <w:b/>
          <w:bCs/>
          <w:lang w:val="en-US"/>
        </w:rPr>
      </w:pPr>
      <w:r>
        <w:rPr>
          <w:b/>
          <w:bCs/>
          <w:lang w:val="en-US"/>
        </w:rPr>
        <w:t>Disadvantages:</w:t>
      </w:r>
    </w:p>
    <w:p w14:paraId="377B157D" w14:textId="4E51B37C" w:rsidR="00A579FD" w:rsidRDefault="00482939" w:rsidP="00574122">
      <w:pPr>
        <w:pStyle w:val="ListParagraph"/>
        <w:numPr>
          <w:ilvl w:val="0"/>
          <w:numId w:val="12"/>
        </w:numPr>
        <w:spacing w:line="360" w:lineRule="auto"/>
        <w:rPr>
          <w:lang w:val="en-US"/>
        </w:rPr>
      </w:pPr>
      <w:r>
        <w:rPr>
          <w:lang w:val="en-US"/>
        </w:rPr>
        <w:t>Principal and interests are mandatory to be repaid</w:t>
      </w:r>
      <w:r w:rsidR="004C1043">
        <w:rPr>
          <w:lang w:val="en-US"/>
        </w:rPr>
        <w:t>,</w:t>
      </w:r>
      <w:r>
        <w:rPr>
          <w:lang w:val="en-US"/>
        </w:rPr>
        <w:t xml:space="preserve"> which creates financial risks for the company.</w:t>
      </w:r>
    </w:p>
    <w:p w14:paraId="4D120DC0" w14:textId="26307A5B" w:rsidR="009C643C" w:rsidRPr="00574122" w:rsidRDefault="00A579FD" w:rsidP="00574122">
      <w:pPr>
        <w:pStyle w:val="ListParagraph"/>
        <w:numPr>
          <w:ilvl w:val="0"/>
          <w:numId w:val="12"/>
        </w:numPr>
        <w:spacing w:line="360" w:lineRule="auto"/>
        <w:rPr>
          <w:lang w:val="en-US"/>
        </w:rPr>
      </w:pPr>
      <w:r>
        <w:rPr>
          <w:lang w:val="en-US"/>
        </w:rPr>
        <w:t>If financial risks are not managed properly, the company may even default on the loans</w:t>
      </w:r>
      <w:r w:rsidR="00F37E8B">
        <w:rPr>
          <w:lang w:val="en-US"/>
        </w:rPr>
        <w:t xml:space="preserve"> (</w:t>
      </w:r>
      <w:r w:rsidR="00F37E8B" w:rsidRPr="00F37E8B">
        <w:t>VALLABHANENI</w:t>
      </w:r>
      <w:r w:rsidR="00F37E8B">
        <w:t>, 2022)</w:t>
      </w:r>
      <w:r>
        <w:rPr>
          <w:lang w:val="en-US"/>
        </w:rPr>
        <w:t>.</w:t>
      </w:r>
      <w:r w:rsidR="009C643C" w:rsidRPr="00574122">
        <w:rPr>
          <w:lang w:val="en-US"/>
        </w:rPr>
        <w:br w:type="page"/>
      </w:r>
    </w:p>
    <w:p w14:paraId="48A65A9D" w14:textId="0804D55F" w:rsidR="009C643C" w:rsidRDefault="009C643C" w:rsidP="009C643C">
      <w:pPr>
        <w:pStyle w:val="Heading1"/>
        <w:spacing w:line="360" w:lineRule="auto"/>
        <w:rPr>
          <w:lang w:val="en-US"/>
        </w:rPr>
      </w:pPr>
      <w:bookmarkStart w:id="33" w:name="_Toc224345137"/>
      <w:r>
        <w:rPr>
          <w:lang w:val="en-US"/>
        </w:rPr>
        <w:t>Conclusion</w:t>
      </w:r>
      <w:bookmarkEnd w:id="33"/>
    </w:p>
    <w:p w14:paraId="1C66FBEF" w14:textId="1E99A08A" w:rsidR="009C643C" w:rsidRDefault="00564EB9" w:rsidP="009C643C">
      <w:pPr>
        <w:spacing w:line="360" w:lineRule="auto"/>
        <w:rPr>
          <w:lang w:val="en-US"/>
        </w:rPr>
      </w:pPr>
      <w:r>
        <w:rPr>
          <w:lang w:val="en-US"/>
        </w:rPr>
        <w:t xml:space="preserve">The undertaken comparative analysis effectively showcases the role of financial analysis as well as investment analysis in making sound decisions. </w:t>
      </w:r>
      <w:r w:rsidR="007155AB">
        <w:rPr>
          <w:lang w:val="en-US"/>
        </w:rPr>
        <w:t xml:space="preserve">In Part One, </w:t>
      </w:r>
      <w:r w:rsidR="00E778BE">
        <w:rPr>
          <w:lang w:val="en-US"/>
        </w:rPr>
        <w:t>an extensive analysis has been undertaken on Rolls-Royce Holdings PLC through ratio analysis</w:t>
      </w:r>
      <w:r w:rsidR="004C1043">
        <w:rPr>
          <w:lang w:val="en-US"/>
        </w:rPr>
        <w:t>,</w:t>
      </w:r>
      <w:r w:rsidR="00E778BE">
        <w:rPr>
          <w:lang w:val="en-US"/>
        </w:rPr>
        <w:t xml:space="preserve"> which has showcased exceptional improvement as the operating margins of the company improved from a modest 11.79% in 2023 to 15.37% in 2024. At the same time, ROCE increased to 15.35 in the same period from 11.72%. </w:t>
      </w:r>
      <w:r w:rsidR="00C812E3">
        <w:rPr>
          <w:lang w:val="en-US"/>
        </w:rPr>
        <w:t xml:space="preserve">Again, the company strengthened its liquidity significantly by getting rid of its net debt of 1,952 million Pounds in 2023 to 475 million </w:t>
      </w:r>
      <w:r w:rsidR="004C1043">
        <w:rPr>
          <w:lang w:val="en-US"/>
        </w:rPr>
        <w:t>pounds</w:t>
      </w:r>
      <w:r w:rsidR="00C812E3">
        <w:rPr>
          <w:lang w:val="en-US"/>
        </w:rPr>
        <w:t xml:space="preserve"> in 2024.</w:t>
      </w:r>
      <w:r w:rsidR="008F6D11">
        <w:rPr>
          <w:lang w:val="en-US"/>
        </w:rPr>
        <w:t xml:space="preserve"> Moreover, the company improved upon its free cash flow generation in the same time period, as well. </w:t>
      </w:r>
      <w:r w:rsidR="00F15382">
        <w:rPr>
          <w:lang w:val="en-US"/>
        </w:rPr>
        <w:t>After having undertaken all the quantitative analys</w:t>
      </w:r>
      <w:r w:rsidR="002B59F8">
        <w:rPr>
          <w:lang w:val="en-US"/>
        </w:rPr>
        <w:t xml:space="preserve">es, the power and limitations of ratio analyses have been described. </w:t>
      </w:r>
      <w:r w:rsidR="008174C5">
        <w:rPr>
          <w:lang w:val="en-US"/>
        </w:rPr>
        <w:t xml:space="preserve">From describing the inherent drawbacks to </w:t>
      </w:r>
      <w:r w:rsidR="00B34603">
        <w:rPr>
          <w:lang w:val="en-US"/>
        </w:rPr>
        <w:t xml:space="preserve">capturing the strengths, this report has encompassed major areas of analysis of strategic decision-making regarding investments. </w:t>
      </w:r>
      <w:r w:rsidR="00940265">
        <w:rPr>
          <w:lang w:val="en-US"/>
        </w:rPr>
        <w:t>Alongside the analys</w:t>
      </w:r>
      <w:r w:rsidR="006B0BC4">
        <w:rPr>
          <w:lang w:val="en-US"/>
        </w:rPr>
        <w:t xml:space="preserve">es undertaken, </w:t>
      </w:r>
      <w:r w:rsidR="00DA5495">
        <w:rPr>
          <w:lang w:val="en-US"/>
        </w:rPr>
        <w:t xml:space="preserve">necessary recommendations were also provided to sustain such incredible performance and growth. </w:t>
      </w:r>
      <w:r w:rsidR="00194CB3">
        <w:rPr>
          <w:lang w:val="en-US"/>
        </w:rPr>
        <w:t xml:space="preserve">In Part Two, </w:t>
      </w:r>
      <w:r w:rsidR="00605749">
        <w:rPr>
          <w:lang w:val="en-US"/>
        </w:rPr>
        <w:t xml:space="preserve">in the case of Westward PLC, </w:t>
      </w:r>
      <w:r w:rsidR="0091178C">
        <w:rPr>
          <w:lang w:val="en-US"/>
        </w:rPr>
        <w:t>necessary capital budgeting techniques have been applied</w:t>
      </w:r>
      <w:r w:rsidR="004C1043">
        <w:rPr>
          <w:lang w:val="en-US"/>
        </w:rPr>
        <w:t>,</w:t>
      </w:r>
      <w:r w:rsidR="0091178C">
        <w:rPr>
          <w:lang w:val="en-US"/>
        </w:rPr>
        <w:t xml:space="preserve"> including net present value and internal rate of return. </w:t>
      </w:r>
      <w:r w:rsidR="00BB05ED">
        <w:rPr>
          <w:lang w:val="en-US"/>
        </w:rPr>
        <w:t xml:space="preserve">From taking real-life examples to </w:t>
      </w:r>
      <w:r w:rsidR="00791C4B">
        <w:rPr>
          <w:lang w:val="en-US"/>
        </w:rPr>
        <w:t xml:space="preserve">incorporating theoretical aspects on why NPV is regarded </w:t>
      </w:r>
      <w:r w:rsidR="004C1043">
        <w:rPr>
          <w:lang w:val="en-US"/>
        </w:rPr>
        <w:t>as</w:t>
      </w:r>
      <w:r w:rsidR="00791C4B">
        <w:rPr>
          <w:lang w:val="en-US"/>
        </w:rPr>
        <w:t xml:space="preserve"> the most optimal capital budgeting technique, the report has been enriched with necessary quantitative and qualitative analyses. </w:t>
      </w:r>
      <w:r w:rsidR="00900AD1">
        <w:rPr>
          <w:lang w:val="en-US"/>
        </w:rPr>
        <w:t xml:space="preserve">In the second part, it has been identified that Option B yields the best possible results for the company from a net present value as well as an internal rate of return </w:t>
      </w:r>
      <w:r w:rsidR="004C1043">
        <w:rPr>
          <w:lang w:val="en-US"/>
        </w:rPr>
        <w:t>perspective</w:t>
      </w:r>
      <w:r w:rsidR="00900AD1">
        <w:rPr>
          <w:lang w:val="en-US"/>
        </w:rPr>
        <w:t xml:space="preserve">. </w:t>
      </w:r>
      <w:r w:rsidR="000144E6">
        <w:rPr>
          <w:lang w:val="en-US"/>
        </w:rPr>
        <w:t>Yet, the non-discounting methods</w:t>
      </w:r>
      <w:r w:rsidR="004C1043">
        <w:rPr>
          <w:lang w:val="en-US"/>
        </w:rPr>
        <w:t>,</w:t>
      </w:r>
      <w:r w:rsidR="000144E6">
        <w:rPr>
          <w:lang w:val="en-US"/>
        </w:rPr>
        <w:t xml:space="preserve"> such as payback period</w:t>
      </w:r>
      <w:r w:rsidR="004C1043">
        <w:rPr>
          <w:lang w:val="en-US"/>
        </w:rPr>
        <w:t>,</w:t>
      </w:r>
      <w:r w:rsidR="000144E6">
        <w:rPr>
          <w:lang w:val="en-US"/>
        </w:rPr>
        <w:t xml:space="preserve"> showcase certain limitations. </w:t>
      </w:r>
      <w:r w:rsidR="00D83AAB">
        <w:rPr>
          <w:lang w:val="en-US"/>
        </w:rPr>
        <w:t xml:space="preserve">Now, by incorporating both parts, </w:t>
      </w:r>
      <w:r w:rsidR="004C1043">
        <w:rPr>
          <w:lang w:val="en-US"/>
        </w:rPr>
        <w:t xml:space="preserve">the </w:t>
      </w:r>
      <w:r w:rsidR="00D83AAB">
        <w:rPr>
          <w:lang w:val="en-US"/>
        </w:rPr>
        <w:t xml:space="preserve">necessary financial analysis has been underpinned by </w:t>
      </w:r>
      <w:r w:rsidR="004C1043">
        <w:rPr>
          <w:lang w:val="en-US"/>
        </w:rPr>
        <w:t xml:space="preserve">the </w:t>
      </w:r>
      <w:r w:rsidR="00D83AAB">
        <w:rPr>
          <w:lang w:val="en-US"/>
        </w:rPr>
        <w:t>necessary quantitative and qualitative foundations.</w:t>
      </w:r>
      <w:r w:rsidR="00B67613">
        <w:rPr>
          <w:lang w:val="en-US"/>
        </w:rPr>
        <w:t xml:space="preserve"> Also, by </w:t>
      </w:r>
      <w:r w:rsidR="00644824">
        <w:rPr>
          <w:lang w:val="en-US"/>
        </w:rPr>
        <w:t>balancing competing objectives</w:t>
      </w:r>
      <w:r w:rsidR="004C1043">
        <w:rPr>
          <w:lang w:val="en-US"/>
        </w:rPr>
        <w:t>,</w:t>
      </w:r>
      <w:r w:rsidR="005100FA">
        <w:rPr>
          <w:lang w:val="en-US"/>
        </w:rPr>
        <w:t xml:space="preserve"> including profitability versus liquidity, growth versus risk and others, necessary recommendations have been provided for maximum output to be achieved by both the companies in question. </w:t>
      </w:r>
    </w:p>
    <w:p w14:paraId="0A1347B8" w14:textId="77777777" w:rsidR="009C643C" w:rsidRDefault="009C643C">
      <w:pPr>
        <w:spacing w:after="160"/>
        <w:jc w:val="left"/>
        <w:rPr>
          <w:lang w:val="en-US"/>
        </w:rPr>
      </w:pPr>
      <w:r>
        <w:rPr>
          <w:lang w:val="en-US"/>
        </w:rPr>
        <w:br w:type="page"/>
      </w:r>
    </w:p>
    <w:p w14:paraId="3140B446" w14:textId="3C02C269" w:rsidR="00E85FE7" w:rsidRPr="00E85FE7" w:rsidRDefault="009C643C" w:rsidP="00E14FD1">
      <w:pPr>
        <w:pStyle w:val="Heading1"/>
        <w:spacing w:line="360" w:lineRule="auto"/>
        <w:rPr>
          <w:lang w:val="en-US"/>
        </w:rPr>
      </w:pPr>
      <w:bookmarkStart w:id="34" w:name="_Toc224345138"/>
      <w:r>
        <w:rPr>
          <w:lang w:val="en-US"/>
        </w:rPr>
        <w:t>References</w:t>
      </w:r>
      <w:bookmarkEnd w:id="34"/>
    </w:p>
    <w:p w14:paraId="22E600B6" w14:textId="479A897B" w:rsidR="00AB53F7" w:rsidRDefault="00AB53F7" w:rsidP="0091044E">
      <w:pPr>
        <w:spacing w:line="360" w:lineRule="auto"/>
      </w:pPr>
      <w:r w:rsidRPr="00AB53F7">
        <w:t>Afonso, P. and Cunha, J.</w:t>
      </w:r>
      <w:r>
        <w:t xml:space="preserve"> (2009) </w:t>
      </w:r>
      <w:r w:rsidRPr="00AB53F7">
        <w:t>DETERMINANTS OF THE USE OF CAPITAL INVESTMENT APPRAISAL METHODS. </w:t>
      </w:r>
      <w:r w:rsidRPr="00AB53F7">
        <w:rPr>
          <w:i/>
          <w:iCs/>
        </w:rPr>
        <w:t>Group</w:t>
      </w:r>
      <w:r w:rsidRPr="00AB53F7">
        <w:t>, </w:t>
      </w:r>
      <w:r w:rsidRPr="00AB53F7">
        <w:rPr>
          <w:i/>
          <w:iCs/>
        </w:rPr>
        <w:t>8</w:t>
      </w:r>
      <w:r w:rsidRPr="00AB53F7">
        <w:t>, p.12.</w:t>
      </w:r>
    </w:p>
    <w:p w14:paraId="4F8D2CAF" w14:textId="1981C818" w:rsidR="0091044E" w:rsidRDefault="0091044E" w:rsidP="0091044E">
      <w:pPr>
        <w:spacing w:line="360" w:lineRule="auto"/>
      </w:pPr>
      <w:r w:rsidRPr="0091044E">
        <w:t>Alabi, A.W., Olaoye, F.O. and Ojo, O.D.</w:t>
      </w:r>
      <w:r>
        <w:t xml:space="preserve"> (</w:t>
      </w:r>
      <w:r w:rsidRPr="0091044E">
        <w:t>2022</w:t>
      </w:r>
      <w:r>
        <w:t>)</w:t>
      </w:r>
      <w:r w:rsidRPr="0091044E">
        <w:t xml:space="preserve"> The nexus between corporate governance and financial performance of the FTSE 100 index entities in the United Kingdom. </w:t>
      </w:r>
      <w:r w:rsidRPr="0091044E">
        <w:rPr>
          <w:i/>
          <w:iCs/>
        </w:rPr>
        <w:t>European Journal of Business and Management Research</w:t>
      </w:r>
      <w:r w:rsidRPr="0091044E">
        <w:t>, </w:t>
      </w:r>
      <w:r w:rsidRPr="0091044E">
        <w:rPr>
          <w:i/>
          <w:iCs/>
        </w:rPr>
        <w:t>7</w:t>
      </w:r>
      <w:r w:rsidRPr="0091044E">
        <w:t>(6), pp.235-246.</w:t>
      </w:r>
    </w:p>
    <w:p w14:paraId="75F8042C" w14:textId="77777777" w:rsidR="0091044E" w:rsidRPr="00E85FE7" w:rsidRDefault="0091044E" w:rsidP="0091044E">
      <w:pPr>
        <w:spacing w:line="360" w:lineRule="auto"/>
      </w:pPr>
      <w:r w:rsidRPr="00E85FE7">
        <w:t>Alkaraan, F. and Northcott, D. (2013)</w:t>
      </w:r>
      <w:r>
        <w:t>.</w:t>
      </w:r>
      <w:r w:rsidRPr="00E85FE7">
        <w:t xml:space="preserve"> Strategic investment decision-making processes: the influence of contextual factors. </w:t>
      </w:r>
      <w:r w:rsidRPr="0091044E">
        <w:rPr>
          <w:i/>
          <w:iCs/>
        </w:rPr>
        <w:t>Meditari Accountancy Research</w:t>
      </w:r>
      <w:r w:rsidRPr="00E85FE7">
        <w:t>, </w:t>
      </w:r>
      <w:r w:rsidRPr="0091044E">
        <w:rPr>
          <w:i/>
          <w:iCs/>
        </w:rPr>
        <w:t>21</w:t>
      </w:r>
      <w:r w:rsidRPr="00E85FE7">
        <w:t>(2), pp.117-143.</w:t>
      </w:r>
    </w:p>
    <w:p w14:paraId="0DCDDD81" w14:textId="77777777" w:rsidR="0091044E" w:rsidRPr="00E85FE7" w:rsidRDefault="0091044E" w:rsidP="0091044E">
      <w:pPr>
        <w:spacing w:line="360" w:lineRule="auto"/>
      </w:pPr>
      <w:r w:rsidRPr="00E85FE7">
        <w:t>Arnold, T. (2014)</w:t>
      </w:r>
      <w:r>
        <w:t>.</w:t>
      </w:r>
      <w:r w:rsidRPr="00E85FE7">
        <w:t xml:space="preserve"> How net present value is implemented. In </w:t>
      </w:r>
      <w:r w:rsidRPr="0091044E">
        <w:rPr>
          <w:i/>
          <w:iCs/>
        </w:rPr>
        <w:t>A pragmatic guide to real options</w:t>
      </w:r>
      <w:r w:rsidRPr="00E85FE7">
        <w:t> (pp. 1-13). New York: Palgrave Macmillan US.</w:t>
      </w:r>
    </w:p>
    <w:p w14:paraId="2DB75A42" w14:textId="77777777" w:rsidR="0091044E" w:rsidRDefault="0091044E" w:rsidP="0091044E">
      <w:pPr>
        <w:spacing w:line="360" w:lineRule="auto"/>
      </w:pPr>
      <w:r w:rsidRPr="00E85FE7">
        <w:t>Arshad, A. (2012)</w:t>
      </w:r>
      <w:r>
        <w:t>.</w:t>
      </w:r>
      <w:r w:rsidRPr="00E85FE7">
        <w:t xml:space="preserve"> Net present value is better than internal rate of return. </w:t>
      </w:r>
      <w:r w:rsidRPr="0091044E">
        <w:rPr>
          <w:i/>
          <w:iCs/>
        </w:rPr>
        <w:t>Interdisciplinary Journal of contemporary research in business</w:t>
      </w:r>
      <w:r w:rsidRPr="00E85FE7">
        <w:t>, </w:t>
      </w:r>
      <w:r w:rsidRPr="0091044E">
        <w:rPr>
          <w:i/>
          <w:iCs/>
        </w:rPr>
        <w:t>4</w:t>
      </w:r>
      <w:r w:rsidRPr="00E85FE7">
        <w:t>(8), pp.211-219.</w:t>
      </w:r>
    </w:p>
    <w:p w14:paraId="6E0E58E3" w14:textId="77777777" w:rsidR="0091044E" w:rsidRPr="00E85FE7" w:rsidRDefault="0091044E" w:rsidP="0091044E">
      <w:pPr>
        <w:spacing w:line="360" w:lineRule="auto"/>
      </w:pPr>
      <w:r w:rsidRPr="00E85FE7">
        <w:t>Asiri, B.K. (2015) How investors perceive financial ratios at different growth opportunities and financial leverages. </w:t>
      </w:r>
      <w:r w:rsidRPr="0091044E">
        <w:rPr>
          <w:i/>
          <w:iCs/>
        </w:rPr>
        <w:t>Journal of Business Studies Quarterly</w:t>
      </w:r>
      <w:r w:rsidRPr="00E85FE7">
        <w:t>, </w:t>
      </w:r>
      <w:r w:rsidRPr="0091044E">
        <w:rPr>
          <w:i/>
          <w:iCs/>
        </w:rPr>
        <w:t>6</w:t>
      </w:r>
      <w:r w:rsidRPr="00E85FE7">
        <w:t>(3), p.1.</w:t>
      </w:r>
    </w:p>
    <w:p w14:paraId="3774DE2C" w14:textId="77777777" w:rsidR="0091044E" w:rsidRDefault="0091044E" w:rsidP="0091044E">
      <w:pPr>
        <w:spacing w:line="360" w:lineRule="auto"/>
      </w:pPr>
      <w:r w:rsidRPr="0091044E">
        <w:t>Bhunia, A., Mukhuti, S.S. and Roy, S.G.</w:t>
      </w:r>
      <w:r>
        <w:t xml:space="preserve"> (</w:t>
      </w:r>
      <w:r w:rsidRPr="0091044E">
        <w:t>2011</w:t>
      </w:r>
      <w:r>
        <w:t>)</w:t>
      </w:r>
      <w:r w:rsidRPr="0091044E">
        <w:t xml:space="preserve"> Financial performance analysis-A case study. </w:t>
      </w:r>
      <w:r w:rsidRPr="0091044E">
        <w:rPr>
          <w:i/>
          <w:iCs/>
        </w:rPr>
        <w:t>Current Research Journal of Social Sciences</w:t>
      </w:r>
      <w:r w:rsidRPr="0091044E">
        <w:t>, </w:t>
      </w:r>
      <w:r w:rsidRPr="0091044E">
        <w:rPr>
          <w:i/>
          <w:iCs/>
        </w:rPr>
        <w:t>3</w:t>
      </w:r>
      <w:r w:rsidRPr="0091044E">
        <w:t>(3), pp.269-275.</w:t>
      </w:r>
    </w:p>
    <w:p w14:paraId="197C126E" w14:textId="77777777" w:rsidR="0091044E" w:rsidRPr="00E85FE7" w:rsidRDefault="0091044E" w:rsidP="0091044E">
      <w:pPr>
        <w:spacing w:line="360" w:lineRule="auto"/>
      </w:pPr>
      <w:r w:rsidRPr="00E85FE7">
        <w:t>Bojarenko, J. (2017) Variability of accounting policies–advantages and disadvantages. </w:t>
      </w:r>
      <w:r w:rsidRPr="0091044E">
        <w:rPr>
          <w:i/>
          <w:iCs/>
        </w:rPr>
        <w:t>Copernican Journal of Finance &amp; Accounting</w:t>
      </w:r>
      <w:r w:rsidRPr="00E85FE7">
        <w:t>, </w:t>
      </w:r>
      <w:r w:rsidRPr="0091044E">
        <w:rPr>
          <w:i/>
          <w:iCs/>
        </w:rPr>
        <w:t>6</w:t>
      </w:r>
      <w:r w:rsidRPr="00E85FE7">
        <w:t>(3), pp.9-19.</w:t>
      </w:r>
    </w:p>
    <w:p w14:paraId="47DBD4A3" w14:textId="77777777" w:rsidR="0091044E" w:rsidRPr="00E85FE7" w:rsidRDefault="0091044E" w:rsidP="0091044E">
      <w:pPr>
        <w:spacing w:line="360" w:lineRule="auto"/>
      </w:pPr>
      <w:r w:rsidRPr="00E85FE7">
        <w:t>Bruggen, A. (2011) Capital rationing for capital budgeting. </w:t>
      </w:r>
      <w:r w:rsidRPr="0091044E">
        <w:rPr>
          <w:i/>
          <w:iCs/>
        </w:rPr>
        <w:t>Capital Budgeting Valuation; Financial Analysis for Today’s Investment Projects. Hoboken, NJ: John Wiley &amp; Sons, Inc</w:t>
      </w:r>
      <w:r w:rsidRPr="00E85FE7">
        <w:t>, pp.95-109.</w:t>
      </w:r>
    </w:p>
    <w:p w14:paraId="5779406A" w14:textId="77777777" w:rsidR="0091044E" w:rsidRPr="00E85FE7" w:rsidRDefault="0091044E" w:rsidP="0091044E">
      <w:pPr>
        <w:spacing w:line="360" w:lineRule="auto"/>
      </w:pPr>
      <w:r w:rsidRPr="00E85FE7">
        <w:t>Cotter, E. (2023) Net Present Value and Payback Period: An Analysis.</w:t>
      </w:r>
    </w:p>
    <w:p w14:paraId="61A8FC1F" w14:textId="77777777" w:rsidR="0091044E" w:rsidRPr="00E85FE7" w:rsidRDefault="0091044E" w:rsidP="0091044E">
      <w:pPr>
        <w:spacing w:line="360" w:lineRule="auto"/>
      </w:pPr>
      <w:r w:rsidRPr="00E85FE7">
        <w:t>Dai, H., Li, N., Wang, Y. and Zhao, X. (2022) The analysis of three main investment criteria: NPV IRR and payback period. In </w:t>
      </w:r>
      <w:r w:rsidRPr="0091044E">
        <w:rPr>
          <w:i/>
          <w:iCs/>
        </w:rPr>
        <w:t>2022 7th International Conference on Financial Innovation and Economic Development (ICFIED 2022)</w:t>
      </w:r>
      <w:r w:rsidRPr="00E85FE7">
        <w:t> (pp. 185-189). Atlantis Press.</w:t>
      </w:r>
    </w:p>
    <w:p w14:paraId="2ADD1465" w14:textId="77777777" w:rsidR="0091044E" w:rsidRDefault="0091044E" w:rsidP="0091044E">
      <w:pPr>
        <w:spacing w:line="360" w:lineRule="auto"/>
      </w:pPr>
      <w:r w:rsidRPr="0091044E">
        <w:t>Danbolt, J., Hirst, I. and Jones, E.</w:t>
      </w:r>
      <w:r>
        <w:t xml:space="preserve"> (</w:t>
      </w:r>
      <w:r w:rsidRPr="0091044E">
        <w:t>2018</w:t>
      </w:r>
      <w:r>
        <w:t>)</w:t>
      </w:r>
      <w:r w:rsidRPr="0091044E">
        <w:t xml:space="preserve"> Gaming the FTSE 100 index. </w:t>
      </w:r>
      <w:r w:rsidRPr="0091044E">
        <w:rPr>
          <w:i/>
          <w:iCs/>
        </w:rPr>
        <w:t>The British Accounting Review</w:t>
      </w:r>
      <w:r w:rsidRPr="0091044E">
        <w:t>, </w:t>
      </w:r>
      <w:r w:rsidRPr="0091044E">
        <w:rPr>
          <w:i/>
          <w:iCs/>
        </w:rPr>
        <w:t>50</w:t>
      </w:r>
      <w:r w:rsidRPr="0091044E">
        <w:t>(4), pp.364-378.</w:t>
      </w:r>
    </w:p>
    <w:p w14:paraId="7E642614" w14:textId="77777777" w:rsidR="0091044E" w:rsidRDefault="0091044E" w:rsidP="0091044E">
      <w:pPr>
        <w:spacing w:line="360" w:lineRule="auto"/>
      </w:pPr>
      <w:r w:rsidRPr="0091044E">
        <w:t>Elmghaamez, I.K. and Akintoye, E.</w:t>
      </w:r>
      <w:r>
        <w:t xml:space="preserve"> (</w:t>
      </w:r>
      <w:r w:rsidRPr="0091044E">
        <w:t>2021</w:t>
      </w:r>
      <w:r>
        <w:t>)</w:t>
      </w:r>
      <w:r w:rsidRPr="0091044E">
        <w:t xml:space="preserve"> Internal corporate governance mechanisms and financial performance: evidence from the UK's top FTSE 100 listed companies. </w:t>
      </w:r>
      <w:r w:rsidRPr="0091044E">
        <w:rPr>
          <w:i/>
          <w:iCs/>
        </w:rPr>
        <w:t>International Journal of Business Governance and Ethics</w:t>
      </w:r>
      <w:r w:rsidRPr="0091044E">
        <w:t>, </w:t>
      </w:r>
      <w:r w:rsidRPr="0091044E">
        <w:rPr>
          <w:i/>
          <w:iCs/>
        </w:rPr>
        <w:t>15</w:t>
      </w:r>
      <w:r w:rsidRPr="0091044E">
        <w:t>(2), pp.190-214.</w:t>
      </w:r>
    </w:p>
    <w:p w14:paraId="6315C0BA" w14:textId="77777777" w:rsidR="0091044E" w:rsidRDefault="0091044E" w:rsidP="0091044E">
      <w:pPr>
        <w:spacing w:line="360" w:lineRule="auto"/>
      </w:pPr>
      <w:r w:rsidRPr="0091044E">
        <w:t>European Investment Bank ed.</w:t>
      </w:r>
      <w:r>
        <w:t xml:space="preserve"> (</w:t>
      </w:r>
      <w:r w:rsidRPr="0091044E">
        <w:t>2023</w:t>
      </w:r>
      <w:r>
        <w:t>)</w:t>
      </w:r>
      <w:r w:rsidRPr="0091044E">
        <w:t> </w:t>
      </w:r>
      <w:r w:rsidRPr="0091044E">
        <w:rPr>
          <w:i/>
          <w:iCs/>
        </w:rPr>
        <w:t>The economic appraisal of investment projects at the EIB</w:t>
      </w:r>
      <w:r w:rsidRPr="0091044E">
        <w:t>. European Investment Bank.</w:t>
      </w:r>
    </w:p>
    <w:p w14:paraId="548F9C53" w14:textId="77777777" w:rsidR="0091044E" w:rsidRPr="00E85FE7" w:rsidRDefault="0091044E" w:rsidP="0091044E">
      <w:pPr>
        <w:spacing w:line="360" w:lineRule="auto"/>
      </w:pPr>
      <w:r w:rsidRPr="00E85FE7">
        <w:t>Faello, J. (2015) Understanding the limitations of financial ratios. </w:t>
      </w:r>
      <w:r w:rsidRPr="0091044E">
        <w:rPr>
          <w:i/>
          <w:iCs/>
        </w:rPr>
        <w:t>Academy of accounting and financial studies journal</w:t>
      </w:r>
      <w:r w:rsidRPr="00E85FE7">
        <w:t>, </w:t>
      </w:r>
      <w:r w:rsidRPr="0091044E">
        <w:rPr>
          <w:i/>
          <w:iCs/>
        </w:rPr>
        <w:t>19</w:t>
      </w:r>
      <w:r w:rsidRPr="00E85FE7">
        <w:t>(3), p.75.</w:t>
      </w:r>
    </w:p>
    <w:p w14:paraId="246D068D" w14:textId="77777777" w:rsidR="0091044E" w:rsidRDefault="0091044E" w:rsidP="0091044E">
      <w:pPr>
        <w:spacing w:line="360" w:lineRule="auto"/>
      </w:pPr>
      <w:r w:rsidRPr="0091044E">
        <w:t>Fatihudin, D.</w:t>
      </w:r>
      <w:r>
        <w:t xml:space="preserve"> (</w:t>
      </w:r>
      <w:r w:rsidRPr="0091044E">
        <w:t>2018</w:t>
      </w:r>
      <w:r>
        <w:t>)</w:t>
      </w:r>
      <w:r w:rsidRPr="0091044E">
        <w:t xml:space="preserve"> How measuring financial performance. </w:t>
      </w:r>
      <w:r w:rsidRPr="0091044E">
        <w:rPr>
          <w:i/>
          <w:iCs/>
        </w:rPr>
        <w:t>International Journal of Civil Engineering and Technology (IJCIET)</w:t>
      </w:r>
      <w:r w:rsidRPr="0091044E">
        <w:t>, </w:t>
      </w:r>
      <w:r w:rsidRPr="0091044E">
        <w:rPr>
          <w:i/>
          <w:iCs/>
        </w:rPr>
        <w:t>9</w:t>
      </w:r>
      <w:r w:rsidRPr="0091044E">
        <w:t>(6), pp.553-557.</w:t>
      </w:r>
    </w:p>
    <w:p w14:paraId="05A1265E" w14:textId="77777777" w:rsidR="0091044E" w:rsidRPr="00E85FE7" w:rsidRDefault="0091044E" w:rsidP="0091044E">
      <w:pPr>
        <w:spacing w:line="360" w:lineRule="auto"/>
      </w:pPr>
      <w:r w:rsidRPr="00E85FE7">
        <w:t>Gabric, D. (2018)</w:t>
      </w:r>
      <w:r>
        <w:t>.</w:t>
      </w:r>
      <w:r w:rsidRPr="00E85FE7">
        <w:t xml:space="preserve"> Determination of accounting manipulations in the financial statements using accrual based investment ratios. </w:t>
      </w:r>
      <w:r w:rsidRPr="0091044E">
        <w:rPr>
          <w:i/>
          <w:iCs/>
        </w:rPr>
        <w:t>Economic Review: Journal of Economics and Business</w:t>
      </w:r>
      <w:r w:rsidRPr="00E85FE7">
        <w:t>, </w:t>
      </w:r>
      <w:r w:rsidRPr="0091044E">
        <w:rPr>
          <w:i/>
          <w:iCs/>
        </w:rPr>
        <w:t>16</w:t>
      </w:r>
      <w:r w:rsidRPr="00E85FE7">
        <w:t>(1), pp.71-81.</w:t>
      </w:r>
    </w:p>
    <w:p w14:paraId="1249A125" w14:textId="77777777" w:rsidR="0091044E" w:rsidRDefault="0091044E" w:rsidP="0091044E">
      <w:pPr>
        <w:spacing w:line="360" w:lineRule="auto"/>
      </w:pPr>
      <w:r w:rsidRPr="0091044E">
        <w:t>Harris, E.P. and El-Massri, M.</w:t>
      </w:r>
      <w:r>
        <w:t xml:space="preserve"> (</w:t>
      </w:r>
      <w:r w:rsidRPr="0091044E">
        <w:t>2011</w:t>
      </w:r>
      <w:r>
        <w:t>)</w:t>
      </w:r>
      <w:r w:rsidRPr="0091044E">
        <w:t xml:space="preserve"> Capital investment appraisal. In </w:t>
      </w:r>
      <w:r w:rsidRPr="0091044E">
        <w:rPr>
          <w:i/>
          <w:iCs/>
        </w:rPr>
        <w:t>Review of management accounting research</w:t>
      </w:r>
      <w:r w:rsidRPr="0091044E">
        <w:t> (pp. 343-377). London: Palgrave Macmillan UK.</w:t>
      </w:r>
    </w:p>
    <w:p w14:paraId="2DB7B660" w14:textId="77777777" w:rsidR="0091044E" w:rsidRPr="00E85FE7" w:rsidRDefault="0091044E" w:rsidP="0091044E">
      <w:pPr>
        <w:spacing w:line="360" w:lineRule="auto"/>
      </w:pPr>
      <w:r w:rsidRPr="00E85FE7">
        <w:t>Harrison, J.L. and Morton, A. (2007) What we teach and what they do: A Comparative Analysis of Ratios. In </w:t>
      </w:r>
      <w:r w:rsidRPr="0091044E">
        <w:rPr>
          <w:i/>
          <w:iCs/>
        </w:rPr>
        <w:t>Managing our intellectual and social capital: proceedings of the 21st Australian and New Zealand Academy of Management (ANZAM) Conference</w:t>
      </w:r>
      <w:r w:rsidRPr="00E85FE7">
        <w:t>. Promaco Conventions.</w:t>
      </w:r>
    </w:p>
    <w:p w14:paraId="6D33A309" w14:textId="6691F572" w:rsidR="00AB53F7" w:rsidRPr="00AB53F7" w:rsidRDefault="00AB53F7" w:rsidP="00AB53F7">
      <w:pPr>
        <w:spacing w:line="360" w:lineRule="auto"/>
      </w:pPr>
      <w:r w:rsidRPr="00AB53F7">
        <w:t xml:space="preserve">Hunjra, A.I., Batool, I. and Niazi, G.S.K. (2011) </w:t>
      </w:r>
      <w:r w:rsidRPr="00AB53F7">
        <w:rPr>
          <w:i/>
          <w:iCs/>
        </w:rPr>
        <w:t>Munich Personal RePEc Archive Investment appraisal techniques and constraints on capital investment</w:t>
      </w:r>
      <w:r w:rsidRPr="00AB53F7">
        <w:t>. [online] Available at: https://mpra.ub.uni-muenchen.de/40677/1/MPRA_paper_40677.pdf.</w:t>
      </w:r>
    </w:p>
    <w:p w14:paraId="4BCDFB7A" w14:textId="77777777" w:rsidR="0091044E" w:rsidRDefault="0091044E" w:rsidP="0091044E">
      <w:pPr>
        <w:spacing w:line="360" w:lineRule="auto"/>
      </w:pPr>
      <w:r w:rsidRPr="0091044E">
        <w:t>Kahraman, C., Oztaysi, B., Onar, S.Ç. and Cebi, S.</w:t>
      </w:r>
      <w:r>
        <w:t xml:space="preserve"> (</w:t>
      </w:r>
      <w:r w:rsidRPr="0091044E">
        <w:t>2022</w:t>
      </w:r>
      <w:r>
        <w:t xml:space="preserve">) </w:t>
      </w:r>
      <w:r w:rsidRPr="0091044E">
        <w:t>Fuzzy investment assessment techniques: A state-of-the-art literature review. In </w:t>
      </w:r>
      <w:r w:rsidRPr="0091044E">
        <w:rPr>
          <w:i/>
          <w:iCs/>
        </w:rPr>
        <w:t>International Conference on Innovations in Bio-Inspired Computing and Applications</w:t>
      </w:r>
      <w:r w:rsidRPr="0091044E">
        <w:t> (pp. 649-657). Cham: Springer Nature Switzerland.</w:t>
      </w:r>
    </w:p>
    <w:p w14:paraId="38355043" w14:textId="77777777" w:rsidR="0091044E" w:rsidRPr="00E85FE7" w:rsidRDefault="0091044E" w:rsidP="0091044E">
      <w:pPr>
        <w:spacing w:line="360" w:lineRule="auto"/>
      </w:pPr>
      <w:r w:rsidRPr="00E85FE7">
        <w:t>Karmazin, V.A. and Bondar, A.O. (2013) The advantages and disadvantages of financing with preferred and common stock. </w:t>
      </w:r>
      <w:r w:rsidRPr="0091044E">
        <w:rPr>
          <w:i/>
          <w:iCs/>
        </w:rPr>
        <w:t>Економічний вісник Національного технічного університету України Київський політехнічний інститут</w:t>
      </w:r>
      <w:r w:rsidRPr="00E85FE7">
        <w:t>, (10), pp.241-244.</w:t>
      </w:r>
    </w:p>
    <w:p w14:paraId="7054E51E" w14:textId="77777777" w:rsidR="0091044E" w:rsidRDefault="0091044E" w:rsidP="0091044E">
      <w:pPr>
        <w:spacing w:line="360" w:lineRule="auto"/>
      </w:pPr>
      <w:r w:rsidRPr="0091044E">
        <w:t>Kengatharan, L.</w:t>
      </w:r>
      <w:r>
        <w:t xml:space="preserve"> (</w:t>
      </w:r>
      <w:r w:rsidRPr="0091044E">
        <w:t>2017</w:t>
      </w:r>
      <w:r>
        <w:t>)</w:t>
      </w:r>
      <w:r w:rsidRPr="0091044E">
        <w:t xml:space="preserve"> Use of capital investment appraisal practices and effectiveness of investment decisions: A study on listed manufacturing companies in Sri Lanka. </w:t>
      </w:r>
      <w:r w:rsidRPr="0091044E">
        <w:rPr>
          <w:i/>
          <w:iCs/>
        </w:rPr>
        <w:t>Asian Journal of Finance &amp; Accounting</w:t>
      </w:r>
      <w:r w:rsidRPr="0091044E">
        <w:t>.</w:t>
      </w:r>
    </w:p>
    <w:p w14:paraId="03E69462" w14:textId="77777777" w:rsidR="0091044E" w:rsidRPr="00E85FE7" w:rsidRDefault="0091044E" w:rsidP="0091044E">
      <w:pPr>
        <w:spacing w:line="360" w:lineRule="auto"/>
      </w:pPr>
      <w:r w:rsidRPr="00E85FE7">
        <w:t>Kumar Saxena, C.A. (2024) WORKING CAPITAL MANAGEMENT A CRITICAL ANALYSIS OF TECHNIQUES AND PRACTICES. </w:t>
      </w:r>
      <w:r w:rsidRPr="0091044E">
        <w:rPr>
          <w:i/>
          <w:iCs/>
        </w:rPr>
        <w:t>Bulletin of Pure &amp; Applied Sciences-Zoology</w:t>
      </w:r>
      <w:r w:rsidRPr="00E85FE7">
        <w:t>, </w:t>
      </w:r>
      <w:r w:rsidRPr="0091044E">
        <w:rPr>
          <w:i/>
          <w:iCs/>
        </w:rPr>
        <w:t>43</w:t>
      </w:r>
      <w:r w:rsidRPr="00E85FE7">
        <w:t>.</w:t>
      </w:r>
    </w:p>
    <w:p w14:paraId="3FD7170B" w14:textId="77777777" w:rsidR="0091044E" w:rsidRPr="00E85FE7" w:rsidRDefault="0091044E" w:rsidP="0091044E">
      <w:pPr>
        <w:spacing w:line="360" w:lineRule="auto"/>
      </w:pPr>
      <w:r w:rsidRPr="00E85FE7">
        <w:t>Moghadasnian, S. and Ketabchi, M. (2024) Cost Efficiency and Financial Health in Airlines Leveraging Cost Management KPIs. </w:t>
      </w:r>
      <w:r w:rsidRPr="0091044E">
        <w:rPr>
          <w:i/>
          <w:iCs/>
        </w:rPr>
        <w:t>Transactions on Data Analysis in Social Science</w:t>
      </w:r>
      <w:r w:rsidRPr="00E85FE7">
        <w:t>, </w:t>
      </w:r>
      <w:r w:rsidRPr="0091044E">
        <w:rPr>
          <w:i/>
          <w:iCs/>
        </w:rPr>
        <w:t>6</w:t>
      </w:r>
      <w:r w:rsidRPr="00E85FE7">
        <w:t>(3), pp.31-40.</w:t>
      </w:r>
    </w:p>
    <w:p w14:paraId="0FC1EE63" w14:textId="0315635F" w:rsidR="00067D69" w:rsidRPr="00067D69" w:rsidRDefault="00067D69" w:rsidP="00067D69">
      <w:pPr>
        <w:spacing w:line="360" w:lineRule="auto"/>
      </w:pPr>
      <w:r w:rsidRPr="00067D69">
        <w:t xml:space="preserve">Myšková, R. and Hajek, P. (2017) Comprehensive assessment of firm financial performance using financial ratios and linguistic analysis of annual reports. </w:t>
      </w:r>
      <w:r w:rsidRPr="00067D69">
        <w:rPr>
          <w:i/>
          <w:iCs/>
        </w:rPr>
        <w:t>Journal of International Studies</w:t>
      </w:r>
      <w:r w:rsidRPr="00067D69">
        <w:t>, [online] 10(4), pp.96–108. Available at: https://www.ceeol.com/search/article-detail?id=607109.</w:t>
      </w:r>
    </w:p>
    <w:p w14:paraId="2AAB7AFA" w14:textId="033ADC11" w:rsidR="0091044E" w:rsidRDefault="0091044E" w:rsidP="0091044E">
      <w:pPr>
        <w:spacing w:line="360" w:lineRule="auto"/>
      </w:pPr>
      <w:r w:rsidRPr="0091044E">
        <w:t>Northcott, D. and Alkaraan, F.</w:t>
      </w:r>
      <w:r>
        <w:t xml:space="preserve"> (</w:t>
      </w:r>
      <w:r w:rsidRPr="0091044E">
        <w:t>2007</w:t>
      </w:r>
      <w:r>
        <w:t>)</w:t>
      </w:r>
      <w:r w:rsidRPr="0091044E">
        <w:t xml:space="preserve"> Strategic investment appraisal. </w:t>
      </w:r>
      <w:r w:rsidRPr="0091044E">
        <w:rPr>
          <w:i/>
          <w:iCs/>
        </w:rPr>
        <w:t>Issues in management accounting</w:t>
      </w:r>
      <w:r w:rsidRPr="0091044E">
        <w:t>, pp.199-220.</w:t>
      </w:r>
    </w:p>
    <w:p w14:paraId="11C03910" w14:textId="77777777" w:rsidR="0091044E" w:rsidRPr="00E85FE7" w:rsidRDefault="0091044E" w:rsidP="0091044E">
      <w:pPr>
        <w:spacing w:line="360" w:lineRule="auto"/>
      </w:pPr>
      <w:r w:rsidRPr="00E85FE7">
        <w:t>Patrick, M. and French, N. (2016) The internal rate of return (IRR): projections, benchmarks and pitfalls. </w:t>
      </w:r>
      <w:r w:rsidRPr="0091044E">
        <w:rPr>
          <w:i/>
          <w:iCs/>
        </w:rPr>
        <w:t>Journal of Property Investment &amp; Finance</w:t>
      </w:r>
      <w:r w:rsidRPr="00E85FE7">
        <w:t>, </w:t>
      </w:r>
      <w:r w:rsidRPr="0091044E">
        <w:rPr>
          <w:i/>
          <w:iCs/>
        </w:rPr>
        <w:t>34</w:t>
      </w:r>
      <w:r w:rsidRPr="00E85FE7">
        <w:t>(6), pp.664-669.</w:t>
      </w:r>
    </w:p>
    <w:p w14:paraId="1659E48B" w14:textId="77777777" w:rsidR="0091044E" w:rsidRPr="00E85FE7" w:rsidRDefault="0091044E" w:rsidP="0091044E">
      <w:pPr>
        <w:spacing w:line="360" w:lineRule="auto"/>
      </w:pPr>
      <w:r w:rsidRPr="00E85FE7">
        <w:t>Rashid, C.A. (2018) Efficiency of financial ratios analysis for evaluating companies’ liquidity. </w:t>
      </w:r>
      <w:r w:rsidRPr="0091044E">
        <w:rPr>
          <w:i/>
          <w:iCs/>
        </w:rPr>
        <w:t>International journal of social sciences &amp; educational studies</w:t>
      </w:r>
      <w:r w:rsidRPr="00E85FE7">
        <w:t>, </w:t>
      </w:r>
      <w:r w:rsidRPr="0091044E">
        <w:rPr>
          <w:i/>
          <w:iCs/>
        </w:rPr>
        <w:t>4</w:t>
      </w:r>
      <w:r w:rsidRPr="00E85FE7">
        <w:t>(4), pp.110-123.</w:t>
      </w:r>
    </w:p>
    <w:p w14:paraId="11A17826" w14:textId="77777777" w:rsidR="0091044E" w:rsidRPr="00E85FE7" w:rsidRDefault="0091044E" w:rsidP="0091044E">
      <w:pPr>
        <w:spacing w:line="360" w:lineRule="auto"/>
      </w:pPr>
      <w:r w:rsidRPr="00E85FE7">
        <w:t>Rashid, C.A. (2021) The efficiency of financial ratios analysis to evaluate company’s profitability. </w:t>
      </w:r>
      <w:r w:rsidRPr="0091044E">
        <w:rPr>
          <w:i/>
          <w:iCs/>
        </w:rPr>
        <w:t>Journal of Global Economics and Business</w:t>
      </w:r>
      <w:r w:rsidRPr="00E85FE7">
        <w:t>, </w:t>
      </w:r>
      <w:r w:rsidRPr="0091044E">
        <w:rPr>
          <w:i/>
          <w:iCs/>
        </w:rPr>
        <w:t>2</w:t>
      </w:r>
      <w:r w:rsidRPr="00E85FE7">
        <w:t>(4), pp.119-132.</w:t>
      </w:r>
    </w:p>
    <w:p w14:paraId="7A8B0080" w14:textId="77777777" w:rsidR="0091044E" w:rsidRDefault="0091044E" w:rsidP="0091044E">
      <w:pPr>
        <w:spacing w:line="360" w:lineRule="auto"/>
      </w:pPr>
      <w:r w:rsidRPr="0091044E">
        <w:t>Ravisankar, A., Sampath, B. and Asif, M.M.</w:t>
      </w:r>
      <w:r>
        <w:t xml:space="preserve"> (</w:t>
      </w:r>
      <w:r w:rsidRPr="0091044E">
        <w:t>2023</w:t>
      </w:r>
      <w:r>
        <w:t>)</w:t>
      </w:r>
      <w:r w:rsidRPr="0091044E">
        <w:t xml:space="preserve"> Economic Studies on Automobile Management: Working Capital and Investment Analysis. In </w:t>
      </w:r>
      <w:r w:rsidRPr="0091044E">
        <w:rPr>
          <w:i/>
          <w:iCs/>
        </w:rPr>
        <w:t>Multidisciplinary Approaches to Organizational Governance During Health Crises</w:t>
      </w:r>
      <w:r w:rsidRPr="0091044E">
        <w:t> (pp. 169-198). IGI Global.</w:t>
      </w:r>
    </w:p>
    <w:p w14:paraId="419F1F44" w14:textId="14BEFF09" w:rsidR="0091044E" w:rsidRPr="00E85FE7" w:rsidRDefault="0091044E" w:rsidP="0091044E">
      <w:pPr>
        <w:spacing w:line="360" w:lineRule="auto"/>
      </w:pPr>
      <w:r w:rsidRPr="00E85FE7">
        <w:t xml:space="preserve">Rolls-Royce (2022) </w:t>
      </w:r>
      <w:r w:rsidRPr="0091044E">
        <w:rPr>
          <w:i/>
          <w:iCs/>
        </w:rPr>
        <w:t>Rolls-Royce appoints Tufan Erginbilgic as Chief Executive Officer</w:t>
      </w:r>
      <w:r w:rsidRPr="00E85FE7">
        <w:t xml:space="preserve">. [online] www.rolls-royce.com. Available at: https://www.rolls-royce.com/media/press-releases/2022/26-07-2022-rr-appoints-tufan-erginbilgic-as-chief-executive-officer.aspx </w:t>
      </w:r>
      <w:r w:rsidR="00AB53F7">
        <w:t>[Accessed 14 Mar. 2026]</w:t>
      </w:r>
      <w:r w:rsidRPr="00E85FE7">
        <w:t>.</w:t>
      </w:r>
    </w:p>
    <w:p w14:paraId="107F5BC8" w14:textId="4797B1B0" w:rsidR="0091044E" w:rsidRPr="00E85FE7" w:rsidRDefault="0091044E" w:rsidP="0091044E">
      <w:pPr>
        <w:spacing w:line="360" w:lineRule="auto"/>
      </w:pPr>
      <w:r w:rsidRPr="00E85FE7">
        <w:t xml:space="preserve">Rolls-Royce (2024) </w:t>
      </w:r>
      <w:r w:rsidRPr="0091044E">
        <w:rPr>
          <w:i/>
          <w:iCs/>
        </w:rPr>
        <w:t>Rolls-Royce Holdings plc</w:t>
      </w:r>
      <w:r w:rsidRPr="00E85FE7">
        <w:t xml:space="preserve">. [online] Available at: https://www.rolls-royce.com/~/media/Files/R/Rolls-Royce/documents/annual-report/2025/2024-annual-report.pdf </w:t>
      </w:r>
      <w:r w:rsidR="00AB53F7">
        <w:t>[Accessed 14 Mar. 2026]</w:t>
      </w:r>
      <w:r w:rsidRPr="00E85FE7">
        <w:t>.</w:t>
      </w:r>
    </w:p>
    <w:p w14:paraId="00F0C69A" w14:textId="0E84A803" w:rsidR="0091044E" w:rsidRPr="00E85FE7" w:rsidRDefault="0091044E" w:rsidP="0091044E">
      <w:pPr>
        <w:spacing w:line="360" w:lineRule="auto"/>
      </w:pPr>
      <w:r w:rsidRPr="00E85FE7">
        <w:t xml:space="preserve">Rolls-Royce (2025) </w:t>
      </w:r>
      <w:r w:rsidRPr="0091044E">
        <w:rPr>
          <w:i/>
          <w:iCs/>
        </w:rPr>
        <w:t>Rest of the world</w:t>
      </w:r>
      <w:r w:rsidRPr="00E85FE7">
        <w:t xml:space="preserve">. [online] careers.rolls-royce.com. Available at: https://careers.rolls-royce.com/usa/our-locations/rest-of-the-world </w:t>
      </w:r>
      <w:r w:rsidR="00AB53F7">
        <w:t>[Accessed 14 Mar. 2026]</w:t>
      </w:r>
      <w:r w:rsidRPr="00E85FE7">
        <w:t>.</w:t>
      </w:r>
    </w:p>
    <w:p w14:paraId="2FFFA53D" w14:textId="77777777" w:rsidR="0091044E" w:rsidRDefault="0091044E" w:rsidP="0091044E">
      <w:pPr>
        <w:spacing w:line="360" w:lineRule="auto"/>
      </w:pPr>
      <w:r w:rsidRPr="0091044E">
        <w:t>Sahoo, S.K. and Goswami, S.S.</w:t>
      </w:r>
      <w:r>
        <w:t xml:space="preserve"> (</w:t>
      </w:r>
      <w:r w:rsidRPr="0091044E">
        <w:t>2023</w:t>
      </w:r>
      <w:r>
        <w:t>)</w:t>
      </w:r>
      <w:r w:rsidRPr="0091044E">
        <w:t xml:space="preserve"> A comprehensive review of multiple criteria decision-making (MCDM) methods: advancements, applications, and future directions. </w:t>
      </w:r>
      <w:r w:rsidRPr="0091044E">
        <w:rPr>
          <w:i/>
          <w:iCs/>
        </w:rPr>
        <w:t>Decision Making Advances</w:t>
      </w:r>
      <w:r w:rsidRPr="0091044E">
        <w:t>, </w:t>
      </w:r>
      <w:r w:rsidRPr="0091044E">
        <w:rPr>
          <w:i/>
          <w:iCs/>
        </w:rPr>
        <w:t>1</w:t>
      </w:r>
      <w:r w:rsidRPr="0091044E">
        <w:t>(1), pp.25-48.</w:t>
      </w:r>
    </w:p>
    <w:p w14:paraId="7D72DDD7" w14:textId="77777777" w:rsidR="0091044E" w:rsidRPr="00E85FE7" w:rsidRDefault="0091044E" w:rsidP="0091044E">
      <w:pPr>
        <w:spacing w:line="360" w:lineRule="auto"/>
      </w:pPr>
      <w:r w:rsidRPr="00E85FE7">
        <w:t>Santosuosso, P. (2014) Do efficiency ratios help investors to explore firm performances? Evidence from Italian listed firms. </w:t>
      </w:r>
      <w:r w:rsidRPr="0091044E">
        <w:rPr>
          <w:i/>
          <w:iCs/>
        </w:rPr>
        <w:t>International Business Research</w:t>
      </w:r>
      <w:r w:rsidRPr="00E85FE7">
        <w:t>, </w:t>
      </w:r>
      <w:r w:rsidRPr="0091044E">
        <w:rPr>
          <w:i/>
          <w:iCs/>
        </w:rPr>
        <w:t>7</w:t>
      </w:r>
      <w:r w:rsidRPr="00E85FE7">
        <w:t>(12), p.111.</w:t>
      </w:r>
    </w:p>
    <w:p w14:paraId="16513286" w14:textId="45F6B60A" w:rsidR="006463B7" w:rsidRDefault="006463B7" w:rsidP="0091044E">
      <w:pPr>
        <w:spacing w:line="360" w:lineRule="auto"/>
      </w:pPr>
      <w:r w:rsidRPr="006463B7">
        <w:t>Scholleova, H., Fotr, J. and Svecova, L., 2010. Investment decision making criterions in practice. </w:t>
      </w:r>
      <w:r w:rsidRPr="006463B7">
        <w:rPr>
          <w:i/>
          <w:iCs/>
        </w:rPr>
        <w:t>Economics &amp; Management</w:t>
      </w:r>
      <w:r w:rsidRPr="006463B7">
        <w:t>, </w:t>
      </w:r>
      <w:r w:rsidRPr="006463B7">
        <w:rPr>
          <w:i/>
          <w:iCs/>
        </w:rPr>
        <w:t>15</w:t>
      </w:r>
      <w:r w:rsidRPr="006463B7">
        <w:t>(1), pp.1018-1023.</w:t>
      </w:r>
    </w:p>
    <w:p w14:paraId="5D41B72C" w14:textId="77777777" w:rsidR="0091044E" w:rsidRPr="00E85FE7" w:rsidRDefault="0091044E" w:rsidP="0091044E">
      <w:pPr>
        <w:spacing w:line="360" w:lineRule="auto"/>
      </w:pPr>
      <w:r w:rsidRPr="0091044E">
        <w:t>Shin, Y.B., Lee, S., Chun, S.G. and Chung, D.</w:t>
      </w:r>
      <w:r>
        <w:t xml:space="preserve"> (</w:t>
      </w:r>
      <w:r w:rsidRPr="0091044E">
        <w:t>2013</w:t>
      </w:r>
      <w:r>
        <w:t>)</w:t>
      </w:r>
      <w:r w:rsidRPr="0091044E">
        <w:t xml:space="preserve"> A critical review of popular multi-criteria decision making methodologies. </w:t>
      </w:r>
      <w:r w:rsidRPr="0091044E">
        <w:rPr>
          <w:i/>
          <w:iCs/>
        </w:rPr>
        <w:t>Issues in Information Systems</w:t>
      </w:r>
      <w:r w:rsidRPr="0091044E">
        <w:t>, </w:t>
      </w:r>
      <w:r w:rsidRPr="0091044E">
        <w:rPr>
          <w:i/>
          <w:iCs/>
        </w:rPr>
        <w:t>14</w:t>
      </w:r>
      <w:r w:rsidRPr="0091044E">
        <w:t>(1), pp.358-365.</w:t>
      </w:r>
    </w:p>
    <w:p w14:paraId="3D1CF631" w14:textId="0F1C751A" w:rsidR="0091044E" w:rsidRPr="00E85FE7" w:rsidRDefault="0091044E" w:rsidP="0091044E">
      <w:pPr>
        <w:spacing w:line="360" w:lineRule="auto"/>
      </w:pPr>
      <w:r w:rsidRPr="00E85FE7">
        <w:t xml:space="preserve">Stone, A. (2024) </w:t>
      </w:r>
      <w:r w:rsidRPr="0091044E">
        <w:rPr>
          <w:i/>
          <w:iCs/>
        </w:rPr>
        <w:t>Rolls-Royce delivers a record performance in 2023, strong momentum into 2024</w:t>
      </w:r>
      <w:r w:rsidRPr="00E85FE7">
        <w:t xml:space="preserve">. [online] Directors Talk Interviews. Available at: https://www.directorstalkinterviews.com/rolls-royce-delivers-a-record-performance-in-2023-strong-momentum-into-2024/4121143890 </w:t>
      </w:r>
      <w:r w:rsidR="00AB53F7">
        <w:t>[Accessed 14 Mar. 2026]</w:t>
      </w:r>
      <w:r w:rsidRPr="00E85FE7">
        <w:t>.</w:t>
      </w:r>
    </w:p>
    <w:p w14:paraId="1B1D7C29" w14:textId="77777777" w:rsidR="0091044E" w:rsidRDefault="0091044E" w:rsidP="0091044E">
      <w:pPr>
        <w:spacing w:line="360" w:lineRule="auto"/>
      </w:pPr>
      <w:r w:rsidRPr="0091044E">
        <w:t>Tembo, C.K., Muleya, F. and Kanyemba, A.</w:t>
      </w:r>
      <w:r>
        <w:t xml:space="preserve"> (</w:t>
      </w:r>
      <w:r w:rsidRPr="0091044E">
        <w:t>2024</w:t>
      </w:r>
      <w:r>
        <w:t>)</w:t>
      </w:r>
      <w:r w:rsidRPr="0091044E">
        <w:t xml:space="preserve"> An appraisal of cost management techniques used in the construction industry. </w:t>
      </w:r>
      <w:r w:rsidRPr="0091044E">
        <w:rPr>
          <w:i/>
          <w:iCs/>
        </w:rPr>
        <w:t>International Journal of Construction Management</w:t>
      </w:r>
      <w:r w:rsidRPr="0091044E">
        <w:t>, </w:t>
      </w:r>
      <w:r w:rsidRPr="0091044E">
        <w:rPr>
          <w:i/>
          <w:iCs/>
        </w:rPr>
        <w:t>24</w:t>
      </w:r>
      <w:r w:rsidRPr="0091044E">
        <w:t>(1), pp.10-18.</w:t>
      </w:r>
    </w:p>
    <w:p w14:paraId="1366D3A7" w14:textId="77777777" w:rsidR="0091044E" w:rsidRPr="00E85FE7" w:rsidRDefault="0091044E" w:rsidP="0091044E">
      <w:pPr>
        <w:spacing w:line="360" w:lineRule="auto"/>
      </w:pPr>
      <w:r w:rsidRPr="00E85FE7">
        <w:t xml:space="preserve">VALLABHANENI, M., 2022. Investigating the Roles </w:t>
      </w:r>
      <w:r>
        <w:t xml:space="preserve">and </w:t>
      </w:r>
      <w:r w:rsidRPr="00E85FE7">
        <w:t>Advantages of Syndicated Loans for Funds. </w:t>
      </w:r>
      <w:r w:rsidRPr="0091044E">
        <w:rPr>
          <w:i/>
          <w:iCs/>
        </w:rPr>
        <w:t>Message from the Editor-in-Chief</w:t>
      </w:r>
      <w:r w:rsidRPr="00E85FE7">
        <w:t>.</w:t>
      </w:r>
    </w:p>
    <w:p w14:paraId="6AD26C28" w14:textId="77777777" w:rsidR="0091044E" w:rsidRPr="00E85FE7" w:rsidRDefault="0091044E" w:rsidP="0091044E">
      <w:pPr>
        <w:spacing w:line="360" w:lineRule="auto"/>
      </w:pPr>
      <w:r w:rsidRPr="00E85FE7">
        <w:t>Wang, Y. (2021)</w:t>
      </w:r>
      <w:r>
        <w:t>.</w:t>
      </w:r>
      <w:r w:rsidRPr="00E85FE7">
        <w:t xml:space="preserve"> The development and usage of NPV and IRR</w:t>
      </w:r>
      <w:r>
        <w:t>,</w:t>
      </w:r>
      <w:r w:rsidRPr="00E85FE7">
        <w:t xml:space="preserve"> and their comparison. In </w:t>
      </w:r>
      <w:r w:rsidRPr="0091044E">
        <w:rPr>
          <w:i/>
          <w:iCs/>
        </w:rPr>
        <w:t>2021 3rd International Conference on Economic Management and Cultural Industry (ICEMCI 2021)</w:t>
      </w:r>
      <w:r w:rsidRPr="00E85FE7">
        <w:t> (pp. 2044-2048). Atlantis Press.</w:t>
      </w:r>
    </w:p>
    <w:p w14:paraId="258C271B" w14:textId="77777777" w:rsidR="0091044E" w:rsidRDefault="0091044E" w:rsidP="0091044E">
      <w:pPr>
        <w:spacing w:line="360" w:lineRule="auto"/>
      </w:pPr>
      <w:r w:rsidRPr="0091044E">
        <w:t>Waworuntu, S.R., Wantah, M.D. and Rusmanto, T.</w:t>
      </w:r>
      <w:r>
        <w:t xml:space="preserve"> (</w:t>
      </w:r>
      <w:r w:rsidRPr="0091044E">
        <w:t>2014</w:t>
      </w:r>
      <w:r>
        <w:t>)</w:t>
      </w:r>
      <w:r w:rsidRPr="0091044E">
        <w:t xml:space="preserve"> CSR and financial performance analysis: evidence from top ASEAN listed companies. </w:t>
      </w:r>
      <w:r w:rsidRPr="0091044E">
        <w:rPr>
          <w:i/>
          <w:iCs/>
        </w:rPr>
        <w:t>Procedia-Social and Behavioral Sciences</w:t>
      </w:r>
      <w:r w:rsidRPr="0091044E">
        <w:t>, </w:t>
      </w:r>
      <w:r w:rsidRPr="0091044E">
        <w:rPr>
          <w:i/>
          <w:iCs/>
        </w:rPr>
        <w:t>164</w:t>
      </w:r>
      <w:r w:rsidRPr="0091044E">
        <w:t>, pp.493-500.</w:t>
      </w:r>
    </w:p>
    <w:p w14:paraId="0CC4F1EE" w14:textId="77777777" w:rsidR="0091044E" w:rsidRPr="00E85FE7" w:rsidRDefault="0091044E" w:rsidP="0091044E">
      <w:pPr>
        <w:spacing w:line="360" w:lineRule="auto"/>
      </w:pPr>
      <w:r w:rsidRPr="00E85FE7">
        <w:t>Whittington, G. (2013)</w:t>
      </w:r>
      <w:r>
        <w:t>.</w:t>
      </w:r>
      <w:r w:rsidRPr="00E85FE7">
        <w:t xml:space="preserve"> On the use of the accounting rate of return in empirical research. In </w:t>
      </w:r>
      <w:r w:rsidRPr="0091044E">
        <w:rPr>
          <w:i/>
          <w:iCs/>
        </w:rPr>
        <w:t>Estimating the Economic Rate of Return From Accounting Data (RLE Accounting)</w:t>
      </w:r>
      <w:r w:rsidRPr="00E85FE7">
        <w:t> (pp. 149-156). Routledge.</w:t>
      </w:r>
    </w:p>
    <w:p w14:paraId="7A81F6FF" w14:textId="77777777" w:rsidR="0091044E" w:rsidRDefault="0091044E" w:rsidP="0091044E">
      <w:pPr>
        <w:spacing w:line="360" w:lineRule="auto"/>
      </w:pPr>
      <w:r w:rsidRPr="00E85FE7">
        <w:t>Yan, R. and Zhang, Y. (2022)</w:t>
      </w:r>
      <w:r>
        <w:t>.</w:t>
      </w:r>
      <w:r w:rsidRPr="00E85FE7">
        <w:t xml:space="preserve"> The Introduction of NPV and IRR. In </w:t>
      </w:r>
      <w:r w:rsidRPr="0091044E">
        <w:rPr>
          <w:i/>
          <w:iCs/>
        </w:rPr>
        <w:t>2022 7th International Conference on Financial Innovation and Economic Development (ICFIED 2022)</w:t>
      </w:r>
      <w:r w:rsidRPr="00E85FE7">
        <w:t> (pp. 1472-1476). Atlantis Press.</w:t>
      </w:r>
    </w:p>
    <w:p w14:paraId="4BC45A1D" w14:textId="77777777" w:rsidR="009C643C" w:rsidRDefault="009C643C">
      <w:pPr>
        <w:spacing w:after="160"/>
        <w:jc w:val="left"/>
        <w:rPr>
          <w:lang w:val="en-US"/>
        </w:rPr>
      </w:pPr>
      <w:r>
        <w:rPr>
          <w:lang w:val="en-US"/>
        </w:rPr>
        <w:br w:type="page"/>
      </w:r>
    </w:p>
    <w:p w14:paraId="46C1E2F3" w14:textId="3F1D907A" w:rsidR="009C643C" w:rsidRDefault="009C643C" w:rsidP="009C643C">
      <w:pPr>
        <w:pStyle w:val="Heading1"/>
        <w:spacing w:line="360" w:lineRule="auto"/>
        <w:rPr>
          <w:lang w:val="en-US"/>
        </w:rPr>
      </w:pPr>
      <w:bookmarkStart w:id="35" w:name="_Toc224345139"/>
      <w:r>
        <w:rPr>
          <w:lang w:val="en-US"/>
        </w:rPr>
        <w:t>Appendix</w:t>
      </w:r>
      <w:bookmarkEnd w:id="35"/>
    </w:p>
    <w:p w14:paraId="07A164A6" w14:textId="2115C3DA" w:rsidR="009C643C" w:rsidRDefault="001C37DC" w:rsidP="009C643C">
      <w:pPr>
        <w:spacing w:line="360" w:lineRule="auto"/>
        <w:rPr>
          <w:b/>
          <w:bCs/>
          <w:sz w:val="28"/>
          <w:szCs w:val="32"/>
          <w:lang w:val="en-US"/>
        </w:rPr>
      </w:pPr>
      <w:r>
        <w:rPr>
          <w:b/>
          <w:bCs/>
          <w:sz w:val="28"/>
          <w:szCs w:val="32"/>
          <w:lang w:val="en-US"/>
        </w:rPr>
        <w:t>Financial Statement of Rolls-Royce Holdings PLC</w:t>
      </w:r>
    </w:p>
    <w:p w14:paraId="408003B0" w14:textId="7487441E" w:rsidR="001C37DC" w:rsidRPr="001C37DC" w:rsidRDefault="00B17AC7" w:rsidP="00B33D0E">
      <w:pPr>
        <w:spacing w:line="360" w:lineRule="auto"/>
        <w:jc w:val="center"/>
        <w:rPr>
          <w:szCs w:val="28"/>
          <w:lang w:val="en-US"/>
        </w:rPr>
      </w:pPr>
      <w:r>
        <w:rPr>
          <w:noProof/>
          <w:szCs w:val="28"/>
          <w:lang w:val="en-US"/>
        </w:rPr>
        <w:object w:dxaOrig="1520" w:dyaOrig="988" w14:anchorId="044D337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75pt;height:48pt;mso-width-percent:0;mso-height-percent:0;mso-width-percent:0;mso-height-percent:0" o:ole="">
            <v:imagedata r:id="rId17" o:title=""/>
          </v:shape>
          <o:OLEObject Type="Embed" ProgID="FoxitPhantomPDF.Document" ShapeID="_x0000_i1025" DrawAspect="Icon" ObjectID="_1835402895" r:id="rId18"/>
        </w:object>
      </w:r>
    </w:p>
    <w:sectPr w:rsidR="001C37DC" w:rsidRPr="001C37DC">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AB25E" w14:textId="77777777" w:rsidR="009D0B63" w:rsidRDefault="009D0B63" w:rsidP="00C435A9">
      <w:pPr>
        <w:spacing w:after="0" w:line="240" w:lineRule="auto"/>
      </w:pPr>
      <w:r>
        <w:separator/>
      </w:r>
    </w:p>
  </w:endnote>
  <w:endnote w:type="continuationSeparator" w:id="0">
    <w:p w14:paraId="43058CA5" w14:textId="77777777" w:rsidR="009D0B63" w:rsidRDefault="009D0B63" w:rsidP="00C43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908B8" w14:textId="77777777" w:rsidR="009D0B63" w:rsidRDefault="009D0B63" w:rsidP="00C435A9">
      <w:pPr>
        <w:spacing w:after="0" w:line="240" w:lineRule="auto"/>
      </w:pPr>
      <w:r>
        <w:separator/>
      </w:r>
    </w:p>
  </w:footnote>
  <w:footnote w:type="continuationSeparator" w:id="0">
    <w:p w14:paraId="26079DEC" w14:textId="77777777" w:rsidR="009D0B63" w:rsidRDefault="009D0B63" w:rsidP="00C435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3773D"/>
    <w:multiLevelType w:val="hybridMultilevel"/>
    <w:tmpl w:val="77B28A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694713"/>
    <w:multiLevelType w:val="hybridMultilevel"/>
    <w:tmpl w:val="E7A65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11597D"/>
    <w:multiLevelType w:val="hybridMultilevel"/>
    <w:tmpl w:val="FEEAE138"/>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B3B5B8C"/>
    <w:multiLevelType w:val="hybridMultilevel"/>
    <w:tmpl w:val="FEEAE138"/>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E9909D2"/>
    <w:multiLevelType w:val="hybridMultilevel"/>
    <w:tmpl w:val="FEEAE138"/>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C0F6F8C"/>
    <w:multiLevelType w:val="hybridMultilevel"/>
    <w:tmpl w:val="3F0AC8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357DA8"/>
    <w:multiLevelType w:val="hybridMultilevel"/>
    <w:tmpl w:val="903CD9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5732FD"/>
    <w:multiLevelType w:val="hybridMultilevel"/>
    <w:tmpl w:val="FEEAE138"/>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11B3361"/>
    <w:multiLevelType w:val="hybridMultilevel"/>
    <w:tmpl w:val="FCA293EA"/>
    <w:lvl w:ilvl="0" w:tplc="5570401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2F0463"/>
    <w:multiLevelType w:val="hybridMultilevel"/>
    <w:tmpl w:val="0652E0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773D70"/>
    <w:multiLevelType w:val="hybridMultilevel"/>
    <w:tmpl w:val="94C85F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86962B9"/>
    <w:multiLevelType w:val="hybridMultilevel"/>
    <w:tmpl w:val="FEEAE138"/>
    <w:lvl w:ilvl="0" w:tplc="1D687D0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6C149A"/>
    <w:multiLevelType w:val="hybridMultilevel"/>
    <w:tmpl w:val="FEEAE138"/>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9"/>
  </w:num>
  <w:num w:numId="2">
    <w:abstractNumId w:val="10"/>
  </w:num>
  <w:num w:numId="3">
    <w:abstractNumId w:val="6"/>
  </w:num>
  <w:num w:numId="4">
    <w:abstractNumId w:val="5"/>
  </w:num>
  <w:num w:numId="5">
    <w:abstractNumId w:val="8"/>
  </w:num>
  <w:num w:numId="6">
    <w:abstractNumId w:val="1"/>
  </w:num>
  <w:num w:numId="7">
    <w:abstractNumId w:val="11"/>
  </w:num>
  <w:num w:numId="8">
    <w:abstractNumId w:val="3"/>
  </w:num>
  <w:num w:numId="9">
    <w:abstractNumId w:val="12"/>
  </w:num>
  <w:num w:numId="10">
    <w:abstractNumId w:val="2"/>
  </w:num>
  <w:num w:numId="11">
    <w:abstractNumId w:val="4"/>
  </w:num>
  <w:num w:numId="12">
    <w:abstractNumId w:val="7"/>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DCE"/>
    <w:rsid w:val="0000168C"/>
    <w:rsid w:val="00005023"/>
    <w:rsid w:val="00005E85"/>
    <w:rsid w:val="000144E6"/>
    <w:rsid w:val="00015726"/>
    <w:rsid w:val="0001739D"/>
    <w:rsid w:val="00024D50"/>
    <w:rsid w:val="00031D4E"/>
    <w:rsid w:val="000359AC"/>
    <w:rsid w:val="0003791F"/>
    <w:rsid w:val="00042EDF"/>
    <w:rsid w:val="00046827"/>
    <w:rsid w:val="00053375"/>
    <w:rsid w:val="00065B99"/>
    <w:rsid w:val="00065CE1"/>
    <w:rsid w:val="00067D69"/>
    <w:rsid w:val="000816A6"/>
    <w:rsid w:val="000840F6"/>
    <w:rsid w:val="000847C3"/>
    <w:rsid w:val="000904DD"/>
    <w:rsid w:val="00093EFB"/>
    <w:rsid w:val="00097B0A"/>
    <w:rsid w:val="00097B2E"/>
    <w:rsid w:val="000A0512"/>
    <w:rsid w:val="000B1543"/>
    <w:rsid w:val="000C1F31"/>
    <w:rsid w:val="000C29B8"/>
    <w:rsid w:val="000C7757"/>
    <w:rsid w:val="000C77ED"/>
    <w:rsid w:val="000D6A62"/>
    <w:rsid w:val="000D780C"/>
    <w:rsid w:val="000E2DAB"/>
    <w:rsid w:val="000E3A10"/>
    <w:rsid w:val="000E58A6"/>
    <w:rsid w:val="000F2EB0"/>
    <w:rsid w:val="000F577E"/>
    <w:rsid w:val="0010165D"/>
    <w:rsid w:val="001213E5"/>
    <w:rsid w:val="001217F0"/>
    <w:rsid w:val="00131241"/>
    <w:rsid w:val="00132A95"/>
    <w:rsid w:val="0013519D"/>
    <w:rsid w:val="001373D8"/>
    <w:rsid w:val="00137D1C"/>
    <w:rsid w:val="00137E28"/>
    <w:rsid w:val="00140AA0"/>
    <w:rsid w:val="001547E2"/>
    <w:rsid w:val="001640CA"/>
    <w:rsid w:val="0016630B"/>
    <w:rsid w:val="00174121"/>
    <w:rsid w:val="00177D4F"/>
    <w:rsid w:val="00180A37"/>
    <w:rsid w:val="0018297D"/>
    <w:rsid w:val="001859FB"/>
    <w:rsid w:val="00186279"/>
    <w:rsid w:val="00190F09"/>
    <w:rsid w:val="00192874"/>
    <w:rsid w:val="00192BCC"/>
    <w:rsid w:val="00194CB3"/>
    <w:rsid w:val="00195B7C"/>
    <w:rsid w:val="00196B52"/>
    <w:rsid w:val="001A1794"/>
    <w:rsid w:val="001A2FAB"/>
    <w:rsid w:val="001A4E00"/>
    <w:rsid w:val="001A5154"/>
    <w:rsid w:val="001A6228"/>
    <w:rsid w:val="001A6B72"/>
    <w:rsid w:val="001A799A"/>
    <w:rsid w:val="001B2354"/>
    <w:rsid w:val="001C0EF4"/>
    <w:rsid w:val="001C1626"/>
    <w:rsid w:val="001C36B8"/>
    <w:rsid w:val="001C37DC"/>
    <w:rsid w:val="001C411C"/>
    <w:rsid w:val="001D74CB"/>
    <w:rsid w:val="001E323E"/>
    <w:rsid w:val="001E48F3"/>
    <w:rsid w:val="002027F3"/>
    <w:rsid w:val="00214563"/>
    <w:rsid w:val="0021519C"/>
    <w:rsid w:val="0021720F"/>
    <w:rsid w:val="002209B1"/>
    <w:rsid w:val="00225FFE"/>
    <w:rsid w:val="00233A20"/>
    <w:rsid w:val="00234D5E"/>
    <w:rsid w:val="00235EB3"/>
    <w:rsid w:val="00244369"/>
    <w:rsid w:val="00244AD4"/>
    <w:rsid w:val="00244B11"/>
    <w:rsid w:val="002472AB"/>
    <w:rsid w:val="002502FE"/>
    <w:rsid w:val="00254502"/>
    <w:rsid w:val="00255836"/>
    <w:rsid w:val="00257373"/>
    <w:rsid w:val="0027270E"/>
    <w:rsid w:val="00281126"/>
    <w:rsid w:val="00284435"/>
    <w:rsid w:val="00284830"/>
    <w:rsid w:val="002872CC"/>
    <w:rsid w:val="0029321B"/>
    <w:rsid w:val="00294369"/>
    <w:rsid w:val="002A2F49"/>
    <w:rsid w:val="002A44F9"/>
    <w:rsid w:val="002B14C0"/>
    <w:rsid w:val="002B59F8"/>
    <w:rsid w:val="002B6D2B"/>
    <w:rsid w:val="002C6104"/>
    <w:rsid w:val="002E16AB"/>
    <w:rsid w:val="002E3473"/>
    <w:rsid w:val="002F03F0"/>
    <w:rsid w:val="003000F4"/>
    <w:rsid w:val="003058DD"/>
    <w:rsid w:val="00307BB0"/>
    <w:rsid w:val="00320420"/>
    <w:rsid w:val="00337737"/>
    <w:rsid w:val="00342878"/>
    <w:rsid w:val="00345E84"/>
    <w:rsid w:val="00354189"/>
    <w:rsid w:val="003554CE"/>
    <w:rsid w:val="00357960"/>
    <w:rsid w:val="00357F3F"/>
    <w:rsid w:val="00362837"/>
    <w:rsid w:val="00362D2D"/>
    <w:rsid w:val="00365283"/>
    <w:rsid w:val="00383292"/>
    <w:rsid w:val="00386999"/>
    <w:rsid w:val="00387D1D"/>
    <w:rsid w:val="003A0211"/>
    <w:rsid w:val="003A4992"/>
    <w:rsid w:val="003B250D"/>
    <w:rsid w:val="003B2B11"/>
    <w:rsid w:val="003B3EA4"/>
    <w:rsid w:val="003B434F"/>
    <w:rsid w:val="003C2F64"/>
    <w:rsid w:val="003C7FFC"/>
    <w:rsid w:val="003D15B1"/>
    <w:rsid w:val="003D586D"/>
    <w:rsid w:val="003E08B4"/>
    <w:rsid w:val="003E621C"/>
    <w:rsid w:val="003E6FC8"/>
    <w:rsid w:val="003F48B2"/>
    <w:rsid w:val="003F7223"/>
    <w:rsid w:val="004040BF"/>
    <w:rsid w:val="004070FE"/>
    <w:rsid w:val="00417A02"/>
    <w:rsid w:val="00421AFF"/>
    <w:rsid w:val="00431000"/>
    <w:rsid w:val="004326D2"/>
    <w:rsid w:val="00436659"/>
    <w:rsid w:val="00437498"/>
    <w:rsid w:val="00443061"/>
    <w:rsid w:val="00451292"/>
    <w:rsid w:val="004613EA"/>
    <w:rsid w:val="00464CB2"/>
    <w:rsid w:val="00471125"/>
    <w:rsid w:val="004712BC"/>
    <w:rsid w:val="00471561"/>
    <w:rsid w:val="0047390E"/>
    <w:rsid w:val="004806AB"/>
    <w:rsid w:val="00482939"/>
    <w:rsid w:val="00484F0A"/>
    <w:rsid w:val="00491448"/>
    <w:rsid w:val="00491639"/>
    <w:rsid w:val="004A4025"/>
    <w:rsid w:val="004A499D"/>
    <w:rsid w:val="004B01A0"/>
    <w:rsid w:val="004B63BD"/>
    <w:rsid w:val="004C0E91"/>
    <w:rsid w:val="004C1043"/>
    <w:rsid w:val="004E45F2"/>
    <w:rsid w:val="00507DD5"/>
    <w:rsid w:val="005100FA"/>
    <w:rsid w:val="005113E5"/>
    <w:rsid w:val="00524677"/>
    <w:rsid w:val="00527E9F"/>
    <w:rsid w:val="00531842"/>
    <w:rsid w:val="00533693"/>
    <w:rsid w:val="005338A4"/>
    <w:rsid w:val="00537B32"/>
    <w:rsid w:val="00545312"/>
    <w:rsid w:val="00545B52"/>
    <w:rsid w:val="00546638"/>
    <w:rsid w:val="005529BE"/>
    <w:rsid w:val="00564EB9"/>
    <w:rsid w:val="00567CD3"/>
    <w:rsid w:val="0057316B"/>
    <w:rsid w:val="00573C3F"/>
    <w:rsid w:val="00574122"/>
    <w:rsid w:val="005748EE"/>
    <w:rsid w:val="0057563D"/>
    <w:rsid w:val="00582CE8"/>
    <w:rsid w:val="00585D29"/>
    <w:rsid w:val="005A0577"/>
    <w:rsid w:val="005A11A2"/>
    <w:rsid w:val="005A1F22"/>
    <w:rsid w:val="005B1EA1"/>
    <w:rsid w:val="005C27AE"/>
    <w:rsid w:val="005D721A"/>
    <w:rsid w:val="005F5993"/>
    <w:rsid w:val="005F766F"/>
    <w:rsid w:val="00605749"/>
    <w:rsid w:val="00605C08"/>
    <w:rsid w:val="00621136"/>
    <w:rsid w:val="00624633"/>
    <w:rsid w:val="0063098D"/>
    <w:rsid w:val="00630D69"/>
    <w:rsid w:val="00631B7B"/>
    <w:rsid w:val="00637A0D"/>
    <w:rsid w:val="00644824"/>
    <w:rsid w:val="006463B7"/>
    <w:rsid w:val="00647949"/>
    <w:rsid w:val="006534D9"/>
    <w:rsid w:val="00662906"/>
    <w:rsid w:val="0066731A"/>
    <w:rsid w:val="00667AB0"/>
    <w:rsid w:val="00677629"/>
    <w:rsid w:val="00677B91"/>
    <w:rsid w:val="0068694E"/>
    <w:rsid w:val="00690593"/>
    <w:rsid w:val="0069480A"/>
    <w:rsid w:val="006A1F42"/>
    <w:rsid w:val="006A3BED"/>
    <w:rsid w:val="006B0B81"/>
    <w:rsid w:val="006B0BC4"/>
    <w:rsid w:val="006C3A09"/>
    <w:rsid w:val="006C4DC1"/>
    <w:rsid w:val="006C6D30"/>
    <w:rsid w:val="006C7C96"/>
    <w:rsid w:val="006D56EF"/>
    <w:rsid w:val="006E4C9F"/>
    <w:rsid w:val="006E658F"/>
    <w:rsid w:val="006F0F64"/>
    <w:rsid w:val="006F144F"/>
    <w:rsid w:val="006F2436"/>
    <w:rsid w:val="006F5280"/>
    <w:rsid w:val="006F5BA8"/>
    <w:rsid w:val="00702964"/>
    <w:rsid w:val="0070651D"/>
    <w:rsid w:val="0071039F"/>
    <w:rsid w:val="00710966"/>
    <w:rsid w:val="00715565"/>
    <w:rsid w:val="007155AB"/>
    <w:rsid w:val="00733F9D"/>
    <w:rsid w:val="00737051"/>
    <w:rsid w:val="007443BC"/>
    <w:rsid w:val="00755BD9"/>
    <w:rsid w:val="00760C85"/>
    <w:rsid w:val="00761C87"/>
    <w:rsid w:val="007624DD"/>
    <w:rsid w:val="0076778E"/>
    <w:rsid w:val="0077202E"/>
    <w:rsid w:val="00791C4B"/>
    <w:rsid w:val="0079705D"/>
    <w:rsid w:val="007A37DC"/>
    <w:rsid w:val="007A5861"/>
    <w:rsid w:val="007B703A"/>
    <w:rsid w:val="007C7321"/>
    <w:rsid w:val="007D204E"/>
    <w:rsid w:val="007D27AF"/>
    <w:rsid w:val="007D2D73"/>
    <w:rsid w:val="007D7AC8"/>
    <w:rsid w:val="007E7327"/>
    <w:rsid w:val="007F35AB"/>
    <w:rsid w:val="007F39CA"/>
    <w:rsid w:val="007F442A"/>
    <w:rsid w:val="007F6228"/>
    <w:rsid w:val="00800363"/>
    <w:rsid w:val="0080129C"/>
    <w:rsid w:val="008015B6"/>
    <w:rsid w:val="00801D35"/>
    <w:rsid w:val="0080491B"/>
    <w:rsid w:val="0080534E"/>
    <w:rsid w:val="00815B0D"/>
    <w:rsid w:val="008174C5"/>
    <w:rsid w:val="0082049B"/>
    <w:rsid w:val="00830FF6"/>
    <w:rsid w:val="00842F68"/>
    <w:rsid w:val="00844011"/>
    <w:rsid w:val="00866B51"/>
    <w:rsid w:val="00867B27"/>
    <w:rsid w:val="00881508"/>
    <w:rsid w:val="00881EAB"/>
    <w:rsid w:val="00884177"/>
    <w:rsid w:val="00885301"/>
    <w:rsid w:val="00886D92"/>
    <w:rsid w:val="008C0C9A"/>
    <w:rsid w:val="008C25D5"/>
    <w:rsid w:val="008C45AC"/>
    <w:rsid w:val="008D0312"/>
    <w:rsid w:val="008D56C8"/>
    <w:rsid w:val="008E372F"/>
    <w:rsid w:val="008E5C3E"/>
    <w:rsid w:val="008F3192"/>
    <w:rsid w:val="008F3965"/>
    <w:rsid w:val="008F45EF"/>
    <w:rsid w:val="008F6D11"/>
    <w:rsid w:val="00900AD1"/>
    <w:rsid w:val="0091044E"/>
    <w:rsid w:val="0091106F"/>
    <w:rsid w:val="0091178C"/>
    <w:rsid w:val="00916560"/>
    <w:rsid w:val="00920378"/>
    <w:rsid w:val="0092205A"/>
    <w:rsid w:val="00924EAB"/>
    <w:rsid w:val="0093382E"/>
    <w:rsid w:val="009345A7"/>
    <w:rsid w:val="00934B04"/>
    <w:rsid w:val="00940265"/>
    <w:rsid w:val="00940421"/>
    <w:rsid w:val="0094588A"/>
    <w:rsid w:val="009552F6"/>
    <w:rsid w:val="00956108"/>
    <w:rsid w:val="00956942"/>
    <w:rsid w:val="009608C4"/>
    <w:rsid w:val="009671D0"/>
    <w:rsid w:val="009674A0"/>
    <w:rsid w:val="00983123"/>
    <w:rsid w:val="00987131"/>
    <w:rsid w:val="00991A8E"/>
    <w:rsid w:val="009A0C94"/>
    <w:rsid w:val="009A3FE9"/>
    <w:rsid w:val="009A704E"/>
    <w:rsid w:val="009B0306"/>
    <w:rsid w:val="009C16E0"/>
    <w:rsid w:val="009C2673"/>
    <w:rsid w:val="009C643C"/>
    <w:rsid w:val="009D0B63"/>
    <w:rsid w:val="009E4501"/>
    <w:rsid w:val="009F4B65"/>
    <w:rsid w:val="009F5D7B"/>
    <w:rsid w:val="00A01182"/>
    <w:rsid w:val="00A109ED"/>
    <w:rsid w:val="00A10C73"/>
    <w:rsid w:val="00A1147F"/>
    <w:rsid w:val="00A32B1E"/>
    <w:rsid w:val="00A34DA0"/>
    <w:rsid w:val="00A3560C"/>
    <w:rsid w:val="00A37E55"/>
    <w:rsid w:val="00A40B29"/>
    <w:rsid w:val="00A45519"/>
    <w:rsid w:val="00A46B1D"/>
    <w:rsid w:val="00A5053A"/>
    <w:rsid w:val="00A579FD"/>
    <w:rsid w:val="00A6013D"/>
    <w:rsid w:val="00A64248"/>
    <w:rsid w:val="00A708E2"/>
    <w:rsid w:val="00A70ED7"/>
    <w:rsid w:val="00A76173"/>
    <w:rsid w:val="00A80C33"/>
    <w:rsid w:val="00A84A0A"/>
    <w:rsid w:val="00A949B1"/>
    <w:rsid w:val="00A9700A"/>
    <w:rsid w:val="00AA3868"/>
    <w:rsid w:val="00AB4659"/>
    <w:rsid w:val="00AB53F7"/>
    <w:rsid w:val="00AC0E85"/>
    <w:rsid w:val="00AC2B27"/>
    <w:rsid w:val="00AC33B6"/>
    <w:rsid w:val="00AD47DD"/>
    <w:rsid w:val="00AE4D47"/>
    <w:rsid w:val="00AE6EE5"/>
    <w:rsid w:val="00AE7958"/>
    <w:rsid w:val="00AF6135"/>
    <w:rsid w:val="00B11E67"/>
    <w:rsid w:val="00B12192"/>
    <w:rsid w:val="00B17AC7"/>
    <w:rsid w:val="00B27212"/>
    <w:rsid w:val="00B33D0E"/>
    <w:rsid w:val="00B33F38"/>
    <w:rsid w:val="00B34603"/>
    <w:rsid w:val="00B41F2F"/>
    <w:rsid w:val="00B44FE5"/>
    <w:rsid w:val="00B50D2A"/>
    <w:rsid w:val="00B51099"/>
    <w:rsid w:val="00B6323B"/>
    <w:rsid w:val="00B633C1"/>
    <w:rsid w:val="00B64E6B"/>
    <w:rsid w:val="00B660FB"/>
    <w:rsid w:val="00B6621B"/>
    <w:rsid w:val="00B67613"/>
    <w:rsid w:val="00B67BD5"/>
    <w:rsid w:val="00B73EE1"/>
    <w:rsid w:val="00B80166"/>
    <w:rsid w:val="00B8465D"/>
    <w:rsid w:val="00B84800"/>
    <w:rsid w:val="00B8634C"/>
    <w:rsid w:val="00B945EB"/>
    <w:rsid w:val="00BB05ED"/>
    <w:rsid w:val="00BB1408"/>
    <w:rsid w:val="00BC489E"/>
    <w:rsid w:val="00BC663E"/>
    <w:rsid w:val="00BD52BE"/>
    <w:rsid w:val="00BD5513"/>
    <w:rsid w:val="00BE1C08"/>
    <w:rsid w:val="00BE49EA"/>
    <w:rsid w:val="00BE5C2F"/>
    <w:rsid w:val="00BF08AE"/>
    <w:rsid w:val="00BF24D1"/>
    <w:rsid w:val="00BF2BBC"/>
    <w:rsid w:val="00BF541D"/>
    <w:rsid w:val="00C01DE1"/>
    <w:rsid w:val="00C0445B"/>
    <w:rsid w:val="00C21A8A"/>
    <w:rsid w:val="00C23548"/>
    <w:rsid w:val="00C236C3"/>
    <w:rsid w:val="00C237C6"/>
    <w:rsid w:val="00C34D0D"/>
    <w:rsid w:val="00C35C3B"/>
    <w:rsid w:val="00C41648"/>
    <w:rsid w:val="00C435A9"/>
    <w:rsid w:val="00C47BAD"/>
    <w:rsid w:val="00C51C6D"/>
    <w:rsid w:val="00C53D9F"/>
    <w:rsid w:val="00C6737A"/>
    <w:rsid w:val="00C733F7"/>
    <w:rsid w:val="00C7351F"/>
    <w:rsid w:val="00C73919"/>
    <w:rsid w:val="00C7444C"/>
    <w:rsid w:val="00C75F0E"/>
    <w:rsid w:val="00C76543"/>
    <w:rsid w:val="00C76AFB"/>
    <w:rsid w:val="00C812E3"/>
    <w:rsid w:val="00C82D31"/>
    <w:rsid w:val="00C87383"/>
    <w:rsid w:val="00C90C13"/>
    <w:rsid w:val="00C92B19"/>
    <w:rsid w:val="00C979E4"/>
    <w:rsid w:val="00CA4C27"/>
    <w:rsid w:val="00CA4CC9"/>
    <w:rsid w:val="00CA62F1"/>
    <w:rsid w:val="00CA6562"/>
    <w:rsid w:val="00CB3572"/>
    <w:rsid w:val="00CB5836"/>
    <w:rsid w:val="00CD39FF"/>
    <w:rsid w:val="00CE4BE5"/>
    <w:rsid w:val="00CF0E77"/>
    <w:rsid w:val="00D03E7D"/>
    <w:rsid w:val="00D05538"/>
    <w:rsid w:val="00D078A9"/>
    <w:rsid w:val="00D11868"/>
    <w:rsid w:val="00D1370E"/>
    <w:rsid w:val="00D16827"/>
    <w:rsid w:val="00D36E40"/>
    <w:rsid w:val="00D46DD7"/>
    <w:rsid w:val="00D52CC7"/>
    <w:rsid w:val="00D544D7"/>
    <w:rsid w:val="00D55855"/>
    <w:rsid w:val="00D65ABC"/>
    <w:rsid w:val="00D75FA7"/>
    <w:rsid w:val="00D76C75"/>
    <w:rsid w:val="00D8055B"/>
    <w:rsid w:val="00D83AAB"/>
    <w:rsid w:val="00D84693"/>
    <w:rsid w:val="00D84B6D"/>
    <w:rsid w:val="00D84FB2"/>
    <w:rsid w:val="00DA1D90"/>
    <w:rsid w:val="00DA21B0"/>
    <w:rsid w:val="00DA5495"/>
    <w:rsid w:val="00DA5DE7"/>
    <w:rsid w:val="00DB224C"/>
    <w:rsid w:val="00DB3D03"/>
    <w:rsid w:val="00DB3E05"/>
    <w:rsid w:val="00DB5CA1"/>
    <w:rsid w:val="00DB5DCE"/>
    <w:rsid w:val="00DB74F3"/>
    <w:rsid w:val="00DC075C"/>
    <w:rsid w:val="00DC373A"/>
    <w:rsid w:val="00DC5318"/>
    <w:rsid w:val="00DE45E0"/>
    <w:rsid w:val="00DE6879"/>
    <w:rsid w:val="00DF3856"/>
    <w:rsid w:val="00E00BC5"/>
    <w:rsid w:val="00E03E1B"/>
    <w:rsid w:val="00E107EE"/>
    <w:rsid w:val="00E14DF9"/>
    <w:rsid w:val="00E14FD1"/>
    <w:rsid w:val="00E166F6"/>
    <w:rsid w:val="00E1734E"/>
    <w:rsid w:val="00E2782C"/>
    <w:rsid w:val="00E31C89"/>
    <w:rsid w:val="00E34890"/>
    <w:rsid w:val="00E34F22"/>
    <w:rsid w:val="00E42F09"/>
    <w:rsid w:val="00E436F8"/>
    <w:rsid w:val="00E442EB"/>
    <w:rsid w:val="00E46141"/>
    <w:rsid w:val="00E46A43"/>
    <w:rsid w:val="00E574A8"/>
    <w:rsid w:val="00E654E3"/>
    <w:rsid w:val="00E666F8"/>
    <w:rsid w:val="00E75FE9"/>
    <w:rsid w:val="00E778BE"/>
    <w:rsid w:val="00E84E37"/>
    <w:rsid w:val="00E85FE7"/>
    <w:rsid w:val="00E93D3C"/>
    <w:rsid w:val="00E976D2"/>
    <w:rsid w:val="00EA19B1"/>
    <w:rsid w:val="00EA2792"/>
    <w:rsid w:val="00EA52C5"/>
    <w:rsid w:val="00EA6BEF"/>
    <w:rsid w:val="00EB0658"/>
    <w:rsid w:val="00EB5289"/>
    <w:rsid w:val="00EB6049"/>
    <w:rsid w:val="00EB63CF"/>
    <w:rsid w:val="00EC057B"/>
    <w:rsid w:val="00EC7408"/>
    <w:rsid w:val="00ED0611"/>
    <w:rsid w:val="00ED773C"/>
    <w:rsid w:val="00EE77E4"/>
    <w:rsid w:val="00F02191"/>
    <w:rsid w:val="00F07E69"/>
    <w:rsid w:val="00F150B7"/>
    <w:rsid w:val="00F15382"/>
    <w:rsid w:val="00F17712"/>
    <w:rsid w:val="00F2400D"/>
    <w:rsid w:val="00F27F3C"/>
    <w:rsid w:val="00F3447B"/>
    <w:rsid w:val="00F37E8B"/>
    <w:rsid w:val="00F550AA"/>
    <w:rsid w:val="00F60C8D"/>
    <w:rsid w:val="00F61C30"/>
    <w:rsid w:val="00F66D4F"/>
    <w:rsid w:val="00F7165F"/>
    <w:rsid w:val="00F76544"/>
    <w:rsid w:val="00F96EBB"/>
    <w:rsid w:val="00FA0BB7"/>
    <w:rsid w:val="00FA59E9"/>
    <w:rsid w:val="00FA64C4"/>
    <w:rsid w:val="00FB07AF"/>
    <w:rsid w:val="00FB3A35"/>
    <w:rsid w:val="00FB3F84"/>
    <w:rsid w:val="00FD20A4"/>
    <w:rsid w:val="00FD2F5F"/>
    <w:rsid w:val="00FE1E66"/>
    <w:rsid w:val="00FE411A"/>
    <w:rsid w:val="00FE71AE"/>
    <w:rsid w:val="00FF3FBD"/>
    <w:rsid w:val="00FF4BE0"/>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DF2EE5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30"/>
        <w:lang w:val="en-GB"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543"/>
    <w:pPr>
      <w:spacing w:after="40"/>
      <w:jc w:val="both"/>
    </w:pPr>
    <w:rPr>
      <w:rFonts w:ascii="Times New Roman" w:hAnsi="Times New Roman"/>
    </w:rPr>
  </w:style>
  <w:style w:type="paragraph" w:styleId="Heading1">
    <w:name w:val="heading 1"/>
    <w:basedOn w:val="Normal"/>
    <w:next w:val="Normal"/>
    <w:link w:val="Heading1Char"/>
    <w:autoRedefine/>
    <w:uiPriority w:val="9"/>
    <w:qFormat/>
    <w:rsid w:val="009345A7"/>
    <w:pPr>
      <w:keepNext/>
      <w:keepLines/>
      <w:spacing w:before="240" w:after="120"/>
      <w:outlineLvl w:val="0"/>
    </w:pPr>
    <w:rPr>
      <w:rFonts w:eastAsiaTheme="majorEastAsia" w:cstheme="majorBidi"/>
      <w:b/>
      <w:color w:val="2F5496" w:themeColor="accent1" w:themeShade="BF"/>
      <w:sz w:val="32"/>
      <w:szCs w:val="50"/>
    </w:rPr>
  </w:style>
  <w:style w:type="paragraph" w:styleId="Heading2">
    <w:name w:val="heading 2"/>
    <w:basedOn w:val="Normal"/>
    <w:next w:val="Normal"/>
    <w:link w:val="Heading2Char"/>
    <w:autoRedefine/>
    <w:uiPriority w:val="9"/>
    <w:unhideWhenUsed/>
    <w:qFormat/>
    <w:rsid w:val="00D84B6D"/>
    <w:pPr>
      <w:keepNext/>
      <w:keepLines/>
      <w:spacing w:before="40" w:after="0"/>
      <w:outlineLvl w:val="1"/>
    </w:pPr>
    <w:rPr>
      <w:rFonts w:eastAsiaTheme="majorEastAsia" w:cstheme="majorBidi"/>
      <w:b/>
      <w:color w:val="2F5496" w:themeColor="accent1" w:themeShade="BF"/>
      <w:sz w:val="28"/>
      <w:szCs w:val="40"/>
    </w:rPr>
  </w:style>
  <w:style w:type="paragraph" w:styleId="Heading3">
    <w:name w:val="heading 3"/>
    <w:basedOn w:val="Normal"/>
    <w:next w:val="Normal"/>
    <w:link w:val="Heading3Char"/>
    <w:uiPriority w:val="9"/>
    <w:unhideWhenUsed/>
    <w:qFormat/>
    <w:rsid w:val="00DB5DCE"/>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DB5DCE"/>
    <w:pPr>
      <w:keepNext/>
      <w:keepLines/>
      <w:spacing w:before="8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B5DCE"/>
    <w:pPr>
      <w:keepNext/>
      <w:keepLines/>
      <w:spacing w:before="8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B5DC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B5DC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B5DC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B5DC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5A7"/>
    <w:rPr>
      <w:rFonts w:ascii="Times New Roman" w:eastAsiaTheme="majorEastAsia" w:hAnsi="Times New Roman" w:cstheme="majorBidi"/>
      <w:b/>
      <w:color w:val="2F5496" w:themeColor="accent1" w:themeShade="BF"/>
      <w:sz w:val="32"/>
      <w:szCs w:val="50"/>
    </w:rPr>
  </w:style>
  <w:style w:type="character" w:customStyle="1" w:styleId="Heading2Char">
    <w:name w:val="Heading 2 Char"/>
    <w:basedOn w:val="DefaultParagraphFont"/>
    <w:link w:val="Heading2"/>
    <w:uiPriority w:val="9"/>
    <w:rsid w:val="00D84B6D"/>
    <w:rPr>
      <w:rFonts w:ascii="Times New Roman" w:eastAsiaTheme="majorEastAsia" w:hAnsi="Times New Roman" w:cstheme="majorBidi"/>
      <w:b/>
      <w:color w:val="2F5496" w:themeColor="accent1" w:themeShade="BF"/>
      <w:sz w:val="28"/>
      <w:szCs w:val="40"/>
    </w:rPr>
  </w:style>
  <w:style w:type="character" w:customStyle="1" w:styleId="Heading3Char">
    <w:name w:val="Heading 3 Char"/>
    <w:basedOn w:val="DefaultParagraphFont"/>
    <w:link w:val="Heading3"/>
    <w:uiPriority w:val="9"/>
    <w:rsid w:val="00DB5DCE"/>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DB5DC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B5DC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B5D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5D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5D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5DCE"/>
    <w:rPr>
      <w:rFonts w:eastAsiaTheme="majorEastAsia" w:cstheme="majorBidi"/>
      <w:color w:val="272727" w:themeColor="text1" w:themeTint="D8"/>
    </w:rPr>
  </w:style>
  <w:style w:type="paragraph" w:styleId="Title">
    <w:name w:val="Title"/>
    <w:basedOn w:val="Normal"/>
    <w:next w:val="Normal"/>
    <w:link w:val="TitleChar"/>
    <w:uiPriority w:val="10"/>
    <w:qFormat/>
    <w:rsid w:val="00DB5DCE"/>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DB5DCE"/>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DB5DCE"/>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B5DCE"/>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DB5DC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B5DCE"/>
    <w:rPr>
      <w:rFonts w:ascii="Times New Roman" w:hAnsi="Times New Roman"/>
      <w:i/>
      <w:iCs/>
      <w:color w:val="404040" w:themeColor="text1" w:themeTint="BF"/>
    </w:rPr>
  </w:style>
  <w:style w:type="paragraph" w:styleId="ListParagraph">
    <w:name w:val="List Paragraph"/>
    <w:basedOn w:val="Normal"/>
    <w:uiPriority w:val="34"/>
    <w:qFormat/>
    <w:rsid w:val="00DB5DCE"/>
    <w:pPr>
      <w:ind w:left="720"/>
      <w:contextualSpacing/>
    </w:pPr>
  </w:style>
  <w:style w:type="character" w:styleId="IntenseEmphasis">
    <w:name w:val="Intense Emphasis"/>
    <w:basedOn w:val="DefaultParagraphFont"/>
    <w:uiPriority w:val="21"/>
    <w:qFormat/>
    <w:rsid w:val="00DB5DCE"/>
    <w:rPr>
      <w:i/>
      <w:iCs/>
      <w:color w:val="2F5496" w:themeColor="accent1" w:themeShade="BF"/>
    </w:rPr>
  </w:style>
  <w:style w:type="paragraph" w:styleId="IntenseQuote">
    <w:name w:val="Intense Quote"/>
    <w:basedOn w:val="Normal"/>
    <w:next w:val="Normal"/>
    <w:link w:val="IntenseQuoteChar"/>
    <w:uiPriority w:val="30"/>
    <w:qFormat/>
    <w:rsid w:val="00DB5DC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B5DCE"/>
    <w:rPr>
      <w:rFonts w:ascii="Times New Roman" w:hAnsi="Times New Roman"/>
      <w:i/>
      <w:iCs/>
      <w:color w:val="2F5496" w:themeColor="accent1" w:themeShade="BF"/>
    </w:rPr>
  </w:style>
  <w:style w:type="character" w:styleId="IntenseReference">
    <w:name w:val="Intense Reference"/>
    <w:basedOn w:val="DefaultParagraphFont"/>
    <w:uiPriority w:val="32"/>
    <w:qFormat/>
    <w:rsid w:val="00DB5DCE"/>
    <w:rPr>
      <w:b/>
      <w:bCs/>
      <w:smallCaps/>
      <w:color w:val="2F5496" w:themeColor="accent1" w:themeShade="BF"/>
      <w:spacing w:val="5"/>
    </w:rPr>
  </w:style>
  <w:style w:type="paragraph" w:styleId="TOCHeading">
    <w:name w:val="TOC Heading"/>
    <w:basedOn w:val="Heading1"/>
    <w:next w:val="Normal"/>
    <w:uiPriority w:val="39"/>
    <w:unhideWhenUsed/>
    <w:qFormat/>
    <w:rsid w:val="009C643C"/>
    <w:pPr>
      <w:spacing w:after="0" w:line="259" w:lineRule="auto"/>
      <w:jc w:val="left"/>
      <w:outlineLvl w:val="9"/>
    </w:pPr>
    <w:rPr>
      <w:rFonts w:asciiTheme="majorHAnsi" w:hAnsiTheme="majorHAnsi"/>
      <w:b w:val="0"/>
      <w:kern w:val="0"/>
      <w:szCs w:val="32"/>
      <w:lang w:eastAsia="en-GB"/>
      <w14:ligatures w14:val="none"/>
    </w:rPr>
  </w:style>
  <w:style w:type="table" w:styleId="TableGrid">
    <w:name w:val="Table Grid"/>
    <w:basedOn w:val="TableNormal"/>
    <w:uiPriority w:val="39"/>
    <w:rsid w:val="00D46D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1217F0"/>
    <w:pPr>
      <w:spacing w:after="100"/>
    </w:pPr>
  </w:style>
  <w:style w:type="paragraph" w:styleId="TOC2">
    <w:name w:val="toc 2"/>
    <w:basedOn w:val="Normal"/>
    <w:next w:val="Normal"/>
    <w:autoRedefine/>
    <w:uiPriority w:val="39"/>
    <w:unhideWhenUsed/>
    <w:rsid w:val="001217F0"/>
    <w:pPr>
      <w:spacing w:after="100"/>
      <w:ind w:left="240"/>
    </w:pPr>
  </w:style>
  <w:style w:type="paragraph" w:styleId="TOC3">
    <w:name w:val="toc 3"/>
    <w:basedOn w:val="Normal"/>
    <w:next w:val="Normal"/>
    <w:autoRedefine/>
    <w:uiPriority w:val="39"/>
    <w:unhideWhenUsed/>
    <w:rsid w:val="001217F0"/>
    <w:pPr>
      <w:spacing w:after="100"/>
      <w:ind w:left="480"/>
    </w:pPr>
  </w:style>
  <w:style w:type="character" w:styleId="Hyperlink">
    <w:name w:val="Hyperlink"/>
    <w:basedOn w:val="DefaultParagraphFont"/>
    <w:uiPriority w:val="99"/>
    <w:unhideWhenUsed/>
    <w:rsid w:val="001217F0"/>
    <w:rPr>
      <w:color w:val="0563C1" w:themeColor="hyperlink"/>
      <w:u w:val="single"/>
    </w:rPr>
  </w:style>
  <w:style w:type="paragraph" w:styleId="Header">
    <w:name w:val="header"/>
    <w:basedOn w:val="Normal"/>
    <w:link w:val="HeaderChar"/>
    <w:uiPriority w:val="99"/>
    <w:unhideWhenUsed/>
    <w:rsid w:val="00C435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5A9"/>
    <w:rPr>
      <w:rFonts w:ascii="Times New Roman" w:hAnsi="Times New Roman"/>
    </w:rPr>
  </w:style>
  <w:style w:type="paragraph" w:styleId="Footer">
    <w:name w:val="footer"/>
    <w:basedOn w:val="Normal"/>
    <w:link w:val="FooterChar"/>
    <w:uiPriority w:val="99"/>
    <w:unhideWhenUsed/>
    <w:rsid w:val="00C435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5A9"/>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oleObject" Target="embeddings/oleObject1.bin"/><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image" Target="media/image3.emf"/><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Profitability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2023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GPM</c:v>
                </c:pt>
                <c:pt idx="1">
                  <c:v>OPM</c:v>
                </c:pt>
                <c:pt idx="2">
                  <c:v>NPM</c:v>
                </c:pt>
              </c:strCache>
            </c:strRef>
          </c:cat>
          <c:val>
            <c:numRef>
              <c:f>Sheet1!$B$2:$B$4</c:f>
              <c:numCache>
                <c:formatCode>0.00%</c:formatCode>
                <c:ptCount val="3"/>
                <c:pt idx="0">
                  <c:v>0.21959999999999999</c:v>
                </c:pt>
                <c:pt idx="1">
                  <c:v>0.1179</c:v>
                </c:pt>
                <c:pt idx="2">
                  <c:v>0.14580000000000001</c:v>
                </c:pt>
              </c:numCache>
            </c:numRef>
          </c:val>
          <c:extLst>
            <c:ext xmlns:c16="http://schemas.microsoft.com/office/drawing/2014/chart" uri="{C3380CC4-5D6E-409C-BE32-E72D297353CC}">
              <c16:uniqueId val="{00000000-444E-4A8B-9856-BDF7F625DB6F}"/>
            </c:ext>
          </c:extLst>
        </c:ser>
        <c:ser>
          <c:idx val="1"/>
          <c:order val="1"/>
          <c:tx>
            <c:strRef>
              <c:f>Sheet1!$C$1</c:f>
              <c:strCache>
                <c:ptCount val="1"/>
                <c:pt idx="0">
                  <c:v>2024</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GPM</c:v>
                </c:pt>
                <c:pt idx="1">
                  <c:v>OPM</c:v>
                </c:pt>
                <c:pt idx="2">
                  <c:v>NPM</c:v>
                </c:pt>
              </c:strCache>
            </c:strRef>
          </c:cat>
          <c:val>
            <c:numRef>
              <c:f>Sheet1!$C$2:$C$4</c:f>
              <c:numCache>
                <c:formatCode>0.00%</c:formatCode>
                <c:ptCount val="3"/>
                <c:pt idx="0">
                  <c:v>0.22320000000000001</c:v>
                </c:pt>
                <c:pt idx="1">
                  <c:v>0.1537</c:v>
                </c:pt>
                <c:pt idx="2">
                  <c:v>0.13139999999999999</c:v>
                </c:pt>
              </c:numCache>
            </c:numRef>
          </c:val>
          <c:extLst>
            <c:ext xmlns:c16="http://schemas.microsoft.com/office/drawing/2014/chart" uri="{C3380CC4-5D6E-409C-BE32-E72D297353CC}">
              <c16:uniqueId val="{00000001-444E-4A8B-9856-BDF7F625DB6F}"/>
            </c:ext>
          </c:extLst>
        </c:ser>
        <c:dLbls>
          <c:dLblPos val="outEnd"/>
          <c:showLegendKey val="0"/>
          <c:showVal val="1"/>
          <c:showCatName val="0"/>
          <c:showSerName val="0"/>
          <c:showPercent val="0"/>
          <c:showBubbleSize val="0"/>
        </c:dLbls>
        <c:gapWidth val="219"/>
        <c:overlap val="-27"/>
        <c:axId val="1791561152"/>
        <c:axId val="1791561632"/>
      </c:barChart>
      <c:catAx>
        <c:axId val="17915611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1561632"/>
        <c:crosses val="autoZero"/>
        <c:auto val="1"/>
        <c:lblAlgn val="ctr"/>
        <c:lblOffset val="100"/>
        <c:noMultiLvlLbl val="0"/>
      </c:catAx>
      <c:valAx>
        <c:axId val="179156163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15611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Liqudity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2023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Current Ratio</c:v>
                </c:pt>
                <c:pt idx="1">
                  <c:v>Quick Ratio</c:v>
                </c:pt>
              </c:strCache>
            </c:strRef>
          </c:cat>
          <c:val>
            <c:numRef>
              <c:f>Sheet1!$B$2:$B$3</c:f>
              <c:numCache>
                <c:formatCode>General</c:formatCode>
                <c:ptCount val="2"/>
                <c:pt idx="0">
                  <c:v>1.21</c:v>
                </c:pt>
                <c:pt idx="1">
                  <c:v>0.89</c:v>
                </c:pt>
              </c:numCache>
            </c:numRef>
          </c:val>
          <c:extLst>
            <c:ext xmlns:c16="http://schemas.microsoft.com/office/drawing/2014/chart" uri="{C3380CC4-5D6E-409C-BE32-E72D297353CC}">
              <c16:uniqueId val="{00000000-4CD1-4470-83C8-57E06776EA80}"/>
            </c:ext>
          </c:extLst>
        </c:ser>
        <c:ser>
          <c:idx val="1"/>
          <c:order val="1"/>
          <c:tx>
            <c:strRef>
              <c:f>Sheet1!$C$1</c:f>
              <c:strCache>
                <c:ptCount val="1"/>
                <c:pt idx="0">
                  <c:v>2024</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Current Ratio</c:v>
                </c:pt>
                <c:pt idx="1">
                  <c:v>Quick Ratio</c:v>
                </c:pt>
              </c:strCache>
            </c:strRef>
          </c:cat>
          <c:val>
            <c:numRef>
              <c:f>Sheet1!$C$2:$C$3</c:f>
              <c:numCache>
                <c:formatCode>General</c:formatCode>
                <c:ptCount val="2"/>
                <c:pt idx="0">
                  <c:v>1.28</c:v>
                </c:pt>
                <c:pt idx="1">
                  <c:v>0.98</c:v>
                </c:pt>
              </c:numCache>
            </c:numRef>
          </c:val>
          <c:extLst>
            <c:ext xmlns:c16="http://schemas.microsoft.com/office/drawing/2014/chart" uri="{C3380CC4-5D6E-409C-BE32-E72D297353CC}">
              <c16:uniqueId val="{00000001-4CD1-4470-83C8-57E06776EA80}"/>
            </c:ext>
          </c:extLst>
        </c:ser>
        <c:dLbls>
          <c:dLblPos val="outEnd"/>
          <c:showLegendKey val="0"/>
          <c:showVal val="1"/>
          <c:showCatName val="0"/>
          <c:showSerName val="0"/>
          <c:showPercent val="0"/>
          <c:showBubbleSize val="0"/>
        </c:dLbls>
        <c:gapWidth val="219"/>
        <c:overlap val="-27"/>
        <c:axId val="778463711"/>
        <c:axId val="778467071"/>
      </c:barChart>
      <c:catAx>
        <c:axId val="7784637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8467071"/>
        <c:crosses val="autoZero"/>
        <c:auto val="1"/>
        <c:lblAlgn val="ctr"/>
        <c:lblOffset val="100"/>
        <c:noMultiLvlLbl val="0"/>
      </c:catAx>
      <c:valAx>
        <c:axId val="7784670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84637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Gearing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2023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Debt-to-Equity Ratio</c:v>
                </c:pt>
                <c:pt idx="1">
                  <c:v>Debt-to-Asset Ratio</c:v>
                </c:pt>
              </c:strCache>
            </c:strRef>
          </c:cat>
          <c:val>
            <c:numRef>
              <c:f>Sheet1!$B$2:$B$3</c:f>
              <c:numCache>
                <c:formatCode>0.00%</c:formatCode>
                <c:ptCount val="2"/>
                <c:pt idx="0" formatCode="General">
                  <c:v>-1.59</c:v>
                </c:pt>
                <c:pt idx="1">
                  <c:v>0.18279999999999999</c:v>
                </c:pt>
              </c:numCache>
            </c:numRef>
          </c:val>
          <c:extLst>
            <c:ext xmlns:c16="http://schemas.microsoft.com/office/drawing/2014/chart" uri="{C3380CC4-5D6E-409C-BE32-E72D297353CC}">
              <c16:uniqueId val="{00000000-2B39-45E3-A1C9-73E173685936}"/>
            </c:ext>
          </c:extLst>
        </c:ser>
        <c:ser>
          <c:idx val="1"/>
          <c:order val="1"/>
          <c:tx>
            <c:strRef>
              <c:f>Sheet1!$C$1</c:f>
              <c:strCache>
                <c:ptCount val="1"/>
                <c:pt idx="0">
                  <c:v>2024</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Debt-to-Equity Ratio</c:v>
                </c:pt>
                <c:pt idx="1">
                  <c:v>Debt-to-Asset Ratio</c:v>
                </c:pt>
              </c:strCache>
            </c:strRef>
          </c:cat>
          <c:val>
            <c:numRef>
              <c:f>Sheet1!$C$2:$C$3</c:f>
              <c:numCache>
                <c:formatCode>0.00%</c:formatCode>
                <c:ptCount val="2"/>
                <c:pt idx="0" formatCode="General">
                  <c:v>-5.82</c:v>
                </c:pt>
                <c:pt idx="1">
                  <c:v>0.14380000000000001</c:v>
                </c:pt>
              </c:numCache>
            </c:numRef>
          </c:val>
          <c:extLst>
            <c:ext xmlns:c16="http://schemas.microsoft.com/office/drawing/2014/chart" uri="{C3380CC4-5D6E-409C-BE32-E72D297353CC}">
              <c16:uniqueId val="{00000001-2B39-45E3-A1C9-73E173685936}"/>
            </c:ext>
          </c:extLst>
        </c:ser>
        <c:dLbls>
          <c:dLblPos val="outEnd"/>
          <c:showLegendKey val="0"/>
          <c:showVal val="1"/>
          <c:showCatName val="0"/>
          <c:showSerName val="0"/>
          <c:showPercent val="0"/>
          <c:showBubbleSize val="0"/>
        </c:dLbls>
        <c:gapWidth val="219"/>
        <c:overlap val="-27"/>
        <c:axId val="778468991"/>
        <c:axId val="778469471"/>
      </c:barChart>
      <c:catAx>
        <c:axId val="7784689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8469471"/>
        <c:crosses val="autoZero"/>
        <c:auto val="1"/>
        <c:lblAlgn val="ctr"/>
        <c:lblOffset val="100"/>
        <c:noMultiLvlLbl val="0"/>
      </c:catAx>
      <c:valAx>
        <c:axId val="7784694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84689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Efficiency</a:t>
            </a:r>
            <a:r>
              <a:rPr lang="en-GB" baseline="0"/>
              <a:t> Ratios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2023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Asset Turnover Ratio</c:v>
                </c:pt>
                <c:pt idx="1">
                  <c:v>Inventory Turnover Ratio</c:v>
                </c:pt>
              </c:strCache>
            </c:strRef>
          </c:cat>
          <c:val>
            <c:numRef>
              <c:f>Sheet1!$B$2:$B$3</c:f>
              <c:numCache>
                <c:formatCode>General</c:formatCode>
                <c:ptCount val="2"/>
                <c:pt idx="0">
                  <c:v>0.52</c:v>
                </c:pt>
                <c:pt idx="1">
                  <c:v>2.68</c:v>
                </c:pt>
              </c:numCache>
            </c:numRef>
          </c:val>
          <c:extLst>
            <c:ext xmlns:c16="http://schemas.microsoft.com/office/drawing/2014/chart" uri="{C3380CC4-5D6E-409C-BE32-E72D297353CC}">
              <c16:uniqueId val="{00000000-C24C-4F8D-B962-025A40A8106C}"/>
            </c:ext>
          </c:extLst>
        </c:ser>
        <c:ser>
          <c:idx val="1"/>
          <c:order val="1"/>
          <c:tx>
            <c:strRef>
              <c:f>Sheet1!$C$1</c:f>
              <c:strCache>
                <c:ptCount val="1"/>
                <c:pt idx="0">
                  <c:v>2024</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Asset Turnover Ratio</c:v>
                </c:pt>
                <c:pt idx="1">
                  <c:v>Inventory Turnover Ratio</c:v>
                </c:pt>
              </c:strCache>
            </c:strRef>
          </c:cat>
          <c:val>
            <c:numRef>
              <c:f>Sheet1!$C$2:$C$3</c:f>
              <c:numCache>
                <c:formatCode>General</c:formatCode>
                <c:ptCount val="2"/>
                <c:pt idx="0">
                  <c:v>0.53</c:v>
                </c:pt>
                <c:pt idx="1">
                  <c:v>2.96</c:v>
                </c:pt>
              </c:numCache>
            </c:numRef>
          </c:val>
          <c:extLst>
            <c:ext xmlns:c16="http://schemas.microsoft.com/office/drawing/2014/chart" uri="{C3380CC4-5D6E-409C-BE32-E72D297353CC}">
              <c16:uniqueId val="{00000001-C24C-4F8D-B962-025A40A8106C}"/>
            </c:ext>
          </c:extLst>
        </c:ser>
        <c:dLbls>
          <c:dLblPos val="outEnd"/>
          <c:showLegendKey val="0"/>
          <c:showVal val="1"/>
          <c:showCatName val="0"/>
          <c:showSerName val="0"/>
          <c:showPercent val="0"/>
          <c:showBubbleSize val="0"/>
        </c:dLbls>
        <c:gapWidth val="219"/>
        <c:overlap val="-27"/>
        <c:axId val="778435391"/>
        <c:axId val="778441631"/>
      </c:barChart>
      <c:catAx>
        <c:axId val="7784353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8441631"/>
        <c:crosses val="autoZero"/>
        <c:auto val="1"/>
        <c:lblAlgn val="ctr"/>
        <c:lblOffset val="100"/>
        <c:noMultiLvlLbl val="0"/>
      </c:catAx>
      <c:valAx>
        <c:axId val="7784416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84353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Earnings</a:t>
            </a:r>
            <a:r>
              <a:rPr lang="en-GB" baseline="0"/>
              <a:t> per Share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2023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Earnings per Share</c:v>
                </c:pt>
              </c:strCache>
            </c:strRef>
          </c:cat>
          <c:val>
            <c:numRef>
              <c:f>Sheet1!$B$2</c:f>
              <c:numCache>
                <c:formatCode>General</c:formatCode>
                <c:ptCount val="1"/>
                <c:pt idx="0">
                  <c:v>28.85</c:v>
                </c:pt>
              </c:numCache>
            </c:numRef>
          </c:val>
          <c:extLst>
            <c:ext xmlns:c16="http://schemas.microsoft.com/office/drawing/2014/chart" uri="{C3380CC4-5D6E-409C-BE32-E72D297353CC}">
              <c16:uniqueId val="{00000000-CF82-43B5-A39A-8214EBF50487}"/>
            </c:ext>
          </c:extLst>
        </c:ser>
        <c:ser>
          <c:idx val="1"/>
          <c:order val="1"/>
          <c:tx>
            <c:strRef>
              <c:f>Sheet1!$C$1</c:f>
              <c:strCache>
                <c:ptCount val="1"/>
                <c:pt idx="0">
                  <c:v>2024</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Earnings per Share</c:v>
                </c:pt>
              </c:strCache>
            </c:strRef>
          </c:cat>
          <c:val>
            <c:numRef>
              <c:f>Sheet1!$C$2</c:f>
              <c:numCache>
                <c:formatCode>General</c:formatCode>
                <c:ptCount val="1"/>
                <c:pt idx="0">
                  <c:v>30.05</c:v>
                </c:pt>
              </c:numCache>
            </c:numRef>
          </c:val>
          <c:extLst>
            <c:ext xmlns:c16="http://schemas.microsoft.com/office/drawing/2014/chart" uri="{C3380CC4-5D6E-409C-BE32-E72D297353CC}">
              <c16:uniqueId val="{00000001-CF82-43B5-A39A-8214EBF50487}"/>
            </c:ext>
          </c:extLst>
        </c:ser>
        <c:dLbls>
          <c:dLblPos val="outEnd"/>
          <c:showLegendKey val="0"/>
          <c:showVal val="1"/>
          <c:showCatName val="0"/>
          <c:showSerName val="0"/>
          <c:showPercent val="0"/>
          <c:showBubbleSize val="0"/>
        </c:dLbls>
        <c:gapWidth val="219"/>
        <c:overlap val="-27"/>
        <c:axId val="778430591"/>
        <c:axId val="778427711"/>
      </c:barChart>
      <c:catAx>
        <c:axId val="7784305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8427711"/>
        <c:crosses val="autoZero"/>
        <c:auto val="1"/>
        <c:lblAlgn val="ctr"/>
        <c:lblOffset val="100"/>
        <c:noMultiLvlLbl val="0"/>
      </c:catAx>
      <c:valAx>
        <c:axId val="778427711"/>
        <c:scaling>
          <c:orientation val="minMax"/>
          <c:max val="33"/>
          <c:min val="25"/>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84305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Trend Line of</a:t>
            </a:r>
            <a:r>
              <a:rPr lang="en-GB" baseline="0"/>
              <a:t> Different Aspects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Operating Profit</c:v>
                </c:pt>
              </c:strCache>
            </c:strRef>
          </c:tx>
          <c:spPr>
            <a:ln w="28575" cap="rnd">
              <a:solidFill>
                <a:schemeClr val="accent1"/>
              </a:solidFill>
              <a:round/>
            </a:ln>
            <a:effectLst/>
          </c:spPr>
          <c:marker>
            <c:symbol val="none"/>
          </c:marker>
          <c:dLbls>
            <c:dLbl>
              <c:idx val="0"/>
              <c:layout>
                <c:manualLayout>
                  <c:x val="-3.5509259259259303E-2"/>
                  <c:y val="-0.11306555430571186"/>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C503-4115-9F6F-F811F64292F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Sheet1!$A$2:$A$4</c:f>
              <c:numCache>
                <c:formatCode>General</c:formatCode>
                <c:ptCount val="3"/>
                <c:pt idx="0">
                  <c:v>2022</c:v>
                </c:pt>
                <c:pt idx="1">
                  <c:v>2023</c:v>
                </c:pt>
                <c:pt idx="2">
                  <c:v>2024</c:v>
                </c:pt>
              </c:numCache>
            </c:numRef>
          </c:cat>
          <c:val>
            <c:numRef>
              <c:f>Sheet1!$B$2:$B$4</c:f>
              <c:numCache>
                <c:formatCode>General</c:formatCode>
                <c:ptCount val="3"/>
                <c:pt idx="0">
                  <c:v>837</c:v>
                </c:pt>
                <c:pt idx="1">
                  <c:v>1944</c:v>
                </c:pt>
                <c:pt idx="2">
                  <c:v>2906</c:v>
                </c:pt>
              </c:numCache>
            </c:numRef>
          </c:val>
          <c:smooth val="0"/>
          <c:extLst>
            <c:ext xmlns:c16="http://schemas.microsoft.com/office/drawing/2014/chart" uri="{C3380CC4-5D6E-409C-BE32-E72D297353CC}">
              <c16:uniqueId val="{00000000-C503-4115-9F6F-F811F64292F6}"/>
            </c:ext>
          </c:extLst>
        </c:ser>
        <c:ser>
          <c:idx val="1"/>
          <c:order val="1"/>
          <c:tx>
            <c:strRef>
              <c:f>Sheet1!$C$1</c:f>
              <c:strCache>
                <c:ptCount val="1"/>
                <c:pt idx="0">
                  <c:v>Net Profit</c:v>
                </c:pt>
              </c:strCache>
            </c:strRef>
          </c:tx>
          <c:spPr>
            <a:ln w="28575" cap="rnd">
              <a:solidFill>
                <a:schemeClr val="accent2"/>
              </a:solidFill>
              <a:round/>
            </a:ln>
            <a:effectLst/>
          </c:spPr>
          <c:marker>
            <c:symbol val="none"/>
          </c:marker>
          <c:dLbls>
            <c:dLbl>
              <c:idx val="1"/>
              <c:layout>
                <c:manualLayout>
                  <c:x val="-4.0787037037037122E-2"/>
                  <c:y val="-0.12497031621047369"/>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C503-4115-9F6F-F811F64292F6}"/>
                </c:ext>
              </c:extLst>
            </c:dLbl>
            <c:dLbl>
              <c:idx val="2"/>
              <c:layout>
                <c:manualLayout>
                  <c:x val="-4.0787037037037038E-2"/>
                  <c:y val="-0.13290682414698171"/>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C503-4115-9F6F-F811F64292F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Sheet1!$A$2:$A$4</c:f>
              <c:numCache>
                <c:formatCode>General</c:formatCode>
                <c:ptCount val="3"/>
                <c:pt idx="0">
                  <c:v>2022</c:v>
                </c:pt>
                <c:pt idx="1">
                  <c:v>2023</c:v>
                </c:pt>
                <c:pt idx="2">
                  <c:v>2024</c:v>
                </c:pt>
              </c:numCache>
            </c:numRef>
          </c:cat>
          <c:val>
            <c:numRef>
              <c:f>Sheet1!$C$2:$C$4</c:f>
              <c:numCache>
                <c:formatCode>General</c:formatCode>
                <c:ptCount val="3"/>
                <c:pt idx="0">
                  <c:v>-1274</c:v>
                </c:pt>
                <c:pt idx="1">
                  <c:v>2404</c:v>
                </c:pt>
                <c:pt idx="2">
                  <c:v>2484</c:v>
                </c:pt>
              </c:numCache>
            </c:numRef>
          </c:val>
          <c:smooth val="0"/>
          <c:extLst>
            <c:ext xmlns:c16="http://schemas.microsoft.com/office/drawing/2014/chart" uri="{C3380CC4-5D6E-409C-BE32-E72D297353CC}">
              <c16:uniqueId val="{00000001-C503-4115-9F6F-F811F64292F6}"/>
            </c:ext>
          </c:extLst>
        </c:ser>
        <c:ser>
          <c:idx val="2"/>
          <c:order val="2"/>
          <c:tx>
            <c:strRef>
              <c:f>Sheet1!$D$1</c:f>
              <c:strCache>
                <c:ptCount val="1"/>
                <c:pt idx="0">
                  <c:v>Total Assets</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Sheet1!$A$2:$A$4</c:f>
              <c:numCache>
                <c:formatCode>General</c:formatCode>
                <c:ptCount val="3"/>
                <c:pt idx="0">
                  <c:v>2022</c:v>
                </c:pt>
                <c:pt idx="1">
                  <c:v>2023</c:v>
                </c:pt>
                <c:pt idx="2">
                  <c:v>2024</c:v>
                </c:pt>
              </c:numCache>
            </c:numRef>
          </c:cat>
          <c:val>
            <c:numRef>
              <c:f>Sheet1!$D$2:$D$4</c:f>
              <c:numCache>
                <c:formatCode>General</c:formatCode>
                <c:ptCount val="3"/>
                <c:pt idx="0">
                  <c:v>29450</c:v>
                </c:pt>
                <c:pt idx="1">
                  <c:v>31512</c:v>
                </c:pt>
                <c:pt idx="2">
                  <c:v>35686</c:v>
                </c:pt>
              </c:numCache>
            </c:numRef>
          </c:val>
          <c:smooth val="0"/>
          <c:extLst>
            <c:ext xmlns:c16="http://schemas.microsoft.com/office/drawing/2014/chart" uri="{C3380CC4-5D6E-409C-BE32-E72D297353CC}">
              <c16:uniqueId val="{00000002-C503-4115-9F6F-F811F64292F6}"/>
            </c:ext>
          </c:extLst>
        </c:ser>
        <c:dLbls>
          <c:dLblPos val="t"/>
          <c:showLegendKey val="0"/>
          <c:showVal val="1"/>
          <c:showCatName val="0"/>
          <c:showSerName val="0"/>
          <c:showPercent val="0"/>
          <c:showBubbleSize val="0"/>
        </c:dLbls>
        <c:smooth val="0"/>
        <c:axId val="778472351"/>
        <c:axId val="778456511"/>
      </c:lineChart>
      <c:catAx>
        <c:axId val="7784723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8456511"/>
        <c:crosses val="autoZero"/>
        <c:auto val="1"/>
        <c:lblAlgn val="ctr"/>
        <c:lblOffset val="100"/>
        <c:noMultiLvlLbl val="0"/>
      </c:catAx>
      <c:valAx>
        <c:axId val="7784565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84723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846174-CAA7-48FE-8442-396B9AF542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7435</Words>
  <Characters>42383</Characters>
  <Application>Microsoft Office Word</Application>
  <DocSecurity>0</DocSecurity>
  <Lines>353</Lines>
  <Paragraphs>99</Paragraphs>
  <ScaleCrop>false</ScaleCrop>
  <Company/>
  <LinksUpToDate>false</LinksUpToDate>
  <CharactersWithSpaces>49719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2025-12-23T18:54:00Z</dcterms:created>
  <dcterms:modified xsi:type="dcterms:W3CDTF">2026-03-18T23:22:00Z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d61db927-51dc-4180-ab76-2850b1113604</vt:lpwstr>
  </property>
</Properties>
</file>