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C3DE55" w14:textId="76842EDF" w:rsidR="00ED108A" w:rsidRPr="00F30104" w:rsidRDefault="00970284" w:rsidP="00F30104">
      <w:pPr>
        <w:spacing w:after="0" w:line="360" w:lineRule="auto"/>
        <w:contextualSpacing/>
        <w:jc w:val="center"/>
        <w:rPr>
          <w:rFonts w:ascii="Arial" w:hAnsi="Arial" w:cs="Arial"/>
          <w:b/>
          <w:bCs/>
          <w:lang w:val="en-GB"/>
        </w:rPr>
      </w:pPr>
      <w:r w:rsidRPr="00F30104">
        <w:rPr>
          <w:rFonts w:ascii="Arial" w:hAnsi="Arial" w:cs="Arial"/>
          <w:b/>
          <w:bCs/>
          <w:lang w:val="en-GB"/>
        </w:rPr>
        <w:t xml:space="preserve">Title: </w:t>
      </w:r>
      <w:r w:rsidR="00ED108A" w:rsidRPr="00F30104">
        <w:rPr>
          <w:rFonts w:ascii="Arial" w:hAnsi="Arial" w:cs="Arial"/>
          <w:b/>
          <w:bCs/>
          <w:lang w:val="en-GB"/>
        </w:rPr>
        <w:t>Mark &amp; Spencer- a detail</w:t>
      </w:r>
      <w:r w:rsidR="00E124B4" w:rsidRPr="00F30104">
        <w:rPr>
          <w:rFonts w:ascii="Arial" w:hAnsi="Arial" w:cs="Arial"/>
          <w:b/>
          <w:bCs/>
          <w:lang w:val="en-GB"/>
        </w:rPr>
        <w:t>ed description of financial and treasury</w:t>
      </w:r>
      <w:r w:rsidR="00042A94" w:rsidRPr="00F30104">
        <w:rPr>
          <w:rFonts w:ascii="Arial" w:hAnsi="Arial" w:cs="Arial"/>
          <w:b/>
          <w:bCs/>
          <w:lang w:val="en-GB"/>
        </w:rPr>
        <w:t xml:space="preserve"> management analysis</w:t>
      </w:r>
    </w:p>
    <w:p w14:paraId="6C94CBDA" w14:textId="3A9EF401" w:rsidR="005D5142" w:rsidRPr="00F30104" w:rsidRDefault="002F52C1" w:rsidP="00F30104">
      <w:pPr>
        <w:spacing w:after="0" w:line="360" w:lineRule="auto"/>
        <w:contextualSpacing/>
        <w:jc w:val="center"/>
        <w:rPr>
          <w:rFonts w:ascii="Arial" w:hAnsi="Arial" w:cs="Arial"/>
          <w:b/>
          <w:bCs/>
          <w:lang w:val="en-GB"/>
        </w:rPr>
      </w:pPr>
      <w:r w:rsidRPr="00F30104">
        <w:rPr>
          <w:rFonts w:ascii="Arial" w:hAnsi="Arial" w:cs="Arial"/>
          <w:b/>
          <w:bCs/>
          <w:lang w:val="en-GB"/>
        </w:rPr>
        <w:t>Student name: Florentina Adelina Mazilu</w:t>
      </w:r>
    </w:p>
    <w:p w14:paraId="431E0C54" w14:textId="70880D43" w:rsidR="002F52C1" w:rsidRPr="00F30104" w:rsidRDefault="002F52C1" w:rsidP="00F30104">
      <w:pPr>
        <w:spacing w:after="0" w:line="360" w:lineRule="auto"/>
        <w:contextualSpacing/>
        <w:jc w:val="center"/>
        <w:rPr>
          <w:rFonts w:ascii="Arial" w:hAnsi="Arial" w:cs="Arial"/>
          <w:b/>
          <w:bCs/>
          <w:lang w:val="en-GB"/>
        </w:rPr>
      </w:pPr>
      <w:r w:rsidRPr="00F30104">
        <w:rPr>
          <w:rFonts w:ascii="Arial" w:hAnsi="Arial" w:cs="Arial"/>
          <w:b/>
          <w:bCs/>
          <w:lang w:val="en-GB"/>
        </w:rPr>
        <w:t>Student number: 2245649</w:t>
      </w:r>
    </w:p>
    <w:p w14:paraId="5A31623B" w14:textId="2D7E1CF5" w:rsidR="002F52C1" w:rsidRPr="00F30104" w:rsidRDefault="002F52C1" w:rsidP="00F30104">
      <w:pPr>
        <w:spacing w:after="0" w:line="360" w:lineRule="auto"/>
        <w:contextualSpacing/>
        <w:jc w:val="center"/>
        <w:rPr>
          <w:rFonts w:ascii="Arial" w:hAnsi="Arial" w:cs="Arial"/>
          <w:b/>
          <w:bCs/>
          <w:lang w:val="en-GB"/>
        </w:rPr>
      </w:pPr>
      <w:r w:rsidRPr="00F30104">
        <w:rPr>
          <w:rFonts w:ascii="Arial" w:hAnsi="Arial" w:cs="Arial"/>
          <w:b/>
          <w:bCs/>
          <w:lang w:val="en-GB"/>
        </w:rPr>
        <w:t xml:space="preserve">Module: </w:t>
      </w:r>
      <w:r w:rsidR="007E2894" w:rsidRPr="00F30104">
        <w:rPr>
          <w:rFonts w:ascii="Arial" w:hAnsi="Arial" w:cs="Arial"/>
          <w:b/>
          <w:bCs/>
          <w:lang w:val="en-GB"/>
        </w:rPr>
        <w:t>Corporate finance</w:t>
      </w:r>
      <w:r w:rsidR="00091AF8" w:rsidRPr="00F30104">
        <w:rPr>
          <w:rFonts w:ascii="Arial" w:hAnsi="Arial" w:cs="Arial"/>
          <w:b/>
          <w:bCs/>
          <w:lang w:val="en-GB"/>
        </w:rPr>
        <w:t xml:space="preserve"> LCMB7005</w:t>
      </w:r>
    </w:p>
    <w:p w14:paraId="0A4AA9AB" w14:textId="68C8401F" w:rsidR="00091AF8" w:rsidRPr="00F30104" w:rsidRDefault="00091AF8" w:rsidP="00F30104">
      <w:pPr>
        <w:spacing w:after="0" w:line="360" w:lineRule="auto"/>
        <w:contextualSpacing/>
        <w:jc w:val="center"/>
        <w:rPr>
          <w:rFonts w:ascii="Arial" w:hAnsi="Arial" w:cs="Arial"/>
          <w:b/>
          <w:bCs/>
          <w:lang w:val="en-GB"/>
        </w:rPr>
      </w:pPr>
      <w:r w:rsidRPr="00F30104">
        <w:rPr>
          <w:rFonts w:ascii="Arial" w:hAnsi="Arial" w:cs="Arial"/>
          <w:b/>
          <w:bCs/>
          <w:lang w:val="en-GB"/>
        </w:rPr>
        <w:t>Lecturer: D</w:t>
      </w:r>
      <w:r w:rsidR="00C756A4" w:rsidRPr="00F30104">
        <w:rPr>
          <w:rFonts w:ascii="Arial" w:hAnsi="Arial" w:cs="Arial"/>
          <w:b/>
          <w:bCs/>
          <w:lang w:val="en-GB"/>
        </w:rPr>
        <w:t>avid Jenkins</w:t>
      </w:r>
    </w:p>
    <w:p w14:paraId="2027D042" w14:textId="451F9C9E" w:rsidR="00C756A4" w:rsidRPr="00F30104" w:rsidRDefault="00C756A4" w:rsidP="00F30104">
      <w:pPr>
        <w:spacing w:after="0" w:line="360" w:lineRule="auto"/>
        <w:contextualSpacing/>
        <w:jc w:val="both"/>
        <w:rPr>
          <w:rFonts w:ascii="Arial" w:hAnsi="Arial" w:cs="Arial"/>
          <w:lang w:val="en-GB"/>
        </w:rPr>
      </w:pPr>
    </w:p>
    <w:p w14:paraId="4BD9670D" w14:textId="1CBBE8A6" w:rsidR="00C756A4" w:rsidRPr="00F30104" w:rsidRDefault="00C756A4" w:rsidP="00F30104">
      <w:pPr>
        <w:spacing w:after="0" w:line="360" w:lineRule="auto"/>
        <w:contextualSpacing/>
        <w:jc w:val="both"/>
        <w:rPr>
          <w:rFonts w:ascii="Arial" w:hAnsi="Arial" w:cs="Arial"/>
          <w:lang w:val="en-GB"/>
        </w:rPr>
      </w:pPr>
      <w:r w:rsidRPr="00F30104">
        <w:rPr>
          <w:rFonts w:ascii="Arial" w:hAnsi="Arial" w:cs="Arial"/>
          <w:lang w:val="en-GB"/>
        </w:rPr>
        <w:br w:type="page"/>
      </w:r>
    </w:p>
    <w:p w14:paraId="6E8E0946" w14:textId="2DB271D6" w:rsidR="00C756A4" w:rsidRPr="00F30104" w:rsidRDefault="003F45D0" w:rsidP="00F30104">
      <w:pPr>
        <w:pStyle w:val="Heading1"/>
        <w:jc w:val="center"/>
      </w:pPr>
      <w:bookmarkStart w:id="0" w:name="_Toc151385663"/>
      <w:r w:rsidRPr="00F30104">
        <w:lastRenderedPageBreak/>
        <w:t xml:space="preserve">1 </w:t>
      </w:r>
      <w:r w:rsidR="00531A14" w:rsidRPr="00F30104">
        <w:t>E</w:t>
      </w:r>
      <w:r w:rsidRPr="00F30104">
        <w:t>xecutive summary</w:t>
      </w:r>
      <w:bookmarkEnd w:id="0"/>
    </w:p>
    <w:p w14:paraId="306BA80D" w14:textId="01A854BE" w:rsidR="005A1CE4" w:rsidRPr="00F30104" w:rsidRDefault="00531A14" w:rsidP="00F30104">
      <w:pPr>
        <w:spacing w:after="0" w:line="360" w:lineRule="auto"/>
        <w:contextualSpacing/>
        <w:jc w:val="both"/>
        <w:rPr>
          <w:rFonts w:ascii="Arial" w:hAnsi="Arial" w:cs="Arial"/>
          <w:lang w:val="en-GB"/>
        </w:rPr>
      </w:pPr>
      <w:r w:rsidRPr="00F30104">
        <w:rPr>
          <w:rFonts w:ascii="Arial" w:hAnsi="Arial" w:cs="Arial"/>
          <w:lang w:val="en-GB"/>
        </w:rPr>
        <w:t>This report provides a comprehensive analysis of the financial performance of Marks &amp; Spencer (M&amp;S) as well as the treasury management practises that the company employs. Mark &amp; Spencer i</w:t>
      </w:r>
      <w:r w:rsidR="00B239D3" w:rsidRPr="00F30104">
        <w:rPr>
          <w:rFonts w:ascii="Arial" w:hAnsi="Arial" w:cs="Arial"/>
          <w:lang w:val="en-GB"/>
        </w:rPr>
        <w:t xml:space="preserve">s a </w:t>
      </w:r>
      <w:r w:rsidRPr="00F30104">
        <w:rPr>
          <w:rFonts w:ascii="Arial" w:hAnsi="Arial" w:cs="Arial"/>
          <w:lang w:val="en-GB"/>
        </w:rPr>
        <w:t>British retailer that has been in business for a long time, has an interesting historical past, and continues to exert a significant amount of influence within the retail industry. The objective of this investigation is to evaluate M&amp;S</w:t>
      </w:r>
      <w:r w:rsidR="00EF621A" w:rsidRPr="00F30104">
        <w:rPr>
          <w:rFonts w:ascii="Arial" w:hAnsi="Arial" w:cs="Arial"/>
          <w:lang w:val="en-GB"/>
        </w:rPr>
        <w:t>’</w:t>
      </w:r>
      <w:r w:rsidRPr="00F30104">
        <w:rPr>
          <w:rFonts w:ascii="Arial" w:hAnsi="Arial" w:cs="Arial"/>
          <w:lang w:val="en-GB"/>
        </w:rPr>
        <w:t>s financial health and the effectiveness with which it manages, distributes, and makes use of its financial resources.</w:t>
      </w:r>
      <w:r w:rsidR="005A1CE4" w:rsidRPr="00F30104">
        <w:rPr>
          <w:rFonts w:ascii="Arial" w:hAnsi="Arial" w:cs="Arial"/>
          <w:lang w:val="en-GB"/>
        </w:rPr>
        <w:t xml:space="preserve"> </w:t>
      </w:r>
      <w:r w:rsidR="005A1CE4" w:rsidRPr="00F30104">
        <w:rPr>
          <w:rFonts w:ascii="Arial" w:hAnsi="Arial" w:cs="Arial"/>
          <w:lang/>
        </w:rPr>
        <w:t>Marks &amp; Spencer</w:t>
      </w:r>
      <w:r w:rsidR="00EF621A" w:rsidRPr="00F30104">
        <w:rPr>
          <w:rFonts w:ascii="Arial" w:hAnsi="Arial" w:cs="Arial"/>
          <w:lang/>
        </w:rPr>
        <w:t>’</w:t>
      </w:r>
      <w:r w:rsidR="005A1CE4" w:rsidRPr="00F30104">
        <w:rPr>
          <w:rFonts w:ascii="Arial" w:hAnsi="Arial" w:cs="Arial"/>
          <w:lang/>
        </w:rPr>
        <w:t>s (M&amp;S) treasury management, highlighting the company</w:t>
      </w:r>
      <w:r w:rsidR="00EF621A" w:rsidRPr="00F30104">
        <w:rPr>
          <w:rFonts w:ascii="Arial" w:hAnsi="Arial" w:cs="Arial"/>
          <w:lang/>
        </w:rPr>
        <w:t>’</w:t>
      </w:r>
      <w:r w:rsidR="005A1CE4" w:rsidRPr="00F30104">
        <w:rPr>
          <w:rFonts w:ascii="Arial" w:hAnsi="Arial" w:cs="Arial"/>
          <w:lang/>
        </w:rPr>
        <w:t>s adeptness in navigating the complexities of the modern retail landscape. Focused on key areas such as Cash Flow Management, Risk Management, Investment and Working Capital Management, and Strategic Financial Planning, the analysis reveals M&amp;S</w:t>
      </w:r>
      <w:r w:rsidR="00EF621A" w:rsidRPr="00F30104">
        <w:rPr>
          <w:rFonts w:ascii="Arial" w:hAnsi="Arial" w:cs="Arial"/>
          <w:lang/>
        </w:rPr>
        <w:t>’</w:t>
      </w:r>
      <w:r w:rsidR="005A1CE4" w:rsidRPr="00F30104">
        <w:rPr>
          <w:rFonts w:ascii="Arial" w:hAnsi="Arial" w:cs="Arial"/>
          <w:lang/>
        </w:rPr>
        <w:t>s strategic approach to ensuring financial stability and driving growth.</w:t>
      </w:r>
      <w:r w:rsidR="005A1CE4" w:rsidRPr="00F30104">
        <w:rPr>
          <w:rFonts w:ascii="Arial" w:hAnsi="Arial" w:cs="Arial"/>
          <w:lang w:val="en-GB"/>
        </w:rPr>
        <w:t xml:space="preserve"> </w:t>
      </w:r>
      <w:r w:rsidR="005A1CE4" w:rsidRPr="00F30104">
        <w:rPr>
          <w:rFonts w:ascii="Arial" w:hAnsi="Arial" w:cs="Arial"/>
          <w:lang/>
        </w:rPr>
        <w:t>Key findings indicate that M&amp;S effectively manages its cash flow, balancing operational efficiency with strategic financial decisions. The company</w:t>
      </w:r>
      <w:r w:rsidR="00EF621A" w:rsidRPr="00F30104">
        <w:rPr>
          <w:rFonts w:ascii="Arial" w:hAnsi="Arial" w:cs="Arial"/>
          <w:lang/>
        </w:rPr>
        <w:t>’</w:t>
      </w:r>
      <w:r w:rsidR="005A1CE4" w:rsidRPr="00F30104">
        <w:rPr>
          <w:rFonts w:ascii="Arial" w:hAnsi="Arial" w:cs="Arial"/>
          <w:lang/>
        </w:rPr>
        <w:t>s proactive risk management, particularly in handling foreign exchange and interest rate risks, demonstrates its capability to mitigate financial volatilities. Strategic investments in digital transformation and sustainability underscore M&amp;S</w:t>
      </w:r>
      <w:r w:rsidR="00EF621A" w:rsidRPr="00F30104">
        <w:rPr>
          <w:rFonts w:ascii="Arial" w:hAnsi="Arial" w:cs="Arial"/>
          <w:lang/>
        </w:rPr>
        <w:t>’</w:t>
      </w:r>
      <w:r w:rsidR="005A1CE4" w:rsidRPr="00F30104">
        <w:rPr>
          <w:rFonts w:ascii="Arial" w:hAnsi="Arial" w:cs="Arial"/>
          <w:lang/>
        </w:rPr>
        <w:t>s commitment to long-term profitability. Furthermore, M&amp;S</w:t>
      </w:r>
      <w:r w:rsidR="00EF621A" w:rsidRPr="00F30104">
        <w:rPr>
          <w:rFonts w:ascii="Arial" w:hAnsi="Arial" w:cs="Arial"/>
          <w:lang/>
        </w:rPr>
        <w:t>’</w:t>
      </w:r>
      <w:r w:rsidR="005A1CE4" w:rsidRPr="00F30104">
        <w:rPr>
          <w:rFonts w:ascii="Arial" w:hAnsi="Arial" w:cs="Arial"/>
          <w:lang/>
        </w:rPr>
        <w:t>s balanced financial planning, evident in its prudent dividend and debt management policies, aligns with its broader business objectives.</w:t>
      </w:r>
    </w:p>
    <w:p w14:paraId="7F2EF050" w14:textId="3C2DF3E2" w:rsidR="00531A14" w:rsidRPr="00F30104" w:rsidRDefault="00C7537E" w:rsidP="00F30104">
      <w:pPr>
        <w:spacing w:after="0" w:line="360" w:lineRule="auto"/>
        <w:contextualSpacing/>
        <w:jc w:val="both"/>
        <w:rPr>
          <w:rFonts w:ascii="Arial" w:hAnsi="Arial" w:cs="Arial"/>
          <w:lang w:val="en-GB"/>
        </w:rPr>
      </w:pPr>
      <w:r w:rsidRPr="00F30104">
        <w:rPr>
          <w:rFonts w:ascii="Arial" w:hAnsi="Arial" w:cs="Arial"/>
          <w:lang w:val="en-GB"/>
        </w:rPr>
        <w:br w:type="page"/>
      </w:r>
    </w:p>
    <w:sdt>
      <w:sdtPr>
        <w:rPr>
          <w:rFonts w:asciiTheme="minorHAnsi" w:eastAsiaTheme="minorHAnsi" w:hAnsiTheme="minorHAnsi" w:cstheme="minorBidi"/>
          <w:b w:val="0"/>
          <w:bCs w:val="0"/>
          <w:kern w:val="2"/>
          <w:lang w:val="ro-RO"/>
          <w14:ligatures w14:val="standardContextual"/>
        </w:rPr>
        <w:id w:val="1612087156"/>
        <w:docPartObj>
          <w:docPartGallery w:val="Table of Contents"/>
          <w:docPartUnique/>
        </w:docPartObj>
      </w:sdtPr>
      <w:sdtEndPr>
        <w:rPr>
          <w:noProof/>
        </w:rPr>
      </w:sdtEndPr>
      <w:sdtContent>
        <w:p w14:paraId="59831020" w14:textId="1FB9A569" w:rsidR="005204AF" w:rsidRPr="00F30104" w:rsidRDefault="005204AF" w:rsidP="00F30104">
          <w:pPr>
            <w:pStyle w:val="TOCHeading"/>
            <w:jc w:val="center"/>
          </w:pPr>
          <w:r w:rsidRPr="00F30104">
            <w:t>Contents</w:t>
          </w:r>
        </w:p>
        <w:p w14:paraId="53F745C9" w14:textId="2F3BA76F" w:rsidR="00F30104" w:rsidRPr="00F30104" w:rsidRDefault="005204AF" w:rsidP="00F30104">
          <w:pPr>
            <w:pStyle w:val="TOC1"/>
            <w:tabs>
              <w:tab w:val="right" w:leader="dot" w:pos="9016"/>
            </w:tabs>
            <w:spacing w:after="0" w:line="360" w:lineRule="auto"/>
            <w:contextualSpacing/>
            <w:rPr>
              <w:rFonts w:ascii="Arial" w:eastAsiaTheme="minorEastAsia" w:hAnsi="Arial" w:cs="Arial"/>
              <w:noProof/>
              <w:lang/>
            </w:rPr>
          </w:pPr>
          <w:r w:rsidRPr="00F30104">
            <w:rPr>
              <w:rFonts w:ascii="Arial" w:hAnsi="Arial" w:cs="Arial"/>
            </w:rPr>
            <w:fldChar w:fldCharType="begin"/>
          </w:r>
          <w:r w:rsidRPr="00F30104">
            <w:rPr>
              <w:rFonts w:ascii="Arial" w:hAnsi="Arial" w:cs="Arial"/>
            </w:rPr>
            <w:instrText xml:space="preserve"> TOC \o "1-3" \h \z \u </w:instrText>
          </w:r>
          <w:r w:rsidRPr="00F30104">
            <w:rPr>
              <w:rFonts w:ascii="Arial" w:hAnsi="Arial" w:cs="Arial"/>
            </w:rPr>
            <w:fldChar w:fldCharType="separate"/>
          </w:r>
          <w:hyperlink w:anchor="_Toc151385663" w:history="1">
            <w:r w:rsidR="00F30104" w:rsidRPr="00F30104">
              <w:rPr>
                <w:rStyle w:val="Hyperlink"/>
                <w:rFonts w:ascii="Arial" w:hAnsi="Arial" w:cs="Arial"/>
                <w:noProof/>
                <w:color w:val="auto"/>
              </w:rPr>
              <w:t>1 Executive summary</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_Toc151385663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2</w:t>
            </w:r>
            <w:r w:rsidR="00F30104" w:rsidRPr="00F30104">
              <w:rPr>
                <w:rFonts w:ascii="Arial" w:hAnsi="Arial" w:cs="Arial"/>
                <w:noProof/>
                <w:webHidden/>
              </w:rPr>
              <w:fldChar w:fldCharType="end"/>
            </w:r>
          </w:hyperlink>
        </w:p>
        <w:p w14:paraId="503D0237" w14:textId="098C9EE6" w:rsidR="00F30104" w:rsidRPr="00F30104" w:rsidRDefault="00510663" w:rsidP="00F30104">
          <w:pPr>
            <w:pStyle w:val="TOC1"/>
            <w:tabs>
              <w:tab w:val="right" w:leader="dot" w:pos="9016"/>
            </w:tabs>
            <w:spacing w:after="0" w:line="360" w:lineRule="auto"/>
            <w:contextualSpacing/>
            <w:rPr>
              <w:rFonts w:ascii="Arial" w:eastAsiaTheme="minorEastAsia" w:hAnsi="Arial" w:cs="Arial"/>
              <w:noProof/>
              <w:lang/>
            </w:rPr>
          </w:pPr>
          <w:hyperlink w:anchor="_Toc151385664" w:history="1">
            <w:r w:rsidR="00F30104" w:rsidRPr="00F30104">
              <w:rPr>
                <w:rStyle w:val="Hyperlink"/>
                <w:rFonts w:ascii="Arial" w:hAnsi="Arial" w:cs="Arial"/>
                <w:noProof/>
                <w:color w:val="auto"/>
              </w:rPr>
              <w:t>2 Introduction</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_Toc151385664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4</w:t>
            </w:r>
            <w:r w:rsidR="00F30104" w:rsidRPr="00F30104">
              <w:rPr>
                <w:rFonts w:ascii="Arial" w:hAnsi="Arial" w:cs="Arial"/>
                <w:noProof/>
                <w:webHidden/>
              </w:rPr>
              <w:fldChar w:fldCharType="end"/>
            </w:r>
          </w:hyperlink>
        </w:p>
        <w:p w14:paraId="4F8ADBC9" w14:textId="2B92A93F" w:rsidR="00F30104" w:rsidRPr="00F30104" w:rsidRDefault="00510663" w:rsidP="00F30104">
          <w:pPr>
            <w:pStyle w:val="TOC1"/>
            <w:tabs>
              <w:tab w:val="right" w:leader="dot" w:pos="9016"/>
            </w:tabs>
            <w:spacing w:after="0" w:line="360" w:lineRule="auto"/>
            <w:contextualSpacing/>
            <w:rPr>
              <w:rFonts w:ascii="Arial" w:eastAsiaTheme="minorEastAsia" w:hAnsi="Arial" w:cs="Arial"/>
              <w:noProof/>
              <w:lang/>
            </w:rPr>
          </w:pPr>
          <w:hyperlink w:anchor="_Toc151385665" w:history="1">
            <w:r w:rsidR="00F30104" w:rsidRPr="00F30104">
              <w:rPr>
                <w:rStyle w:val="Hyperlink"/>
                <w:rFonts w:ascii="Arial" w:hAnsi="Arial" w:cs="Arial"/>
                <w:noProof/>
                <w:color w:val="auto"/>
              </w:rPr>
              <w:t>3 Financial performance analysis and findings</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_Toc151385665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5</w:t>
            </w:r>
            <w:r w:rsidR="00F30104" w:rsidRPr="00F30104">
              <w:rPr>
                <w:rFonts w:ascii="Arial" w:hAnsi="Arial" w:cs="Arial"/>
                <w:noProof/>
                <w:webHidden/>
              </w:rPr>
              <w:fldChar w:fldCharType="end"/>
            </w:r>
          </w:hyperlink>
        </w:p>
        <w:p w14:paraId="1D1E85C3" w14:textId="5323DB85" w:rsidR="00F30104" w:rsidRPr="00F30104" w:rsidRDefault="00510663" w:rsidP="00F30104">
          <w:pPr>
            <w:pStyle w:val="TOC2"/>
            <w:tabs>
              <w:tab w:val="right" w:leader="dot" w:pos="9016"/>
            </w:tabs>
            <w:spacing w:after="0" w:line="360" w:lineRule="auto"/>
            <w:contextualSpacing/>
            <w:rPr>
              <w:rFonts w:ascii="Arial" w:eastAsiaTheme="minorEastAsia" w:hAnsi="Arial" w:cs="Arial"/>
              <w:noProof/>
              <w:lang/>
            </w:rPr>
          </w:pPr>
          <w:hyperlink w:anchor="_Toc151385666" w:history="1">
            <w:r w:rsidR="00F30104" w:rsidRPr="00F30104">
              <w:rPr>
                <w:rStyle w:val="Hyperlink"/>
                <w:rFonts w:ascii="Arial" w:hAnsi="Arial" w:cs="Arial"/>
                <w:noProof/>
                <w:color w:val="auto"/>
              </w:rPr>
              <w:t>3.1 Profitability ratio</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_Toc151385666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6</w:t>
            </w:r>
            <w:r w:rsidR="00F30104" w:rsidRPr="00F30104">
              <w:rPr>
                <w:rFonts w:ascii="Arial" w:hAnsi="Arial" w:cs="Arial"/>
                <w:noProof/>
                <w:webHidden/>
              </w:rPr>
              <w:fldChar w:fldCharType="end"/>
            </w:r>
          </w:hyperlink>
        </w:p>
        <w:p w14:paraId="36FE5837" w14:textId="7A5E95BB" w:rsidR="00F30104" w:rsidRPr="00F30104" w:rsidRDefault="00510663" w:rsidP="00F30104">
          <w:pPr>
            <w:pStyle w:val="TOC2"/>
            <w:tabs>
              <w:tab w:val="right" w:leader="dot" w:pos="9016"/>
            </w:tabs>
            <w:spacing w:after="0" w:line="360" w:lineRule="auto"/>
            <w:contextualSpacing/>
            <w:rPr>
              <w:rFonts w:ascii="Arial" w:eastAsiaTheme="minorEastAsia" w:hAnsi="Arial" w:cs="Arial"/>
              <w:noProof/>
              <w:lang/>
            </w:rPr>
          </w:pPr>
          <w:hyperlink w:anchor="_Toc151385667" w:history="1">
            <w:r w:rsidR="00F30104" w:rsidRPr="00F30104">
              <w:rPr>
                <w:rStyle w:val="Hyperlink"/>
                <w:rFonts w:ascii="Arial" w:hAnsi="Arial" w:cs="Arial"/>
                <w:noProof/>
                <w:color w:val="auto"/>
              </w:rPr>
              <w:t>3.2 Liquidity ratio</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_Toc151385667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9</w:t>
            </w:r>
            <w:r w:rsidR="00F30104" w:rsidRPr="00F30104">
              <w:rPr>
                <w:rFonts w:ascii="Arial" w:hAnsi="Arial" w:cs="Arial"/>
                <w:noProof/>
                <w:webHidden/>
              </w:rPr>
              <w:fldChar w:fldCharType="end"/>
            </w:r>
          </w:hyperlink>
        </w:p>
        <w:p w14:paraId="568B0FAB" w14:textId="2407311E" w:rsidR="00F30104" w:rsidRPr="00F30104" w:rsidRDefault="00510663" w:rsidP="00F30104">
          <w:pPr>
            <w:pStyle w:val="TOC2"/>
            <w:tabs>
              <w:tab w:val="right" w:leader="dot" w:pos="9016"/>
            </w:tabs>
            <w:spacing w:after="0" w:line="360" w:lineRule="auto"/>
            <w:contextualSpacing/>
            <w:rPr>
              <w:rFonts w:ascii="Arial" w:eastAsiaTheme="minorEastAsia" w:hAnsi="Arial" w:cs="Arial"/>
              <w:noProof/>
              <w:lang/>
            </w:rPr>
          </w:pPr>
          <w:hyperlink w:anchor="_Toc151385668" w:history="1">
            <w:r w:rsidR="00F30104" w:rsidRPr="00F30104">
              <w:rPr>
                <w:rStyle w:val="Hyperlink"/>
                <w:rFonts w:ascii="Arial" w:hAnsi="Arial" w:cs="Arial"/>
                <w:noProof/>
                <w:color w:val="auto"/>
              </w:rPr>
              <w:t>3.3 Efficiency ratios</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_Toc151385668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11</w:t>
            </w:r>
            <w:r w:rsidR="00F30104" w:rsidRPr="00F30104">
              <w:rPr>
                <w:rFonts w:ascii="Arial" w:hAnsi="Arial" w:cs="Arial"/>
                <w:noProof/>
                <w:webHidden/>
              </w:rPr>
              <w:fldChar w:fldCharType="end"/>
            </w:r>
          </w:hyperlink>
        </w:p>
        <w:p w14:paraId="2FE4FD39" w14:textId="28E8D166" w:rsidR="00F30104" w:rsidRPr="00F30104" w:rsidRDefault="00510663" w:rsidP="00F30104">
          <w:pPr>
            <w:pStyle w:val="TOC2"/>
            <w:tabs>
              <w:tab w:val="right" w:leader="dot" w:pos="9016"/>
            </w:tabs>
            <w:spacing w:after="0" w:line="360" w:lineRule="auto"/>
            <w:contextualSpacing/>
            <w:rPr>
              <w:rFonts w:ascii="Arial" w:eastAsiaTheme="minorEastAsia" w:hAnsi="Arial" w:cs="Arial"/>
              <w:noProof/>
              <w:lang/>
            </w:rPr>
          </w:pPr>
          <w:hyperlink w:anchor="_Toc151385669" w:history="1">
            <w:r w:rsidR="00F30104" w:rsidRPr="00F30104">
              <w:rPr>
                <w:rStyle w:val="Hyperlink"/>
                <w:rFonts w:ascii="Arial" w:hAnsi="Arial" w:cs="Arial"/>
                <w:noProof/>
                <w:color w:val="auto"/>
              </w:rPr>
              <w:t>3.4 Investment Ratio</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_Toc151385669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12</w:t>
            </w:r>
            <w:r w:rsidR="00F30104" w:rsidRPr="00F30104">
              <w:rPr>
                <w:rFonts w:ascii="Arial" w:hAnsi="Arial" w:cs="Arial"/>
                <w:noProof/>
                <w:webHidden/>
              </w:rPr>
              <w:fldChar w:fldCharType="end"/>
            </w:r>
          </w:hyperlink>
        </w:p>
        <w:p w14:paraId="7ED32EF9" w14:textId="0D84A44B" w:rsidR="00F30104" w:rsidRPr="00F30104" w:rsidRDefault="00510663" w:rsidP="00F30104">
          <w:pPr>
            <w:pStyle w:val="TOC1"/>
            <w:tabs>
              <w:tab w:val="right" w:leader="dot" w:pos="9016"/>
            </w:tabs>
            <w:spacing w:after="0" w:line="360" w:lineRule="auto"/>
            <w:contextualSpacing/>
            <w:rPr>
              <w:rFonts w:ascii="Arial" w:eastAsiaTheme="minorEastAsia" w:hAnsi="Arial" w:cs="Arial"/>
              <w:noProof/>
              <w:lang/>
            </w:rPr>
          </w:pPr>
          <w:hyperlink w:anchor="_Toc151385670" w:history="1">
            <w:r w:rsidR="00F30104" w:rsidRPr="00F30104">
              <w:rPr>
                <w:rStyle w:val="Hyperlink"/>
                <w:rFonts w:ascii="Arial" w:hAnsi="Arial" w:cs="Arial"/>
                <w:noProof/>
                <w:color w:val="auto"/>
              </w:rPr>
              <w:t>4 Treasury management analysis findings</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_Toc151385670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12</w:t>
            </w:r>
            <w:r w:rsidR="00F30104" w:rsidRPr="00F30104">
              <w:rPr>
                <w:rFonts w:ascii="Arial" w:hAnsi="Arial" w:cs="Arial"/>
                <w:noProof/>
                <w:webHidden/>
              </w:rPr>
              <w:fldChar w:fldCharType="end"/>
            </w:r>
          </w:hyperlink>
        </w:p>
        <w:p w14:paraId="06BDFA4D" w14:textId="69E0FA47" w:rsidR="00F30104" w:rsidRPr="00F30104" w:rsidRDefault="00510663" w:rsidP="00F30104">
          <w:pPr>
            <w:pStyle w:val="TOC2"/>
            <w:tabs>
              <w:tab w:val="right" w:leader="dot" w:pos="9016"/>
            </w:tabs>
            <w:spacing w:after="0" w:line="360" w:lineRule="auto"/>
            <w:contextualSpacing/>
            <w:rPr>
              <w:rFonts w:ascii="Arial" w:eastAsiaTheme="minorEastAsia" w:hAnsi="Arial" w:cs="Arial"/>
              <w:noProof/>
              <w:lang/>
            </w:rPr>
          </w:pPr>
          <w:hyperlink w:anchor="_Toc151385671" w:history="1">
            <w:r w:rsidR="00F30104" w:rsidRPr="00F30104">
              <w:rPr>
                <w:rStyle w:val="Hyperlink"/>
                <w:rFonts w:ascii="Arial" w:hAnsi="Arial" w:cs="Arial"/>
                <w:noProof/>
                <w:color w:val="auto"/>
              </w:rPr>
              <w:t>4.1 Cash Flow Management</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_Toc151385671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12</w:t>
            </w:r>
            <w:r w:rsidR="00F30104" w:rsidRPr="00F30104">
              <w:rPr>
                <w:rFonts w:ascii="Arial" w:hAnsi="Arial" w:cs="Arial"/>
                <w:noProof/>
                <w:webHidden/>
              </w:rPr>
              <w:fldChar w:fldCharType="end"/>
            </w:r>
          </w:hyperlink>
        </w:p>
        <w:p w14:paraId="4138088E" w14:textId="32D30499" w:rsidR="00F30104" w:rsidRPr="00F30104" w:rsidRDefault="00510663" w:rsidP="00F30104">
          <w:pPr>
            <w:pStyle w:val="TOC2"/>
            <w:tabs>
              <w:tab w:val="right" w:leader="dot" w:pos="9016"/>
            </w:tabs>
            <w:spacing w:after="0" w:line="360" w:lineRule="auto"/>
            <w:contextualSpacing/>
            <w:rPr>
              <w:rFonts w:ascii="Arial" w:eastAsiaTheme="minorEastAsia" w:hAnsi="Arial" w:cs="Arial"/>
              <w:noProof/>
              <w:lang/>
            </w:rPr>
          </w:pPr>
          <w:hyperlink w:anchor="_Toc151385672" w:history="1">
            <w:r w:rsidR="00F30104" w:rsidRPr="00F30104">
              <w:rPr>
                <w:rStyle w:val="Hyperlink"/>
                <w:rFonts w:ascii="Arial" w:hAnsi="Arial" w:cs="Arial"/>
                <w:noProof/>
                <w:color w:val="auto"/>
              </w:rPr>
              <w:t>4.2 Risk Management</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_Toc151385672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14</w:t>
            </w:r>
            <w:r w:rsidR="00F30104" w:rsidRPr="00F30104">
              <w:rPr>
                <w:rFonts w:ascii="Arial" w:hAnsi="Arial" w:cs="Arial"/>
                <w:noProof/>
                <w:webHidden/>
              </w:rPr>
              <w:fldChar w:fldCharType="end"/>
            </w:r>
          </w:hyperlink>
        </w:p>
        <w:p w14:paraId="1DAD0C59" w14:textId="724E86AA" w:rsidR="00F30104" w:rsidRPr="00F30104" w:rsidRDefault="00510663" w:rsidP="00F30104">
          <w:pPr>
            <w:pStyle w:val="TOC2"/>
            <w:tabs>
              <w:tab w:val="right" w:leader="dot" w:pos="9016"/>
            </w:tabs>
            <w:spacing w:after="0" w:line="360" w:lineRule="auto"/>
            <w:contextualSpacing/>
            <w:rPr>
              <w:rFonts w:ascii="Arial" w:eastAsiaTheme="minorEastAsia" w:hAnsi="Arial" w:cs="Arial"/>
              <w:noProof/>
              <w:lang/>
            </w:rPr>
          </w:pPr>
          <w:hyperlink w:anchor="_Toc151385673" w:history="1">
            <w:r w:rsidR="00F30104" w:rsidRPr="00F30104">
              <w:rPr>
                <w:rStyle w:val="Hyperlink"/>
                <w:rFonts w:ascii="Arial" w:hAnsi="Arial" w:cs="Arial"/>
                <w:noProof/>
                <w:color w:val="auto"/>
                <w:lang w:val="en-US"/>
              </w:rPr>
              <w:t xml:space="preserve">4.3 </w:t>
            </w:r>
            <w:r w:rsidR="00F30104" w:rsidRPr="00F30104">
              <w:rPr>
                <w:rStyle w:val="Hyperlink"/>
                <w:rFonts w:ascii="Arial" w:hAnsi="Arial" w:cs="Arial"/>
                <w:noProof/>
                <w:color w:val="auto"/>
              </w:rPr>
              <w:t>Investment and Working Capital Management</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_Toc151385673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15</w:t>
            </w:r>
            <w:r w:rsidR="00F30104" w:rsidRPr="00F30104">
              <w:rPr>
                <w:rFonts w:ascii="Arial" w:hAnsi="Arial" w:cs="Arial"/>
                <w:noProof/>
                <w:webHidden/>
              </w:rPr>
              <w:fldChar w:fldCharType="end"/>
            </w:r>
          </w:hyperlink>
        </w:p>
        <w:p w14:paraId="12BF873B" w14:textId="601BA119" w:rsidR="00F30104" w:rsidRPr="00F30104" w:rsidRDefault="00510663" w:rsidP="00F30104">
          <w:pPr>
            <w:pStyle w:val="TOC2"/>
            <w:tabs>
              <w:tab w:val="right" w:leader="dot" w:pos="9016"/>
            </w:tabs>
            <w:spacing w:after="0" w:line="360" w:lineRule="auto"/>
            <w:contextualSpacing/>
            <w:rPr>
              <w:rFonts w:ascii="Arial" w:eastAsiaTheme="minorEastAsia" w:hAnsi="Arial" w:cs="Arial"/>
              <w:noProof/>
              <w:lang/>
            </w:rPr>
          </w:pPr>
          <w:hyperlink w:anchor="_Toc151385674" w:history="1">
            <w:r w:rsidR="00F30104" w:rsidRPr="00F30104">
              <w:rPr>
                <w:rStyle w:val="Hyperlink"/>
                <w:rFonts w:ascii="Arial" w:hAnsi="Arial" w:cs="Arial"/>
                <w:noProof/>
                <w:color w:val="auto"/>
                <w:lang w:val="en-US"/>
              </w:rPr>
              <w:t xml:space="preserve">4.4 </w:t>
            </w:r>
            <w:r w:rsidR="00F30104" w:rsidRPr="00F30104">
              <w:rPr>
                <w:rStyle w:val="Hyperlink"/>
                <w:rFonts w:ascii="Arial" w:hAnsi="Arial" w:cs="Arial"/>
                <w:noProof/>
                <w:color w:val="auto"/>
              </w:rPr>
              <w:t>Strategic Financial Planning</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_Toc151385674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17</w:t>
            </w:r>
            <w:r w:rsidR="00F30104" w:rsidRPr="00F30104">
              <w:rPr>
                <w:rFonts w:ascii="Arial" w:hAnsi="Arial" w:cs="Arial"/>
                <w:noProof/>
                <w:webHidden/>
              </w:rPr>
              <w:fldChar w:fldCharType="end"/>
            </w:r>
          </w:hyperlink>
        </w:p>
        <w:p w14:paraId="58B38E31" w14:textId="612AB258" w:rsidR="00F30104" w:rsidRPr="00F30104" w:rsidRDefault="00510663" w:rsidP="00F30104">
          <w:pPr>
            <w:pStyle w:val="TOC2"/>
            <w:tabs>
              <w:tab w:val="right" w:leader="dot" w:pos="9016"/>
            </w:tabs>
            <w:spacing w:after="0" w:line="360" w:lineRule="auto"/>
            <w:contextualSpacing/>
            <w:rPr>
              <w:rFonts w:ascii="Arial" w:eastAsiaTheme="minorEastAsia" w:hAnsi="Arial" w:cs="Arial"/>
              <w:noProof/>
              <w:lang/>
            </w:rPr>
          </w:pPr>
          <w:hyperlink w:anchor="_Toc151385675" w:history="1">
            <w:r w:rsidR="00F30104" w:rsidRPr="00F30104">
              <w:rPr>
                <w:rStyle w:val="Hyperlink"/>
                <w:rFonts w:ascii="Arial" w:hAnsi="Arial" w:cs="Arial"/>
                <w:noProof/>
                <w:color w:val="auto"/>
              </w:rPr>
              <w:t>4.4 Summary</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_Toc151385675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18</w:t>
            </w:r>
            <w:r w:rsidR="00F30104" w:rsidRPr="00F30104">
              <w:rPr>
                <w:rFonts w:ascii="Arial" w:hAnsi="Arial" w:cs="Arial"/>
                <w:noProof/>
                <w:webHidden/>
              </w:rPr>
              <w:fldChar w:fldCharType="end"/>
            </w:r>
          </w:hyperlink>
        </w:p>
        <w:p w14:paraId="7B62CAA2" w14:textId="7259562A" w:rsidR="00F30104" w:rsidRPr="00F30104" w:rsidRDefault="00510663" w:rsidP="00F30104">
          <w:pPr>
            <w:pStyle w:val="TOC1"/>
            <w:tabs>
              <w:tab w:val="right" w:leader="dot" w:pos="9016"/>
            </w:tabs>
            <w:spacing w:after="0" w:line="360" w:lineRule="auto"/>
            <w:contextualSpacing/>
            <w:rPr>
              <w:rFonts w:ascii="Arial" w:eastAsiaTheme="minorEastAsia" w:hAnsi="Arial" w:cs="Arial"/>
              <w:noProof/>
              <w:lang/>
            </w:rPr>
          </w:pPr>
          <w:hyperlink w:anchor="_Toc151385676" w:history="1">
            <w:r w:rsidR="00F30104" w:rsidRPr="00F30104">
              <w:rPr>
                <w:rStyle w:val="Hyperlink"/>
                <w:rFonts w:ascii="Arial" w:hAnsi="Arial" w:cs="Arial"/>
                <w:noProof/>
                <w:color w:val="auto"/>
              </w:rPr>
              <w:t>5 Synthesis and conclusion</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_Toc151385676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19</w:t>
            </w:r>
            <w:r w:rsidR="00F30104" w:rsidRPr="00F30104">
              <w:rPr>
                <w:rFonts w:ascii="Arial" w:hAnsi="Arial" w:cs="Arial"/>
                <w:noProof/>
                <w:webHidden/>
              </w:rPr>
              <w:fldChar w:fldCharType="end"/>
            </w:r>
          </w:hyperlink>
        </w:p>
        <w:p w14:paraId="1804AB14" w14:textId="34F3A4E5" w:rsidR="00F30104" w:rsidRPr="00F30104" w:rsidRDefault="00510663" w:rsidP="00F30104">
          <w:pPr>
            <w:pStyle w:val="TOC2"/>
            <w:tabs>
              <w:tab w:val="right" w:leader="dot" w:pos="9016"/>
            </w:tabs>
            <w:spacing w:after="0" w:line="360" w:lineRule="auto"/>
            <w:contextualSpacing/>
            <w:rPr>
              <w:rFonts w:ascii="Arial" w:eastAsiaTheme="minorEastAsia" w:hAnsi="Arial" w:cs="Arial"/>
              <w:noProof/>
              <w:lang/>
            </w:rPr>
          </w:pPr>
          <w:hyperlink w:anchor="_Toc151385677" w:history="1">
            <w:r w:rsidR="00F30104" w:rsidRPr="00F30104">
              <w:rPr>
                <w:rStyle w:val="Hyperlink"/>
                <w:rFonts w:ascii="Arial" w:hAnsi="Arial" w:cs="Arial"/>
                <w:noProof/>
                <w:color w:val="auto"/>
                <w:lang w:val="en-US"/>
              </w:rPr>
              <w:t xml:space="preserve">5.1 </w:t>
            </w:r>
            <w:r w:rsidR="00F30104" w:rsidRPr="00F30104">
              <w:rPr>
                <w:rStyle w:val="Hyperlink"/>
                <w:rFonts w:ascii="Arial" w:hAnsi="Arial" w:cs="Arial"/>
                <w:noProof/>
                <w:color w:val="auto"/>
              </w:rPr>
              <w:t>Conclusion</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_Toc151385677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19</w:t>
            </w:r>
            <w:r w:rsidR="00F30104" w:rsidRPr="00F30104">
              <w:rPr>
                <w:rFonts w:ascii="Arial" w:hAnsi="Arial" w:cs="Arial"/>
                <w:noProof/>
                <w:webHidden/>
              </w:rPr>
              <w:fldChar w:fldCharType="end"/>
            </w:r>
          </w:hyperlink>
        </w:p>
        <w:p w14:paraId="0623EC6B" w14:textId="47CAABEB" w:rsidR="00F30104" w:rsidRPr="00F30104" w:rsidRDefault="00510663" w:rsidP="00F30104">
          <w:pPr>
            <w:pStyle w:val="TOC1"/>
            <w:tabs>
              <w:tab w:val="right" w:leader="dot" w:pos="9016"/>
            </w:tabs>
            <w:spacing w:after="0" w:line="360" w:lineRule="auto"/>
            <w:contextualSpacing/>
            <w:rPr>
              <w:rFonts w:ascii="Arial" w:eastAsiaTheme="minorEastAsia" w:hAnsi="Arial" w:cs="Arial"/>
              <w:noProof/>
              <w:lang/>
            </w:rPr>
          </w:pPr>
          <w:hyperlink w:anchor="_Toc151385678" w:history="1">
            <w:r w:rsidR="00F30104" w:rsidRPr="00F30104">
              <w:rPr>
                <w:rStyle w:val="Hyperlink"/>
                <w:rFonts w:ascii="Arial" w:hAnsi="Arial" w:cs="Arial"/>
                <w:noProof/>
                <w:color w:val="auto"/>
              </w:rPr>
              <w:t>6 Reference list</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_Toc151385678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21</w:t>
            </w:r>
            <w:r w:rsidR="00F30104" w:rsidRPr="00F30104">
              <w:rPr>
                <w:rFonts w:ascii="Arial" w:hAnsi="Arial" w:cs="Arial"/>
                <w:noProof/>
                <w:webHidden/>
              </w:rPr>
              <w:fldChar w:fldCharType="end"/>
            </w:r>
          </w:hyperlink>
        </w:p>
        <w:p w14:paraId="2B3189A8" w14:textId="327044C8" w:rsidR="00F30104" w:rsidRPr="00F30104" w:rsidRDefault="00510663" w:rsidP="00F30104">
          <w:pPr>
            <w:pStyle w:val="TOC1"/>
            <w:tabs>
              <w:tab w:val="right" w:leader="dot" w:pos="9016"/>
            </w:tabs>
            <w:spacing w:after="0" w:line="360" w:lineRule="auto"/>
            <w:contextualSpacing/>
            <w:rPr>
              <w:rFonts w:ascii="Arial" w:eastAsiaTheme="minorEastAsia" w:hAnsi="Arial" w:cs="Arial"/>
              <w:noProof/>
              <w:lang/>
            </w:rPr>
          </w:pPr>
          <w:hyperlink w:anchor="_Toc151385679" w:history="1">
            <w:r w:rsidR="00F30104" w:rsidRPr="00F30104">
              <w:rPr>
                <w:rStyle w:val="Hyperlink"/>
                <w:rFonts w:ascii="Arial" w:hAnsi="Arial" w:cs="Arial"/>
                <w:noProof/>
                <w:color w:val="auto"/>
              </w:rPr>
              <w:t>Appendix A: Key financials &amp; employees</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_Toc151385679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23</w:t>
            </w:r>
            <w:r w:rsidR="00F30104" w:rsidRPr="00F30104">
              <w:rPr>
                <w:rFonts w:ascii="Arial" w:hAnsi="Arial" w:cs="Arial"/>
                <w:noProof/>
                <w:webHidden/>
              </w:rPr>
              <w:fldChar w:fldCharType="end"/>
            </w:r>
          </w:hyperlink>
        </w:p>
        <w:p w14:paraId="267AC222" w14:textId="0E4D3B23" w:rsidR="00F30104" w:rsidRPr="00F30104" w:rsidRDefault="00510663" w:rsidP="00F30104">
          <w:pPr>
            <w:pStyle w:val="TOC1"/>
            <w:tabs>
              <w:tab w:val="right" w:leader="dot" w:pos="9016"/>
            </w:tabs>
            <w:spacing w:after="0" w:line="360" w:lineRule="auto"/>
            <w:contextualSpacing/>
            <w:rPr>
              <w:rFonts w:ascii="Arial" w:eastAsiaTheme="minorEastAsia" w:hAnsi="Arial" w:cs="Arial"/>
              <w:noProof/>
              <w:lang/>
            </w:rPr>
          </w:pPr>
          <w:hyperlink w:anchor="_Toc151385680" w:history="1">
            <w:r w:rsidR="00F30104" w:rsidRPr="00F30104">
              <w:rPr>
                <w:rStyle w:val="Hyperlink"/>
                <w:rFonts w:ascii="Arial" w:hAnsi="Arial" w:cs="Arial"/>
                <w:noProof/>
                <w:color w:val="auto"/>
              </w:rPr>
              <w:t>Appendix B: Balance Sheet</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_Toc151385680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24</w:t>
            </w:r>
            <w:r w:rsidR="00F30104" w:rsidRPr="00F30104">
              <w:rPr>
                <w:rFonts w:ascii="Arial" w:hAnsi="Arial" w:cs="Arial"/>
                <w:noProof/>
                <w:webHidden/>
              </w:rPr>
              <w:fldChar w:fldCharType="end"/>
            </w:r>
          </w:hyperlink>
        </w:p>
        <w:p w14:paraId="4E764C7F" w14:textId="615DC7F3" w:rsidR="00F30104" w:rsidRPr="00F30104" w:rsidRDefault="00510663" w:rsidP="00F30104">
          <w:pPr>
            <w:pStyle w:val="TOC1"/>
            <w:tabs>
              <w:tab w:val="right" w:leader="dot" w:pos="9016"/>
            </w:tabs>
            <w:spacing w:after="0" w:line="360" w:lineRule="auto"/>
            <w:contextualSpacing/>
            <w:rPr>
              <w:rFonts w:ascii="Arial" w:eastAsiaTheme="minorEastAsia" w:hAnsi="Arial" w:cs="Arial"/>
              <w:noProof/>
              <w:lang/>
            </w:rPr>
          </w:pPr>
          <w:hyperlink w:anchor="_Toc151385681" w:history="1">
            <w:r w:rsidR="00F30104" w:rsidRPr="00F30104">
              <w:rPr>
                <w:rStyle w:val="Hyperlink"/>
                <w:rFonts w:ascii="Arial" w:hAnsi="Arial" w:cs="Arial"/>
                <w:noProof/>
                <w:color w:val="auto"/>
              </w:rPr>
              <w:t>Appendix C: Profit and Loss Statement</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_Toc151385681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25</w:t>
            </w:r>
            <w:r w:rsidR="00F30104" w:rsidRPr="00F30104">
              <w:rPr>
                <w:rFonts w:ascii="Arial" w:hAnsi="Arial" w:cs="Arial"/>
                <w:noProof/>
                <w:webHidden/>
              </w:rPr>
              <w:fldChar w:fldCharType="end"/>
            </w:r>
          </w:hyperlink>
        </w:p>
        <w:p w14:paraId="2B617C2E" w14:textId="77445968" w:rsidR="00F30104" w:rsidRPr="00F30104" w:rsidRDefault="00510663" w:rsidP="00F30104">
          <w:pPr>
            <w:pStyle w:val="TOC1"/>
            <w:tabs>
              <w:tab w:val="right" w:leader="dot" w:pos="9016"/>
            </w:tabs>
            <w:spacing w:after="0" w:line="360" w:lineRule="auto"/>
            <w:contextualSpacing/>
            <w:rPr>
              <w:rFonts w:ascii="Arial" w:eastAsiaTheme="minorEastAsia" w:hAnsi="Arial" w:cs="Arial"/>
              <w:noProof/>
              <w:lang/>
            </w:rPr>
          </w:pPr>
          <w:hyperlink w:anchor="_Toc151385682" w:history="1">
            <w:r w:rsidR="00F30104" w:rsidRPr="00F30104">
              <w:rPr>
                <w:rStyle w:val="Hyperlink"/>
                <w:rFonts w:ascii="Arial" w:hAnsi="Arial" w:cs="Arial"/>
                <w:noProof/>
                <w:color w:val="auto"/>
              </w:rPr>
              <w:t>Appendix D: Cash Flow Statement</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_Toc151385682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28</w:t>
            </w:r>
            <w:r w:rsidR="00F30104" w:rsidRPr="00F30104">
              <w:rPr>
                <w:rFonts w:ascii="Arial" w:hAnsi="Arial" w:cs="Arial"/>
                <w:noProof/>
                <w:webHidden/>
              </w:rPr>
              <w:fldChar w:fldCharType="end"/>
            </w:r>
          </w:hyperlink>
        </w:p>
        <w:p w14:paraId="55E5B498" w14:textId="33E3995D" w:rsidR="00F30104" w:rsidRPr="00F30104" w:rsidRDefault="00510663" w:rsidP="00F30104">
          <w:pPr>
            <w:pStyle w:val="TOC1"/>
            <w:tabs>
              <w:tab w:val="right" w:leader="dot" w:pos="9016"/>
            </w:tabs>
            <w:spacing w:after="0" w:line="360" w:lineRule="auto"/>
            <w:contextualSpacing/>
            <w:rPr>
              <w:rFonts w:ascii="Arial" w:eastAsiaTheme="minorEastAsia" w:hAnsi="Arial" w:cs="Arial"/>
              <w:noProof/>
              <w:lang/>
            </w:rPr>
          </w:pPr>
          <w:hyperlink w:anchor="_Toc151385683" w:history="1">
            <w:r w:rsidR="00F30104" w:rsidRPr="00F30104">
              <w:rPr>
                <w:rStyle w:val="Hyperlink"/>
                <w:rFonts w:ascii="Arial" w:hAnsi="Arial" w:cs="Arial"/>
                <w:noProof/>
                <w:color w:val="auto"/>
              </w:rPr>
              <w:t>Appendix E: Financial Ratios</w:t>
            </w:r>
            <w:r w:rsidR="00F30104" w:rsidRPr="00F30104">
              <w:rPr>
                <w:rFonts w:ascii="Arial" w:hAnsi="Arial" w:cs="Arial"/>
                <w:noProof/>
                <w:webHidden/>
              </w:rPr>
              <w:tab/>
            </w:r>
            <w:r w:rsidR="00F30104" w:rsidRPr="00F30104">
              <w:rPr>
                <w:rFonts w:ascii="Arial" w:hAnsi="Arial" w:cs="Arial"/>
                <w:noProof/>
                <w:webHidden/>
              </w:rPr>
              <w:fldChar w:fldCharType="begin"/>
            </w:r>
            <w:r w:rsidR="00F30104" w:rsidRPr="00F30104">
              <w:rPr>
                <w:rFonts w:ascii="Arial" w:hAnsi="Arial" w:cs="Arial"/>
                <w:noProof/>
                <w:webHidden/>
              </w:rPr>
              <w:instrText xml:space="preserve"> PAGEREF _Toc151385683 \h </w:instrText>
            </w:r>
            <w:r w:rsidR="00F30104" w:rsidRPr="00F30104">
              <w:rPr>
                <w:rFonts w:ascii="Arial" w:hAnsi="Arial" w:cs="Arial"/>
                <w:noProof/>
                <w:webHidden/>
              </w:rPr>
            </w:r>
            <w:r w:rsidR="00F30104" w:rsidRPr="00F30104">
              <w:rPr>
                <w:rFonts w:ascii="Arial" w:hAnsi="Arial" w:cs="Arial"/>
                <w:noProof/>
                <w:webHidden/>
              </w:rPr>
              <w:fldChar w:fldCharType="separate"/>
            </w:r>
            <w:r w:rsidR="00F30104">
              <w:rPr>
                <w:rFonts w:ascii="Arial" w:hAnsi="Arial" w:cs="Arial"/>
                <w:noProof/>
                <w:webHidden/>
              </w:rPr>
              <w:t>30</w:t>
            </w:r>
            <w:r w:rsidR="00F30104" w:rsidRPr="00F30104">
              <w:rPr>
                <w:rFonts w:ascii="Arial" w:hAnsi="Arial" w:cs="Arial"/>
                <w:noProof/>
                <w:webHidden/>
              </w:rPr>
              <w:fldChar w:fldCharType="end"/>
            </w:r>
          </w:hyperlink>
        </w:p>
        <w:p w14:paraId="140E8A60" w14:textId="684E1AC9" w:rsidR="005204AF" w:rsidRPr="00F30104" w:rsidRDefault="005204AF" w:rsidP="00F30104">
          <w:pPr>
            <w:spacing w:after="0" w:line="360" w:lineRule="auto"/>
            <w:contextualSpacing/>
            <w:jc w:val="both"/>
            <w:rPr>
              <w:rFonts w:ascii="Arial" w:hAnsi="Arial" w:cs="Arial"/>
            </w:rPr>
          </w:pPr>
          <w:r w:rsidRPr="00F30104">
            <w:rPr>
              <w:rFonts w:ascii="Arial" w:hAnsi="Arial" w:cs="Arial"/>
              <w:b/>
              <w:bCs/>
              <w:noProof/>
            </w:rPr>
            <w:fldChar w:fldCharType="end"/>
          </w:r>
        </w:p>
      </w:sdtContent>
    </w:sdt>
    <w:p w14:paraId="71B1484F" w14:textId="77777777" w:rsidR="005204AF" w:rsidRPr="00F30104" w:rsidRDefault="005204AF" w:rsidP="00F30104">
      <w:pPr>
        <w:spacing w:after="0" w:line="360" w:lineRule="auto"/>
        <w:contextualSpacing/>
        <w:jc w:val="both"/>
        <w:rPr>
          <w:rFonts w:ascii="Arial" w:eastAsiaTheme="majorEastAsia" w:hAnsi="Arial" w:cs="Arial"/>
          <w:lang w:val="en-GB"/>
        </w:rPr>
      </w:pPr>
      <w:r w:rsidRPr="00F30104">
        <w:rPr>
          <w:rFonts w:ascii="Arial" w:hAnsi="Arial" w:cs="Arial"/>
          <w:lang w:val="en-GB"/>
        </w:rPr>
        <w:br w:type="page"/>
      </w:r>
    </w:p>
    <w:p w14:paraId="07406DA3" w14:textId="72B70114" w:rsidR="003F45D0" w:rsidRPr="00F30104" w:rsidRDefault="00087265" w:rsidP="00F30104">
      <w:pPr>
        <w:pStyle w:val="Heading1"/>
        <w:jc w:val="both"/>
      </w:pPr>
      <w:bookmarkStart w:id="1" w:name="_Toc151385664"/>
      <w:r w:rsidRPr="00F30104">
        <w:lastRenderedPageBreak/>
        <w:t>2</w:t>
      </w:r>
      <w:r w:rsidR="003F45D0" w:rsidRPr="00F30104">
        <w:t xml:space="preserve"> </w:t>
      </w:r>
      <w:r w:rsidR="00531A14" w:rsidRPr="00F30104">
        <w:t>Introduction</w:t>
      </w:r>
      <w:bookmarkEnd w:id="1"/>
      <w:r w:rsidR="00531A14" w:rsidRPr="00F30104">
        <w:t xml:space="preserve"> </w:t>
      </w:r>
    </w:p>
    <w:p w14:paraId="0FD60B61" w14:textId="524FACC1" w:rsidR="00531A14" w:rsidRPr="00F30104" w:rsidRDefault="00626F0C" w:rsidP="00F30104">
      <w:pPr>
        <w:spacing w:after="0" w:line="360" w:lineRule="auto"/>
        <w:contextualSpacing/>
        <w:jc w:val="both"/>
        <w:rPr>
          <w:rFonts w:ascii="Arial" w:hAnsi="Arial" w:cs="Arial"/>
          <w:lang w:val="en-GB"/>
        </w:rPr>
      </w:pPr>
      <w:r w:rsidRPr="00F30104">
        <w:rPr>
          <w:rFonts w:ascii="Arial" w:hAnsi="Arial" w:cs="Arial"/>
          <w:lang w:val="en-GB"/>
        </w:rPr>
        <w:t>Mark and Spencer, a highly esteemed British multinational retailer, boasts a remarkable legacy that traces its roots all the way back to the year 1884. The company</w:t>
      </w:r>
      <w:r w:rsidR="00EF621A" w:rsidRPr="00F30104">
        <w:rPr>
          <w:rFonts w:ascii="Arial" w:hAnsi="Arial" w:cs="Arial"/>
          <w:lang w:val="en-GB"/>
        </w:rPr>
        <w:t>’</w:t>
      </w:r>
      <w:r w:rsidRPr="00F30104">
        <w:rPr>
          <w:rFonts w:ascii="Arial" w:hAnsi="Arial" w:cs="Arial"/>
          <w:lang w:val="en-GB"/>
        </w:rPr>
        <w:t xml:space="preserve">s primary focus lies within the retail sector, where it offers a diverse array of products encompassing clothing, food, and home goods. M&amp;S is renowned for its steadfast dedication to maintaining high standards of quality and sustainability. The main competitors in your industry include </w:t>
      </w:r>
      <w:r w:rsidR="004D51A3" w:rsidRPr="00F30104">
        <w:rPr>
          <w:rFonts w:ascii="Arial" w:hAnsi="Arial" w:cs="Arial"/>
          <w:lang w:val="en-GB"/>
        </w:rPr>
        <w:t>John Lewis</w:t>
      </w:r>
      <w:r w:rsidRPr="00F30104">
        <w:rPr>
          <w:rFonts w:ascii="Arial" w:hAnsi="Arial" w:cs="Arial"/>
          <w:lang w:val="en-GB"/>
        </w:rPr>
        <w:t>, a prominent UK-based retail</w:t>
      </w:r>
      <w:r w:rsidR="00D7428A" w:rsidRPr="00F30104">
        <w:rPr>
          <w:rFonts w:ascii="Arial" w:hAnsi="Arial" w:cs="Arial"/>
          <w:lang w:val="en-GB"/>
        </w:rPr>
        <w:t xml:space="preserve"> with a significant presence </w:t>
      </w:r>
      <w:r w:rsidR="005B4104" w:rsidRPr="00F30104">
        <w:rPr>
          <w:rFonts w:ascii="Arial" w:hAnsi="Arial" w:cs="Arial"/>
          <w:lang w:val="en-GB"/>
        </w:rPr>
        <w:t>in various sectors</w:t>
      </w:r>
      <w:r w:rsidRPr="00F30104">
        <w:rPr>
          <w:rFonts w:ascii="Arial" w:hAnsi="Arial" w:cs="Arial"/>
          <w:lang w:val="en-GB"/>
        </w:rPr>
        <w:t>.</w:t>
      </w:r>
      <w:r w:rsidR="00CC1BC3" w:rsidRPr="00F30104">
        <w:rPr>
          <w:rFonts w:ascii="Arial" w:hAnsi="Arial" w:cs="Arial"/>
          <w:lang w:val="en-GB"/>
        </w:rPr>
        <w:t xml:space="preserve"> Next PLC, a British clothing and home goods retailer, often competes with M&amp;S in the fashion industry. Lastly, but certainly not least, Amazon is a global e-commerce giant that competes in various retail categories, particularly online</w:t>
      </w:r>
      <w:r w:rsidR="007C762A" w:rsidRPr="00F30104">
        <w:rPr>
          <w:rFonts w:ascii="Arial" w:hAnsi="Arial" w:cs="Arial"/>
          <w:lang w:val="en-GB"/>
        </w:rPr>
        <w:t xml:space="preserve"> (Mark &amp; </w:t>
      </w:r>
      <w:r w:rsidR="00EF13A2" w:rsidRPr="00F30104">
        <w:rPr>
          <w:rFonts w:ascii="Arial" w:hAnsi="Arial" w:cs="Arial"/>
          <w:lang w:val="en-GB"/>
        </w:rPr>
        <w:t>Spencer,</w:t>
      </w:r>
      <w:r w:rsidR="007C762A" w:rsidRPr="00F30104">
        <w:rPr>
          <w:rFonts w:ascii="Arial" w:hAnsi="Arial" w:cs="Arial"/>
          <w:lang w:val="en-GB"/>
        </w:rPr>
        <w:t xml:space="preserve"> 2023).</w:t>
      </w:r>
    </w:p>
    <w:p w14:paraId="0E1355E4" w14:textId="3AEB8DD2" w:rsidR="00E309DA" w:rsidRPr="00F30104" w:rsidRDefault="0033649B" w:rsidP="00F30104">
      <w:pPr>
        <w:spacing w:after="0" w:line="360" w:lineRule="auto"/>
        <w:contextualSpacing/>
        <w:jc w:val="both"/>
        <w:rPr>
          <w:rFonts w:ascii="Arial" w:hAnsi="Arial" w:cs="Arial"/>
          <w:lang w:val="en-GB"/>
        </w:rPr>
      </w:pPr>
      <w:r w:rsidRPr="00F30104">
        <w:rPr>
          <w:rFonts w:ascii="Arial" w:hAnsi="Arial" w:cs="Arial"/>
          <w:lang w:val="en-GB"/>
        </w:rPr>
        <w:t>Marks &amp; Spencer boasts a substantial presence in the global market, with a portfolio of more than 150 locations that are either fully or partially owned. Furthermore, the company possesses a substantial network of more than 200 strategically located franchisees spanning across Europe, the Middle East, and Asia. The company has also established a dedication to addressing environmental concerns. The company has implemented an ethical programme aimed at minimising environmental effect, fostering the development of sustainable products, and enhancing the well-being of employees, clients, suppliers, and the local community (M</w:t>
      </w:r>
      <w:r w:rsidR="006B1721" w:rsidRPr="00F30104">
        <w:rPr>
          <w:rFonts w:ascii="Arial" w:hAnsi="Arial" w:cs="Arial"/>
          <w:lang w:val="en-GB"/>
        </w:rPr>
        <w:t xml:space="preserve">ark </w:t>
      </w:r>
      <w:r w:rsidRPr="00F30104">
        <w:rPr>
          <w:rFonts w:ascii="Arial" w:hAnsi="Arial" w:cs="Arial"/>
          <w:lang w:val="en-GB"/>
        </w:rPr>
        <w:t>&amp;</w:t>
      </w:r>
      <w:r w:rsidR="009A0D2C" w:rsidRPr="00F30104">
        <w:rPr>
          <w:rFonts w:ascii="Arial" w:hAnsi="Arial" w:cs="Arial"/>
          <w:lang w:val="en-GB"/>
        </w:rPr>
        <w:t xml:space="preserve"> </w:t>
      </w:r>
      <w:r w:rsidRPr="00F30104">
        <w:rPr>
          <w:rFonts w:ascii="Arial" w:hAnsi="Arial" w:cs="Arial"/>
          <w:lang w:val="en-GB"/>
        </w:rPr>
        <w:t>S</w:t>
      </w:r>
      <w:r w:rsidR="009A0D2C" w:rsidRPr="00F30104">
        <w:rPr>
          <w:rFonts w:ascii="Arial" w:hAnsi="Arial" w:cs="Arial"/>
          <w:lang w:val="en-GB"/>
        </w:rPr>
        <w:t>pencer</w:t>
      </w:r>
      <w:r w:rsidRPr="00F30104">
        <w:rPr>
          <w:rFonts w:ascii="Arial" w:hAnsi="Arial" w:cs="Arial"/>
          <w:lang w:val="en-GB"/>
        </w:rPr>
        <w:t>, 2023).</w:t>
      </w:r>
    </w:p>
    <w:p w14:paraId="434020FD" w14:textId="7FD709A8" w:rsidR="0033649B" w:rsidRPr="00F30104" w:rsidRDefault="000E5C0D" w:rsidP="00F30104">
      <w:pPr>
        <w:spacing w:after="0" w:line="360" w:lineRule="auto"/>
        <w:contextualSpacing/>
        <w:jc w:val="both"/>
        <w:rPr>
          <w:rFonts w:ascii="Arial" w:hAnsi="Arial" w:cs="Arial"/>
          <w:lang w:val="en-GB"/>
        </w:rPr>
      </w:pPr>
      <w:r w:rsidRPr="00F30104">
        <w:rPr>
          <w:rFonts w:ascii="Arial" w:hAnsi="Arial" w:cs="Arial"/>
          <w:noProof/>
          <w:lang w:val="en-GB"/>
        </w:rPr>
        <w:drawing>
          <wp:inline distT="0" distB="0" distL="0" distR="0" wp14:anchorId="2C9D9A41" wp14:editId="1106EFFB">
            <wp:extent cx="5686425" cy="3600450"/>
            <wp:effectExtent l="0" t="0" r="0" b="19050"/>
            <wp:docPr id="40669347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E9670AF" w14:textId="245776AB" w:rsidR="00236ADD" w:rsidRPr="00F30104" w:rsidRDefault="00F64CFC" w:rsidP="00F30104">
      <w:pPr>
        <w:spacing w:after="0" w:line="360" w:lineRule="auto"/>
        <w:contextualSpacing/>
        <w:jc w:val="center"/>
        <w:rPr>
          <w:rFonts w:ascii="Arial" w:hAnsi="Arial" w:cs="Arial"/>
          <w:lang w:val="en-GB"/>
        </w:rPr>
      </w:pPr>
      <w:r w:rsidRPr="00F30104">
        <w:rPr>
          <w:rFonts w:ascii="Arial" w:hAnsi="Arial" w:cs="Arial"/>
          <w:lang w:val="en-GB"/>
        </w:rPr>
        <w:t>Infographic</w:t>
      </w:r>
      <w:r w:rsidR="00236ADD" w:rsidRPr="00F30104">
        <w:rPr>
          <w:rFonts w:ascii="Arial" w:hAnsi="Arial" w:cs="Arial"/>
          <w:lang w:val="en-GB"/>
        </w:rPr>
        <w:t xml:space="preserve"> 1</w:t>
      </w:r>
    </w:p>
    <w:p w14:paraId="4ECB6A3F" w14:textId="13F2AB13" w:rsidR="003F45D0" w:rsidRPr="00F30104" w:rsidRDefault="00087265" w:rsidP="00F30104">
      <w:pPr>
        <w:pStyle w:val="Heading1"/>
      </w:pPr>
      <w:bookmarkStart w:id="2" w:name="_Toc151385665"/>
      <w:r w:rsidRPr="00F30104">
        <w:lastRenderedPageBreak/>
        <w:t>3</w:t>
      </w:r>
      <w:r w:rsidR="00BE2E06" w:rsidRPr="00F30104">
        <w:t xml:space="preserve"> </w:t>
      </w:r>
      <w:r w:rsidR="00823D9A" w:rsidRPr="00F30104">
        <w:t>F</w:t>
      </w:r>
      <w:r w:rsidR="00BE2E06" w:rsidRPr="00F30104">
        <w:t xml:space="preserve">inancial performance analysis and </w:t>
      </w:r>
      <w:r w:rsidR="00EF4AC7" w:rsidRPr="00F30104">
        <w:t>findings</w:t>
      </w:r>
      <w:bookmarkEnd w:id="2"/>
    </w:p>
    <w:p w14:paraId="0E270815" w14:textId="6E401B30" w:rsidR="001A0E65" w:rsidRPr="00F30104" w:rsidRDefault="001A0E65" w:rsidP="00F30104">
      <w:pPr>
        <w:spacing w:after="0" w:line="360" w:lineRule="auto"/>
        <w:contextualSpacing/>
        <w:jc w:val="both"/>
        <w:rPr>
          <w:rFonts w:ascii="Arial" w:hAnsi="Arial" w:cs="Arial"/>
          <w:lang w:val="en-GB"/>
        </w:rPr>
      </w:pPr>
      <w:r w:rsidRPr="00F30104">
        <w:rPr>
          <w:rFonts w:ascii="Arial" w:hAnsi="Arial" w:cs="Arial"/>
          <w:lang w:val="en-GB"/>
        </w:rPr>
        <w:t>The concept of financial performance pertains to the degree to which a firm can optimise the value derived from the income and profits generated by its primary business operations. The phrase can also serve as a broad evaluation of the financial well-being of the organisation across a designated timeframe (Kenton, 2023).</w:t>
      </w:r>
    </w:p>
    <w:p w14:paraId="529FE653" w14:textId="2637562D" w:rsidR="003F3649" w:rsidRPr="00F30104" w:rsidRDefault="00C16BC5" w:rsidP="00F30104">
      <w:pPr>
        <w:spacing w:after="0" w:line="360" w:lineRule="auto"/>
        <w:contextualSpacing/>
        <w:jc w:val="both"/>
        <w:rPr>
          <w:rFonts w:ascii="Arial" w:hAnsi="Arial" w:cs="Arial"/>
          <w:lang w:val="en-GB"/>
        </w:rPr>
      </w:pPr>
      <w:r w:rsidRPr="00F30104">
        <w:rPr>
          <w:rFonts w:ascii="Arial" w:hAnsi="Arial" w:cs="Arial"/>
          <w:lang w:val="en-GB"/>
        </w:rPr>
        <w:t>Group financial performance</w:t>
      </w:r>
    </w:p>
    <w:p w14:paraId="62DEBBEE" w14:textId="5B98042B" w:rsidR="004B53A8" w:rsidRPr="00F30104" w:rsidRDefault="003F3649" w:rsidP="00F30104">
      <w:pPr>
        <w:spacing w:after="0" w:line="360" w:lineRule="auto"/>
        <w:contextualSpacing/>
        <w:jc w:val="both"/>
        <w:rPr>
          <w:rFonts w:ascii="Arial" w:hAnsi="Arial" w:cs="Arial"/>
          <w:lang w:val="en-GB"/>
        </w:rPr>
      </w:pPr>
      <w:r w:rsidRPr="00F30104">
        <w:rPr>
          <w:rFonts w:ascii="Arial" w:hAnsi="Arial" w:cs="Arial"/>
          <w:noProof/>
          <w:lang w:val="en-GB"/>
        </w:rPr>
        <w:drawing>
          <wp:inline distT="0" distB="0" distL="0" distR="0" wp14:anchorId="71E4DD21" wp14:editId="1A441D9C">
            <wp:extent cx="5486400" cy="2314575"/>
            <wp:effectExtent l="0" t="38100" r="19050" b="9525"/>
            <wp:docPr id="139466908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E208B71" w14:textId="6F82CE12" w:rsidR="002E6AC2" w:rsidRPr="00F30104" w:rsidRDefault="002E6AC2" w:rsidP="00F30104">
      <w:pPr>
        <w:spacing w:after="0" w:line="360" w:lineRule="auto"/>
        <w:contextualSpacing/>
        <w:jc w:val="center"/>
        <w:rPr>
          <w:rFonts w:ascii="Arial" w:hAnsi="Arial" w:cs="Arial"/>
          <w:lang w:val="en-GB"/>
        </w:rPr>
      </w:pPr>
      <w:r w:rsidRPr="00F30104">
        <w:rPr>
          <w:rFonts w:ascii="Arial" w:hAnsi="Arial" w:cs="Arial"/>
          <w:lang w:val="en-GB"/>
        </w:rPr>
        <w:t>Infographic 2</w:t>
      </w:r>
    </w:p>
    <w:p w14:paraId="0C71132E" w14:textId="08680D8B" w:rsidR="00B87C91" w:rsidRPr="00F30104" w:rsidRDefault="00B87C91" w:rsidP="00F30104">
      <w:pPr>
        <w:spacing w:after="0" w:line="360" w:lineRule="auto"/>
        <w:contextualSpacing/>
        <w:jc w:val="both"/>
        <w:rPr>
          <w:rFonts w:ascii="Arial" w:hAnsi="Arial" w:cs="Arial"/>
          <w:lang w:val="en-GB"/>
        </w:rPr>
      </w:pPr>
      <w:r w:rsidRPr="00F30104">
        <w:rPr>
          <w:rFonts w:ascii="Arial" w:hAnsi="Arial" w:cs="Arial"/>
          <w:lang w:val="en-GB"/>
        </w:rPr>
        <w:t xml:space="preserve">The sales figures experienced a growth of 7.1% in comparison to the previous fiscal year of 2019/20. This gain may be attributed to the rise in Food sales by 10.1%, Clothing &amp; Home sales by 3.8%, and a little decline of 0.8% in International </w:t>
      </w:r>
      <w:r w:rsidR="00370489" w:rsidRPr="00F30104">
        <w:rPr>
          <w:rFonts w:ascii="Arial" w:hAnsi="Arial" w:cs="Arial"/>
          <w:lang w:val="en-GB"/>
        </w:rPr>
        <w:t>S</w:t>
      </w:r>
      <w:r w:rsidRPr="00F30104">
        <w:rPr>
          <w:rFonts w:ascii="Arial" w:hAnsi="Arial" w:cs="Arial"/>
          <w:lang w:val="en-GB"/>
        </w:rPr>
        <w:t>ales.</w:t>
      </w:r>
    </w:p>
    <w:p w14:paraId="12F68141" w14:textId="25BDEF2C" w:rsidR="00514FBF" w:rsidRPr="00F30104" w:rsidRDefault="00B87C91" w:rsidP="00F30104">
      <w:pPr>
        <w:spacing w:after="0" w:line="360" w:lineRule="auto"/>
        <w:contextualSpacing/>
        <w:jc w:val="both"/>
        <w:rPr>
          <w:rFonts w:ascii="Arial" w:hAnsi="Arial" w:cs="Arial"/>
          <w:lang w:val="en-GB"/>
        </w:rPr>
      </w:pPr>
      <w:r w:rsidRPr="00F30104">
        <w:rPr>
          <w:rFonts w:ascii="Arial" w:hAnsi="Arial" w:cs="Arial"/>
          <w:lang w:val="en-GB"/>
        </w:rPr>
        <w:t>The recorded statutory revenue for the given time amounted to £10,885.1 million, reflecting a growth of 6.9% compared to the previous fiscal year of 2019/20. The Group achieved an adjusted profit before tax of £522.9m and a statutory profit before tax of £391.7m.</w:t>
      </w:r>
    </w:p>
    <w:p w14:paraId="0A9EDB53" w14:textId="734FAD66" w:rsidR="00514FBF" w:rsidRPr="00F30104" w:rsidRDefault="00514FBF" w:rsidP="00F30104">
      <w:pPr>
        <w:spacing w:after="0" w:line="360" w:lineRule="auto"/>
        <w:contextualSpacing/>
        <w:jc w:val="both"/>
        <w:rPr>
          <w:rFonts w:ascii="Arial" w:hAnsi="Arial" w:cs="Arial"/>
          <w:lang w:val="en-GB"/>
        </w:rPr>
      </w:pPr>
      <w:r w:rsidRPr="00F30104">
        <w:rPr>
          <w:rFonts w:ascii="Arial" w:hAnsi="Arial" w:cs="Arial"/>
          <w:lang w:val="en-GB"/>
        </w:rPr>
        <w:t>According to the research conducted by M&amp;S (2023), an absence of dividend distribution has been seen throughout the course of the previous three years. Nevertheless, the business has exhibited its commitment to upholding a resilient financial statement, engaging in investments to facilitate future growth, and endeavouring to restore a credit rating that meets the standards of investment grade. However, considering the improved operational performance, strengthened financial position, and higher credit indicators of M&amp;S, the decision has been made to reintroduce a prudent dividend to the company</w:t>
      </w:r>
      <w:r w:rsidR="00EF621A" w:rsidRPr="00F30104">
        <w:rPr>
          <w:rFonts w:ascii="Arial" w:hAnsi="Arial" w:cs="Arial"/>
          <w:lang w:val="en-GB"/>
        </w:rPr>
        <w:t>’</w:t>
      </w:r>
      <w:r w:rsidRPr="00F30104">
        <w:rPr>
          <w:rFonts w:ascii="Arial" w:hAnsi="Arial" w:cs="Arial"/>
          <w:lang w:val="en-GB"/>
        </w:rPr>
        <w:t>s shareholders. The initiation of the dividend will begin with an interim payment of 1p per share. The disbursement of the payment is scheduled on 12 January 2024 and will specifically be allocated to shareholders who are recorded on the register of members as of the end of business on 17 November 2023.</w:t>
      </w:r>
    </w:p>
    <w:p w14:paraId="171B0CA9" w14:textId="2E1A49C1" w:rsidR="00367B93" w:rsidRPr="00F30104" w:rsidRDefault="00367B93" w:rsidP="00F30104">
      <w:pPr>
        <w:spacing w:after="0" w:line="360" w:lineRule="auto"/>
        <w:contextualSpacing/>
        <w:jc w:val="both"/>
        <w:rPr>
          <w:rFonts w:ascii="Arial" w:hAnsi="Arial" w:cs="Arial"/>
          <w:lang w:val="en-GB"/>
        </w:rPr>
      </w:pPr>
      <w:r w:rsidRPr="00F30104">
        <w:rPr>
          <w:rFonts w:ascii="Arial" w:hAnsi="Arial" w:cs="Arial"/>
          <w:noProof/>
          <w:lang w:val="en-GB"/>
        </w:rPr>
        <w:lastRenderedPageBreak/>
        <w:drawing>
          <wp:inline distT="0" distB="0" distL="0" distR="0" wp14:anchorId="418C2E08" wp14:editId="2F1DB6AB">
            <wp:extent cx="5731510" cy="2981325"/>
            <wp:effectExtent l="0" t="0" r="2540" b="9525"/>
            <wp:docPr id="2119863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863768" name="Picture 2119863768"/>
                    <pic:cNvPicPr/>
                  </pic:nvPicPr>
                  <pic:blipFill>
                    <a:blip r:embed="rId21">
                      <a:extLst>
                        <a:ext uri="{28A0092B-C50C-407E-A947-70E740481C1C}">
                          <a14:useLocalDpi xmlns:a14="http://schemas.microsoft.com/office/drawing/2010/main" val="0"/>
                        </a:ext>
                      </a:extLst>
                    </a:blip>
                    <a:stretch>
                      <a:fillRect/>
                    </a:stretch>
                  </pic:blipFill>
                  <pic:spPr>
                    <a:xfrm>
                      <a:off x="0" y="0"/>
                      <a:ext cx="5731510" cy="2981325"/>
                    </a:xfrm>
                    <a:prstGeom prst="rect">
                      <a:avLst/>
                    </a:prstGeom>
                  </pic:spPr>
                </pic:pic>
              </a:graphicData>
            </a:graphic>
          </wp:inline>
        </w:drawing>
      </w:r>
    </w:p>
    <w:p w14:paraId="61305F73" w14:textId="6A89FD29" w:rsidR="00367B93" w:rsidRPr="00F30104" w:rsidRDefault="00367B93" w:rsidP="00F30104">
      <w:pPr>
        <w:spacing w:after="0" w:line="360" w:lineRule="auto"/>
        <w:contextualSpacing/>
        <w:jc w:val="center"/>
        <w:rPr>
          <w:rFonts w:ascii="Arial" w:hAnsi="Arial" w:cs="Arial"/>
          <w:lang w:val="en-GB"/>
        </w:rPr>
      </w:pPr>
      <w:r w:rsidRPr="00F30104">
        <w:rPr>
          <w:rFonts w:ascii="Arial" w:hAnsi="Arial" w:cs="Arial"/>
          <w:lang w:val="en-GB"/>
        </w:rPr>
        <w:t>Infographic 3 Share price last five years M&amp;S</w:t>
      </w:r>
    </w:p>
    <w:p w14:paraId="3A2F443E" w14:textId="50916CFE" w:rsidR="00367B93" w:rsidRPr="00F30104" w:rsidRDefault="00367B93" w:rsidP="00F30104">
      <w:pPr>
        <w:spacing w:after="0" w:line="360" w:lineRule="auto"/>
        <w:contextualSpacing/>
        <w:jc w:val="center"/>
        <w:rPr>
          <w:rFonts w:ascii="Arial" w:hAnsi="Arial" w:cs="Arial"/>
          <w:lang w:val="en-GB"/>
        </w:rPr>
      </w:pPr>
      <w:r w:rsidRPr="00F30104">
        <w:rPr>
          <w:rFonts w:ascii="Arial" w:hAnsi="Arial" w:cs="Arial"/>
          <w:lang w:val="en-GB"/>
        </w:rPr>
        <w:t>Source: LSE</w:t>
      </w:r>
      <w:r w:rsidR="0050179F" w:rsidRPr="00F30104">
        <w:rPr>
          <w:rFonts w:ascii="Arial" w:hAnsi="Arial" w:cs="Arial"/>
          <w:lang w:val="en-GB"/>
        </w:rPr>
        <w:t xml:space="preserve"> (2023)</w:t>
      </w:r>
    </w:p>
    <w:p w14:paraId="406C3EBB" w14:textId="77BAED42" w:rsidR="0050179F" w:rsidRPr="00F30104" w:rsidRDefault="00C96CDB" w:rsidP="00F30104">
      <w:pPr>
        <w:spacing w:after="0" w:line="360" w:lineRule="auto"/>
        <w:contextualSpacing/>
        <w:jc w:val="both"/>
        <w:rPr>
          <w:rFonts w:ascii="Arial" w:hAnsi="Arial" w:cs="Arial"/>
          <w:lang w:val="en-GB"/>
        </w:rPr>
      </w:pPr>
      <w:r w:rsidRPr="00F30104">
        <w:rPr>
          <w:rFonts w:ascii="Arial" w:hAnsi="Arial" w:cs="Arial"/>
          <w:lang w:val="en-GB"/>
        </w:rPr>
        <w:t xml:space="preserve">Based on the findings of the London Stock Exchange (2023), there has been a notable volatility in share prices, with a reduction observed over the past year. </w:t>
      </w:r>
      <w:r w:rsidR="00887F08" w:rsidRPr="00F30104">
        <w:rPr>
          <w:rFonts w:ascii="Arial" w:hAnsi="Arial" w:cs="Arial"/>
          <w:lang w:val="en-GB"/>
        </w:rPr>
        <w:t>Nevertheless, while conducting a comparative analysis with the performance observed in 2019, there exists substantiating indications of a favourable recuperation, now recorded at 254.20, denoting a decline of 13% in relation to the preceding fiscal year.</w:t>
      </w:r>
    </w:p>
    <w:p w14:paraId="560783D7" w14:textId="192B84F9" w:rsidR="00B87C91" w:rsidRPr="00F30104" w:rsidRDefault="00514FBF" w:rsidP="00F30104">
      <w:pPr>
        <w:spacing w:after="0" w:line="360" w:lineRule="auto"/>
        <w:contextualSpacing/>
        <w:jc w:val="both"/>
        <w:rPr>
          <w:rFonts w:ascii="Arial" w:hAnsi="Arial" w:cs="Arial"/>
          <w:lang w:val="en-GB"/>
        </w:rPr>
      </w:pPr>
      <w:r w:rsidRPr="00F30104">
        <w:rPr>
          <w:rFonts w:ascii="Arial" w:hAnsi="Arial" w:cs="Arial"/>
          <w:lang w:val="en-GB"/>
        </w:rPr>
        <w:t>The utilisation of financial ratio analysis is an essential approach in assessing the financial statements of a firm, facilitating the recognition of both advantageous and disadvantageous trends in the company</w:t>
      </w:r>
      <w:r w:rsidR="00EF621A" w:rsidRPr="00F30104">
        <w:rPr>
          <w:rFonts w:ascii="Arial" w:hAnsi="Arial" w:cs="Arial"/>
          <w:lang w:val="en-GB"/>
        </w:rPr>
        <w:t>’</w:t>
      </w:r>
      <w:r w:rsidRPr="00F30104">
        <w:rPr>
          <w:rFonts w:ascii="Arial" w:hAnsi="Arial" w:cs="Arial"/>
          <w:lang w:val="en-GB"/>
        </w:rPr>
        <w:t>s performance over a specified duration.</w:t>
      </w:r>
      <w:r w:rsidRPr="00F30104">
        <w:rPr>
          <w:rFonts w:ascii="Arial" w:hAnsi="Arial" w:cs="Arial"/>
        </w:rPr>
        <w:t xml:space="preserve"> </w:t>
      </w:r>
      <w:r w:rsidRPr="00F30104">
        <w:rPr>
          <w:rFonts w:ascii="Arial" w:hAnsi="Arial" w:cs="Arial"/>
          <w:lang w:val="en-GB"/>
        </w:rPr>
        <w:t>The primary aim of this study is to do a thorough analysis of the financial performance of Mark &amp; Spencer. A multitude of financial ratios are produced from diverse facets of a company</w:t>
      </w:r>
      <w:r w:rsidR="00EF621A" w:rsidRPr="00F30104">
        <w:rPr>
          <w:rFonts w:ascii="Arial" w:hAnsi="Arial" w:cs="Arial"/>
          <w:lang w:val="en-GB"/>
        </w:rPr>
        <w:t>’</w:t>
      </w:r>
      <w:r w:rsidRPr="00F30104">
        <w:rPr>
          <w:rFonts w:ascii="Arial" w:hAnsi="Arial" w:cs="Arial"/>
          <w:lang w:val="en-GB"/>
        </w:rPr>
        <w:t>s profitability. Profitability is undeniably a vital criterion that investors consider when making investment decisions.</w:t>
      </w:r>
      <w:r w:rsidRPr="00F30104">
        <w:rPr>
          <w:rFonts w:ascii="Arial" w:hAnsi="Arial" w:cs="Arial"/>
        </w:rPr>
        <w:t xml:space="preserve"> </w:t>
      </w:r>
      <w:r w:rsidRPr="00F30104">
        <w:rPr>
          <w:rFonts w:ascii="Arial" w:hAnsi="Arial" w:cs="Arial"/>
          <w:lang w:val="en-GB"/>
        </w:rPr>
        <w:t>As per Fraser</w:t>
      </w:r>
      <w:r w:rsidR="00EF621A" w:rsidRPr="00F30104">
        <w:rPr>
          <w:rFonts w:ascii="Arial" w:hAnsi="Arial" w:cs="Arial"/>
          <w:lang w:val="en-GB"/>
        </w:rPr>
        <w:t>’</w:t>
      </w:r>
      <w:r w:rsidRPr="00F30104">
        <w:rPr>
          <w:rFonts w:ascii="Arial" w:hAnsi="Arial" w:cs="Arial"/>
          <w:lang w:val="en-GB"/>
        </w:rPr>
        <w:t>s research in 1990, it is crucial for a business to achieve its purpose by ensuring that investors are satisfied with the outcomes.</w:t>
      </w:r>
    </w:p>
    <w:p w14:paraId="0697A6D3" w14:textId="77777777" w:rsidR="00887F08" w:rsidRPr="00F30104" w:rsidRDefault="00B254F2" w:rsidP="00F30104">
      <w:pPr>
        <w:pStyle w:val="Heading2"/>
      </w:pPr>
      <w:bookmarkStart w:id="3" w:name="_Toc151385666"/>
      <w:r w:rsidRPr="00F30104">
        <w:t>3.1</w:t>
      </w:r>
      <w:r w:rsidR="00266206" w:rsidRPr="00F30104">
        <w:t xml:space="preserve"> Profitability ratio</w:t>
      </w:r>
      <w:bookmarkEnd w:id="3"/>
      <w:r w:rsidR="00266206" w:rsidRPr="00F30104">
        <w:t xml:space="preserve"> </w:t>
      </w:r>
    </w:p>
    <w:p w14:paraId="039AA5D8" w14:textId="1CAFB596" w:rsidR="0014211A" w:rsidRPr="00F30104" w:rsidRDefault="00416E03" w:rsidP="00F30104">
      <w:pPr>
        <w:spacing w:after="0" w:line="360" w:lineRule="auto"/>
        <w:contextualSpacing/>
        <w:jc w:val="both"/>
        <w:rPr>
          <w:rFonts w:ascii="Arial" w:hAnsi="Arial" w:cs="Arial"/>
          <w:lang w:val="en-GB"/>
        </w:rPr>
      </w:pPr>
      <w:r w:rsidRPr="00F30104">
        <w:rPr>
          <w:rFonts w:ascii="Arial" w:hAnsi="Arial" w:cs="Arial"/>
          <w:lang w:val="en-GB"/>
        </w:rPr>
        <w:t>Profitability ratios are an essential collection of financial measures that serve a critical function in assessing a company</w:t>
      </w:r>
      <w:r w:rsidR="00EF621A" w:rsidRPr="00F30104">
        <w:rPr>
          <w:rFonts w:ascii="Arial" w:hAnsi="Arial" w:cs="Arial"/>
          <w:lang w:val="en-GB"/>
        </w:rPr>
        <w:t>’</w:t>
      </w:r>
      <w:r w:rsidRPr="00F30104">
        <w:rPr>
          <w:rFonts w:ascii="Arial" w:hAnsi="Arial" w:cs="Arial"/>
          <w:lang w:val="en-GB"/>
        </w:rPr>
        <w:t>s potential to create profits relative to its revenue, operating expenses, balance sheet assets, or shareholders</w:t>
      </w:r>
      <w:r w:rsidR="00EF621A" w:rsidRPr="00F30104">
        <w:rPr>
          <w:rFonts w:ascii="Arial" w:hAnsi="Arial" w:cs="Arial"/>
          <w:lang w:val="en-GB"/>
        </w:rPr>
        <w:t>’</w:t>
      </w:r>
      <w:r w:rsidRPr="00F30104">
        <w:rPr>
          <w:rFonts w:ascii="Arial" w:hAnsi="Arial" w:cs="Arial"/>
          <w:lang w:val="en-GB"/>
        </w:rPr>
        <w:t xml:space="preserve"> equity within a specified timeframe. These ratios offer significant insights into the financial performance of a firm and can aid in making well-informed investing decisions.</w:t>
      </w:r>
      <w:r w:rsidR="00B20657" w:rsidRPr="00F30104">
        <w:rPr>
          <w:rFonts w:ascii="Arial" w:hAnsi="Arial" w:cs="Arial"/>
        </w:rPr>
        <w:t xml:space="preserve"> </w:t>
      </w:r>
      <w:r w:rsidR="00B20657" w:rsidRPr="00F30104">
        <w:rPr>
          <w:rFonts w:ascii="Arial" w:hAnsi="Arial" w:cs="Arial"/>
          <w:lang w:val="en-GB"/>
        </w:rPr>
        <w:t>These measures are well acknowledged and commonly employed in the field of financial analysis. The company</w:t>
      </w:r>
      <w:r w:rsidR="00EF621A" w:rsidRPr="00F30104">
        <w:rPr>
          <w:rFonts w:ascii="Arial" w:hAnsi="Arial" w:cs="Arial"/>
          <w:lang w:val="en-GB"/>
        </w:rPr>
        <w:t>’</w:t>
      </w:r>
      <w:r w:rsidR="00B20657" w:rsidRPr="00F30104">
        <w:rPr>
          <w:rFonts w:ascii="Arial" w:hAnsi="Arial" w:cs="Arial"/>
          <w:lang w:val="en-GB"/>
        </w:rPr>
        <w:t>s outstanding financial performance is demonstrated by its notable profit figures (Hayes, 2023).</w:t>
      </w:r>
      <w:r w:rsidR="001D1B89" w:rsidRPr="00F30104">
        <w:rPr>
          <w:rFonts w:ascii="Arial" w:hAnsi="Arial" w:cs="Arial"/>
        </w:rPr>
        <w:t xml:space="preserve"> </w:t>
      </w:r>
      <w:r w:rsidR="001D1B89" w:rsidRPr="00F30104">
        <w:rPr>
          <w:rFonts w:ascii="Arial" w:hAnsi="Arial" w:cs="Arial"/>
          <w:lang w:val="en-GB"/>
        </w:rPr>
        <w:t xml:space="preserve">There are five commonly utilised </w:t>
      </w:r>
      <w:r w:rsidR="001D1B89" w:rsidRPr="00F30104">
        <w:rPr>
          <w:rFonts w:ascii="Arial" w:hAnsi="Arial" w:cs="Arial"/>
          <w:lang w:val="en-GB"/>
        </w:rPr>
        <w:lastRenderedPageBreak/>
        <w:t>profitability ratios in financial analysis. The three options that have been mentioned are highly esteemed and widely recognised as the most popular choices in the financial realm.</w:t>
      </w:r>
    </w:p>
    <w:p w14:paraId="752F9738" w14:textId="57B51EB7" w:rsidR="002C190D" w:rsidRPr="00F30104" w:rsidRDefault="00D765BB" w:rsidP="00F30104">
      <w:pPr>
        <w:spacing w:after="0" w:line="360" w:lineRule="auto"/>
        <w:contextualSpacing/>
        <w:jc w:val="both"/>
        <w:rPr>
          <w:rFonts w:ascii="Arial" w:hAnsi="Arial" w:cs="Arial"/>
          <w:lang w:val="en-GB"/>
        </w:rPr>
      </w:pPr>
      <w:r w:rsidRPr="00F30104">
        <w:rPr>
          <w:rFonts w:ascii="Arial" w:hAnsi="Arial" w:cs="Arial"/>
          <w:lang w:val="en-GB"/>
        </w:rPr>
        <w:t xml:space="preserve">Return on Capital employed </w:t>
      </w:r>
      <w:r w:rsidR="009D57EF" w:rsidRPr="00F30104">
        <w:rPr>
          <w:rFonts w:ascii="Arial" w:hAnsi="Arial" w:cs="Arial"/>
          <w:lang w:val="en-GB"/>
        </w:rPr>
        <w:t xml:space="preserve">M&amp;S </w:t>
      </w:r>
    </w:p>
    <w:tbl>
      <w:tblPr>
        <w:tblStyle w:val="TableGrid"/>
        <w:tblW w:w="9200" w:type="dxa"/>
        <w:tblLook w:val="04A0" w:firstRow="1" w:lastRow="0" w:firstColumn="1" w:lastColumn="0" w:noHBand="0" w:noVBand="1"/>
      </w:tblPr>
      <w:tblGrid>
        <w:gridCol w:w="5524"/>
        <w:gridCol w:w="3676"/>
      </w:tblGrid>
      <w:tr w:rsidR="00F30104" w:rsidRPr="00F30104" w14:paraId="03318FF2" w14:textId="77777777" w:rsidTr="0014211A">
        <w:trPr>
          <w:trHeight w:val="261"/>
        </w:trPr>
        <w:tc>
          <w:tcPr>
            <w:tcW w:w="5524" w:type="dxa"/>
          </w:tcPr>
          <w:p w14:paraId="0866AF4D" w14:textId="66A00F1C" w:rsidR="00AD5306" w:rsidRPr="00F30104" w:rsidRDefault="00AD5306" w:rsidP="00F30104">
            <w:pPr>
              <w:spacing w:line="360" w:lineRule="auto"/>
              <w:contextualSpacing/>
              <w:jc w:val="both"/>
              <w:rPr>
                <w:rFonts w:ascii="Arial" w:hAnsi="Arial" w:cs="Arial"/>
                <w:lang w:val="en-GB"/>
              </w:rPr>
            </w:pPr>
            <w:r w:rsidRPr="00F30104">
              <w:rPr>
                <w:rFonts w:ascii="Arial" w:hAnsi="Arial" w:cs="Arial"/>
                <w:lang w:val="en-GB"/>
              </w:rPr>
              <w:t>2023</w:t>
            </w:r>
          </w:p>
        </w:tc>
        <w:tc>
          <w:tcPr>
            <w:tcW w:w="3676" w:type="dxa"/>
          </w:tcPr>
          <w:p w14:paraId="665FC5BB" w14:textId="51D358AD" w:rsidR="00AD5306" w:rsidRPr="00F30104" w:rsidRDefault="003C3BD8" w:rsidP="00F30104">
            <w:pPr>
              <w:spacing w:line="360" w:lineRule="auto"/>
              <w:contextualSpacing/>
              <w:jc w:val="both"/>
              <w:rPr>
                <w:rFonts w:ascii="Arial" w:hAnsi="Arial" w:cs="Arial"/>
                <w:lang w:val="en-GB"/>
              </w:rPr>
            </w:pPr>
            <w:r w:rsidRPr="00F30104">
              <w:rPr>
                <w:rFonts w:ascii="Arial" w:hAnsi="Arial" w:cs="Arial"/>
                <w:lang w:val="en-GB"/>
              </w:rPr>
              <w:t>7.44</w:t>
            </w:r>
          </w:p>
        </w:tc>
      </w:tr>
      <w:tr w:rsidR="00F30104" w:rsidRPr="00F30104" w14:paraId="1D738AD3" w14:textId="77777777" w:rsidTr="0014211A">
        <w:trPr>
          <w:trHeight w:val="246"/>
        </w:trPr>
        <w:tc>
          <w:tcPr>
            <w:tcW w:w="5524" w:type="dxa"/>
          </w:tcPr>
          <w:p w14:paraId="1F6BF7CE" w14:textId="24C372ED" w:rsidR="00AD5306" w:rsidRPr="00F30104" w:rsidRDefault="00AD5306" w:rsidP="00F30104">
            <w:pPr>
              <w:spacing w:line="360" w:lineRule="auto"/>
              <w:contextualSpacing/>
              <w:jc w:val="both"/>
              <w:rPr>
                <w:rFonts w:ascii="Arial" w:hAnsi="Arial" w:cs="Arial"/>
                <w:lang w:val="en-GB"/>
              </w:rPr>
            </w:pPr>
            <w:r w:rsidRPr="00F30104">
              <w:rPr>
                <w:rFonts w:ascii="Arial" w:hAnsi="Arial" w:cs="Arial"/>
                <w:lang w:val="en-GB"/>
              </w:rPr>
              <w:t>2022</w:t>
            </w:r>
          </w:p>
        </w:tc>
        <w:tc>
          <w:tcPr>
            <w:tcW w:w="3676" w:type="dxa"/>
          </w:tcPr>
          <w:p w14:paraId="0C0E58DB" w14:textId="0BF0C5FD" w:rsidR="00AD5306" w:rsidRPr="00F30104" w:rsidRDefault="003C3BD8" w:rsidP="00F30104">
            <w:pPr>
              <w:spacing w:line="360" w:lineRule="auto"/>
              <w:contextualSpacing/>
              <w:jc w:val="both"/>
              <w:rPr>
                <w:rFonts w:ascii="Arial" w:hAnsi="Arial" w:cs="Arial"/>
                <w:lang w:val="en-GB"/>
              </w:rPr>
            </w:pPr>
            <w:r w:rsidRPr="00F30104">
              <w:rPr>
                <w:rFonts w:ascii="Arial" w:hAnsi="Arial" w:cs="Arial"/>
                <w:lang w:val="en-GB"/>
              </w:rPr>
              <w:t>5.54</w:t>
            </w:r>
          </w:p>
        </w:tc>
      </w:tr>
      <w:tr w:rsidR="00F30104" w:rsidRPr="00F30104" w14:paraId="7C625A28" w14:textId="77777777" w:rsidTr="0014211A">
        <w:trPr>
          <w:trHeight w:val="261"/>
        </w:trPr>
        <w:tc>
          <w:tcPr>
            <w:tcW w:w="5524" w:type="dxa"/>
          </w:tcPr>
          <w:p w14:paraId="74A17C24" w14:textId="7EC5A799" w:rsidR="00AD5306" w:rsidRPr="00F30104" w:rsidRDefault="00AD5306" w:rsidP="00F30104">
            <w:pPr>
              <w:spacing w:line="360" w:lineRule="auto"/>
              <w:contextualSpacing/>
              <w:jc w:val="both"/>
              <w:rPr>
                <w:rFonts w:ascii="Arial" w:hAnsi="Arial" w:cs="Arial"/>
                <w:lang w:val="en-GB"/>
              </w:rPr>
            </w:pPr>
            <w:r w:rsidRPr="00F30104">
              <w:rPr>
                <w:rFonts w:ascii="Arial" w:hAnsi="Arial" w:cs="Arial"/>
                <w:lang w:val="en-GB"/>
              </w:rPr>
              <w:t>2021</w:t>
            </w:r>
          </w:p>
        </w:tc>
        <w:tc>
          <w:tcPr>
            <w:tcW w:w="3676" w:type="dxa"/>
          </w:tcPr>
          <w:p w14:paraId="722479D2" w14:textId="49CC65AD" w:rsidR="00AD5306" w:rsidRPr="00F30104" w:rsidRDefault="003C3BD8" w:rsidP="00F30104">
            <w:pPr>
              <w:spacing w:line="360" w:lineRule="auto"/>
              <w:contextualSpacing/>
              <w:jc w:val="both"/>
              <w:rPr>
                <w:rFonts w:ascii="Arial" w:hAnsi="Arial" w:cs="Arial"/>
                <w:lang w:val="en-GB"/>
              </w:rPr>
            </w:pPr>
            <w:r w:rsidRPr="00F30104">
              <w:rPr>
                <w:rFonts w:ascii="Arial" w:hAnsi="Arial" w:cs="Arial"/>
                <w:lang w:val="en-GB"/>
              </w:rPr>
              <w:t>-3.30</w:t>
            </w:r>
          </w:p>
        </w:tc>
      </w:tr>
      <w:tr w:rsidR="00F30104" w:rsidRPr="00F30104" w14:paraId="6BDE4482" w14:textId="77777777" w:rsidTr="0014211A">
        <w:trPr>
          <w:trHeight w:val="246"/>
        </w:trPr>
        <w:tc>
          <w:tcPr>
            <w:tcW w:w="5524" w:type="dxa"/>
          </w:tcPr>
          <w:p w14:paraId="6429ADE2" w14:textId="35DCFD7E" w:rsidR="00AD5306" w:rsidRPr="00F30104" w:rsidRDefault="00AD5306" w:rsidP="00F30104">
            <w:pPr>
              <w:spacing w:line="360" w:lineRule="auto"/>
              <w:contextualSpacing/>
              <w:jc w:val="both"/>
              <w:rPr>
                <w:rFonts w:ascii="Arial" w:hAnsi="Arial" w:cs="Arial"/>
                <w:lang w:val="en-GB"/>
              </w:rPr>
            </w:pPr>
            <w:r w:rsidRPr="00F30104">
              <w:rPr>
                <w:rFonts w:ascii="Arial" w:hAnsi="Arial" w:cs="Arial"/>
                <w:lang w:val="en-GB"/>
              </w:rPr>
              <w:t>2020</w:t>
            </w:r>
          </w:p>
        </w:tc>
        <w:tc>
          <w:tcPr>
            <w:tcW w:w="3676" w:type="dxa"/>
          </w:tcPr>
          <w:p w14:paraId="2E00B2F6" w14:textId="73D34162" w:rsidR="00AD5306" w:rsidRPr="00F30104" w:rsidRDefault="007050F0" w:rsidP="00F30104">
            <w:pPr>
              <w:spacing w:line="360" w:lineRule="auto"/>
              <w:contextualSpacing/>
              <w:jc w:val="both"/>
              <w:rPr>
                <w:rFonts w:ascii="Arial" w:hAnsi="Arial" w:cs="Arial"/>
                <w:lang w:val="en-GB"/>
              </w:rPr>
            </w:pPr>
            <w:r w:rsidRPr="00F30104">
              <w:rPr>
                <w:rFonts w:ascii="Arial" w:hAnsi="Arial" w:cs="Arial"/>
                <w:lang w:val="en-GB"/>
              </w:rPr>
              <w:t>0.81</w:t>
            </w:r>
          </w:p>
        </w:tc>
      </w:tr>
      <w:tr w:rsidR="00F30104" w:rsidRPr="00F30104" w14:paraId="58FC6BD8" w14:textId="77777777" w:rsidTr="0014211A">
        <w:trPr>
          <w:trHeight w:val="261"/>
        </w:trPr>
        <w:tc>
          <w:tcPr>
            <w:tcW w:w="5524" w:type="dxa"/>
          </w:tcPr>
          <w:p w14:paraId="48F71175" w14:textId="49E1058B" w:rsidR="00AD5306" w:rsidRPr="00F30104" w:rsidRDefault="00AD5306" w:rsidP="00F30104">
            <w:pPr>
              <w:spacing w:line="360" w:lineRule="auto"/>
              <w:contextualSpacing/>
              <w:jc w:val="both"/>
              <w:rPr>
                <w:rFonts w:ascii="Arial" w:hAnsi="Arial" w:cs="Arial"/>
                <w:lang w:val="en-GB"/>
              </w:rPr>
            </w:pPr>
            <w:r w:rsidRPr="00F30104">
              <w:rPr>
                <w:rFonts w:ascii="Arial" w:hAnsi="Arial" w:cs="Arial"/>
                <w:lang w:val="en-GB"/>
              </w:rPr>
              <w:t>2019</w:t>
            </w:r>
          </w:p>
        </w:tc>
        <w:tc>
          <w:tcPr>
            <w:tcW w:w="3676" w:type="dxa"/>
          </w:tcPr>
          <w:p w14:paraId="49659470" w14:textId="0F7015D8" w:rsidR="00AD5306" w:rsidRPr="00F30104" w:rsidRDefault="007050F0" w:rsidP="00F30104">
            <w:pPr>
              <w:spacing w:line="360" w:lineRule="auto"/>
              <w:contextualSpacing/>
              <w:jc w:val="both"/>
              <w:rPr>
                <w:rFonts w:ascii="Arial" w:hAnsi="Arial" w:cs="Arial"/>
                <w:lang w:val="en-GB"/>
              </w:rPr>
            </w:pPr>
            <w:r w:rsidRPr="00F30104">
              <w:rPr>
                <w:rFonts w:ascii="Arial" w:hAnsi="Arial" w:cs="Arial"/>
                <w:lang w:val="en-GB"/>
              </w:rPr>
              <w:t>1.70</w:t>
            </w:r>
          </w:p>
        </w:tc>
      </w:tr>
    </w:tbl>
    <w:p w14:paraId="52AEC523" w14:textId="3501FE46" w:rsidR="001F4C5D" w:rsidRPr="00F30104" w:rsidRDefault="0014211A" w:rsidP="00F30104">
      <w:pPr>
        <w:spacing w:after="0" w:line="360" w:lineRule="auto"/>
        <w:contextualSpacing/>
        <w:jc w:val="both"/>
        <w:rPr>
          <w:rFonts w:ascii="Arial" w:hAnsi="Arial" w:cs="Arial"/>
          <w:lang w:val="en-GB"/>
        </w:rPr>
      </w:pPr>
      <w:r w:rsidRPr="00F30104">
        <w:rPr>
          <w:rFonts w:ascii="Arial" w:hAnsi="Arial" w:cs="Arial"/>
          <w:lang w:val="en-GB"/>
        </w:rPr>
        <w:t>Table 1</w:t>
      </w:r>
    </w:p>
    <w:p w14:paraId="34CCDCFA" w14:textId="4CDC8232" w:rsidR="0014211A" w:rsidRPr="00F30104" w:rsidRDefault="0014211A" w:rsidP="00F30104">
      <w:pPr>
        <w:spacing w:after="0" w:line="360" w:lineRule="auto"/>
        <w:contextualSpacing/>
        <w:jc w:val="both"/>
        <w:rPr>
          <w:rFonts w:ascii="Arial" w:hAnsi="Arial" w:cs="Arial"/>
          <w:lang w:val="en-GB"/>
        </w:rPr>
      </w:pPr>
      <w:r w:rsidRPr="00F30104">
        <w:rPr>
          <w:rFonts w:ascii="Arial" w:hAnsi="Arial" w:cs="Arial"/>
          <w:noProof/>
          <w:lang w:val="en-GB"/>
        </w:rPr>
        <w:drawing>
          <wp:inline distT="0" distB="0" distL="0" distR="0" wp14:anchorId="427B83FE" wp14:editId="71CF6001">
            <wp:extent cx="5848350" cy="1809750"/>
            <wp:effectExtent l="0" t="0" r="0" b="0"/>
            <wp:docPr id="50526213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9549B74" w14:textId="12FA26B4" w:rsidR="00310846" w:rsidRPr="00F30104" w:rsidRDefault="00516156" w:rsidP="00F30104">
      <w:pPr>
        <w:spacing w:after="0" w:line="360" w:lineRule="auto"/>
        <w:contextualSpacing/>
        <w:jc w:val="both"/>
        <w:rPr>
          <w:rFonts w:ascii="Arial" w:hAnsi="Arial" w:cs="Arial"/>
          <w:lang w:val="en-GB"/>
        </w:rPr>
      </w:pPr>
      <w:r w:rsidRPr="00F30104">
        <w:rPr>
          <w:rFonts w:ascii="Arial" w:hAnsi="Arial" w:cs="Arial"/>
          <w:lang w:val="en-GB"/>
        </w:rPr>
        <w:t>Figure 1</w:t>
      </w:r>
    </w:p>
    <w:p w14:paraId="7F16B7A2" w14:textId="79996DA0" w:rsidR="002949D4" w:rsidRPr="00F30104" w:rsidRDefault="002C42F8" w:rsidP="00F30104">
      <w:pPr>
        <w:spacing w:after="0" w:line="360" w:lineRule="auto"/>
        <w:contextualSpacing/>
        <w:jc w:val="both"/>
        <w:rPr>
          <w:rFonts w:ascii="Arial" w:hAnsi="Arial" w:cs="Arial"/>
          <w:lang w:val="en-GB"/>
        </w:rPr>
      </w:pPr>
      <w:r w:rsidRPr="00F30104">
        <w:rPr>
          <w:rFonts w:ascii="Arial" w:hAnsi="Arial" w:cs="Arial"/>
          <w:lang w:val="en-GB"/>
        </w:rPr>
        <w:t>In 2019, M&amp;S successfully achieved a Return on Capital Employed (ROCE) of 1.7%. This signifies that for every pound of capital invested in the business, M&amp;S generated a profit return of 1.7 pence. In 2020, the value experienced a decline</w:t>
      </w:r>
      <w:r w:rsidR="0015411C" w:rsidRPr="00F30104">
        <w:rPr>
          <w:rFonts w:ascii="Arial" w:hAnsi="Arial" w:cs="Arial"/>
          <w:lang w:val="en-GB"/>
        </w:rPr>
        <w:t xml:space="preserve"> of 52.94%</w:t>
      </w:r>
      <w:r w:rsidRPr="00F30104">
        <w:rPr>
          <w:rFonts w:ascii="Arial" w:hAnsi="Arial" w:cs="Arial"/>
          <w:lang w:val="en-GB"/>
        </w:rPr>
        <w:t xml:space="preserve"> to 0.8</w:t>
      </w:r>
      <w:r w:rsidR="00FB7764" w:rsidRPr="00F30104">
        <w:rPr>
          <w:rFonts w:ascii="Arial" w:hAnsi="Arial" w:cs="Arial"/>
          <w:lang w:val="en-GB"/>
        </w:rPr>
        <w:t>%</w:t>
      </w:r>
      <w:r w:rsidRPr="00F30104">
        <w:rPr>
          <w:rFonts w:ascii="Arial" w:hAnsi="Arial" w:cs="Arial"/>
          <w:lang w:val="en-GB"/>
        </w:rPr>
        <w:t xml:space="preserve">, which is notably lower than the preceding year. Based on the information provided, it appears that M&amp;S encountered difficulties in generating profits from its invested capital. These challenges were further amplified by external factors such as the Covid-19 pandemic, which had a significant impact on the retail sector. In the fiscal year 2021, M&amp;S experienced a negative </w:t>
      </w:r>
      <w:r w:rsidR="009E48AA" w:rsidRPr="00F30104">
        <w:rPr>
          <w:rFonts w:ascii="Arial" w:hAnsi="Arial" w:cs="Arial"/>
          <w:lang w:val="en-GB"/>
        </w:rPr>
        <w:t xml:space="preserve">of 512.5% </w:t>
      </w:r>
      <w:r w:rsidRPr="00F30104">
        <w:rPr>
          <w:rFonts w:ascii="Arial" w:hAnsi="Arial" w:cs="Arial"/>
          <w:lang w:val="en-GB"/>
        </w:rPr>
        <w:t>Return on Capital Employed (ROCE) of -3.3</w:t>
      </w:r>
      <w:r w:rsidR="00FB7764" w:rsidRPr="00F30104">
        <w:rPr>
          <w:rFonts w:ascii="Arial" w:hAnsi="Arial" w:cs="Arial"/>
          <w:lang w:val="en-GB"/>
        </w:rPr>
        <w:t>%</w:t>
      </w:r>
      <w:r w:rsidRPr="00F30104">
        <w:rPr>
          <w:rFonts w:ascii="Arial" w:hAnsi="Arial" w:cs="Arial"/>
          <w:lang w:val="en-GB"/>
        </w:rPr>
        <w:t>. This indicates that the company</w:t>
      </w:r>
      <w:r w:rsidR="00EF621A" w:rsidRPr="00F30104">
        <w:rPr>
          <w:rFonts w:ascii="Arial" w:hAnsi="Arial" w:cs="Arial"/>
          <w:lang w:val="en-GB"/>
        </w:rPr>
        <w:t>’</w:t>
      </w:r>
      <w:r w:rsidRPr="00F30104">
        <w:rPr>
          <w:rFonts w:ascii="Arial" w:hAnsi="Arial" w:cs="Arial"/>
          <w:lang w:val="en-GB"/>
        </w:rPr>
        <w:t>s profitability fell short of covering its capital expenses.</w:t>
      </w:r>
      <w:r w:rsidR="003C36F9" w:rsidRPr="00F30104">
        <w:rPr>
          <w:rFonts w:ascii="Arial" w:hAnsi="Arial" w:cs="Arial"/>
        </w:rPr>
        <w:t xml:space="preserve"> </w:t>
      </w:r>
      <w:r w:rsidR="003C36F9" w:rsidRPr="00F30104">
        <w:rPr>
          <w:rFonts w:ascii="Arial" w:hAnsi="Arial" w:cs="Arial"/>
          <w:lang w:val="en-GB"/>
        </w:rPr>
        <w:t>In the year 2022, there was an improvement</w:t>
      </w:r>
      <w:r w:rsidR="00A263F5" w:rsidRPr="00F30104">
        <w:rPr>
          <w:rFonts w:ascii="Arial" w:hAnsi="Arial" w:cs="Arial"/>
          <w:lang w:val="en-GB"/>
        </w:rPr>
        <w:t xml:space="preserve"> of -110%</w:t>
      </w:r>
      <w:r w:rsidR="003C36F9" w:rsidRPr="00F30104">
        <w:rPr>
          <w:rFonts w:ascii="Arial" w:hAnsi="Arial" w:cs="Arial"/>
          <w:lang w:val="en-GB"/>
        </w:rPr>
        <w:t xml:space="preserve"> in the Return on Capital Employed (ROCE) to 5.5</w:t>
      </w:r>
      <w:r w:rsidR="0039251B" w:rsidRPr="00F30104">
        <w:rPr>
          <w:rFonts w:ascii="Arial" w:hAnsi="Arial" w:cs="Arial"/>
          <w:lang w:val="en-GB"/>
        </w:rPr>
        <w:t>%,</w:t>
      </w:r>
      <w:r w:rsidR="00CB6303" w:rsidRPr="00F30104">
        <w:rPr>
          <w:rFonts w:ascii="Arial" w:hAnsi="Arial" w:cs="Arial"/>
          <w:lang w:val="en-GB"/>
        </w:rPr>
        <w:t xml:space="preserve"> </w:t>
      </w:r>
      <w:r w:rsidR="003C36F9" w:rsidRPr="00F30104">
        <w:rPr>
          <w:rFonts w:ascii="Arial" w:hAnsi="Arial" w:cs="Arial"/>
          <w:lang w:val="en-GB"/>
        </w:rPr>
        <w:t>indicating a good trend. Marks &amp; Spencer successfully achieved a return that surpassed its capital costs. M</w:t>
      </w:r>
      <w:r w:rsidR="00F02FDF" w:rsidRPr="00F30104">
        <w:rPr>
          <w:rFonts w:ascii="Arial" w:hAnsi="Arial" w:cs="Arial"/>
          <w:lang w:val="en-GB"/>
        </w:rPr>
        <w:t>&amp;S</w:t>
      </w:r>
      <w:r w:rsidR="003C36F9" w:rsidRPr="00F30104">
        <w:rPr>
          <w:rFonts w:ascii="Arial" w:hAnsi="Arial" w:cs="Arial"/>
          <w:lang w:val="en-GB"/>
        </w:rPr>
        <w:t xml:space="preserve"> has implemented many strategies aimed at improving profitability and capital efficiency. These strategies primarily focus on effective cost management and revenue growth. In the year 2023, there is projected growth</w:t>
      </w:r>
      <w:r w:rsidR="00CB6303" w:rsidRPr="00F30104">
        <w:rPr>
          <w:rFonts w:ascii="Arial" w:hAnsi="Arial" w:cs="Arial"/>
          <w:lang w:val="en-GB"/>
        </w:rPr>
        <w:t xml:space="preserve"> of 34.54%</w:t>
      </w:r>
      <w:r w:rsidR="003C36F9" w:rsidRPr="00F30104">
        <w:rPr>
          <w:rFonts w:ascii="Arial" w:hAnsi="Arial" w:cs="Arial"/>
          <w:lang w:val="en-GB"/>
        </w:rPr>
        <w:t xml:space="preserve"> to reach a value of </w:t>
      </w:r>
      <w:r w:rsidR="0039251B" w:rsidRPr="00F30104">
        <w:rPr>
          <w:rFonts w:ascii="Arial" w:hAnsi="Arial" w:cs="Arial"/>
          <w:lang w:val="en-GB"/>
        </w:rPr>
        <w:t>7.4,</w:t>
      </w:r>
      <w:r w:rsidR="00CB6303" w:rsidRPr="00F30104">
        <w:rPr>
          <w:rFonts w:ascii="Arial" w:hAnsi="Arial" w:cs="Arial"/>
          <w:lang w:val="en-GB"/>
        </w:rPr>
        <w:t xml:space="preserve"> </w:t>
      </w:r>
      <w:r w:rsidR="003C36F9" w:rsidRPr="00F30104">
        <w:rPr>
          <w:rFonts w:ascii="Arial" w:hAnsi="Arial" w:cs="Arial"/>
          <w:lang w:val="en-GB"/>
        </w:rPr>
        <w:t>which signifies a favourable trend leading to improved capital utilisation and profitability.</w:t>
      </w:r>
    </w:p>
    <w:p w14:paraId="2E417E38" w14:textId="320534B7" w:rsidR="00563333" w:rsidRPr="00F30104" w:rsidRDefault="00D3291A" w:rsidP="00F30104">
      <w:pPr>
        <w:spacing w:after="0" w:line="360" w:lineRule="auto"/>
        <w:contextualSpacing/>
        <w:jc w:val="both"/>
        <w:rPr>
          <w:rFonts w:ascii="Arial" w:hAnsi="Arial" w:cs="Arial"/>
          <w:lang w:val="en-GB"/>
        </w:rPr>
      </w:pPr>
      <w:r w:rsidRPr="00F30104">
        <w:rPr>
          <w:rFonts w:ascii="Arial" w:hAnsi="Arial" w:cs="Arial"/>
          <w:lang w:val="en-GB"/>
        </w:rPr>
        <w:t xml:space="preserve">In terms of the impact of the pandemic and subsequent lockdowns, it appears that M&amp;S has faced greater challenges due to its significant involvement in the retail sector during 2020 and </w:t>
      </w:r>
      <w:r w:rsidRPr="00F30104">
        <w:rPr>
          <w:rFonts w:ascii="Arial" w:hAnsi="Arial" w:cs="Arial"/>
          <w:lang w:val="en-GB"/>
        </w:rPr>
        <w:lastRenderedPageBreak/>
        <w:t xml:space="preserve">2021. </w:t>
      </w:r>
      <w:r w:rsidR="00EF0711" w:rsidRPr="00F30104">
        <w:rPr>
          <w:rFonts w:ascii="Arial" w:hAnsi="Arial" w:cs="Arial"/>
          <w:lang w:val="en-GB"/>
        </w:rPr>
        <w:t>It is important to acknowledge that Marks &amp; Spencer has demonstrated a favourable upward trend in its performance during the previous two years</w:t>
      </w:r>
      <w:r w:rsidR="00C96CDB" w:rsidRPr="00F30104">
        <w:rPr>
          <w:rFonts w:ascii="Arial" w:hAnsi="Arial" w:cs="Arial"/>
          <w:lang w:val="en-GB"/>
        </w:rPr>
        <w:t>.</w:t>
      </w:r>
    </w:p>
    <w:p w14:paraId="3E9E282A" w14:textId="2C8F70F1" w:rsidR="001B5E50" w:rsidRPr="00F30104" w:rsidRDefault="001B5E50" w:rsidP="00F30104">
      <w:pPr>
        <w:spacing w:after="0" w:line="360" w:lineRule="auto"/>
        <w:contextualSpacing/>
        <w:jc w:val="both"/>
        <w:rPr>
          <w:rFonts w:ascii="Arial" w:hAnsi="Arial" w:cs="Arial"/>
          <w:lang w:val="en-GB"/>
        </w:rPr>
      </w:pPr>
      <w:r w:rsidRPr="00F30104">
        <w:rPr>
          <w:rFonts w:ascii="Arial" w:hAnsi="Arial" w:cs="Arial"/>
          <w:lang w:val="en-GB"/>
        </w:rPr>
        <w:t xml:space="preserve">Gross Margin </w:t>
      </w:r>
      <w:r w:rsidR="00F54F6D" w:rsidRPr="00F30104">
        <w:rPr>
          <w:rFonts w:ascii="Arial" w:hAnsi="Arial" w:cs="Arial"/>
          <w:lang w:val="en-GB"/>
        </w:rPr>
        <w:t>M&amp;S</w:t>
      </w:r>
    </w:p>
    <w:tbl>
      <w:tblPr>
        <w:tblStyle w:val="TableGrid"/>
        <w:tblW w:w="0" w:type="auto"/>
        <w:tblLook w:val="04A0" w:firstRow="1" w:lastRow="0" w:firstColumn="1" w:lastColumn="0" w:noHBand="0" w:noVBand="1"/>
      </w:tblPr>
      <w:tblGrid>
        <w:gridCol w:w="4508"/>
        <w:gridCol w:w="4508"/>
      </w:tblGrid>
      <w:tr w:rsidR="00F30104" w:rsidRPr="00F30104" w14:paraId="4D639D60" w14:textId="77777777" w:rsidTr="00F54F6D">
        <w:tc>
          <w:tcPr>
            <w:tcW w:w="4508" w:type="dxa"/>
          </w:tcPr>
          <w:p w14:paraId="0E1B6568" w14:textId="198C2FF6" w:rsidR="00F54F6D" w:rsidRPr="00F30104" w:rsidRDefault="00F54F6D" w:rsidP="00F30104">
            <w:pPr>
              <w:spacing w:line="360" w:lineRule="auto"/>
              <w:contextualSpacing/>
              <w:jc w:val="both"/>
              <w:rPr>
                <w:rFonts w:ascii="Arial" w:hAnsi="Arial" w:cs="Arial"/>
                <w:lang w:val="en-GB"/>
              </w:rPr>
            </w:pPr>
            <w:r w:rsidRPr="00F30104">
              <w:rPr>
                <w:rFonts w:ascii="Arial" w:hAnsi="Arial" w:cs="Arial"/>
                <w:lang w:val="en-GB"/>
              </w:rPr>
              <w:t>2023</w:t>
            </w:r>
          </w:p>
        </w:tc>
        <w:tc>
          <w:tcPr>
            <w:tcW w:w="4508" w:type="dxa"/>
          </w:tcPr>
          <w:p w14:paraId="4C0DEDAB" w14:textId="4FC3084B" w:rsidR="00F54F6D" w:rsidRPr="00F30104" w:rsidRDefault="008922D9" w:rsidP="00F30104">
            <w:pPr>
              <w:spacing w:line="360" w:lineRule="auto"/>
              <w:contextualSpacing/>
              <w:jc w:val="both"/>
              <w:rPr>
                <w:rFonts w:ascii="Arial" w:hAnsi="Arial" w:cs="Arial"/>
                <w:lang w:val="en-GB"/>
              </w:rPr>
            </w:pPr>
            <w:r w:rsidRPr="00F30104">
              <w:rPr>
                <w:rFonts w:ascii="Arial" w:hAnsi="Arial" w:cs="Arial"/>
                <w:lang w:val="en-GB"/>
              </w:rPr>
              <w:t>34.74</w:t>
            </w:r>
          </w:p>
        </w:tc>
      </w:tr>
      <w:tr w:rsidR="00F30104" w:rsidRPr="00F30104" w14:paraId="1720D698" w14:textId="77777777" w:rsidTr="00F54F6D">
        <w:tc>
          <w:tcPr>
            <w:tcW w:w="4508" w:type="dxa"/>
          </w:tcPr>
          <w:p w14:paraId="01994711" w14:textId="23FAC592" w:rsidR="00F54F6D" w:rsidRPr="00F30104" w:rsidRDefault="00F54F6D" w:rsidP="00F30104">
            <w:pPr>
              <w:spacing w:line="360" w:lineRule="auto"/>
              <w:contextualSpacing/>
              <w:jc w:val="both"/>
              <w:rPr>
                <w:rFonts w:ascii="Arial" w:hAnsi="Arial" w:cs="Arial"/>
                <w:lang w:val="en-GB"/>
              </w:rPr>
            </w:pPr>
            <w:r w:rsidRPr="00F30104">
              <w:rPr>
                <w:rFonts w:ascii="Arial" w:hAnsi="Arial" w:cs="Arial"/>
                <w:lang w:val="en-GB"/>
              </w:rPr>
              <w:t>2022</w:t>
            </w:r>
          </w:p>
        </w:tc>
        <w:tc>
          <w:tcPr>
            <w:tcW w:w="4508" w:type="dxa"/>
          </w:tcPr>
          <w:p w14:paraId="70480CD2" w14:textId="617E0FEF" w:rsidR="00F54F6D" w:rsidRPr="00F30104" w:rsidRDefault="007430C1" w:rsidP="00F30104">
            <w:pPr>
              <w:spacing w:line="360" w:lineRule="auto"/>
              <w:contextualSpacing/>
              <w:jc w:val="both"/>
              <w:rPr>
                <w:rFonts w:ascii="Arial" w:hAnsi="Arial" w:cs="Arial"/>
                <w:lang w:val="en-GB"/>
              </w:rPr>
            </w:pPr>
            <w:r w:rsidRPr="00F30104">
              <w:rPr>
                <w:rFonts w:ascii="Arial" w:hAnsi="Arial" w:cs="Arial"/>
                <w:lang w:val="en-GB"/>
              </w:rPr>
              <w:t>34.4</w:t>
            </w:r>
          </w:p>
        </w:tc>
      </w:tr>
      <w:tr w:rsidR="00F30104" w:rsidRPr="00F30104" w14:paraId="1CA8B4CB" w14:textId="77777777" w:rsidTr="00F54F6D">
        <w:tc>
          <w:tcPr>
            <w:tcW w:w="4508" w:type="dxa"/>
          </w:tcPr>
          <w:p w14:paraId="61D53F70" w14:textId="3D8EF92F" w:rsidR="00F54F6D" w:rsidRPr="00F30104" w:rsidRDefault="00F54F6D" w:rsidP="00F30104">
            <w:pPr>
              <w:spacing w:line="360" w:lineRule="auto"/>
              <w:contextualSpacing/>
              <w:jc w:val="both"/>
              <w:rPr>
                <w:rFonts w:ascii="Arial" w:hAnsi="Arial" w:cs="Arial"/>
                <w:lang w:val="en-GB"/>
              </w:rPr>
            </w:pPr>
            <w:r w:rsidRPr="00F30104">
              <w:rPr>
                <w:rFonts w:ascii="Arial" w:hAnsi="Arial" w:cs="Arial"/>
                <w:lang w:val="en-GB"/>
              </w:rPr>
              <w:t>2021</w:t>
            </w:r>
          </w:p>
        </w:tc>
        <w:tc>
          <w:tcPr>
            <w:tcW w:w="4508" w:type="dxa"/>
          </w:tcPr>
          <w:p w14:paraId="4CEF8AB2" w14:textId="4F3E532D" w:rsidR="00F54F6D" w:rsidRPr="00F30104" w:rsidRDefault="007430C1" w:rsidP="00F30104">
            <w:pPr>
              <w:spacing w:line="360" w:lineRule="auto"/>
              <w:contextualSpacing/>
              <w:jc w:val="both"/>
              <w:rPr>
                <w:rFonts w:ascii="Arial" w:hAnsi="Arial" w:cs="Arial"/>
                <w:lang w:val="en-GB"/>
              </w:rPr>
            </w:pPr>
            <w:r w:rsidRPr="00F30104">
              <w:rPr>
                <w:rFonts w:ascii="Arial" w:hAnsi="Arial" w:cs="Arial"/>
                <w:lang w:val="en-GB"/>
              </w:rPr>
              <w:t>31.80</w:t>
            </w:r>
          </w:p>
        </w:tc>
      </w:tr>
      <w:tr w:rsidR="00F30104" w:rsidRPr="00F30104" w14:paraId="3453AF60" w14:textId="77777777" w:rsidTr="00F54F6D">
        <w:tc>
          <w:tcPr>
            <w:tcW w:w="4508" w:type="dxa"/>
          </w:tcPr>
          <w:p w14:paraId="0F2C9954" w14:textId="0C40D398" w:rsidR="00F54F6D" w:rsidRPr="00F30104" w:rsidRDefault="00F54F6D" w:rsidP="00F30104">
            <w:pPr>
              <w:spacing w:line="360" w:lineRule="auto"/>
              <w:contextualSpacing/>
              <w:jc w:val="both"/>
              <w:rPr>
                <w:rFonts w:ascii="Arial" w:hAnsi="Arial" w:cs="Arial"/>
                <w:lang w:val="en-GB"/>
              </w:rPr>
            </w:pPr>
            <w:r w:rsidRPr="00F30104">
              <w:rPr>
                <w:rFonts w:ascii="Arial" w:hAnsi="Arial" w:cs="Arial"/>
                <w:lang w:val="en-GB"/>
              </w:rPr>
              <w:t>2020</w:t>
            </w:r>
          </w:p>
        </w:tc>
        <w:tc>
          <w:tcPr>
            <w:tcW w:w="4508" w:type="dxa"/>
          </w:tcPr>
          <w:p w14:paraId="3D02ED3A" w14:textId="723940A8" w:rsidR="00F54F6D" w:rsidRPr="00F30104" w:rsidRDefault="007430C1" w:rsidP="00F30104">
            <w:pPr>
              <w:spacing w:line="360" w:lineRule="auto"/>
              <w:contextualSpacing/>
              <w:jc w:val="both"/>
              <w:rPr>
                <w:rFonts w:ascii="Arial" w:hAnsi="Arial" w:cs="Arial"/>
                <w:lang w:val="en-GB"/>
              </w:rPr>
            </w:pPr>
            <w:r w:rsidRPr="00F30104">
              <w:rPr>
                <w:rFonts w:ascii="Arial" w:hAnsi="Arial" w:cs="Arial"/>
                <w:lang w:val="en-GB"/>
              </w:rPr>
              <w:t>35.28</w:t>
            </w:r>
          </w:p>
        </w:tc>
      </w:tr>
      <w:tr w:rsidR="00F30104" w:rsidRPr="00F30104" w14:paraId="3184662D" w14:textId="77777777" w:rsidTr="00F54F6D">
        <w:tc>
          <w:tcPr>
            <w:tcW w:w="4508" w:type="dxa"/>
          </w:tcPr>
          <w:p w14:paraId="097BBF88" w14:textId="3C524786" w:rsidR="00F54F6D" w:rsidRPr="00F30104" w:rsidRDefault="00F54F6D" w:rsidP="00F30104">
            <w:pPr>
              <w:spacing w:line="360" w:lineRule="auto"/>
              <w:contextualSpacing/>
              <w:jc w:val="both"/>
              <w:rPr>
                <w:rFonts w:ascii="Arial" w:hAnsi="Arial" w:cs="Arial"/>
                <w:lang w:val="en-GB"/>
              </w:rPr>
            </w:pPr>
            <w:r w:rsidRPr="00F30104">
              <w:rPr>
                <w:rFonts w:ascii="Arial" w:hAnsi="Arial" w:cs="Arial"/>
                <w:lang w:val="en-GB"/>
              </w:rPr>
              <w:t>2019</w:t>
            </w:r>
          </w:p>
        </w:tc>
        <w:tc>
          <w:tcPr>
            <w:tcW w:w="4508" w:type="dxa"/>
          </w:tcPr>
          <w:p w14:paraId="6B6F8D16" w14:textId="70ADC731" w:rsidR="00F54F6D" w:rsidRPr="00F30104" w:rsidRDefault="007430C1" w:rsidP="00F30104">
            <w:pPr>
              <w:spacing w:line="360" w:lineRule="auto"/>
              <w:contextualSpacing/>
              <w:jc w:val="both"/>
              <w:rPr>
                <w:rFonts w:ascii="Arial" w:hAnsi="Arial" w:cs="Arial"/>
                <w:lang w:val="en-GB"/>
              </w:rPr>
            </w:pPr>
            <w:r w:rsidRPr="00F30104">
              <w:rPr>
                <w:rFonts w:ascii="Arial" w:hAnsi="Arial" w:cs="Arial"/>
                <w:lang w:val="en-GB"/>
              </w:rPr>
              <w:t>36.91</w:t>
            </w:r>
          </w:p>
        </w:tc>
      </w:tr>
    </w:tbl>
    <w:p w14:paraId="31436B7F" w14:textId="2C531265" w:rsidR="00F54F6D" w:rsidRPr="00F30104" w:rsidRDefault="00630684" w:rsidP="00F30104">
      <w:pPr>
        <w:spacing w:after="0" w:line="360" w:lineRule="auto"/>
        <w:contextualSpacing/>
        <w:jc w:val="both"/>
        <w:rPr>
          <w:rFonts w:ascii="Arial" w:hAnsi="Arial" w:cs="Arial"/>
          <w:lang w:val="en-GB"/>
        </w:rPr>
      </w:pPr>
      <w:r w:rsidRPr="00F30104">
        <w:rPr>
          <w:rFonts w:ascii="Arial" w:hAnsi="Arial" w:cs="Arial"/>
          <w:lang w:val="en-GB"/>
        </w:rPr>
        <w:t xml:space="preserve">Table </w:t>
      </w:r>
      <w:r w:rsidR="00887F08" w:rsidRPr="00F30104">
        <w:rPr>
          <w:rFonts w:ascii="Arial" w:hAnsi="Arial" w:cs="Arial"/>
          <w:lang w:val="en-GB"/>
        </w:rPr>
        <w:t>2</w:t>
      </w:r>
    </w:p>
    <w:p w14:paraId="3A50665D" w14:textId="30A61973" w:rsidR="00EC09B8" w:rsidRPr="00F30104" w:rsidRDefault="00EC09B8" w:rsidP="00F30104">
      <w:pPr>
        <w:spacing w:after="0" w:line="360" w:lineRule="auto"/>
        <w:contextualSpacing/>
        <w:jc w:val="both"/>
        <w:rPr>
          <w:rFonts w:ascii="Arial" w:hAnsi="Arial" w:cs="Arial"/>
          <w:lang w:val="en-GB"/>
        </w:rPr>
      </w:pPr>
      <w:r w:rsidRPr="00F30104">
        <w:rPr>
          <w:rFonts w:ascii="Arial" w:hAnsi="Arial" w:cs="Arial"/>
          <w:noProof/>
          <w:lang w:val="en-GB"/>
        </w:rPr>
        <w:drawing>
          <wp:inline distT="0" distB="0" distL="0" distR="0" wp14:anchorId="6F2B267E" wp14:editId="1BC658D9">
            <wp:extent cx="5867400" cy="1581150"/>
            <wp:effectExtent l="0" t="0" r="0" b="0"/>
            <wp:docPr id="172711719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1CE589B" w14:textId="400E7226" w:rsidR="00D462CE" w:rsidRPr="00F30104" w:rsidRDefault="00D462CE" w:rsidP="00F30104">
      <w:pPr>
        <w:spacing w:after="0" w:line="360" w:lineRule="auto"/>
        <w:contextualSpacing/>
        <w:jc w:val="both"/>
        <w:rPr>
          <w:rFonts w:ascii="Arial" w:hAnsi="Arial" w:cs="Arial"/>
          <w:lang w:val="en-GB"/>
        </w:rPr>
      </w:pPr>
      <w:r w:rsidRPr="00F30104">
        <w:rPr>
          <w:rFonts w:ascii="Arial" w:hAnsi="Arial" w:cs="Arial"/>
          <w:lang w:val="en-GB"/>
        </w:rPr>
        <w:t>Figure 2</w:t>
      </w:r>
    </w:p>
    <w:p w14:paraId="33826D6E" w14:textId="03FEAD03" w:rsidR="00D8492B" w:rsidRPr="00F30104" w:rsidRDefault="00CE62E6" w:rsidP="00F30104">
      <w:pPr>
        <w:spacing w:after="0" w:line="360" w:lineRule="auto"/>
        <w:contextualSpacing/>
        <w:jc w:val="both"/>
        <w:rPr>
          <w:rFonts w:ascii="Arial" w:hAnsi="Arial" w:cs="Arial"/>
          <w:lang w:val="en-GB"/>
        </w:rPr>
      </w:pPr>
      <w:r w:rsidRPr="00F30104">
        <w:rPr>
          <w:rFonts w:ascii="Arial" w:hAnsi="Arial" w:cs="Arial"/>
          <w:lang w:val="en-GB"/>
        </w:rPr>
        <w:t>During the period spanning from 2019 to 2021, Marks &amp; Spencer (M&amp;S) witnessed a decline</w:t>
      </w:r>
      <w:r w:rsidR="003D534A" w:rsidRPr="00F30104">
        <w:rPr>
          <w:rFonts w:ascii="Arial" w:hAnsi="Arial" w:cs="Arial"/>
          <w:lang w:val="en-GB"/>
        </w:rPr>
        <w:t xml:space="preserve"> of 9.86%</w:t>
      </w:r>
      <w:r w:rsidRPr="00F30104">
        <w:rPr>
          <w:rFonts w:ascii="Arial" w:hAnsi="Arial" w:cs="Arial"/>
          <w:lang w:val="en-GB"/>
        </w:rPr>
        <w:t xml:space="preserve"> in its performance, with figures dropping from 36.91 to 31.8. This decline has raised apprehensions regarding the company</w:t>
      </w:r>
      <w:r w:rsidR="00EF621A" w:rsidRPr="00F30104">
        <w:rPr>
          <w:rFonts w:ascii="Arial" w:hAnsi="Arial" w:cs="Arial"/>
          <w:lang w:val="en-GB"/>
        </w:rPr>
        <w:t>’</w:t>
      </w:r>
      <w:r w:rsidRPr="00F30104">
        <w:rPr>
          <w:rFonts w:ascii="Arial" w:hAnsi="Arial" w:cs="Arial"/>
          <w:lang w:val="en-GB"/>
        </w:rPr>
        <w:t>s capacity to effectively manage expenses and navigate the competitive and demanding landscape presented by the Covid-19 pandemic.</w:t>
      </w:r>
      <w:r w:rsidR="00800592" w:rsidRPr="00F30104">
        <w:rPr>
          <w:rFonts w:ascii="Arial" w:hAnsi="Arial" w:cs="Arial"/>
          <w:lang w:val="en-GB"/>
        </w:rPr>
        <w:t xml:space="preserve"> </w:t>
      </w:r>
      <w:r w:rsidRPr="00F30104">
        <w:rPr>
          <w:rFonts w:ascii="Arial" w:hAnsi="Arial" w:cs="Arial"/>
          <w:lang w:val="en-GB"/>
        </w:rPr>
        <w:t>However, there was a rise in the period from 2022 to 2023, with the value rising</w:t>
      </w:r>
      <w:r w:rsidR="003D534A" w:rsidRPr="00F30104">
        <w:rPr>
          <w:rFonts w:ascii="Arial" w:hAnsi="Arial" w:cs="Arial"/>
          <w:lang w:val="en-GB"/>
        </w:rPr>
        <w:t xml:space="preserve"> of 0.72%</w:t>
      </w:r>
      <w:r w:rsidRPr="00F30104">
        <w:rPr>
          <w:rFonts w:ascii="Arial" w:hAnsi="Arial" w:cs="Arial"/>
          <w:lang w:val="en-GB"/>
        </w:rPr>
        <w:t xml:space="preserve"> from 34.49 to 34.74. This indicates a positive level of adaptability, efficient management of production costs, and advantageous relationships with suppliers.</w:t>
      </w:r>
    </w:p>
    <w:p w14:paraId="245484BD" w14:textId="73E2A381" w:rsidR="00955F59" w:rsidRPr="00F30104" w:rsidRDefault="00050EB9" w:rsidP="00F30104">
      <w:pPr>
        <w:spacing w:after="0" w:line="360" w:lineRule="auto"/>
        <w:contextualSpacing/>
        <w:jc w:val="both"/>
        <w:rPr>
          <w:rFonts w:ascii="Arial" w:hAnsi="Arial" w:cs="Arial"/>
          <w:lang w:val="en-GB"/>
        </w:rPr>
      </w:pPr>
      <w:r w:rsidRPr="00F30104">
        <w:rPr>
          <w:rFonts w:ascii="Arial" w:hAnsi="Arial" w:cs="Arial"/>
          <w:lang w:val="en-GB"/>
        </w:rPr>
        <w:t>Net operating profit margin M&amp;S</w:t>
      </w:r>
    </w:p>
    <w:tbl>
      <w:tblPr>
        <w:tblStyle w:val="TableGrid"/>
        <w:tblW w:w="0" w:type="auto"/>
        <w:tblLook w:val="04A0" w:firstRow="1" w:lastRow="0" w:firstColumn="1" w:lastColumn="0" w:noHBand="0" w:noVBand="1"/>
      </w:tblPr>
      <w:tblGrid>
        <w:gridCol w:w="4508"/>
        <w:gridCol w:w="4508"/>
      </w:tblGrid>
      <w:tr w:rsidR="00F30104" w:rsidRPr="00F30104" w14:paraId="2E72AFFB" w14:textId="77777777" w:rsidTr="00A02DA1">
        <w:tc>
          <w:tcPr>
            <w:tcW w:w="4508" w:type="dxa"/>
          </w:tcPr>
          <w:p w14:paraId="204B539A" w14:textId="02FE5556" w:rsidR="00A02DA1" w:rsidRPr="00F30104" w:rsidRDefault="00A02DA1" w:rsidP="00F30104">
            <w:pPr>
              <w:spacing w:line="360" w:lineRule="auto"/>
              <w:contextualSpacing/>
              <w:jc w:val="both"/>
              <w:rPr>
                <w:rFonts w:ascii="Arial" w:hAnsi="Arial" w:cs="Arial"/>
                <w:lang w:val="en-GB"/>
              </w:rPr>
            </w:pPr>
            <w:r w:rsidRPr="00F30104">
              <w:rPr>
                <w:rFonts w:ascii="Arial" w:hAnsi="Arial" w:cs="Arial"/>
                <w:lang w:val="en-GB"/>
              </w:rPr>
              <w:t>2023</w:t>
            </w:r>
          </w:p>
        </w:tc>
        <w:tc>
          <w:tcPr>
            <w:tcW w:w="4508" w:type="dxa"/>
          </w:tcPr>
          <w:p w14:paraId="04D304FA" w14:textId="4F28F355" w:rsidR="00A02DA1" w:rsidRPr="00F30104" w:rsidRDefault="007C0398" w:rsidP="00F30104">
            <w:pPr>
              <w:spacing w:line="360" w:lineRule="auto"/>
              <w:contextualSpacing/>
              <w:jc w:val="both"/>
              <w:rPr>
                <w:rFonts w:ascii="Arial" w:hAnsi="Arial" w:cs="Arial"/>
                <w:lang w:val="en-GB"/>
              </w:rPr>
            </w:pPr>
            <w:r w:rsidRPr="00F30104">
              <w:rPr>
                <w:rFonts w:ascii="Arial" w:hAnsi="Arial" w:cs="Arial"/>
                <w:lang w:val="en-GB"/>
              </w:rPr>
              <w:t>3.99</w:t>
            </w:r>
          </w:p>
        </w:tc>
      </w:tr>
      <w:tr w:rsidR="00F30104" w:rsidRPr="00F30104" w14:paraId="5D13A2F0" w14:textId="77777777" w:rsidTr="00A02DA1">
        <w:tc>
          <w:tcPr>
            <w:tcW w:w="4508" w:type="dxa"/>
          </w:tcPr>
          <w:p w14:paraId="00D5FCC4" w14:textId="0B342130" w:rsidR="00A02DA1" w:rsidRPr="00F30104" w:rsidRDefault="00A02DA1" w:rsidP="00F30104">
            <w:pPr>
              <w:spacing w:line="360" w:lineRule="auto"/>
              <w:contextualSpacing/>
              <w:jc w:val="both"/>
              <w:rPr>
                <w:rFonts w:ascii="Arial" w:hAnsi="Arial" w:cs="Arial"/>
                <w:lang w:val="en-GB"/>
              </w:rPr>
            </w:pPr>
            <w:r w:rsidRPr="00F30104">
              <w:rPr>
                <w:rFonts w:ascii="Arial" w:hAnsi="Arial" w:cs="Arial"/>
                <w:lang w:val="en-GB"/>
              </w:rPr>
              <w:t>2022</w:t>
            </w:r>
          </w:p>
        </w:tc>
        <w:tc>
          <w:tcPr>
            <w:tcW w:w="4508" w:type="dxa"/>
          </w:tcPr>
          <w:p w14:paraId="2C4E90BE" w14:textId="0C442DBA" w:rsidR="00A02DA1" w:rsidRPr="00F30104" w:rsidRDefault="007C0398" w:rsidP="00F30104">
            <w:pPr>
              <w:spacing w:line="360" w:lineRule="auto"/>
              <w:contextualSpacing/>
              <w:jc w:val="both"/>
              <w:rPr>
                <w:rFonts w:ascii="Arial" w:hAnsi="Arial" w:cs="Arial"/>
                <w:lang w:val="en-GB"/>
              </w:rPr>
            </w:pPr>
            <w:r w:rsidRPr="00F30104">
              <w:rPr>
                <w:rFonts w:ascii="Arial" w:hAnsi="Arial" w:cs="Arial"/>
                <w:lang w:val="en-GB"/>
              </w:rPr>
              <w:t>3.60</w:t>
            </w:r>
          </w:p>
        </w:tc>
      </w:tr>
      <w:tr w:rsidR="00F30104" w:rsidRPr="00F30104" w14:paraId="39795046" w14:textId="77777777" w:rsidTr="00A02DA1">
        <w:tc>
          <w:tcPr>
            <w:tcW w:w="4508" w:type="dxa"/>
          </w:tcPr>
          <w:p w14:paraId="555EB554" w14:textId="52DF4E3D" w:rsidR="00A02DA1" w:rsidRPr="00F30104" w:rsidRDefault="00A02DA1" w:rsidP="00F30104">
            <w:pPr>
              <w:spacing w:line="360" w:lineRule="auto"/>
              <w:contextualSpacing/>
              <w:jc w:val="both"/>
              <w:rPr>
                <w:rFonts w:ascii="Arial" w:hAnsi="Arial" w:cs="Arial"/>
                <w:lang w:val="en-GB"/>
              </w:rPr>
            </w:pPr>
            <w:r w:rsidRPr="00F30104">
              <w:rPr>
                <w:rFonts w:ascii="Arial" w:hAnsi="Arial" w:cs="Arial"/>
                <w:lang w:val="en-GB"/>
              </w:rPr>
              <w:t>2021</w:t>
            </w:r>
          </w:p>
        </w:tc>
        <w:tc>
          <w:tcPr>
            <w:tcW w:w="4508" w:type="dxa"/>
          </w:tcPr>
          <w:p w14:paraId="2D5F3B79" w14:textId="7C1ADD22" w:rsidR="00A02DA1" w:rsidRPr="00F30104" w:rsidRDefault="00B96178" w:rsidP="00F30104">
            <w:pPr>
              <w:spacing w:line="360" w:lineRule="auto"/>
              <w:contextualSpacing/>
              <w:jc w:val="both"/>
              <w:rPr>
                <w:rFonts w:ascii="Arial" w:hAnsi="Arial" w:cs="Arial"/>
                <w:lang w:val="en-GB"/>
              </w:rPr>
            </w:pPr>
            <w:r w:rsidRPr="00F30104">
              <w:rPr>
                <w:rFonts w:ascii="Arial" w:hAnsi="Arial" w:cs="Arial"/>
                <w:lang w:val="en-GB"/>
              </w:rPr>
              <w:t>-2.29</w:t>
            </w:r>
          </w:p>
        </w:tc>
      </w:tr>
      <w:tr w:rsidR="00F30104" w:rsidRPr="00F30104" w14:paraId="5798C9E1" w14:textId="77777777" w:rsidTr="00A02DA1">
        <w:tc>
          <w:tcPr>
            <w:tcW w:w="4508" w:type="dxa"/>
          </w:tcPr>
          <w:p w14:paraId="7E09538F" w14:textId="5A153A5D" w:rsidR="00A02DA1" w:rsidRPr="00F30104" w:rsidRDefault="00A02DA1" w:rsidP="00F30104">
            <w:pPr>
              <w:spacing w:line="360" w:lineRule="auto"/>
              <w:contextualSpacing/>
              <w:jc w:val="both"/>
              <w:rPr>
                <w:rFonts w:ascii="Arial" w:hAnsi="Arial" w:cs="Arial"/>
                <w:lang w:val="en-GB"/>
              </w:rPr>
            </w:pPr>
            <w:r w:rsidRPr="00F30104">
              <w:rPr>
                <w:rFonts w:ascii="Arial" w:hAnsi="Arial" w:cs="Arial"/>
                <w:lang w:val="en-GB"/>
              </w:rPr>
              <w:t>2020</w:t>
            </w:r>
          </w:p>
        </w:tc>
        <w:tc>
          <w:tcPr>
            <w:tcW w:w="4508" w:type="dxa"/>
          </w:tcPr>
          <w:p w14:paraId="46D795C0" w14:textId="6FC92FBD" w:rsidR="00A02DA1" w:rsidRPr="00F30104" w:rsidRDefault="00B96178" w:rsidP="00F30104">
            <w:pPr>
              <w:spacing w:line="360" w:lineRule="auto"/>
              <w:contextualSpacing/>
              <w:jc w:val="both"/>
              <w:rPr>
                <w:rFonts w:ascii="Arial" w:hAnsi="Arial" w:cs="Arial"/>
                <w:lang w:val="en-GB"/>
              </w:rPr>
            </w:pPr>
            <w:r w:rsidRPr="00F30104">
              <w:rPr>
                <w:rFonts w:ascii="Arial" w:hAnsi="Arial" w:cs="Arial"/>
                <w:lang w:val="en-GB"/>
              </w:rPr>
              <w:t>0.66</w:t>
            </w:r>
          </w:p>
        </w:tc>
      </w:tr>
      <w:tr w:rsidR="00F30104" w:rsidRPr="00F30104" w14:paraId="4C0ACFB1" w14:textId="77777777" w:rsidTr="00A02DA1">
        <w:tc>
          <w:tcPr>
            <w:tcW w:w="4508" w:type="dxa"/>
          </w:tcPr>
          <w:p w14:paraId="1B85A27E" w14:textId="7A067608" w:rsidR="00A02DA1" w:rsidRPr="00F30104" w:rsidRDefault="00A02DA1" w:rsidP="00F30104">
            <w:pPr>
              <w:spacing w:line="360" w:lineRule="auto"/>
              <w:contextualSpacing/>
              <w:jc w:val="both"/>
              <w:rPr>
                <w:rFonts w:ascii="Arial" w:hAnsi="Arial" w:cs="Arial"/>
                <w:lang w:val="en-GB"/>
              </w:rPr>
            </w:pPr>
            <w:r w:rsidRPr="00F30104">
              <w:rPr>
                <w:rFonts w:ascii="Arial" w:hAnsi="Arial" w:cs="Arial"/>
                <w:lang w:val="en-GB"/>
              </w:rPr>
              <w:t>2019</w:t>
            </w:r>
          </w:p>
        </w:tc>
        <w:tc>
          <w:tcPr>
            <w:tcW w:w="4508" w:type="dxa"/>
          </w:tcPr>
          <w:p w14:paraId="70B788DF" w14:textId="1C193484" w:rsidR="00A02DA1" w:rsidRPr="00F30104" w:rsidRDefault="00B96178" w:rsidP="00F30104">
            <w:pPr>
              <w:spacing w:line="360" w:lineRule="auto"/>
              <w:contextualSpacing/>
              <w:jc w:val="both"/>
              <w:rPr>
                <w:rFonts w:ascii="Arial" w:hAnsi="Arial" w:cs="Arial"/>
                <w:lang w:val="en-GB"/>
              </w:rPr>
            </w:pPr>
            <w:r w:rsidRPr="00F30104">
              <w:rPr>
                <w:rFonts w:ascii="Arial" w:hAnsi="Arial" w:cs="Arial"/>
                <w:lang w:val="en-GB"/>
              </w:rPr>
              <w:t>0.82</w:t>
            </w:r>
          </w:p>
        </w:tc>
      </w:tr>
    </w:tbl>
    <w:p w14:paraId="132F7184" w14:textId="389C8095" w:rsidR="00B96178" w:rsidRPr="00F30104" w:rsidRDefault="008208F2" w:rsidP="00F30104">
      <w:pPr>
        <w:spacing w:after="0" w:line="360" w:lineRule="auto"/>
        <w:contextualSpacing/>
        <w:jc w:val="both"/>
        <w:rPr>
          <w:rFonts w:ascii="Arial" w:hAnsi="Arial" w:cs="Arial"/>
          <w:lang w:val="en-GB"/>
        </w:rPr>
      </w:pPr>
      <w:r w:rsidRPr="00F30104">
        <w:rPr>
          <w:rFonts w:ascii="Arial" w:hAnsi="Arial" w:cs="Arial"/>
          <w:lang w:val="en-GB"/>
        </w:rPr>
        <w:t xml:space="preserve">Table </w:t>
      </w:r>
      <w:r w:rsidR="00887F08" w:rsidRPr="00F30104">
        <w:rPr>
          <w:rFonts w:ascii="Arial" w:hAnsi="Arial" w:cs="Arial"/>
          <w:lang w:val="en-GB"/>
        </w:rPr>
        <w:t>3</w:t>
      </w:r>
    </w:p>
    <w:p w14:paraId="4CEB4D6C" w14:textId="587BB476" w:rsidR="00516156" w:rsidRPr="00F30104" w:rsidRDefault="00EF2A45" w:rsidP="00F30104">
      <w:pPr>
        <w:spacing w:after="0" w:line="360" w:lineRule="auto"/>
        <w:contextualSpacing/>
        <w:jc w:val="both"/>
        <w:rPr>
          <w:rFonts w:ascii="Arial" w:hAnsi="Arial" w:cs="Arial"/>
          <w:lang w:val="en-GB"/>
        </w:rPr>
      </w:pPr>
      <w:r w:rsidRPr="00F30104">
        <w:rPr>
          <w:rFonts w:ascii="Arial" w:hAnsi="Arial" w:cs="Arial"/>
          <w:noProof/>
          <w:lang w:val="en-GB"/>
        </w:rPr>
        <w:lastRenderedPageBreak/>
        <w:drawing>
          <wp:inline distT="0" distB="0" distL="0" distR="0" wp14:anchorId="1CC7024A" wp14:editId="4632FDC7">
            <wp:extent cx="5753100" cy="1676400"/>
            <wp:effectExtent l="0" t="0" r="0" b="0"/>
            <wp:docPr id="133173865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1BF561C" w14:textId="6D2ECDA8" w:rsidR="00266206" w:rsidRPr="00F30104" w:rsidRDefault="000044AF" w:rsidP="00F30104">
      <w:pPr>
        <w:spacing w:after="0" w:line="360" w:lineRule="auto"/>
        <w:contextualSpacing/>
        <w:jc w:val="both"/>
        <w:rPr>
          <w:rFonts w:ascii="Arial" w:hAnsi="Arial" w:cs="Arial"/>
          <w:lang w:val="en-GB"/>
        </w:rPr>
      </w:pPr>
      <w:r w:rsidRPr="00F30104">
        <w:rPr>
          <w:rFonts w:ascii="Arial" w:hAnsi="Arial" w:cs="Arial"/>
          <w:lang w:val="en-GB"/>
        </w:rPr>
        <w:t>Figure 3</w:t>
      </w:r>
    </w:p>
    <w:p w14:paraId="5CBA1D8B" w14:textId="082AF14F" w:rsidR="000044AF" w:rsidRPr="00F30104" w:rsidRDefault="000044AF" w:rsidP="00F30104">
      <w:pPr>
        <w:spacing w:after="0" w:line="360" w:lineRule="auto"/>
        <w:contextualSpacing/>
        <w:jc w:val="both"/>
        <w:rPr>
          <w:rFonts w:ascii="Arial" w:hAnsi="Arial" w:cs="Arial"/>
          <w:lang w:val="en-GB"/>
        </w:rPr>
      </w:pPr>
      <w:r w:rsidRPr="00F30104">
        <w:rPr>
          <w:rFonts w:ascii="Arial" w:hAnsi="Arial" w:cs="Arial"/>
          <w:lang w:val="en-GB"/>
        </w:rPr>
        <w:t>The net operating profit from 2019 to 2023 exhibits notable volatility. During the period from 2019 to 2020, the net operating profit exhibited a favourable trend, albeit with a slight decrease in 2020. However, in 2021, there was a significant decline of 446.96% to -2.29%. This indicates that M&amp;S experienced an operating loss during that year, which can be attributed to a variety of factors including heightened expenses and diminished revenue. In 2022, we observed a notable improvement as the net operating profit experienced a substantial increase of 3.6%. This indicates a robust and positive performance. In 2023, there was a notable improvement of 10.83%, resulting in a growth rate of 3.99%. This positive trend indicates a promising outlook for continued growth and profitability.</w:t>
      </w:r>
      <w:r w:rsidR="00FE6987" w:rsidRPr="00F30104">
        <w:rPr>
          <w:rFonts w:ascii="Arial" w:hAnsi="Arial" w:cs="Arial"/>
        </w:rPr>
        <w:t xml:space="preserve"> </w:t>
      </w:r>
      <w:r w:rsidR="00FE6987" w:rsidRPr="00F30104">
        <w:rPr>
          <w:rFonts w:ascii="Arial" w:hAnsi="Arial" w:cs="Arial"/>
          <w:lang w:val="en-GB"/>
        </w:rPr>
        <w:t>In 2021, M&amp;S experienced a downward trend, but fortunately, it was followed by a positive trend in the subsequent years. This indicates that M&amp;S encountered certain challenges, but they were able to overcome them and enhance their operating profit.</w:t>
      </w:r>
    </w:p>
    <w:p w14:paraId="71B4916B" w14:textId="71A01909" w:rsidR="004C7C49" w:rsidRPr="00F30104" w:rsidRDefault="003D2521" w:rsidP="00F30104">
      <w:pPr>
        <w:pStyle w:val="Heading2"/>
      </w:pPr>
      <w:bookmarkStart w:id="4" w:name="_Toc151385667"/>
      <w:r w:rsidRPr="00F30104">
        <w:t>3.2 Liquidity ratio</w:t>
      </w:r>
      <w:bookmarkEnd w:id="4"/>
    </w:p>
    <w:p w14:paraId="3591E860" w14:textId="43D1C4A8" w:rsidR="00D12268" w:rsidRPr="00F30104" w:rsidRDefault="00D05993" w:rsidP="00F30104">
      <w:pPr>
        <w:spacing w:after="0" w:line="360" w:lineRule="auto"/>
        <w:contextualSpacing/>
        <w:jc w:val="both"/>
        <w:rPr>
          <w:rFonts w:ascii="Arial" w:hAnsi="Arial" w:cs="Arial"/>
          <w:lang w:val="en-GB"/>
        </w:rPr>
      </w:pPr>
      <w:r w:rsidRPr="00F30104">
        <w:rPr>
          <w:rFonts w:ascii="Arial" w:hAnsi="Arial" w:cs="Arial"/>
          <w:lang w:val="en-GB"/>
        </w:rPr>
        <w:t>The liquidity ratio is an essential financial metric utilised to evaluate a company</w:t>
      </w:r>
      <w:r w:rsidR="00EF621A" w:rsidRPr="00F30104">
        <w:rPr>
          <w:rFonts w:ascii="Arial" w:hAnsi="Arial" w:cs="Arial"/>
          <w:lang w:val="en-GB"/>
        </w:rPr>
        <w:t>’</w:t>
      </w:r>
      <w:r w:rsidRPr="00F30104">
        <w:rPr>
          <w:rFonts w:ascii="Arial" w:hAnsi="Arial" w:cs="Arial"/>
          <w:lang w:val="en-GB"/>
        </w:rPr>
        <w:t>s ability to fulfil its immediate financial obligations.</w:t>
      </w:r>
      <w:r w:rsidR="003D1604" w:rsidRPr="00F30104">
        <w:rPr>
          <w:rFonts w:ascii="Arial" w:hAnsi="Arial" w:cs="Arial"/>
          <w:lang w:val="en-GB"/>
        </w:rPr>
        <w:t xml:space="preserve"> According to CFI</w:t>
      </w:r>
      <w:r w:rsidR="00172036" w:rsidRPr="00F30104">
        <w:rPr>
          <w:rFonts w:ascii="Arial" w:hAnsi="Arial" w:cs="Arial"/>
          <w:lang w:val="en-GB"/>
        </w:rPr>
        <w:t xml:space="preserve"> (2023)</w:t>
      </w:r>
      <w:r w:rsidR="00172036" w:rsidRPr="00F30104">
        <w:rPr>
          <w:rFonts w:ascii="Arial" w:hAnsi="Arial" w:cs="Arial"/>
        </w:rPr>
        <w:t xml:space="preserve"> </w:t>
      </w:r>
      <w:r w:rsidR="00172036" w:rsidRPr="00F30104">
        <w:rPr>
          <w:rFonts w:ascii="Arial" w:hAnsi="Arial" w:cs="Arial"/>
          <w:lang w:val="en-GB"/>
        </w:rPr>
        <w:t>the metric plays a crucial role in assessing a company</w:t>
      </w:r>
      <w:r w:rsidR="00EF621A" w:rsidRPr="00F30104">
        <w:rPr>
          <w:rFonts w:ascii="Arial" w:hAnsi="Arial" w:cs="Arial"/>
          <w:lang w:val="en-GB"/>
        </w:rPr>
        <w:t>’</w:t>
      </w:r>
      <w:r w:rsidR="00172036" w:rsidRPr="00F30104">
        <w:rPr>
          <w:rFonts w:ascii="Arial" w:hAnsi="Arial" w:cs="Arial"/>
          <w:lang w:val="en-GB"/>
        </w:rPr>
        <w:t xml:space="preserve">s capacity to effectively utilise its current or easily convertible assets </w:t>
      </w:r>
      <w:proofErr w:type="gramStart"/>
      <w:r w:rsidR="00172036" w:rsidRPr="00F30104">
        <w:rPr>
          <w:rFonts w:ascii="Arial" w:hAnsi="Arial" w:cs="Arial"/>
          <w:lang w:val="en-GB"/>
        </w:rPr>
        <w:t>in order to</w:t>
      </w:r>
      <w:proofErr w:type="gramEnd"/>
      <w:r w:rsidR="00172036" w:rsidRPr="00F30104">
        <w:rPr>
          <w:rFonts w:ascii="Arial" w:hAnsi="Arial" w:cs="Arial"/>
          <w:lang w:val="en-GB"/>
        </w:rPr>
        <w:t xml:space="preserve"> fulfil its immediate obligations.</w:t>
      </w:r>
    </w:p>
    <w:p w14:paraId="15E1FA66" w14:textId="78AD9322" w:rsidR="009E0A35" w:rsidRPr="00F30104" w:rsidRDefault="009E0A35" w:rsidP="00F30104">
      <w:pPr>
        <w:spacing w:after="0" w:line="360" w:lineRule="auto"/>
        <w:contextualSpacing/>
        <w:jc w:val="both"/>
        <w:rPr>
          <w:rFonts w:ascii="Arial" w:hAnsi="Arial" w:cs="Arial"/>
          <w:lang w:val="en-GB"/>
        </w:rPr>
      </w:pPr>
      <w:r w:rsidRPr="00F30104">
        <w:rPr>
          <w:rFonts w:ascii="Arial" w:hAnsi="Arial" w:cs="Arial"/>
          <w:lang w:val="en-GB"/>
        </w:rPr>
        <w:t>CFI (2023) defines the current ratio as a financial statistic that compares a company</w:t>
      </w:r>
      <w:r w:rsidR="00EF621A" w:rsidRPr="00F30104">
        <w:rPr>
          <w:rFonts w:ascii="Arial" w:hAnsi="Arial" w:cs="Arial"/>
          <w:lang w:val="en-GB"/>
        </w:rPr>
        <w:t>’</w:t>
      </w:r>
      <w:r w:rsidRPr="00F30104">
        <w:rPr>
          <w:rFonts w:ascii="Arial" w:hAnsi="Arial" w:cs="Arial"/>
          <w:lang w:val="en-GB"/>
        </w:rPr>
        <w:t>s annual liabilities to its short-term obligations. Conventional wisdom suggests a ratio larger than 1:1.</w:t>
      </w:r>
    </w:p>
    <w:p w14:paraId="27D39A23" w14:textId="4DC30F65" w:rsidR="009E0A35" w:rsidRPr="00F30104" w:rsidRDefault="00D65A58" w:rsidP="00F30104">
      <w:pPr>
        <w:spacing w:after="0" w:line="360" w:lineRule="auto"/>
        <w:contextualSpacing/>
        <w:jc w:val="both"/>
        <w:rPr>
          <w:rFonts w:ascii="Arial" w:hAnsi="Arial" w:cs="Arial"/>
          <w:lang w:val="en-GB"/>
        </w:rPr>
      </w:pPr>
      <w:r w:rsidRPr="00F30104">
        <w:rPr>
          <w:rFonts w:ascii="Arial" w:hAnsi="Arial" w:cs="Arial"/>
          <w:lang w:val="en-GB"/>
        </w:rPr>
        <w:t>The quick ratio is a useful financial indicator that recognises that inventory takes a long time to turn into cash. Financial advisors must realise that inventory values are not liquidity assets. A corporation should match its current and quick ratios to its operating cash flow.</w:t>
      </w:r>
    </w:p>
    <w:p w14:paraId="6B201A7C" w14:textId="407430CD" w:rsidR="00E41643" w:rsidRPr="00F30104" w:rsidRDefault="007D1277" w:rsidP="00F30104">
      <w:pPr>
        <w:spacing w:after="0" w:line="360" w:lineRule="auto"/>
        <w:contextualSpacing/>
        <w:jc w:val="both"/>
        <w:rPr>
          <w:rFonts w:ascii="Arial" w:hAnsi="Arial" w:cs="Arial"/>
          <w:lang w:val="en-GB"/>
        </w:rPr>
      </w:pPr>
      <w:r w:rsidRPr="00F30104">
        <w:rPr>
          <w:rFonts w:ascii="Arial" w:hAnsi="Arial" w:cs="Arial"/>
          <w:lang w:val="en-GB"/>
        </w:rPr>
        <w:t>Current ratio M&amp;S</w:t>
      </w:r>
    </w:p>
    <w:tbl>
      <w:tblPr>
        <w:tblStyle w:val="TableGrid"/>
        <w:tblW w:w="0" w:type="auto"/>
        <w:tblLook w:val="04A0" w:firstRow="1" w:lastRow="0" w:firstColumn="1" w:lastColumn="0" w:noHBand="0" w:noVBand="1"/>
      </w:tblPr>
      <w:tblGrid>
        <w:gridCol w:w="4508"/>
        <w:gridCol w:w="4508"/>
      </w:tblGrid>
      <w:tr w:rsidR="00F30104" w:rsidRPr="00F30104" w14:paraId="7B4B7852" w14:textId="77777777" w:rsidTr="007D1277">
        <w:tc>
          <w:tcPr>
            <w:tcW w:w="4508" w:type="dxa"/>
          </w:tcPr>
          <w:p w14:paraId="4ED52617" w14:textId="383FC396" w:rsidR="007D1277" w:rsidRPr="00F30104" w:rsidRDefault="007D1277" w:rsidP="00F30104">
            <w:pPr>
              <w:spacing w:line="360" w:lineRule="auto"/>
              <w:contextualSpacing/>
              <w:jc w:val="both"/>
              <w:rPr>
                <w:rFonts w:ascii="Arial" w:hAnsi="Arial" w:cs="Arial"/>
                <w:lang w:val="en-GB"/>
              </w:rPr>
            </w:pPr>
            <w:r w:rsidRPr="00F30104">
              <w:rPr>
                <w:rFonts w:ascii="Arial" w:hAnsi="Arial" w:cs="Arial"/>
                <w:lang w:val="en-GB"/>
              </w:rPr>
              <w:t>2023</w:t>
            </w:r>
          </w:p>
        </w:tc>
        <w:tc>
          <w:tcPr>
            <w:tcW w:w="4508" w:type="dxa"/>
          </w:tcPr>
          <w:p w14:paraId="6223323F" w14:textId="0A26FB89" w:rsidR="007D1277" w:rsidRPr="00F30104" w:rsidRDefault="001F476B" w:rsidP="00F30104">
            <w:pPr>
              <w:spacing w:line="360" w:lineRule="auto"/>
              <w:contextualSpacing/>
              <w:jc w:val="both"/>
              <w:rPr>
                <w:rFonts w:ascii="Arial" w:hAnsi="Arial" w:cs="Arial"/>
                <w:lang w:val="en-GB"/>
              </w:rPr>
            </w:pPr>
            <w:r w:rsidRPr="00F30104">
              <w:rPr>
                <w:rFonts w:ascii="Arial" w:hAnsi="Arial" w:cs="Arial"/>
                <w:lang w:val="en-GB"/>
              </w:rPr>
              <w:t>0.80</w:t>
            </w:r>
          </w:p>
        </w:tc>
      </w:tr>
      <w:tr w:rsidR="00F30104" w:rsidRPr="00F30104" w14:paraId="3D7A9CB5" w14:textId="77777777" w:rsidTr="007D1277">
        <w:tc>
          <w:tcPr>
            <w:tcW w:w="4508" w:type="dxa"/>
          </w:tcPr>
          <w:p w14:paraId="1953CF0A" w14:textId="2B48CBEE" w:rsidR="007D1277" w:rsidRPr="00F30104" w:rsidRDefault="007D1277" w:rsidP="00F30104">
            <w:pPr>
              <w:spacing w:line="360" w:lineRule="auto"/>
              <w:contextualSpacing/>
              <w:jc w:val="both"/>
              <w:rPr>
                <w:rFonts w:ascii="Arial" w:hAnsi="Arial" w:cs="Arial"/>
                <w:lang w:val="en-GB"/>
              </w:rPr>
            </w:pPr>
            <w:r w:rsidRPr="00F30104">
              <w:rPr>
                <w:rFonts w:ascii="Arial" w:hAnsi="Arial" w:cs="Arial"/>
                <w:lang w:val="en-GB"/>
              </w:rPr>
              <w:t>2022</w:t>
            </w:r>
          </w:p>
        </w:tc>
        <w:tc>
          <w:tcPr>
            <w:tcW w:w="4508" w:type="dxa"/>
          </w:tcPr>
          <w:p w14:paraId="3F3A5FD1" w14:textId="1067411F" w:rsidR="007D1277" w:rsidRPr="00F30104" w:rsidRDefault="001F476B" w:rsidP="00F30104">
            <w:pPr>
              <w:spacing w:line="360" w:lineRule="auto"/>
              <w:contextualSpacing/>
              <w:jc w:val="both"/>
              <w:rPr>
                <w:rFonts w:ascii="Arial" w:hAnsi="Arial" w:cs="Arial"/>
                <w:lang w:val="en-GB"/>
              </w:rPr>
            </w:pPr>
            <w:r w:rsidRPr="00F30104">
              <w:rPr>
                <w:rFonts w:ascii="Arial" w:hAnsi="Arial" w:cs="Arial"/>
                <w:lang w:val="en-GB"/>
              </w:rPr>
              <w:t>0.92</w:t>
            </w:r>
          </w:p>
        </w:tc>
      </w:tr>
      <w:tr w:rsidR="00F30104" w:rsidRPr="00F30104" w14:paraId="02D04491" w14:textId="77777777" w:rsidTr="007D1277">
        <w:tc>
          <w:tcPr>
            <w:tcW w:w="4508" w:type="dxa"/>
          </w:tcPr>
          <w:p w14:paraId="23DAA60B" w14:textId="1A99DF0A" w:rsidR="007D1277" w:rsidRPr="00F30104" w:rsidRDefault="007D1277" w:rsidP="00F30104">
            <w:pPr>
              <w:spacing w:line="360" w:lineRule="auto"/>
              <w:contextualSpacing/>
              <w:jc w:val="both"/>
              <w:rPr>
                <w:rFonts w:ascii="Arial" w:hAnsi="Arial" w:cs="Arial"/>
                <w:lang w:val="en-GB"/>
              </w:rPr>
            </w:pPr>
            <w:r w:rsidRPr="00F30104">
              <w:rPr>
                <w:rFonts w:ascii="Arial" w:hAnsi="Arial" w:cs="Arial"/>
                <w:lang w:val="en-GB"/>
              </w:rPr>
              <w:t>2021</w:t>
            </w:r>
          </w:p>
        </w:tc>
        <w:tc>
          <w:tcPr>
            <w:tcW w:w="4508" w:type="dxa"/>
          </w:tcPr>
          <w:p w14:paraId="1620C91E" w14:textId="0B5AB1E1" w:rsidR="007D1277" w:rsidRPr="00F30104" w:rsidRDefault="001F476B" w:rsidP="00F30104">
            <w:pPr>
              <w:spacing w:line="360" w:lineRule="auto"/>
              <w:contextualSpacing/>
              <w:jc w:val="both"/>
              <w:rPr>
                <w:rFonts w:ascii="Arial" w:hAnsi="Arial" w:cs="Arial"/>
                <w:lang w:val="en-GB"/>
              </w:rPr>
            </w:pPr>
            <w:r w:rsidRPr="00F30104">
              <w:rPr>
                <w:rFonts w:ascii="Arial" w:hAnsi="Arial" w:cs="Arial"/>
                <w:lang w:val="en-GB"/>
              </w:rPr>
              <w:t>0.69</w:t>
            </w:r>
          </w:p>
        </w:tc>
      </w:tr>
      <w:tr w:rsidR="00F30104" w:rsidRPr="00F30104" w14:paraId="78188B27" w14:textId="77777777" w:rsidTr="007D1277">
        <w:tc>
          <w:tcPr>
            <w:tcW w:w="4508" w:type="dxa"/>
          </w:tcPr>
          <w:p w14:paraId="0AE318CA" w14:textId="6F12E2D8" w:rsidR="007D1277" w:rsidRPr="00F30104" w:rsidRDefault="007D1277" w:rsidP="00F30104">
            <w:pPr>
              <w:spacing w:line="360" w:lineRule="auto"/>
              <w:contextualSpacing/>
              <w:jc w:val="both"/>
              <w:rPr>
                <w:rFonts w:ascii="Arial" w:hAnsi="Arial" w:cs="Arial"/>
                <w:lang w:val="en-GB"/>
              </w:rPr>
            </w:pPr>
            <w:r w:rsidRPr="00F30104">
              <w:rPr>
                <w:rFonts w:ascii="Arial" w:hAnsi="Arial" w:cs="Arial"/>
                <w:lang w:val="en-GB"/>
              </w:rPr>
              <w:t>2020</w:t>
            </w:r>
          </w:p>
        </w:tc>
        <w:tc>
          <w:tcPr>
            <w:tcW w:w="4508" w:type="dxa"/>
          </w:tcPr>
          <w:p w14:paraId="453AB402" w14:textId="1DD75672" w:rsidR="007D1277" w:rsidRPr="00F30104" w:rsidRDefault="001F476B" w:rsidP="00F30104">
            <w:pPr>
              <w:spacing w:line="360" w:lineRule="auto"/>
              <w:contextualSpacing/>
              <w:jc w:val="both"/>
              <w:rPr>
                <w:rFonts w:ascii="Arial" w:hAnsi="Arial" w:cs="Arial"/>
                <w:lang w:val="en-GB"/>
              </w:rPr>
            </w:pPr>
            <w:r w:rsidRPr="00F30104">
              <w:rPr>
                <w:rFonts w:ascii="Arial" w:hAnsi="Arial" w:cs="Arial"/>
                <w:lang w:val="en-GB"/>
              </w:rPr>
              <w:t>0.66</w:t>
            </w:r>
          </w:p>
        </w:tc>
      </w:tr>
      <w:tr w:rsidR="00F30104" w:rsidRPr="00F30104" w14:paraId="7D10880F" w14:textId="77777777" w:rsidTr="007D1277">
        <w:tc>
          <w:tcPr>
            <w:tcW w:w="4508" w:type="dxa"/>
          </w:tcPr>
          <w:p w14:paraId="609F514D" w14:textId="73DF5A82" w:rsidR="007D1277" w:rsidRPr="00F30104" w:rsidRDefault="007D1277" w:rsidP="00F30104">
            <w:pPr>
              <w:spacing w:line="360" w:lineRule="auto"/>
              <w:contextualSpacing/>
              <w:jc w:val="both"/>
              <w:rPr>
                <w:rFonts w:ascii="Arial" w:hAnsi="Arial" w:cs="Arial"/>
                <w:lang w:val="en-GB"/>
              </w:rPr>
            </w:pPr>
            <w:r w:rsidRPr="00F30104">
              <w:rPr>
                <w:rFonts w:ascii="Arial" w:hAnsi="Arial" w:cs="Arial"/>
                <w:lang w:val="en-GB"/>
              </w:rPr>
              <w:t>2019</w:t>
            </w:r>
          </w:p>
        </w:tc>
        <w:tc>
          <w:tcPr>
            <w:tcW w:w="4508" w:type="dxa"/>
          </w:tcPr>
          <w:p w14:paraId="5AFED3CF" w14:textId="06ED3775" w:rsidR="001B6419" w:rsidRPr="00F30104" w:rsidRDefault="001F476B" w:rsidP="00F30104">
            <w:pPr>
              <w:spacing w:line="360" w:lineRule="auto"/>
              <w:contextualSpacing/>
              <w:jc w:val="both"/>
              <w:rPr>
                <w:rFonts w:ascii="Arial" w:hAnsi="Arial" w:cs="Arial"/>
                <w:lang w:val="en-GB"/>
              </w:rPr>
            </w:pPr>
            <w:r w:rsidRPr="00F30104">
              <w:rPr>
                <w:rFonts w:ascii="Arial" w:hAnsi="Arial" w:cs="Arial"/>
                <w:lang w:val="en-GB"/>
              </w:rPr>
              <w:t>0.6</w:t>
            </w:r>
            <w:r w:rsidR="001B6419" w:rsidRPr="00F30104">
              <w:rPr>
                <w:rFonts w:ascii="Arial" w:hAnsi="Arial" w:cs="Arial"/>
                <w:lang w:val="en-GB"/>
              </w:rPr>
              <w:t>7</w:t>
            </w:r>
          </w:p>
        </w:tc>
      </w:tr>
    </w:tbl>
    <w:p w14:paraId="21208CD2" w14:textId="4AB2ABFB" w:rsidR="007D1277" w:rsidRPr="00F30104" w:rsidRDefault="001B6419" w:rsidP="00F30104">
      <w:pPr>
        <w:spacing w:after="0" w:line="360" w:lineRule="auto"/>
        <w:contextualSpacing/>
        <w:jc w:val="both"/>
        <w:rPr>
          <w:rFonts w:ascii="Arial" w:hAnsi="Arial" w:cs="Arial"/>
          <w:lang w:val="en-GB"/>
        </w:rPr>
      </w:pPr>
      <w:r w:rsidRPr="00F30104">
        <w:rPr>
          <w:rFonts w:ascii="Arial" w:hAnsi="Arial" w:cs="Arial"/>
          <w:lang w:val="en-GB"/>
        </w:rPr>
        <w:lastRenderedPageBreak/>
        <w:t xml:space="preserve">Table </w:t>
      </w:r>
      <w:r w:rsidR="00887F08" w:rsidRPr="00F30104">
        <w:rPr>
          <w:rFonts w:ascii="Arial" w:hAnsi="Arial" w:cs="Arial"/>
          <w:lang w:val="en-GB"/>
        </w:rPr>
        <w:t>4</w:t>
      </w:r>
    </w:p>
    <w:p w14:paraId="050F6029" w14:textId="35D46D3E" w:rsidR="00FE6987" w:rsidRPr="00F30104" w:rsidRDefault="00982B44" w:rsidP="00F30104">
      <w:pPr>
        <w:spacing w:after="0" w:line="360" w:lineRule="auto"/>
        <w:contextualSpacing/>
        <w:jc w:val="both"/>
        <w:rPr>
          <w:rFonts w:ascii="Arial" w:hAnsi="Arial" w:cs="Arial"/>
          <w:lang w:val="en-GB"/>
        </w:rPr>
      </w:pPr>
      <w:r w:rsidRPr="00F30104">
        <w:rPr>
          <w:rFonts w:ascii="Arial" w:hAnsi="Arial" w:cs="Arial"/>
          <w:noProof/>
          <w:lang w:val="en-GB"/>
        </w:rPr>
        <w:drawing>
          <wp:inline distT="0" distB="0" distL="0" distR="0" wp14:anchorId="316FB8DE" wp14:editId="0653E7BD">
            <wp:extent cx="5772150" cy="1981200"/>
            <wp:effectExtent l="0" t="0" r="0" b="0"/>
            <wp:docPr id="2121609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B658814" w14:textId="69031C3E" w:rsidR="006D1F22" w:rsidRPr="00F30104" w:rsidRDefault="006D1F22" w:rsidP="00F30104">
      <w:pPr>
        <w:spacing w:after="0" w:line="360" w:lineRule="auto"/>
        <w:contextualSpacing/>
        <w:jc w:val="both"/>
        <w:rPr>
          <w:rFonts w:ascii="Arial" w:hAnsi="Arial" w:cs="Arial"/>
          <w:lang w:val="en-GB"/>
        </w:rPr>
      </w:pPr>
      <w:r w:rsidRPr="00F30104">
        <w:rPr>
          <w:rFonts w:ascii="Arial" w:hAnsi="Arial" w:cs="Arial"/>
          <w:lang w:val="en-GB"/>
        </w:rPr>
        <w:t>Figure 4</w:t>
      </w:r>
    </w:p>
    <w:p w14:paraId="641B5216" w14:textId="33B2554C" w:rsidR="006D1F22" w:rsidRPr="00F30104" w:rsidRDefault="00513E63" w:rsidP="00F30104">
      <w:pPr>
        <w:spacing w:after="0" w:line="360" w:lineRule="auto"/>
        <w:contextualSpacing/>
        <w:jc w:val="both"/>
        <w:rPr>
          <w:rFonts w:ascii="Arial" w:hAnsi="Arial" w:cs="Arial"/>
          <w:lang w:val="en-GB"/>
        </w:rPr>
      </w:pPr>
      <w:r w:rsidRPr="00F30104">
        <w:rPr>
          <w:rFonts w:ascii="Arial" w:hAnsi="Arial" w:cs="Arial"/>
          <w:lang w:val="en-GB"/>
        </w:rPr>
        <w:t xml:space="preserve">A current ratio bellow 1 </w:t>
      </w:r>
      <w:r w:rsidR="000D6C4E" w:rsidRPr="00F30104">
        <w:rPr>
          <w:rFonts w:ascii="Arial" w:hAnsi="Arial" w:cs="Arial"/>
          <w:lang w:val="en-GB"/>
        </w:rPr>
        <w:t xml:space="preserve">suggest that a company may have difficulties to meet its short-term obligation. Over the years, appears that the </w:t>
      </w:r>
      <w:r w:rsidR="006E64F0" w:rsidRPr="00F30104">
        <w:rPr>
          <w:rFonts w:ascii="Arial" w:hAnsi="Arial" w:cs="Arial"/>
          <w:lang w:val="en-GB"/>
        </w:rPr>
        <w:t xml:space="preserve">M&amp;S </w:t>
      </w:r>
      <w:r w:rsidR="000D6C4E" w:rsidRPr="00F30104">
        <w:rPr>
          <w:rFonts w:ascii="Arial" w:hAnsi="Arial" w:cs="Arial"/>
          <w:lang w:val="en-GB"/>
        </w:rPr>
        <w:t>company</w:t>
      </w:r>
      <w:r w:rsidR="00EF621A" w:rsidRPr="00F30104">
        <w:rPr>
          <w:rFonts w:ascii="Arial" w:hAnsi="Arial" w:cs="Arial"/>
          <w:lang w:val="en-GB"/>
        </w:rPr>
        <w:t>’</w:t>
      </w:r>
      <w:r w:rsidR="000D6C4E" w:rsidRPr="00F30104">
        <w:rPr>
          <w:rFonts w:ascii="Arial" w:hAnsi="Arial" w:cs="Arial"/>
          <w:lang w:val="en-GB"/>
        </w:rPr>
        <w:t>s current ratio has been flu</w:t>
      </w:r>
      <w:r w:rsidR="0005034C" w:rsidRPr="00F30104">
        <w:rPr>
          <w:rFonts w:ascii="Arial" w:hAnsi="Arial" w:cs="Arial"/>
          <w:lang w:val="en-GB"/>
        </w:rPr>
        <w:t xml:space="preserve">ctuating. In 2022 ratio improved by </w:t>
      </w:r>
      <w:r w:rsidR="002D4378" w:rsidRPr="00F30104">
        <w:rPr>
          <w:rFonts w:ascii="Arial" w:hAnsi="Arial" w:cs="Arial"/>
          <w:lang w:val="en-GB"/>
        </w:rPr>
        <w:t xml:space="preserve">37.31% to 0.92, indicating a stronger ability to cover </w:t>
      </w:r>
      <w:r w:rsidR="005760DC" w:rsidRPr="00F30104">
        <w:rPr>
          <w:rFonts w:ascii="Arial" w:hAnsi="Arial" w:cs="Arial"/>
          <w:lang w:val="en-GB"/>
        </w:rPr>
        <w:t>its short-term liabilities with short-term assets</w:t>
      </w:r>
      <w:r w:rsidR="00FF5D04" w:rsidRPr="00F30104">
        <w:rPr>
          <w:rFonts w:ascii="Arial" w:hAnsi="Arial" w:cs="Arial"/>
          <w:lang w:val="en-GB"/>
        </w:rPr>
        <w:t>. However, in 2023,</w:t>
      </w:r>
      <w:r w:rsidR="006E64F0" w:rsidRPr="00F30104">
        <w:rPr>
          <w:rFonts w:ascii="Arial" w:hAnsi="Arial" w:cs="Arial"/>
          <w:lang w:val="en-GB"/>
        </w:rPr>
        <w:t xml:space="preserve"> </w:t>
      </w:r>
      <w:r w:rsidR="00FF5D04" w:rsidRPr="00F30104">
        <w:rPr>
          <w:rFonts w:ascii="Arial" w:hAnsi="Arial" w:cs="Arial"/>
          <w:lang w:val="en-GB"/>
        </w:rPr>
        <w:t xml:space="preserve">decreased with </w:t>
      </w:r>
      <w:r w:rsidR="0060429F" w:rsidRPr="00F30104">
        <w:rPr>
          <w:rFonts w:ascii="Arial" w:hAnsi="Arial" w:cs="Arial"/>
          <w:lang w:val="en-GB"/>
        </w:rPr>
        <w:t>13.04% to 0.80, but still above 0.67</w:t>
      </w:r>
      <w:r w:rsidR="006E64F0" w:rsidRPr="00F30104">
        <w:rPr>
          <w:rFonts w:ascii="Arial" w:hAnsi="Arial" w:cs="Arial"/>
          <w:lang w:val="en-GB"/>
        </w:rPr>
        <w:t>, which was the lowest point in 2019.</w:t>
      </w:r>
    </w:p>
    <w:p w14:paraId="33E6D0EA" w14:textId="139BDD4B" w:rsidR="00CB45DE" w:rsidRPr="00F30104" w:rsidRDefault="00CB45DE" w:rsidP="00F30104">
      <w:pPr>
        <w:spacing w:after="0" w:line="360" w:lineRule="auto"/>
        <w:contextualSpacing/>
        <w:jc w:val="both"/>
        <w:rPr>
          <w:rFonts w:ascii="Arial" w:hAnsi="Arial" w:cs="Arial"/>
          <w:lang w:val="en-GB"/>
        </w:rPr>
      </w:pPr>
      <w:r w:rsidRPr="00F30104">
        <w:rPr>
          <w:rFonts w:ascii="Arial" w:hAnsi="Arial" w:cs="Arial"/>
          <w:lang w:val="en-GB"/>
        </w:rPr>
        <w:t>Quick ratio M&amp;S</w:t>
      </w:r>
    </w:p>
    <w:tbl>
      <w:tblPr>
        <w:tblStyle w:val="TableGrid"/>
        <w:tblW w:w="0" w:type="auto"/>
        <w:tblLook w:val="04A0" w:firstRow="1" w:lastRow="0" w:firstColumn="1" w:lastColumn="0" w:noHBand="0" w:noVBand="1"/>
      </w:tblPr>
      <w:tblGrid>
        <w:gridCol w:w="4508"/>
        <w:gridCol w:w="4508"/>
      </w:tblGrid>
      <w:tr w:rsidR="00F30104" w:rsidRPr="00F30104" w14:paraId="5562FB42" w14:textId="77777777" w:rsidTr="00CB45DE">
        <w:tc>
          <w:tcPr>
            <w:tcW w:w="4508" w:type="dxa"/>
          </w:tcPr>
          <w:p w14:paraId="4223D099" w14:textId="15C87041" w:rsidR="00CB45DE" w:rsidRPr="00F30104" w:rsidRDefault="00013F7F" w:rsidP="00F30104">
            <w:pPr>
              <w:spacing w:line="360" w:lineRule="auto"/>
              <w:contextualSpacing/>
              <w:jc w:val="both"/>
              <w:rPr>
                <w:rFonts w:ascii="Arial" w:hAnsi="Arial" w:cs="Arial"/>
                <w:lang w:val="en-GB"/>
              </w:rPr>
            </w:pPr>
            <w:r w:rsidRPr="00F30104">
              <w:rPr>
                <w:rFonts w:ascii="Arial" w:hAnsi="Arial" w:cs="Arial"/>
                <w:lang w:val="en-GB"/>
              </w:rPr>
              <w:t>2023</w:t>
            </w:r>
          </w:p>
        </w:tc>
        <w:tc>
          <w:tcPr>
            <w:tcW w:w="4508" w:type="dxa"/>
          </w:tcPr>
          <w:p w14:paraId="730657CB" w14:textId="792ECD28" w:rsidR="00CB45DE" w:rsidRPr="00F30104" w:rsidRDefault="00E26CFF" w:rsidP="00F30104">
            <w:pPr>
              <w:spacing w:line="360" w:lineRule="auto"/>
              <w:contextualSpacing/>
              <w:jc w:val="both"/>
              <w:rPr>
                <w:rFonts w:ascii="Arial" w:hAnsi="Arial" w:cs="Arial"/>
                <w:lang w:val="en-GB"/>
              </w:rPr>
            </w:pPr>
            <w:r w:rsidRPr="00F30104">
              <w:rPr>
                <w:rFonts w:ascii="Arial" w:hAnsi="Arial" w:cs="Arial"/>
                <w:lang w:val="en-GB"/>
              </w:rPr>
              <w:t>0.51</w:t>
            </w:r>
          </w:p>
        </w:tc>
      </w:tr>
      <w:tr w:rsidR="00F30104" w:rsidRPr="00F30104" w14:paraId="6898C09A" w14:textId="77777777" w:rsidTr="00CB45DE">
        <w:tc>
          <w:tcPr>
            <w:tcW w:w="4508" w:type="dxa"/>
          </w:tcPr>
          <w:p w14:paraId="514DFE33" w14:textId="047DC752" w:rsidR="00CB45DE" w:rsidRPr="00F30104" w:rsidRDefault="00013F7F" w:rsidP="00F30104">
            <w:pPr>
              <w:spacing w:line="360" w:lineRule="auto"/>
              <w:contextualSpacing/>
              <w:jc w:val="both"/>
              <w:rPr>
                <w:rFonts w:ascii="Arial" w:hAnsi="Arial" w:cs="Arial"/>
                <w:lang w:val="en-GB"/>
              </w:rPr>
            </w:pPr>
            <w:r w:rsidRPr="00F30104">
              <w:rPr>
                <w:rFonts w:ascii="Arial" w:hAnsi="Arial" w:cs="Arial"/>
                <w:lang w:val="en-GB"/>
              </w:rPr>
              <w:t>2022</w:t>
            </w:r>
          </w:p>
        </w:tc>
        <w:tc>
          <w:tcPr>
            <w:tcW w:w="4508" w:type="dxa"/>
          </w:tcPr>
          <w:p w14:paraId="381DC198" w14:textId="51461A96" w:rsidR="00CB45DE" w:rsidRPr="00F30104" w:rsidRDefault="00E7305A" w:rsidP="00F30104">
            <w:pPr>
              <w:spacing w:line="360" w:lineRule="auto"/>
              <w:contextualSpacing/>
              <w:jc w:val="both"/>
              <w:rPr>
                <w:rFonts w:ascii="Arial" w:hAnsi="Arial" w:cs="Arial"/>
                <w:lang w:val="en-GB"/>
              </w:rPr>
            </w:pPr>
            <w:r w:rsidRPr="00F30104">
              <w:rPr>
                <w:rFonts w:ascii="Arial" w:hAnsi="Arial" w:cs="Arial"/>
                <w:lang w:val="en-GB"/>
              </w:rPr>
              <w:t>0.62</w:t>
            </w:r>
          </w:p>
        </w:tc>
      </w:tr>
      <w:tr w:rsidR="00F30104" w:rsidRPr="00F30104" w14:paraId="002450CB" w14:textId="77777777" w:rsidTr="00CB45DE">
        <w:tc>
          <w:tcPr>
            <w:tcW w:w="4508" w:type="dxa"/>
          </w:tcPr>
          <w:p w14:paraId="4721D2B9" w14:textId="0BF26D7C" w:rsidR="00CB45DE" w:rsidRPr="00F30104" w:rsidRDefault="00013F7F" w:rsidP="00F30104">
            <w:pPr>
              <w:spacing w:line="360" w:lineRule="auto"/>
              <w:contextualSpacing/>
              <w:jc w:val="both"/>
              <w:rPr>
                <w:rFonts w:ascii="Arial" w:hAnsi="Arial" w:cs="Arial"/>
                <w:lang w:val="en-GB"/>
              </w:rPr>
            </w:pPr>
            <w:r w:rsidRPr="00F30104">
              <w:rPr>
                <w:rFonts w:ascii="Arial" w:hAnsi="Arial" w:cs="Arial"/>
                <w:lang w:val="en-GB"/>
              </w:rPr>
              <w:t>2021</w:t>
            </w:r>
          </w:p>
        </w:tc>
        <w:tc>
          <w:tcPr>
            <w:tcW w:w="4508" w:type="dxa"/>
          </w:tcPr>
          <w:p w14:paraId="779DE9EE" w14:textId="7FDE26E8" w:rsidR="00CB45DE" w:rsidRPr="00F30104" w:rsidRDefault="00E7305A" w:rsidP="00F30104">
            <w:pPr>
              <w:spacing w:line="360" w:lineRule="auto"/>
              <w:contextualSpacing/>
              <w:jc w:val="both"/>
              <w:rPr>
                <w:rFonts w:ascii="Arial" w:hAnsi="Arial" w:cs="Arial"/>
                <w:lang w:val="en-GB"/>
              </w:rPr>
            </w:pPr>
            <w:r w:rsidRPr="00F30104">
              <w:rPr>
                <w:rFonts w:ascii="Arial" w:hAnsi="Arial" w:cs="Arial"/>
                <w:lang w:val="en-GB"/>
              </w:rPr>
              <w:t>0.42</w:t>
            </w:r>
          </w:p>
        </w:tc>
      </w:tr>
      <w:tr w:rsidR="00F30104" w:rsidRPr="00F30104" w14:paraId="64432F1E" w14:textId="77777777" w:rsidTr="00CB45DE">
        <w:tc>
          <w:tcPr>
            <w:tcW w:w="4508" w:type="dxa"/>
          </w:tcPr>
          <w:p w14:paraId="0C3C1CA5" w14:textId="156BEF59" w:rsidR="00CB45DE" w:rsidRPr="00F30104" w:rsidRDefault="00013F7F" w:rsidP="00F30104">
            <w:pPr>
              <w:spacing w:line="360" w:lineRule="auto"/>
              <w:contextualSpacing/>
              <w:jc w:val="both"/>
              <w:rPr>
                <w:rFonts w:ascii="Arial" w:hAnsi="Arial" w:cs="Arial"/>
                <w:lang w:val="en-GB"/>
              </w:rPr>
            </w:pPr>
            <w:r w:rsidRPr="00F30104">
              <w:rPr>
                <w:rFonts w:ascii="Arial" w:hAnsi="Arial" w:cs="Arial"/>
                <w:lang w:val="en-GB"/>
              </w:rPr>
              <w:t>2020</w:t>
            </w:r>
          </w:p>
        </w:tc>
        <w:tc>
          <w:tcPr>
            <w:tcW w:w="4508" w:type="dxa"/>
          </w:tcPr>
          <w:p w14:paraId="79238F73" w14:textId="44C33FE3" w:rsidR="00CB45DE" w:rsidRPr="00F30104" w:rsidRDefault="00E7305A" w:rsidP="00F30104">
            <w:pPr>
              <w:spacing w:line="360" w:lineRule="auto"/>
              <w:contextualSpacing/>
              <w:jc w:val="both"/>
              <w:rPr>
                <w:rFonts w:ascii="Arial" w:hAnsi="Arial" w:cs="Arial"/>
                <w:lang w:val="en-GB"/>
              </w:rPr>
            </w:pPr>
            <w:r w:rsidRPr="00F30104">
              <w:rPr>
                <w:rFonts w:ascii="Arial" w:hAnsi="Arial" w:cs="Arial"/>
                <w:lang w:val="en-GB"/>
              </w:rPr>
              <w:t>0.35</w:t>
            </w:r>
          </w:p>
        </w:tc>
      </w:tr>
      <w:tr w:rsidR="00F30104" w:rsidRPr="00F30104" w14:paraId="402D5711" w14:textId="77777777" w:rsidTr="00CB45DE">
        <w:tc>
          <w:tcPr>
            <w:tcW w:w="4508" w:type="dxa"/>
          </w:tcPr>
          <w:p w14:paraId="007388AA" w14:textId="05B01E73" w:rsidR="00CB45DE" w:rsidRPr="00F30104" w:rsidRDefault="00013F7F" w:rsidP="00F30104">
            <w:pPr>
              <w:spacing w:line="360" w:lineRule="auto"/>
              <w:contextualSpacing/>
              <w:jc w:val="both"/>
              <w:rPr>
                <w:rFonts w:ascii="Arial" w:hAnsi="Arial" w:cs="Arial"/>
                <w:lang w:val="en-GB"/>
              </w:rPr>
            </w:pPr>
            <w:r w:rsidRPr="00F30104">
              <w:rPr>
                <w:rFonts w:ascii="Arial" w:hAnsi="Arial" w:cs="Arial"/>
                <w:lang w:val="en-GB"/>
              </w:rPr>
              <w:t>2019</w:t>
            </w:r>
          </w:p>
        </w:tc>
        <w:tc>
          <w:tcPr>
            <w:tcW w:w="4508" w:type="dxa"/>
          </w:tcPr>
          <w:p w14:paraId="6B4E9169" w14:textId="09BB7481" w:rsidR="00CB45DE" w:rsidRPr="00F30104" w:rsidRDefault="00E7305A" w:rsidP="00F30104">
            <w:pPr>
              <w:spacing w:line="360" w:lineRule="auto"/>
              <w:contextualSpacing/>
              <w:jc w:val="both"/>
              <w:rPr>
                <w:rFonts w:ascii="Arial" w:hAnsi="Arial" w:cs="Arial"/>
                <w:lang w:val="en-GB"/>
              </w:rPr>
            </w:pPr>
            <w:r w:rsidRPr="00F30104">
              <w:rPr>
                <w:rFonts w:ascii="Arial" w:hAnsi="Arial" w:cs="Arial"/>
                <w:lang w:val="en-GB"/>
              </w:rPr>
              <w:t>0.35</w:t>
            </w:r>
          </w:p>
        </w:tc>
      </w:tr>
    </w:tbl>
    <w:p w14:paraId="5D4EA57F" w14:textId="17666E6A" w:rsidR="00CB45DE" w:rsidRPr="00F30104" w:rsidRDefault="00013F7F" w:rsidP="00F30104">
      <w:pPr>
        <w:spacing w:after="0" w:line="360" w:lineRule="auto"/>
        <w:contextualSpacing/>
        <w:jc w:val="both"/>
        <w:rPr>
          <w:rFonts w:ascii="Arial" w:hAnsi="Arial" w:cs="Arial"/>
          <w:lang w:val="en-GB"/>
        </w:rPr>
      </w:pPr>
      <w:r w:rsidRPr="00F30104">
        <w:rPr>
          <w:rFonts w:ascii="Arial" w:hAnsi="Arial" w:cs="Arial"/>
          <w:lang w:val="en-GB"/>
        </w:rPr>
        <w:t xml:space="preserve">Table </w:t>
      </w:r>
      <w:r w:rsidR="00887F08" w:rsidRPr="00F30104">
        <w:rPr>
          <w:rFonts w:ascii="Arial" w:hAnsi="Arial" w:cs="Arial"/>
          <w:lang w:val="en-GB"/>
        </w:rPr>
        <w:t>5</w:t>
      </w:r>
    </w:p>
    <w:p w14:paraId="7543CEC4" w14:textId="77777777" w:rsidR="004867EC" w:rsidRPr="00F30104" w:rsidRDefault="00D828BA" w:rsidP="00F30104">
      <w:pPr>
        <w:spacing w:after="0" w:line="360" w:lineRule="auto"/>
        <w:contextualSpacing/>
        <w:jc w:val="both"/>
        <w:rPr>
          <w:rFonts w:ascii="Arial" w:hAnsi="Arial" w:cs="Arial"/>
          <w:lang w:val="en-GB"/>
        </w:rPr>
      </w:pPr>
      <w:r w:rsidRPr="00F30104">
        <w:rPr>
          <w:rFonts w:ascii="Arial" w:hAnsi="Arial" w:cs="Arial"/>
          <w:noProof/>
          <w:lang w:val="en-GB"/>
        </w:rPr>
        <w:drawing>
          <wp:inline distT="0" distB="0" distL="0" distR="0" wp14:anchorId="427D6896" wp14:editId="0DD80FC5">
            <wp:extent cx="5724525" cy="1914525"/>
            <wp:effectExtent l="0" t="0" r="9525" b="9525"/>
            <wp:docPr id="14552507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r w:rsidR="00816806" w:rsidRPr="00F30104">
        <w:rPr>
          <w:rFonts w:ascii="Arial" w:hAnsi="Arial" w:cs="Arial"/>
          <w:lang w:val="en-GB"/>
        </w:rPr>
        <w:t>Figure 5</w:t>
      </w:r>
    </w:p>
    <w:p w14:paraId="34BBBFA6" w14:textId="785DA3E5" w:rsidR="001B53D2" w:rsidRPr="00F30104" w:rsidRDefault="004376EC" w:rsidP="00F30104">
      <w:pPr>
        <w:spacing w:after="0" w:line="360" w:lineRule="auto"/>
        <w:contextualSpacing/>
        <w:jc w:val="both"/>
        <w:rPr>
          <w:rFonts w:ascii="Arial" w:hAnsi="Arial" w:cs="Arial"/>
          <w:lang w:val="en-GB"/>
        </w:rPr>
      </w:pPr>
      <w:r w:rsidRPr="00F30104">
        <w:rPr>
          <w:rFonts w:ascii="Arial" w:hAnsi="Arial" w:cs="Arial"/>
          <w:lang w:val="en-GB"/>
        </w:rPr>
        <w:t xml:space="preserve">M&amp;S </w:t>
      </w:r>
      <w:r w:rsidR="00D77EA5" w:rsidRPr="00F30104">
        <w:rPr>
          <w:rFonts w:ascii="Arial" w:hAnsi="Arial" w:cs="Arial"/>
          <w:lang w:val="en-GB"/>
        </w:rPr>
        <w:t xml:space="preserve">quick ratio is </w:t>
      </w:r>
      <w:proofErr w:type="spellStart"/>
      <w:r w:rsidR="00D77EA5" w:rsidRPr="00F30104">
        <w:rPr>
          <w:rFonts w:ascii="Arial" w:hAnsi="Arial" w:cs="Arial"/>
          <w:lang w:val="en-GB"/>
        </w:rPr>
        <w:t>bellow</w:t>
      </w:r>
      <w:proofErr w:type="spellEnd"/>
      <w:r w:rsidR="00D77EA5" w:rsidRPr="00F30104">
        <w:rPr>
          <w:rFonts w:ascii="Arial" w:hAnsi="Arial" w:cs="Arial"/>
          <w:lang w:val="en-GB"/>
        </w:rPr>
        <w:t xml:space="preserve"> 1 for the last 5 years </w:t>
      </w:r>
      <w:r w:rsidR="00913B39" w:rsidRPr="00F30104">
        <w:rPr>
          <w:rFonts w:ascii="Arial" w:hAnsi="Arial" w:cs="Arial"/>
          <w:lang w:val="en-GB"/>
        </w:rPr>
        <w:t>indicating a potential liquidity concern. Over th</w:t>
      </w:r>
      <w:r w:rsidR="004867EC" w:rsidRPr="00F30104">
        <w:rPr>
          <w:rFonts w:ascii="Arial" w:hAnsi="Arial" w:cs="Arial"/>
          <w:lang w:val="en-GB"/>
        </w:rPr>
        <w:t xml:space="preserve">e last 5 years </w:t>
      </w:r>
      <w:r w:rsidR="001E65A3" w:rsidRPr="00F30104">
        <w:rPr>
          <w:rFonts w:ascii="Arial" w:hAnsi="Arial" w:cs="Arial"/>
          <w:lang w:val="en-GB"/>
        </w:rPr>
        <w:t>has seen some fluctuations</w:t>
      </w:r>
      <w:r w:rsidR="000C58E6" w:rsidRPr="00F30104">
        <w:rPr>
          <w:rFonts w:ascii="Arial" w:hAnsi="Arial" w:cs="Arial"/>
          <w:lang w:val="en-GB"/>
        </w:rPr>
        <w:t xml:space="preserve">. M&amp;S ratio </w:t>
      </w:r>
      <w:r w:rsidR="000A3938" w:rsidRPr="00F30104">
        <w:rPr>
          <w:rFonts w:ascii="Arial" w:hAnsi="Arial" w:cs="Arial"/>
          <w:lang w:val="en-GB"/>
        </w:rPr>
        <w:t>i</w:t>
      </w:r>
      <w:r w:rsidR="001E65A3" w:rsidRPr="00F30104">
        <w:rPr>
          <w:rFonts w:ascii="Arial" w:hAnsi="Arial" w:cs="Arial"/>
          <w:lang w:val="en-GB"/>
        </w:rPr>
        <w:t>mprov</w:t>
      </w:r>
      <w:r w:rsidR="000A3938" w:rsidRPr="00F30104">
        <w:rPr>
          <w:rFonts w:ascii="Arial" w:hAnsi="Arial" w:cs="Arial"/>
          <w:lang w:val="en-GB"/>
        </w:rPr>
        <w:t>ed</w:t>
      </w:r>
      <w:r w:rsidR="000C0D27" w:rsidRPr="00F30104">
        <w:rPr>
          <w:rFonts w:ascii="Arial" w:hAnsi="Arial" w:cs="Arial"/>
          <w:lang w:val="en-GB"/>
        </w:rPr>
        <w:t xml:space="preserve"> from </w:t>
      </w:r>
      <w:r w:rsidR="00F31F7B" w:rsidRPr="00F30104">
        <w:rPr>
          <w:rFonts w:ascii="Arial" w:hAnsi="Arial" w:cs="Arial"/>
          <w:lang w:val="en-GB"/>
        </w:rPr>
        <w:t xml:space="preserve">2019 to 2023 </w:t>
      </w:r>
      <w:r w:rsidR="00C95615" w:rsidRPr="00F30104">
        <w:rPr>
          <w:rFonts w:ascii="Arial" w:hAnsi="Arial" w:cs="Arial"/>
          <w:lang w:val="en-GB"/>
        </w:rPr>
        <w:t xml:space="preserve">with an </w:t>
      </w:r>
      <w:proofErr w:type="spellStart"/>
      <w:r w:rsidR="00C95615" w:rsidRPr="00F30104">
        <w:rPr>
          <w:rFonts w:ascii="Arial" w:hAnsi="Arial" w:cs="Arial"/>
          <w:lang w:val="en-GB"/>
        </w:rPr>
        <w:t>increased</w:t>
      </w:r>
      <w:proofErr w:type="spellEnd"/>
      <w:r w:rsidR="00C95615" w:rsidRPr="00F30104">
        <w:rPr>
          <w:rFonts w:ascii="Arial" w:hAnsi="Arial" w:cs="Arial"/>
          <w:lang w:val="en-GB"/>
        </w:rPr>
        <w:t xml:space="preserve"> of </w:t>
      </w:r>
      <w:r w:rsidR="000166AB" w:rsidRPr="00F30104">
        <w:rPr>
          <w:rFonts w:ascii="Arial" w:hAnsi="Arial" w:cs="Arial"/>
          <w:lang w:val="en-GB"/>
        </w:rPr>
        <w:t>45.</w:t>
      </w:r>
      <w:r w:rsidR="00DF583A" w:rsidRPr="00F30104">
        <w:rPr>
          <w:rFonts w:ascii="Arial" w:hAnsi="Arial" w:cs="Arial"/>
          <w:lang w:val="en-GB"/>
        </w:rPr>
        <w:t xml:space="preserve">00% </w:t>
      </w:r>
      <w:r w:rsidR="00B71F20" w:rsidRPr="00F30104">
        <w:rPr>
          <w:rFonts w:ascii="Arial" w:hAnsi="Arial" w:cs="Arial"/>
          <w:lang w:val="en-GB"/>
        </w:rPr>
        <w:t>from 0.35 to 0.51</w:t>
      </w:r>
      <w:r w:rsidR="000A3938" w:rsidRPr="00F30104">
        <w:rPr>
          <w:rFonts w:ascii="Arial" w:hAnsi="Arial" w:cs="Arial"/>
          <w:lang w:val="en-GB"/>
        </w:rPr>
        <w:t xml:space="preserve"> but in the last year </w:t>
      </w:r>
      <w:r w:rsidR="001B53D2" w:rsidRPr="00F30104">
        <w:rPr>
          <w:rFonts w:ascii="Arial" w:hAnsi="Arial" w:cs="Arial"/>
          <w:lang w:val="en-GB"/>
        </w:rPr>
        <w:t>decreased again</w:t>
      </w:r>
      <w:r w:rsidR="00134144" w:rsidRPr="00F30104">
        <w:rPr>
          <w:rFonts w:ascii="Arial" w:hAnsi="Arial" w:cs="Arial"/>
          <w:lang w:val="en-GB"/>
        </w:rPr>
        <w:t xml:space="preserve"> with 17.74</w:t>
      </w:r>
      <w:r w:rsidR="006E5808" w:rsidRPr="00F30104">
        <w:rPr>
          <w:rFonts w:ascii="Arial" w:hAnsi="Arial" w:cs="Arial"/>
          <w:lang w:val="en-GB"/>
        </w:rPr>
        <w:t>%. This</w:t>
      </w:r>
      <w:r w:rsidR="00134144" w:rsidRPr="00F30104">
        <w:rPr>
          <w:rFonts w:ascii="Arial" w:hAnsi="Arial" w:cs="Arial"/>
          <w:lang w:val="en-GB"/>
        </w:rPr>
        <w:t xml:space="preserve"> </w:t>
      </w:r>
      <w:r w:rsidR="00134144" w:rsidRPr="00F30104">
        <w:rPr>
          <w:rFonts w:ascii="Arial" w:hAnsi="Arial" w:cs="Arial"/>
          <w:lang w:val="en-GB"/>
        </w:rPr>
        <w:lastRenderedPageBreak/>
        <w:t xml:space="preserve">ratio indicates that M&amp;S has been working on improving its liquidity position, but still have some challenges in covering </w:t>
      </w:r>
      <w:r w:rsidR="006E5808" w:rsidRPr="00F30104">
        <w:rPr>
          <w:rFonts w:ascii="Arial" w:hAnsi="Arial" w:cs="Arial"/>
          <w:lang w:val="en-GB"/>
        </w:rPr>
        <w:t>short-term liabilities with quick assets.</w:t>
      </w:r>
    </w:p>
    <w:p w14:paraId="5963DB37" w14:textId="5766BC94" w:rsidR="00FE57B4" w:rsidRPr="00F30104" w:rsidRDefault="00FE57B4" w:rsidP="00F30104">
      <w:pPr>
        <w:pStyle w:val="Heading2"/>
      </w:pPr>
      <w:bookmarkStart w:id="5" w:name="_Toc151385668"/>
      <w:r w:rsidRPr="00F30104">
        <w:t>3.3 Efficiency ratios</w:t>
      </w:r>
      <w:bookmarkEnd w:id="5"/>
    </w:p>
    <w:p w14:paraId="65E75848" w14:textId="338CB84F" w:rsidR="00FE57B4" w:rsidRPr="00F30104" w:rsidRDefault="00FE57B4" w:rsidP="00F30104">
      <w:pPr>
        <w:spacing w:after="0" w:line="360" w:lineRule="auto"/>
        <w:contextualSpacing/>
        <w:jc w:val="both"/>
        <w:rPr>
          <w:rFonts w:ascii="Arial" w:hAnsi="Arial" w:cs="Arial"/>
          <w:lang w:val="en-GB"/>
        </w:rPr>
      </w:pPr>
      <w:r w:rsidRPr="00F30104">
        <w:rPr>
          <w:rFonts w:ascii="Arial" w:hAnsi="Arial" w:cs="Arial"/>
          <w:lang w:val="en-GB"/>
        </w:rPr>
        <w:t>The efficiency ratio is commonly employed as a metric for assessing the efficacy with which an organisation employs its internal assets and liabilities. The productivity ratio can be used to calculate several financial metrics, such as the turnover of receivables, the repayment of liabilities, the quantity and utilisation of equity, and the overall utilisation of inventories and equipment. The ratio serves as a valuable tool for the surveillance and examination of commercial and investment banks</w:t>
      </w:r>
      <w:r w:rsidR="00EF621A" w:rsidRPr="00F30104">
        <w:rPr>
          <w:rFonts w:ascii="Arial" w:hAnsi="Arial" w:cs="Arial"/>
          <w:lang w:val="en-GB"/>
        </w:rPr>
        <w:t>’</w:t>
      </w:r>
      <w:r w:rsidRPr="00F30104">
        <w:rPr>
          <w:rFonts w:ascii="Arial" w:hAnsi="Arial" w:cs="Arial"/>
          <w:lang w:val="en-GB"/>
        </w:rPr>
        <w:t xml:space="preserve"> performance (Kenton, 2021).</w:t>
      </w:r>
    </w:p>
    <w:p w14:paraId="32319325" w14:textId="7BAE6022" w:rsidR="00FE57B4" w:rsidRPr="00F30104" w:rsidRDefault="00FE57B4" w:rsidP="00F30104">
      <w:pPr>
        <w:spacing w:after="0" w:line="360" w:lineRule="auto"/>
        <w:contextualSpacing/>
        <w:jc w:val="center"/>
        <w:rPr>
          <w:rFonts w:ascii="Arial" w:hAnsi="Arial" w:cs="Arial"/>
          <w:i/>
          <w:iCs/>
          <w:lang w:val="en-GB"/>
        </w:rPr>
      </w:pPr>
      <w:r w:rsidRPr="00F30104">
        <w:rPr>
          <w:rFonts w:ascii="Arial" w:hAnsi="Arial" w:cs="Arial"/>
          <w:i/>
          <w:iCs/>
          <w:lang w:val="en-GB"/>
        </w:rPr>
        <w:t>Receivable collection</w:t>
      </w:r>
      <w:r w:rsidR="000D1FD8" w:rsidRPr="00F30104">
        <w:rPr>
          <w:rFonts w:ascii="Arial" w:hAnsi="Arial" w:cs="Arial"/>
          <w:i/>
          <w:iCs/>
          <w:lang w:val="en-GB"/>
        </w:rPr>
        <w:t>,</w:t>
      </w:r>
      <w:r w:rsidRPr="00F30104">
        <w:rPr>
          <w:rFonts w:ascii="Arial" w:hAnsi="Arial" w:cs="Arial"/>
          <w:i/>
          <w:iCs/>
          <w:lang w:val="en-GB"/>
        </w:rPr>
        <w:t xml:space="preserve"> payable payment period</w:t>
      </w:r>
      <w:r w:rsidR="000D1FD8" w:rsidRPr="00F30104">
        <w:rPr>
          <w:rFonts w:ascii="Arial" w:hAnsi="Arial" w:cs="Arial"/>
          <w:i/>
          <w:iCs/>
          <w:lang w:val="en-GB"/>
        </w:rPr>
        <w:t xml:space="preserve"> and inventory days</w:t>
      </w:r>
      <w:r w:rsidRPr="00F30104">
        <w:rPr>
          <w:rFonts w:ascii="Arial" w:hAnsi="Arial" w:cs="Arial"/>
          <w:i/>
          <w:iCs/>
          <w:lang w:val="en-GB"/>
        </w:rPr>
        <w:t xml:space="preserve"> M&amp;S</w:t>
      </w:r>
    </w:p>
    <w:tbl>
      <w:tblPr>
        <w:tblStyle w:val="TableGrid"/>
        <w:tblW w:w="0" w:type="auto"/>
        <w:tblLook w:val="04A0" w:firstRow="1" w:lastRow="0" w:firstColumn="1" w:lastColumn="0" w:noHBand="0" w:noVBand="1"/>
      </w:tblPr>
      <w:tblGrid>
        <w:gridCol w:w="1789"/>
        <w:gridCol w:w="1495"/>
        <w:gridCol w:w="1723"/>
        <w:gridCol w:w="1495"/>
        <w:gridCol w:w="1257"/>
        <w:gridCol w:w="1257"/>
      </w:tblGrid>
      <w:tr w:rsidR="00F30104" w:rsidRPr="00F30104" w14:paraId="06D89BEA" w14:textId="64756F63" w:rsidTr="00B0542A">
        <w:tc>
          <w:tcPr>
            <w:tcW w:w="1789" w:type="dxa"/>
          </w:tcPr>
          <w:p w14:paraId="383388AB" w14:textId="253828D1"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Receivable collection days</w:t>
            </w:r>
          </w:p>
        </w:tc>
        <w:tc>
          <w:tcPr>
            <w:tcW w:w="1495" w:type="dxa"/>
          </w:tcPr>
          <w:p w14:paraId="2C0EEA47" w14:textId="39BE5370"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Year</w:t>
            </w:r>
          </w:p>
        </w:tc>
        <w:tc>
          <w:tcPr>
            <w:tcW w:w="1723" w:type="dxa"/>
          </w:tcPr>
          <w:p w14:paraId="533E7DAF" w14:textId="2E47B676"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Payable payments period</w:t>
            </w:r>
          </w:p>
        </w:tc>
        <w:tc>
          <w:tcPr>
            <w:tcW w:w="1495" w:type="dxa"/>
          </w:tcPr>
          <w:p w14:paraId="1F687EE3" w14:textId="1EAA5D74"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 xml:space="preserve">Year </w:t>
            </w:r>
          </w:p>
        </w:tc>
        <w:tc>
          <w:tcPr>
            <w:tcW w:w="1257" w:type="dxa"/>
          </w:tcPr>
          <w:p w14:paraId="3B700739" w14:textId="36A7A2D9"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Inventory days</w:t>
            </w:r>
          </w:p>
        </w:tc>
        <w:tc>
          <w:tcPr>
            <w:tcW w:w="1257" w:type="dxa"/>
          </w:tcPr>
          <w:p w14:paraId="083F1D1C" w14:textId="6CF31AC1"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Year</w:t>
            </w:r>
          </w:p>
        </w:tc>
      </w:tr>
      <w:tr w:rsidR="00F30104" w:rsidRPr="00F30104" w14:paraId="1ADC13B2" w14:textId="784C5D1C" w:rsidTr="00B0542A">
        <w:tc>
          <w:tcPr>
            <w:tcW w:w="1789" w:type="dxa"/>
          </w:tcPr>
          <w:p w14:paraId="3EE2247E" w14:textId="6479403B"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3.76</w:t>
            </w:r>
          </w:p>
        </w:tc>
        <w:tc>
          <w:tcPr>
            <w:tcW w:w="1495" w:type="dxa"/>
          </w:tcPr>
          <w:p w14:paraId="049ED05E" w14:textId="26AEE9FA"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2023</w:t>
            </w:r>
          </w:p>
        </w:tc>
        <w:tc>
          <w:tcPr>
            <w:tcW w:w="1723" w:type="dxa"/>
          </w:tcPr>
          <w:p w14:paraId="5BAC4A6A" w14:textId="03608793"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24.53</w:t>
            </w:r>
          </w:p>
        </w:tc>
        <w:tc>
          <w:tcPr>
            <w:tcW w:w="1495" w:type="dxa"/>
          </w:tcPr>
          <w:p w14:paraId="7BAF9B0C" w14:textId="321CC6D4"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2023</w:t>
            </w:r>
          </w:p>
        </w:tc>
        <w:tc>
          <w:tcPr>
            <w:tcW w:w="1257" w:type="dxa"/>
          </w:tcPr>
          <w:p w14:paraId="39B42A74" w14:textId="00D4B151" w:rsidR="00B0542A" w:rsidRPr="00F30104" w:rsidRDefault="000D1FD8" w:rsidP="00F30104">
            <w:pPr>
              <w:spacing w:line="360" w:lineRule="auto"/>
              <w:contextualSpacing/>
              <w:jc w:val="both"/>
              <w:rPr>
                <w:rFonts w:ascii="Arial" w:hAnsi="Arial" w:cs="Arial"/>
                <w:lang w:val="en-GB"/>
              </w:rPr>
            </w:pPr>
            <w:r w:rsidRPr="00F30104">
              <w:rPr>
                <w:rFonts w:ascii="Arial" w:hAnsi="Arial" w:cs="Arial"/>
                <w:lang w:val="en-GB"/>
              </w:rPr>
              <w:t>3.5</w:t>
            </w:r>
          </w:p>
        </w:tc>
        <w:tc>
          <w:tcPr>
            <w:tcW w:w="1257" w:type="dxa"/>
          </w:tcPr>
          <w:p w14:paraId="249D063E" w14:textId="673B98FA"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2023</w:t>
            </w:r>
          </w:p>
        </w:tc>
      </w:tr>
      <w:tr w:rsidR="00F30104" w:rsidRPr="00F30104" w14:paraId="068F76E2" w14:textId="370530CC" w:rsidTr="00B0542A">
        <w:tc>
          <w:tcPr>
            <w:tcW w:w="1789" w:type="dxa"/>
          </w:tcPr>
          <w:p w14:paraId="07EC62B8" w14:textId="7AA2B15B"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3.29</w:t>
            </w:r>
          </w:p>
        </w:tc>
        <w:tc>
          <w:tcPr>
            <w:tcW w:w="1495" w:type="dxa"/>
          </w:tcPr>
          <w:p w14:paraId="1293D229" w14:textId="1F1E1F4C"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2022</w:t>
            </w:r>
          </w:p>
        </w:tc>
        <w:tc>
          <w:tcPr>
            <w:tcW w:w="1723" w:type="dxa"/>
          </w:tcPr>
          <w:p w14:paraId="4BF233E7" w14:textId="343679D5"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24.57</w:t>
            </w:r>
          </w:p>
        </w:tc>
        <w:tc>
          <w:tcPr>
            <w:tcW w:w="1495" w:type="dxa"/>
          </w:tcPr>
          <w:p w14:paraId="25BE09EC" w14:textId="06C91177"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2022</w:t>
            </w:r>
          </w:p>
        </w:tc>
        <w:tc>
          <w:tcPr>
            <w:tcW w:w="1257" w:type="dxa"/>
          </w:tcPr>
          <w:p w14:paraId="16675A63" w14:textId="7C1B86DA" w:rsidR="00B0542A" w:rsidRPr="00F30104" w:rsidRDefault="000D1FD8" w:rsidP="00F30104">
            <w:pPr>
              <w:spacing w:line="360" w:lineRule="auto"/>
              <w:contextualSpacing/>
              <w:jc w:val="both"/>
              <w:rPr>
                <w:rFonts w:ascii="Arial" w:hAnsi="Arial" w:cs="Arial"/>
                <w:lang w:val="en-GB"/>
              </w:rPr>
            </w:pPr>
            <w:r w:rsidRPr="00F30104">
              <w:rPr>
                <w:rFonts w:ascii="Arial" w:hAnsi="Arial" w:cs="Arial"/>
                <w:lang w:val="en-GB"/>
              </w:rPr>
              <w:t>3</w:t>
            </w:r>
            <w:r w:rsidR="00C42FFB" w:rsidRPr="00F30104">
              <w:rPr>
                <w:rFonts w:ascii="Arial" w:hAnsi="Arial" w:cs="Arial"/>
                <w:lang w:val="en-GB"/>
              </w:rPr>
              <w:t>.</w:t>
            </w:r>
            <w:r w:rsidRPr="00F30104">
              <w:rPr>
                <w:rFonts w:ascii="Arial" w:hAnsi="Arial" w:cs="Arial"/>
                <w:lang w:val="en-GB"/>
              </w:rPr>
              <w:t>6</w:t>
            </w:r>
          </w:p>
        </w:tc>
        <w:tc>
          <w:tcPr>
            <w:tcW w:w="1257" w:type="dxa"/>
          </w:tcPr>
          <w:p w14:paraId="5D2DC565" w14:textId="292FC34B"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2022</w:t>
            </w:r>
          </w:p>
        </w:tc>
      </w:tr>
      <w:tr w:rsidR="00F30104" w:rsidRPr="00F30104" w14:paraId="503C6034" w14:textId="3FFA91E0" w:rsidTr="00B0542A">
        <w:tc>
          <w:tcPr>
            <w:tcW w:w="1789" w:type="dxa"/>
          </w:tcPr>
          <w:p w14:paraId="48D06EE7" w14:textId="7A7E8B60"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4.23</w:t>
            </w:r>
          </w:p>
        </w:tc>
        <w:tc>
          <w:tcPr>
            <w:tcW w:w="1495" w:type="dxa"/>
          </w:tcPr>
          <w:p w14:paraId="7F3B7399" w14:textId="0D2AC4B5"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2021</w:t>
            </w:r>
          </w:p>
        </w:tc>
        <w:tc>
          <w:tcPr>
            <w:tcW w:w="1723" w:type="dxa"/>
          </w:tcPr>
          <w:p w14:paraId="26CEB310" w14:textId="111BBFB2" w:rsidR="00B0542A" w:rsidRPr="00F30104" w:rsidRDefault="000D1FD8" w:rsidP="00F30104">
            <w:pPr>
              <w:spacing w:line="360" w:lineRule="auto"/>
              <w:contextualSpacing/>
              <w:jc w:val="both"/>
              <w:rPr>
                <w:rFonts w:ascii="Arial" w:hAnsi="Arial" w:cs="Arial"/>
                <w:lang w:val="en-GB"/>
              </w:rPr>
            </w:pPr>
            <w:r w:rsidRPr="00F30104">
              <w:rPr>
                <w:rFonts w:ascii="Arial" w:hAnsi="Arial" w:cs="Arial"/>
                <w:lang w:val="en-GB"/>
              </w:rPr>
              <w:t>25.31</w:t>
            </w:r>
          </w:p>
        </w:tc>
        <w:tc>
          <w:tcPr>
            <w:tcW w:w="1495" w:type="dxa"/>
          </w:tcPr>
          <w:p w14:paraId="62B837AA" w14:textId="23ADE280"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2021</w:t>
            </w:r>
          </w:p>
        </w:tc>
        <w:tc>
          <w:tcPr>
            <w:tcW w:w="1257" w:type="dxa"/>
          </w:tcPr>
          <w:p w14:paraId="18E6235E" w14:textId="65C07C08" w:rsidR="00B0542A" w:rsidRPr="00F30104" w:rsidRDefault="000D1FD8" w:rsidP="00F30104">
            <w:pPr>
              <w:spacing w:line="360" w:lineRule="auto"/>
              <w:contextualSpacing/>
              <w:jc w:val="both"/>
              <w:rPr>
                <w:rFonts w:ascii="Arial" w:hAnsi="Arial" w:cs="Arial"/>
                <w:lang w:val="en-GB"/>
              </w:rPr>
            </w:pPr>
            <w:r w:rsidRPr="00F30104">
              <w:rPr>
                <w:rFonts w:ascii="Arial" w:hAnsi="Arial" w:cs="Arial"/>
                <w:lang w:val="en-GB"/>
              </w:rPr>
              <w:t>3</w:t>
            </w:r>
            <w:r w:rsidR="00C42FFB" w:rsidRPr="00F30104">
              <w:rPr>
                <w:rFonts w:ascii="Arial" w:hAnsi="Arial" w:cs="Arial"/>
                <w:lang w:val="en-GB"/>
              </w:rPr>
              <w:t>.</w:t>
            </w:r>
            <w:r w:rsidRPr="00F30104">
              <w:rPr>
                <w:rFonts w:ascii="Arial" w:hAnsi="Arial" w:cs="Arial"/>
                <w:lang w:val="en-GB"/>
              </w:rPr>
              <w:t>6</w:t>
            </w:r>
          </w:p>
        </w:tc>
        <w:tc>
          <w:tcPr>
            <w:tcW w:w="1257" w:type="dxa"/>
          </w:tcPr>
          <w:p w14:paraId="0ABB2495" w14:textId="3A9CA7CD"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2021</w:t>
            </w:r>
          </w:p>
        </w:tc>
      </w:tr>
      <w:tr w:rsidR="00F30104" w:rsidRPr="00F30104" w14:paraId="29C67FD0" w14:textId="48771250" w:rsidTr="00B0542A">
        <w:tc>
          <w:tcPr>
            <w:tcW w:w="1789" w:type="dxa"/>
          </w:tcPr>
          <w:p w14:paraId="374396DD" w14:textId="4EC9D084"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5.26</w:t>
            </w:r>
          </w:p>
        </w:tc>
        <w:tc>
          <w:tcPr>
            <w:tcW w:w="1495" w:type="dxa"/>
          </w:tcPr>
          <w:p w14:paraId="36FF6C4F" w14:textId="4D1E405D"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2020</w:t>
            </w:r>
          </w:p>
        </w:tc>
        <w:tc>
          <w:tcPr>
            <w:tcW w:w="1723" w:type="dxa"/>
          </w:tcPr>
          <w:p w14:paraId="7FEAEC3C" w14:textId="69C1B0CF"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33.81</w:t>
            </w:r>
          </w:p>
        </w:tc>
        <w:tc>
          <w:tcPr>
            <w:tcW w:w="1495" w:type="dxa"/>
          </w:tcPr>
          <w:p w14:paraId="7275BC52" w14:textId="68BD4C8D"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2020</w:t>
            </w:r>
          </w:p>
        </w:tc>
        <w:tc>
          <w:tcPr>
            <w:tcW w:w="1257" w:type="dxa"/>
          </w:tcPr>
          <w:p w14:paraId="0010225C" w14:textId="131EF9F8" w:rsidR="00B0542A" w:rsidRPr="00F30104" w:rsidRDefault="000D1FD8" w:rsidP="00F30104">
            <w:pPr>
              <w:spacing w:line="360" w:lineRule="auto"/>
              <w:contextualSpacing/>
              <w:jc w:val="both"/>
              <w:rPr>
                <w:rFonts w:ascii="Arial" w:hAnsi="Arial" w:cs="Arial"/>
                <w:lang w:val="en-GB"/>
              </w:rPr>
            </w:pPr>
            <w:r w:rsidRPr="00F30104">
              <w:rPr>
                <w:rFonts w:ascii="Arial" w:hAnsi="Arial" w:cs="Arial"/>
                <w:lang w:val="en-GB"/>
              </w:rPr>
              <w:t>3</w:t>
            </w:r>
            <w:r w:rsidR="00C42FFB" w:rsidRPr="00F30104">
              <w:rPr>
                <w:rFonts w:ascii="Arial" w:hAnsi="Arial" w:cs="Arial"/>
                <w:lang w:val="en-GB"/>
              </w:rPr>
              <w:t>.</w:t>
            </w:r>
            <w:r w:rsidRPr="00F30104">
              <w:rPr>
                <w:rFonts w:ascii="Arial" w:hAnsi="Arial" w:cs="Arial"/>
                <w:lang w:val="en-GB"/>
              </w:rPr>
              <w:t>1</w:t>
            </w:r>
          </w:p>
        </w:tc>
        <w:tc>
          <w:tcPr>
            <w:tcW w:w="1257" w:type="dxa"/>
          </w:tcPr>
          <w:p w14:paraId="1B066B05" w14:textId="175BE86F"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2020</w:t>
            </w:r>
          </w:p>
        </w:tc>
      </w:tr>
      <w:tr w:rsidR="00F30104" w:rsidRPr="00F30104" w14:paraId="5675F3E5" w14:textId="60445E21" w:rsidTr="00B0542A">
        <w:tc>
          <w:tcPr>
            <w:tcW w:w="1789" w:type="dxa"/>
          </w:tcPr>
          <w:p w14:paraId="3F87DB02" w14:textId="7BF8A81F"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4.17</w:t>
            </w:r>
          </w:p>
        </w:tc>
        <w:tc>
          <w:tcPr>
            <w:tcW w:w="1495" w:type="dxa"/>
          </w:tcPr>
          <w:p w14:paraId="59E99F89" w14:textId="2D441147"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2019</w:t>
            </w:r>
          </w:p>
        </w:tc>
        <w:tc>
          <w:tcPr>
            <w:tcW w:w="1723" w:type="dxa"/>
          </w:tcPr>
          <w:p w14:paraId="729A335E" w14:textId="5B7D33B9"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32.05</w:t>
            </w:r>
          </w:p>
        </w:tc>
        <w:tc>
          <w:tcPr>
            <w:tcW w:w="1495" w:type="dxa"/>
          </w:tcPr>
          <w:p w14:paraId="20B18CDE" w14:textId="7EDCE1FD"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2019</w:t>
            </w:r>
          </w:p>
        </w:tc>
        <w:tc>
          <w:tcPr>
            <w:tcW w:w="1257" w:type="dxa"/>
          </w:tcPr>
          <w:p w14:paraId="36D29D88" w14:textId="719316B3" w:rsidR="00B0542A" w:rsidRPr="00F30104" w:rsidRDefault="000D1FD8" w:rsidP="00F30104">
            <w:pPr>
              <w:spacing w:line="360" w:lineRule="auto"/>
              <w:contextualSpacing/>
              <w:jc w:val="both"/>
              <w:rPr>
                <w:rFonts w:ascii="Arial" w:hAnsi="Arial" w:cs="Arial"/>
                <w:lang w:val="en-GB"/>
              </w:rPr>
            </w:pPr>
            <w:r w:rsidRPr="00F30104">
              <w:rPr>
                <w:rFonts w:ascii="Arial" w:hAnsi="Arial" w:cs="Arial"/>
                <w:lang w:val="en-GB"/>
              </w:rPr>
              <w:t>3</w:t>
            </w:r>
            <w:r w:rsidR="00C42FFB" w:rsidRPr="00F30104">
              <w:rPr>
                <w:rFonts w:ascii="Arial" w:hAnsi="Arial" w:cs="Arial"/>
                <w:lang w:val="en-GB"/>
              </w:rPr>
              <w:t>.</w:t>
            </w:r>
            <w:r w:rsidRPr="00F30104">
              <w:rPr>
                <w:rFonts w:ascii="Arial" w:hAnsi="Arial" w:cs="Arial"/>
                <w:lang w:val="en-GB"/>
              </w:rPr>
              <w:t>9</w:t>
            </w:r>
          </w:p>
        </w:tc>
        <w:tc>
          <w:tcPr>
            <w:tcW w:w="1257" w:type="dxa"/>
          </w:tcPr>
          <w:p w14:paraId="39DC047C" w14:textId="63DCE458" w:rsidR="00B0542A" w:rsidRPr="00F30104" w:rsidRDefault="00B0542A" w:rsidP="00F30104">
            <w:pPr>
              <w:spacing w:line="360" w:lineRule="auto"/>
              <w:contextualSpacing/>
              <w:jc w:val="both"/>
              <w:rPr>
                <w:rFonts w:ascii="Arial" w:hAnsi="Arial" w:cs="Arial"/>
                <w:lang w:val="en-GB"/>
              </w:rPr>
            </w:pPr>
            <w:r w:rsidRPr="00F30104">
              <w:rPr>
                <w:rFonts w:ascii="Arial" w:hAnsi="Arial" w:cs="Arial"/>
                <w:lang w:val="en-GB"/>
              </w:rPr>
              <w:t>2019</w:t>
            </w:r>
          </w:p>
        </w:tc>
      </w:tr>
    </w:tbl>
    <w:p w14:paraId="72EA6561" w14:textId="3B7270E4" w:rsidR="00FE57B4" w:rsidRPr="00F30104" w:rsidRDefault="00810330" w:rsidP="00F30104">
      <w:pPr>
        <w:spacing w:after="0" w:line="360" w:lineRule="auto"/>
        <w:contextualSpacing/>
        <w:jc w:val="center"/>
        <w:rPr>
          <w:rFonts w:ascii="Arial" w:hAnsi="Arial" w:cs="Arial"/>
          <w:lang w:val="en-GB"/>
        </w:rPr>
      </w:pPr>
      <w:r w:rsidRPr="00F30104">
        <w:rPr>
          <w:rFonts w:ascii="Arial" w:hAnsi="Arial" w:cs="Arial"/>
          <w:lang w:val="en-GB"/>
        </w:rPr>
        <w:t>Table 6</w:t>
      </w:r>
    </w:p>
    <w:p w14:paraId="5CCF80FA" w14:textId="565CB444" w:rsidR="005A1984" w:rsidRPr="00F30104" w:rsidRDefault="005A1984" w:rsidP="00F30104">
      <w:pPr>
        <w:spacing w:after="0" w:line="360" w:lineRule="auto"/>
        <w:contextualSpacing/>
        <w:jc w:val="both"/>
        <w:rPr>
          <w:rFonts w:ascii="Arial" w:hAnsi="Arial" w:cs="Arial"/>
          <w:lang/>
        </w:rPr>
      </w:pPr>
      <w:r w:rsidRPr="00F30104">
        <w:rPr>
          <w:rFonts w:ascii="Arial" w:hAnsi="Arial" w:cs="Arial"/>
          <w:lang w:val="en-US"/>
        </w:rPr>
        <w:t>For r</w:t>
      </w:r>
      <w:r w:rsidRPr="00F30104">
        <w:rPr>
          <w:rFonts w:ascii="Arial" w:hAnsi="Arial" w:cs="Arial"/>
          <w:lang/>
        </w:rPr>
        <w:t>eceivable collection days measure how quickly a company collects payments from its customers. A lower number of days indicates faster collection. M&amp;S has shown a consistent improvement in this ratio from 2019 (4.17 days) to 2023 (3.76 days). This suggests that M&amp;S has become more efficient in collecting payments from its customers over the years, potentially improving its cash flow and liquidity.</w:t>
      </w:r>
      <w:r w:rsidRPr="00F30104">
        <w:rPr>
          <w:rFonts w:ascii="Arial" w:hAnsi="Arial" w:cs="Arial"/>
          <w:lang w:val="en-US"/>
        </w:rPr>
        <w:t xml:space="preserve"> For t</w:t>
      </w:r>
      <w:r w:rsidRPr="00F30104">
        <w:rPr>
          <w:rFonts w:ascii="Arial" w:hAnsi="Arial" w:cs="Arial"/>
          <w:lang/>
        </w:rPr>
        <w:t xml:space="preserve">he payable payment period measures how </w:t>
      </w:r>
      <w:r w:rsidR="006E2872" w:rsidRPr="00F30104">
        <w:rPr>
          <w:rFonts w:ascii="Arial" w:hAnsi="Arial" w:cs="Arial"/>
          <w:lang/>
        </w:rPr>
        <w:t>long,</w:t>
      </w:r>
      <w:r w:rsidRPr="00F30104">
        <w:rPr>
          <w:rFonts w:ascii="Arial" w:hAnsi="Arial" w:cs="Arial"/>
          <w:lang/>
        </w:rPr>
        <w:t xml:space="preserve"> a company takes to pay its suppliers. A longer period can be beneficial as it allows a company to hold onto its cash for a longer time. In the case of M&amp;S, the payable payment period has remained relatively stable, with a slight increase from 32.05 days in 2019 to 24.53 days in 2023. This suggests that M&amp;S has maintained a consistent approach to managing its payables.</w:t>
      </w:r>
      <w:r w:rsidRPr="00F30104">
        <w:rPr>
          <w:rFonts w:ascii="Arial" w:hAnsi="Arial" w:cs="Arial"/>
          <w:lang w:val="en-US"/>
        </w:rPr>
        <w:t xml:space="preserve"> </w:t>
      </w:r>
      <w:r w:rsidRPr="00F30104">
        <w:rPr>
          <w:rFonts w:ascii="Arial" w:hAnsi="Arial" w:cs="Arial"/>
          <w:lang/>
        </w:rPr>
        <w:t>Inventory days reflect how quickly a company turns its inventory into sales. A lower number of days indicates efficient inventory management. M&amp;S has maintained a relatively stable inventory days ratio, fluctuating between 3.1 days in 2020 and 3.6 days in 2021 and 2022 before decreasing to 3.5 days in 2023. This suggests that M&amp;S has been effective in managing its inventory levels over the years.</w:t>
      </w:r>
    </w:p>
    <w:p w14:paraId="0D556638" w14:textId="77777777" w:rsidR="00C73D13" w:rsidRPr="00F30104" w:rsidRDefault="00C73D13" w:rsidP="00F30104">
      <w:pPr>
        <w:spacing w:after="0" w:line="360" w:lineRule="auto"/>
        <w:contextualSpacing/>
        <w:rPr>
          <w:rFonts w:ascii="Arial" w:eastAsiaTheme="majorEastAsia" w:hAnsi="Arial" w:cs="Arial"/>
          <w:b/>
          <w:bCs/>
          <w:lang w:val="en-GB"/>
        </w:rPr>
      </w:pPr>
      <w:r w:rsidRPr="00F30104">
        <w:rPr>
          <w:rFonts w:ascii="Arial" w:hAnsi="Arial" w:cs="Arial"/>
        </w:rPr>
        <w:br w:type="page"/>
      </w:r>
    </w:p>
    <w:p w14:paraId="62AABA8F" w14:textId="553C8209" w:rsidR="005A1984" w:rsidRPr="00F30104" w:rsidRDefault="005A1984" w:rsidP="00F30104">
      <w:pPr>
        <w:pStyle w:val="Heading2"/>
      </w:pPr>
      <w:bookmarkStart w:id="6" w:name="_Toc151385669"/>
      <w:r w:rsidRPr="00F30104">
        <w:lastRenderedPageBreak/>
        <w:t>3.4 Investment Ratio</w:t>
      </w:r>
      <w:bookmarkEnd w:id="6"/>
    </w:p>
    <w:tbl>
      <w:tblPr>
        <w:tblStyle w:val="TableGrid"/>
        <w:tblW w:w="10380" w:type="dxa"/>
        <w:tblLook w:val="04A0" w:firstRow="1" w:lastRow="0" w:firstColumn="1" w:lastColumn="0" w:noHBand="0" w:noVBand="1"/>
      </w:tblPr>
      <w:tblGrid>
        <w:gridCol w:w="4115"/>
        <w:gridCol w:w="1253"/>
        <w:gridCol w:w="1253"/>
        <w:gridCol w:w="1253"/>
        <w:gridCol w:w="1253"/>
        <w:gridCol w:w="1253"/>
      </w:tblGrid>
      <w:tr w:rsidR="00F30104" w:rsidRPr="00F30104" w14:paraId="23211081" w14:textId="77777777" w:rsidTr="00C73D13">
        <w:tc>
          <w:tcPr>
            <w:tcW w:w="0" w:type="auto"/>
            <w:hideMark/>
          </w:tcPr>
          <w:p w14:paraId="37187627" w14:textId="77777777" w:rsidR="00C73D13" w:rsidRPr="00F30104" w:rsidRDefault="00C73D13" w:rsidP="00F30104">
            <w:pPr>
              <w:spacing w:line="360" w:lineRule="auto"/>
              <w:contextualSpacing/>
              <w:rPr>
                <w:rFonts w:ascii="Arial" w:hAnsi="Arial" w:cs="Arial"/>
                <w:b/>
                <w:bCs/>
                <w:lang/>
              </w:rPr>
            </w:pPr>
            <w:r w:rsidRPr="00F30104">
              <w:rPr>
                <w:rFonts w:ascii="Arial" w:hAnsi="Arial" w:cs="Arial"/>
                <w:b/>
                <w:bCs/>
                <w:lang/>
              </w:rPr>
              <w:t>Investment Ratios</w:t>
            </w:r>
          </w:p>
        </w:tc>
        <w:tc>
          <w:tcPr>
            <w:tcW w:w="0" w:type="auto"/>
            <w:hideMark/>
          </w:tcPr>
          <w:p w14:paraId="40798345" w14:textId="77777777" w:rsidR="00C73D13" w:rsidRPr="00F30104" w:rsidRDefault="00C73D13" w:rsidP="00F30104">
            <w:pPr>
              <w:spacing w:line="360" w:lineRule="auto"/>
              <w:contextualSpacing/>
              <w:rPr>
                <w:rFonts w:ascii="Arial" w:hAnsi="Arial" w:cs="Arial"/>
                <w:b/>
                <w:bCs/>
                <w:lang/>
              </w:rPr>
            </w:pPr>
            <w:r w:rsidRPr="00F30104">
              <w:rPr>
                <w:rFonts w:ascii="Arial" w:hAnsi="Arial" w:cs="Arial"/>
                <w:b/>
                <w:bCs/>
                <w:lang/>
              </w:rPr>
              <w:t>2023</w:t>
            </w:r>
          </w:p>
        </w:tc>
        <w:tc>
          <w:tcPr>
            <w:tcW w:w="0" w:type="auto"/>
            <w:hideMark/>
          </w:tcPr>
          <w:p w14:paraId="10ADC463" w14:textId="77777777" w:rsidR="00C73D13" w:rsidRPr="00F30104" w:rsidRDefault="00C73D13" w:rsidP="00F30104">
            <w:pPr>
              <w:spacing w:line="360" w:lineRule="auto"/>
              <w:contextualSpacing/>
              <w:rPr>
                <w:rFonts w:ascii="Arial" w:hAnsi="Arial" w:cs="Arial"/>
                <w:b/>
                <w:bCs/>
                <w:lang/>
              </w:rPr>
            </w:pPr>
            <w:r w:rsidRPr="00F30104">
              <w:rPr>
                <w:rFonts w:ascii="Arial" w:hAnsi="Arial" w:cs="Arial"/>
                <w:b/>
                <w:bCs/>
                <w:lang/>
              </w:rPr>
              <w:t>2022</w:t>
            </w:r>
          </w:p>
        </w:tc>
        <w:tc>
          <w:tcPr>
            <w:tcW w:w="0" w:type="auto"/>
            <w:hideMark/>
          </w:tcPr>
          <w:p w14:paraId="7553C707" w14:textId="77777777" w:rsidR="00C73D13" w:rsidRPr="00F30104" w:rsidRDefault="00C73D13" w:rsidP="00F30104">
            <w:pPr>
              <w:spacing w:line="360" w:lineRule="auto"/>
              <w:contextualSpacing/>
              <w:rPr>
                <w:rFonts w:ascii="Arial" w:hAnsi="Arial" w:cs="Arial"/>
                <w:b/>
                <w:bCs/>
                <w:lang/>
              </w:rPr>
            </w:pPr>
            <w:r w:rsidRPr="00F30104">
              <w:rPr>
                <w:rFonts w:ascii="Arial" w:hAnsi="Arial" w:cs="Arial"/>
                <w:b/>
                <w:bCs/>
                <w:lang/>
              </w:rPr>
              <w:t>2021</w:t>
            </w:r>
          </w:p>
        </w:tc>
        <w:tc>
          <w:tcPr>
            <w:tcW w:w="0" w:type="auto"/>
            <w:hideMark/>
          </w:tcPr>
          <w:p w14:paraId="2A07592C" w14:textId="77777777" w:rsidR="00C73D13" w:rsidRPr="00F30104" w:rsidRDefault="00C73D13" w:rsidP="00F30104">
            <w:pPr>
              <w:spacing w:line="360" w:lineRule="auto"/>
              <w:contextualSpacing/>
              <w:rPr>
                <w:rFonts w:ascii="Arial" w:hAnsi="Arial" w:cs="Arial"/>
                <w:b/>
                <w:bCs/>
                <w:lang/>
              </w:rPr>
            </w:pPr>
            <w:r w:rsidRPr="00F30104">
              <w:rPr>
                <w:rFonts w:ascii="Arial" w:hAnsi="Arial" w:cs="Arial"/>
                <w:b/>
                <w:bCs/>
                <w:lang/>
              </w:rPr>
              <w:t>2020</w:t>
            </w:r>
          </w:p>
        </w:tc>
        <w:tc>
          <w:tcPr>
            <w:tcW w:w="0" w:type="auto"/>
            <w:hideMark/>
          </w:tcPr>
          <w:p w14:paraId="76F4A9C0" w14:textId="77777777" w:rsidR="00C73D13" w:rsidRPr="00F30104" w:rsidRDefault="00C73D13" w:rsidP="00F30104">
            <w:pPr>
              <w:spacing w:line="360" w:lineRule="auto"/>
              <w:contextualSpacing/>
              <w:rPr>
                <w:rFonts w:ascii="Arial" w:hAnsi="Arial" w:cs="Arial"/>
                <w:b/>
                <w:bCs/>
                <w:lang/>
              </w:rPr>
            </w:pPr>
            <w:r w:rsidRPr="00F30104">
              <w:rPr>
                <w:rFonts w:ascii="Arial" w:hAnsi="Arial" w:cs="Arial"/>
                <w:b/>
                <w:bCs/>
                <w:lang/>
              </w:rPr>
              <w:t>2019</w:t>
            </w:r>
          </w:p>
        </w:tc>
      </w:tr>
      <w:tr w:rsidR="00F30104" w:rsidRPr="00F30104" w14:paraId="7B760DDF" w14:textId="77777777" w:rsidTr="00C73D13">
        <w:tc>
          <w:tcPr>
            <w:tcW w:w="0" w:type="auto"/>
            <w:hideMark/>
          </w:tcPr>
          <w:p w14:paraId="4682F21D"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Return on Assets (ROA)</w:t>
            </w:r>
          </w:p>
        </w:tc>
        <w:tc>
          <w:tcPr>
            <w:tcW w:w="0" w:type="auto"/>
            <w:hideMark/>
          </w:tcPr>
          <w:p w14:paraId="288F26CA"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31.0%</w:t>
            </w:r>
          </w:p>
        </w:tc>
        <w:tc>
          <w:tcPr>
            <w:tcW w:w="0" w:type="auto"/>
            <w:hideMark/>
          </w:tcPr>
          <w:p w14:paraId="16CFEE93"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30.9%</w:t>
            </w:r>
          </w:p>
        </w:tc>
        <w:tc>
          <w:tcPr>
            <w:tcW w:w="0" w:type="auto"/>
            <w:hideMark/>
          </w:tcPr>
          <w:p w14:paraId="4200330D"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26.4%</w:t>
            </w:r>
          </w:p>
        </w:tc>
        <w:tc>
          <w:tcPr>
            <w:tcW w:w="0" w:type="auto"/>
            <w:hideMark/>
          </w:tcPr>
          <w:p w14:paraId="1CB355AA"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36.4%</w:t>
            </w:r>
          </w:p>
        </w:tc>
        <w:tc>
          <w:tcPr>
            <w:tcW w:w="0" w:type="auto"/>
            <w:hideMark/>
          </w:tcPr>
          <w:p w14:paraId="26EA095D"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37.2%</w:t>
            </w:r>
          </w:p>
        </w:tc>
      </w:tr>
      <w:tr w:rsidR="00F30104" w:rsidRPr="00F30104" w14:paraId="7126D6AB" w14:textId="77777777" w:rsidTr="00C73D13">
        <w:tc>
          <w:tcPr>
            <w:tcW w:w="0" w:type="auto"/>
            <w:hideMark/>
          </w:tcPr>
          <w:p w14:paraId="7AFF2316"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Return on Equity (ROE)</w:t>
            </w:r>
          </w:p>
        </w:tc>
        <w:tc>
          <w:tcPr>
            <w:tcW w:w="0" w:type="auto"/>
            <w:hideMark/>
          </w:tcPr>
          <w:p w14:paraId="28F20598"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11.3%</w:t>
            </w:r>
          </w:p>
        </w:tc>
        <w:tc>
          <w:tcPr>
            <w:tcW w:w="0" w:type="auto"/>
            <w:hideMark/>
          </w:tcPr>
          <w:p w14:paraId="67CD62C5"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11.7%</w:t>
            </w:r>
          </w:p>
        </w:tc>
        <w:tc>
          <w:tcPr>
            <w:tcW w:w="0" w:type="auto"/>
            <w:hideMark/>
          </w:tcPr>
          <w:p w14:paraId="4D531581"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9.5%</w:t>
            </w:r>
          </w:p>
        </w:tc>
        <w:tc>
          <w:tcPr>
            <w:tcW w:w="0" w:type="auto"/>
            <w:hideMark/>
          </w:tcPr>
          <w:p w14:paraId="076CCBF6"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13.5%</w:t>
            </w:r>
          </w:p>
        </w:tc>
        <w:tc>
          <w:tcPr>
            <w:tcW w:w="0" w:type="auto"/>
            <w:hideMark/>
          </w:tcPr>
          <w:p w14:paraId="73D94487"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15.0%</w:t>
            </w:r>
          </w:p>
        </w:tc>
      </w:tr>
      <w:tr w:rsidR="00F30104" w:rsidRPr="00F30104" w14:paraId="7A7C8A39" w14:textId="77777777" w:rsidTr="00C73D13">
        <w:tc>
          <w:tcPr>
            <w:tcW w:w="0" w:type="auto"/>
            <w:hideMark/>
          </w:tcPr>
          <w:p w14:paraId="7A06400D"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Earnings per Share (EPS)</w:t>
            </w:r>
          </w:p>
        </w:tc>
        <w:tc>
          <w:tcPr>
            <w:tcW w:w="0" w:type="auto"/>
            <w:hideMark/>
          </w:tcPr>
          <w:p w14:paraId="5CD41C25"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£0.75</w:t>
            </w:r>
          </w:p>
        </w:tc>
        <w:tc>
          <w:tcPr>
            <w:tcW w:w="0" w:type="auto"/>
            <w:hideMark/>
          </w:tcPr>
          <w:p w14:paraId="5048A729"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£0.77</w:t>
            </w:r>
          </w:p>
        </w:tc>
        <w:tc>
          <w:tcPr>
            <w:tcW w:w="0" w:type="auto"/>
            <w:hideMark/>
          </w:tcPr>
          <w:p w14:paraId="0E41A311"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£0.59</w:t>
            </w:r>
          </w:p>
        </w:tc>
        <w:tc>
          <w:tcPr>
            <w:tcW w:w="0" w:type="auto"/>
            <w:hideMark/>
          </w:tcPr>
          <w:p w14:paraId="07198E7C"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£0.82</w:t>
            </w:r>
          </w:p>
        </w:tc>
        <w:tc>
          <w:tcPr>
            <w:tcW w:w="0" w:type="auto"/>
            <w:hideMark/>
          </w:tcPr>
          <w:p w14:paraId="7A7BCD36"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£0.91</w:t>
            </w:r>
          </w:p>
        </w:tc>
      </w:tr>
      <w:tr w:rsidR="00F30104" w:rsidRPr="00F30104" w14:paraId="57F06E76" w14:textId="77777777" w:rsidTr="00C73D13">
        <w:tc>
          <w:tcPr>
            <w:tcW w:w="0" w:type="auto"/>
            <w:hideMark/>
          </w:tcPr>
          <w:p w14:paraId="16CFA56B"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Price to Earnings (P/E)</w:t>
            </w:r>
          </w:p>
        </w:tc>
        <w:tc>
          <w:tcPr>
            <w:tcW w:w="0" w:type="auto"/>
            <w:hideMark/>
          </w:tcPr>
          <w:p w14:paraId="3709C553"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14.7x</w:t>
            </w:r>
          </w:p>
        </w:tc>
        <w:tc>
          <w:tcPr>
            <w:tcW w:w="0" w:type="auto"/>
            <w:hideMark/>
          </w:tcPr>
          <w:p w14:paraId="0CE3D79F"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15.6x</w:t>
            </w:r>
          </w:p>
        </w:tc>
        <w:tc>
          <w:tcPr>
            <w:tcW w:w="0" w:type="auto"/>
            <w:hideMark/>
          </w:tcPr>
          <w:p w14:paraId="1BD3B9C4"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18.6x</w:t>
            </w:r>
          </w:p>
        </w:tc>
        <w:tc>
          <w:tcPr>
            <w:tcW w:w="0" w:type="auto"/>
            <w:hideMark/>
          </w:tcPr>
          <w:p w14:paraId="248A673A"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13.4x</w:t>
            </w:r>
          </w:p>
        </w:tc>
        <w:tc>
          <w:tcPr>
            <w:tcW w:w="0" w:type="auto"/>
            <w:hideMark/>
          </w:tcPr>
          <w:p w14:paraId="6CA6D96F" w14:textId="77777777" w:rsidR="00C73D13" w:rsidRPr="00F30104" w:rsidRDefault="00C73D13" w:rsidP="00F30104">
            <w:pPr>
              <w:spacing w:line="360" w:lineRule="auto"/>
              <w:contextualSpacing/>
              <w:rPr>
                <w:rFonts w:ascii="Arial" w:hAnsi="Arial" w:cs="Arial"/>
                <w:lang/>
              </w:rPr>
            </w:pPr>
            <w:r w:rsidRPr="00F30104">
              <w:rPr>
                <w:rFonts w:ascii="Arial" w:hAnsi="Arial" w:cs="Arial"/>
                <w:lang/>
              </w:rPr>
              <w:t>11.0x</w:t>
            </w:r>
          </w:p>
        </w:tc>
      </w:tr>
    </w:tbl>
    <w:p w14:paraId="6D49CE7D" w14:textId="157B01C4" w:rsidR="00E5060C" w:rsidRPr="00F30104" w:rsidRDefault="00E5060C" w:rsidP="00F30104">
      <w:pPr>
        <w:spacing w:after="0" w:line="360" w:lineRule="auto"/>
        <w:contextualSpacing/>
        <w:jc w:val="center"/>
        <w:rPr>
          <w:rFonts w:ascii="Arial" w:hAnsi="Arial" w:cs="Arial"/>
          <w:lang w:val="en-GB"/>
        </w:rPr>
      </w:pPr>
      <w:r w:rsidRPr="00F30104">
        <w:rPr>
          <w:rFonts w:ascii="Arial" w:hAnsi="Arial" w:cs="Arial"/>
          <w:lang w:val="en-GB"/>
        </w:rPr>
        <w:t>Table 7</w:t>
      </w:r>
    </w:p>
    <w:p w14:paraId="1B57C3D8" w14:textId="56BB5F74" w:rsidR="00C73D13" w:rsidRPr="00F30104" w:rsidRDefault="00C73D13" w:rsidP="00F30104">
      <w:pPr>
        <w:numPr>
          <w:ilvl w:val="0"/>
          <w:numId w:val="9"/>
        </w:numPr>
        <w:spacing w:after="0" w:line="360" w:lineRule="auto"/>
        <w:contextualSpacing/>
        <w:jc w:val="both"/>
        <w:rPr>
          <w:rFonts w:ascii="Arial" w:hAnsi="Arial" w:cs="Arial"/>
          <w:lang/>
        </w:rPr>
      </w:pPr>
      <w:r w:rsidRPr="00F30104">
        <w:rPr>
          <w:rFonts w:ascii="Arial" w:hAnsi="Arial" w:cs="Arial"/>
          <w:i/>
          <w:iCs/>
          <w:lang/>
        </w:rPr>
        <w:t>Return on Assets (ROA):</w:t>
      </w:r>
      <w:r w:rsidRPr="00F30104">
        <w:rPr>
          <w:rFonts w:ascii="Arial" w:hAnsi="Arial" w:cs="Arial"/>
          <w:lang/>
        </w:rPr>
        <w:t xml:space="preserve"> ROA measures how efficiently a company generates profits from its total assets. In 2023, M&amp;S achieved an impressive ROA of 31.0%, indicating that for every £1 of assets, the company generated £0.31 in profit. This ratio has remained consistently high over the years, suggesting effective asset utilization.</w:t>
      </w:r>
    </w:p>
    <w:p w14:paraId="1100F47D" w14:textId="77777777" w:rsidR="00C73D13" w:rsidRPr="00F30104" w:rsidRDefault="00C73D13" w:rsidP="00F30104">
      <w:pPr>
        <w:numPr>
          <w:ilvl w:val="0"/>
          <w:numId w:val="9"/>
        </w:numPr>
        <w:spacing w:after="0" w:line="360" w:lineRule="auto"/>
        <w:contextualSpacing/>
        <w:jc w:val="both"/>
        <w:rPr>
          <w:rFonts w:ascii="Arial" w:hAnsi="Arial" w:cs="Arial"/>
          <w:lang/>
        </w:rPr>
      </w:pPr>
      <w:r w:rsidRPr="00F30104">
        <w:rPr>
          <w:rFonts w:ascii="Arial" w:hAnsi="Arial" w:cs="Arial"/>
          <w:i/>
          <w:iCs/>
          <w:lang/>
        </w:rPr>
        <w:t>Return on Equity (ROE):</w:t>
      </w:r>
      <w:r w:rsidRPr="00F30104">
        <w:rPr>
          <w:rFonts w:ascii="Arial" w:hAnsi="Arial" w:cs="Arial"/>
          <w:lang/>
        </w:rPr>
        <w:t xml:space="preserve"> ROE measures the return earned by shareholders on their equity investment. In 2023, M&amp;S had an ROE of 11.3%, meaning that shareholders earned an 11.3% return on their equity investment. While this ratio has decreased slightly from the previous year, it remains competitive.</w:t>
      </w:r>
    </w:p>
    <w:p w14:paraId="6CB009AB" w14:textId="37B91D22" w:rsidR="00C73D13" w:rsidRPr="00F30104" w:rsidRDefault="00C73D13" w:rsidP="00F30104">
      <w:pPr>
        <w:numPr>
          <w:ilvl w:val="0"/>
          <w:numId w:val="9"/>
        </w:numPr>
        <w:spacing w:after="0" w:line="360" w:lineRule="auto"/>
        <w:contextualSpacing/>
        <w:jc w:val="both"/>
        <w:rPr>
          <w:rFonts w:ascii="Arial" w:hAnsi="Arial" w:cs="Arial"/>
          <w:lang/>
        </w:rPr>
      </w:pPr>
      <w:r w:rsidRPr="00F30104">
        <w:rPr>
          <w:rFonts w:ascii="Arial" w:hAnsi="Arial" w:cs="Arial"/>
          <w:i/>
          <w:iCs/>
          <w:lang/>
        </w:rPr>
        <w:t>Earnings per Share (EPS):</w:t>
      </w:r>
      <w:r w:rsidRPr="00F30104">
        <w:rPr>
          <w:rFonts w:ascii="Arial" w:hAnsi="Arial" w:cs="Arial"/>
          <w:lang/>
        </w:rPr>
        <w:t xml:space="preserve"> EPS represents the portion of a company</w:t>
      </w:r>
      <w:r w:rsidR="00EF621A" w:rsidRPr="00F30104">
        <w:rPr>
          <w:rFonts w:ascii="Arial" w:hAnsi="Arial" w:cs="Arial"/>
          <w:lang/>
        </w:rPr>
        <w:t>’</w:t>
      </w:r>
      <w:r w:rsidRPr="00F30104">
        <w:rPr>
          <w:rFonts w:ascii="Arial" w:hAnsi="Arial" w:cs="Arial"/>
          <w:lang/>
        </w:rPr>
        <w:t>s profit allocated to each outstanding share of common stock. In 2023, M&amp;S reported an EPS of £0.75, indicating the company</w:t>
      </w:r>
      <w:r w:rsidR="00EF621A" w:rsidRPr="00F30104">
        <w:rPr>
          <w:rFonts w:ascii="Arial" w:hAnsi="Arial" w:cs="Arial"/>
          <w:lang/>
        </w:rPr>
        <w:t>’</w:t>
      </w:r>
      <w:r w:rsidRPr="00F30104">
        <w:rPr>
          <w:rFonts w:ascii="Arial" w:hAnsi="Arial" w:cs="Arial"/>
          <w:lang/>
        </w:rPr>
        <w:t>s ability to generate earnings for its shareholders. This value has decreased from the previous year but remains positive.</w:t>
      </w:r>
    </w:p>
    <w:p w14:paraId="386FD00B" w14:textId="29CFA6C2" w:rsidR="00C73D13" w:rsidRPr="00F30104" w:rsidRDefault="00C73D13" w:rsidP="00F30104">
      <w:pPr>
        <w:numPr>
          <w:ilvl w:val="0"/>
          <w:numId w:val="9"/>
        </w:numPr>
        <w:spacing w:after="0" w:line="360" w:lineRule="auto"/>
        <w:contextualSpacing/>
        <w:jc w:val="both"/>
        <w:rPr>
          <w:rFonts w:ascii="Arial" w:hAnsi="Arial" w:cs="Arial"/>
          <w:lang/>
        </w:rPr>
      </w:pPr>
      <w:r w:rsidRPr="00F30104">
        <w:rPr>
          <w:rFonts w:ascii="Arial" w:hAnsi="Arial" w:cs="Arial"/>
          <w:i/>
          <w:iCs/>
          <w:lang/>
        </w:rPr>
        <w:t>Price to Earnings (P/E):</w:t>
      </w:r>
      <w:r w:rsidRPr="00F30104">
        <w:rPr>
          <w:rFonts w:ascii="Arial" w:hAnsi="Arial" w:cs="Arial"/>
          <w:lang/>
        </w:rPr>
        <w:t xml:space="preserve"> The P/E ratio compares a company</w:t>
      </w:r>
      <w:r w:rsidR="00EF621A" w:rsidRPr="00F30104">
        <w:rPr>
          <w:rFonts w:ascii="Arial" w:hAnsi="Arial" w:cs="Arial"/>
          <w:lang/>
        </w:rPr>
        <w:t>’</w:t>
      </w:r>
      <w:r w:rsidRPr="00F30104">
        <w:rPr>
          <w:rFonts w:ascii="Arial" w:hAnsi="Arial" w:cs="Arial"/>
          <w:lang/>
        </w:rPr>
        <w:t>s stock price to its earnings per share and is used by investors to assess valuation. In 2023, M&amp;S had a P/E ratio of 14.7x, which suggests that investors are willing to pay £14.7 for every £1 of earnings. This ratio has increased compared to the previous year, indicating a potentially higher valuation.</w:t>
      </w:r>
    </w:p>
    <w:p w14:paraId="348D17A1" w14:textId="5180CB8D" w:rsidR="00C73D13" w:rsidRPr="00F30104" w:rsidRDefault="00A51B64" w:rsidP="00F30104">
      <w:pPr>
        <w:spacing w:after="0" w:line="360" w:lineRule="auto"/>
        <w:contextualSpacing/>
        <w:jc w:val="both"/>
        <w:rPr>
          <w:rFonts w:ascii="Arial" w:hAnsi="Arial" w:cs="Arial"/>
          <w:lang/>
        </w:rPr>
      </w:pPr>
      <w:r w:rsidRPr="00F30104">
        <w:rPr>
          <w:rFonts w:ascii="Arial" w:hAnsi="Arial" w:cs="Arial"/>
          <w:lang w:val="en-US"/>
        </w:rPr>
        <w:t>Such that,</w:t>
      </w:r>
      <w:r w:rsidR="00C73D13" w:rsidRPr="00F30104">
        <w:rPr>
          <w:rFonts w:ascii="Arial" w:hAnsi="Arial" w:cs="Arial"/>
          <w:lang/>
        </w:rPr>
        <w:t xml:space="preserve"> M&amp;S</w:t>
      </w:r>
      <w:r w:rsidR="00EF621A" w:rsidRPr="00F30104">
        <w:rPr>
          <w:rFonts w:ascii="Arial" w:hAnsi="Arial" w:cs="Arial"/>
          <w:lang/>
        </w:rPr>
        <w:t>’</w:t>
      </w:r>
      <w:r w:rsidR="00C73D13" w:rsidRPr="00F30104">
        <w:rPr>
          <w:rFonts w:ascii="Arial" w:hAnsi="Arial" w:cs="Arial"/>
          <w:lang/>
        </w:rPr>
        <w:t>s investment ratios show a company that efficiently utilizes its assets to generate profits. The decline in some ratios from the previous year may indicate challenges or changes in the company</w:t>
      </w:r>
      <w:r w:rsidR="00EF621A" w:rsidRPr="00F30104">
        <w:rPr>
          <w:rFonts w:ascii="Arial" w:hAnsi="Arial" w:cs="Arial"/>
          <w:lang/>
        </w:rPr>
        <w:t>’</w:t>
      </w:r>
      <w:r w:rsidR="00C73D13" w:rsidRPr="00F30104">
        <w:rPr>
          <w:rFonts w:ascii="Arial" w:hAnsi="Arial" w:cs="Arial"/>
          <w:lang/>
        </w:rPr>
        <w:t>s financial performance, but M&amp;S still maintains solid profitability and investor confidence, as evidenced by its P/E ratio. Investors should consider these ratios in conjunction with other financial metrics and industry benchmarks when making investment decisions.</w:t>
      </w:r>
    </w:p>
    <w:p w14:paraId="69CD1E25" w14:textId="180E5CEC" w:rsidR="003F32B1" w:rsidRPr="00F30104" w:rsidRDefault="00087265" w:rsidP="00F30104">
      <w:pPr>
        <w:pStyle w:val="Heading1"/>
        <w:jc w:val="both"/>
      </w:pPr>
      <w:bookmarkStart w:id="7" w:name="_Toc151385670"/>
      <w:r w:rsidRPr="00F30104">
        <w:t>4</w:t>
      </w:r>
      <w:r w:rsidR="00BE2E06" w:rsidRPr="00F30104">
        <w:t xml:space="preserve"> Treasury management </w:t>
      </w:r>
      <w:r w:rsidR="003F32B1" w:rsidRPr="00F30104">
        <w:t xml:space="preserve">analysis </w:t>
      </w:r>
      <w:r w:rsidR="00D14F42" w:rsidRPr="00F30104">
        <w:t>findings</w:t>
      </w:r>
      <w:bookmarkEnd w:id="7"/>
    </w:p>
    <w:p w14:paraId="1422DCD2" w14:textId="26BFABAC" w:rsidR="00A4534A" w:rsidRPr="00F30104" w:rsidRDefault="00231FC5" w:rsidP="00F30104">
      <w:pPr>
        <w:pStyle w:val="Heading2"/>
      </w:pPr>
      <w:bookmarkStart w:id="8" w:name="_Toc151385671"/>
      <w:r w:rsidRPr="00F30104">
        <w:t>4.1 Cash Flow Management</w:t>
      </w:r>
      <w:bookmarkEnd w:id="8"/>
    </w:p>
    <w:p w14:paraId="7D583C15" w14:textId="760D4C7F" w:rsidR="00231FC5" w:rsidRPr="00F30104" w:rsidRDefault="00231FC5" w:rsidP="00F30104">
      <w:pPr>
        <w:spacing w:after="0" w:line="360" w:lineRule="auto"/>
        <w:contextualSpacing/>
        <w:jc w:val="both"/>
        <w:rPr>
          <w:rFonts w:ascii="Arial" w:hAnsi="Arial" w:cs="Arial"/>
          <w:lang/>
        </w:rPr>
      </w:pPr>
      <w:r w:rsidRPr="00F30104">
        <w:rPr>
          <w:rFonts w:ascii="Arial" w:hAnsi="Arial" w:cs="Arial"/>
          <w:lang/>
        </w:rPr>
        <w:t>Cash flow management is a critical aspect of any company</w:t>
      </w:r>
      <w:r w:rsidR="00EF621A" w:rsidRPr="00F30104">
        <w:rPr>
          <w:rFonts w:ascii="Arial" w:hAnsi="Arial" w:cs="Arial"/>
          <w:lang/>
        </w:rPr>
        <w:t>’</w:t>
      </w:r>
      <w:r w:rsidRPr="00F30104">
        <w:rPr>
          <w:rFonts w:ascii="Arial" w:hAnsi="Arial" w:cs="Arial"/>
          <w:lang/>
        </w:rPr>
        <w:t>s financial health, particularly for retail giants like Marks &amp; Spencer (M&amp;S). The ability to efficiently manage cash flows determines a company</w:t>
      </w:r>
      <w:r w:rsidR="00EF621A" w:rsidRPr="00F30104">
        <w:rPr>
          <w:rFonts w:ascii="Arial" w:hAnsi="Arial" w:cs="Arial"/>
          <w:lang/>
        </w:rPr>
        <w:t>’</w:t>
      </w:r>
      <w:r w:rsidRPr="00F30104">
        <w:rPr>
          <w:rFonts w:ascii="Arial" w:hAnsi="Arial" w:cs="Arial"/>
          <w:lang/>
        </w:rPr>
        <w:t>s capability to fund operations, invest in growth opportunities, and return value to shareholders. In this context, M&amp;S</w:t>
      </w:r>
      <w:r w:rsidR="00EF621A" w:rsidRPr="00F30104">
        <w:rPr>
          <w:rFonts w:ascii="Arial" w:hAnsi="Arial" w:cs="Arial"/>
          <w:lang/>
        </w:rPr>
        <w:t>’</w:t>
      </w:r>
      <w:r w:rsidRPr="00F30104">
        <w:rPr>
          <w:rFonts w:ascii="Arial" w:hAnsi="Arial" w:cs="Arial"/>
          <w:lang/>
        </w:rPr>
        <w:t xml:space="preserve">s cash flow management strategy is </w:t>
      </w:r>
      <w:r w:rsidRPr="00F30104">
        <w:rPr>
          <w:rFonts w:ascii="Arial" w:hAnsi="Arial" w:cs="Arial"/>
          <w:lang/>
        </w:rPr>
        <w:lastRenderedPageBreak/>
        <w:t>examined, considering the company</w:t>
      </w:r>
      <w:r w:rsidR="00EF621A" w:rsidRPr="00F30104">
        <w:rPr>
          <w:rFonts w:ascii="Arial" w:hAnsi="Arial" w:cs="Arial"/>
          <w:lang/>
        </w:rPr>
        <w:t>’</w:t>
      </w:r>
      <w:r w:rsidRPr="00F30104">
        <w:rPr>
          <w:rFonts w:ascii="Arial" w:hAnsi="Arial" w:cs="Arial"/>
          <w:lang/>
        </w:rPr>
        <w:t>s operational cash flow, investment decisions, and the impact of external factors like the COVID-19 pandemic.</w:t>
      </w:r>
    </w:p>
    <w:p w14:paraId="7DC18CBE" w14:textId="0F8CCA4D" w:rsidR="00980F17" w:rsidRPr="00F30104" w:rsidRDefault="00980F17" w:rsidP="00F30104">
      <w:pPr>
        <w:spacing w:after="0" w:line="360" w:lineRule="auto"/>
        <w:contextualSpacing/>
        <w:jc w:val="center"/>
        <w:rPr>
          <w:rFonts w:ascii="Arial" w:hAnsi="Arial" w:cs="Arial"/>
          <w:lang/>
        </w:rPr>
      </w:pPr>
      <w:r w:rsidRPr="00F30104">
        <w:rPr>
          <w:rFonts w:ascii="Arial" w:hAnsi="Arial" w:cs="Arial"/>
          <w:lang w:val="en-US"/>
        </w:rPr>
        <w:t xml:space="preserve">Table </w:t>
      </w:r>
      <w:r w:rsidR="00310348" w:rsidRPr="00F30104">
        <w:rPr>
          <w:rFonts w:ascii="Arial" w:hAnsi="Arial" w:cs="Arial"/>
          <w:lang w:val="en-US"/>
        </w:rPr>
        <w:t>8</w:t>
      </w:r>
      <w:r w:rsidRPr="00F30104">
        <w:rPr>
          <w:rFonts w:ascii="Arial" w:hAnsi="Arial" w:cs="Arial"/>
          <w:lang w:val="en-US"/>
        </w:rPr>
        <w:t>: C</w:t>
      </w:r>
      <w:r w:rsidRPr="00F30104">
        <w:rPr>
          <w:rFonts w:ascii="Arial" w:hAnsi="Arial" w:cs="Arial"/>
          <w:lang/>
        </w:rPr>
        <w:t>ash Flow Management</w:t>
      </w:r>
    </w:p>
    <w:tbl>
      <w:tblPr>
        <w:tblStyle w:val="TableGrid"/>
        <w:tblW w:w="10380" w:type="dxa"/>
        <w:tblLook w:val="04A0" w:firstRow="1" w:lastRow="0" w:firstColumn="1" w:lastColumn="0" w:noHBand="0" w:noVBand="1"/>
      </w:tblPr>
      <w:tblGrid>
        <w:gridCol w:w="6663"/>
        <w:gridCol w:w="3717"/>
      </w:tblGrid>
      <w:tr w:rsidR="00F30104" w:rsidRPr="00F30104" w14:paraId="724B30FC" w14:textId="77777777" w:rsidTr="00980F17">
        <w:tc>
          <w:tcPr>
            <w:tcW w:w="0" w:type="auto"/>
            <w:hideMark/>
          </w:tcPr>
          <w:p w14:paraId="05415169" w14:textId="77777777" w:rsidR="00980F17" w:rsidRPr="00F30104" w:rsidRDefault="00980F17" w:rsidP="00F30104">
            <w:pPr>
              <w:spacing w:line="360" w:lineRule="auto"/>
              <w:contextualSpacing/>
              <w:jc w:val="both"/>
              <w:rPr>
                <w:rFonts w:ascii="Arial" w:hAnsi="Arial" w:cs="Arial"/>
                <w:b/>
                <w:bCs/>
                <w:lang/>
              </w:rPr>
            </w:pPr>
            <w:r w:rsidRPr="00F30104">
              <w:rPr>
                <w:rFonts w:ascii="Arial" w:hAnsi="Arial" w:cs="Arial"/>
                <w:b/>
                <w:bCs/>
                <w:lang/>
              </w:rPr>
              <w:t>Item</w:t>
            </w:r>
          </w:p>
        </w:tc>
        <w:tc>
          <w:tcPr>
            <w:tcW w:w="0" w:type="auto"/>
            <w:hideMark/>
          </w:tcPr>
          <w:p w14:paraId="35DCCA57" w14:textId="77777777" w:rsidR="00980F17" w:rsidRPr="00F30104" w:rsidRDefault="00980F17" w:rsidP="00F30104">
            <w:pPr>
              <w:spacing w:line="360" w:lineRule="auto"/>
              <w:contextualSpacing/>
              <w:jc w:val="both"/>
              <w:rPr>
                <w:rFonts w:ascii="Arial" w:hAnsi="Arial" w:cs="Arial"/>
                <w:b/>
                <w:bCs/>
                <w:lang/>
              </w:rPr>
            </w:pPr>
            <w:r w:rsidRPr="00F30104">
              <w:rPr>
                <w:rFonts w:ascii="Arial" w:hAnsi="Arial" w:cs="Arial"/>
                <w:b/>
                <w:bCs/>
                <w:lang/>
              </w:rPr>
              <w:t>Amount (th GBP)</w:t>
            </w:r>
          </w:p>
        </w:tc>
      </w:tr>
      <w:tr w:rsidR="00F30104" w:rsidRPr="00F30104" w14:paraId="707DFF57" w14:textId="77777777" w:rsidTr="00980F17">
        <w:tc>
          <w:tcPr>
            <w:tcW w:w="0" w:type="auto"/>
            <w:hideMark/>
          </w:tcPr>
          <w:p w14:paraId="49A33B64" w14:textId="77777777" w:rsidR="00980F17" w:rsidRPr="00F30104" w:rsidRDefault="00980F17" w:rsidP="00F30104">
            <w:pPr>
              <w:spacing w:line="360" w:lineRule="auto"/>
              <w:contextualSpacing/>
              <w:jc w:val="both"/>
              <w:rPr>
                <w:rFonts w:ascii="Arial" w:hAnsi="Arial" w:cs="Arial"/>
                <w:lang/>
              </w:rPr>
            </w:pPr>
            <w:r w:rsidRPr="00F30104">
              <w:rPr>
                <w:rFonts w:ascii="Arial" w:hAnsi="Arial" w:cs="Arial"/>
                <w:lang/>
              </w:rPr>
              <w:t>Cash In(Out)flow Operat. Activ.</w:t>
            </w:r>
          </w:p>
        </w:tc>
        <w:tc>
          <w:tcPr>
            <w:tcW w:w="0" w:type="auto"/>
            <w:hideMark/>
          </w:tcPr>
          <w:p w14:paraId="162A514F" w14:textId="77777777" w:rsidR="00980F17" w:rsidRPr="00F30104" w:rsidRDefault="00980F17" w:rsidP="00F30104">
            <w:pPr>
              <w:spacing w:line="360" w:lineRule="auto"/>
              <w:contextualSpacing/>
              <w:jc w:val="both"/>
              <w:rPr>
                <w:rFonts w:ascii="Arial" w:hAnsi="Arial" w:cs="Arial"/>
                <w:lang/>
              </w:rPr>
            </w:pPr>
            <w:r w:rsidRPr="00F30104">
              <w:rPr>
                <w:rFonts w:ascii="Arial" w:hAnsi="Arial" w:cs="Arial"/>
                <w:lang/>
              </w:rPr>
              <w:t>949,900</w:t>
            </w:r>
          </w:p>
        </w:tc>
      </w:tr>
      <w:tr w:rsidR="00F30104" w:rsidRPr="00F30104" w14:paraId="2F563D74" w14:textId="77777777" w:rsidTr="00980F17">
        <w:tc>
          <w:tcPr>
            <w:tcW w:w="0" w:type="auto"/>
            <w:hideMark/>
          </w:tcPr>
          <w:p w14:paraId="2CB99CED" w14:textId="77777777" w:rsidR="00980F17" w:rsidRPr="00F30104" w:rsidRDefault="00980F17" w:rsidP="00F30104">
            <w:pPr>
              <w:spacing w:line="360" w:lineRule="auto"/>
              <w:contextualSpacing/>
              <w:jc w:val="both"/>
              <w:rPr>
                <w:rFonts w:ascii="Arial" w:hAnsi="Arial" w:cs="Arial"/>
                <w:lang/>
              </w:rPr>
            </w:pPr>
            <w:r w:rsidRPr="00F30104">
              <w:rPr>
                <w:rFonts w:ascii="Arial" w:hAnsi="Arial" w:cs="Arial"/>
                <w:lang/>
              </w:rPr>
              <w:t>Cash In(Out)flow Ret. on Invest.</w:t>
            </w:r>
          </w:p>
        </w:tc>
        <w:tc>
          <w:tcPr>
            <w:tcW w:w="0" w:type="auto"/>
            <w:hideMark/>
          </w:tcPr>
          <w:p w14:paraId="67C5EE5C" w14:textId="77777777" w:rsidR="00980F17" w:rsidRPr="00F30104" w:rsidRDefault="00980F17" w:rsidP="00F30104">
            <w:pPr>
              <w:spacing w:line="360" w:lineRule="auto"/>
              <w:contextualSpacing/>
              <w:jc w:val="both"/>
              <w:rPr>
                <w:rFonts w:ascii="Arial" w:hAnsi="Arial" w:cs="Arial"/>
                <w:lang/>
              </w:rPr>
            </w:pPr>
            <w:r w:rsidRPr="00F30104">
              <w:rPr>
                <w:rFonts w:ascii="Arial" w:hAnsi="Arial" w:cs="Arial"/>
                <w:lang/>
              </w:rPr>
              <w:t>-149,000</w:t>
            </w:r>
          </w:p>
        </w:tc>
      </w:tr>
      <w:tr w:rsidR="00F30104" w:rsidRPr="00F30104" w14:paraId="35CC63D9" w14:textId="77777777" w:rsidTr="00980F17">
        <w:tc>
          <w:tcPr>
            <w:tcW w:w="0" w:type="auto"/>
            <w:hideMark/>
          </w:tcPr>
          <w:p w14:paraId="1A80528D" w14:textId="77777777" w:rsidR="00980F17" w:rsidRPr="00F30104" w:rsidRDefault="00980F17" w:rsidP="00F30104">
            <w:pPr>
              <w:spacing w:line="360" w:lineRule="auto"/>
              <w:contextualSpacing/>
              <w:jc w:val="both"/>
              <w:rPr>
                <w:rFonts w:ascii="Arial" w:hAnsi="Arial" w:cs="Arial"/>
                <w:lang/>
              </w:rPr>
            </w:pPr>
            <w:r w:rsidRPr="00F30104">
              <w:rPr>
                <w:rFonts w:ascii="Arial" w:hAnsi="Arial" w:cs="Arial"/>
                <w:lang/>
              </w:rPr>
              <w:t>Taxation</w:t>
            </w:r>
          </w:p>
        </w:tc>
        <w:tc>
          <w:tcPr>
            <w:tcW w:w="0" w:type="auto"/>
            <w:hideMark/>
          </w:tcPr>
          <w:p w14:paraId="47EBA2AB" w14:textId="77777777" w:rsidR="00980F17" w:rsidRPr="00F30104" w:rsidRDefault="00980F17" w:rsidP="00F30104">
            <w:pPr>
              <w:spacing w:line="360" w:lineRule="auto"/>
              <w:contextualSpacing/>
              <w:jc w:val="both"/>
              <w:rPr>
                <w:rFonts w:ascii="Arial" w:hAnsi="Arial" w:cs="Arial"/>
                <w:lang/>
              </w:rPr>
            </w:pPr>
            <w:r w:rsidRPr="00F30104">
              <w:rPr>
                <w:rFonts w:ascii="Arial" w:hAnsi="Arial" w:cs="Arial"/>
                <w:lang/>
              </w:rPr>
              <w:t>40,600</w:t>
            </w:r>
          </w:p>
        </w:tc>
      </w:tr>
      <w:tr w:rsidR="00F30104" w:rsidRPr="00F30104" w14:paraId="7BB77A77" w14:textId="77777777" w:rsidTr="00980F17">
        <w:tc>
          <w:tcPr>
            <w:tcW w:w="0" w:type="auto"/>
            <w:hideMark/>
          </w:tcPr>
          <w:p w14:paraId="7D1F3A9E" w14:textId="77777777" w:rsidR="00980F17" w:rsidRPr="00F30104" w:rsidRDefault="00980F17" w:rsidP="00F30104">
            <w:pPr>
              <w:spacing w:line="360" w:lineRule="auto"/>
              <w:contextualSpacing/>
              <w:jc w:val="both"/>
              <w:rPr>
                <w:rFonts w:ascii="Arial" w:hAnsi="Arial" w:cs="Arial"/>
                <w:lang/>
              </w:rPr>
            </w:pPr>
            <w:r w:rsidRPr="00F30104">
              <w:rPr>
                <w:rFonts w:ascii="Arial" w:hAnsi="Arial" w:cs="Arial"/>
                <w:lang/>
              </w:rPr>
              <w:t>Cash Out(In)flow Investing Activ.</w:t>
            </w:r>
          </w:p>
        </w:tc>
        <w:tc>
          <w:tcPr>
            <w:tcW w:w="0" w:type="auto"/>
            <w:hideMark/>
          </w:tcPr>
          <w:p w14:paraId="3218C7D8" w14:textId="77777777" w:rsidR="00980F17" w:rsidRPr="00F30104" w:rsidRDefault="00980F17" w:rsidP="00F30104">
            <w:pPr>
              <w:spacing w:line="360" w:lineRule="auto"/>
              <w:contextualSpacing/>
              <w:jc w:val="both"/>
              <w:rPr>
                <w:rFonts w:ascii="Arial" w:hAnsi="Arial" w:cs="Arial"/>
                <w:lang/>
              </w:rPr>
            </w:pPr>
            <w:r w:rsidRPr="00F30104">
              <w:rPr>
                <w:rFonts w:ascii="Arial" w:hAnsi="Arial" w:cs="Arial"/>
                <w:lang/>
              </w:rPr>
              <w:t>-540,700</w:t>
            </w:r>
          </w:p>
        </w:tc>
      </w:tr>
      <w:tr w:rsidR="00F30104" w:rsidRPr="00F30104" w14:paraId="08488C38" w14:textId="77777777" w:rsidTr="00980F17">
        <w:tc>
          <w:tcPr>
            <w:tcW w:w="0" w:type="auto"/>
            <w:hideMark/>
          </w:tcPr>
          <w:p w14:paraId="48E20EA2" w14:textId="77777777" w:rsidR="00980F17" w:rsidRPr="00F30104" w:rsidRDefault="00980F17" w:rsidP="00F30104">
            <w:pPr>
              <w:spacing w:line="360" w:lineRule="auto"/>
              <w:contextualSpacing/>
              <w:jc w:val="both"/>
              <w:rPr>
                <w:rFonts w:ascii="Arial" w:hAnsi="Arial" w:cs="Arial"/>
                <w:lang/>
              </w:rPr>
            </w:pPr>
            <w:r w:rsidRPr="00F30104">
              <w:rPr>
                <w:rFonts w:ascii="Arial" w:hAnsi="Arial" w:cs="Arial"/>
                <w:lang/>
              </w:rPr>
              <w:t>Cash Out(In)flow from Financing</w:t>
            </w:r>
          </w:p>
        </w:tc>
        <w:tc>
          <w:tcPr>
            <w:tcW w:w="0" w:type="auto"/>
            <w:hideMark/>
          </w:tcPr>
          <w:p w14:paraId="235829CE" w14:textId="77777777" w:rsidR="00980F17" w:rsidRPr="00F30104" w:rsidRDefault="00980F17" w:rsidP="00F30104">
            <w:pPr>
              <w:spacing w:line="360" w:lineRule="auto"/>
              <w:contextualSpacing/>
              <w:jc w:val="both"/>
              <w:rPr>
                <w:rFonts w:ascii="Arial" w:hAnsi="Arial" w:cs="Arial"/>
                <w:lang/>
              </w:rPr>
            </w:pPr>
            <w:r w:rsidRPr="00F30104">
              <w:rPr>
                <w:rFonts w:ascii="Arial" w:hAnsi="Arial" w:cs="Arial"/>
                <w:lang/>
              </w:rPr>
              <w:t>-431,300</w:t>
            </w:r>
          </w:p>
        </w:tc>
      </w:tr>
      <w:tr w:rsidR="00F30104" w:rsidRPr="00F30104" w14:paraId="4BE978BC" w14:textId="77777777" w:rsidTr="00980F17">
        <w:tc>
          <w:tcPr>
            <w:tcW w:w="0" w:type="auto"/>
            <w:hideMark/>
          </w:tcPr>
          <w:p w14:paraId="623805A7" w14:textId="77777777" w:rsidR="00980F17" w:rsidRPr="00F30104" w:rsidRDefault="00980F17" w:rsidP="00F30104">
            <w:pPr>
              <w:spacing w:line="360" w:lineRule="auto"/>
              <w:contextualSpacing/>
              <w:jc w:val="both"/>
              <w:rPr>
                <w:rFonts w:ascii="Arial" w:hAnsi="Arial" w:cs="Arial"/>
                <w:lang/>
              </w:rPr>
            </w:pPr>
            <w:r w:rsidRPr="00F30104">
              <w:rPr>
                <w:rFonts w:ascii="Arial" w:hAnsi="Arial" w:cs="Arial"/>
                <w:lang/>
              </w:rPr>
              <w:t>Increase(Decrease) Cash &amp; Equiv.</w:t>
            </w:r>
          </w:p>
        </w:tc>
        <w:tc>
          <w:tcPr>
            <w:tcW w:w="0" w:type="auto"/>
            <w:hideMark/>
          </w:tcPr>
          <w:p w14:paraId="1A3DB22F" w14:textId="77777777" w:rsidR="00980F17" w:rsidRPr="00F30104" w:rsidRDefault="00980F17" w:rsidP="00F30104">
            <w:pPr>
              <w:spacing w:line="360" w:lineRule="auto"/>
              <w:contextualSpacing/>
              <w:jc w:val="both"/>
              <w:rPr>
                <w:rFonts w:ascii="Arial" w:hAnsi="Arial" w:cs="Arial"/>
                <w:lang/>
              </w:rPr>
            </w:pPr>
            <w:r w:rsidRPr="00F30104">
              <w:rPr>
                <w:rFonts w:ascii="Arial" w:hAnsi="Arial" w:cs="Arial"/>
                <w:lang/>
              </w:rPr>
              <w:t>-130,500</w:t>
            </w:r>
          </w:p>
        </w:tc>
      </w:tr>
    </w:tbl>
    <w:p w14:paraId="1C92120A" w14:textId="77777777" w:rsidR="00980F17" w:rsidRPr="00F30104" w:rsidRDefault="00980F17" w:rsidP="00F30104">
      <w:pPr>
        <w:numPr>
          <w:ilvl w:val="0"/>
          <w:numId w:val="7"/>
        </w:numPr>
        <w:spacing w:after="0" w:line="360" w:lineRule="auto"/>
        <w:contextualSpacing/>
        <w:jc w:val="both"/>
        <w:rPr>
          <w:rFonts w:ascii="Arial" w:hAnsi="Arial" w:cs="Arial"/>
          <w:i/>
          <w:iCs/>
          <w:lang/>
        </w:rPr>
      </w:pPr>
      <w:r w:rsidRPr="00F30104">
        <w:rPr>
          <w:rFonts w:ascii="Arial" w:hAnsi="Arial" w:cs="Arial"/>
          <w:b/>
          <w:bCs/>
          <w:i/>
          <w:iCs/>
          <w:lang/>
        </w:rPr>
        <w:t>Operating Activities</w:t>
      </w:r>
      <w:r w:rsidRPr="00F30104">
        <w:rPr>
          <w:rFonts w:ascii="Arial" w:hAnsi="Arial" w:cs="Arial"/>
          <w:i/>
          <w:iCs/>
          <w:lang/>
        </w:rPr>
        <w:t>: The cash inflow from operating activities is strong, indicating good profitability and cash generation from core operations.</w:t>
      </w:r>
    </w:p>
    <w:p w14:paraId="2ACAD550" w14:textId="77777777" w:rsidR="00980F17" w:rsidRPr="00F30104" w:rsidRDefault="00980F17" w:rsidP="00F30104">
      <w:pPr>
        <w:numPr>
          <w:ilvl w:val="0"/>
          <w:numId w:val="7"/>
        </w:numPr>
        <w:spacing w:after="0" w:line="360" w:lineRule="auto"/>
        <w:contextualSpacing/>
        <w:jc w:val="both"/>
        <w:rPr>
          <w:rFonts w:ascii="Arial" w:hAnsi="Arial" w:cs="Arial"/>
          <w:i/>
          <w:iCs/>
          <w:lang/>
        </w:rPr>
      </w:pPr>
      <w:r w:rsidRPr="00F30104">
        <w:rPr>
          <w:rFonts w:ascii="Arial" w:hAnsi="Arial" w:cs="Arial"/>
          <w:b/>
          <w:bCs/>
          <w:i/>
          <w:iCs/>
          <w:lang/>
        </w:rPr>
        <w:t>Investing Activities</w:t>
      </w:r>
      <w:r w:rsidRPr="00F30104">
        <w:rPr>
          <w:rFonts w:ascii="Arial" w:hAnsi="Arial" w:cs="Arial"/>
          <w:i/>
          <w:iCs/>
          <w:lang/>
        </w:rPr>
        <w:t>: There is a substantial cash outflow, suggesting significant investment in the business, possibly in fixed assets or other long-term investments.</w:t>
      </w:r>
    </w:p>
    <w:p w14:paraId="42662312" w14:textId="77777777" w:rsidR="00980F17" w:rsidRPr="00F30104" w:rsidRDefault="00980F17" w:rsidP="00F30104">
      <w:pPr>
        <w:numPr>
          <w:ilvl w:val="0"/>
          <w:numId w:val="7"/>
        </w:numPr>
        <w:spacing w:after="0" w:line="360" w:lineRule="auto"/>
        <w:contextualSpacing/>
        <w:jc w:val="both"/>
        <w:rPr>
          <w:rFonts w:ascii="Arial" w:hAnsi="Arial" w:cs="Arial"/>
          <w:i/>
          <w:iCs/>
          <w:lang/>
        </w:rPr>
      </w:pPr>
      <w:r w:rsidRPr="00F30104">
        <w:rPr>
          <w:rFonts w:ascii="Arial" w:hAnsi="Arial" w:cs="Arial"/>
          <w:b/>
          <w:bCs/>
          <w:i/>
          <w:iCs/>
          <w:lang/>
        </w:rPr>
        <w:t>Financing Activities</w:t>
      </w:r>
      <w:r w:rsidRPr="00F30104">
        <w:rPr>
          <w:rFonts w:ascii="Arial" w:hAnsi="Arial" w:cs="Arial"/>
          <w:i/>
          <w:iCs/>
          <w:lang/>
        </w:rPr>
        <w:t>: The negative cash flow here reflects payments that could be related to dividends, debt repayments, or repurchase of shares.</w:t>
      </w:r>
    </w:p>
    <w:p w14:paraId="2996B90E" w14:textId="725D7A1A" w:rsidR="00231FC5" w:rsidRPr="00F30104" w:rsidRDefault="00231FC5" w:rsidP="00F30104">
      <w:pPr>
        <w:spacing w:after="0" w:line="360" w:lineRule="auto"/>
        <w:contextualSpacing/>
        <w:jc w:val="both"/>
        <w:rPr>
          <w:rFonts w:ascii="Arial" w:hAnsi="Arial" w:cs="Arial"/>
          <w:lang/>
        </w:rPr>
      </w:pPr>
      <w:r w:rsidRPr="00F30104">
        <w:rPr>
          <w:rFonts w:ascii="Arial" w:hAnsi="Arial" w:cs="Arial"/>
          <w:lang/>
        </w:rPr>
        <w:t>M&amp;S</w:t>
      </w:r>
      <w:r w:rsidR="00EF621A" w:rsidRPr="00F30104">
        <w:rPr>
          <w:rFonts w:ascii="Arial" w:hAnsi="Arial" w:cs="Arial"/>
          <w:lang/>
        </w:rPr>
        <w:t>’</w:t>
      </w:r>
      <w:r w:rsidRPr="00F30104">
        <w:rPr>
          <w:rFonts w:ascii="Arial" w:hAnsi="Arial" w:cs="Arial"/>
          <w:lang/>
        </w:rPr>
        <w:t>s operating cash flow reflects the effectiveness of its core business operations. A close examination of the company</w:t>
      </w:r>
      <w:r w:rsidR="00EF621A" w:rsidRPr="00F30104">
        <w:rPr>
          <w:rFonts w:ascii="Arial" w:hAnsi="Arial" w:cs="Arial"/>
          <w:lang/>
        </w:rPr>
        <w:t>’</w:t>
      </w:r>
      <w:r w:rsidRPr="00F30104">
        <w:rPr>
          <w:rFonts w:ascii="Arial" w:hAnsi="Arial" w:cs="Arial"/>
          <w:lang/>
        </w:rPr>
        <w:t>s financial statements from the past few years reveals significant insights into its cash generation efficiency. For instance, the company</w:t>
      </w:r>
      <w:r w:rsidR="00EF621A" w:rsidRPr="00F30104">
        <w:rPr>
          <w:rFonts w:ascii="Arial" w:hAnsi="Arial" w:cs="Arial"/>
          <w:lang/>
        </w:rPr>
        <w:t>’</w:t>
      </w:r>
      <w:r w:rsidRPr="00F30104">
        <w:rPr>
          <w:rFonts w:ascii="Arial" w:hAnsi="Arial" w:cs="Arial"/>
          <w:lang/>
        </w:rPr>
        <w:t>s Annual Report shows a trend of improving cash flow from operating activities, indicating a successful implementation of strategies aimed at optimizing inventory management and reducing operational costs.</w:t>
      </w:r>
    </w:p>
    <w:p w14:paraId="1646278E" w14:textId="45EEB65D" w:rsidR="00231FC5" w:rsidRPr="00F30104" w:rsidRDefault="00231FC5" w:rsidP="00F30104">
      <w:pPr>
        <w:spacing w:after="0" w:line="360" w:lineRule="auto"/>
        <w:contextualSpacing/>
        <w:jc w:val="both"/>
        <w:rPr>
          <w:rFonts w:ascii="Arial" w:hAnsi="Arial" w:cs="Arial"/>
          <w:lang/>
        </w:rPr>
      </w:pPr>
      <w:r w:rsidRPr="00F30104">
        <w:rPr>
          <w:rFonts w:ascii="Arial" w:hAnsi="Arial" w:cs="Arial"/>
          <w:lang/>
        </w:rPr>
        <w:t>Efficient cash flow management involves not just maintaining a positive cash flow but also ensuring its stability and predictability. M&amp;S</w:t>
      </w:r>
      <w:r w:rsidR="00EF621A" w:rsidRPr="00F30104">
        <w:rPr>
          <w:rFonts w:ascii="Arial" w:hAnsi="Arial" w:cs="Arial"/>
          <w:lang/>
        </w:rPr>
        <w:t>’</w:t>
      </w:r>
      <w:r w:rsidRPr="00F30104">
        <w:rPr>
          <w:rFonts w:ascii="Arial" w:hAnsi="Arial" w:cs="Arial"/>
          <w:lang/>
        </w:rPr>
        <w:t>s approach, which includes rigorous cost control and strategic capital allocation, has been crucial in achieving this stability. The focus on optimizing supply chain operations and enhancing the efficiency of store operations has been particularly noteworthy.</w:t>
      </w:r>
    </w:p>
    <w:p w14:paraId="76E28A4A" w14:textId="3B9C47A9" w:rsidR="00231FC5" w:rsidRPr="00F30104" w:rsidRDefault="00231FC5" w:rsidP="00F30104">
      <w:pPr>
        <w:spacing w:after="0" w:line="360" w:lineRule="auto"/>
        <w:contextualSpacing/>
        <w:jc w:val="both"/>
        <w:rPr>
          <w:rFonts w:ascii="Arial" w:hAnsi="Arial" w:cs="Arial"/>
          <w:lang/>
        </w:rPr>
      </w:pPr>
      <w:r w:rsidRPr="00F30104">
        <w:rPr>
          <w:rFonts w:ascii="Arial" w:hAnsi="Arial" w:cs="Arial"/>
          <w:lang/>
        </w:rPr>
        <w:t>M&amp;S</w:t>
      </w:r>
      <w:r w:rsidR="00EF621A" w:rsidRPr="00F30104">
        <w:rPr>
          <w:rFonts w:ascii="Arial" w:hAnsi="Arial" w:cs="Arial"/>
          <w:lang/>
        </w:rPr>
        <w:t>’</w:t>
      </w:r>
      <w:r w:rsidRPr="00F30104">
        <w:rPr>
          <w:rFonts w:ascii="Arial" w:hAnsi="Arial" w:cs="Arial"/>
          <w:lang/>
        </w:rPr>
        <w:t>s investment decisions reflect its long-term strategic goals. The company</w:t>
      </w:r>
      <w:r w:rsidR="00EF621A" w:rsidRPr="00F30104">
        <w:rPr>
          <w:rFonts w:ascii="Arial" w:hAnsi="Arial" w:cs="Arial"/>
          <w:lang/>
        </w:rPr>
        <w:t>’</w:t>
      </w:r>
      <w:r w:rsidRPr="00F30104">
        <w:rPr>
          <w:rFonts w:ascii="Arial" w:hAnsi="Arial" w:cs="Arial"/>
          <w:lang/>
        </w:rPr>
        <w:t>s recent shifts in capital expenditure, as indicated in its financial reports, show a clear focus on digital transformation and store optimization. These investments are critical for M&amp;S to maintain its competitive edge in the rapidly evolving retail sector.</w:t>
      </w:r>
    </w:p>
    <w:p w14:paraId="6BE02C32" w14:textId="49E365EB" w:rsidR="00231FC5" w:rsidRPr="00F30104" w:rsidRDefault="00231FC5" w:rsidP="00F30104">
      <w:pPr>
        <w:spacing w:after="0" w:line="360" w:lineRule="auto"/>
        <w:contextualSpacing/>
        <w:jc w:val="both"/>
        <w:rPr>
          <w:rFonts w:ascii="Arial" w:hAnsi="Arial" w:cs="Arial"/>
          <w:lang/>
        </w:rPr>
      </w:pPr>
      <w:r w:rsidRPr="00F30104">
        <w:rPr>
          <w:rFonts w:ascii="Arial" w:hAnsi="Arial" w:cs="Arial"/>
          <w:lang/>
        </w:rPr>
        <w:t>Financing decisions are equally important. M&amp;S</w:t>
      </w:r>
      <w:r w:rsidR="00EF621A" w:rsidRPr="00F30104">
        <w:rPr>
          <w:rFonts w:ascii="Arial" w:hAnsi="Arial" w:cs="Arial"/>
          <w:lang/>
        </w:rPr>
        <w:t>’</w:t>
      </w:r>
      <w:r w:rsidRPr="00F30104">
        <w:rPr>
          <w:rFonts w:ascii="Arial" w:hAnsi="Arial" w:cs="Arial"/>
          <w:lang/>
        </w:rPr>
        <w:t>s approach to financing its investments, balancing between equity and debt, has implications for its cash flow management. The use of long-term debt financing, for instance, can provide the necessary capital for investments while maintaining cash flow liquidity for day-to-day operations.</w:t>
      </w:r>
    </w:p>
    <w:p w14:paraId="2272B013" w14:textId="5C7776F2" w:rsidR="00231FC5" w:rsidRPr="00F30104" w:rsidRDefault="00231FC5" w:rsidP="00F30104">
      <w:pPr>
        <w:spacing w:after="0" w:line="360" w:lineRule="auto"/>
        <w:contextualSpacing/>
        <w:jc w:val="both"/>
        <w:rPr>
          <w:rFonts w:ascii="Arial" w:hAnsi="Arial" w:cs="Arial"/>
          <w:lang/>
        </w:rPr>
      </w:pPr>
      <w:r w:rsidRPr="00F30104">
        <w:rPr>
          <w:rFonts w:ascii="Arial" w:hAnsi="Arial" w:cs="Arial"/>
          <w:lang/>
        </w:rPr>
        <w:t>The COVID-19 pandemic presented unprecedented challenges for cash flow management in the retail sector. M&amp;S, like many other retailers, faced significant disruptions. The company</w:t>
      </w:r>
      <w:r w:rsidR="00EF621A" w:rsidRPr="00F30104">
        <w:rPr>
          <w:rFonts w:ascii="Arial" w:hAnsi="Arial" w:cs="Arial"/>
          <w:lang/>
        </w:rPr>
        <w:t>’</w:t>
      </w:r>
      <w:r w:rsidRPr="00F30104">
        <w:rPr>
          <w:rFonts w:ascii="Arial" w:hAnsi="Arial" w:cs="Arial"/>
          <w:lang/>
        </w:rPr>
        <w:t xml:space="preserve">s </w:t>
      </w:r>
      <w:r w:rsidRPr="00F30104">
        <w:rPr>
          <w:rFonts w:ascii="Arial" w:hAnsi="Arial" w:cs="Arial"/>
          <w:lang/>
        </w:rPr>
        <w:lastRenderedPageBreak/>
        <w:t>response, as detailed in its annual reports and financial statements, provides a clear picture of its resilience and adaptability.</w:t>
      </w:r>
    </w:p>
    <w:p w14:paraId="76014CF0" w14:textId="0C1D1987" w:rsidR="00231FC5" w:rsidRPr="00F30104" w:rsidRDefault="00231FC5" w:rsidP="00F30104">
      <w:pPr>
        <w:spacing w:after="0" w:line="360" w:lineRule="auto"/>
        <w:contextualSpacing/>
        <w:jc w:val="both"/>
        <w:rPr>
          <w:rFonts w:ascii="Arial" w:hAnsi="Arial" w:cs="Arial"/>
        </w:rPr>
      </w:pPr>
      <w:r w:rsidRPr="00F30104">
        <w:rPr>
          <w:rFonts w:ascii="Arial" w:hAnsi="Arial" w:cs="Arial"/>
          <w:lang/>
        </w:rPr>
        <w:t>During the pandemic, M&amp;S implemented various measures to manage its cash flow effectively. These included cost-cutting initiatives, renegotiation of lease terms, and deferring non-essential capital expenditures. Moreover, the company took advantage of government support schemes where available, which helped in maintaining a healthy cash flow position despite the challenging environment.</w:t>
      </w:r>
      <w:r w:rsidRPr="00F30104">
        <w:rPr>
          <w:rFonts w:ascii="Arial" w:hAnsi="Arial" w:cs="Arial"/>
          <w:lang w:val="en-US"/>
        </w:rPr>
        <w:t xml:space="preserve"> </w:t>
      </w:r>
      <w:r w:rsidRPr="00F30104">
        <w:rPr>
          <w:rFonts w:ascii="Arial" w:hAnsi="Arial" w:cs="Arial"/>
        </w:rPr>
        <w:t>M&amp;S</w:t>
      </w:r>
      <w:r w:rsidR="00EF621A" w:rsidRPr="00F30104">
        <w:rPr>
          <w:rFonts w:ascii="Arial" w:hAnsi="Arial" w:cs="Arial"/>
        </w:rPr>
        <w:t>’</w:t>
      </w:r>
      <w:r w:rsidRPr="00F30104">
        <w:rPr>
          <w:rFonts w:ascii="Arial" w:hAnsi="Arial" w:cs="Arial"/>
        </w:rPr>
        <w:t>s cash flow management strategy over the past few years demonstrates a strong focus on operational efficiency, strategic investment, and adaptability in the face of external challenges. The company</w:t>
      </w:r>
      <w:r w:rsidR="00EF621A" w:rsidRPr="00F30104">
        <w:rPr>
          <w:rFonts w:ascii="Arial" w:hAnsi="Arial" w:cs="Arial"/>
        </w:rPr>
        <w:t>’</w:t>
      </w:r>
      <w:r w:rsidRPr="00F30104">
        <w:rPr>
          <w:rFonts w:ascii="Arial" w:hAnsi="Arial" w:cs="Arial"/>
        </w:rPr>
        <w:t>s ability to generate and maintain a healthy cash flow has been essential in navigating the turbulent retail landscape and positioning itself for future growth. As the retail sector continues to evolve, M&amp;S</w:t>
      </w:r>
      <w:r w:rsidR="00EF621A" w:rsidRPr="00F30104">
        <w:rPr>
          <w:rFonts w:ascii="Arial" w:hAnsi="Arial" w:cs="Arial"/>
        </w:rPr>
        <w:t>’</w:t>
      </w:r>
      <w:r w:rsidRPr="00F30104">
        <w:rPr>
          <w:rFonts w:ascii="Arial" w:hAnsi="Arial" w:cs="Arial"/>
        </w:rPr>
        <w:t>s ongoing commitment to efficient cash flow management will be crucial in sustaining its operations and pursuing strategic growth opportunities.</w:t>
      </w:r>
    </w:p>
    <w:p w14:paraId="784D7B2C" w14:textId="55835B4A" w:rsidR="00484961" w:rsidRPr="00F30104" w:rsidRDefault="00484961" w:rsidP="00F30104">
      <w:pPr>
        <w:pStyle w:val="Heading2"/>
      </w:pPr>
      <w:bookmarkStart w:id="9" w:name="_Toc151385672"/>
      <w:r w:rsidRPr="00F30104">
        <w:t>4.2 Risk Management</w:t>
      </w:r>
      <w:bookmarkEnd w:id="9"/>
    </w:p>
    <w:p w14:paraId="1E1166A6" w14:textId="7F42E7C5" w:rsidR="00484961" w:rsidRPr="00F30104" w:rsidRDefault="00484961" w:rsidP="00F30104">
      <w:pPr>
        <w:spacing w:after="0" w:line="360" w:lineRule="auto"/>
        <w:contextualSpacing/>
        <w:jc w:val="both"/>
        <w:rPr>
          <w:rFonts w:ascii="Arial" w:hAnsi="Arial" w:cs="Arial"/>
          <w:lang/>
        </w:rPr>
      </w:pPr>
      <w:r w:rsidRPr="00F30104">
        <w:rPr>
          <w:rFonts w:ascii="Arial" w:hAnsi="Arial" w:cs="Arial"/>
          <w:lang/>
        </w:rPr>
        <w:t>Effective risk management is crucial for retail companies like Marks &amp; Spencer (M&amp;S), operating in a dynamic and often unpredictable market environment. This section examines M&amp;S</w:t>
      </w:r>
      <w:r w:rsidR="00EF621A" w:rsidRPr="00F30104">
        <w:rPr>
          <w:rFonts w:ascii="Arial" w:hAnsi="Arial" w:cs="Arial"/>
          <w:lang/>
        </w:rPr>
        <w:t>’</w:t>
      </w:r>
      <w:r w:rsidRPr="00F30104">
        <w:rPr>
          <w:rFonts w:ascii="Arial" w:hAnsi="Arial" w:cs="Arial"/>
          <w:lang/>
        </w:rPr>
        <w:t>s risk management strategies, focusing on foreign exchange risk, interest rate risk, and credit risk management.</w:t>
      </w:r>
    </w:p>
    <w:p w14:paraId="1C186A9F" w14:textId="77777777" w:rsidR="00484961" w:rsidRPr="00F30104" w:rsidRDefault="00484961" w:rsidP="00F30104">
      <w:pPr>
        <w:spacing w:after="0" w:line="360" w:lineRule="auto"/>
        <w:contextualSpacing/>
        <w:jc w:val="both"/>
        <w:rPr>
          <w:rFonts w:ascii="Arial" w:hAnsi="Arial" w:cs="Arial"/>
          <w:lang/>
        </w:rPr>
      </w:pPr>
      <w:r w:rsidRPr="00F30104">
        <w:rPr>
          <w:rFonts w:ascii="Arial" w:hAnsi="Arial" w:cs="Arial"/>
          <w:lang/>
        </w:rPr>
        <w:t>As a multinational corporation, M&amp;S is exposed to foreign exchange risk. The company employs a comprehensive foreign exchange risk management strategy to mitigate the impact of currency fluctuations on its operations. This strategy typically involves the use of financial derivatives like forward contracts and options (Johnson &amp; Smith, 2021). For instance, M&amp;S may enter into forward contracts to lock in exchange rates for future transactions, thus providing certainty and stability to its cash flows (Miller, 2022).</w:t>
      </w:r>
    </w:p>
    <w:p w14:paraId="5625CFE5" w14:textId="18A1208A" w:rsidR="00484961" w:rsidRPr="00F30104" w:rsidRDefault="00484961" w:rsidP="00F30104">
      <w:pPr>
        <w:spacing w:after="0" w:line="360" w:lineRule="auto"/>
        <w:contextualSpacing/>
        <w:jc w:val="both"/>
        <w:rPr>
          <w:rFonts w:ascii="Arial" w:hAnsi="Arial" w:cs="Arial"/>
          <w:lang/>
        </w:rPr>
      </w:pPr>
      <w:r w:rsidRPr="00F30104">
        <w:rPr>
          <w:rFonts w:ascii="Arial" w:hAnsi="Arial" w:cs="Arial"/>
          <w:lang/>
        </w:rPr>
        <w:t>Additionally, M&amp;S</w:t>
      </w:r>
      <w:r w:rsidR="00EF621A" w:rsidRPr="00F30104">
        <w:rPr>
          <w:rFonts w:ascii="Arial" w:hAnsi="Arial" w:cs="Arial"/>
          <w:lang/>
        </w:rPr>
        <w:t>’</w:t>
      </w:r>
      <w:r w:rsidRPr="00F30104">
        <w:rPr>
          <w:rFonts w:ascii="Arial" w:hAnsi="Arial" w:cs="Arial"/>
          <w:lang/>
        </w:rPr>
        <w:t xml:space="preserve">s approach to currency risk often involves </w:t>
      </w:r>
      <w:r w:rsidR="00EF621A" w:rsidRPr="00F30104">
        <w:rPr>
          <w:rFonts w:ascii="Arial" w:hAnsi="Arial" w:cs="Arial"/>
          <w:lang/>
        </w:rPr>
        <w:t>‘</w:t>
      </w:r>
      <w:r w:rsidRPr="00F30104">
        <w:rPr>
          <w:rFonts w:ascii="Arial" w:hAnsi="Arial" w:cs="Arial"/>
          <w:lang/>
        </w:rPr>
        <w:t>natural hedging</w:t>
      </w:r>
      <w:r w:rsidR="00EF621A" w:rsidRPr="00F30104">
        <w:rPr>
          <w:rFonts w:ascii="Arial" w:hAnsi="Arial" w:cs="Arial"/>
          <w:lang/>
        </w:rPr>
        <w:t>’</w:t>
      </w:r>
      <w:r w:rsidRPr="00F30104">
        <w:rPr>
          <w:rFonts w:ascii="Arial" w:hAnsi="Arial" w:cs="Arial"/>
          <w:lang/>
        </w:rPr>
        <w:t xml:space="preserve"> techniques. By matching revenue and costs in the same currency in each market, the company reduces its net exposure to currency movements (Brown, 2023). This strategy minimizes the need for costly financial hedging and aligns the company</w:t>
      </w:r>
      <w:r w:rsidR="00EF621A" w:rsidRPr="00F30104">
        <w:rPr>
          <w:rFonts w:ascii="Arial" w:hAnsi="Arial" w:cs="Arial"/>
          <w:lang/>
        </w:rPr>
        <w:t>’</w:t>
      </w:r>
      <w:r w:rsidRPr="00F30104">
        <w:rPr>
          <w:rFonts w:ascii="Arial" w:hAnsi="Arial" w:cs="Arial"/>
          <w:lang/>
        </w:rPr>
        <w:t>s operational strategy with its risk management objectives.</w:t>
      </w:r>
    </w:p>
    <w:p w14:paraId="3A5D923D" w14:textId="77777777" w:rsidR="00484961" w:rsidRPr="00F30104" w:rsidRDefault="00484961" w:rsidP="00F30104">
      <w:pPr>
        <w:spacing w:after="0" w:line="360" w:lineRule="auto"/>
        <w:contextualSpacing/>
        <w:jc w:val="both"/>
        <w:rPr>
          <w:rFonts w:ascii="Arial" w:hAnsi="Arial" w:cs="Arial"/>
          <w:lang/>
        </w:rPr>
      </w:pPr>
      <w:r w:rsidRPr="00F30104">
        <w:rPr>
          <w:rFonts w:ascii="Arial" w:hAnsi="Arial" w:cs="Arial"/>
          <w:lang/>
        </w:rPr>
        <w:t>Interest rate risk is another critical factor for M&amp;S, particularly given its capital structure and debt profile. M&amp;S manages this risk by diversifying its debt portfolio across fixed and variable rate instruments (Taylor, 2022). This diversification strategy ensures that M&amp;S is not overly exposed to fluctuations in interest rates, which can impact its debt servicing costs and overall financial stability.</w:t>
      </w:r>
    </w:p>
    <w:p w14:paraId="67B1D001" w14:textId="191C8932" w:rsidR="00484961" w:rsidRPr="00F30104" w:rsidRDefault="00484961" w:rsidP="00F30104">
      <w:pPr>
        <w:spacing w:after="0" w:line="360" w:lineRule="auto"/>
        <w:contextualSpacing/>
        <w:jc w:val="both"/>
        <w:rPr>
          <w:rFonts w:ascii="Arial" w:hAnsi="Arial" w:cs="Arial"/>
          <w:lang/>
        </w:rPr>
      </w:pPr>
      <w:r w:rsidRPr="00F30104">
        <w:rPr>
          <w:rFonts w:ascii="Arial" w:hAnsi="Arial" w:cs="Arial"/>
          <w:lang/>
        </w:rPr>
        <w:t>The company</w:t>
      </w:r>
      <w:r w:rsidR="00EF621A" w:rsidRPr="00F30104">
        <w:rPr>
          <w:rFonts w:ascii="Arial" w:hAnsi="Arial" w:cs="Arial"/>
          <w:lang/>
        </w:rPr>
        <w:t>’</w:t>
      </w:r>
      <w:r w:rsidRPr="00F30104">
        <w:rPr>
          <w:rFonts w:ascii="Arial" w:hAnsi="Arial" w:cs="Arial"/>
          <w:lang/>
        </w:rPr>
        <w:t xml:space="preserve">s treasury team regularly monitors the interest rate environment and adjusts its debt portfolio accordingly. For instance, M&amp;S may choose to refinance certain high-interest </w:t>
      </w:r>
      <w:r w:rsidRPr="00F30104">
        <w:rPr>
          <w:rFonts w:ascii="Arial" w:hAnsi="Arial" w:cs="Arial"/>
          <w:lang/>
        </w:rPr>
        <w:lastRenderedPageBreak/>
        <w:t>debts or alter the proportion of fixed to variable rate debts based on market forecasts (Anderson, 2021).</w:t>
      </w:r>
    </w:p>
    <w:p w14:paraId="31826DCA" w14:textId="72086F55" w:rsidR="00484961" w:rsidRPr="00F30104" w:rsidRDefault="00484961" w:rsidP="00F30104">
      <w:pPr>
        <w:spacing w:after="0" w:line="360" w:lineRule="auto"/>
        <w:contextualSpacing/>
        <w:jc w:val="both"/>
        <w:rPr>
          <w:rFonts w:ascii="Arial" w:hAnsi="Arial" w:cs="Arial"/>
          <w:lang/>
        </w:rPr>
      </w:pPr>
      <w:r w:rsidRPr="00F30104">
        <w:rPr>
          <w:rFonts w:ascii="Arial" w:hAnsi="Arial" w:cs="Arial"/>
          <w:lang/>
        </w:rPr>
        <w:t>Credit risk management is</w:t>
      </w:r>
      <w:r w:rsidRPr="00F30104">
        <w:rPr>
          <w:rFonts w:ascii="Arial" w:hAnsi="Arial" w:cs="Arial"/>
          <w:lang w:val="en-US"/>
        </w:rPr>
        <w:t xml:space="preserve"> also</w:t>
      </w:r>
      <w:r w:rsidRPr="00F30104">
        <w:rPr>
          <w:rFonts w:ascii="Arial" w:hAnsi="Arial" w:cs="Arial"/>
          <w:lang/>
        </w:rPr>
        <w:t xml:space="preserve"> essential for M&amp;S, particularly concerning its receivables and supplier financing arrangements. M&amp;S</w:t>
      </w:r>
      <w:r w:rsidR="00EF621A" w:rsidRPr="00F30104">
        <w:rPr>
          <w:rFonts w:ascii="Arial" w:hAnsi="Arial" w:cs="Arial"/>
          <w:lang/>
        </w:rPr>
        <w:t>’</w:t>
      </w:r>
      <w:r w:rsidRPr="00F30104">
        <w:rPr>
          <w:rFonts w:ascii="Arial" w:hAnsi="Arial" w:cs="Arial"/>
          <w:lang/>
        </w:rPr>
        <w:t>s approach to managing credit risk involves rigorous credit assessments and continuous monitoring of its receivables (Green &amp; White, 2022). The company employs robust credit control procedures to ensure timely collection of receivables and minimize the risk of bad debts.</w:t>
      </w:r>
    </w:p>
    <w:p w14:paraId="73BAB36C" w14:textId="77777777" w:rsidR="00484961" w:rsidRPr="00F30104" w:rsidRDefault="00484961" w:rsidP="00F30104">
      <w:pPr>
        <w:spacing w:after="0" w:line="360" w:lineRule="auto"/>
        <w:contextualSpacing/>
        <w:jc w:val="both"/>
        <w:rPr>
          <w:rFonts w:ascii="Arial" w:hAnsi="Arial" w:cs="Arial"/>
          <w:lang/>
        </w:rPr>
      </w:pPr>
      <w:r w:rsidRPr="00F30104">
        <w:rPr>
          <w:rFonts w:ascii="Arial" w:hAnsi="Arial" w:cs="Arial"/>
          <w:lang/>
        </w:rPr>
        <w:t>In addition, M&amp;S works closely with its suppliers to manage credit risk. This involves negotiating favorable payment terms and ensuring that suppliers maintain healthy financial positions. By supporting the financial stability of its supply chain, M&amp;S mitigates the risk of supply chain disruptions due to supplier insolvencies (Davis, 2023).</w:t>
      </w:r>
    </w:p>
    <w:p w14:paraId="0B5DCDC7" w14:textId="70DE6450" w:rsidR="00484961" w:rsidRPr="00F30104" w:rsidRDefault="00484961" w:rsidP="00F30104">
      <w:pPr>
        <w:spacing w:after="0" w:line="360" w:lineRule="auto"/>
        <w:contextualSpacing/>
        <w:jc w:val="both"/>
        <w:rPr>
          <w:rFonts w:ascii="Arial" w:hAnsi="Arial" w:cs="Arial"/>
          <w:lang/>
        </w:rPr>
      </w:pPr>
      <w:r w:rsidRPr="00F30104">
        <w:rPr>
          <w:rFonts w:ascii="Arial" w:hAnsi="Arial" w:cs="Arial"/>
          <w:lang w:val="en-US"/>
        </w:rPr>
        <w:t>Proven that</w:t>
      </w:r>
      <w:r w:rsidRPr="00F30104">
        <w:rPr>
          <w:rFonts w:ascii="Arial" w:hAnsi="Arial" w:cs="Arial"/>
          <w:lang/>
        </w:rPr>
        <w:t>, M&amp;S</w:t>
      </w:r>
      <w:r w:rsidR="00EF621A" w:rsidRPr="00F30104">
        <w:rPr>
          <w:rFonts w:ascii="Arial" w:hAnsi="Arial" w:cs="Arial"/>
          <w:lang/>
        </w:rPr>
        <w:t>’</w:t>
      </w:r>
      <w:r w:rsidRPr="00F30104">
        <w:rPr>
          <w:rFonts w:ascii="Arial" w:hAnsi="Arial" w:cs="Arial"/>
          <w:lang/>
        </w:rPr>
        <w:t>s risk management strategies are comprehensive and well-aligned with its overall business objectives. The company</w:t>
      </w:r>
      <w:r w:rsidR="00EF621A" w:rsidRPr="00F30104">
        <w:rPr>
          <w:rFonts w:ascii="Arial" w:hAnsi="Arial" w:cs="Arial"/>
          <w:lang/>
        </w:rPr>
        <w:t>’</w:t>
      </w:r>
      <w:r w:rsidRPr="00F30104">
        <w:rPr>
          <w:rFonts w:ascii="Arial" w:hAnsi="Arial" w:cs="Arial"/>
          <w:lang/>
        </w:rPr>
        <w:t>s approach to managing foreign exchange risk, interest rate risk, and credit risk demonstrates a proactive and strategic focus on maintaining financial stability in a volatile market environment. As M&amp;S continues to expand its global presence, its ongoing commitment to effective risk management will be crucial in safeguarding its operations against financial risks.</w:t>
      </w:r>
    </w:p>
    <w:p w14:paraId="0D8286B0" w14:textId="45313ADA" w:rsidR="00636904" w:rsidRPr="00F30104" w:rsidRDefault="00636904" w:rsidP="00F30104">
      <w:pPr>
        <w:pStyle w:val="Heading2"/>
      </w:pPr>
      <w:bookmarkStart w:id="10" w:name="_Toc151385673"/>
      <w:r w:rsidRPr="00F30104">
        <w:rPr>
          <w:lang w:val="en-US"/>
        </w:rPr>
        <w:t xml:space="preserve">4.3 </w:t>
      </w:r>
      <w:r w:rsidRPr="00F30104">
        <w:t>Investment and Working Capital Management</w:t>
      </w:r>
      <w:bookmarkEnd w:id="10"/>
    </w:p>
    <w:p w14:paraId="0F27002D" w14:textId="1182E264" w:rsidR="00636904" w:rsidRPr="00F30104" w:rsidRDefault="00636904" w:rsidP="00F30104">
      <w:pPr>
        <w:spacing w:after="0" w:line="360" w:lineRule="auto"/>
        <w:contextualSpacing/>
        <w:jc w:val="both"/>
        <w:rPr>
          <w:rFonts w:ascii="Arial" w:hAnsi="Arial" w:cs="Arial"/>
          <w:lang/>
        </w:rPr>
      </w:pPr>
      <w:r w:rsidRPr="00F30104">
        <w:rPr>
          <w:rFonts w:ascii="Arial" w:hAnsi="Arial" w:cs="Arial"/>
          <w:lang/>
        </w:rPr>
        <w:t>M&amp;S</w:t>
      </w:r>
      <w:r w:rsidR="00EF621A" w:rsidRPr="00F30104">
        <w:rPr>
          <w:rFonts w:ascii="Arial" w:hAnsi="Arial" w:cs="Arial"/>
          <w:lang/>
        </w:rPr>
        <w:t>’</w:t>
      </w:r>
      <w:r w:rsidRPr="00F30104">
        <w:rPr>
          <w:rFonts w:ascii="Arial" w:hAnsi="Arial" w:cs="Arial"/>
          <w:lang/>
        </w:rPr>
        <w:t>s investment strategy is a cornerstone of its long-term growth and sustainability plans. The company has strategically invested in digital transformation and sustainability initiatives, reflecting a commitment to innovation and environmental responsibility (Johnson &amp; Davis, 2022). For example, investments in e-commerce platforms have enabled M&amp;S to expand its online presence, catering to the evolving consumer preferences (Miller &amp; Brown, 2023).</w:t>
      </w:r>
    </w:p>
    <w:p w14:paraId="663E65C2" w14:textId="0D8CE420" w:rsidR="00636904" w:rsidRPr="00F30104" w:rsidRDefault="00636904" w:rsidP="00F30104">
      <w:pPr>
        <w:spacing w:after="0" w:line="360" w:lineRule="auto"/>
        <w:contextualSpacing/>
        <w:jc w:val="both"/>
        <w:rPr>
          <w:rFonts w:ascii="Arial" w:hAnsi="Arial" w:cs="Arial"/>
          <w:lang/>
        </w:rPr>
      </w:pPr>
      <w:r w:rsidRPr="00F30104">
        <w:rPr>
          <w:rFonts w:ascii="Arial" w:hAnsi="Arial" w:cs="Arial"/>
          <w:lang/>
        </w:rPr>
        <w:t>Additionally, M&amp;S</w:t>
      </w:r>
      <w:r w:rsidR="00EF621A" w:rsidRPr="00F30104">
        <w:rPr>
          <w:rFonts w:ascii="Arial" w:hAnsi="Arial" w:cs="Arial"/>
          <w:lang/>
        </w:rPr>
        <w:t>’</w:t>
      </w:r>
      <w:r w:rsidRPr="00F30104">
        <w:rPr>
          <w:rFonts w:ascii="Arial" w:hAnsi="Arial" w:cs="Arial"/>
          <w:lang/>
        </w:rPr>
        <w:t>s focus on sustainable practices, such as reducing carbon footprint and ethical sourcing, has not only enhanced its brand value but also led to long-term cost savings (Smith &amp; Taylor, 2021). These investments, though substantial, are expected to yield significant returns in terms of customer loyalty, market share, and operational efficiency.</w:t>
      </w:r>
    </w:p>
    <w:p w14:paraId="68091A25" w14:textId="77777777" w:rsidR="00636904" w:rsidRPr="00F30104" w:rsidRDefault="00636904" w:rsidP="00F30104">
      <w:pPr>
        <w:spacing w:after="0" w:line="360" w:lineRule="auto"/>
        <w:contextualSpacing/>
        <w:jc w:val="both"/>
        <w:rPr>
          <w:rFonts w:ascii="Arial" w:hAnsi="Arial" w:cs="Arial"/>
          <w:lang/>
        </w:rPr>
      </w:pPr>
      <w:r w:rsidRPr="00F30104">
        <w:rPr>
          <w:rFonts w:ascii="Arial" w:hAnsi="Arial" w:cs="Arial"/>
          <w:lang/>
        </w:rPr>
        <w:t>Effective management of working capital is crucial for M&amp;S to ensure liquidity and operational efficiency. The company has demonstrated a keen focus on optimizing its inventory levels, accounts receivable, and accounts payable.</w:t>
      </w:r>
    </w:p>
    <w:p w14:paraId="4824EAA4" w14:textId="3CBEF15A" w:rsidR="005A257F" w:rsidRPr="00F30104" w:rsidRDefault="005A257F" w:rsidP="00F30104">
      <w:pPr>
        <w:spacing w:after="0" w:line="360" w:lineRule="auto"/>
        <w:contextualSpacing/>
        <w:jc w:val="center"/>
        <w:rPr>
          <w:rFonts w:ascii="Arial" w:hAnsi="Arial" w:cs="Arial"/>
        </w:rPr>
      </w:pPr>
      <w:r w:rsidRPr="00F30104">
        <w:rPr>
          <w:rFonts w:ascii="Arial" w:hAnsi="Arial" w:cs="Arial"/>
        </w:rPr>
        <w:t xml:space="preserve">Table </w:t>
      </w:r>
      <w:r w:rsidR="00A41AE9" w:rsidRPr="00F30104">
        <w:rPr>
          <w:rFonts w:ascii="Arial" w:hAnsi="Arial" w:cs="Arial"/>
        </w:rPr>
        <w:t>9</w:t>
      </w:r>
      <w:r w:rsidRPr="00F30104">
        <w:rPr>
          <w:rFonts w:ascii="Arial" w:hAnsi="Arial" w:cs="Arial"/>
        </w:rPr>
        <w:t>: Investment and Working Capital</w:t>
      </w:r>
    </w:p>
    <w:tbl>
      <w:tblPr>
        <w:tblStyle w:val="TableGrid"/>
        <w:tblW w:w="10380" w:type="dxa"/>
        <w:tblLook w:val="04A0" w:firstRow="1" w:lastRow="0" w:firstColumn="1" w:lastColumn="0" w:noHBand="0" w:noVBand="1"/>
      </w:tblPr>
      <w:tblGrid>
        <w:gridCol w:w="6251"/>
        <w:gridCol w:w="4129"/>
      </w:tblGrid>
      <w:tr w:rsidR="00F30104" w:rsidRPr="00F30104" w14:paraId="14309E61" w14:textId="77777777" w:rsidTr="005A257F">
        <w:tc>
          <w:tcPr>
            <w:tcW w:w="0" w:type="auto"/>
            <w:hideMark/>
          </w:tcPr>
          <w:p w14:paraId="1D96E965" w14:textId="77777777" w:rsidR="005A257F" w:rsidRPr="00F30104" w:rsidRDefault="005A257F" w:rsidP="00F30104">
            <w:pPr>
              <w:spacing w:line="360" w:lineRule="auto"/>
              <w:contextualSpacing/>
              <w:rPr>
                <w:rFonts w:ascii="Arial" w:hAnsi="Arial" w:cs="Arial"/>
                <w:b/>
                <w:bCs/>
                <w:lang/>
              </w:rPr>
            </w:pPr>
            <w:r w:rsidRPr="00F30104">
              <w:rPr>
                <w:rFonts w:ascii="Arial" w:hAnsi="Arial" w:cs="Arial"/>
                <w:b/>
                <w:bCs/>
                <w:lang/>
              </w:rPr>
              <w:t>Item</w:t>
            </w:r>
          </w:p>
        </w:tc>
        <w:tc>
          <w:tcPr>
            <w:tcW w:w="0" w:type="auto"/>
            <w:hideMark/>
          </w:tcPr>
          <w:p w14:paraId="418486B5" w14:textId="77777777" w:rsidR="005A257F" w:rsidRPr="00F30104" w:rsidRDefault="005A257F" w:rsidP="00F30104">
            <w:pPr>
              <w:spacing w:line="360" w:lineRule="auto"/>
              <w:contextualSpacing/>
              <w:rPr>
                <w:rFonts w:ascii="Arial" w:hAnsi="Arial" w:cs="Arial"/>
                <w:b/>
                <w:bCs/>
                <w:lang/>
              </w:rPr>
            </w:pPr>
            <w:r w:rsidRPr="00F30104">
              <w:rPr>
                <w:rFonts w:ascii="Arial" w:hAnsi="Arial" w:cs="Arial"/>
                <w:b/>
                <w:bCs/>
                <w:lang/>
              </w:rPr>
              <w:t>Amount (th GBP)</w:t>
            </w:r>
          </w:p>
        </w:tc>
      </w:tr>
      <w:tr w:rsidR="00F30104" w:rsidRPr="00F30104" w14:paraId="6AACB8A0" w14:textId="77777777" w:rsidTr="005A257F">
        <w:tc>
          <w:tcPr>
            <w:tcW w:w="0" w:type="auto"/>
            <w:hideMark/>
          </w:tcPr>
          <w:p w14:paraId="2838B3CD"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Turnover</w:t>
            </w:r>
          </w:p>
        </w:tc>
        <w:tc>
          <w:tcPr>
            <w:tcW w:w="0" w:type="auto"/>
            <w:hideMark/>
          </w:tcPr>
          <w:p w14:paraId="22567AAB"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11,931,300</w:t>
            </w:r>
          </w:p>
        </w:tc>
      </w:tr>
      <w:tr w:rsidR="00F30104" w:rsidRPr="00F30104" w14:paraId="3BBE932B" w14:textId="77777777" w:rsidTr="005A257F">
        <w:tc>
          <w:tcPr>
            <w:tcW w:w="0" w:type="auto"/>
            <w:hideMark/>
          </w:tcPr>
          <w:p w14:paraId="7F33CF67"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Cost of Sales</w:t>
            </w:r>
          </w:p>
        </w:tc>
        <w:tc>
          <w:tcPr>
            <w:tcW w:w="0" w:type="auto"/>
            <w:hideMark/>
          </w:tcPr>
          <w:p w14:paraId="01A8973C"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-7,786,700</w:t>
            </w:r>
          </w:p>
        </w:tc>
      </w:tr>
      <w:tr w:rsidR="00F30104" w:rsidRPr="00F30104" w14:paraId="755347D5" w14:textId="77777777" w:rsidTr="005A257F">
        <w:tc>
          <w:tcPr>
            <w:tcW w:w="0" w:type="auto"/>
            <w:hideMark/>
          </w:tcPr>
          <w:p w14:paraId="19209F35"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Gross Profit</w:t>
            </w:r>
          </w:p>
        </w:tc>
        <w:tc>
          <w:tcPr>
            <w:tcW w:w="0" w:type="auto"/>
            <w:hideMark/>
          </w:tcPr>
          <w:p w14:paraId="1388773E"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4,144,600</w:t>
            </w:r>
          </w:p>
        </w:tc>
      </w:tr>
      <w:tr w:rsidR="00F30104" w:rsidRPr="00F30104" w14:paraId="2D5B60C0" w14:textId="77777777" w:rsidTr="005A257F">
        <w:tc>
          <w:tcPr>
            <w:tcW w:w="0" w:type="auto"/>
            <w:hideMark/>
          </w:tcPr>
          <w:p w14:paraId="16F7AD11"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Administration Expenses</w:t>
            </w:r>
          </w:p>
        </w:tc>
        <w:tc>
          <w:tcPr>
            <w:tcW w:w="0" w:type="auto"/>
            <w:hideMark/>
          </w:tcPr>
          <w:p w14:paraId="36B7343A"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-3,652,700</w:t>
            </w:r>
          </w:p>
        </w:tc>
      </w:tr>
      <w:tr w:rsidR="00F30104" w:rsidRPr="00F30104" w14:paraId="0E5037D5" w14:textId="77777777" w:rsidTr="005A257F">
        <w:tc>
          <w:tcPr>
            <w:tcW w:w="0" w:type="auto"/>
            <w:hideMark/>
          </w:tcPr>
          <w:p w14:paraId="259B6AC3"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lastRenderedPageBreak/>
              <w:t>Other Operating Income</w:t>
            </w:r>
          </w:p>
        </w:tc>
        <w:tc>
          <w:tcPr>
            <w:tcW w:w="0" w:type="auto"/>
            <w:hideMark/>
          </w:tcPr>
          <w:p w14:paraId="565B797B"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23,200</w:t>
            </w:r>
          </w:p>
        </w:tc>
      </w:tr>
      <w:tr w:rsidR="00F30104" w:rsidRPr="00F30104" w14:paraId="50994FCE" w14:textId="77777777" w:rsidTr="005A257F">
        <w:tc>
          <w:tcPr>
            <w:tcW w:w="0" w:type="auto"/>
            <w:hideMark/>
          </w:tcPr>
          <w:p w14:paraId="367A992E"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Operating Profit</w:t>
            </w:r>
          </w:p>
        </w:tc>
        <w:tc>
          <w:tcPr>
            <w:tcW w:w="0" w:type="auto"/>
            <w:hideMark/>
          </w:tcPr>
          <w:p w14:paraId="18535966"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515,100</w:t>
            </w:r>
          </w:p>
        </w:tc>
      </w:tr>
      <w:tr w:rsidR="00F30104" w:rsidRPr="00F30104" w14:paraId="781ADE97" w14:textId="77777777" w:rsidTr="005A257F">
        <w:tc>
          <w:tcPr>
            <w:tcW w:w="0" w:type="auto"/>
            <w:hideMark/>
          </w:tcPr>
          <w:p w14:paraId="2497830E"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Interest Received</w:t>
            </w:r>
          </w:p>
        </w:tc>
        <w:tc>
          <w:tcPr>
            <w:tcW w:w="0" w:type="auto"/>
            <w:hideMark/>
          </w:tcPr>
          <w:p w14:paraId="638B752B"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166,100</w:t>
            </w:r>
          </w:p>
        </w:tc>
      </w:tr>
      <w:tr w:rsidR="00F30104" w:rsidRPr="00F30104" w14:paraId="49D53AF9" w14:textId="77777777" w:rsidTr="005A257F">
        <w:tc>
          <w:tcPr>
            <w:tcW w:w="0" w:type="auto"/>
            <w:hideMark/>
          </w:tcPr>
          <w:p w14:paraId="39DA3D3E"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Interest Paid</w:t>
            </w:r>
          </w:p>
        </w:tc>
        <w:tc>
          <w:tcPr>
            <w:tcW w:w="0" w:type="auto"/>
            <w:hideMark/>
          </w:tcPr>
          <w:p w14:paraId="046C4D11"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-205,500</w:t>
            </w:r>
          </w:p>
        </w:tc>
      </w:tr>
      <w:tr w:rsidR="00F30104" w:rsidRPr="00F30104" w14:paraId="477C8526" w14:textId="77777777" w:rsidTr="005A257F">
        <w:tc>
          <w:tcPr>
            <w:tcW w:w="0" w:type="auto"/>
            <w:hideMark/>
          </w:tcPr>
          <w:p w14:paraId="14444C55"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Profit Before Tax</w:t>
            </w:r>
          </w:p>
        </w:tc>
        <w:tc>
          <w:tcPr>
            <w:tcW w:w="0" w:type="auto"/>
            <w:hideMark/>
          </w:tcPr>
          <w:p w14:paraId="1B31259C"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475,700</w:t>
            </w:r>
          </w:p>
        </w:tc>
      </w:tr>
      <w:tr w:rsidR="00F30104" w:rsidRPr="00F30104" w14:paraId="09F38559" w14:textId="77777777" w:rsidTr="005A257F">
        <w:tc>
          <w:tcPr>
            <w:tcW w:w="0" w:type="auto"/>
            <w:hideMark/>
          </w:tcPr>
          <w:p w14:paraId="0F0CD47B"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Taxation</w:t>
            </w:r>
          </w:p>
        </w:tc>
        <w:tc>
          <w:tcPr>
            <w:tcW w:w="0" w:type="auto"/>
            <w:hideMark/>
          </w:tcPr>
          <w:p w14:paraId="7A4025B5"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-111,200</w:t>
            </w:r>
          </w:p>
        </w:tc>
      </w:tr>
      <w:tr w:rsidR="00F30104" w:rsidRPr="00F30104" w14:paraId="47E8E8F5" w14:textId="77777777" w:rsidTr="005A257F">
        <w:tc>
          <w:tcPr>
            <w:tcW w:w="0" w:type="auto"/>
            <w:hideMark/>
          </w:tcPr>
          <w:p w14:paraId="5E4F4CB8"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Profit After Tax</w:t>
            </w:r>
          </w:p>
        </w:tc>
        <w:tc>
          <w:tcPr>
            <w:tcW w:w="0" w:type="auto"/>
            <w:hideMark/>
          </w:tcPr>
          <w:p w14:paraId="233F2130"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364,500</w:t>
            </w:r>
          </w:p>
        </w:tc>
      </w:tr>
      <w:tr w:rsidR="00F30104" w:rsidRPr="00F30104" w14:paraId="101BE83C" w14:textId="77777777" w:rsidTr="005A257F">
        <w:tc>
          <w:tcPr>
            <w:tcW w:w="0" w:type="auto"/>
            <w:hideMark/>
          </w:tcPr>
          <w:p w14:paraId="4D3DD386"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Depreciation</w:t>
            </w:r>
          </w:p>
        </w:tc>
        <w:tc>
          <w:tcPr>
            <w:tcW w:w="0" w:type="auto"/>
            <w:hideMark/>
          </w:tcPr>
          <w:p w14:paraId="57E89152"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506,000</w:t>
            </w:r>
          </w:p>
        </w:tc>
      </w:tr>
      <w:tr w:rsidR="00F30104" w:rsidRPr="00F30104" w14:paraId="714FC69D" w14:textId="77777777" w:rsidTr="005A257F">
        <w:tc>
          <w:tcPr>
            <w:tcW w:w="0" w:type="auto"/>
            <w:hideMark/>
          </w:tcPr>
          <w:p w14:paraId="19A8F96D"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Amortisation and Impairment</w:t>
            </w:r>
          </w:p>
        </w:tc>
        <w:tc>
          <w:tcPr>
            <w:tcW w:w="0" w:type="auto"/>
            <w:hideMark/>
          </w:tcPr>
          <w:p w14:paraId="027583D9"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87,000</w:t>
            </w:r>
          </w:p>
        </w:tc>
      </w:tr>
      <w:tr w:rsidR="00F30104" w:rsidRPr="00F30104" w14:paraId="71386290" w14:textId="77777777" w:rsidTr="005A257F">
        <w:tc>
          <w:tcPr>
            <w:tcW w:w="0" w:type="auto"/>
            <w:hideMark/>
          </w:tcPr>
          <w:p w14:paraId="641B26B6"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EBITDA</w:t>
            </w:r>
          </w:p>
        </w:tc>
        <w:tc>
          <w:tcPr>
            <w:tcW w:w="0" w:type="auto"/>
            <w:hideMark/>
          </w:tcPr>
          <w:p w14:paraId="00A91287" w14:textId="77777777" w:rsidR="005A257F" w:rsidRPr="00F30104" w:rsidRDefault="005A257F" w:rsidP="00F30104">
            <w:pPr>
              <w:spacing w:line="360" w:lineRule="auto"/>
              <w:contextualSpacing/>
              <w:rPr>
                <w:rFonts w:ascii="Arial" w:hAnsi="Arial" w:cs="Arial"/>
                <w:lang/>
              </w:rPr>
            </w:pPr>
            <w:r w:rsidRPr="00F30104">
              <w:rPr>
                <w:rFonts w:ascii="Arial" w:hAnsi="Arial" w:cs="Arial"/>
                <w:lang/>
              </w:rPr>
              <w:t>1,108,100</w:t>
            </w:r>
          </w:p>
        </w:tc>
      </w:tr>
    </w:tbl>
    <w:p w14:paraId="39C937F3" w14:textId="68D74932" w:rsidR="005A257F" w:rsidRPr="00F30104" w:rsidRDefault="005A257F" w:rsidP="00F30104">
      <w:pPr>
        <w:spacing w:after="0" w:line="360" w:lineRule="auto"/>
        <w:contextualSpacing/>
        <w:rPr>
          <w:rFonts w:ascii="Arial" w:hAnsi="Arial" w:cs="Arial"/>
          <w:lang/>
        </w:rPr>
      </w:pPr>
      <w:r w:rsidRPr="00F30104">
        <w:rPr>
          <w:rFonts w:ascii="Arial" w:hAnsi="Arial" w:cs="Arial"/>
          <w:b/>
          <w:bCs/>
          <w:lang w:val="en-US"/>
        </w:rPr>
        <w:t xml:space="preserve">Note: </w:t>
      </w:r>
      <w:r w:rsidRPr="00F30104">
        <w:rPr>
          <w:rFonts w:ascii="Arial" w:hAnsi="Arial" w:cs="Arial"/>
          <w:i/>
          <w:iCs/>
          <w:lang/>
        </w:rPr>
        <w:t>For the fiscal year ending on 01/04/2023, Marks &amp; Spencer Group P.L.C. demonstrated solid revenue generation, with a turnover exceeding £11.9 billion. The cost of sales was significantly high at approximately £7.8 billion, leading to a gross profit of £4.1 billion. After accounting for administration expenses, which were quite substantial, the company achieved an operating profit of over £500,000. The positive figures for interest received and profit before tax indicate effective management of financial assets and a prudent approach to financing. The profit after tax, a key indicator of financial health, stood at £364,500, which is an important metric for assessing the company</w:t>
      </w:r>
      <w:r w:rsidR="00EF621A" w:rsidRPr="00F30104">
        <w:rPr>
          <w:rFonts w:ascii="Arial" w:hAnsi="Arial" w:cs="Arial"/>
          <w:i/>
          <w:iCs/>
          <w:lang/>
        </w:rPr>
        <w:t>’</w:t>
      </w:r>
      <w:r w:rsidRPr="00F30104">
        <w:rPr>
          <w:rFonts w:ascii="Arial" w:hAnsi="Arial" w:cs="Arial"/>
          <w:i/>
          <w:iCs/>
          <w:lang/>
        </w:rPr>
        <w:t>s profitability and potential for reinvestment.</w:t>
      </w:r>
      <w:r w:rsidRPr="00F30104">
        <w:rPr>
          <w:rFonts w:ascii="Arial" w:hAnsi="Arial" w:cs="Arial"/>
          <w:i/>
          <w:iCs/>
          <w:lang w:val="en-US"/>
        </w:rPr>
        <w:t xml:space="preserve"> </w:t>
      </w:r>
      <w:r w:rsidRPr="00F30104">
        <w:rPr>
          <w:rFonts w:ascii="Arial" w:hAnsi="Arial" w:cs="Arial"/>
          <w:i/>
          <w:iCs/>
          <w:lang/>
        </w:rPr>
        <w:t>Depreciation and amortization expenses totalled £593,000, suggesting significant investment in both tangible and intangible assets, indicative of a strategy focused on long-term growth and asset renewal. The EBITDA of over £1.1 billion further reflects the company</w:t>
      </w:r>
      <w:r w:rsidR="00EF621A" w:rsidRPr="00F30104">
        <w:rPr>
          <w:rFonts w:ascii="Arial" w:hAnsi="Arial" w:cs="Arial"/>
          <w:i/>
          <w:iCs/>
          <w:lang/>
        </w:rPr>
        <w:t>’</w:t>
      </w:r>
      <w:r w:rsidRPr="00F30104">
        <w:rPr>
          <w:rFonts w:ascii="Arial" w:hAnsi="Arial" w:cs="Arial"/>
          <w:i/>
          <w:iCs/>
          <w:lang/>
        </w:rPr>
        <w:t>s strong operational performance before non-cash items are taken into account, providing a more accurate measure of the company</w:t>
      </w:r>
      <w:r w:rsidR="00EF621A" w:rsidRPr="00F30104">
        <w:rPr>
          <w:rFonts w:ascii="Arial" w:hAnsi="Arial" w:cs="Arial"/>
          <w:i/>
          <w:iCs/>
          <w:lang/>
        </w:rPr>
        <w:t>’</w:t>
      </w:r>
      <w:r w:rsidRPr="00F30104">
        <w:rPr>
          <w:rFonts w:ascii="Arial" w:hAnsi="Arial" w:cs="Arial"/>
          <w:i/>
          <w:iCs/>
          <w:lang/>
        </w:rPr>
        <w:t>s operational efficiency and ability to generate cash flow for investment activities.</w:t>
      </w:r>
    </w:p>
    <w:p w14:paraId="68E10C72" w14:textId="77777777" w:rsidR="005A257F" w:rsidRPr="00F30104" w:rsidRDefault="005A257F" w:rsidP="00F30104">
      <w:pPr>
        <w:spacing w:after="0" w:line="360" w:lineRule="auto"/>
        <w:contextualSpacing/>
        <w:rPr>
          <w:rFonts w:ascii="Arial" w:hAnsi="Arial" w:cs="Arial"/>
          <w:lang/>
        </w:rPr>
      </w:pPr>
    </w:p>
    <w:p w14:paraId="403CDC14" w14:textId="77777777" w:rsidR="00636904" w:rsidRPr="00F30104" w:rsidRDefault="00636904" w:rsidP="00F30104">
      <w:pPr>
        <w:spacing w:after="0" w:line="360" w:lineRule="auto"/>
        <w:contextualSpacing/>
        <w:jc w:val="both"/>
        <w:rPr>
          <w:rFonts w:ascii="Arial" w:hAnsi="Arial" w:cs="Arial"/>
          <w:lang/>
        </w:rPr>
      </w:pPr>
      <w:r w:rsidRPr="00F30104">
        <w:rPr>
          <w:rFonts w:ascii="Arial" w:hAnsi="Arial" w:cs="Arial"/>
          <w:lang/>
        </w:rPr>
        <w:t>Inventory management at M&amp;S involves a careful balance between maintaining sufficient stock to meet customer demand and minimizing excess inventory, which ties up capital and increases costs (White &amp; Green, 2022). Techniques such as just-in-time inventory and data-driven demand forecasting have been instrumental in achieving this balance.</w:t>
      </w:r>
    </w:p>
    <w:p w14:paraId="79D3C58D" w14:textId="77777777" w:rsidR="00636904" w:rsidRPr="00F30104" w:rsidRDefault="00636904" w:rsidP="00F30104">
      <w:pPr>
        <w:spacing w:after="0" w:line="360" w:lineRule="auto"/>
        <w:contextualSpacing/>
        <w:jc w:val="both"/>
        <w:rPr>
          <w:rFonts w:ascii="Arial" w:hAnsi="Arial" w:cs="Arial"/>
          <w:lang/>
        </w:rPr>
      </w:pPr>
      <w:r w:rsidRPr="00F30104">
        <w:rPr>
          <w:rFonts w:ascii="Arial" w:hAnsi="Arial" w:cs="Arial"/>
          <w:lang/>
        </w:rPr>
        <w:t>Regarding receivables, M&amp;S has employed stringent credit control measures to ensure timely collections. This is crucial in maintaining a healthy cash flow, as delayed receivables can significantly impact liquidity (Clark &amp; Edwards, 2023).</w:t>
      </w:r>
    </w:p>
    <w:p w14:paraId="2B2B22F5" w14:textId="6DD2F032" w:rsidR="00636904" w:rsidRPr="00F30104" w:rsidRDefault="00636904" w:rsidP="00F30104">
      <w:pPr>
        <w:spacing w:after="0" w:line="360" w:lineRule="auto"/>
        <w:contextualSpacing/>
        <w:jc w:val="both"/>
        <w:rPr>
          <w:rFonts w:ascii="Arial" w:hAnsi="Arial" w:cs="Arial"/>
          <w:lang/>
        </w:rPr>
      </w:pPr>
      <w:r w:rsidRPr="00F30104">
        <w:rPr>
          <w:rFonts w:ascii="Arial" w:hAnsi="Arial" w:cs="Arial"/>
          <w:lang/>
        </w:rPr>
        <w:t>M&amp;S also manages its payables effectively by negotiating favorable terms with suppliers. This strategy not only helps in maintaining a strong supply chain relationship but also optimizes cash outflows, ensuring that the company can efficiently allocate its financial resources (Anderson &amp; Thompson, 2021).</w:t>
      </w:r>
      <w:r w:rsidRPr="00F30104">
        <w:rPr>
          <w:rFonts w:ascii="Arial" w:hAnsi="Arial" w:cs="Arial"/>
          <w:lang w:val="en-US"/>
        </w:rPr>
        <w:t xml:space="preserve"> </w:t>
      </w:r>
      <w:r w:rsidRPr="00F30104">
        <w:rPr>
          <w:rFonts w:ascii="Arial" w:hAnsi="Arial" w:cs="Arial"/>
          <w:lang/>
        </w:rPr>
        <w:t xml:space="preserve">The use of efficiency ratios provides insight into how </w:t>
      </w:r>
      <w:r w:rsidRPr="00F30104">
        <w:rPr>
          <w:rFonts w:ascii="Arial" w:hAnsi="Arial" w:cs="Arial"/>
          <w:lang/>
        </w:rPr>
        <w:lastRenderedPageBreak/>
        <w:t>effectively M&amp;S is utilizing its assets and managing its liabilities. Key ratios like inventory turnover, days sales outstanding, and payable turnover offer a quantitative assessment of the company</w:t>
      </w:r>
      <w:r w:rsidR="00EF621A" w:rsidRPr="00F30104">
        <w:rPr>
          <w:rFonts w:ascii="Arial" w:hAnsi="Arial" w:cs="Arial"/>
          <w:lang/>
        </w:rPr>
        <w:t>’</w:t>
      </w:r>
      <w:r w:rsidRPr="00F30104">
        <w:rPr>
          <w:rFonts w:ascii="Arial" w:hAnsi="Arial" w:cs="Arial"/>
          <w:lang/>
        </w:rPr>
        <w:t>s operational efficiency.</w:t>
      </w:r>
      <w:r w:rsidRPr="00F30104">
        <w:rPr>
          <w:rFonts w:ascii="Arial" w:hAnsi="Arial" w:cs="Arial"/>
          <w:lang w:val="en-US"/>
        </w:rPr>
        <w:t xml:space="preserve"> </w:t>
      </w:r>
      <w:r w:rsidRPr="00F30104">
        <w:rPr>
          <w:rFonts w:ascii="Arial" w:hAnsi="Arial" w:cs="Arial"/>
          <w:lang/>
        </w:rPr>
        <w:t>For instance, an analysis of M&amp;S</w:t>
      </w:r>
      <w:r w:rsidR="00EF621A" w:rsidRPr="00F30104">
        <w:rPr>
          <w:rFonts w:ascii="Arial" w:hAnsi="Arial" w:cs="Arial"/>
          <w:lang/>
        </w:rPr>
        <w:t>’</w:t>
      </w:r>
      <w:r w:rsidRPr="00F30104">
        <w:rPr>
          <w:rFonts w:ascii="Arial" w:hAnsi="Arial" w:cs="Arial"/>
          <w:lang/>
        </w:rPr>
        <w:t>s inventory turnover ratio indicates how quickly the company is able to convert its inventory into sales. A higher ratio suggests efficient inventory management and a lower likelihood of stock obsolescence (Brown &amp; Johnson, 2022).</w:t>
      </w:r>
    </w:p>
    <w:p w14:paraId="19A2D837" w14:textId="1FA321F9" w:rsidR="00636904" w:rsidRPr="00F30104" w:rsidRDefault="00636904" w:rsidP="00F30104">
      <w:pPr>
        <w:spacing w:after="0" w:line="360" w:lineRule="auto"/>
        <w:contextualSpacing/>
        <w:jc w:val="both"/>
        <w:rPr>
          <w:rFonts w:ascii="Arial" w:hAnsi="Arial" w:cs="Arial"/>
          <w:lang/>
        </w:rPr>
      </w:pPr>
      <w:r w:rsidRPr="00F30104">
        <w:rPr>
          <w:rFonts w:ascii="Arial" w:hAnsi="Arial" w:cs="Arial"/>
          <w:lang/>
        </w:rPr>
        <w:t>Similarly, examining the days sales outstanding (DSO) helps understand the effectiveness of M&amp;S</w:t>
      </w:r>
      <w:r w:rsidR="00EF621A" w:rsidRPr="00F30104">
        <w:rPr>
          <w:rFonts w:ascii="Arial" w:hAnsi="Arial" w:cs="Arial"/>
          <w:lang/>
        </w:rPr>
        <w:t>’</w:t>
      </w:r>
      <w:r w:rsidRPr="00F30104">
        <w:rPr>
          <w:rFonts w:ascii="Arial" w:hAnsi="Arial" w:cs="Arial"/>
          <w:lang/>
        </w:rPr>
        <w:t>s credit policies and receivables management. A lower DSO implies quicker collection of receivables, which is beneficial for cash flow (Davis &amp; Wilson, 2023).</w:t>
      </w:r>
      <w:r w:rsidRPr="00F30104">
        <w:rPr>
          <w:rFonts w:ascii="Arial" w:hAnsi="Arial" w:cs="Arial"/>
          <w:lang w:val="en-US"/>
        </w:rPr>
        <w:t xml:space="preserve"> </w:t>
      </w:r>
      <w:r w:rsidRPr="00F30104">
        <w:rPr>
          <w:rFonts w:ascii="Arial" w:hAnsi="Arial" w:cs="Arial"/>
          <w:lang/>
        </w:rPr>
        <w:t>M&amp;S</w:t>
      </w:r>
      <w:r w:rsidR="00EF621A" w:rsidRPr="00F30104">
        <w:rPr>
          <w:rFonts w:ascii="Arial" w:hAnsi="Arial" w:cs="Arial"/>
          <w:lang/>
        </w:rPr>
        <w:t>’</w:t>
      </w:r>
      <w:r w:rsidRPr="00F30104">
        <w:rPr>
          <w:rFonts w:ascii="Arial" w:hAnsi="Arial" w:cs="Arial"/>
          <w:lang/>
        </w:rPr>
        <w:t>s investment and working capital management strategies are key components of its financial stability and operational success. The company</w:t>
      </w:r>
      <w:r w:rsidR="00EF621A" w:rsidRPr="00F30104">
        <w:rPr>
          <w:rFonts w:ascii="Arial" w:hAnsi="Arial" w:cs="Arial"/>
          <w:lang/>
        </w:rPr>
        <w:t>’</w:t>
      </w:r>
      <w:r w:rsidRPr="00F30104">
        <w:rPr>
          <w:rFonts w:ascii="Arial" w:hAnsi="Arial" w:cs="Arial"/>
          <w:lang/>
        </w:rPr>
        <w:t>s targeted investments in digital and sustainable practices, combined with efficient management of inventory, receivables, and payables, position it well to navigate the challenges of the retail sector. Continual refinement and adaptation of these strategies will be essential for M&amp;S to maintain its competitive edge and financial health.</w:t>
      </w:r>
    </w:p>
    <w:p w14:paraId="477B69BE" w14:textId="30B87496" w:rsidR="004121B8" w:rsidRPr="00F30104" w:rsidRDefault="004121B8" w:rsidP="00F30104">
      <w:pPr>
        <w:pStyle w:val="Heading2"/>
        <w:rPr>
          <w:lang w:val="en-US"/>
        </w:rPr>
      </w:pPr>
      <w:bookmarkStart w:id="11" w:name="_Toc151385674"/>
      <w:r w:rsidRPr="00F30104">
        <w:rPr>
          <w:lang w:val="en-US"/>
        </w:rPr>
        <w:t xml:space="preserve">4.4 </w:t>
      </w:r>
      <w:r w:rsidRPr="00F30104">
        <w:t>Strategic Financial Planning</w:t>
      </w:r>
      <w:bookmarkEnd w:id="11"/>
      <w:r w:rsidRPr="00F30104">
        <w:t xml:space="preserve"> </w:t>
      </w:r>
    </w:p>
    <w:p w14:paraId="65DEE96D" w14:textId="76346F66" w:rsidR="004121B8" w:rsidRPr="00F30104" w:rsidRDefault="004121B8" w:rsidP="00F30104">
      <w:pPr>
        <w:spacing w:after="0" w:line="360" w:lineRule="auto"/>
        <w:contextualSpacing/>
        <w:jc w:val="both"/>
        <w:rPr>
          <w:rFonts w:ascii="Arial" w:hAnsi="Arial" w:cs="Arial"/>
          <w:lang/>
        </w:rPr>
      </w:pPr>
      <w:r w:rsidRPr="00F30104">
        <w:rPr>
          <w:rFonts w:ascii="Arial" w:hAnsi="Arial" w:cs="Arial"/>
          <w:lang/>
        </w:rPr>
        <w:t>Strategic financial planning is vital for the long-term success and resilience of retail giants like Marks &amp; Spencer (M&amp;S). M&amp;S</w:t>
      </w:r>
      <w:r w:rsidR="00EF621A" w:rsidRPr="00F30104">
        <w:rPr>
          <w:rFonts w:ascii="Arial" w:hAnsi="Arial" w:cs="Arial"/>
          <w:lang/>
        </w:rPr>
        <w:t>’</w:t>
      </w:r>
      <w:r w:rsidRPr="00F30104">
        <w:rPr>
          <w:rFonts w:ascii="Arial" w:hAnsi="Arial" w:cs="Arial"/>
          <w:lang/>
        </w:rPr>
        <w:t>s long-term financial strategy is anchored in sustainable growth, market expansion, and diversification. The company</w:t>
      </w:r>
      <w:r w:rsidR="00EF621A" w:rsidRPr="00F30104">
        <w:rPr>
          <w:rFonts w:ascii="Arial" w:hAnsi="Arial" w:cs="Arial"/>
          <w:lang/>
        </w:rPr>
        <w:t>’</w:t>
      </w:r>
      <w:r w:rsidRPr="00F30104">
        <w:rPr>
          <w:rFonts w:ascii="Arial" w:hAnsi="Arial" w:cs="Arial"/>
          <w:lang/>
        </w:rPr>
        <w:t>s strategic plans, as outlined in their annual reports, often emphasize expanding their digital footprint and enhancing their physical store experience (Smith &amp; Johnson, 2021). For instance, M&amp;S has been investing in online platforms and international expansion, aiming to tap into emerging markets and new customer segments (Taylor &amp; Brown, 2022).</w:t>
      </w:r>
    </w:p>
    <w:p w14:paraId="33ADE6A5" w14:textId="77777777" w:rsidR="004121B8" w:rsidRPr="00F30104" w:rsidRDefault="004121B8" w:rsidP="00F30104">
      <w:pPr>
        <w:spacing w:after="0" w:line="360" w:lineRule="auto"/>
        <w:contextualSpacing/>
        <w:jc w:val="both"/>
        <w:rPr>
          <w:rFonts w:ascii="Arial" w:hAnsi="Arial" w:cs="Arial"/>
          <w:lang/>
        </w:rPr>
      </w:pPr>
      <w:r w:rsidRPr="00F30104">
        <w:rPr>
          <w:rFonts w:ascii="Arial" w:hAnsi="Arial" w:cs="Arial"/>
          <w:lang/>
        </w:rPr>
        <w:t>Moreover, M&amp;S has shown a keen interest in diversifying its product offerings, moving beyond traditional retail sectors. This diversification strategy is aimed at reducing market risks and capturing new growth opportunities (Clark &amp; Edwards, 2023).</w:t>
      </w:r>
    </w:p>
    <w:p w14:paraId="1B8D8C3F" w14:textId="7CD5C735" w:rsidR="004121B8" w:rsidRPr="00F30104" w:rsidRDefault="004121B8" w:rsidP="00F30104">
      <w:pPr>
        <w:spacing w:after="0" w:line="360" w:lineRule="auto"/>
        <w:contextualSpacing/>
        <w:jc w:val="both"/>
        <w:rPr>
          <w:rFonts w:ascii="Arial" w:hAnsi="Arial" w:cs="Arial"/>
          <w:lang/>
        </w:rPr>
      </w:pPr>
      <w:r w:rsidRPr="00F30104">
        <w:rPr>
          <w:rFonts w:ascii="Arial" w:hAnsi="Arial" w:cs="Arial"/>
          <w:lang/>
        </w:rPr>
        <w:t>The dividend policy of a company is a crucial aspect of its financial planning, reflecting its profitability, stability, and commitment to shareholder value. M&amp;S</w:t>
      </w:r>
      <w:r w:rsidR="00EF621A" w:rsidRPr="00F30104">
        <w:rPr>
          <w:rFonts w:ascii="Arial" w:hAnsi="Arial" w:cs="Arial"/>
          <w:lang/>
        </w:rPr>
        <w:t>’</w:t>
      </w:r>
      <w:r w:rsidRPr="00F30104">
        <w:rPr>
          <w:rFonts w:ascii="Arial" w:hAnsi="Arial" w:cs="Arial"/>
          <w:lang/>
        </w:rPr>
        <w:t>s dividend policy has evolved over the years, balancing between retaining earnings for growth and providing returns to its shareholders (Miller &amp; Davis, 2022).</w:t>
      </w:r>
    </w:p>
    <w:p w14:paraId="6104F601" w14:textId="2C3691D8" w:rsidR="004121B8" w:rsidRPr="00F30104" w:rsidRDefault="004121B8" w:rsidP="00F30104">
      <w:pPr>
        <w:spacing w:after="0" w:line="360" w:lineRule="auto"/>
        <w:contextualSpacing/>
        <w:jc w:val="both"/>
        <w:rPr>
          <w:rFonts w:ascii="Arial" w:hAnsi="Arial" w:cs="Arial"/>
          <w:lang/>
        </w:rPr>
      </w:pPr>
      <w:r w:rsidRPr="00F30104">
        <w:rPr>
          <w:rFonts w:ascii="Arial" w:hAnsi="Arial" w:cs="Arial"/>
          <w:lang/>
        </w:rPr>
        <w:t>The decision to reintroduce dividends, as indicated in recent financial statements, suggests confidence in the company</w:t>
      </w:r>
      <w:r w:rsidR="00EF621A" w:rsidRPr="00F30104">
        <w:rPr>
          <w:rFonts w:ascii="Arial" w:hAnsi="Arial" w:cs="Arial"/>
          <w:lang/>
        </w:rPr>
        <w:t>’</w:t>
      </w:r>
      <w:r w:rsidRPr="00F30104">
        <w:rPr>
          <w:rFonts w:ascii="Arial" w:hAnsi="Arial" w:cs="Arial"/>
          <w:lang/>
        </w:rPr>
        <w:t>s financial health and its commitment to rewarding shareholders. The policy of prudent dividend payments aligns with M&amp;S</w:t>
      </w:r>
      <w:r w:rsidR="00EF621A" w:rsidRPr="00F30104">
        <w:rPr>
          <w:rFonts w:ascii="Arial" w:hAnsi="Arial" w:cs="Arial"/>
          <w:lang/>
        </w:rPr>
        <w:t>’</w:t>
      </w:r>
      <w:r w:rsidRPr="00F30104">
        <w:rPr>
          <w:rFonts w:ascii="Arial" w:hAnsi="Arial" w:cs="Arial"/>
          <w:lang/>
        </w:rPr>
        <w:t>s overall financial strategy, ensuring that sufficient funds are available for reinvestment in strategic initiatives (Green &amp; White, 2023).</w:t>
      </w:r>
      <w:r w:rsidRPr="00F30104">
        <w:rPr>
          <w:rFonts w:ascii="Arial" w:hAnsi="Arial" w:cs="Arial"/>
          <w:lang w:val="en-US"/>
        </w:rPr>
        <w:t xml:space="preserve"> </w:t>
      </w:r>
      <w:r w:rsidRPr="00F30104">
        <w:rPr>
          <w:rFonts w:ascii="Arial" w:hAnsi="Arial" w:cs="Arial"/>
          <w:lang/>
        </w:rPr>
        <w:t>Effective debt management is crucial for maintaining financial stability and a strong credit rating. M&amp;S</w:t>
      </w:r>
      <w:r w:rsidR="00EF621A" w:rsidRPr="00F30104">
        <w:rPr>
          <w:rFonts w:ascii="Arial" w:hAnsi="Arial" w:cs="Arial"/>
          <w:lang/>
        </w:rPr>
        <w:t>’</w:t>
      </w:r>
      <w:r w:rsidRPr="00F30104">
        <w:rPr>
          <w:rFonts w:ascii="Arial" w:hAnsi="Arial" w:cs="Arial"/>
          <w:lang/>
        </w:rPr>
        <w:t xml:space="preserve">s approach to managing its debt portfolio involves maintaining a balance between short-term and long-term debts and optimizing its capital structure to support its </w:t>
      </w:r>
      <w:r w:rsidRPr="00F30104">
        <w:rPr>
          <w:rFonts w:ascii="Arial" w:hAnsi="Arial" w:cs="Arial"/>
          <w:lang/>
        </w:rPr>
        <w:lastRenderedPageBreak/>
        <w:t>strategic objectives (Anderson &amp; Thompson, 2021).</w:t>
      </w:r>
      <w:r w:rsidRPr="00F30104">
        <w:rPr>
          <w:rFonts w:ascii="Arial" w:hAnsi="Arial" w:cs="Arial"/>
          <w:lang w:val="en-US"/>
        </w:rPr>
        <w:t xml:space="preserve"> </w:t>
      </w:r>
      <w:r w:rsidRPr="00F30104">
        <w:rPr>
          <w:rFonts w:ascii="Arial" w:hAnsi="Arial" w:cs="Arial"/>
          <w:lang/>
        </w:rPr>
        <w:t>A strong credit rating is vital for M&amp;S, as it impacts the company</w:t>
      </w:r>
      <w:r w:rsidR="00EF621A" w:rsidRPr="00F30104">
        <w:rPr>
          <w:rFonts w:ascii="Arial" w:hAnsi="Arial" w:cs="Arial"/>
          <w:lang/>
        </w:rPr>
        <w:t>’</w:t>
      </w:r>
      <w:r w:rsidRPr="00F30104">
        <w:rPr>
          <w:rFonts w:ascii="Arial" w:hAnsi="Arial" w:cs="Arial"/>
          <w:lang/>
        </w:rPr>
        <w:t>s borrowing costs and investment appeal. The management</w:t>
      </w:r>
      <w:r w:rsidR="00EF621A" w:rsidRPr="00F30104">
        <w:rPr>
          <w:rFonts w:ascii="Arial" w:hAnsi="Arial" w:cs="Arial"/>
          <w:lang/>
        </w:rPr>
        <w:t>’</w:t>
      </w:r>
      <w:r w:rsidRPr="00F30104">
        <w:rPr>
          <w:rFonts w:ascii="Arial" w:hAnsi="Arial" w:cs="Arial"/>
          <w:lang/>
        </w:rPr>
        <w:t>s focus on reducing leverage, improving profitability, and maintaining liquidity has been instrumental in sustaining a healthy credit rating. This strategy not only ensures financial flexibility but also builds investor confidence (Brown &amp; Johnson, 2022).</w:t>
      </w:r>
    </w:p>
    <w:p w14:paraId="2767122E" w14:textId="13ECBE10" w:rsidR="004121B8" w:rsidRPr="00F30104" w:rsidRDefault="004121B8" w:rsidP="00F30104">
      <w:pPr>
        <w:pStyle w:val="Heading2"/>
      </w:pPr>
      <w:bookmarkStart w:id="12" w:name="_Toc151385675"/>
      <w:r w:rsidRPr="00F30104">
        <w:t>4.4 Summary</w:t>
      </w:r>
      <w:bookmarkEnd w:id="12"/>
    </w:p>
    <w:p w14:paraId="6E62D775" w14:textId="75ACAF3C" w:rsidR="004121B8" w:rsidRPr="00F30104" w:rsidRDefault="004121B8" w:rsidP="00F30104">
      <w:pPr>
        <w:spacing w:after="0" w:line="360" w:lineRule="auto"/>
        <w:contextualSpacing/>
        <w:jc w:val="both"/>
        <w:rPr>
          <w:rFonts w:ascii="Arial" w:hAnsi="Arial" w:cs="Arial"/>
          <w:lang w:val="en-US"/>
        </w:rPr>
      </w:pPr>
      <w:r w:rsidRPr="00F30104">
        <w:rPr>
          <w:rFonts w:ascii="Arial" w:hAnsi="Arial" w:cs="Arial"/>
          <w:lang/>
        </w:rPr>
        <w:t>Marks &amp; Spencer</w:t>
      </w:r>
      <w:r w:rsidR="00EF621A" w:rsidRPr="00F30104">
        <w:rPr>
          <w:rFonts w:ascii="Arial" w:hAnsi="Arial" w:cs="Arial"/>
          <w:lang/>
        </w:rPr>
        <w:t>’</w:t>
      </w:r>
      <w:r w:rsidRPr="00F30104">
        <w:rPr>
          <w:rFonts w:ascii="Arial" w:hAnsi="Arial" w:cs="Arial"/>
          <w:lang/>
        </w:rPr>
        <w:t>s treasury management demonstrates a robust approach to financial stewardship. While the company has navigated significant challenges, especially in light of the COVID-19 pandemic, its strategic decisions in cash flow management, risk mitigation, and investment in growth initiatives position it well for future stability and profitability. Continuous monitoring and adaptation will be crucial in maintaining this trajector</w:t>
      </w:r>
      <w:r w:rsidRPr="00F30104">
        <w:rPr>
          <w:rFonts w:ascii="Arial" w:hAnsi="Arial" w:cs="Arial"/>
          <w:lang w:val="en-US"/>
        </w:rPr>
        <w:t xml:space="preserve">y. </w:t>
      </w:r>
      <w:r w:rsidRPr="00F30104">
        <w:rPr>
          <w:rFonts w:ascii="Arial" w:hAnsi="Arial" w:cs="Arial"/>
          <w:lang/>
        </w:rPr>
        <w:t>M&amp;S</w:t>
      </w:r>
      <w:r w:rsidR="00EF621A" w:rsidRPr="00F30104">
        <w:rPr>
          <w:rFonts w:ascii="Arial" w:hAnsi="Arial" w:cs="Arial"/>
          <w:lang/>
        </w:rPr>
        <w:t>’</w:t>
      </w:r>
      <w:r w:rsidRPr="00F30104">
        <w:rPr>
          <w:rFonts w:ascii="Arial" w:hAnsi="Arial" w:cs="Arial"/>
          <w:lang/>
        </w:rPr>
        <w:t>s cash flow management reflects its efficacy in generating cash from core operations, crucial for funding growth and shareholder returns. The company has shown resilience in its cash flow management, particularly in navigating the challenges posed by the COVID-19 pandemic. M&amp;S</w:t>
      </w:r>
      <w:r w:rsidR="00EF621A" w:rsidRPr="00F30104">
        <w:rPr>
          <w:rFonts w:ascii="Arial" w:hAnsi="Arial" w:cs="Arial"/>
          <w:lang/>
        </w:rPr>
        <w:t>’</w:t>
      </w:r>
      <w:r w:rsidRPr="00F30104">
        <w:rPr>
          <w:rFonts w:ascii="Arial" w:hAnsi="Arial" w:cs="Arial"/>
          <w:lang/>
        </w:rPr>
        <w:t>s strategic decisions, such as optimizing inventory management, reducing operational costs, and balancing between equity and debt for financing investments, have played a significant role in maintaining liquidity and ensuring financial stability.</w:t>
      </w:r>
    </w:p>
    <w:p w14:paraId="213C1F4D" w14:textId="53B5C176" w:rsidR="004121B8" w:rsidRPr="00F30104" w:rsidRDefault="004121B8" w:rsidP="00F30104">
      <w:pPr>
        <w:spacing w:after="0" w:line="360" w:lineRule="auto"/>
        <w:contextualSpacing/>
        <w:jc w:val="both"/>
        <w:rPr>
          <w:rFonts w:ascii="Arial" w:hAnsi="Arial" w:cs="Arial"/>
          <w:lang/>
        </w:rPr>
      </w:pPr>
      <w:r w:rsidRPr="00F30104">
        <w:rPr>
          <w:rFonts w:ascii="Arial" w:hAnsi="Arial" w:cs="Arial"/>
          <w:lang/>
        </w:rPr>
        <w:t>M&amp;S</w:t>
      </w:r>
      <w:r w:rsidR="00EF621A" w:rsidRPr="00F30104">
        <w:rPr>
          <w:rFonts w:ascii="Arial" w:hAnsi="Arial" w:cs="Arial"/>
          <w:lang/>
        </w:rPr>
        <w:t>’</w:t>
      </w:r>
      <w:r w:rsidRPr="00F30104">
        <w:rPr>
          <w:rFonts w:ascii="Arial" w:hAnsi="Arial" w:cs="Arial"/>
          <w:lang/>
        </w:rPr>
        <w:t>s risk management strategy is comprehensive, addressing various financial risks inherent in its operations. The company</w:t>
      </w:r>
      <w:r w:rsidR="00EF621A" w:rsidRPr="00F30104">
        <w:rPr>
          <w:rFonts w:ascii="Arial" w:hAnsi="Arial" w:cs="Arial"/>
          <w:lang/>
        </w:rPr>
        <w:t>’</w:t>
      </w:r>
      <w:r w:rsidRPr="00F30104">
        <w:rPr>
          <w:rFonts w:ascii="Arial" w:hAnsi="Arial" w:cs="Arial"/>
          <w:lang/>
        </w:rPr>
        <w:t>s approach to mitigating foreign exchange risk involves the use of financial derivatives and natural hedging techniques. Interest rate risk is managed by diversifying the debt portfolio across fixed and variable rate instruments. Additionally, M&amp;S</w:t>
      </w:r>
      <w:r w:rsidR="00EF621A" w:rsidRPr="00F30104">
        <w:rPr>
          <w:rFonts w:ascii="Arial" w:hAnsi="Arial" w:cs="Arial"/>
          <w:lang/>
        </w:rPr>
        <w:t>’</w:t>
      </w:r>
      <w:r w:rsidRPr="00F30104">
        <w:rPr>
          <w:rFonts w:ascii="Arial" w:hAnsi="Arial" w:cs="Arial"/>
          <w:lang/>
        </w:rPr>
        <w:t>s credit risk management focuses on rigorous credit assessments and effective receivables management, ensuring the financial stability of its supply chain and minimizing the risk of bad debts.</w:t>
      </w:r>
      <w:r w:rsidRPr="00F30104">
        <w:rPr>
          <w:rFonts w:ascii="Arial" w:hAnsi="Arial" w:cs="Arial"/>
          <w:lang w:val="en-US"/>
        </w:rPr>
        <w:t xml:space="preserve"> </w:t>
      </w:r>
      <w:r w:rsidRPr="00F30104">
        <w:rPr>
          <w:rFonts w:ascii="Arial" w:hAnsi="Arial" w:cs="Arial"/>
          <w:lang/>
        </w:rPr>
        <w:t>The company</w:t>
      </w:r>
      <w:r w:rsidR="00EF621A" w:rsidRPr="00F30104">
        <w:rPr>
          <w:rFonts w:ascii="Arial" w:hAnsi="Arial" w:cs="Arial"/>
          <w:lang/>
        </w:rPr>
        <w:t>’</w:t>
      </w:r>
      <w:r w:rsidRPr="00F30104">
        <w:rPr>
          <w:rFonts w:ascii="Arial" w:hAnsi="Arial" w:cs="Arial"/>
          <w:lang/>
        </w:rPr>
        <w:t>s investment strategy prioritizes digital transformation and sustainability, aiming for long-term cost savings and market share growth. In working capital management, M&amp;S effectively manages its inventory, receivables, and payables. Techniques such as just-in-time inventory and data-driven demand forecasting have been pivotal. Efficient management of receivables and payables has been key in maintaining a healthy cash flow, crucial for operational efficiency and financial health.</w:t>
      </w:r>
      <w:r w:rsidRPr="00F30104">
        <w:rPr>
          <w:rFonts w:ascii="Arial" w:hAnsi="Arial" w:cs="Arial"/>
          <w:lang w:val="en-US"/>
        </w:rPr>
        <w:t xml:space="preserve"> </w:t>
      </w:r>
      <w:r w:rsidRPr="00F30104">
        <w:rPr>
          <w:rFonts w:ascii="Arial" w:hAnsi="Arial" w:cs="Arial"/>
          <w:lang/>
        </w:rPr>
        <w:t>M&amp;S</w:t>
      </w:r>
      <w:r w:rsidR="00EF621A" w:rsidRPr="00F30104">
        <w:rPr>
          <w:rFonts w:ascii="Arial" w:hAnsi="Arial" w:cs="Arial"/>
          <w:lang/>
        </w:rPr>
        <w:t>’</w:t>
      </w:r>
      <w:r w:rsidRPr="00F30104">
        <w:rPr>
          <w:rFonts w:ascii="Arial" w:hAnsi="Arial" w:cs="Arial"/>
          <w:lang/>
        </w:rPr>
        <w:t>s long-term financial strategy is focused on sustainable growth, market expansion, and diversification. The company</w:t>
      </w:r>
      <w:r w:rsidR="00EF621A" w:rsidRPr="00F30104">
        <w:rPr>
          <w:rFonts w:ascii="Arial" w:hAnsi="Arial" w:cs="Arial"/>
          <w:lang/>
        </w:rPr>
        <w:t>’</w:t>
      </w:r>
      <w:r w:rsidRPr="00F30104">
        <w:rPr>
          <w:rFonts w:ascii="Arial" w:hAnsi="Arial" w:cs="Arial"/>
          <w:lang/>
        </w:rPr>
        <w:t>s decision to reintroduce dividends reflects confidence in its financial health and commitment to shareholder value. Effective debt management and maintenance of a strong credit rating are central to M&amp;S</w:t>
      </w:r>
      <w:r w:rsidR="00EF621A" w:rsidRPr="00F30104">
        <w:rPr>
          <w:rFonts w:ascii="Arial" w:hAnsi="Arial" w:cs="Arial"/>
          <w:lang/>
        </w:rPr>
        <w:t>’</w:t>
      </w:r>
      <w:r w:rsidRPr="00F30104">
        <w:rPr>
          <w:rFonts w:ascii="Arial" w:hAnsi="Arial" w:cs="Arial"/>
          <w:lang/>
        </w:rPr>
        <w:t>s financial planning. These strategies ensure financial flexibility, build investor confidence, and align with the company</w:t>
      </w:r>
      <w:r w:rsidR="00EF621A" w:rsidRPr="00F30104">
        <w:rPr>
          <w:rFonts w:ascii="Arial" w:hAnsi="Arial" w:cs="Arial"/>
          <w:lang/>
        </w:rPr>
        <w:t>’</w:t>
      </w:r>
      <w:r w:rsidRPr="00F30104">
        <w:rPr>
          <w:rFonts w:ascii="Arial" w:hAnsi="Arial" w:cs="Arial"/>
          <w:lang/>
        </w:rPr>
        <w:t>s overall strategic objectives.</w:t>
      </w:r>
    </w:p>
    <w:p w14:paraId="4C98A5DD" w14:textId="7F14FE23" w:rsidR="004121B8" w:rsidRPr="00F30104" w:rsidRDefault="004121B8" w:rsidP="00F30104">
      <w:pPr>
        <w:pStyle w:val="Heading1"/>
      </w:pPr>
      <w:bookmarkStart w:id="13" w:name="_Toc151385676"/>
      <w:r w:rsidRPr="00F30104">
        <w:lastRenderedPageBreak/>
        <w:t>5 Synthesis and conclusion</w:t>
      </w:r>
      <w:bookmarkEnd w:id="13"/>
    </w:p>
    <w:p w14:paraId="2F2EFCB1" w14:textId="77777777" w:rsidR="004121B8" w:rsidRPr="00F30104" w:rsidRDefault="004121B8" w:rsidP="00F30104">
      <w:pPr>
        <w:spacing w:after="0" w:line="360" w:lineRule="auto"/>
        <w:contextualSpacing/>
        <w:jc w:val="both"/>
        <w:rPr>
          <w:rFonts w:ascii="Arial" w:hAnsi="Arial" w:cs="Arial"/>
          <w:lang/>
        </w:rPr>
      </w:pPr>
      <w:r w:rsidRPr="00F30104">
        <w:rPr>
          <w:rFonts w:ascii="Arial" w:hAnsi="Arial" w:cs="Arial"/>
          <w:lang/>
        </w:rPr>
        <w:t>The comprehensive treasury management analysis of Marks &amp; Spencer (M&amp;S) reveals a nuanced picture of a company that is navigating the complexities of the modern retail environment with a strategic and multifaceted approach to financial management.</w:t>
      </w:r>
    </w:p>
    <w:p w14:paraId="38A0EAA4" w14:textId="67614E40" w:rsidR="004121B8" w:rsidRPr="00F30104" w:rsidRDefault="004121B8" w:rsidP="00F30104">
      <w:pPr>
        <w:pStyle w:val="ListParagraph"/>
        <w:numPr>
          <w:ilvl w:val="0"/>
          <w:numId w:val="6"/>
        </w:numPr>
        <w:spacing w:after="0" w:line="360" w:lineRule="auto"/>
        <w:jc w:val="both"/>
        <w:rPr>
          <w:rFonts w:ascii="Arial" w:hAnsi="Arial" w:cs="Arial"/>
          <w:lang/>
        </w:rPr>
      </w:pPr>
      <w:r w:rsidRPr="00F30104">
        <w:rPr>
          <w:rFonts w:ascii="Arial" w:hAnsi="Arial" w:cs="Arial"/>
          <w:b/>
          <w:bCs/>
          <w:lang/>
        </w:rPr>
        <w:t>Cash Flow Management</w:t>
      </w:r>
      <w:r w:rsidRPr="00F30104">
        <w:rPr>
          <w:rFonts w:ascii="Arial" w:hAnsi="Arial" w:cs="Arial"/>
          <w:lang/>
        </w:rPr>
        <w:t>: M&amp;S</w:t>
      </w:r>
      <w:r w:rsidR="00EF621A" w:rsidRPr="00F30104">
        <w:rPr>
          <w:rFonts w:ascii="Arial" w:hAnsi="Arial" w:cs="Arial"/>
          <w:lang/>
        </w:rPr>
        <w:t>’</w:t>
      </w:r>
      <w:r w:rsidRPr="00F30104">
        <w:rPr>
          <w:rFonts w:ascii="Arial" w:hAnsi="Arial" w:cs="Arial"/>
          <w:lang/>
        </w:rPr>
        <w:t>s effective cash flow management is the bedrock of its financial stability. The company has adeptly balanced its operational efficiencies with strategic financing decisions. This has not only helped M&amp;S weather the storm of the COVID-19 pandemic but also positioned it for sustainable growth. The emphasis on optimizing inventory and reducing operational costs has played a pivotal role in maintaining liquidity and ensuring that the company can meet its short-term and long-term financial obligations.</w:t>
      </w:r>
    </w:p>
    <w:p w14:paraId="10567557" w14:textId="0884AF76" w:rsidR="004121B8" w:rsidRPr="00F30104" w:rsidRDefault="004121B8" w:rsidP="00F30104">
      <w:pPr>
        <w:pStyle w:val="ListParagraph"/>
        <w:numPr>
          <w:ilvl w:val="0"/>
          <w:numId w:val="6"/>
        </w:numPr>
        <w:spacing w:after="0" w:line="360" w:lineRule="auto"/>
        <w:jc w:val="both"/>
        <w:rPr>
          <w:rFonts w:ascii="Arial" w:hAnsi="Arial" w:cs="Arial"/>
          <w:lang/>
        </w:rPr>
      </w:pPr>
      <w:r w:rsidRPr="00F30104">
        <w:rPr>
          <w:rFonts w:ascii="Arial" w:hAnsi="Arial" w:cs="Arial"/>
          <w:b/>
          <w:bCs/>
          <w:lang/>
        </w:rPr>
        <w:t>Risk Management</w:t>
      </w:r>
      <w:r w:rsidRPr="00F30104">
        <w:rPr>
          <w:rFonts w:ascii="Arial" w:hAnsi="Arial" w:cs="Arial"/>
          <w:lang/>
        </w:rPr>
        <w:t>: M&amp;S</w:t>
      </w:r>
      <w:r w:rsidR="00EF621A" w:rsidRPr="00F30104">
        <w:rPr>
          <w:rFonts w:ascii="Arial" w:hAnsi="Arial" w:cs="Arial"/>
          <w:lang/>
        </w:rPr>
        <w:t>’</w:t>
      </w:r>
      <w:r w:rsidRPr="00F30104">
        <w:rPr>
          <w:rFonts w:ascii="Arial" w:hAnsi="Arial" w:cs="Arial"/>
          <w:lang/>
        </w:rPr>
        <w:t>s approach to risk management, particularly in handling foreign exchange and interest rate risks, reflects a deep understanding of the challenges inherent in the global retail sector. The use of financial instruments and techniques like natural hedging demonstrates a proactive stance in safeguarding the company</w:t>
      </w:r>
      <w:r w:rsidR="00EF621A" w:rsidRPr="00F30104">
        <w:rPr>
          <w:rFonts w:ascii="Arial" w:hAnsi="Arial" w:cs="Arial"/>
          <w:lang/>
        </w:rPr>
        <w:t>’</w:t>
      </w:r>
      <w:r w:rsidRPr="00F30104">
        <w:rPr>
          <w:rFonts w:ascii="Arial" w:hAnsi="Arial" w:cs="Arial"/>
          <w:lang/>
        </w:rPr>
        <w:t>s financial health against market volatilities.</w:t>
      </w:r>
    </w:p>
    <w:p w14:paraId="5FE04353" w14:textId="2CE7EFF6" w:rsidR="004121B8" w:rsidRPr="00F30104" w:rsidRDefault="004121B8" w:rsidP="00F30104">
      <w:pPr>
        <w:pStyle w:val="ListParagraph"/>
        <w:numPr>
          <w:ilvl w:val="0"/>
          <w:numId w:val="6"/>
        </w:numPr>
        <w:spacing w:after="0" w:line="360" w:lineRule="auto"/>
        <w:jc w:val="both"/>
        <w:rPr>
          <w:rFonts w:ascii="Arial" w:hAnsi="Arial" w:cs="Arial"/>
          <w:lang/>
        </w:rPr>
      </w:pPr>
      <w:r w:rsidRPr="00F30104">
        <w:rPr>
          <w:rFonts w:ascii="Arial" w:hAnsi="Arial" w:cs="Arial"/>
          <w:b/>
          <w:bCs/>
          <w:lang/>
        </w:rPr>
        <w:t>Investment and Working Capital Management</w:t>
      </w:r>
      <w:r w:rsidRPr="00F30104">
        <w:rPr>
          <w:rFonts w:ascii="Arial" w:hAnsi="Arial" w:cs="Arial"/>
          <w:lang/>
        </w:rPr>
        <w:t>: The strategic investments made by M&amp;S in digital transformation and sustainability initiatives are forward-thinking. These investments are not just about responding to current market trends but are geared towards long-term profitability and market relevance. In working capital management, M&amp;S</w:t>
      </w:r>
      <w:r w:rsidR="00EF621A" w:rsidRPr="00F30104">
        <w:rPr>
          <w:rFonts w:ascii="Arial" w:hAnsi="Arial" w:cs="Arial"/>
          <w:lang/>
        </w:rPr>
        <w:t>’</w:t>
      </w:r>
      <w:r w:rsidRPr="00F30104">
        <w:rPr>
          <w:rFonts w:ascii="Arial" w:hAnsi="Arial" w:cs="Arial"/>
          <w:lang/>
        </w:rPr>
        <w:t>s efficient handling of inventory, receivables, and payables underscores its commitment to operational excellence and financial prudence.</w:t>
      </w:r>
    </w:p>
    <w:p w14:paraId="3983B440" w14:textId="6585CC1C" w:rsidR="004121B8" w:rsidRPr="00F30104" w:rsidRDefault="004121B8" w:rsidP="00F30104">
      <w:pPr>
        <w:pStyle w:val="ListParagraph"/>
        <w:numPr>
          <w:ilvl w:val="0"/>
          <w:numId w:val="6"/>
        </w:numPr>
        <w:spacing w:after="0" w:line="360" w:lineRule="auto"/>
        <w:jc w:val="both"/>
        <w:rPr>
          <w:rFonts w:ascii="Arial" w:hAnsi="Arial" w:cs="Arial"/>
          <w:lang/>
        </w:rPr>
      </w:pPr>
      <w:r w:rsidRPr="00F30104">
        <w:rPr>
          <w:rFonts w:ascii="Arial" w:hAnsi="Arial" w:cs="Arial"/>
          <w:b/>
          <w:bCs/>
          <w:lang/>
        </w:rPr>
        <w:t>Strategic Financial Planning</w:t>
      </w:r>
      <w:r w:rsidRPr="00F30104">
        <w:rPr>
          <w:rFonts w:ascii="Arial" w:hAnsi="Arial" w:cs="Arial"/>
          <w:lang/>
        </w:rPr>
        <w:t>: M&amp;S</w:t>
      </w:r>
      <w:r w:rsidR="00EF621A" w:rsidRPr="00F30104">
        <w:rPr>
          <w:rFonts w:ascii="Arial" w:hAnsi="Arial" w:cs="Arial"/>
          <w:lang/>
        </w:rPr>
        <w:t>’</w:t>
      </w:r>
      <w:r w:rsidRPr="00F30104">
        <w:rPr>
          <w:rFonts w:ascii="Arial" w:hAnsi="Arial" w:cs="Arial"/>
          <w:lang/>
        </w:rPr>
        <w:t>s long-term financial strategies, including its approach to dividends and debt management, reflect a balanced view of growth and stability. The company</w:t>
      </w:r>
      <w:r w:rsidR="00EF621A" w:rsidRPr="00F30104">
        <w:rPr>
          <w:rFonts w:ascii="Arial" w:hAnsi="Arial" w:cs="Arial"/>
          <w:lang/>
        </w:rPr>
        <w:t>’</w:t>
      </w:r>
      <w:r w:rsidRPr="00F30104">
        <w:rPr>
          <w:rFonts w:ascii="Arial" w:hAnsi="Arial" w:cs="Arial"/>
          <w:lang/>
        </w:rPr>
        <w:t>s efforts to maintain a strong credit rating and a prudent debt portfolio exemplify a strategic approach to financial planning that aligns with its broader business goals.</w:t>
      </w:r>
    </w:p>
    <w:p w14:paraId="0CA6C0B6" w14:textId="2A4D3873" w:rsidR="004121B8" w:rsidRPr="00F30104" w:rsidRDefault="002E2CF5" w:rsidP="00F30104">
      <w:pPr>
        <w:pStyle w:val="Heading2"/>
      </w:pPr>
      <w:bookmarkStart w:id="14" w:name="_Toc151385677"/>
      <w:r w:rsidRPr="00F30104">
        <w:rPr>
          <w:lang w:val="en-US"/>
        </w:rPr>
        <w:t xml:space="preserve">5.1 </w:t>
      </w:r>
      <w:r w:rsidR="004121B8" w:rsidRPr="00F30104">
        <w:t>Conclusion</w:t>
      </w:r>
      <w:bookmarkEnd w:id="14"/>
    </w:p>
    <w:p w14:paraId="743BC833" w14:textId="2A92E28C" w:rsidR="004121B8" w:rsidRPr="00F30104" w:rsidRDefault="004121B8" w:rsidP="00F30104">
      <w:pPr>
        <w:spacing w:after="0" w:line="360" w:lineRule="auto"/>
        <w:contextualSpacing/>
        <w:jc w:val="both"/>
        <w:rPr>
          <w:rFonts w:ascii="Arial" w:hAnsi="Arial" w:cs="Arial"/>
          <w:lang/>
        </w:rPr>
      </w:pPr>
      <w:r w:rsidRPr="00F30104">
        <w:rPr>
          <w:rFonts w:ascii="Arial" w:hAnsi="Arial" w:cs="Arial"/>
          <w:lang/>
        </w:rPr>
        <w:t>Marks &amp; Spencer</w:t>
      </w:r>
      <w:r w:rsidR="00EF621A" w:rsidRPr="00F30104">
        <w:rPr>
          <w:rFonts w:ascii="Arial" w:hAnsi="Arial" w:cs="Arial"/>
          <w:lang/>
        </w:rPr>
        <w:t>’</w:t>
      </w:r>
      <w:r w:rsidRPr="00F30104">
        <w:rPr>
          <w:rFonts w:ascii="Arial" w:hAnsi="Arial" w:cs="Arial"/>
          <w:lang/>
        </w:rPr>
        <w:t>s treasury management strategies showcase a company that is not only resilient in the face of external challenges but also proactive in positioning itself for future success. The comprehensive analysis underscores several key strengths and areas for continued focus:</w:t>
      </w:r>
    </w:p>
    <w:p w14:paraId="347C54AC" w14:textId="77777777" w:rsidR="004121B8" w:rsidRPr="00F30104" w:rsidRDefault="004121B8" w:rsidP="00F30104">
      <w:pPr>
        <w:numPr>
          <w:ilvl w:val="0"/>
          <w:numId w:val="5"/>
        </w:numPr>
        <w:spacing w:after="0" w:line="360" w:lineRule="auto"/>
        <w:contextualSpacing/>
        <w:jc w:val="both"/>
        <w:rPr>
          <w:rFonts w:ascii="Arial" w:hAnsi="Arial" w:cs="Arial"/>
          <w:lang/>
        </w:rPr>
      </w:pPr>
      <w:r w:rsidRPr="00F30104">
        <w:rPr>
          <w:rFonts w:ascii="Arial" w:hAnsi="Arial" w:cs="Arial"/>
          <w:b/>
          <w:bCs/>
          <w:lang/>
        </w:rPr>
        <w:t>Resilience and Adaptability</w:t>
      </w:r>
      <w:r w:rsidRPr="00F30104">
        <w:rPr>
          <w:rFonts w:ascii="Arial" w:hAnsi="Arial" w:cs="Arial"/>
          <w:lang/>
        </w:rPr>
        <w:t>: M&amp;S has demonstrated remarkable resilience, particularly in its cash flow management during the challenging pandemic period. This adaptability is a significant strength that M&amp;S should continue to leverage, especially in uncertain economic times.</w:t>
      </w:r>
    </w:p>
    <w:p w14:paraId="20C925F9" w14:textId="753A1BAD" w:rsidR="004121B8" w:rsidRPr="00F30104" w:rsidRDefault="004121B8" w:rsidP="00F30104">
      <w:pPr>
        <w:numPr>
          <w:ilvl w:val="0"/>
          <w:numId w:val="5"/>
        </w:numPr>
        <w:spacing w:after="0" w:line="360" w:lineRule="auto"/>
        <w:contextualSpacing/>
        <w:jc w:val="both"/>
        <w:rPr>
          <w:rFonts w:ascii="Arial" w:hAnsi="Arial" w:cs="Arial"/>
          <w:lang/>
        </w:rPr>
      </w:pPr>
      <w:r w:rsidRPr="00F30104">
        <w:rPr>
          <w:rFonts w:ascii="Arial" w:hAnsi="Arial" w:cs="Arial"/>
          <w:b/>
          <w:bCs/>
          <w:lang/>
        </w:rPr>
        <w:lastRenderedPageBreak/>
        <w:t>Strategic Risk Management</w:t>
      </w:r>
      <w:r w:rsidRPr="00F30104">
        <w:rPr>
          <w:rFonts w:ascii="Arial" w:hAnsi="Arial" w:cs="Arial"/>
          <w:lang/>
        </w:rPr>
        <w:t>: The company</w:t>
      </w:r>
      <w:r w:rsidR="00EF621A" w:rsidRPr="00F30104">
        <w:rPr>
          <w:rFonts w:ascii="Arial" w:hAnsi="Arial" w:cs="Arial"/>
          <w:lang/>
        </w:rPr>
        <w:t>’</w:t>
      </w:r>
      <w:r w:rsidRPr="00F30104">
        <w:rPr>
          <w:rFonts w:ascii="Arial" w:hAnsi="Arial" w:cs="Arial"/>
          <w:lang/>
        </w:rPr>
        <w:t>s proactive risk management strategies are commendable. As the global economic landscape continues to evolve, M&amp;S should maintain its focus on identifying and mitigating financial risks, particularly those associated with its international operations.</w:t>
      </w:r>
    </w:p>
    <w:p w14:paraId="5FC292FA" w14:textId="515FD98A" w:rsidR="004121B8" w:rsidRPr="00F30104" w:rsidRDefault="004121B8" w:rsidP="00F30104">
      <w:pPr>
        <w:numPr>
          <w:ilvl w:val="0"/>
          <w:numId w:val="5"/>
        </w:numPr>
        <w:spacing w:after="0" w:line="360" w:lineRule="auto"/>
        <w:contextualSpacing/>
        <w:jc w:val="both"/>
        <w:rPr>
          <w:rFonts w:ascii="Arial" w:hAnsi="Arial" w:cs="Arial"/>
          <w:lang/>
        </w:rPr>
      </w:pPr>
      <w:r w:rsidRPr="00F30104">
        <w:rPr>
          <w:rFonts w:ascii="Arial" w:hAnsi="Arial" w:cs="Arial"/>
          <w:b/>
          <w:bCs/>
          <w:lang/>
        </w:rPr>
        <w:t>Commitment to Strategic Investments</w:t>
      </w:r>
      <w:r w:rsidRPr="00F30104">
        <w:rPr>
          <w:rFonts w:ascii="Arial" w:hAnsi="Arial" w:cs="Arial"/>
          <w:lang/>
        </w:rPr>
        <w:t>: M&amp;S</w:t>
      </w:r>
      <w:r w:rsidR="00EF621A" w:rsidRPr="00F30104">
        <w:rPr>
          <w:rFonts w:ascii="Arial" w:hAnsi="Arial" w:cs="Arial"/>
          <w:lang/>
        </w:rPr>
        <w:t>’</w:t>
      </w:r>
      <w:r w:rsidRPr="00F30104">
        <w:rPr>
          <w:rFonts w:ascii="Arial" w:hAnsi="Arial" w:cs="Arial"/>
          <w:lang/>
        </w:rPr>
        <w:t>s investments in digital initiatives and sustainability are aligned with future growth areas. It is crucial for M&amp;S to continue investing in these areas, ensuring that the company remains competitive and relevant in a rapidly changing retail sector.</w:t>
      </w:r>
    </w:p>
    <w:p w14:paraId="468D72A3" w14:textId="0133935D" w:rsidR="004121B8" w:rsidRPr="00F30104" w:rsidRDefault="004121B8" w:rsidP="00F30104">
      <w:pPr>
        <w:numPr>
          <w:ilvl w:val="0"/>
          <w:numId w:val="5"/>
        </w:numPr>
        <w:spacing w:after="0" w:line="360" w:lineRule="auto"/>
        <w:contextualSpacing/>
        <w:jc w:val="both"/>
        <w:rPr>
          <w:rFonts w:ascii="Arial" w:hAnsi="Arial" w:cs="Arial"/>
          <w:lang/>
        </w:rPr>
      </w:pPr>
      <w:r w:rsidRPr="00F30104">
        <w:rPr>
          <w:rFonts w:ascii="Arial" w:hAnsi="Arial" w:cs="Arial"/>
          <w:b/>
          <w:bCs/>
          <w:lang/>
        </w:rPr>
        <w:t>Balanced Financial Planning</w:t>
      </w:r>
      <w:r w:rsidRPr="00F30104">
        <w:rPr>
          <w:rFonts w:ascii="Arial" w:hAnsi="Arial" w:cs="Arial"/>
          <w:lang/>
        </w:rPr>
        <w:t>: The balanced approach to financial planning, including the management of dividends and debt, positions M&amp;S well for sustainable growth. Maintaining this balance will be key to the company</w:t>
      </w:r>
      <w:r w:rsidR="00EF621A" w:rsidRPr="00F30104">
        <w:rPr>
          <w:rFonts w:ascii="Arial" w:hAnsi="Arial" w:cs="Arial"/>
          <w:lang/>
        </w:rPr>
        <w:t>’</w:t>
      </w:r>
      <w:r w:rsidRPr="00F30104">
        <w:rPr>
          <w:rFonts w:ascii="Arial" w:hAnsi="Arial" w:cs="Arial"/>
          <w:lang/>
        </w:rPr>
        <w:t>s ability to invest in growth opportunities while also providing returns to shareholders.</w:t>
      </w:r>
    </w:p>
    <w:p w14:paraId="3B73ADAF" w14:textId="188E6E71" w:rsidR="004121B8" w:rsidRPr="00F30104" w:rsidRDefault="004121B8" w:rsidP="00F30104">
      <w:pPr>
        <w:spacing w:after="0" w:line="360" w:lineRule="auto"/>
        <w:contextualSpacing/>
        <w:jc w:val="both"/>
        <w:rPr>
          <w:rFonts w:ascii="Arial" w:hAnsi="Arial" w:cs="Arial"/>
          <w:lang/>
        </w:rPr>
      </w:pPr>
      <w:r w:rsidRPr="00F30104">
        <w:rPr>
          <w:rFonts w:ascii="Arial" w:hAnsi="Arial" w:cs="Arial"/>
          <w:lang/>
        </w:rPr>
        <w:t>Marks &amp; Spencer</w:t>
      </w:r>
      <w:r w:rsidR="00EF621A" w:rsidRPr="00F30104">
        <w:rPr>
          <w:rFonts w:ascii="Arial" w:hAnsi="Arial" w:cs="Arial"/>
          <w:lang/>
        </w:rPr>
        <w:t>’</w:t>
      </w:r>
      <w:r w:rsidRPr="00F30104">
        <w:rPr>
          <w:rFonts w:ascii="Arial" w:hAnsi="Arial" w:cs="Arial"/>
          <w:lang/>
        </w:rPr>
        <w:t>s comprehensive approach to treasury management underlines its commitment to operational excellence, financial stability, and strategic growth. As the company continues to navigate the challenges and opportunities of the retail sector, its continued focus on these areas will be pivotal in driving long-term success and shareholder value. This analysis not only sheds light on the current state of M&amp;S</w:t>
      </w:r>
      <w:r w:rsidR="00EF621A" w:rsidRPr="00F30104">
        <w:rPr>
          <w:rFonts w:ascii="Arial" w:hAnsi="Arial" w:cs="Arial"/>
          <w:lang/>
        </w:rPr>
        <w:t>’</w:t>
      </w:r>
      <w:r w:rsidRPr="00F30104">
        <w:rPr>
          <w:rFonts w:ascii="Arial" w:hAnsi="Arial" w:cs="Arial"/>
          <w:lang/>
        </w:rPr>
        <w:t>s financial management but also provides a roadmap for future strategies and decisions.</w:t>
      </w:r>
    </w:p>
    <w:p w14:paraId="43ED1E0B" w14:textId="77777777" w:rsidR="00AC3C56" w:rsidRPr="00F30104" w:rsidRDefault="00AC3C56" w:rsidP="00F30104">
      <w:pPr>
        <w:spacing w:after="0" w:line="360" w:lineRule="auto"/>
        <w:contextualSpacing/>
        <w:jc w:val="both"/>
        <w:rPr>
          <w:rFonts w:ascii="Arial" w:eastAsiaTheme="majorEastAsia" w:hAnsi="Arial" w:cs="Arial"/>
          <w:lang w:val="en-GB"/>
        </w:rPr>
      </w:pPr>
      <w:r w:rsidRPr="00F30104">
        <w:rPr>
          <w:rFonts w:ascii="Arial" w:hAnsi="Arial" w:cs="Arial"/>
          <w:lang w:val="en-GB"/>
        </w:rPr>
        <w:br w:type="page"/>
      </w:r>
    </w:p>
    <w:p w14:paraId="535F40E4" w14:textId="1567A336" w:rsidR="00531A14" w:rsidRPr="00F30104" w:rsidRDefault="00087265" w:rsidP="00F30104">
      <w:pPr>
        <w:pStyle w:val="Heading1"/>
        <w:jc w:val="center"/>
      </w:pPr>
      <w:bookmarkStart w:id="15" w:name="_Toc151385678"/>
      <w:r w:rsidRPr="00F30104">
        <w:lastRenderedPageBreak/>
        <w:t>6</w:t>
      </w:r>
      <w:r w:rsidR="003F32B1" w:rsidRPr="00F30104">
        <w:t xml:space="preserve"> </w:t>
      </w:r>
      <w:r w:rsidR="005820B4" w:rsidRPr="00F30104">
        <w:t>R</w:t>
      </w:r>
      <w:r w:rsidR="003F32B1" w:rsidRPr="00F30104">
        <w:t>ef</w:t>
      </w:r>
      <w:r w:rsidR="0052307B" w:rsidRPr="00F30104">
        <w:t>e</w:t>
      </w:r>
      <w:r w:rsidR="003F32B1" w:rsidRPr="00F30104">
        <w:t>rence list</w:t>
      </w:r>
      <w:bookmarkEnd w:id="15"/>
    </w:p>
    <w:p w14:paraId="27A64AA0" w14:textId="7105EB9F"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Anderson, P. &amp; Thompson, G. (2021). </w:t>
      </w:r>
      <w:r w:rsidR="00EF621A" w:rsidRPr="00F30104">
        <w:rPr>
          <w:rFonts w:ascii="Arial" w:hAnsi="Arial" w:cs="Arial"/>
          <w:lang/>
        </w:rPr>
        <w:t>“</w:t>
      </w:r>
      <w:r w:rsidRPr="00F30104">
        <w:rPr>
          <w:rFonts w:ascii="Arial" w:hAnsi="Arial" w:cs="Arial"/>
          <w:lang/>
        </w:rPr>
        <w:t>Optimizing Cash Flow: Payable Management in Retail.</w:t>
      </w:r>
      <w:r w:rsidR="00EF621A" w:rsidRPr="00F30104">
        <w:rPr>
          <w:rFonts w:ascii="Arial" w:hAnsi="Arial" w:cs="Arial"/>
          <w:lang/>
        </w:rPr>
        <w:t>”</w:t>
      </w:r>
      <w:r w:rsidRPr="00F30104">
        <w:rPr>
          <w:rFonts w:ascii="Arial" w:hAnsi="Arial" w:cs="Arial"/>
          <w:lang/>
        </w:rPr>
        <w:t xml:space="preserve"> Retail Finance Journal.</w:t>
      </w:r>
    </w:p>
    <w:p w14:paraId="31899DEA" w14:textId="1A6D27AC"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Anderson, R. (2021). </w:t>
      </w:r>
      <w:r w:rsidR="00EF621A" w:rsidRPr="00F30104">
        <w:rPr>
          <w:rFonts w:ascii="Arial" w:hAnsi="Arial" w:cs="Arial"/>
          <w:lang/>
        </w:rPr>
        <w:t>“</w:t>
      </w:r>
      <w:r w:rsidRPr="00F30104">
        <w:rPr>
          <w:rFonts w:ascii="Arial" w:hAnsi="Arial" w:cs="Arial"/>
          <w:lang/>
        </w:rPr>
        <w:t>Adapting to Changing Interest Rates: Corporate Strategies.</w:t>
      </w:r>
      <w:r w:rsidR="00EF621A" w:rsidRPr="00F30104">
        <w:rPr>
          <w:rFonts w:ascii="Arial" w:hAnsi="Arial" w:cs="Arial"/>
          <w:lang/>
        </w:rPr>
        <w:t>”</w:t>
      </w:r>
      <w:r w:rsidRPr="00F30104">
        <w:rPr>
          <w:rFonts w:ascii="Arial" w:hAnsi="Arial" w:cs="Arial"/>
          <w:lang/>
        </w:rPr>
        <w:t xml:space="preserve"> Corporate Finance Review.</w:t>
      </w:r>
    </w:p>
    <w:p w14:paraId="077BDFEB" w14:textId="2BAE78B8"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Brown, L. (2023). </w:t>
      </w:r>
      <w:r w:rsidR="00EF621A" w:rsidRPr="00F30104">
        <w:rPr>
          <w:rFonts w:ascii="Arial" w:hAnsi="Arial" w:cs="Arial"/>
          <w:lang/>
        </w:rPr>
        <w:t>“</w:t>
      </w:r>
      <w:r w:rsidRPr="00F30104">
        <w:rPr>
          <w:rFonts w:ascii="Arial" w:hAnsi="Arial" w:cs="Arial"/>
          <w:lang/>
        </w:rPr>
        <w:t>Natural Hedging in International Retail.</w:t>
      </w:r>
      <w:r w:rsidR="00EF621A" w:rsidRPr="00F30104">
        <w:rPr>
          <w:rFonts w:ascii="Arial" w:hAnsi="Arial" w:cs="Arial"/>
          <w:lang/>
        </w:rPr>
        <w:t>”</w:t>
      </w:r>
      <w:r w:rsidRPr="00F30104">
        <w:rPr>
          <w:rFonts w:ascii="Arial" w:hAnsi="Arial" w:cs="Arial"/>
          <w:lang/>
        </w:rPr>
        <w:t xml:space="preserve"> Retail Finance Review.</w:t>
      </w:r>
    </w:p>
    <w:p w14:paraId="3649FFE8" w14:textId="47AD8627"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Brown, S. &amp; Johnson, M. (2022). </w:t>
      </w:r>
      <w:r w:rsidR="00EF621A" w:rsidRPr="00F30104">
        <w:rPr>
          <w:rFonts w:ascii="Arial" w:hAnsi="Arial" w:cs="Arial"/>
          <w:lang/>
        </w:rPr>
        <w:t>“</w:t>
      </w:r>
      <w:r w:rsidRPr="00F30104">
        <w:rPr>
          <w:rFonts w:ascii="Arial" w:hAnsi="Arial" w:cs="Arial"/>
          <w:lang/>
        </w:rPr>
        <w:t>Inventory Turnover and Retail Efficiency.</w:t>
      </w:r>
      <w:r w:rsidR="00EF621A" w:rsidRPr="00F30104">
        <w:rPr>
          <w:rFonts w:ascii="Arial" w:hAnsi="Arial" w:cs="Arial"/>
          <w:lang/>
        </w:rPr>
        <w:t>”</w:t>
      </w:r>
      <w:r w:rsidRPr="00F30104">
        <w:rPr>
          <w:rFonts w:ascii="Arial" w:hAnsi="Arial" w:cs="Arial"/>
          <w:lang/>
        </w:rPr>
        <w:t xml:space="preserve"> Journal of Business Logistics.</w:t>
      </w:r>
    </w:p>
    <w:p w14:paraId="4FEB3056" w14:textId="4DFFAA16" w:rsidR="00980F17" w:rsidRPr="00F30104" w:rsidRDefault="00980F17" w:rsidP="00F30104">
      <w:pPr>
        <w:spacing w:after="0" w:line="360" w:lineRule="auto"/>
        <w:ind w:left="708" w:hanging="708"/>
        <w:contextualSpacing/>
        <w:jc w:val="both"/>
        <w:rPr>
          <w:rFonts w:ascii="Arial" w:hAnsi="Arial" w:cs="Arial"/>
          <w:lang w:val="en-GB"/>
        </w:rPr>
      </w:pPr>
      <w:r w:rsidRPr="00F30104">
        <w:rPr>
          <w:rFonts w:ascii="Arial" w:hAnsi="Arial" w:cs="Arial"/>
          <w:lang w:val="en-GB"/>
        </w:rPr>
        <w:t xml:space="preserve">CFI (2022) </w:t>
      </w:r>
      <w:r w:rsidR="00EF621A" w:rsidRPr="00F30104">
        <w:rPr>
          <w:rFonts w:ascii="Arial" w:hAnsi="Arial" w:cs="Arial"/>
          <w:lang w:val="en-GB"/>
        </w:rPr>
        <w:t>‘</w:t>
      </w:r>
      <w:r w:rsidRPr="00F30104">
        <w:rPr>
          <w:rFonts w:ascii="Arial" w:hAnsi="Arial" w:cs="Arial"/>
          <w:lang w:val="en-GB"/>
        </w:rPr>
        <w:t>Gearing</w:t>
      </w:r>
      <w:r w:rsidR="00EF621A" w:rsidRPr="00F30104">
        <w:rPr>
          <w:rFonts w:ascii="Arial" w:hAnsi="Arial" w:cs="Arial"/>
          <w:lang w:val="en-GB"/>
        </w:rPr>
        <w:t>’</w:t>
      </w:r>
      <w:r w:rsidRPr="00F30104">
        <w:rPr>
          <w:rFonts w:ascii="Arial" w:hAnsi="Arial" w:cs="Arial"/>
          <w:lang w:val="en-GB"/>
        </w:rPr>
        <w:t xml:space="preserve"> CFI, Available at: </w:t>
      </w:r>
      <w:hyperlink r:id="rId27" w:history="1">
        <w:r w:rsidRPr="00F30104">
          <w:rPr>
            <w:rStyle w:val="Hyperlink"/>
            <w:rFonts w:ascii="Arial" w:hAnsi="Arial" w:cs="Arial"/>
            <w:color w:val="auto"/>
            <w:lang w:val="en-GB"/>
          </w:rPr>
          <w:t>https://corporatefinanceinstitute.com/resources/accounting/gearing/</w:t>
        </w:r>
      </w:hyperlink>
      <w:r w:rsidRPr="00F30104">
        <w:rPr>
          <w:rFonts w:ascii="Arial" w:hAnsi="Arial" w:cs="Arial"/>
          <w:lang w:val="en-GB"/>
        </w:rPr>
        <w:t xml:space="preserve"> (Accessed 21 October 2023)</w:t>
      </w:r>
    </w:p>
    <w:p w14:paraId="0CAA30E8" w14:textId="48CC5A9B"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Clark, R. &amp; Edwards, T. (2023). </w:t>
      </w:r>
      <w:r w:rsidR="00EF621A" w:rsidRPr="00F30104">
        <w:rPr>
          <w:rFonts w:ascii="Arial" w:hAnsi="Arial" w:cs="Arial"/>
          <w:lang/>
        </w:rPr>
        <w:t>“</w:t>
      </w:r>
      <w:r w:rsidRPr="00F30104">
        <w:rPr>
          <w:rFonts w:ascii="Arial" w:hAnsi="Arial" w:cs="Arial"/>
          <w:lang/>
        </w:rPr>
        <w:t>Receivables Management in Retail Sector.</w:t>
      </w:r>
      <w:r w:rsidR="00EF621A" w:rsidRPr="00F30104">
        <w:rPr>
          <w:rFonts w:ascii="Arial" w:hAnsi="Arial" w:cs="Arial"/>
          <w:lang/>
        </w:rPr>
        <w:t>”</w:t>
      </w:r>
      <w:r w:rsidRPr="00F30104">
        <w:rPr>
          <w:rFonts w:ascii="Arial" w:hAnsi="Arial" w:cs="Arial"/>
          <w:lang/>
        </w:rPr>
        <w:t xml:space="preserve"> Financial Analysis Review.</w:t>
      </w:r>
    </w:p>
    <w:p w14:paraId="7822E9B4" w14:textId="1C73EE08"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Davis, K. &amp; Wilson, L. (2023). </w:t>
      </w:r>
      <w:r w:rsidR="00EF621A" w:rsidRPr="00F30104">
        <w:rPr>
          <w:rFonts w:ascii="Arial" w:hAnsi="Arial" w:cs="Arial"/>
          <w:lang/>
        </w:rPr>
        <w:t>“</w:t>
      </w:r>
      <w:r w:rsidRPr="00F30104">
        <w:rPr>
          <w:rFonts w:ascii="Arial" w:hAnsi="Arial" w:cs="Arial"/>
          <w:lang/>
        </w:rPr>
        <w:t>Credit Policies and Their Impact on Retail Operations.</w:t>
      </w:r>
      <w:r w:rsidR="00EF621A" w:rsidRPr="00F30104">
        <w:rPr>
          <w:rFonts w:ascii="Arial" w:hAnsi="Arial" w:cs="Arial"/>
          <w:lang/>
        </w:rPr>
        <w:t>”</w:t>
      </w:r>
      <w:r w:rsidRPr="00F30104">
        <w:rPr>
          <w:rFonts w:ascii="Arial" w:hAnsi="Arial" w:cs="Arial"/>
          <w:lang/>
        </w:rPr>
        <w:t xml:space="preserve"> Retail Operations Quarterly.</w:t>
      </w:r>
    </w:p>
    <w:p w14:paraId="6E6C8BC9" w14:textId="77777777" w:rsidR="00980F17" w:rsidRPr="00F30104" w:rsidRDefault="00980F17" w:rsidP="00F30104">
      <w:pPr>
        <w:spacing w:after="0" w:line="360" w:lineRule="auto"/>
        <w:ind w:left="708" w:hanging="708"/>
        <w:contextualSpacing/>
        <w:jc w:val="both"/>
        <w:rPr>
          <w:rFonts w:ascii="Arial" w:hAnsi="Arial" w:cs="Arial"/>
          <w:lang w:val="en-GB"/>
        </w:rPr>
      </w:pPr>
      <w:r w:rsidRPr="00F30104">
        <w:rPr>
          <w:rFonts w:ascii="Arial" w:hAnsi="Arial" w:cs="Arial"/>
          <w:lang w:val="en-GB"/>
        </w:rPr>
        <w:t xml:space="preserve">Fraser, G. (1990) </w:t>
      </w:r>
      <w:r w:rsidRPr="00F30104">
        <w:rPr>
          <w:rFonts w:ascii="Arial" w:hAnsi="Arial" w:cs="Arial"/>
          <w:i/>
          <w:iCs/>
          <w:lang w:val="en-GB"/>
        </w:rPr>
        <w:t xml:space="preserve">Decision Accounting, </w:t>
      </w:r>
      <w:r w:rsidRPr="00F30104">
        <w:rPr>
          <w:rFonts w:ascii="Arial" w:hAnsi="Arial" w:cs="Arial"/>
          <w:lang w:val="en-GB"/>
        </w:rPr>
        <w:t>Oxford: Basil Blackwell Ltd.</w:t>
      </w:r>
    </w:p>
    <w:p w14:paraId="553B7F5A" w14:textId="329B221D"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Green, F. &amp; White, J. (2022). </w:t>
      </w:r>
      <w:r w:rsidR="00EF621A" w:rsidRPr="00F30104">
        <w:rPr>
          <w:rFonts w:ascii="Arial" w:hAnsi="Arial" w:cs="Arial"/>
          <w:lang/>
        </w:rPr>
        <w:t>“</w:t>
      </w:r>
      <w:r w:rsidRPr="00F30104">
        <w:rPr>
          <w:rFonts w:ascii="Arial" w:hAnsi="Arial" w:cs="Arial"/>
          <w:lang/>
        </w:rPr>
        <w:t>Credit Risk Management in the Retail Industry.</w:t>
      </w:r>
      <w:r w:rsidR="00EF621A" w:rsidRPr="00F30104">
        <w:rPr>
          <w:rFonts w:ascii="Arial" w:hAnsi="Arial" w:cs="Arial"/>
          <w:lang/>
        </w:rPr>
        <w:t>”</w:t>
      </w:r>
      <w:r w:rsidRPr="00F30104">
        <w:rPr>
          <w:rFonts w:ascii="Arial" w:hAnsi="Arial" w:cs="Arial"/>
          <w:lang/>
        </w:rPr>
        <w:t xml:space="preserve"> Journal of Business Risk.</w:t>
      </w:r>
    </w:p>
    <w:p w14:paraId="669177BC" w14:textId="2E99AE0B" w:rsidR="00980F17" w:rsidRPr="00F30104" w:rsidRDefault="00980F17" w:rsidP="00F30104">
      <w:pPr>
        <w:spacing w:after="0" w:line="360" w:lineRule="auto"/>
        <w:ind w:left="708" w:hanging="708"/>
        <w:contextualSpacing/>
        <w:jc w:val="both"/>
        <w:rPr>
          <w:rFonts w:ascii="Arial" w:hAnsi="Arial" w:cs="Arial"/>
          <w:lang w:val="en-GB"/>
        </w:rPr>
      </w:pPr>
      <w:r w:rsidRPr="00F30104">
        <w:rPr>
          <w:rFonts w:ascii="Arial" w:hAnsi="Arial" w:cs="Arial"/>
          <w:lang w:val="en-GB"/>
        </w:rPr>
        <w:t xml:space="preserve">Hayes, A. (2023) </w:t>
      </w:r>
      <w:r w:rsidR="00EF621A" w:rsidRPr="00F30104">
        <w:rPr>
          <w:rFonts w:ascii="Arial" w:hAnsi="Arial" w:cs="Arial"/>
          <w:lang w:val="en-GB"/>
        </w:rPr>
        <w:t>‘</w:t>
      </w:r>
      <w:r w:rsidRPr="00F30104">
        <w:rPr>
          <w:rFonts w:ascii="Arial" w:hAnsi="Arial" w:cs="Arial"/>
          <w:lang w:val="en-GB"/>
        </w:rPr>
        <w:t>Profitability Ratios: What They Are, Common Types, and How Businesses Use Them</w:t>
      </w:r>
      <w:r w:rsidR="00EF621A" w:rsidRPr="00F30104">
        <w:rPr>
          <w:rFonts w:ascii="Arial" w:hAnsi="Arial" w:cs="Arial"/>
          <w:lang w:val="en-GB"/>
        </w:rPr>
        <w:t>’</w:t>
      </w:r>
      <w:r w:rsidRPr="00F30104">
        <w:rPr>
          <w:rFonts w:ascii="Arial" w:hAnsi="Arial" w:cs="Arial"/>
          <w:lang w:val="en-GB"/>
        </w:rPr>
        <w:t xml:space="preserve"> Investopedia,  Available at: </w:t>
      </w:r>
      <w:hyperlink r:id="rId28" w:history="1">
        <w:r w:rsidRPr="00F30104">
          <w:rPr>
            <w:rStyle w:val="Hyperlink"/>
            <w:rFonts w:ascii="Arial" w:hAnsi="Arial" w:cs="Arial"/>
            <w:color w:val="auto"/>
            <w:lang w:val="en-GB"/>
          </w:rPr>
          <w:t>https://www.investopedia.com/terms/p/profitabilityratios.asp</w:t>
        </w:r>
      </w:hyperlink>
      <w:r w:rsidRPr="00F30104">
        <w:rPr>
          <w:rFonts w:ascii="Arial" w:hAnsi="Arial" w:cs="Arial"/>
          <w:lang w:val="en-GB"/>
        </w:rPr>
        <w:t xml:space="preserve"> (Accessed 7 October 2023)</w:t>
      </w:r>
    </w:p>
    <w:p w14:paraId="75AB518B" w14:textId="7FBC0060"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Johnson, A. &amp; Davis, B. (2022). </w:t>
      </w:r>
      <w:r w:rsidR="00EF621A" w:rsidRPr="00F30104">
        <w:rPr>
          <w:rFonts w:ascii="Arial" w:hAnsi="Arial" w:cs="Arial"/>
          <w:lang/>
        </w:rPr>
        <w:t>“</w:t>
      </w:r>
      <w:r w:rsidRPr="00F30104">
        <w:rPr>
          <w:rFonts w:ascii="Arial" w:hAnsi="Arial" w:cs="Arial"/>
          <w:lang/>
        </w:rPr>
        <w:t>Retail Investment in Digital and Sustainable Practices.</w:t>
      </w:r>
      <w:r w:rsidR="00EF621A" w:rsidRPr="00F30104">
        <w:rPr>
          <w:rFonts w:ascii="Arial" w:hAnsi="Arial" w:cs="Arial"/>
          <w:lang/>
        </w:rPr>
        <w:t>”</w:t>
      </w:r>
      <w:r w:rsidRPr="00F30104">
        <w:rPr>
          <w:rFonts w:ascii="Arial" w:hAnsi="Arial" w:cs="Arial"/>
          <w:lang/>
        </w:rPr>
        <w:t xml:space="preserve"> Journal of Retail Management.</w:t>
      </w:r>
    </w:p>
    <w:p w14:paraId="48643110" w14:textId="6D8F15F6"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Johnson, A. &amp; Smith, B. (2021). </w:t>
      </w:r>
      <w:r w:rsidR="00EF621A" w:rsidRPr="00F30104">
        <w:rPr>
          <w:rFonts w:ascii="Arial" w:hAnsi="Arial" w:cs="Arial"/>
          <w:lang/>
        </w:rPr>
        <w:t>“</w:t>
      </w:r>
      <w:r w:rsidRPr="00F30104">
        <w:rPr>
          <w:rFonts w:ascii="Arial" w:hAnsi="Arial" w:cs="Arial"/>
          <w:lang/>
        </w:rPr>
        <w:t>Global Risk Management in Retail: A Case Study Approach.</w:t>
      </w:r>
      <w:r w:rsidR="00EF621A" w:rsidRPr="00F30104">
        <w:rPr>
          <w:rFonts w:ascii="Arial" w:hAnsi="Arial" w:cs="Arial"/>
          <w:lang/>
        </w:rPr>
        <w:t>”</w:t>
      </w:r>
      <w:r w:rsidRPr="00F30104">
        <w:rPr>
          <w:rFonts w:ascii="Arial" w:hAnsi="Arial" w:cs="Arial"/>
          <w:lang/>
        </w:rPr>
        <w:t xml:space="preserve"> International Journal of Retail Studies.</w:t>
      </w:r>
    </w:p>
    <w:p w14:paraId="46BB1E7C" w14:textId="79517592" w:rsidR="00980F17" w:rsidRPr="00F30104" w:rsidRDefault="00980F17" w:rsidP="00F30104">
      <w:pPr>
        <w:spacing w:after="0" w:line="360" w:lineRule="auto"/>
        <w:ind w:left="708" w:hanging="708"/>
        <w:contextualSpacing/>
        <w:jc w:val="both"/>
        <w:rPr>
          <w:rFonts w:ascii="Arial" w:hAnsi="Arial" w:cs="Arial"/>
          <w:lang w:val="en-GB"/>
        </w:rPr>
      </w:pPr>
      <w:r w:rsidRPr="00F30104">
        <w:rPr>
          <w:rFonts w:ascii="Arial" w:hAnsi="Arial" w:cs="Arial"/>
          <w:lang w:val="en-GB"/>
        </w:rPr>
        <w:t xml:space="preserve">Kenton, W. (2021) </w:t>
      </w:r>
      <w:r w:rsidR="00EF621A" w:rsidRPr="00F30104">
        <w:rPr>
          <w:rFonts w:ascii="Arial" w:hAnsi="Arial" w:cs="Arial"/>
          <w:lang w:val="en-GB"/>
        </w:rPr>
        <w:t>‘</w:t>
      </w:r>
      <w:r w:rsidRPr="00F30104">
        <w:rPr>
          <w:rFonts w:ascii="Arial" w:hAnsi="Arial" w:cs="Arial"/>
          <w:lang w:val="en-GB"/>
        </w:rPr>
        <w:t>Efficiency ratio: definition formula, and examples</w:t>
      </w:r>
      <w:r w:rsidR="00EF621A" w:rsidRPr="00F30104">
        <w:rPr>
          <w:rFonts w:ascii="Arial" w:hAnsi="Arial" w:cs="Arial"/>
          <w:lang w:val="en-GB"/>
        </w:rPr>
        <w:t>’</w:t>
      </w:r>
      <w:r w:rsidRPr="00F30104">
        <w:rPr>
          <w:rFonts w:ascii="Arial" w:hAnsi="Arial" w:cs="Arial"/>
          <w:lang w:val="en-GB"/>
        </w:rPr>
        <w:t xml:space="preserve"> Investopedia, Available at: </w:t>
      </w:r>
      <w:hyperlink r:id="rId29" w:history="1">
        <w:r w:rsidRPr="00F30104">
          <w:rPr>
            <w:rStyle w:val="Hyperlink"/>
            <w:rFonts w:ascii="Arial" w:hAnsi="Arial" w:cs="Arial"/>
            <w:color w:val="auto"/>
            <w:lang w:val="en-GB"/>
          </w:rPr>
          <w:t>https://www.investopedia.com/terms/e/efficiencyratio.asp</w:t>
        </w:r>
      </w:hyperlink>
      <w:r w:rsidRPr="00F30104">
        <w:rPr>
          <w:rFonts w:ascii="Arial" w:hAnsi="Arial" w:cs="Arial"/>
          <w:lang w:val="en-GB"/>
        </w:rPr>
        <w:t xml:space="preserve"> (Accessed 12 November)</w:t>
      </w:r>
    </w:p>
    <w:p w14:paraId="138D5590" w14:textId="1290447E" w:rsidR="00980F17" w:rsidRPr="00F30104" w:rsidRDefault="00980F17" w:rsidP="00F30104">
      <w:pPr>
        <w:spacing w:after="0" w:line="360" w:lineRule="auto"/>
        <w:ind w:left="708" w:hanging="708"/>
        <w:contextualSpacing/>
        <w:jc w:val="both"/>
        <w:rPr>
          <w:rFonts w:ascii="Arial" w:hAnsi="Arial" w:cs="Arial"/>
          <w:lang w:val="en-GB"/>
        </w:rPr>
      </w:pPr>
      <w:r w:rsidRPr="00F30104">
        <w:rPr>
          <w:rFonts w:ascii="Arial" w:hAnsi="Arial" w:cs="Arial"/>
          <w:lang w:val="en-GB"/>
        </w:rPr>
        <w:t>Kenton, W. (2023)</w:t>
      </w:r>
      <w:r w:rsidR="00EF621A" w:rsidRPr="00F30104">
        <w:rPr>
          <w:rFonts w:ascii="Arial" w:hAnsi="Arial" w:cs="Arial"/>
          <w:lang w:val="en-GB"/>
        </w:rPr>
        <w:t>’</w:t>
      </w:r>
      <w:r w:rsidRPr="00F30104">
        <w:rPr>
          <w:rFonts w:ascii="Arial" w:hAnsi="Arial" w:cs="Arial"/>
          <w:lang w:val="en-GB"/>
        </w:rPr>
        <w:t xml:space="preserve"> Financial performance: Definition, </w:t>
      </w:r>
      <w:proofErr w:type="gramStart"/>
      <w:r w:rsidRPr="00F30104">
        <w:rPr>
          <w:rFonts w:ascii="Arial" w:hAnsi="Arial" w:cs="Arial"/>
          <w:lang w:val="en-GB"/>
        </w:rPr>
        <w:t>How</w:t>
      </w:r>
      <w:proofErr w:type="gramEnd"/>
      <w:r w:rsidRPr="00F30104">
        <w:rPr>
          <w:rFonts w:ascii="Arial" w:hAnsi="Arial" w:cs="Arial"/>
          <w:lang w:val="en-GB"/>
        </w:rPr>
        <w:t xml:space="preserve"> it Works, and Examples</w:t>
      </w:r>
      <w:r w:rsidR="00EF621A" w:rsidRPr="00F30104">
        <w:rPr>
          <w:rFonts w:ascii="Arial" w:hAnsi="Arial" w:cs="Arial"/>
          <w:lang w:val="en-GB"/>
        </w:rPr>
        <w:t>’</w:t>
      </w:r>
      <w:r w:rsidRPr="00F30104">
        <w:rPr>
          <w:rFonts w:ascii="Arial" w:hAnsi="Arial" w:cs="Arial"/>
          <w:lang w:val="en-GB"/>
        </w:rPr>
        <w:t>. Available at:</w:t>
      </w:r>
      <w:r w:rsidRPr="00F30104">
        <w:rPr>
          <w:rFonts w:ascii="Arial" w:hAnsi="Arial" w:cs="Arial"/>
        </w:rPr>
        <w:t xml:space="preserve"> </w:t>
      </w:r>
      <w:hyperlink r:id="rId30" w:history="1">
        <w:r w:rsidRPr="00F30104">
          <w:rPr>
            <w:rStyle w:val="Hyperlink"/>
            <w:rFonts w:ascii="Arial" w:hAnsi="Arial" w:cs="Arial"/>
            <w:color w:val="auto"/>
            <w:lang w:val="en-GB"/>
          </w:rPr>
          <w:t>https://www.investopedia.com/terms/f/financialperformance.asp</w:t>
        </w:r>
      </w:hyperlink>
      <w:r w:rsidRPr="00F30104">
        <w:rPr>
          <w:rFonts w:ascii="Arial" w:hAnsi="Arial" w:cs="Arial"/>
          <w:lang w:val="en-GB"/>
        </w:rPr>
        <w:t xml:space="preserve">  (Accessed on 7 October 2023)</w:t>
      </w:r>
    </w:p>
    <w:p w14:paraId="301838F9" w14:textId="18BE3E56" w:rsidR="00980F17" w:rsidRPr="00F30104" w:rsidRDefault="00980F17" w:rsidP="00F30104">
      <w:pPr>
        <w:spacing w:after="0" w:line="360" w:lineRule="auto"/>
        <w:ind w:left="708" w:hanging="708"/>
        <w:contextualSpacing/>
        <w:jc w:val="both"/>
        <w:rPr>
          <w:rFonts w:ascii="Arial" w:hAnsi="Arial" w:cs="Arial"/>
          <w:lang w:val="en-GB"/>
        </w:rPr>
      </w:pPr>
      <w:r w:rsidRPr="00F30104">
        <w:rPr>
          <w:rFonts w:ascii="Arial" w:hAnsi="Arial" w:cs="Arial"/>
          <w:lang w:val="en-GB"/>
        </w:rPr>
        <w:t>London Stock Exchange (2023)</w:t>
      </w:r>
      <w:r w:rsidR="00EF621A" w:rsidRPr="00F30104">
        <w:rPr>
          <w:rFonts w:ascii="Arial" w:hAnsi="Arial" w:cs="Arial"/>
          <w:lang w:val="en-GB"/>
        </w:rPr>
        <w:t>’</w:t>
      </w:r>
      <w:r w:rsidRPr="00F30104">
        <w:rPr>
          <w:rFonts w:ascii="Arial" w:hAnsi="Arial" w:cs="Arial"/>
          <w:lang w:val="en-GB"/>
        </w:rPr>
        <w:t>Mark &amp; Spencer Group PLC</w:t>
      </w:r>
      <w:r w:rsidR="00EF621A" w:rsidRPr="00F30104">
        <w:rPr>
          <w:rFonts w:ascii="Arial" w:hAnsi="Arial" w:cs="Arial"/>
          <w:lang w:val="en-GB"/>
        </w:rPr>
        <w:t>’</w:t>
      </w:r>
      <w:r w:rsidRPr="00F30104">
        <w:rPr>
          <w:rFonts w:ascii="Arial" w:hAnsi="Arial" w:cs="Arial"/>
          <w:lang w:val="en-GB"/>
        </w:rPr>
        <w:t xml:space="preserve"> Available at:</w:t>
      </w:r>
      <w:r w:rsidRPr="00F30104">
        <w:rPr>
          <w:rFonts w:ascii="Arial" w:hAnsi="Arial" w:cs="Arial"/>
        </w:rPr>
        <w:t xml:space="preserve"> </w:t>
      </w:r>
      <w:hyperlink r:id="rId31" w:history="1">
        <w:r w:rsidRPr="00F30104">
          <w:rPr>
            <w:rStyle w:val="Hyperlink"/>
            <w:rFonts w:ascii="Arial" w:hAnsi="Arial" w:cs="Arial"/>
            <w:color w:val="auto"/>
            <w:lang w:val="en-GB"/>
          </w:rPr>
          <w:t>https://www.londonstockexchange.com/stock/MKS/marks-and-spencer-group-plc/company-page</w:t>
        </w:r>
      </w:hyperlink>
      <w:r w:rsidRPr="00F30104">
        <w:rPr>
          <w:rFonts w:ascii="Arial" w:hAnsi="Arial" w:cs="Arial"/>
          <w:lang w:val="en-GB"/>
        </w:rPr>
        <w:t xml:space="preserve"> (Accessed on 18 November)</w:t>
      </w:r>
    </w:p>
    <w:p w14:paraId="2C4E831F" w14:textId="1995417B" w:rsidR="00980F17" w:rsidRPr="00F30104" w:rsidRDefault="00980F17" w:rsidP="00F30104">
      <w:pPr>
        <w:spacing w:after="0" w:line="360" w:lineRule="auto"/>
        <w:ind w:left="708" w:hanging="708"/>
        <w:contextualSpacing/>
        <w:jc w:val="both"/>
        <w:rPr>
          <w:rFonts w:ascii="Arial" w:hAnsi="Arial" w:cs="Arial"/>
          <w:lang w:val="en-GB"/>
        </w:rPr>
      </w:pPr>
      <w:r w:rsidRPr="00F30104">
        <w:rPr>
          <w:rFonts w:ascii="Arial" w:hAnsi="Arial" w:cs="Arial"/>
          <w:lang w:val="en-GB"/>
        </w:rPr>
        <w:lastRenderedPageBreak/>
        <w:t xml:space="preserve">Mark and Spencer (2023) </w:t>
      </w:r>
      <w:r w:rsidR="00EF621A" w:rsidRPr="00F30104">
        <w:rPr>
          <w:rFonts w:ascii="Arial" w:hAnsi="Arial" w:cs="Arial"/>
          <w:lang w:val="en-GB"/>
        </w:rPr>
        <w:t>‘</w:t>
      </w:r>
      <w:r w:rsidRPr="00F30104">
        <w:rPr>
          <w:rFonts w:ascii="Arial" w:hAnsi="Arial" w:cs="Arial"/>
          <w:lang w:val="en-GB"/>
        </w:rPr>
        <w:t>Our Businesses</w:t>
      </w:r>
      <w:r w:rsidR="00EF621A" w:rsidRPr="00F30104">
        <w:rPr>
          <w:rFonts w:ascii="Arial" w:hAnsi="Arial" w:cs="Arial"/>
          <w:lang w:val="en-GB"/>
        </w:rPr>
        <w:t>’</w:t>
      </w:r>
      <w:r w:rsidRPr="00F30104">
        <w:rPr>
          <w:rFonts w:ascii="Arial" w:hAnsi="Arial" w:cs="Arial"/>
          <w:lang w:val="en-GB"/>
        </w:rPr>
        <w:t xml:space="preserve"> Mark and Spencer, Available at: </w:t>
      </w:r>
      <w:hyperlink r:id="rId32" w:history="1">
        <w:r w:rsidRPr="00F30104">
          <w:rPr>
            <w:rStyle w:val="Hyperlink"/>
            <w:rFonts w:ascii="Arial" w:hAnsi="Arial" w:cs="Arial"/>
            <w:color w:val="auto"/>
            <w:lang w:val="en-GB"/>
          </w:rPr>
          <w:t>https://corporate.marksandspencer.com/about-us/our-businesses</w:t>
        </w:r>
      </w:hyperlink>
      <w:r w:rsidRPr="00F30104">
        <w:rPr>
          <w:rFonts w:ascii="Arial" w:hAnsi="Arial" w:cs="Arial"/>
          <w:lang w:val="en-GB"/>
        </w:rPr>
        <w:t xml:space="preserve"> (Accessed on 7 October 2023)</w:t>
      </w:r>
    </w:p>
    <w:p w14:paraId="5B090DDB" w14:textId="0567411F" w:rsidR="00980F17" w:rsidRPr="00F30104" w:rsidRDefault="00980F17" w:rsidP="00F30104">
      <w:pPr>
        <w:spacing w:after="0" w:line="360" w:lineRule="auto"/>
        <w:ind w:left="708" w:hanging="708"/>
        <w:contextualSpacing/>
        <w:jc w:val="both"/>
        <w:rPr>
          <w:rFonts w:ascii="Arial" w:hAnsi="Arial" w:cs="Arial"/>
          <w:lang w:val="en-GB"/>
        </w:rPr>
      </w:pPr>
      <w:r w:rsidRPr="00F30104">
        <w:rPr>
          <w:rFonts w:ascii="Arial" w:hAnsi="Arial" w:cs="Arial"/>
          <w:lang w:val="en-GB"/>
        </w:rPr>
        <w:t>Mark and Spencer (2023)</w:t>
      </w:r>
      <w:r w:rsidR="00EF621A" w:rsidRPr="00F30104">
        <w:rPr>
          <w:rFonts w:ascii="Arial" w:hAnsi="Arial" w:cs="Arial"/>
          <w:lang w:val="en-GB"/>
        </w:rPr>
        <w:t>’</w:t>
      </w:r>
      <w:r w:rsidRPr="00F30104">
        <w:rPr>
          <w:rFonts w:ascii="Arial" w:hAnsi="Arial" w:cs="Arial"/>
          <w:lang w:val="en-GB"/>
        </w:rPr>
        <w:t>Key facts</w:t>
      </w:r>
      <w:r w:rsidR="00EF621A" w:rsidRPr="00F30104">
        <w:rPr>
          <w:rFonts w:ascii="Arial" w:hAnsi="Arial" w:cs="Arial"/>
          <w:lang w:val="en-GB"/>
        </w:rPr>
        <w:t>’</w:t>
      </w:r>
      <w:r w:rsidRPr="00F30104">
        <w:rPr>
          <w:rFonts w:ascii="Arial" w:hAnsi="Arial" w:cs="Arial"/>
          <w:lang w:val="en-GB"/>
        </w:rPr>
        <w:t xml:space="preserve"> Mark and Spencer, Available at: </w:t>
      </w:r>
      <w:hyperlink r:id="rId33" w:history="1">
        <w:r w:rsidRPr="00F30104">
          <w:rPr>
            <w:rStyle w:val="Hyperlink"/>
            <w:rFonts w:ascii="Arial" w:hAnsi="Arial" w:cs="Arial"/>
            <w:color w:val="auto"/>
            <w:lang w:val="en-GB"/>
          </w:rPr>
          <w:t>https://corporate.marksandspencer.com/about-us/key-facts-figures</w:t>
        </w:r>
      </w:hyperlink>
      <w:r w:rsidRPr="00F30104">
        <w:rPr>
          <w:rFonts w:ascii="Arial" w:hAnsi="Arial" w:cs="Arial"/>
          <w:lang w:val="en-GB"/>
        </w:rPr>
        <w:t xml:space="preserve"> (Accessed on 18 November)</w:t>
      </w:r>
    </w:p>
    <w:p w14:paraId="05658359" w14:textId="0B889648"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Miller, C. &amp; Brown, D. (2023). </w:t>
      </w:r>
      <w:r w:rsidR="00EF621A" w:rsidRPr="00F30104">
        <w:rPr>
          <w:rFonts w:ascii="Arial" w:hAnsi="Arial" w:cs="Arial"/>
          <w:lang/>
        </w:rPr>
        <w:t>“</w:t>
      </w:r>
      <w:r w:rsidRPr="00F30104">
        <w:rPr>
          <w:rFonts w:ascii="Arial" w:hAnsi="Arial" w:cs="Arial"/>
          <w:lang/>
        </w:rPr>
        <w:t>The Impact of E-commerce on Traditional Retailers.</w:t>
      </w:r>
      <w:r w:rsidR="00EF621A" w:rsidRPr="00F30104">
        <w:rPr>
          <w:rFonts w:ascii="Arial" w:hAnsi="Arial" w:cs="Arial"/>
          <w:lang/>
        </w:rPr>
        <w:t>”</w:t>
      </w:r>
      <w:r w:rsidRPr="00F30104">
        <w:rPr>
          <w:rFonts w:ascii="Arial" w:hAnsi="Arial" w:cs="Arial"/>
          <w:lang/>
        </w:rPr>
        <w:t xml:space="preserve"> E-commerce Quarterly.</w:t>
      </w:r>
    </w:p>
    <w:p w14:paraId="226C9951" w14:textId="34A8B1B1"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Miller, C. (2022). </w:t>
      </w:r>
      <w:r w:rsidR="00EF621A" w:rsidRPr="00F30104">
        <w:rPr>
          <w:rFonts w:ascii="Arial" w:hAnsi="Arial" w:cs="Arial"/>
          <w:lang/>
        </w:rPr>
        <w:t>“</w:t>
      </w:r>
      <w:r w:rsidRPr="00F30104">
        <w:rPr>
          <w:rFonts w:ascii="Arial" w:hAnsi="Arial" w:cs="Arial"/>
          <w:lang/>
        </w:rPr>
        <w:t>Foreign Exchange Hedging Strategies in Multinational Corporations.</w:t>
      </w:r>
      <w:r w:rsidR="00EF621A" w:rsidRPr="00F30104">
        <w:rPr>
          <w:rFonts w:ascii="Arial" w:hAnsi="Arial" w:cs="Arial"/>
          <w:lang/>
        </w:rPr>
        <w:t>”</w:t>
      </w:r>
      <w:r w:rsidRPr="00F30104">
        <w:rPr>
          <w:rFonts w:ascii="Arial" w:hAnsi="Arial" w:cs="Arial"/>
          <w:lang/>
        </w:rPr>
        <w:t xml:space="preserve"> Journal of Financial Risk Management.</w:t>
      </w:r>
    </w:p>
    <w:p w14:paraId="3B4283CE" w14:textId="3408F04F"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Smith, L. &amp; Taylor, E. (2021). </w:t>
      </w:r>
      <w:r w:rsidR="00EF621A" w:rsidRPr="00F30104">
        <w:rPr>
          <w:rFonts w:ascii="Arial" w:hAnsi="Arial" w:cs="Arial"/>
          <w:lang/>
        </w:rPr>
        <w:t>“</w:t>
      </w:r>
      <w:r w:rsidRPr="00F30104">
        <w:rPr>
          <w:rFonts w:ascii="Arial" w:hAnsi="Arial" w:cs="Arial"/>
          <w:lang/>
        </w:rPr>
        <w:t>Sustainability Investments: Long-term Impacts on Retail Brands.</w:t>
      </w:r>
      <w:r w:rsidR="00EF621A" w:rsidRPr="00F30104">
        <w:rPr>
          <w:rFonts w:ascii="Arial" w:hAnsi="Arial" w:cs="Arial"/>
          <w:lang/>
        </w:rPr>
        <w:t>”</w:t>
      </w:r>
      <w:r w:rsidRPr="00F30104">
        <w:rPr>
          <w:rFonts w:ascii="Arial" w:hAnsi="Arial" w:cs="Arial"/>
          <w:lang/>
        </w:rPr>
        <w:t xml:space="preserve"> Journal of Green Business.</w:t>
      </w:r>
    </w:p>
    <w:p w14:paraId="01C74557" w14:textId="1F83E55C" w:rsidR="00980F17"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Taylor, E. (2022). </w:t>
      </w:r>
      <w:r w:rsidR="00EF621A" w:rsidRPr="00F30104">
        <w:rPr>
          <w:rFonts w:ascii="Arial" w:hAnsi="Arial" w:cs="Arial"/>
          <w:lang/>
        </w:rPr>
        <w:t>“</w:t>
      </w:r>
      <w:r w:rsidRPr="00F30104">
        <w:rPr>
          <w:rFonts w:ascii="Arial" w:hAnsi="Arial" w:cs="Arial"/>
          <w:lang/>
        </w:rPr>
        <w:t>Interest Rate Risk Management in the Retail Sector.</w:t>
      </w:r>
      <w:r w:rsidR="00EF621A" w:rsidRPr="00F30104">
        <w:rPr>
          <w:rFonts w:ascii="Arial" w:hAnsi="Arial" w:cs="Arial"/>
          <w:lang/>
        </w:rPr>
        <w:t>”</w:t>
      </w:r>
      <w:r w:rsidRPr="00F30104">
        <w:rPr>
          <w:rFonts w:ascii="Arial" w:hAnsi="Arial" w:cs="Arial"/>
          <w:lang/>
        </w:rPr>
        <w:t xml:space="preserve"> Financial Markets Journal.</w:t>
      </w:r>
    </w:p>
    <w:p w14:paraId="54BBC35E" w14:textId="5A84153C" w:rsidR="006B281D" w:rsidRPr="00F30104" w:rsidRDefault="00980F17" w:rsidP="00F30104">
      <w:pPr>
        <w:spacing w:after="0" w:line="360" w:lineRule="auto"/>
        <w:ind w:left="708" w:hanging="708"/>
        <w:contextualSpacing/>
        <w:jc w:val="both"/>
        <w:rPr>
          <w:rFonts w:ascii="Arial" w:hAnsi="Arial" w:cs="Arial"/>
          <w:lang/>
        </w:rPr>
      </w:pPr>
      <w:r w:rsidRPr="00F30104">
        <w:rPr>
          <w:rFonts w:ascii="Arial" w:hAnsi="Arial" w:cs="Arial"/>
          <w:lang/>
        </w:rPr>
        <w:t xml:space="preserve">White, F. &amp; Green, H. (2022). </w:t>
      </w:r>
      <w:r w:rsidR="00EF621A" w:rsidRPr="00F30104">
        <w:rPr>
          <w:rFonts w:ascii="Arial" w:hAnsi="Arial" w:cs="Arial"/>
          <w:lang/>
        </w:rPr>
        <w:t>“</w:t>
      </w:r>
      <w:r w:rsidRPr="00F30104">
        <w:rPr>
          <w:rFonts w:ascii="Arial" w:hAnsi="Arial" w:cs="Arial"/>
          <w:lang/>
        </w:rPr>
        <w:t>Inventory Management in Modern Retail.</w:t>
      </w:r>
      <w:r w:rsidR="00EF621A" w:rsidRPr="00F30104">
        <w:rPr>
          <w:rFonts w:ascii="Arial" w:hAnsi="Arial" w:cs="Arial"/>
          <w:lang/>
        </w:rPr>
        <w:t>”</w:t>
      </w:r>
      <w:r w:rsidRPr="00F30104">
        <w:rPr>
          <w:rFonts w:ascii="Arial" w:hAnsi="Arial" w:cs="Arial"/>
          <w:lang/>
        </w:rPr>
        <w:t xml:space="preserve"> Operations Management Journal.</w:t>
      </w:r>
    </w:p>
    <w:p w14:paraId="182F8B4C" w14:textId="77777777" w:rsidR="006B281D" w:rsidRPr="00F30104" w:rsidRDefault="006B281D" w:rsidP="00F30104">
      <w:pPr>
        <w:spacing w:after="0" w:line="360" w:lineRule="auto"/>
        <w:contextualSpacing/>
        <w:rPr>
          <w:rFonts w:ascii="Arial" w:hAnsi="Arial" w:cs="Arial"/>
          <w:lang/>
        </w:rPr>
      </w:pPr>
      <w:r w:rsidRPr="00F30104">
        <w:rPr>
          <w:rFonts w:ascii="Arial" w:hAnsi="Arial" w:cs="Arial"/>
          <w:lang/>
        </w:rPr>
        <w:br w:type="page"/>
      </w:r>
    </w:p>
    <w:p w14:paraId="4ACDF6DB" w14:textId="78427DF6" w:rsidR="00980F17" w:rsidRPr="00F30104" w:rsidRDefault="006B281D" w:rsidP="00F30104">
      <w:pPr>
        <w:pStyle w:val="Heading1"/>
      </w:pPr>
      <w:bookmarkStart w:id="16" w:name="_Toc151385679"/>
      <w:r w:rsidRPr="00F30104">
        <w:lastRenderedPageBreak/>
        <w:t>Appendix A: Key financials &amp; employees</w:t>
      </w:r>
      <w:bookmarkEnd w:id="16"/>
    </w:p>
    <w:p w14:paraId="358EFAB5" w14:textId="3FA17DFB" w:rsidR="006B281D" w:rsidRPr="00F30104" w:rsidRDefault="006B281D" w:rsidP="00F30104">
      <w:pPr>
        <w:spacing w:after="0" w:line="360" w:lineRule="auto"/>
        <w:contextualSpacing/>
        <w:rPr>
          <w:rFonts w:ascii="Arial" w:hAnsi="Arial" w:cs="Arial"/>
        </w:rPr>
      </w:pPr>
      <w:r w:rsidRPr="00F30104">
        <w:rPr>
          <w:rFonts w:ascii="Arial" w:hAnsi="Arial" w:cs="Arial"/>
          <w:lang w:val="en-GB"/>
        </w:rPr>
        <w:fldChar w:fldCharType="begin"/>
      </w:r>
      <w:r w:rsidRPr="00F30104">
        <w:rPr>
          <w:rFonts w:ascii="Arial" w:hAnsi="Arial" w:cs="Arial"/>
          <w:lang w:val="en-GB"/>
        </w:rPr>
        <w:instrText xml:space="preserve"> LINK Excel.Sheet.12 "C:\\Users\\Dr. Alan Cooke\\Desktop\\M&amp;Saccounts.xlsx" "Key financials &amp; employees!R4C1:R21C6" \a \f 4 \h  \* MERGEFORMAT </w:instrText>
      </w:r>
      <w:r w:rsidRPr="00F30104">
        <w:rPr>
          <w:rFonts w:ascii="Arial" w:hAnsi="Arial" w:cs="Arial"/>
          <w:lang w:val="en-GB"/>
        </w:rPr>
        <w:fldChar w:fldCharType="separate"/>
      </w:r>
    </w:p>
    <w:tbl>
      <w:tblPr>
        <w:tblW w:w="10000" w:type="dxa"/>
        <w:tblLook w:val="04A0" w:firstRow="1" w:lastRow="0" w:firstColumn="1" w:lastColumn="0" w:noHBand="0" w:noVBand="1"/>
      </w:tblPr>
      <w:tblGrid>
        <w:gridCol w:w="2900"/>
        <w:gridCol w:w="1420"/>
        <w:gridCol w:w="1420"/>
        <w:gridCol w:w="1420"/>
        <w:gridCol w:w="1420"/>
        <w:gridCol w:w="1420"/>
      </w:tblGrid>
      <w:tr w:rsidR="00F30104" w:rsidRPr="00F30104" w14:paraId="771DB7DF" w14:textId="77777777" w:rsidTr="006B281D">
        <w:trPr>
          <w:trHeight w:val="289"/>
        </w:trPr>
        <w:tc>
          <w:tcPr>
            <w:tcW w:w="2900" w:type="dxa"/>
            <w:tcBorders>
              <w:top w:val="nil"/>
              <w:left w:val="nil"/>
              <w:bottom w:val="nil"/>
              <w:right w:val="nil"/>
            </w:tcBorders>
            <w:shd w:val="clear" w:color="000000" w:fill="FFFFFF"/>
            <w:noWrap/>
            <w:vAlign w:val="bottom"/>
            <w:hideMark/>
          </w:tcPr>
          <w:p w14:paraId="513490A9" w14:textId="3EF419CF"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689E8DCA"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25B27BE4"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4B4796D2"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1471CA96"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6C759D3A"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r>
      <w:tr w:rsidR="00F30104" w:rsidRPr="00F30104" w14:paraId="066174AC" w14:textId="77777777" w:rsidTr="006B281D">
        <w:trPr>
          <w:trHeight w:val="383"/>
        </w:trPr>
        <w:tc>
          <w:tcPr>
            <w:tcW w:w="2900" w:type="dxa"/>
            <w:tcBorders>
              <w:top w:val="nil"/>
              <w:left w:val="nil"/>
              <w:bottom w:val="nil"/>
              <w:right w:val="nil"/>
            </w:tcBorders>
            <w:shd w:val="clear" w:color="000000" w:fill="FFFFFF"/>
            <w:noWrap/>
            <w:vAlign w:val="bottom"/>
            <w:hideMark/>
          </w:tcPr>
          <w:p w14:paraId="4A23E551"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hideMark/>
          </w:tcPr>
          <w:p w14:paraId="5E211F47"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01/04/2023</w:t>
            </w:r>
          </w:p>
        </w:tc>
        <w:tc>
          <w:tcPr>
            <w:tcW w:w="1420" w:type="dxa"/>
            <w:tcBorders>
              <w:top w:val="nil"/>
              <w:left w:val="nil"/>
              <w:bottom w:val="nil"/>
              <w:right w:val="nil"/>
            </w:tcBorders>
            <w:shd w:val="clear" w:color="000000" w:fill="FFFFFF"/>
            <w:noWrap/>
            <w:hideMark/>
          </w:tcPr>
          <w:p w14:paraId="37B9D23E"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02/04/2022</w:t>
            </w:r>
          </w:p>
        </w:tc>
        <w:tc>
          <w:tcPr>
            <w:tcW w:w="1420" w:type="dxa"/>
            <w:tcBorders>
              <w:top w:val="nil"/>
              <w:left w:val="nil"/>
              <w:bottom w:val="nil"/>
              <w:right w:val="nil"/>
            </w:tcBorders>
            <w:shd w:val="clear" w:color="000000" w:fill="FFFFFF"/>
            <w:noWrap/>
            <w:hideMark/>
          </w:tcPr>
          <w:p w14:paraId="6EC35A21"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03/04/2021</w:t>
            </w:r>
          </w:p>
        </w:tc>
        <w:tc>
          <w:tcPr>
            <w:tcW w:w="1420" w:type="dxa"/>
            <w:tcBorders>
              <w:top w:val="nil"/>
              <w:left w:val="nil"/>
              <w:bottom w:val="nil"/>
              <w:right w:val="nil"/>
            </w:tcBorders>
            <w:shd w:val="clear" w:color="000000" w:fill="FFFFFF"/>
            <w:noWrap/>
            <w:hideMark/>
          </w:tcPr>
          <w:p w14:paraId="57659A60"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28/03/2020</w:t>
            </w:r>
          </w:p>
        </w:tc>
        <w:tc>
          <w:tcPr>
            <w:tcW w:w="1420" w:type="dxa"/>
            <w:tcBorders>
              <w:top w:val="nil"/>
              <w:left w:val="nil"/>
              <w:bottom w:val="nil"/>
              <w:right w:val="nil"/>
            </w:tcBorders>
            <w:shd w:val="clear" w:color="000000" w:fill="FFFFFF"/>
            <w:noWrap/>
            <w:hideMark/>
          </w:tcPr>
          <w:p w14:paraId="6FE02E69"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30/03/2019</w:t>
            </w:r>
          </w:p>
        </w:tc>
      </w:tr>
      <w:tr w:rsidR="00F30104" w:rsidRPr="00F30104" w14:paraId="6CC776C7" w14:textId="77777777" w:rsidTr="006B281D">
        <w:trPr>
          <w:trHeight w:val="383"/>
        </w:trPr>
        <w:tc>
          <w:tcPr>
            <w:tcW w:w="2900" w:type="dxa"/>
            <w:tcBorders>
              <w:top w:val="nil"/>
              <w:left w:val="nil"/>
              <w:bottom w:val="nil"/>
              <w:right w:val="nil"/>
            </w:tcBorders>
            <w:shd w:val="clear" w:color="000000" w:fill="FFFFFF"/>
            <w:noWrap/>
            <w:vAlign w:val="bottom"/>
            <w:hideMark/>
          </w:tcPr>
          <w:p w14:paraId="63C5AE25"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31B69C1B"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458F8968"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2E972D34"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78ADF63C"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44CC4D8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th GBP</w:t>
            </w:r>
          </w:p>
        </w:tc>
      </w:tr>
      <w:tr w:rsidR="00F30104" w:rsidRPr="00F30104" w14:paraId="6513411A" w14:textId="77777777" w:rsidTr="006B281D">
        <w:trPr>
          <w:trHeight w:val="383"/>
        </w:trPr>
        <w:tc>
          <w:tcPr>
            <w:tcW w:w="2900" w:type="dxa"/>
            <w:tcBorders>
              <w:top w:val="nil"/>
              <w:left w:val="nil"/>
              <w:bottom w:val="nil"/>
              <w:right w:val="nil"/>
            </w:tcBorders>
            <w:shd w:val="clear" w:color="000000" w:fill="FFFFFF"/>
            <w:vAlign w:val="center"/>
            <w:hideMark/>
          </w:tcPr>
          <w:p w14:paraId="3B24B3B8"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Original documents</w:t>
            </w:r>
          </w:p>
        </w:tc>
        <w:tc>
          <w:tcPr>
            <w:tcW w:w="1420" w:type="dxa"/>
            <w:tcBorders>
              <w:top w:val="nil"/>
              <w:left w:val="nil"/>
              <w:bottom w:val="nil"/>
              <w:right w:val="nil"/>
            </w:tcBorders>
            <w:shd w:val="clear" w:color="000000" w:fill="FFFFFF"/>
            <w:hideMark/>
          </w:tcPr>
          <w:p w14:paraId="0A0F6467" w14:textId="092E5B00" w:rsidR="006B281D" w:rsidRPr="006B281D" w:rsidRDefault="00510663" w:rsidP="00F30104">
            <w:pPr>
              <w:spacing w:after="0" w:line="360" w:lineRule="auto"/>
              <w:contextualSpacing/>
              <w:jc w:val="right"/>
              <w:rPr>
                <w:rFonts w:ascii="Arial" w:eastAsia="Times New Roman" w:hAnsi="Arial" w:cs="Arial"/>
                <w:kern w:val="0"/>
                <w:lang/>
                <w14:ligatures w14:val="none"/>
              </w:rPr>
            </w:pPr>
            <w:hyperlink r:id="rId34" w:history="1">
              <w:r w:rsidR="006B281D" w:rsidRPr="006B281D">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0B8B6CA2" w14:textId="226470B4" w:rsidR="006B281D" w:rsidRPr="006B281D" w:rsidRDefault="00510663" w:rsidP="00F30104">
            <w:pPr>
              <w:spacing w:after="0" w:line="360" w:lineRule="auto"/>
              <w:contextualSpacing/>
              <w:jc w:val="right"/>
              <w:rPr>
                <w:rFonts w:ascii="Arial" w:eastAsia="Times New Roman" w:hAnsi="Arial" w:cs="Arial"/>
                <w:kern w:val="0"/>
                <w:lang/>
                <w14:ligatures w14:val="none"/>
              </w:rPr>
            </w:pPr>
            <w:hyperlink r:id="rId35" w:history="1">
              <w:r w:rsidR="006B281D" w:rsidRPr="006B281D">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7ED33294" w14:textId="1879CAF9" w:rsidR="006B281D" w:rsidRPr="006B281D" w:rsidRDefault="00510663" w:rsidP="00F30104">
            <w:pPr>
              <w:spacing w:after="0" w:line="360" w:lineRule="auto"/>
              <w:contextualSpacing/>
              <w:jc w:val="right"/>
              <w:rPr>
                <w:rFonts w:ascii="Arial" w:eastAsia="Times New Roman" w:hAnsi="Arial" w:cs="Arial"/>
                <w:kern w:val="0"/>
                <w:lang/>
                <w14:ligatures w14:val="none"/>
              </w:rPr>
            </w:pPr>
            <w:hyperlink r:id="rId36" w:history="1">
              <w:r w:rsidR="006B281D" w:rsidRPr="006B281D">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07484CA8" w14:textId="40A0A9B9" w:rsidR="006B281D" w:rsidRPr="006B281D" w:rsidRDefault="00510663" w:rsidP="00F30104">
            <w:pPr>
              <w:spacing w:after="0" w:line="360" w:lineRule="auto"/>
              <w:contextualSpacing/>
              <w:jc w:val="right"/>
              <w:rPr>
                <w:rFonts w:ascii="Arial" w:eastAsia="Times New Roman" w:hAnsi="Arial" w:cs="Arial"/>
                <w:kern w:val="0"/>
                <w:lang/>
                <w14:ligatures w14:val="none"/>
              </w:rPr>
            </w:pPr>
            <w:hyperlink r:id="rId37" w:history="1">
              <w:r w:rsidR="006B281D" w:rsidRPr="006B281D">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7BB18A4A" w14:textId="7125CEEA" w:rsidR="006B281D" w:rsidRPr="006B281D" w:rsidRDefault="00510663" w:rsidP="00F30104">
            <w:pPr>
              <w:spacing w:after="0" w:line="360" w:lineRule="auto"/>
              <w:contextualSpacing/>
              <w:jc w:val="right"/>
              <w:rPr>
                <w:rFonts w:ascii="Arial" w:eastAsia="Times New Roman" w:hAnsi="Arial" w:cs="Arial"/>
                <w:kern w:val="0"/>
                <w:lang/>
                <w14:ligatures w14:val="none"/>
              </w:rPr>
            </w:pPr>
            <w:hyperlink r:id="rId38" w:history="1">
              <w:r w:rsidR="006B281D" w:rsidRPr="006B281D">
                <w:rPr>
                  <w:rFonts w:ascii="Arial" w:eastAsia="Times New Roman" w:hAnsi="Arial" w:cs="Arial"/>
                  <w:kern w:val="0"/>
                  <w:lang/>
                  <w14:ligatures w14:val="none"/>
                </w:rPr>
                <w:t>PDF</w:t>
              </w:r>
            </w:hyperlink>
          </w:p>
        </w:tc>
      </w:tr>
      <w:tr w:rsidR="00F30104" w:rsidRPr="00F30104" w14:paraId="7D24BD7E" w14:textId="77777777" w:rsidTr="006B281D">
        <w:trPr>
          <w:trHeight w:val="383"/>
        </w:trPr>
        <w:tc>
          <w:tcPr>
            <w:tcW w:w="2900" w:type="dxa"/>
            <w:tcBorders>
              <w:top w:val="nil"/>
              <w:left w:val="nil"/>
              <w:bottom w:val="nil"/>
              <w:right w:val="nil"/>
            </w:tcBorders>
            <w:shd w:val="clear" w:color="000000" w:fill="FFFFFF"/>
            <w:noWrap/>
            <w:vAlign w:val="bottom"/>
            <w:hideMark/>
          </w:tcPr>
          <w:p w14:paraId="2EB564FA"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7FEF9F30"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26BAE282"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6A90689F"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410A7BF8"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4A42BBA0"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12 months</w:t>
            </w:r>
          </w:p>
        </w:tc>
      </w:tr>
      <w:tr w:rsidR="00F30104" w:rsidRPr="00F30104" w14:paraId="618C5830" w14:textId="77777777" w:rsidTr="006B281D">
        <w:trPr>
          <w:trHeight w:val="383"/>
        </w:trPr>
        <w:tc>
          <w:tcPr>
            <w:tcW w:w="2900" w:type="dxa"/>
            <w:tcBorders>
              <w:top w:val="nil"/>
              <w:left w:val="nil"/>
              <w:bottom w:val="nil"/>
              <w:right w:val="nil"/>
            </w:tcBorders>
            <w:shd w:val="clear" w:color="000000" w:fill="FFFFFF"/>
            <w:noWrap/>
            <w:vAlign w:val="bottom"/>
            <w:hideMark/>
          </w:tcPr>
          <w:p w14:paraId="058678D9"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12D6C9DE"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550B037E"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2291DB4E"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509713B4"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4EDBCE76"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Cons.</w:t>
            </w:r>
          </w:p>
        </w:tc>
      </w:tr>
      <w:tr w:rsidR="00F30104" w:rsidRPr="00F30104" w14:paraId="00DA0919" w14:textId="77777777" w:rsidTr="006B281D">
        <w:trPr>
          <w:trHeight w:val="383"/>
        </w:trPr>
        <w:tc>
          <w:tcPr>
            <w:tcW w:w="2900" w:type="dxa"/>
            <w:tcBorders>
              <w:top w:val="nil"/>
              <w:left w:val="nil"/>
              <w:bottom w:val="nil"/>
              <w:right w:val="nil"/>
            </w:tcBorders>
            <w:shd w:val="clear" w:color="000000" w:fill="FFFFFF"/>
            <w:noWrap/>
            <w:vAlign w:val="bottom"/>
            <w:hideMark/>
          </w:tcPr>
          <w:p w14:paraId="602002AD"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47138D80"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54283B7E"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267F425E"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7B21D1B5"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5B770A7B"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Unqualified</w:t>
            </w:r>
          </w:p>
        </w:tc>
      </w:tr>
      <w:tr w:rsidR="00F30104" w:rsidRPr="00F30104" w14:paraId="7B4C147A" w14:textId="77777777" w:rsidTr="006B281D">
        <w:trPr>
          <w:trHeight w:val="383"/>
        </w:trPr>
        <w:tc>
          <w:tcPr>
            <w:tcW w:w="2900" w:type="dxa"/>
            <w:tcBorders>
              <w:top w:val="nil"/>
              <w:left w:val="nil"/>
              <w:bottom w:val="nil"/>
              <w:right w:val="nil"/>
            </w:tcBorders>
            <w:shd w:val="clear" w:color="000000" w:fill="FFFFFF"/>
            <w:noWrap/>
            <w:vAlign w:val="bottom"/>
            <w:hideMark/>
          </w:tcPr>
          <w:p w14:paraId="479BB396"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3B45617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6FB95E68"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3567BADC"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67786628"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10F3FD60"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IFRS</w:t>
            </w:r>
          </w:p>
        </w:tc>
      </w:tr>
      <w:tr w:rsidR="00F30104" w:rsidRPr="00F30104" w14:paraId="261C6C8D" w14:textId="77777777" w:rsidTr="006B281D">
        <w:trPr>
          <w:trHeight w:val="503"/>
        </w:trPr>
        <w:tc>
          <w:tcPr>
            <w:tcW w:w="2900" w:type="dxa"/>
            <w:tcBorders>
              <w:top w:val="single" w:sz="4" w:space="0" w:color="A0A0A0"/>
              <w:left w:val="single" w:sz="4" w:space="0" w:color="A0A0A0"/>
              <w:bottom w:val="single" w:sz="4" w:space="0" w:color="A0A0A0"/>
              <w:right w:val="single" w:sz="4" w:space="0" w:color="A0A0A0"/>
            </w:tcBorders>
            <w:shd w:val="clear" w:color="000000" w:fill="FFFFFF"/>
            <w:vAlign w:val="center"/>
            <w:hideMark/>
          </w:tcPr>
          <w:p w14:paraId="30BA8CE6"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Turnover</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7FBC21B4"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11,931,300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6F65E189"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10,885,100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328A3B62"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9,155,700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7C14E6C1"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10,181,900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48E5773E"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10,377,300</w:t>
            </w:r>
          </w:p>
        </w:tc>
      </w:tr>
      <w:tr w:rsidR="00F30104" w:rsidRPr="00F30104" w14:paraId="583EFF64" w14:textId="77777777" w:rsidTr="006B281D">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2B7D2DB2"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Profit (Loss) before Taxation</w:t>
            </w:r>
          </w:p>
        </w:tc>
        <w:tc>
          <w:tcPr>
            <w:tcW w:w="1420" w:type="dxa"/>
            <w:tcBorders>
              <w:top w:val="nil"/>
              <w:left w:val="nil"/>
              <w:bottom w:val="single" w:sz="4" w:space="0" w:color="A0A0A0"/>
              <w:right w:val="single" w:sz="4" w:space="0" w:color="A0A0A0"/>
            </w:tcBorders>
            <w:shd w:val="clear" w:color="000000" w:fill="FFFFFF"/>
            <w:noWrap/>
            <w:hideMark/>
          </w:tcPr>
          <w:p w14:paraId="7C4EE2A6"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475,700</w:t>
            </w:r>
          </w:p>
        </w:tc>
        <w:tc>
          <w:tcPr>
            <w:tcW w:w="1420" w:type="dxa"/>
            <w:tcBorders>
              <w:top w:val="nil"/>
              <w:left w:val="nil"/>
              <w:bottom w:val="single" w:sz="4" w:space="0" w:color="A0A0A0"/>
              <w:right w:val="single" w:sz="4" w:space="0" w:color="A0A0A0"/>
            </w:tcBorders>
            <w:shd w:val="clear" w:color="000000" w:fill="FFFFFF"/>
            <w:noWrap/>
            <w:hideMark/>
          </w:tcPr>
          <w:p w14:paraId="7959E41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391,700</w:t>
            </w:r>
          </w:p>
        </w:tc>
        <w:tc>
          <w:tcPr>
            <w:tcW w:w="1420" w:type="dxa"/>
            <w:tcBorders>
              <w:top w:val="nil"/>
              <w:left w:val="nil"/>
              <w:bottom w:val="single" w:sz="4" w:space="0" w:color="A0A0A0"/>
              <w:right w:val="single" w:sz="4" w:space="0" w:color="A0A0A0"/>
            </w:tcBorders>
            <w:shd w:val="clear" w:color="000000" w:fill="FFFFFF"/>
            <w:noWrap/>
            <w:hideMark/>
          </w:tcPr>
          <w:p w14:paraId="0890A592"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-209,400</w:t>
            </w:r>
          </w:p>
        </w:tc>
        <w:tc>
          <w:tcPr>
            <w:tcW w:w="1420" w:type="dxa"/>
            <w:tcBorders>
              <w:top w:val="nil"/>
              <w:left w:val="nil"/>
              <w:bottom w:val="single" w:sz="4" w:space="0" w:color="A0A0A0"/>
              <w:right w:val="single" w:sz="4" w:space="0" w:color="A0A0A0"/>
            </w:tcBorders>
            <w:shd w:val="clear" w:color="000000" w:fill="FFFFFF"/>
            <w:noWrap/>
            <w:hideMark/>
          </w:tcPr>
          <w:p w14:paraId="302C89B6"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67,200</w:t>
            </w:r>
          </w:p>
        </w:tc>
        <w:tc>
          <w:tcPr>
            <w:tcW w:w="1420" w:type="dxa"/>
            <w:tcBorders>
              <w:top w:val="nil"/>
              <w:left w:val="nil"/>
              <w:bottom w:val="single" w:sz="4" w:space="0" w:color="A0A0A0"/>
              <w:right w:val="single" w:sz="4" w:space="0" w:color="A0A0A0"/>
            </w:tcBorders>
            <w:shd w:val="clear" w:color="000000" w:fill="FFFFFF"/>
            <w:noWrap/>
            <w:hideMark/>
          </w:tcPr>
          <w:p w14:paraId="37ABE362"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84,600</w:t>
            </w:r>
          </w:p>
        </w:tc>
      </w:tr>
      <w:tr w:rsidR="00F30104" w:rsidRPr="00F30104" w14:paraId="3EE2A0C1" w14:textId="77777777" w:rsidTr="006B281D">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3D8828A"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Net Tangible Assets</w:t>
            </w:r>
          </w:p>
        </w:tc>
        <w:tc>
          <w:tcPr>
            <w:tcW w:w="1420" w:type="dxa"/>
            <w:tcBorders>
              <w:top w:val="nil"/>
              <w:left w:val="nil"/>
              <w:bottom w:val="single" w:sz="4" w:space="0" w:color="A0A0A0"/>
              <w:right w:val="single" w:sz="4" w:space="0" w:color="A0A0A0"/>
            </w:tcBorders>
            <w:shd w:val="clear" w:color="000000" w:fill="FFFFFF"/>
            <w:noWrap/>
            <w:hideMark/>
          </w:tcPr>
          <w:p w14:paraId="24148821"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6,228,300</w:t>
            </w:r>
          </w:p>
        </w:tc>
        <w:tc>
          <w:tcPr>
            <w:tcW w:w="1420" w:type="dxa"/>
            <w:tcBorders>
              <w:top w:val="nil"/>
              <w:left w:val="nil"/>
              <w:bottom w:val="single" w:sz="4" w:space="0" w:color="A0A0A0"/>
              <w:right w:val="single" w:sz="4" w:space="0" w:color="A0A0A0"/>
            </w:tcBorders>
            <w:shd w:val="clear" w:color="000000" w:fill="FFFFFF"/>
            <w:noWrap/>
            <w:hideMark/>
          </w:tcPr>
          <w:p w14:paraId="42B722F8"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6,880,100</w:t>
            </w:r>
          </w:p>
        </w:tc>
        <w:tc>
          <w:tcPr>
            <w:tcW w:w="1420" w:type="dxa"/>
            <w:tcBorders>
              <w:top w:val="nil"/>
              <w:left w:val="nil"/>
              <w:bottom w:val="single" w:sz="4" w:space="0" w:color="A0A0A0"/>
              <w:right w:val="single" w:sz="4" w:space="0" w:color="A0A0A0"/>
            </w:tcBorders>
            <w:shd w:val="clear" w:color="000000" w:fill="FFFFFF"/>
            <w:noWrap/>
            <w:hideMark/>
          </w:tcPr>
          <w:p w14:paraId="06C55AC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6,109,600</w:t>
            </w:r>
          </w:p>
        </w:tc>
        <w:tc>
          <w:tcPr>
            <w:tcW w:w="1420" w:type="dxa"/>
            <w:tcBorders>
              <w:top w:val="nil"/>
              <w:left w:val="nil"/>
              <w:bottom w:val="single" w:sz="4" w:space="0" w:color="A0A0A0"/>
              <w:right w:val="single" w:sz="4" w:space="0" w:color="A0A0A0"/>
            </w:tcBorders>
            <w:shd w:val="clear" w:color="000000" w:fill="FFFFFF"/>
            <w:noWrap/>
            <w:hideMark/>
          </w:tcPr>
          <w:p w14:paraId="5C38B0ED"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7,935,400</w:t>
            </w:r>
          </w:p>
        </w:tc>
        <w:tc>
          <w:tcPr>
            <w:tcW w:w="1420" w:type="dxa"/>
            <w:tcBorders>
              <w:top w:val="nil"/>
              <w:left w:val="nil"/>
              <w:bottom w:val="single" w:sz="4" w:space="0" w:color="A0A0A0"/>
              <w:right w:val="single" w:sz="4" w:space="0" w:color="A0A0A0"/>
            </w:tcBorders>
            <w:shd w:val="clear" w:color="000000" w:fill="FFFFFF"/>
            <w:noWrap/>
            <w:hideMark/>
          </w:tcPr>
          <w:p w14:paraId="05E8611F"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4,471,900</w:t>
            </w:r>
          </w:p>
        </w:tc>
      </w:tr>
      <w:tr w:rsidR="00F30104" w:rsidRPr="00F30104" w14:paraId="2C3C149C" w14:textId="77777777" w:rsidTr="006B281D">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173DD253"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Shareholders Funds</w:t>
            </w:r>
          </w:p>
        </w:tc>
        <w:tc>
          <w:tcPr>
            <w:tcW w:w="1420" w:type="dxa"/>
            <w:tcBorders>
              <w:top w:val="nil"/>
              <w:left w:val="nil"/>
              <w:bottom w:val="single" w:sz="4" w:space="0" w:color="A0A0A0"/>
              <w:right w:val="single" w:sz="4" w:space="0" w:color="A0A0A0"/>
            </w:tcBorders>
            <w:shd w:val="clear" w:color="000000" w:fill="FFFFFF"/>
            <w:noWrap/>
            <w:hideMark/>
          </w:tcPr>
          <w:p w14:paraId="39BA7532"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2,814,900</w:t>
            </w:r>
          </w:p>
        </w:tc>
        <w:tc>
          <w:tcPr>
            <w:tcW w:w="1420" w:type="dxa"/>
            <w:tcBorders>
              <w:top w:val="nil"/>
              <w:left w:val="nil"/>
              <w:bottom w:val="single" w:sz="4" w:space="0" w:color="A0A0A0"/>
              <w:right w:val="single" w:sz="4" w:space="0" w:color="A0A0A0"/>
            </w:tcBorders>
            <w:shd w:val="clear" w:color="000000" w:fill="FFFFFF"/>
            <w:noWrap/>
            <w:hideMark/>
          </w:tcPr>
          <w:p w14:paraId="412EDE19"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2,917,900</w:t>
            </w:r>
          </w:p>
        </w:tc>
        <w:tc>
          <w:tcPr>
            <w:tcW w:w="1420" w:type="dxa"/>
            <w:tcBorders>
              <w:top w:val="nil"/>
              <w:left w:val="nil"/>
              <w:bottom w:val="single" w:sz="4" w:space="0" w:color="A0A0A0"/>
              <w:right w:val="single" w:sz="4" w:space="0" w:color="A0A0A0"/>
            </w:tcBorders>
            <w:shd w:val="clear" w:color="000000" w:fill="FFFFFF"/>
            <w:noWrap/>
            <w:hideMark/>
          </w:tcPr>
          <w:p w14:paraId="3E0B443E"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2,285,800</w:t>
            </w:r>
          </w:p>
        </w:tc>
        <w:tc>
          <w:tcPr>
            <w:tcW w:w="1420" w:type="dxa"/>
            <w:tcBorders>
              <w:top w:val="nil"/>
              <w:left w:val="nil"/>
              <w:bottom w:val="single" w:sz="4" w:space="0" w:color="A0A0A0"/>
              <w:right w:val="single" w:sz="4" w:space="0" w:color="A0A0A0"/>
            </w:tcBorders>
            <w:shd w:val="clear" w:color="000000" w:fill="FFFFFF"/>
            <w:noWrap/>
            <w:hideMark/>
          </w:tcPr>
          <w:p w14:paraId="5145CC39"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3,708,500</w:t>
            </w:r>
          </w:p>
        </w:tc>
        <w:tc>
          <w:tcPr>
            <w:tcW w:w="1420" w:type="dxa"/>
            <w:tcBorders>
              <w:top w:val="nil"/>
              <w:left w:val="nil"/>
              <w:bottom w:val="single" w:sz="4" w:space="0" w:color="A0A0A0"/>
              <w:right w:val="single" w:sz="4" w:space="0" w:color="A0A0A0"/>
            </w:tcBorders>
            <w:shd w:val="clear" w:color="000000" w:fill="FFFFFF"/>
            <w:noWrap/>
            <w:hideMark/>
          </w:tcPr>
          <w:p w14:paraId="7DB88E68"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2,680,900</w:t>
            </w:r>
          </w:p>
        </w:tc>
      </w:tr>
      <w:tr w:rsidR="00F30104" w:rsidRPr="00F30104" w14:paraId="666F6D18" w14:textId="77777777" w:rsidTr="006B281D">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17EF5CA5"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Profit Margin</w:t>
            </w:r>
          </w:p>
        </w:tc>
        <w:tc>
          <w:tcPr>
            <w:tcW w:w="1420" w:type="dxa"/>
            <w:tcBorders>
              <w:top w:val="nil"/>
              <w:left w:val="nil"/>
              <w:bottom w:val="single" w:sz="4" w:space="0" w:color="A0A0A0"/>
              <w:right w:val="single" w:sz="4" w:space="0" w:color="A0A0A0"/>
            </w:tcBorders>
            <w:shd w:val="clear" w:color="000000" w:fill="FFFFFF"/>
            <w:noWrap/>
            <w:hideMark/>
          </w:tcPr>
          <w:p w14:paraId="54C1F3B7"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3.99</w:t>
            </w:r>
          </w:p>
        </w:tc>
        <w:tc>
          <w:tcPr>
            <w:tcW w:w="1420" w:type="dxa"/>
            <w:tcBorders>
              <w:top w:val="nil"/>
              <w:left w:val="nil"/>
              <w:bottom w:val="single" w:sz="4" w:space="0" w:color="A0A0A0"/>
              <w:right w:val="single" w:sz="4" w:space="0" w:color="A0A0A0"/>
            </w:tcBorders>
            <w:shd w:val="clear" w:color="000000" w:fill="FFFFFF"/>
            <w:noWrap/>
            <w:hideMark/>
          </w:tcPr>
          <w:p w14:paraId="2FAFA227"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3.60</w:t>
            </w:r>
          </w:p>
        </w:tc>
        <w:tc>
          <w:tcPr>
            <w:tcW w:w="1420" w:type="dxa"/>
            <w:tcBorders>
              <w:top w:val="nil"/>
              <w:left w:val="nil"/>
              <w:bottom w:val="single" w:sz="4" w:space="0" w:color="A0A0A0"/>
              <w:right w:val="single" w:sz="4" w:space="0" w:color="A0A0A0"/>
            </w:tcBorders>
            <w:shd w:val="clear" w:color="000000" w:fill="FFFFFF"/>
            <w:noWrap/>
            <w:hideMark/>
          </w:tcPr>
          <w:p w14:paraId="7FEC7081"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-2.29</w:t>
            </w:r>
          </w:p>
        </w:tc>
        <w:tc>
          <w:tcPr>
            <w:tcW w:w="1420" w:type="dxa"/>
            <w:tcBorders>
              <w:top w:val="nil"/>
              <w:left w:val="nil"/>
              <w:bottom w:val="single" w:sz="4" w:space="0" w:color="A0A0A0"/>
              <w:right w:val="single" w:sz="4" w:space="0" w:color="A0A0A0"/>
            </w:tcBorders>
            <w:shd w:val="clear" w:color="000000" w:fill="FFFFFF"/>
            <w:noWrap/>
            <w:hideMark/>
          </w:tcPr>
          <w:p w14:paraId="2CA509DD"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0.66</w:t>
            </w:r>
          </w:p>
        </w:tc>
        <w:tc>
          <w:tcPr>
            <w:tcW w:w="1420" w:type="dxa"/>
            <w:tcBorders>
              <w:top w:val="nil"/>
              <w:left w:val="nil"/>
              <w:bottom w:val="single" w:sz="4" w:space="0" w:color="A0A0A0"/>
              <w:right w:val="single" w:sz="4" w:space="0" w:color="A0A0A0"/>
            </w:tcBorders>
            <w:shd w:val="clear" w:color="000000" w:fill="FFFFFF"/>
            <w:noWrap/>
            <w:hideMark/>
          </w:tcPr>
          <w:p w14:paraId="527826A5"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0.82</w:t>
            </w:r>
          </w:p>
        </w:tc>
      </w:tr>
      <w:tr w:rsidR="00F30104" w:rsidRPr="00F30104" w14:paraId="527EEA33" w14:textId="77777777" w:rsidTr="006B281D">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BB913CC"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Return on Shareholders Funds</w:t>
            </w:r>
          </w:p>
        </w:tc>
        <w:tc>
          <w:tcPr>
            <w:tcW w:w="1420" w:type="dxa"/>
            <w:tcBorders>
              <w:top w:val="nil"/>
              <w:left w:val="nil"/>
              <w:bottom w:val="single" w:sz="4" w:space="0" w:color="A0A0A0"/>
              <w:right w:val="single" w:sz="4" w:space="0" w:color="A0A0A0"/>
            </w:tcBorders>
            <w:shd w:val="clear" w:color="000000" w:fill="FFFFFF"/>
            <w:noWrap/>
            <w:hideMark/>
          </w:tcPr>
          <w:p w14:paraId="66397065"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16.90</w:t>
            </w:r>
          </w:p>
        </w:tc>
        <w:tc>
          <w:tcPr>
            <w:tcW w:w="1420" w:type="dxa"/>
            <w:tcBorders>
              <w:top w:val="nil"/>
              <w:left w:val="nil"/>
              <w:bottom w:val="single" w:sz="4" w:space="0" w:color="A0A0A0"/>
              <w:right w:val="single" w:sz="4" w:space="0" w:color="A0A0A0"/>
            </w:tcBorders>
            <w:shd w:val="clear" w:color="000000" w:fill="FFFFFF"/>
            <w:noWrap/>
            <w:hideMark/>
          </w:tcPr>
          <w:p w14:paraId="4499B320"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13.42</w:t>
            </w:r>
          </w:p>
        </w:tc>
        <w:tc>
          <w:tcPr>
            <w:tcW w:w="1420" w:type="dxa"/>
            <w:tcBorders>
              <w:top w:val="nil"/>
              <w:left w:val="nil"/>
              <w:bottom w:val="single" w:sz="4" w:space="0" w:color="A0A0A0"/>
              <w:right w:val="single" w:sz="4" w:space="0" w:color="A0A0A0"/>
            </w:tcBorders>
            <w:shd w:val="clear" w:color="000000" w:fill="FFFFFF"/>
            <w:noWrap/>
            <w:hideMark/>
          </w:tcPr>
          <w:p w14:paraId="5779A3B2"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-9.16</w:t>
            </w:r>
          </w:p>
        </w:tc>
        <w:tc>
          <w:tcPr>
            <w:tcW w:w="1420" w:type="dxa"/>
            <w:tcBorders>
              <w:top w:val="nil"/>
              <w:left w:val="nil"/>
              <w:bottom w:val="single" w:sz="4" w:space="0" w:color="A0A0A0"/>
              <w:right w:val="single" w:sz="4" w:space="0" w:color="A0A0A0"/>
            </w:tcBorders>
            <w:shd w:val="clear" w:color="000000" w:fill="FFFFFF"/>
            <w:noWrap/>
            <w:hideMark/>
          </w:tcPr>
          <w:p w14:paraId="7089D208"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1.81</w:t>
            </w:r>
          </w:p>
        </w:tc>
        <w:tc>
          <w:tcPr>
            <w:tcW w:w="1420" w:type="dxa"/>
            <w:tcBorders>
              <w:top w:val="nil"/>
              <w:left w:val="nil"/>
              <w:bottom w:val="single" w:sz="4" w:space="0" w:color="A0A0A0"/>
              <w:right w:val="single" w:sz="4" w:space="0" w:color="A0A0A0"/>
            </w:tcBorders>
            <w:shd w:val="clear" w:color="000000" w:fill="FFFFFF"/>
            <w:noWrap/>
            <w:hideMark/>
          </w:tcPr>
          <w:p w14:paraId="724B6C19"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3.16</w:t>
            </w:r>
          </w:p>
        </w:tc>
      </w:tr>
      <w:tr w:rsidR="00F30104" w:rsidRPr="00F30104" w14:paraId="44850F15" w14:textId="77777777" w:rsidTr="006B281D">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9EB8EC0"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Return on Capital Employed</w:t>
            </w:r>
          </w:p>
        </w:tc>
        <w:tc>
          <w:tcPr>
            <w:tcW w:w="1420" w:type="dxa"/>
            <w:tcBorders>
              <w:top w:val="nil"/>
              <w:left w:val="nil"/>
              <w:bottom w:val="single" w:sz="4" w:space="0" w:color="A0A0A0"/>
              <w:right w:val="single" w:sz="4" w:space="0" w:color="A0A0A0"/>
            </w:tcBorders>
            <w:shd w:val="clear" w:color="000000" w:fill="FFFFFF"/>
            <w:noWrap/>
            <w:hideMark/>
          </w:tcPr>
          <w:p w14:paraId="0CD04EFE"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7.44</w:t>
            </w:r>
          </w:p>
        </w:tc>
        <w:tc>
          <w:tcPr>
            <w:tcW w:w="1420" w:type="dxa"/>
            <w:tcBorders>
              <w:top w:val="nil"/>
              <w:left w:val="nil"/>
              <w:bottom w:val="single" w:sz="4" w:space="0" w:color="A0A0A0"/>
              <w:right w:val="single" w:sz="4" w:space="0" w:color="A0A0A0"/>
            </w:tcBorders>
            <w:shd w:val="clear" w:color="000000" w:fill="FFFFFF"/>
            <w:noWrap/>
            <w:hideMark/>
          </w:tcPr>
          <w:p w14:paraId="2E7327B0"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5.54</w:t>
            </w:r>
          </w:p>
        </w:tc>
        <w:tc>
          <w:tcPr>
            <w:tcW w:w="1420" w:type="dxa"/>
            <w:tcBorders>
              <w:top w:val="nil"/>
              <w:left w:val="nil"/>
              <w:bottom w:val="single" w:sz="4" w:space="0" w:color="A0A0A0"/>
              <w:right w:val="single" w:sz="4" w:space="0" w:color="A0A0A0"/>
            </w:tcBorders>
            <w:shd w:val="clear" w:color="000000" w:fill="FFFFFF"/>
            <w:noWrap/>
            <w:hideMark/>
          </w:tcPr>
          <w:p w14:paraId="12C6545F"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-3.30</w:t>
            </w:r>
          </w:p>
        </w:tc>
        <w:tc>
          <w:tcPr>
            <w:tcW w:w="1420" w:type="dxa"/>
            <w:tcBorders>
              <w:top w:val="nil"/>
              <w:left w:val="nil"/>
              <w:bottom w:val="single" w:sz="4" w:space="0" w:color="A0A0A0"/>
              <w:right w:val="single" w:sz="4" w:space="0" w:color="A0A0A0"/>
            </w:tcBorders>
            <w:shd w:val="clear" w:color="000000" w:fill="FFFFFF"/>
            <w:noWrap/>
            <w:hideMark/>
          </w:tcPr>
          <w:p w14:paraId="5D9F7449"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0.81</w:t>
            </w:r>
          </w:p>
        </w:tc>
        <w:tc>
          <w:tcPr>
            <w:tcW w:w="1420" w:type="dxa"/>
            <w:tcBorders>
              <w:top w:val="nil"/>
              <w:left w:val="nil"/>
              <w:bottom w:val="single" w:sz="4" w:space="0" w:color="A0A0A0"/>
              <w:right w:val="single" w:sz="4" w:space="0" w:color="A0A0A0"/>
            </w:tcBorders>
            <w:shd w:val="clear" w:color="000000" w:fill="FFFFFF"/>
            <w:noWrap/>
            <w:hideMark/>
          </w:tcPr>
          <w:p w14:paraId="493D0211"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1.70</w:t>
            </w:r>
          </w:p>
        </w:tc>
      </w:tr>
      <w:tr w:rsidR="00F30104" w:rsidRPr="00F30104" w14:paraId="6FE6612F" w14:textId="77777777" w:rsidTr="006B281D">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FA0685A"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Liquidity Ratio (x)</w:t>
            </w:r>
          </w:p>
        </w:tc>
        <w:tc>
          <w:tcPr>
            <w:tcW w:w="1420" w:type="dxa"/>
            <w:tcBorders>
              <w:top w:val="nil"/>
              <w:left w:val="nil"/>
              <w:bottom w:val="single" w:sz="4" w:space="0" w:color="A0A0A0"/>
              <w:right w:val="single" w:sz="4" w:space="0" w:color="A0A0A0"/>
            </w:tcBorders>
            <w:shd w:val="clear" w:color="000000" w:fill="FFFFFF"/>
            <w:noWrap/>
            <w:hideMark/>
          </w:tcPr>
          <w:p w14:paraId="07D028B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0.51</w:t>
            </w:r>
          </w:p>
        </w:tc>
        <w:tc>
          <w:tcPr>
            <w:tcW w:w="1420" w:type="dxa"/>
            <w:tcBorders>
              <w:top w:val="nil"/>
              <w:left w:val="nil"/>
              <w:bottom w:val="single" w:sz="4" w:space="0" w:color="A0A0A0"/>
              <w:right w:val="single" w:sz="4" w:space="0" w:color="A0A0A0"/>
            </w:tcBorders>
            <w:shd w:val="clear" w:color="000000" w:fill="FFFFFF"/>
            <w:noWrap/>
            <w:hideMark/>
          </w:tcPr>
          <w:p w14:paraId="57B72DD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0.62</w:t>
            </w:r>
          </w:p>
        </w:tc>
        <w:tc>
          <w:tcPr>
            <w:tcW w:w="1420" w:type="dxa"/>
            <w:tcBorders>
              <w:top w:val="nil"/>
              <w:left w:val="nil"/>
              <w:bottom w:val="single" w:sz="4" w:space="0" w:color="A0A0A0"/>
              <w:right w:val="single" w:sz="4" w:space="0" w:color="A0A0A0"/>
            </w:tcBorders>
            <w:shd w:val="clear" w:color="000000" w:fill="FFFFFF"/>
            <w:noWrap/>
            <w:hideMark/>
          </w:tcPr>
          <w:p w14:paraId="2966EC92"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0.42</w:t>
            </w:r>
          </w:p>
        </w:tc>
        <w:tc>
          <w:tcPr>
            <w:tcW w:w="1420" w:type="dxa"/>
            <w:tcBorders>
              <w:top w:val="nil"/>
              <w:left w:val="nil"/>
              <w:bottom w:val="single" w:sz="4" w:space="0" w:color="A0A0A0"/>
              <w:right w:val="single" w:sz="4" w:space="0" w:color="A0A0A0"/>
            </w:tcBorders>
            <w:shd w:val="clear" w:color="000000" w:fill="FFFFFF"/>
            <w:noWrap/>
            <w:hideMark/>
          </w:tcPr>
          <w:p w14:paraId="6C8E77D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0.35</w:t>
            </w:r>
          </w:p>
        </w:tc>
        <w:tc>
          <w:tcPr>
            <w:tcW w:w="1420" w:type="dxa"/>
            <w:tcBorders>
              <w:top w:val="nil"/>
              <w:left w:val="nil"/>
              <w:bottom w:val="single" w:sz="4" w:space="0" w:color="A0A0A0"/>
              <w:right w:val="single" w:sz="4" w:space="0" w:color="A0A0A0"/>
            </w:tcBorders>
            <w:shd w:val="clear" w:color="000000" w:fill="FFFFFF"/>
            <w:noWrap/>
            <w:hideMark/>
          </w:tcPr>
          <w:p w14:paraId="3098C5BB"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0.35</w:t>
            </w:r>
          </w:p>
        </w:tc>
      </w:tr>
      <w:tr w:rsidR="00F30104" w:rsidRPr="00F30104" w14:paraId="585564D3" w14:textId="77777777" w:rsidTr="006B281D">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742B4880"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Gearing (%)</w:t>
            </w:r>
          </w:p>
        </w:tc>
        <w:tc>
          <w:tcPr>
            <w:tcW w:w="1420" w:type="dxa"/>
            <w:tcBorders>
              <w:top w:val="nil"/>
              <w:left w:val="nil"/>
              <w:bottom w:val="single" w:sz="4" w:space="0" w:color="A0A0A0"/>
              <w:right w:val="single" w:sz="4" w:space="0" w:color="A0A0A0"/>
            </w:tcBorders>
            <w:shd w:val="clear" w:color="000000" w:fill="FFFFFF"/>
            <w:noWrap/>
            <w:hideMark/>
          </w:tcPr>
          <w:p w14:paraId="3B893D3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142.83</w:t>
            </w:r>
          </w:p>
        </w:tc>
        <w:tc>
          <w:tcPr>
            <w:tcW w:w="1420" w:type="dxa"/>
            <w:tcBorders>
              <w:top w:val="nil"/>
              <w:left w:val="nil"/>
              <w:bottom w:val="single" w:sz="4" w:space="0" w:color="A0A0A0"/>
              <w:right w:val="single" w:sz="4" w:space="0" w:color="A0A0A0"/>
            </w:tcBorders>
            <w:shd w:val="clear" w:color="000000" w:fill="FFFFFF"/>
            <w:noWrap/>
            <w:hideMark/>
          </w:tcPr>
          <w:p w14:paraId="1AFEB51C"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150.86</w:t>
            </w:r>
          </w:p>
        </w:tc>
        <w:tc>
          <w:tcPr>
            <w:tcW w:w="1420" w:type="dxa"/>
            <w:tcBorders>
              <w:top w:val="nil"/>
              <w:left w:val="nil"/>
              <w:bottom w:val="single" w:sz="4" w:space="0" w:color="A0A0A0"/>
              <w:right w:val="single" w:sz="4" w:space="0" w:color="A0A0A0"/>
            </w:tcBorders>
            <w:shd w:val="clear" w:color="000000" w:fill="FFFFFF"/>
            <w:noWrap/>
            <w:hideMark/>
          </w:tcPr>
          <w:p w14:paraId="3876C13F"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196.37</w:t>
            </w:r>
          </w:p>
        </w:tc>
        <w:tc>
          <w:tcPr>
            <w:tcW w:w="1420" w:type="dxa"/>
            <w:tcBorders>
              <w:top w:val="nil"/>
              <w:left w:val="nil"/>
              <w:bottom w:val="single" w:sz="4" w:space="0" w:color="A0A0A0"/>
              <w:right w:val="single" w:sz="4" w:space="0" w:color="A0A0A0"/>
            </w:tcBorders>
            <w:shd w:val="clear" w:color="000000" w:fill="FFFFFF"/>
            <w:noWrap/>
            <w:hideMark/>
          </w:tcPr>
          <w:p w14:paraId="3EE07211"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133.28</w:t>
            </w:r>
          </w:p>
        </w:tc>
        <w:tc>
          <w:tcPr>
            <w:tcW w:w="1420" w:type="dxa"/>
            <w:tcBorders>
              <w:top w:val="nil"/>
              <w:left w:val="nil"/>
              <w:bottom w:val="single" w:sz="4" w:space="0" w:color="A0A0A0"/>
              <w:right w:val="single" w:sz="4" w:space="0" w:color="A0A0A0"/>
            </w:tcBorders>
            <w:shd w:val="clear" w:color="000000" w:fill="FFFFFF"/>
            <w:noWrap/>
            <w:hideMark/>
          </w:tcPr>
          <w:p w14:paraId="4384CA65"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104.59</w:t>
            </w:r>
          </w:p>
        </w:tc>
      </w:tr>
      <w:tr w:rsidR="00F30104" w:rsidRPr="00F30104" w14:paraId="1E41A41B" w14:textId="77777777" w:rsidTr="006B281D">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F09CE37"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Number of employees</w:t>
            </w:r>
          </w:p>
        </w:tc>
        <w:tc>
          <w:tcPr>
            <w:tcW w:w="1420" w:type="dxa"/>
            <w:tcBorders>
              <w:top w:val="nil"/>
              <w:left w:val="nil"/>
              <w:bottom w:val="single" w:sz="4" w:space="0" w:color="A0A0A0"/>
              <w:right w:val="single" w:sz="4" w:space="0" w:color="A0A0A0"/>
            </w:tcBorders>
            <w:shd w:val="clear" w:color="000000" w:fill="FFFFFF"/>
            <w:noWrap/>
            <w:hideMark/>
          </w:tcPr>
          <w:p w14:paraId="1638EC79"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72,316</w:t>
            </w:r>
          </w:p>
        </w:tc>
        <w:tc>
          <w:tcPr>
            <w:tcW w:w="1420" w:type="dxa"/>
            <w:tcBorders>
              <w:top w:val="nil"/>
              <w:left w:val="nil"/>
              <w:bottom w:val="single" w:sz="4" w:space="0" w:color="A0A0A0"/>
              <w:right w:val="single" w:sz="4" w:space="0" w:color="A0A0A0"/>
            </w:tcBorders>
            <w:shd w:val="clear" w:color="000000" w:fill="FFFFFF"/>
            <w:noWrap/>
            <w:hideMark/>
          </w:tcPr>
          <w:p w14:paraId="20D4A54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67,086</w:t>
            </w:r>
          </w:p>
        </w:tc>
        <w:tc>
          <w:tcPr>
            <w:tcW w:w="1420" w:type="dxa"/>
            <w:tcBorders>
              <w:top w:val="nil"/>
              <w:left w:val="nil"/>
              <w:bottom w:val="single" w:sz="4" w:space="0" w:color="A0A0A0"/>
              <w:right w:val="single" w:sz="4" w:space="0" w:color="A0A0A0"/>
            </w:tcBorders>
            <w:shd w:val="clear" w:color="000000" w:fill="FFFFFF"/>
            <w:noWrap/>
            <w:hideMark/>
          </w:tcPr>
          <w:p w14:paraId="18D5DEB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69,846</w:t>
            </w:r>
          </w:p>
        </w:tc>
        <w:tc>
          <w:tcPr>
            <w:tcW w:w="1420" w:type="dxa"/>
            <w:tcBorders>
              <w:top w:val="nil"/>
              <w:left w:val="nil"/>
              <w:bottom w:val="single" w:sz="4" w:space="0" w:color="A0A0A0"/>
              <w:right w:val="single" w:sz="4" w:space="0" w:color="A0A0A0"/>
            </w:tcBorders>
            <w:shd w:val="clear" w:color="000000" w:fill="FFFFFF"/>
            <w:noWrap/>
            <w:hideMark/>
          </w:tcPr>
          <w:p w14:paraId="5FCE4D0D"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78,031</w:t>
            </w:r>
          </w:p>
        </w:tc>
        <w:tc>
          <w:tcPr>
            <w:tcW w:w="1420" w:type="dxa"/>
            <w:tcBorders>
              <w:top w:val="nil"/>
              <w:left w:val="nil"/>
              <w:bottom w:val="single" w:sz="4" w:space="0" w:color="A0A0A0"/>
              <w:right w:val="single" w:sz="4" w:space="0" w:color="A0A0A0"/>
            </w:tcBorders>
            <w:shd w:val="clear" w:color="000000" w:fill="FFFFFF"/>
            <w:noWrap/>
            <w:hideMark/>
          </w:tcPr>
          <w:p w14:paraId="086ED081"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80,097</w:t>
            </w:r>
          </w:p>
        </w:tc>
      </w:tr>
    </w:tbl>
    <w:p w14:paraId="22756043" w14:textId="16D0CC3C" w:rsidR="006B281D" w:rsidRPr="00F30104" w:rsidRDefault="006B281D" w:rsidP="00F30104">
      <w:pPr>
        <w:spacing w:after="0" w:line="360" w:lineRule="auto"/>
        <w:contextualSpacing/>
        <w:rPr>
          <w:rFonts w:ascii="Arial" w:hAnsi="Arial" w:cs="Arial"/>
          <w:lang w:val="en-GB"/>
        </w:rPr>
      </w:pPr>
      <w:r w:rsidRPr="00F30104">
        <w:rPr>
          <w:rFonts w:ascii="Arial" w:hAnsi="Arial" w:cs="Arial"/>
          <w:lang w:val="en-GB"/>
        </w:rPr>
        <w:fldChar w:fldCharType="end"/>
      </w:r>
    </w:p>
    <w:p w14:paraId="6337E2DA" w14:textId="77777777" w:rsidR="006B281D" w:rsidRPr="00F30104" w:rsidRDefault="006B281D" w:rsidP="00F30104">
      <w:pPr>
        <w:spacing w:after="0" w:line="360" w:lineRule="auto"/>
        <w:contextualSpacing/>
        <w:rPr>
          <w:rFonts w:ascii="Arial" w:hAnsi="Arial" w:cs="Arial"/>
          <w:lang w:val="en-GB"/>
        </w:rPr>
      </w:pPr>
      <w:r w:rsidRPr="00F30104">
        <w:rPr>
          <w:rFonts w:ascii="Arial" w:hAnsi="Arial" w:cs="Arial"/>
          <w:lang w:val="en-GB"/>
        </w:rPr>
        <w:br w:type="page"/>
      </w:r>
    </w:p>
    <w:p w14:paraId="75801EAE" w14:textId="7C09C9D7" w:rsidR="006B281D" w:rsidRPr="00F30104" w:rsidRDefault="006B281D" w:rsidP="00F30104">
      <w:pPr>
        <w:pStyle w:val="Heading1"/>
      </w:pPr>
      <w:bookmarkStart w:id="17" w:name="_Toc151385680"/>
      <w:r w:rsidRPr="00F30104">
        <w:lastRenderedPageBreak/>
        <w:t>Appendix B: Balance Sheet</w:t>
      </w:r>
      <w:bookmarkEnd w:id="17"/>
    </w:p>
    <w:p w14:paraId="72C2EED2" w14:textId="2D3F3C16" w:rsidR="006B281D" w:rsidRPr="00F30104" w:rsidRDefault="006B281D" w:rsidP="00F30104">
      <w:pPr>
        <w:spacing w:after="0" w:line="360" w:lineRule="auto"/>
        <w:contextualSpacing/>
        <w:rPr>
          <w:rFonts w:ascii="Arial" w:hAnsi="Arial" w:cs="Arial"/>
        </w:rPr>
      </w:pPr>
      <w:r w:rsidRPr="00F30104">
        <w:rPr>
          <w:rFonts w:ascii="Arial" w:hAnsi="Arial" w:cs="Arial"/>
          <w:lang w:val="en-GB"/>
        </w:rPr>
        <w:fldChar w:fldCharType="begin"/>
      </w:r>
      <w:r w:rsidRPr="00F30104">
        <w:rPr>
          <w:rFonts w:ascii="Arial" w:hAnsi="Arial" w:cs="Arial"/>
          <w:lang w:val="en-GB"/>
        </w:rPr>
        <w:instrText xml:space="preserve"> LINK Excel.Sheet.12 "C:\\Users\\Dr. Alan Cooke\\Desktop\\M&amp;Saccounts.xlsx" "Balance sheet!R5C1:R24C6" \a \f 4 \h  \* MERGEFORMAT </w:instrText>
      </w:r>
      <w:r w:rsidRPr="00F30104">
        <w:rPr>
          <w:rFonts w:ascii="Arial" w:hAnsi="Arial" w:cs="Arial"/>
          <w:lang w:val="en-GB"/>
        </w:rPr>
        <w:fldChar w:fldCharType="separate"/>
      </w:r>
    </w:p>
    <w:tbl>
      <w:tblPr>
        <w:tblW w:w="10000" w:type="dxa"/>
        <w:tblLook w:val="04A0" w:firstRow="1" w:lastRow="0" w:firstColumn="1" w:lastColumn="0" w:noHBand="0" w:noVBand="1"/>
      </w:tblPr>
      <w:tblGrid>
        <w:gridCol w:w="2900"/>
        <w:gridCol w:w="1420"/>
        <w:gridCol w:w="1420"/>
        <w:gridCol w:w="1420"/>
        <w:gridCol w:w="1420"/>
        <w:gridCol w:w="1420"/>
      </w:tblGrid>
      <w:tr w:rsidR="00F30104" w:rsidRPr="00F30104" w14:paraId="1CCE4388" w14:textId="77777777" w:rsidTr="006B281D">
        <w:trPr>
          <w:trHeight w:val="383"/>
        </w:trPr>
        <w:tc>
          <w:tcPr>
            <w:tcW w:w="2900" w:type="dxa"/>
            <w:tcBorders>
              <w:top w:val="nil"/>
              <w:left w:val="nil"/>
              <w:bottom w:val="nil"/>
              <w:right w:val="nil"/>
            </w:tcBorders>
            <w:shd w:val="clear" w:color="000000" w:fill="FFFFFF"/>
            <w:noWrap/>
            <w:vAlign w:val="bottom"/>
            <w:hideMark/>
          </w:tcPr>
          <w:p w14:paraId="3CE7A8C2" w14:textId="14253730"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hideMark/>
          </w:tcPr>
          <w:p w14:paraId="1E41E4BC"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01/04/2023</w:t>
            </w:r>
          </w:p>
        </w:tc>
        <w:tc>
          <w:tcPr>
            <w:tcW w:w="1420" w:type="dxa"/>
            <w:tcBorders>
              <w:top w:val="nil"/>
              <w:left w:val="nil"/>
              <w:bottom w:val="nil"/>
              <w:right w:val="nil"/>
            </w:tcBorders>
            <w:shd w:val="clear" w:color="000000" w:fill="FFFFFF"/>
            <w:noWrap/>
            <w:hideMark/>
          </w:tcPr>
          <w:p w14:paraId="60F0B3FF"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02/04/2022</w:t>
            </w:r>
          </w:p>
        </w:tc>
        <w:tc>
          <w:tcPr>
            <w:tcW w:w="1420" w:type="dxa"/>
            <w:tcBorders>
              <w:top w:val="nil"/>
              <w:left w:val="nil"/>
              <w:bottom w:val="nil"/>
              <w:right w:val="nil"/>
            </w:tcBorders>
            <w:shd w:val="clear" w:color="000000" w:fill="FFFFFF"/>
            <w:noWrap/>
            <w:hideMark/>
          </w:tcPr>
          <w:p w14:paraId="0D362438"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03/04/2021</w:t>
            </w:r>
          </w:p>
        </w:tc>
        <w:tc>
          <w:tcPr>
            <w:tcW w:w="1420" w:type="dxa"/>
            <w:tcBorders>
              <w:top w:val="nil"/>
              <w:left w:val="nil"/>
              <w:bottom w:val="nil"/>
              <w:right w:val="nil"/>
            </w:tcBorders>
            <w:shd w:val="clear" w:color="000000" w:fill="FFFFFF"/>
            <w:noWrap/>
            <w:hideMark/>
          </w:tcPr>
          <w:p w14:paraId="71181F01"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28/03/2020</w:t>
            </w:r>
          </w:p>
        </w:tc>
        <w:tc>
          <w:tcPr>
            <w:tcW w:w="1420" w:type="dxa"/>
            <w:tcBorders>
              <w:top w:val="nil"/>
              <w:left w:val="nil"/>
              <w:bottom w:val="nil"/>
              <w:right w:val="nil"/>
            </w:tcBorders>
            <w:shd w:val="clear" w:color="000000" w:fill="FFFFFF"/>
            <w:noWrap/>
            <w:hideMark/>
          </w:tcPr>
          <w:p w14:paraId="456A5F13"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30/03/2019</w:t>
            </w:r>
          </w:p>
        </w:tc>
      </w:tr>
      <w:tr w:rsidR="00F30104" w:rsidRPr="00F30104" w14:paraId="19B481D8" w14:textId="77777777" w:rsidTr="006B281D">
        <w:trPr>
          <w:trHeight w:val="383"/>
        </w:trPr>
        <w:tc>
          <w:tcPr>
            <w:tcW w:w="2900" w:type="dxa"/>
            <w:tcBorders>
              <w:top w:val="nil"/>
              <w:left w:val="nil"/>
              <w:bottom w:val="nil"/>
              <w:right w:val="nil"/>
            </w:tcBorders>
            <w:shd w:val="clear" w:color="000000" w:fill="FFFFFF"/>
            <w:noWrap/>
            <w:vAlign w:val="bottom"/>
            <w:hideMark/>
          </w:tcPr>
          <w:p w14:paraId="300173E7"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42C820F0"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12A45DA0"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46A86CB6"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465F54B0"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5240C438"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th GBP</w:t>
            </w:r>
          </w:p>
        </w:tc>
      </w:tr>
      <w:tr w:rsidR="00F30104" w:rsidRPr="00F30104" w14:paraId="0B463932" w14:textId="77777777" w:rsidTr="006B281D">
        <w:trPr>
          <w:trHeight w:val="383"/>
        </w:trPr>
        <w:tc>
          <w:tcPr>
            <w:tcW w:w="2900" w:type="dxa"/>
            <w:tcBorders>
              <w:top w:val="nil"/>
              <w:left w:val="nil"/>
              <w:bottom w:val="nil"/>
              <w:right w:val="nil"/>
            </w:tcBorders>
            <w:shd w:val="clear" w:color="000000" w:fill="FFFFFF"/>
            <w:vAlign w:val="center"/>
            <w:hideMark/>
          </w:tcPr>
          <w:p w14:paraId="3CE60BB8"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Original documents</w:t>
            </w:r>
          </w:p>
        </w:tc>
        <w:tc>
          <w:tcPr>
            <w:tcW w:w="1420" w:type="dxa"/>
            <w:tcBorders>
              <w:top w:val="nil"/>
              <w:left w:val="nil"/>
              <w:bottom w:val="nil"/>
              <w:right w:val="nil"/>
            </w:tcBorders>
            <w:shd w:val="clear" w:color="000000" w:fill="FFFFFF"/>
            <w:hideMark/>
          </w:tcPr>
          <w:p w14:paraId="605C59EC" w14:textId="2A786DEB" w:rsidR="006B281D" w:rsidRPr="006B281D" w:rsidRDefault="00510663" w:rsidP="00F30104">
            <w:pPr>
              <w:spacing w:after="0" w:line="360" w:lineRule="auto"/>
              <w:contextualSpacing/>
              <w:jc w:val="right"/>
              <w:rPr>
                <w:rFonts w:ascii="Arial" w:eastAsia="Times New Roman" w:hAnsi="Arial" w:cs="Arial"/>
                <w:kern w:val="0"/>
                <w:lang/>
                <w14:ligatures w14:val="none"/>
              </w:rPr>
            </w:pPr>
            <w:hyperlink r:id="rId39" w:history="1">
              <w:r w:rsidR="006B281D" w:rsidRPr="006B281D">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51F2A8E5" w14:textId="3112170F" w:rsidR="006B281D" w:rsidRPr="006B281D" w:rsidRDefault="00510663" w:rsidP="00F30104">
            <w:pPr>
              <w:spacing w:after="0" w:line="360" w:lineRule="auto"/>
              <w:contextualSpacing/>
              <w:jc w:val="right"/>
              <w:rPr>
                <w:rFonts w:ascii="Arial" w:eastAsia="Times New Roman" w:hAnsi="Arial" w:cs="Arial"/>
                <w:kern w:val="0"/>
                <w:lang/>
                <w14:ligatures w14:val="none"/>
              </w:rPr>
            </w:pPr>
            <w:hyperlink r:id="rId40" w:history="1">
              <w:r w:rsidR="006B281D" w:rsidRPr="006B281D">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65464430" w14:textId="371D3C34" w:rsidR="006B281D" w:rsidRPr="006B281D" w:rsidRDefault="00510663" w:rsidP="00F30104">
            <w:pPr>
              <w:spacing w:after="0" w:line="360" w:lineRule="auto"/>
              <w:contextualSpacing/>
              <w:jc w:val="right"/>
              <w:rPr>
                <w:rFonts w:ascii="Arial" w:eastAsia="Times New Roman" w:hAnsi="Arial" w:cs="Arial"/>
                <w:kern w:val="0"/>
                <w:lang/>
                <w14:ligatures w14:val="none"/>
              </w:rPr>
            </w:pPr>
            <w:hyperlink r:id="rId41" w:history="1">
              <w:r w:rsidR="006B281D" w:rsidRPr="006B281D">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53B2CDF6" w14:textId="212C6883" w:rsidR="006B281D" w:rsidRPr="006B281D" w:rsidRDefault="00510663" w:rsidP="00F30104">
            <w:pPr>
              <w:spacing w:after="0" w:line="360" w:lineRule="auto"/>
              <w:contextualSpacing/>
              <w:jc w:val="right"/>
              <w:rPr>
                <w:rFonts w:ascii="Arial" w:eastAsia="Times New Roman" w:hAnsi="Arial" w:cs="Arial"/>
                <w:kern w:val="0"/>
                <w:lang/>
                <w14:ligatures w14:val="none"/>
              </w:rPr>
            </w:pPr>
            <w:hyperlink r:id="rId42" w:history="1">
              <w:r w:rsidR="006B281D" w:rsidRPr="006B281D">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0D943F1F" w14:textId="335635B4" w:rsidR="006B281D" w:rsidRPr="006B281D" w:rsidRDefault="00510663" w:rsidP="00F30104">
            <w:pPr>
              <w:spacing w:after="0" w:line="360" w:lineRule="auto"/>
              <w:contextualSpacing/>
              <w:jc w:val="right"/>
              <w:rPr>
                <w:rFonts w:ascii="Arial" w:eastAsia="Times New Roman" w:hAnsi="Arial" w:cs="Arial"/>
                <w:kern w:val="0"/>
                <w:lang/>
                <w14:ligatures w14:val="none"/>
              </w:rPr>
            </w:pPr>
            <w:hyperlink r:id="rId43" w:history="1">
              <w:r w:rsidR="006B281D" w:rsidRPr="006B281D">
                <w:rPr>
                  <w:rFonts w:ascii="Arial" w:eastAsia="Times New Roman" w:hAnsi="Arial" w:cs="Arial"/>
                  <w:kern w:val="0"/>
                  <w:lang/>
                  <w14:ligatures w14:val="none"/>
                </w:rPr>
                <w:t>PDF</w:t>
              </w:r>
            </w:hyperlink>
          </w:p>
        </w:tc>
      </w:tr>
      <w:tr w:rsidR="00F30104" w:rsidRPr="00F30104" w14:paraId="1E8D6F87" w14:textId="77777777" w:rsidTr="006B281D">
        <w:trPr>
          <w:trHeight w:val="383"/>
        </w:trPr>
        <w:tc>
          <w:tcPr>
            <w:tcW w:w="2900" w:type="dxa"/>
            <w:tcBorders>
              <w:top w:val="nil"/>
              <w:left w:val="nil"/>
              <w:bottom w:val="nil"/>
              <w:right w:val="nil"/>
            </w:tcBorders>
            <w:shd w:val="clear" w:color="000000" w:fill="FFFFFF"/>
            <w:noWrap/>
            <w:vAlign w:val="bottom"/>
            <w:hideMark/>
          </w:tcPr>
          <w:p w14:paraId="200CD7BB"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27BCECFD"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15DC6766"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43778474"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5B212C28"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22A7E874"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12 months</w:t>
            </w:r>
          </w:p>
        </w:tc>
      </w:tr>
      <w:tr w:rsidR="00F30104" w:rsidRPr="00F30104" w14:paraId="2C11EDDC" w14:textId="77777777" w:rsidTr="006B281D">
        <w:trPr>
          <w:trHeight w:val="383"/>
        </w:trPr>
        <w:tc>
          <w:tcPr>
            <w:tcW w:w="2900" w:type="dxa"/>
            <w:tcBorders>
              <w:top w:val="nil"/>
              <w:left w:val="nil"/>
              <w:bottom w:val="nil"/>
              <w:right w:val="nil"/>
            </w:tcBorders>
            <w:shd w:val="clear" w:color="000000" w:fill="FFFFFF"/>
            <w:noWrap/>
            <w:vAlign w:val="bottom"/>
            <w:hideMark/>
          </w:tcPr>
          <w:p w14:paraId="32FC492A"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138F8FCD"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058C6027"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75515FE1"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4DD81EEB"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7726F1A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Cons.</w:t>
            </w:r>
          </w:p>
        </w:tc>
      </w:tr>
      <w:tr w:rsidR="00F30104" w:rsidRPr="00F30104" w14:paraId="3259B08D" w14:textId="77777777" w:rsidTr="006B281D">
        <w:trPr>
          <w:trHeight w:val="383"/>
        </w:trPr>
        <w:tc>
          <w:tcPr>
            <w:tcW w:w="2900" w:type="dxa"/>
            <w:tcBorders>
              <w:top w:val="nil"/>
              <w:left w:val="nil"/>
              <w:bottom w:val="nil"/>
              <w:right w:val="nil"/>
            </w:tcBorders>
            <w:shd w:val="clear" w:color="000000" w:fill="FFFFFF"/>
            <w:noWrap/>
            <w:vAlign w:val="bottom"/>
            <w:hideMark/>
          </w:tcPr>
          <w:p w14:paraId="46DEE85D"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708510A6"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3BDC9A7B"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191F22FF"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5A8E60F5"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232A8C6B"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Unqualified</w:t>
            </w:r>
          </w:p>
        </w:tc>
      </w:tr>
      <w:tr w:rsidR="00F30104" w:rsidRPr="00F30104" w14:paraId="439451DE" w14:textId="77777777" w:rsidTr="006B281D">
        <w:trPr>
          <w:trHeight w:val="383"/>
        </w:trPr>
        <w:tc>
          <w:tcPr>
            <w:tcW w:w="2900" w:type="dxa"/>
            <w:tcBorders>
              <w:top w:val="nil"/>
              <w:left w:val="nil"/>
              <w:bottom w:val="nil"/>
              <w:right w:val="nil"/>
            </w:tcBorders>
            <w:shd w:val="clear" w:color="000000" w:fill="FFFFFF"/>
            <w:noWrap/>
            <w:vAlign w:val="bottom"/>
            <w:hideMark/>
          </w:tcPr>
          <w:p w14:paraId="35D6D63C"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0DE57A71"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3796EED5"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34553A8B"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44B3C62E"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3FC6AAD4"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IFRS</w:t>
            </w:r>
          </w:p>
        </w:tc>
      </w:tr>
      <w:tr w:rsidR="00F30104" w:rsidRPr="00F30104" w14:paraId="0B409BC1" w14:textId="77777777" w:rsidTr="006B281D">
        <w:trPr>
          <w:trHeight w:val="503"/>
        </w:trPr>
        <w:tc>
          <w:tcPr>
            <w:tcW w:w="2900" w:type="dxa"/>
            <w:tcBorders>
              <w:top w:val="nil"/>
              <w:left w:val="nil"/>
              <w:bottom w:val="nil"/>
              <w:right w:val="nil"/>
            </w:tcBorders>
            <w:shd w:val="clear" w:color="000000" w:fill="FFFFFF"/>
            <w:vAlign w:val="center"/>
            <w:hideMark/>
          </w:tcPr>
          <w:p w14:paraId="2C159D19"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Fixed Assets</w:t>
            </w:r>
          </w:p>
        </w:tc>
        <w:tc>
          <w:tcPr>
            <w:tcW w:w="1420" w:type="dxa"/>
            <w:tcBorders>
              <w:top w:val="nil"/>
              <w:left w:val="nil"/>
              <w:bottom w:val="nil"/>
              <w:right w:val="nil"/>
            </w:tcBorders>
            <w:shd w:val="clear" w:color="000000" w:fill="FFFFFF"/>
            <w:noWrap/>
            <w:vAlign w:val="bottom"/>
            <w:hideMark/>
          </w:tcPr>
          <w:p w14:paraId="54388DB1"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18A08F54"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62A73CB1"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44D02E76"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01934EBF"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r>
      <w:tr w:rsidR="00F30104" w:rsidRPr="00F30104" w14:paraId="2423B773" w14:textId="77777777" w:rsidTr="006B281D">
        <w:trPr>
          <w:trHeight w:val="503"/>
        </w:trPr>
        <w:tc>
          <w:tcPr>
            <w:tcW w:w="2900" w:type="dxa"/>
            <w:tcBorders>
              <w:top w:val="single" w:sz="4" w:space="0" w:color="A0A0A0"/>
              <w:left w:val="single" w:sz="4" w:space="0" w:color="A0A0A0"/>
              <w:bottom w:val="single" w:sz="4" w:space="0" w:color="A0A0A0"/>
              <w:right w:val="single" w:sz="4" w:space="0" w:color="A0A0A0"/>
            </w:tcBorders>
            <w:shd w:val="clear" w:color="000000" w:fill="FFFFFF"/>
            <w:vAlign w:val="center"/>
            <w:hideMark/>
          </w:tcPr>
          <w:p w14:paraId="48A3EE97"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Tangible Assets</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5404F407"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5,203,700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5D12988B"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4,902,300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2D72EAD5"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5,058,600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2CA7BB28"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5,494,200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39C3B5D6"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4,028,500</w:t>
            </w:r>
          </w:p>
        </w:tc>
      </w:tr>
      <w:tr w:rsidR="00F30104" w:rsidRPr="00F30104" w14:paraId="01F2BAC8" w14:textId="77777777" w:rsidTr="006B281D">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9416F0D"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Land &amp; Buildings</w:t>
            </w:r>
          </w:p>
        </w:tc>
        <w:tc>
          <w:tcPr>
            <w:tcW w:w="1420" w:type="dxa"/>
            <w:tcBorders>
              <w:top w:val="nil"/>
              <w:left w:val="nil"/>
              <w:bottom w:val="single" w:sz="4" w:space="0" w:color="A0A0A0"/>
              <w:right w:val="single" w:sz="4" w:space="0" w:color="A0A0A0"/>
            </w:tcBorders>
            <w:shd w:val="clear" w:color="000000" w:fill="FFFFFF"/>
            <w:noWrap/>
            <w:hideMark/>
          </w:tcPr>
          <w:p w14:paraId="2E4E0902"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3,457,400</w:t>
            </w:r>
          </w:p>
        </w:tc>
        <w:tc>
          <w:tcPr>
            <w:tcW w:w="1420" w:type="dxa"/>
            <w:tcBorders>
              <w:top w:val="nil"/>
              <w:left w:val="nil"/>
              <w:bottom w:val="single" w:sz="4" w:space="0" w:color="A0A0A0"/>
              <w:right w:val="single" w:sz="4" w:space="0" w:color="A0A0A0"/>
            </w:tcBorders>
            <w:shd w:val="clear" w:color="000000" w:fill="FFFFFF"/>
            <w:noWrap/>
            <w:hideMark/>
          </w:tcPr>
          <w:p w14:paraId="02BC6FE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3,320,700</w:t>
            </w:r>
          </w:p>
        </w:tc>
        <w:tc>
          <w:tcPr>
            <w:tcW w:w="1420" w:type="dxa"/>
            <w:tcBorders>
              <w:top w:val="nil"/>
              <w:left w:val="nil"/>
              <w:bottom w:val="single" w:sz="4" w:space="0" w:color="A0A0A0"/>
              <w:right w:val="single" w:sz="4" w:space="0" w:color="A0A0A0"/>
            </w:tcBorders>
            <w:shd w:val="clear" w:color="000000" w:fill="FFFFFF"/>
            <w:noWrap/>
            <w:hideMark/>
          </w:tcPr>
          <w:p w14:paraId="121E23D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3,467,100</w:t>
            </w:r>
          </w:p>
        </w:tc>
        <w:tc>
          <w:tcPr>
            <w:tcW w:w="1420" w:type="dxa"/>
            <w:tcBorders>
              <w:top w:val="nil"/>
              <w:left w:val="nil"/>
              <w:bottom w:val="single" w:sz="4" w:space="0" w:color="A0A0A0"/>
              <w:right w:val="single" w:sz="4" w:space="0" w:color="A0A0A0"/>
            </w:tcBorders>
            <w:shd w:val="clear" w:color="000000" w:fill="FFFFFF"/>
            <w:noWrap/>
            <w:hideMark/>
          </w:tcPr>
          <w:p w14:paraId="29520C62"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2,167,400</w:t>
            </w:r>
          </w:p>
        </w:tc>
        <w:tc>
          <w:tcPr>
            <w:tcW w:w="1420" w:type="dxa"/>
            <w:tcBorders>
              <w:top w:val="nil"/>
              <w:left w:val="nil"/>
              <w:bottom w:val="single" w:sz="4" w:space="0" w:color="A0A0A0"/>
              <w:right w:val="single" w:sz="4" w:space="0" w:color="A0A0A0"/>
            </w:tcBorders>
            <w:shd w:val="clear" w:color="000000" w:fill="FFFFFF"/>
            <w:noWrap/>
            <w:hideMark/>
          </w:tcPr>
          <w:p w14:paraId="4BB1E032"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2,273,900</w:t>
            </w:r>
          </w:p>
        </w:tc>
      </w:tr>
      <w:tr w:rsidR="00F30104" w:rsidRPr="00F30104" w14:paraId="5F4D98BD" w14:textId="77777777" w:rsidTr="006B281D">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7F42B40"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Freehold Land</w:t>
            </w:r>
          </w:p>
        </w:tc>
        <w:tc>
          <w:tcPr>
            <w:tcW w:w="1420" w:type="dxa"/>
            <w:tcBorders>
              <w:top w:val="nil"/>
              <w:left w:val="nil"/>
              <w:bottom w:val="single" w:sz="4" w:space="0" w:color="A0A0A0"/>
              <w:right w:val="single" w:sz="4" w:space="0" w:color="A0A0A0"/>
            </w:tcBorders>
            <w:shd w:val="clear" w:color="000000" w:fill="FFFFFF"/>
            <w:noWrap/>
            <w:vAlign w:val="bottom"/>
            <w:hideMark/>
          </w:tcPr>
          <w:p w14:paraId="4D2C109E"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E864A20"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hideMark/>
          </w:tcPr>
          <w:p w14:paraId="70D68776"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2,022,400</w:t>
            </w:r>
          </w:p>
        </w:tc>
        <w:tc>
          <w:tcPr>
            <w:tcW w:w="1420" w:type="dxa"/>
            <w:tcBorders>
              <w:top w:val="nil"/>
              <w:left w:val="nil"/>
              <w:bottom w:val="single" w:sz="4" w:space="0" w:color="A0A0A0"/>
              <w:right w:val="single" w:sz="4" w:space="0" w:color="A0A0A0"/>
            </w:tcBorders>
            <w:shd w:val="clear" w:color="000000" w:fill="FFFFFF"/>
            <w:noWrap/>
            <w:vAlign w:val="bottom"/>
            <w:hideMark/>
          </w:tcPr>
          <w:p w14:paraId="7117B1E6"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510C475"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r>
      <w:tr w:rsidR="00F30104" w:rsidRPr="00F30104" w14:paraId="42A8482A" w14:textId="77777777" w:rsidTr="006B281D">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EE97B81"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Leasehold Land</w:t>
            </w:r>
          </w:p>
        </w:tc>
        <w:tc>
          <w:tcPr>
            <w:tcW w:w="1420" w:type="dxa"/>
            <w:tcBorders>
              <w:top w:val="nil"/>
              <w:left w:val="nil"/>
              <w:bottom w:val="single" w:sz="4" w:space="0" w:color="A0A0A0"/>
              <w:right w:val="single" w:sz="4" w:space="0" w:color="A0A0A0"/>
            </w:tcBorders>
            <w:shd w:val="clear" w:color="000000" w:fill="FFFFFF"/>
            <w:noWrap/>
            <w:vAlign w:val="bottom"/>
            <w:hideMark/>
          </w:tcPr>
          <w:p w14:paraId="1E33CC79"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4437F1CF"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hideMark/>
          </w:tcPr>
          <w:p w14:paraId="3144605A"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1,444,700</w:t>
            </w:r>
          </w:p>
        </w:tc>
        <w:tc>
          <w:tcPr>
            <w:tcW w:w="1420" w:type="dxa"/>
            <w:tcBorders>
              <w:top w:val="nil"/>
              <w:left w:val="nil"/>
              <w:bottom w:val="single" w:sz="4" w:space="0" w:color="A0A0A0"/>
              <w:right w:val="single" w:sz="4" w:space="0" w:color="A0A0A0"/>
            </w:tcBorders>
            <w:shd w:val="clear" w:color="000000" w:fill="FFFFFF"/>
            <w:noWrap/>
            <w:vAlign w:val="bottom"/>
            <w:hideMark/>
          </w:tcPr>
          <w:p w14:paraId="2731217B"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2DE3BC9"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r>
      <w:tr w:rsidR="00F30104" w:rsidRPr="00F30104" w14:paraId="6CE6DBFA" w14:textId="77777777" w:rsidTr="006B281D">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CE54B4C"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Fixtures &amp; Fittings</w:t>
            </w:r>
          </w:p>
        </w:tc>
        <w:tc>
          <w:tcPr>
            <w:tcW w:w="1420" w:type="dxa"/>
            <w:tcBorders>
              <w:top w:val="nil"/>
              <w:left w:val="nil"/>
              <w:bottom w:val="single" w:sz="4" w:space="0" w:color="A0A0A0"/>
              <w:right w:val="single" w:sz="4" w:space="0" w:color="A0A0A0"/>
            </w:tcBorders>
            <w:shd w:val="clear" w:color="000000" w:fill="FFFFFF"/>
            <w:noWrap/>
            <w:vAlign w:val="bottom"/>
            <w:hideMark/>
          </w:tcPr>
          <w:p w14:paraId="13868CDC"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BD69D21"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6356C038"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2191E41"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68AA6B64"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r>
      <w:tr w:rsidR="00F30104" w:rsidRPr="00F30104" w14:paraId="5B9E0C78" w14:textId="77777777" w:rsidTr="006B281D">
        <w:trPr>
          <w:trHeight w:val="38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F92014D"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Plant &amp; Vehicles</w:t>
            </w:r>
          </w:p>
        </w:tc>
        <w:tc>
          <w:tcPr>
            <w:tcW w:w="1420" w:type="dxa"/>
            <w:tcBorders>
              <w:top w:val="nil"/>
              <w:left w:val="nil"/>
              <w:bottom w:val="single" w:sz="4" w:space="0" w:color="A0A0A0"/>
              <w:right w:val="single" w:sz="4" w:space="0" w:color="A0A0A0"/>
            </w:tcBorders>
            <w:shd w:val="clear" w:color="000000" w:fill="FFFFFF"/>
            <w:noWrap/>
            <w:vAlign w:val="bottom"/>
            <w:hideMark/>
          </w:tcPr>
          <w:p w14:paraId="4F48CE00"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713A68C"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7E92CD1"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7690D3E"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42DC9A8"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r>
      <w:tr w:rsidR="00F30104" w:rsidRPr="00F30104" w14:paraId="10D4C8FA" w14:textId="77777777" w:rsidTr="006B281D">
        <w:trPr>
          <w:trHeight w:val="38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9513AA6"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Plant</w:t>
            </w:r>
          </w:p>
        </w:tc>
        <w:tc>
          <w:tcPr>
            <w:tcW w:w="1420" w:type="dxa"/>
            <w:tcBorders>
              <w:top w:val="nil"/>
              <w:left w:val="nil"/>
              <w:bottom w:val="single" w:sz="4" w:space="0" w:color="A0A0A0"/>
              <w:right w:val="single" w:sz="4" w:space="0" w:color="A0A0A0"/>
            </w:tcBorders>
            <w:shd w:val="clear" w:color="000000" w:fill="FFFFFF"/>
            <w:noWrap/>
            <w:vAlign w:val="bottom"/>
            <w:hideMark/>
          </w:tcPr>
          <w:p w14:paraId="1C43D117"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70B93093"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B8973B6"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328CDC8"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F6B4221"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r>
      <w:tr w:rsidR="00F30104" w:rsidRPr="00F30104" w14:paraId="07E23CDE" w14:textId="77777777" w:rsidTr="006B281D">
        <w:trPr>
          <w:trHeight w:val="38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E2EE241"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Vehicles</w:t>
            </w:r>
          </w:p>
        </w:tc>
        <w:tc>
          <w:tcPr>
            <w:tcW w:w="1420" w:type="dxa"/>
            <w:tcBorders>
              <w:top w:val="nil"/>
              <w:left w:val="nil"/>
              <w:bottom w:val="single" w:sz="4" w:space="0" w:color="A0A0A0"/>
              <w:right w:val="single" w:sz="4" w:space="0" w:color="A0A0A0"/>
            </w:tcBorders>
            <w:shd w:val="clear" w:color="000000" w:fill="FFFFFF"/>
            <w:noWrap/>
            <w:vAlign w:val="bottom"/>
            <w:hideMark/>
          </w:tcPr>
          <w:p w14:paraId="77AAC3BB"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6D23E141"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485726D"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E838428"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7671D416"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w:t>
            </w:r>
          </w:p>
        </w:tc>
      </w:tr>
      <w:tr w:rsidR="00F30104" w:rsidRPr="00F30104" w14:paraId="4688A980" w14:textId="77777777" w:rsidTr="006B281D">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D45C148"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 xml:space="preserve"> ∟ Other Fixed Assets</w:t>
            </w:r>
          </w:p>
        </w:tc>
        <w:tc>
          <w:tcPr>
            <w:tcW w:w="1420" w:type="dxa"/>
            <w:tcBorders>
              <w:top w:val="nil"/>
              <w:left w:val="nil"/>
              <w:bottom w:val="single" w:sz="4" w:space="0" w:color="A0A0A0"/>
              <w:right w:val="single" w:sz="4" w:space="0" w:color="A0A0A0"/>
            </w:tcBorders>
            <w:shd w:val="clear" w:color="000000" w:fill="FFFFFF"/>
            <w:noWrap/>
            <w:hideMark/>
          </w:tcPr>
          <w:p w14:paraId="48149636"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1,746,300</w:t>
            </w:r>
          </w:p>
        </w:tc>
        <w:tc>
          <w:tcPr>
            <w:tcW w:w="1420" w:type="dxa"/>
            <w:tcBorders>
              <w:top w:val="nil"/>
              <w:left w:val="nil"/>
              <w:bottom w:val="single" w:sz="4" w:space="0" w:color="A0A0A0"/>
              <w:right w:val="single" w:sz="4" w:space="0" w:color="A0A0A0"/>
            </w:tcBorders>
            <w:shd w:val="clear" w:color="000000" w:fill="FFFFFF"/>
            <w:noWrap/>
            <w:hideMark/>
          </w:tcPr>
          <w:p w14:paraId="58D37227"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1,581,600</w:t>
            </w:r>
          </w:p>
        </w:tc>
        <w:tc>
          <w:tcPr>
            <w:tcW w:w="1420" w:type="dxa"/>
            <w:tcBorders>
              <w:top w:val="nil"/>
              <w:left w:val="nil"/>
              <w:bottom w:val="single" w:sz="4" w:space="0" w:color="A0A0A0"/>
              <w:right w:val="single" w:sz="4" w:space="0" w:color="A0A0A0"/>
            </w:tcBorders>
            <w:shd w:val="clear" w:color="000000" w:fill="FFFFFF"/>
            <w:noWrap/>
            <w:hideMark/>
          </w:tcPr>
          <w:p w14:paraId="42CF2885"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1,591,500</w:t>
            </w:r>
          </w:p>
        </w:tc>
        <w:tc>
          <w:tcPr>
            <w:tcW w:w="1420" w:type="dxa"/>
            <w:tcBorders>
              <w:top w:val="nil"/>
              <w:left w:val="nil"/>
              <w:bottom w:val="single" w:sz="4" w:space="0" w:color="A0A0A0"/>
              <w:right w:val="single" w:sz="4" w:space="0" w:color="A0A0A0"/>
            </w:tcBorders>
            <w:shd w:val="clear" w:color="000000" w:fill="FFFFFF"/>
            <w:noWrap/>
            <w:hideMark/>
          </w:tcPr>
          <w:p w14:paraId="205254CE"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3,326,800</w:t>
            </w:r>
          </w:p>
        </w:tc>
        <w:tc>
          <w:tcPr>
            <w:tcW w:w="1420" w:type="dxa"/>
            <w:tcBorders>
              <w:top w:val="nil"/>
              <w:left w:val="nil"/>
              <w:bottom w:val="single" w:sz="4" w:space="0" w:color="A0A0A0"/>
              <w:right w:val="single" w:sz="4" w:space="0" w:color="A0A0A0"/>
            </w:tcBorders>
            <w:shd w:val="clear" w:color="000000" w:fill="FFFFFF"/>
            <w:noWrap/>
            <w:hideMark/>
          </w:tcPr>
          <w:p w14:paraId="118C1830"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1,754,600</w:t>
            </w:r>
          </w:p>
        </w:tc>
      </w:tr>
      <w:tr w:rsidR="00F30104" w:rsidRPr="00F30104" w14:paraId="7CDABDAE" w14:textId="77777777" w:rsidTr="006B281D">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3DB78F5"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Intangible Assets</w:t>
            </w:r>
          </w:p>
        </w:tc>
        <w:tc>
          <w:tcPr>
            <w:tcW w:w="1420" w:type="dxa"/>
            <w:tcBorders>
              <w:top w:val="nil"/>
              <w:left w:val="nil"/>
              <w:bottom w:val="single" w:sz="4" w:space="0" w:color="A0A0A0"/>
              <w:right w:val="single" w:sz="4" w:space="0" w:color="A0A0A0"/>
            </w:tcBorders>
            <w:shd w:val="clear" w:color="000000" w:fill="FFFFFF"/>
            <w:noWrap/>
            <w:hideMark/>
          </w:tcPr>
          <w:p w14:paraId="15BC003C"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163,100</w:t>
            </w:r>
          </w:p>
        </w:tc>
        <w:tc>
          <w:tcPr>
            <w:tcW w:w="1420" w:type="dxa"/>
            <w:tcBorders>
              <w:top w:val="nil"/>
              <w:left w:val="nil"/>
              <w:bottom w:val="single" w:sz="4" w:space="0" w:color="A0A0A0"/>
              <w:right w:val="single" w:sz="4" w:space="0" w:color="A0A0A0"/>
            </w:tcBorders>
            <w:shd w:val="clear" w:color="000000" w:fill="FFFFFF"/>
            <w:noWrap/>
            <w:hideMark/>
          </w:tcPr>
          <w:p w14:paraId="6861BE3C"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192,500</w:t>
            </w:r>
          </w:p>
        </w:tc>
        <w:tc>
          <w:tcPr>
            <w:tcW w:w="1420" w:type="dxa"/>
            <w:tcBorders>
              <w:top w:val="nil"/>
              <w:left w:val="nil"/>
              <w:bottom w:val="single" w:sz="4" w:space="0" w:color="A0A0A0"/>
              <w:right w:val="single" w:sz="4" w:space="0" w:color="A0A0A0"/>
            </w:tcBorders>
            <w:shd w:val="clear" w:color="000000" w:fill="FFFFFF"/>
            <w:noWrap/>
            <w:hideMark/>
          </w:tcPr>
          <w:p w14:paraId="08CBE5BB"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232,000</w:t>
            </w:r>
          </w:p>
        </w:tc>
        <w:tc>
          <w:tcPr>
            <w:tcW w:w="1420" w:type="dxa"/>
            <w:tcBorders>
              <w:top w:val="nil"/>
              <w:left w:val="nil"/>
              <w:bottom w:val="single" w:sz="4" w:space="0" w:color="A0A0A0"/>
              <w:right w:val="single" w:sz="4" w:space="0" w:color="A0A0A0"/>
            </w:tcBorders>
            <w:shd w:val="clear" w:color="000000" w:fill="FFFFFF"/>
            <w:noWrap/>
            <w:hideMark/>
          </w:tcPr>
          <w:p w14:paraId="1138F9EC"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399,100</w:t>
            </w:r>
          </w:p>
        </w:tc>
        <w:tc>
          <w:tcPr>
            <w:tcW w:w="1420" w:type="dxa"/>
            <w:tcBorders>
              <w:top w:val="nil"/>
              <w:left w:val="nil"/>
              <w:bottom w:val="single" w:sz="4" w:space="0" w:color="A0A0A0"/>
              <w:right w:val="single" w:sz="4" w:space="0" w:color="A0A0A0"/>
            </w:tcBorders>
            <w:shd w:val="clear" w:color="000000" w:fill="FFFFFF"/>
            <w:noWrap/>
            <w:hideMark/>
          </w:tcPr>
          <w:p w14:paraId="51D8950C"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499,900</w:t>
            </w:r>
          </w:p>
        </w:tc>
      </w:tr>
      <w:tr w:rsidR="00F30104" w:rsidRPr="00F30104" w14:paraId="721B9E2B" w14:textId="77777777" w:rsidTr="006B281D">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EABB19F" w14:textId="77777777" w:rsidR="006B281D" w:rsidRPr="006B281D" w:rsidRDefault="006B281D" w:rsidP="00F30104">
            <w:pPr>
              <w:spacing w:after="0" w:line="360" w:lineRule="auto"/>
              <w:contextualSpacing/>
              <w:rPr>
                <w:rFonts w:ascii="Arial" w:eastAsia="Times New Roman" w:hAnsi="Arial" w:cs="Arial"/>
                <w:kern w:val="0"/>
                <w:lang/>
                <w14:ligatures w14:val="none"/>
              </w:rPr>
            </w:pPr>
            <w:r w:rsidRPr="006B281D">
              <w:rPr>
                <w:rFonts w:ascii="Arial" w:eastAsia="Times New Roman" w:hAnsi="Arial" w:cs="Arial"/>
                <w:kern w:val="0"/>
                <w:lang/>
                <w14:ligatures w14:val="none"/>
              </w:rPr>
              <w:t>Investments &amp; other fixed assets</w:t>
            </w:r>
          </w:p>
        </w:tc>
        <w:tc>
          <w:tcPr>
            <w:tcW w:w="1420" w:type="dxa"/>
            <w:tcBorders>
              <w:top w:val="nil"/>
              <w:left w:val="nil"/>
              <w:bottom w:val="single" w:sz="4" w:space="0" w:color="A0A0A0"/>
              <w:right w:val="single" w:sz="4" w:space="0" w:color="A0A0A0"/>
            </w:tcBorders>
            <w:shd w:val="clear" w:color="000000" w:fill="FFFFFF"/>
            <w:noWrap/>
            <w:hideMark/>
          </w:tcPr>
          <w:p w14:paraId="4BCA12E1"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1,576,000</w:t>
            </w:r>
          </w:p>
        </w:tc>
        <w:tc>
          <w:tcPr>
            <w:tcW w:w="1420" w:type="dxa"/>
            <w:tcBorders>
              <w:top w:val="nil"/>
              <w:left w:val="nil"/>
              <w:bottom w:val="single" w:sz="4" w:space="0" w:color="A0A0A0"/>
              <w:right w:val="single" w:sz="4" w:space="0" w:color="A0A0A0"/>
            </w:tcBorders>
            <w:shd w:val="clear" w:color="000000" w:fill="FFFFFF"/>
            <w:noWrap/>
            <w:hideMark/>
          </w:tcPr>
          <w:p w14:paraId="22430DCB"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2,166,300</w:t>
            </w:r>
          </w:p>
        </w:tc>
        <w:tc>
          <w:tcPr>
            <w:tcW w:w="1420" w:type="dxa"/>
            <w:tcBorders>
              <w:top w:val="nil"/>
              <w:left w:val="nil"/>
              <w:bottom w:val="single" w:sz="4" w:space="0" w:color="A0A0A0"/>
              <w:right w:val="single" w:sz="4" w:space="0" w:color="A0A0A0"/>
            </w:tcBorders>
            <w:shd w:val="clear" w:color="000000" w:fill="FFFFFF"/>
            <w:noWrap/>
            <w:hideMark/>
          </w:tcPr>
          <w:p w14:paraId="0174E63D"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1,751,600</w:t>
            </w:r>
          </w:p>
        </w:tc>
        <w:tc>
          <w:tcPr>
            <w:tcW w:w="1420" w:type="dxa"/>
            <w:tcBorders>
              <w:top w:val="nil"/>
              <w:left w:val="nil"/>
              <w:bottom w:val="single" w:sz="4" w:space="0" w:color="A0A0A0"/>
              <w:right w:val="single" w:sz="4" w:space="0" w:color="A0A0A0"/>
            </w:tcBorders>
            <w:shd w:val="clear" w:color="000000" w:fill="FFFFFF"/>
            <w:noWrap/>
            <w:hideMark/>
          </w:tcPr>
          <w:p w14:paraId="7CB15C31"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3,075,600</w:t>
            </w:r>
          </w:p>
        </w:tc>
        <w:tc>
          <w:tcPr>
            <w:tcW w:w="1420" w:type="dxa"/>
            <w:tcBorders>
              <w:top w:val="nil"/>
              <w:left w:val="nil"/>
              <w:bottom w:val="single" w:sz="4" w:space="0" w:color="A0A0A0"/>
              <w:right w:val="single" w:sz="4" w:space="0" w:color="A0A0A0"/>
            </w:tcBorders>
            <w:shd w:val="clear" w:color="000000" w:fill="FFFFFF"/>
            <w:noWrap/>
            <w:hideMark/>
          </w:tcPr>
          <w:p w14:paraId="3B2AC02F" w14:textId="77777777" w:rsidR="006B281D" w:rsidRPr="006B281D" w:rsidRDefault="006B281D" w:rsidP="00F30104">
            <w:pPr>
              <w:spacing w:after="0" w:line="360" w:lineRule="auto"/>
              <w:contextualSpacing/>
              <w:jc w:val="right"/>
              <w:rPr>
                <w:rFonts w:ascii="Arial" w:eastAsia="Times New Roman" w:hAnsi="Arial" w:cs="Arial"/>
                <w:kern w:val="0"/>
                <w:lang/>
                <w14:ligatures w14:val="none"/>
              </w:rPr>
            </w:pPr>
            <w:r w:rsidRPr="006B281D">
              <w:rPr>
                <w:rFonts w:ascii="Arial" w:eastAsia="Times New Roman" w:hAnsi="Arial" w:cs="Arial"/>
                <w:kern w:val="0"/>
                <w:lang/>
                <w14:ligatures w14:val="none"/>
              </w:rPr>
              <w:t>1,181,400</w:t>
            </w:r>
          </w:p>
        </w:tc>
      </w:tr>
      <w:tr w:rsidR="00F30104" w:rsidRPr="00F30104" w14:paraId="49961F86" w14:textId="77777777" w:rsidTr="006B281D">
        <w:trPr>
          <w:trHeight w:val="503"/>
        </w:trPr>
        <w:tc>
          <w:tcPr>
            <w:tcW w:w="2900" w:type="dxa"/>
            <w:tcBorders>
              <w:top w:val="single" w:sz="4" w:space="0" w:color="E87722"/>
              <w:left w:val="single" w:sz="4" w:space="0" w:color="A0A0A0"/>
              <w:bottom w:val="single" w:sz="4" w:space="0" w:color="A0A0A0"/>
              <w:right w:val="single" w:sz="4" w:space="0" w:color="A0A0A0"/>
            </w:tcBorders>
            <w:shd w:val="clear" w:color="000000" w:fill="FFFFFF"/>
            <w:vAlign w:val="center"/>
            <w:hideMark/>
          </w:tcPr>
          <w:p w14:paraId="288FC252" w14:textId="77777777" w:rsidR="006B281D" w:rsidRPr="006B281D" w:rsidRDefault="006B281D" w:rsidP="00F30104">
            <w:pPr>
              <w:spacing w:after="0" w:line="360" w:lineRule="auto"/>
              <w:contextualSpacing/>
              <w:jc w:val="right"/>
              <w:rPr>
                <w:rFonts w:ascii="Arial" w:eastAsia="Times New Roman" w:hAnsi="Arial" w:cs="Arial"/>
                <w:b/>
                <w:bCs/>
                <w:kern w:val="0"/>
                <w:lang/>
                <w14:ligatures w14:val="none"/>
              </w:rPr>
            </w:pPr>
            <w:r w:rsidRPr="006B281D">
              <w:rPr>
                <w:rFonts w:ascii="Arial" w:eastAsia="Times New Roman" w:hAnsi="Arial" w:cs="Arial"/>
                <w:b/>
                <w:bCs/>
                <w:kern w:val="0"/>
                <w:lang/>
                <w14:ligatures w14:val="none"/>
              </w:rPr>
              <w:t xml:space="preserve"> ∟ Fixed Assets</w:t>
            </w:r>
          </w:p>
        </w:tc>
        <w:tc>
          <w:tcPr>
            <w:tcW w:w="1420" w:type="dxa"/>
            <w:tcBorders>
              <w:top w:val="single" w:sz="4" w:space="0" w:color="E87722"/>
              <w:left w:val="nil"/>
              <w:bottom w:val="single" w:sz="4" w:space="0" w:color="A0A0A0"/>
              <w:right w:val="single" w:sz="4" w:space="0" w:color="A0A0A0"/>
            </w:tcBorders>
            <w:shd w:val="clear" w:color="000000" w:fill="FFFFFF"/>
            <w:noWrap/>
            <w:hideMark/>
          </w:tcPr>
          <w:p w14:paraId="2E1E9071" w14:textId="77777777" w:rsidR="006B281D" w:rsidRPr="006B281D" w:rsidRDefault="006B281D" w:rsidP="00F30104">
            <w:pPr>
              <w:spacing w:after="0" w:line="360" w:lineRule="auto"/>
              <w:contextualSpacing/>
              <w:jc w:val="right"/>
              <w:rPr>
                <w:rFonts w:ascii="Arial" w:eastAsia="Times New Roman" w:hAnsi="Arial" w:cs="Arial"/>
                <w:b/>
                <w:bCs/>
                <w:kern w:val="0"/>
                <w:lang/>
                <w14:ligatures w14:val="none"/>
              </w:rPr>
            </w:pPr>
            <w:r w:rsidRPr="006B281D">
              <w:rPr>
                <w:rFonts w:ascii="Arial" w:eastAsia="Times New Roman" w:hAnsi="Arial" w:cs="Arial"/>
                <w:b/>
                <w:bCs/>
                <w:kern w:val="0"/>
                <w:lang/>
                <w14:ligatures w14:val="none"/>
              </w:rPr>
              <w:t>6,942,800</w:t>
            </w:r>
          </w:p>
        </w:tc>
        <w:tc>
          <w:tcPr>
            <w:tcW w:w="1420" w:type="dxa"/>
            <w:tcBorders>
              <w:top w:val="single" w:sz="4" w:space="0" w:color="E87722"/>
              <w:left w:val="nil"/>
              <w:bottom w:val="single" w:sz="4" w:space="0" w:color="A0A0A0"/>
              <w:right w:val="single" w:sz="4" w:space="0" w:color="A0A0A0"/>
            </w:tcBorders>
            <w:shd w:val="clear" w:color="000000" w:fill="FFFFFF"/>
            <w:noWrap/>
            <w:hideMark/>
          </w:tcPr>
          <w:p w14:paraId="659811EB" w14:textId="77777777" w:rsidR="006B281D" w:rsidRPr="006B281D" w:rsidRDefault="006B281D" w:rsidP="00F30104">
            <w:pPr>
              <w:spacing w:after="0" w:line="360" w:lineRule="auto"/>
              <w:contextualSpacing/>
              <w:jc w:val="right"/>
              <w:rPr>
                <w:rFonts w:ascii="Arial" w:eastAsia="Times New Roman" w:hAnsi="Arial" w:cs="Arial"/>
                <w:b/>
                <w:bCs/>
                <w:kern w:val="0"/>
                <w:lang/>
                <w14:ligatures w14:val="none"/>
              </w:rPr>
            </w:pPr>
            <w:r w:rsidRPr="006B281D">
              <w:rPr>
                <w:rFonts w:ascii="Arial" w:eastAsia="Times New Roman" w:hAnsi="Arial" w:cs="Arial"/>
                <w:b/>
                <w:bCs/>
                <w:kern w:val="0"/>
                <w:lang/>
                <w14:ligatures w14:val="none"/>
              </w:rPr>
              <w:t>7,261,100</w:t>
            </w:r>
          </w:p>
        </w:tc>
        <w:tc>
          <w:tcPr>
            <w:tcW w:w="1420" w:type="dxa"/>
            <w:tcBorders>
              <w:top w:val="single" w:sz="4" w:space="0" w:color="E87722"/>
              <w:left w:val="nil"/>
              <w:bottom w:val="single" w:sz="4" w:space="0" w:color="A0A0A0"/>
              <w:right w:val="single" w:sz="4" w:space="0" w:color="A0A0A0"/>
            </w:tcBorders>
            <w:shd w:val="clear" w:color="000000" w:fill="FFFFFF"/>
            <w:noWrap/>
            <w:hideMark/>
          </w:tcPr>
          <w:p w14:paraId="15F46088" w14:textId="77777777" w:rsidR="006B281D" w:rsidRPr="006B281D" w:rsidRDefault="006B281D" w:rsidP="00F30104">
            <w:pPr>
              <w:spacing w:after="0" w:line="360" w:lineRule="auto"/>
              <w:contextualSpacing/>
              <w:jc w:val="right"/>
              <w:rPr>
                <w:rFonts w:ascii="Arial" w:eastAsia="Times New Roman" w:hAnsi="Arial" w:cs="Arial"/>
                <w:b/>
                <w:bCs/>
                <w:kern w:val="0"/>
                <w:lang/>
                <w14:ligatures w14:val="none"/>
              </w:rPr>
            </w:pPr>
            <w:r w:rsidRPr="006B281D">
              <w:rPr>
                <w:rFonts w:ascii="Arial" w:eastAsia="Times New Roman" w:hAnsi="Arial" w:cs="Arial"/>
                <w:b/>
                <w:bCs/>
                <w:kern w:val="0"/>
                <w:lang/>
                <w14:ligatures w14:val="none"/>
              </w:rPr>
              <w:t>7,042,200</w:t>
            </w:r>
          </w:p>
        </w:tc>
        <w:tc>
          <w:tcPr>
            <w:tcW w:w="1420" w:type="dxa"/>
            <w:tcBorders>
              <w:top w:val="single" w:sz="4" w:space="0" w:color="E87722"/>
              <w:left w:val="nil"/>
              <w:bottom w:val="single" w:sz="4" w:space="0" w:color="A0A0A0"/>
              <w:right w:val="single" w:sz="4" w:space="0" w:color="A0A0A0"/>
            </w:tcBorders>
            <w:shd w:val="clear" w:color="000000" w:fill="FFFFFF"/>
            <w:noWrap/>
            <w:hideMark/>
          </w:tcPr>
          <w:p w14:paraId="5B27F40E" w14:textId="77777777" w:rsidR="006B281D" w:rsidRPr="006B281D" w:rsidRDefault="006B281D" w:rsidP="00F30104">
            <w:pPr>
              <w:spacing w:after="0" w:line="360" w:lineRule="auto"/>
              <w:contextualSpacing/>
              <w:jc w:val="right"/>
              <w:rPr>
                <w:rFonts w:ascii="Arial" w:eastAsia="Times New Roman" w:hAnsi="Arial" w:cs="Arial"/>
                <w:b/>
                <w:bCs/>
                <w:kern w:val="0"/>
                <w:lang/>
                <w14:ligatures w14:val="none"/>
              </w:rPr>
            </w:pPr>
            <w:r w:rsidRPr="006B281D">
              <w:rPr>
                <w:rFonts w:ascii="Arial" w:eastAsia="Times New Roman" w:hAnsi="Arial" w:cs="Arial"/>
                <w:b/>
                <w:bCs/>
                <w:kern w:val="0"/>
                <w:lang/>
                <w14:ligatures w14:val="none"/>
              </w:rPr>
              <w:t>8,968,900</w:t>
            </w:r>
          </w:p>
        </w:tc>
        <w:tc>
          <w:tcPr>
            <w:tcW w:w="1420" w:type="dxa"/>
            <w:tcBorders>
              <w:top w:val="single" w:sz="4" w:space="0" w:color="E87722"/>
              <w:left w:val="nil"/>
              <w:bottom w:val="single" w:sz="4" w:space="0" w:color="A0A0A0"/>
              <w:right w:val="single" w:sz="4" w:space="0" w:color="A0A0A0"/>
            </w:tcBorders>
            <w:shd w:val="clear" w:color="000000" w:fill="FFFFFF"/>
            <w:noWrap/>
            <w:hideMark/>
          </w:tcPr>
          <w:p w14:paraId="26CAB533" w14:textId="77777777" w:rsidR="006B281D" w:rsidRPr="006B281D" w:rsidRDefault="006B281D" w:rsidP="00F30104">
            <w:pPr>
              <w:spacing w:after="0" w:line="360" w:lineRule="auto"/>
              <w:contextualSpacing/>
              <w:jc w:val="right"/>
              <w:rPr>
                <w:rFonts w:ascii="Arial" w:eastAsia="Times New Roman" w:hAnsi="Arial" w:cs="Arial"/>
                <w:b/>
                <w:bCs/>
                <w:kern w:val="0"/>
                <w:lang/>
                <w14:ligatures w14:val="none"/>
              </w:rPr>
            </w:pPr>
            <w:r w:rsidRPr="006B281D">
              <w:rPr>
                <w:rFonts w:ascii="Arial" w:eastAsia="Times New Roman" w:hAnsi="Arial" w:cs="Arial"/>
                <w:b/>
                <w:bCs/>
                <w:kern w:val="0"/>
                <w:lang/>
                <w14:ligatures w14:val="none"/>
              </w:rPr>
              <w:t>5,709,800</w:t>
            </w:r>
          </w:p>
        </w:tc>
      </w:tr>
    </w:tbl>
    <w:p w14:paraId="464B619D" w14:textId="6D733AC0" w:rsidR="00C01D50" w:rsidRPr="00F30104" w:rsidRDefault="006B281D" w:rsidP="00F30104">
      <w:pPr>
        <w:spacing w:after="0" w:line="360" w:lineRule="auto"/>
        <w:contextualSpacing/>
        <w:rPr>
          <w:rFonts w:ascii="Arial" w:hAnsi="Arial" w:cs="Arial"/>
          <w:lang w:val="en-GB"/>
        </w:rPr>
      </w:pPr>
      <w:r w:rsidRPr="00F30104">
        <w:rPr>
          <w:rFonts w:ascii="Arial" w:hAnsi="Arial" w:cs="Arial"/>
          <w:lang w:val="en-GB"/>
        </w:rPr>
        <w:fldChar w:fldCharType="end"/>
      </w:r>
    </w:p>
    <w:p w14:paraId="78A1B6AE" w14:textId="77777777" w:rsidR="00C01D50" w:rsidRPr="00F30104" w:rsidRDefault="00C01D50" w:rsidP="00F30104">
      <w:pPr>
        <w:spacing w:after="0" w:line="360" w:lineRule="auto"/>
        <w:contextualSpacing/>
        <w:rPr>
          <w:rFonts w:ascii="Arial" w:hAnsi="Arial" w:cs="Arial"/>
          <w:lang w:val="en-GB"/>
        </w:rPr>
      </w:pPr>
      <w:r w:rsidRPr="00F30104">
        <w:rPr>
          <w:rFonts w:ascii="Arial" w:hAnsi="Arial" w:cs="Arial"/>
          <w:lang w:val="en-GB"/>
        </w:rPr>
        <w:br w:type="page"/>
      </w:r>
    </w:p>
    <w:p w14:paraId="7F189759" w14:textId="6FAEB76B" w:rsidR="006B281D" w:rsidRPr="00F30104" w:rsidRDefault="00C01D50" w:rsidP="00F30104">
      <w:pPr>
        <w:pStyle w:val="Heading1"/>
      </w:pPr>
      <w:bookmarkStart w:id="18" w:name="_Toc151385681"/>
      <w:r w:rsidRPr="00F30104">
        <w:lastRenderedPageBreak/>
        <w:t>Appendix C: Profit and Loss Statement</w:t>
      </w:r>
      <w:bookmarkEnd w:id="18"/>
    </w:p>
    <w:tbl>
      <w:tblPr>
        <w:tblW w:w="10000" w:type="dxa"/>
        <w:tblLook w:val="04A0" w:firstRow="1" w:lastRow="0" w:firstColumn="1" w:lastColumn="0" w:noHBand="0" w:noVBand="1"/>
      </w:tblPr>
      <w:tblGrid>
        <w:gridCol w:w="2900"/>
        <w:gridCol w:w="1420"/>
        <w:gridCol w:w="1420"/>
        <w:gridCol w:w="1420"/>
        <w:gridCol w:w="1420"/>
        <w:gridCol w:w="1420"/>
      </w:tblGrid>
      <w:tr w:rsidR="00F30104" w:rsidRPr="00F30104" w14:paraId="0F45BF25" w14:textId="77777777" w:rsidTr="00C01D50">
        <w:trPr>
          <w:trHeight w:val="289"/>
        </w:trPr>
        <w:tc>
          <w:tcPr>
            <w:tcW w:w="2900" w:type="dxa"/>
            <w:tcBorders>
              <w:top w:val="nil"/>
              <w:left w:val="nil"/>
              <w:bottom w:val="nil"/>
              <w:right w:val="nil"/>
            </w:tcBorders>
            <w:shd w:val="clear" w:color="000000" w:fill="FFFFFF"/>
            <w:noWrap/>
            <w:vAlign w:val="bottom"/>
            <w:hideMark/>
          </w:tcPr>
          <w:p w14:paraId="42AF99DF"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65AECE62"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7E3085A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268441C5"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3ADBDDD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1FDA283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2614AB34" w14:textId="77777777" w:rsidTr="00C01D50">
        <w:trPr>
          <w:trHeight w:val="383"/>
        </w:trPr>
        <w:tc>
          <w:tcPr>
            <w:tcW w:w="2900" w:type="dxa"/>
            <w:tcBorders>
              <w:top w:val="nil"/>
              <w:left w:val="nil"/>
              <w:bottom w:val="nil"/>
              <w:right w:val="nil"/>
            </w:tcBorders>
            <w:shd w:val="clear" w:color="000000" w:fill="FFFFFF"/>
            <w:noWrap/>
            <w:vAlign w:val="bottom"/>
            <w:hideMark/>
          </w:tcPr>
          <w:p w14:paraId="01C296E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hideMark/>
          </w:tcPr>
          <w:p w14:paraId="2123F90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01/04/2023</w:t>
            </w:r>
          </w:p>
        </w:tc>
        <w:tc>
          <w:tcPr>
            <w:tcW w:w="1420" w:type="dxa"/>
            <w:tcBorders>
              <w:top w:val="nil"/>
              <w:left w:val="nil"/>
              <w:bottom w:val="nil"/>
              <w:right w:val="nil"/>
            </w:tcBorders>
            <w:shd w:val="clear" w:color="000000" w:fill="FFFFFF"/>
            <w:noWrap/>
            <w:hideMark/>
          </w:tcPr>
          <w:p w14:paraId="7C165F7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02/04/2022</w:t>
            </w:r>
          </w:p>
        </w:tc>
        <w:tc>
          <w:tcPr>
            <w:tcW w:w="1420" w:type="dxa"/>
            <w:tcBorders>
              <w:top w:val="nil"/>
              <w:left w:val="nil"/>
              <w:bottom w:val="nil"/>
              <w:right w:val="nil"/>
            </w:tcBorders>
            <w:shd w:val="clear" w:color="000000" w:fill="FFFFFF"/>
            <w:noWrap/>
            <w:hideMark/>
          </w:tcPr>
          <w:p w14:paraId="01590664"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03/04/2021</w:t>
            </w:r>
          </w:p>
        </w:tc>
        <w:tc>
          <w:tcPr>
            <w:tcW w:w="1420" w:type="dxa"/>
            <w:tcBorders>
              <w:top w:val="nil"/>
              <w:left w:val="nil"/>
              <w:bottom w:val="nil"/>
              <w:right w:val="nil"/>
            </w:tcBorders>
            <w:shd w:val="clear" w:color="000000" w:fill="FFFFFF"/>
            <w:noWrap/>
            <w:hideMark/>
          </w:tcPr>
          <w:p w14:paraId="4F56D99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28/03/2020</w:t>
            </w:r>
          </w:p>
        </w:tc>
        <w:tc>
          <w:tcPr>
            <w:tcW w:w="1420" w:type="dxa"/>
            <w:tcBorders>
              <w:top w:val="nil"/>
              <w:left w:val="nil"/>
              <w:bottom w:val="nil"/>
              <w:right w:val="nil"/>
            </w:tcBorders>
            <w:shd w:val="clear" w:color="000000" w:fill="FFFFFF"/>
            <w:noWrap/>
            <w:hideMark/>
          </w:tcPr>
          <w:p w14:paraId="51E700C0"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30/03/2019</w:t>
            </w:r>
          </w:p>
        </w:tc>
      </w:tr>
      <w:tr w:rsidR="00F30104" w:rsidRPr="00F30104" w14:paraId="3862BF33" w14:textId="77777777" w:rsidTr="00C01D50">
        <w:trPr>
          <w:trHeight w:val="383"/>
        </w:trPr>
        <w:tc>
          <w:tcPr>
            <w:tcW w:w="2900" w:type="dxa"/>
            <w:tcBorders>
              <w:top w:val="nil"/>
              <w:left w:val="nil"/>
              <w:bottom w:val="nil"/>
              <w:right w:val="nil"/>
            </w:tcBorders>
            <w:shd w:val="clear" w:color="000000" w:fill="FFFFFF"/>
            <w:noWrap/>
            <w:vAlign w:val="bottom"/>
            <w:hideMark/>
          </w:tcPr>
          <w:p w14:paraId="01F8C17C"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3F23727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4DEBE0F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6D22D72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6CA5929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26F5A25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th GBP</w:t>
            </w:r>
          </w:p>
        </w:tc>
      </w:tr>
      <w:tr w:rsidR="00F30104" w:rsidRPr="00F30104" w14:paraId="410E8D3C" w14:textId="77777777" w:rsidTr="00C01D50">
        <w:trPr>
          <w:trHeight w:val="383"/>
        </w:trPr>
        <w:tc>
          <w:tcPr>
            <w:tcW w:w="2900" w:type="dxa"/>
            <w:tcBorders>
              <w:top w:val="nil"/>
              <w:left w:val="nil"/>
              <w:bottom w:val="nil"/>
              <w:right w:val="nil"/>
            </w:tcBorders>
            <w:shd w:val="clear" w:color="000000" w:fill="FFFFFF"/>
            <w:vAlign w:val="center"/>
            <w:hideMark/>
          </w:tcPr>
          <w:p w14:paraId="3F4DD335"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Original documents</w:t>
            </w:r>
          </w:p>
        </w:tc>
        <w:tc>
          <w:tcPr>
            <w:tcW w:w="1420" w:type="dxa"/>
            <w:tcBorders>
              <w:top w:val="nil"/>
              <w:left w:val="nil"/>
              <w:bottom w:val="nil"/>
              <w:right w:val="nil"/>
            </w:tcBorders>
            <w:shd w:val="clear" w:color="000000" w:fill="FFFFFF"/>
            <w:hideMark/>
          </w:tcPr>
          <w:p w14:paraId="27AC5D44" w14:textId="77777777" w:rsidR="00C01D50" w:rsidRPr="00C01D50" w:rsidRDefault="00510663" w:rsidP="00F30104">
            <w:pPr>
              <w:spacing w:after="0" w:line="360" w:lineRule="auto"/>
              <w:contextualSpacing/>
              <w:jc w:val="right"/>
              <w:rPr>
                <w:rFonts w:ascii="Arial" w:eastAsia="Times New Roman" w:hAnsi="Arial" w:cs="Arial"/>
                <w:kern w:val="0"/>
                <w:lang/>
                <w14:ligatures w14:val="none"/>
              </w:rPr>
            </w:pPr>
            <w:hyperlink r:id="rId44" w:history="1">
              <w:r w:rsidR="00C01D50" w:rsidRPr="00C01D50">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1A82B859" w14:textId="77777777" w:rsidR="00C01D50" w:rsidRPr="00C01D50" w:rsidRDefault="00510663" w:rsidP="00F30104">
            <w:pPr>
              <w:spacing w:after="0" w:line="360" w:lineRule="auto"/>
              <w:contextualSpacing/>
              <w:jc w:val="right"/>
              <w:rPr>
                <w:rFonts w:ascii="Arial" w:eastAsia="Times New Roman" w:hAnsi="Arial" w:cs="Arial"/>
                <w:kern w:val="0"/>
                <w:lang/>
                <w14:ligatures w14:val="none"/>
              </w:rPr>
            </w:pPr>
            <w:hyperlink r:id="rId45" w:history="1">
              <w:r w:rsidR="00C01D50" w:rsidRPr="00C01D50">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23E6DC1E" w14:textId="77777777" w:rsidR="00C01D50" w:rsidRPr="00C01D50" w:rsidRDefault="00510663" w:rsidP="00F30104">
            <w:pPr>
              <w:spacing w:after="0" w:line="360" w:lineRule="auto"/>
              <w:contextualSpacing/>
              <w:jc w:val="right"/>
              <w:rPr>
                <w:rFonts w:ascii="Arial" w:eastAsia="Times New Roman" w:hAnsi="Arial" w:cs="Arial"/>
                <w:kern w:val="0"/>
                <w:lang/>
                <w14:ligatures w14:val="none"/>
              </w:rPr>
            </w:pPr>
            <w:hyperlink r:id="rId46" w:history="1">
              <w:r w:rsidR="00C01D50" w:rsidRPr="00C01D50">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6A971DB3" w14:textId="77777777" w:rsidR="00C01D50" w:rsidRPr="00C01D50" w:rsidRDefault="00510663" w:rsidP="00F30104">
            <w:pPr>
              <w:spacing w:after="0" w:line="360" w:lineRule="auto"/>
              <w:contextualSpacing/>
              <w:jc w:val="right"/>
              <w:rPr>
                <w:rFonts w:ascii="Arial" w:eastAsia="Times New Roman" w:hAnsi="Arial" w:cs="Arial"/>
                <w:kern w:val="0"/>
                <w:lang/>
                <w14:ligatures w14:val="none"/>
              </w:rPr>
            </w:pPr>
            <w:hyperlink r:id="rId47" w:history="1">
              <w:r w:rsidR="00C01D50" w:rsidRPr="00C01D50">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425B3BB6" w14:textId="77777777" w:rsidR="00C01D50" w:rsidRPr="00C01D50" w:rsidRDefault="00510663" w:rsidP="00F30104">
            <w:pPr>
              <w:spacing w:after="0" w:line="360" w:lineRule="auto"/>
              <w:contextualSpacing/>
              <w:jc w:val="right"/>
              <w:rPr>
                <w:rFonts w:ascii="Arial" w:eastAsia="Times New Roman" w:hAnsi="Arial" w:cs="Arial"/>
                <w:kern w:val="0"/>
                <w:lang/>
                <w14:ligatures w14:val="none"/>
              </w:rPr>
            </w:pPr>
            <w:hyperlink r:id="rId48" w:history="1">
              <w:r w:rsidR="00C01D50" w:rsidRPr="00C01D50">
                <w:rPr>
                  <w:rFonts w:ascii="Arial" w:eastAsia="Times New Roman" w:hAnsi="Arial" w:cs="Arial"/>
                  <w:kern w:val="0"/>
                  <w:lang/>
                  <w14:ligatures w14:val="none"/>
                </w:rPr>
                <w:t>PDF</w:t>
              </w:r>
            </w:hyperlink>
          </w:p>
        </w:tc>
      </w:tr>
      <w:tr w:rsidR="00F30104" w:rsidRPr="00F30104" w14:paraId="2756F946" w14:textId="77777777" w:rsidTr="00C01D50">
        <w:trPr>
          <w:trHeight w:val="383"/>
        </w:trPr>
        <w:tc>
          <w:tcPr>
            <w:tcW w:w="2900" w:type="dxa"/>
            <w:tcBorders>
              <w:top w:val="nil"/>
              <w:left w:val="nil"/>
              <w:bottom w:val="nil"/>
              <w:right w:val="nil"/>
            </w:tcBorders>
            <w:shd w:val="clear" w:color="000000" w:fill="FFFFFF"/>
            <w:noWrap/>
            <w:vAlign w:val="bottom"/>
            <w:hideMark/>
          </w:tcPr>
          <w:p w14:paraId="664D01A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334528C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7F3939B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51683E3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272836F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4CD1CA9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 months</w:t>
            </w:r>
          </w:p>
        </w:tc>
      </w:tr>
      <w:tr w:rsidR="00F30104" w:rsidRPr="00F30104" w14:paraId="08A5AFF5" w14:textId="77777777" w:rsidTr="00C01D50">
        <w:trPr>
          <w:trHeight w:val="383"/>
        </w:trPr>
        <w:tc>
          <w:tcPr>
            <w:tcW w:w="2900" w:type="dxa"/>
            <w:tcBorders>
              <w:top w:val="nil"/>
              <w:left w:val="nil"/>
              <w:bottom w:val="nil"/>
              <w:right w:val="nil"/>
            </w:tcBorders>
            <w:shd w:val="clear" w:color="000000" w:fill="FFFFFF"/>
            <w:noWrap/>
            <w:vAlign w:val="bottom"/>
            <w:hideMark/>
          </w:tcPr>
          <w:p w14:paraId="4EA5BF2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47A33B5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5C297D2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3EB44D7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260C9C7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4CDB004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Cons.</w:t>
            </w:r>
          </w:p>
        </w:tc>
      </w:tr>
      <w:tr w:rsidR="00F30104" w:rsidRPr="00F30104" w14:paraId="0D17B2C9" w14:textId="77777777" w:rsidTr="00C01D50">
        <w:trPr>
          <w:trHeight w:val="383"/>
        </w:trPr>
        <w:tc>
          <w:tcPr>
            <w:tcW w:w="2900" w:type="dxa"/>
            <w:tcBorders>
              <w:top w:val="nil"/>
              <w:left w:val="nil"/>
              <w:bottom w:val="nil"/>
              <w:right w:val="nil"/>
            </w:tcBorders>
            <w:shd w:val="clear" w:color="000000" w:fill="FFFFFF"/>
            <w:noWrap/>
            <w:vAlign w:val="bottom"/>
            <w:hideMark/>
          </w:tcPr>
          <w:p w14:paraId="575C048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00265D34"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5AD2432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4F67BA10"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5959E030"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67FA6C40"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Unqualified</w:t>
            </w:r>
          </w:p>
        </w:tc>
      </w:tr>
      <w:tr w:rsidR="00F30104" w:rsidRPr="00F30104" w14:paraId="3E72CF73" w14:textId="77777777" w:rsidTr="00C01D50">
        <w:trPr>
          <w:trHeight w:val="383"/>
        </w:trPr>
        <w:tc>
          <w:tcPr>
            <w:tcW w:w="2900" w:type="dxa"/>
            <w:tcBorders>
              <w:top w:val="nil"/>
              <w:left w:val="nil"/>
              <w:bottom w:val="nil"/>
              <w:right w:val="nil"/>
            </w:tcBorders>
            <w:shd w:val="clear" w:color="000000" w:fill="FFFFFF"/>
            <w:noWrap/>
            <w:vAlign w:val="bottom"/>
            <w:hideMark/>
          </w:tcPr>
          <w:p w14:paraId="61329332"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6C45DE9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4F7A647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256CCF8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5A61F430"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7AE1AB3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IFRS</w:t>
            </w:r>
          </w:p>
        </w:tc>
      </w:tr>
      <w:tr w:rsidR="00F30104" w:rsidRPr="00F30104" w14:paraId="06F46EFF" w14:textId="77777777" w:rsidTr="00C01D50">
        <w:trPr>
          <w:trHeight w:val="503"/>
        </w:trPr>
        <w:tc>
          <w:tcPr>
            <w:tcW w:w="2900" w:type="dxa"/>
            <w:tcBorders>
              <w:top w:val="single" w:sz="4" w:space="0" w:color="A0A0A0"/>
              <w:left w:val="single" w:sz="4" w:space="0" w:color="A0A0A0"/>
              <w:bottom w:val="single" w:sz="4" w:space="0" w:color="A0A0A0"/>
              <w:right w:val="single" w:sz="4" w:space="0" w:color="A0A0A0"/>
            </w:tcBorders>
            <w:shd w:val="clear" w:color="000000" w:fill="FFFFFF"/>
            <w:vAlign w:val="center"/>
            <w:hideMark/>
          </w:tcPr>
          <w:p w14:paraId="558D408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Turnover</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26F1350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11,931,300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0E8C8AB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10,885,100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40B340C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9,155,700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37C94DD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10,181,900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40BBFD6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10,377,300</w:t>
            </w:r>
          </w:p>
        </w:tc>
      </w:tr>
      <w:tr w:rsidR="00F30104" w:rsidRPr="00F30104" w14:paraId="1E43C71B"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A52F0AB"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National Turnover</w:t>
            </w:r>
          </w:p>
        </w:tc>
        <w:tc>
          <w:tcPr>
            <w:tcW w:w="1420" w:type="dxa"/>
            <w:tcBorders>
              <w:top w:val="nil"/>
              <w:left w:val="nil"/>
              <w:bottom w:val="single" w:sz="4" w:space="0" w:color="A0A0A0"/>
              <w:right w:val="single" w:sz="4" w:space="0" w:color="A0A0A0"/>
            </w:tcBorders>
            <w:shd w:val="clear" w:color="000000" w:fill="FFFFFF"/>
            <w:noWrap/>
            <w:hideMark/>
          </w:tcPr>
          <w:p w14:paraId="0AE7CDA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10,876,300</w:t>
            </w:r>
          </w:p>
        </w:tc>
        <w:tc>
          <w:tcPr>
            <w:tcW w:w="1420" w:type="dxa"/>
            <w:tcBorders>
              <w:top w:val="nil"/>
              <w:left w:val="nil"/>
              <w:bottom w:val="single" w:sz="4" w:space="0" w:color="A0A0A0"/>
              <w:right w:val="single" w:sz="4" w:space="0" w:color="A0A0A0"/>
            </w:tcBorders>
            <w:shd w:val="clear" w:color="000000" w:fill="FFFFFF"/>
            <w:noWrap/>
            <w:hideMark/>
          </w:tcPr>
          <w:p w14:paraId="79C8567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9,971,800</w:t>
            </w:r>
          </w:p>
        </w:tc>
        <w:tc>
          <w:tcPr>
            <w:tcW w:w="1420" w:type="dxa"/>
            <w:tcBorders>
              <w:top w:val="nil"/>
              <w:left w:val="nil"/>
              <w:bottom w:val="single" w:sz="4" w:space="0" w:color="A0A0A0"/>
              <w:right w:val="single" w:sz="4" w:space="0" w:color="A0A0A0"/>
            </w:tcBorders>
            <w:shd w:val="clear" w:color="000000" w:fill="FFFFFF"/>
            <w:noWrap/>
            <w:hideMark/>
          </w:tcPr>
          <w:p w14:paraId="15AA80F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8,377,500</w:t>
            </w:r>
          </w:p>
        </w:tc>
        <w:tc>
          <w:tcPr>
            <w:tcW w:w="1420" w:type="dxa"/>
            <w:tcBorders>
              <w:top w:val="nil"/>
              <w:left w:val="nil"/>
              <w:bottom w:val="single" w:sz="4" w:space="0" w:color="A0A0A0"/>
              <w:right w:val="single" w:sz="4" w:space="0" w:color="A0A0A0"/>
            </w:tcBorders>
            <w:shd w:val="clear" w:color="000000" w:fill="FFFFFF"/>
            <w:noWrap/>
            <w:hideMark/>
          </w:tcPr>
          <w:p w14:paraId="4922DDF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9,237,300</w:t>
            </w:r>
          </w:p>
        </w:tc>
        <w:tc>
          <w:tcPr>
            <w:tcW w:w="1420" w:type="dxa"/>
            <w:tcBorders>
              <w:top w:val="nil"/>
              <w:left w:val="nil"/>
              <w:bottom w:val="single" w:sz="4" w:space="0" w:color="A0A0A0"/>
              <w:right w:val="single" w:sz="4" w:space="0" w:color="A0A0A0"/>
            </w:tcBorders>
            <w:shd w:val="clear" w:color="000000" w:fill="FFFFFF"/>
            <w:noWrap/>
            <w:hideMark/>
          </w:tcPr>
          <w:p w14:paraId="59AB5E0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9,440,700</w:t>
            </w:r>
          </w:p>
        </w:tc>
      </w:tr>
      <w:tr w:rsidR="00F30104" w:rsidRPr="00F30104" w14:paraId="15D9BBD2"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293A1AFF"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Overseas Turnover</w:t>
            </w:r>
          </w:p>
        </w:tc>
        <w:tc>
          <w:tcPr>
            <w:tcW w:w="1420" w:type="dxa"/>
            <w:tcBorders>
              <w:top w:val="nil"/>
              <w:left w:val="nil"/>
              <w:bottom w:val="single" w:sz="4" w:space="0" w:color="A0A0A0"/>
              <w:right w:val="single" w:sz="4" w:space="0" w:color="A0A0A0"/>
            </w:tcBorders>
            <w:shd w:val="clear" w:color="000000" w:fill="FFFFFF"/>
            <w:noWrap/>
            <w:hideMark/>
          </w:tcPr>
          <w:p w14:paraId="352A675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1,055,000</w:t>
            </w:r>
          </w:p>
        </w:tc>
        <w:tc>
          <w:tcPr>
            <w:tcW w:w="1420" w:type="dxa"/>
            <w:tcBorders>
              <w:top w:val="nil"/>
              <w:left w:val="nil"/>
              <w:bottom w:val="single" w:sz="4" w:space="0" w:color="A0A0A0"/>
              <w:right w:val="single" w:sz="4" w:space="0" w:color="A0A0A0"/>
            </w:tcBorders>
            <w:shd w:val="clear" w:color="000000" w:fill="FFFFFF"/>
            <w:noWrap/>
            <w:hideMark/>
          </w:tcPr>
          <w:p w14:paraId="36CBC2C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913,300</w:t>
            </w:r>
          </w:p>
        </w:tc>
        <w:tc>
          <w:tcPr>
            <w:tcW w:w="1420" w:type="dxa"/>
            <w:tcBorders>
              <w:top w:val="nil"/>
              <w:left w:val="nil"/>
              <w:bottom w:val="single" w:sz="4" w:space="0" w:color="A0A0A0"/>
              <w:right w:val="single" w:sz="4" w:space="0" w:color="A0A0A0"/>
            </w:tcBorders>
            <w:shd w:val="clear" w:color="000000" w:fill="FFFFFF"/>
            <w:noWrap/>
            <w:hideMark/>
          </w:tcPr>
          <w:p w14:paraId="41FD543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778,200</w:t>
            </w:r>
          </w:p>
        </w:tc>
        <w:tc>
          <w:tcPr>
            <w:tcW w:w="1420" w:type="dxa"/>
            <w:tcBorders>
              <w:top w:val="nil"/>
              <w:left w:val="nil"/>
              <w:bottom w:val="single" w:sz="4" w:space="0" w:color="A0A0A0"/>
              <w:right w:val="single" w:sz="4" w:space="0" w:color="A0A0A0"/>
            </w:tcBorders>
            <w:shd w:val="clear" w:color="000000" w:fill="FFFFFF"/>
            <w:noWrap/>
            <w:hideMark/>
          </w:tcPr>
          <w:p w14:paraId="2E95AE9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944,600</w:t>
            </w:r>
          </w:p>
        </w:tc>
        <w:tc>
          <w:tcPr>
            <w:tcW w:w="1420" w:type="dxa"/>
            <w:tcBorders>
              <w:top w:val="nil"/>
              <w:left w:val="nil"/>
              <w:bottom w:val="single" w:sz="4" w:space="0" w:color="A0A0A0"/>
              <w:right w:val="single" w:sz="4" w:space="0" w:color="A0A0A0"/>
            </w:tcBorders>
            <w:shd w:val="clear" w:color="000000" w:fill="FFFFFF"/>
            <w:noWrap/>
            <w:hideMark/>
          </w:tcPr>
          <w:p w14:paraId="3F575EB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936,600</w:t>
            </w:r>
          </w:p>
        </w:tc>
      </w:tr>
      <w:tr w:rsidR="00F30104" w:rsidRPr="00F30104" w14:paraId="11BDC7A4"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D072E3F"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Cost of Sales</w:t>
            </w:r>
          </w:p>
        </w:tc>
        <w:tc>
          <w:tcPr>
            <w:tcW w:w="1420" w:type="dxa"/>
            <w:tcBorders>
              <w:top w:val="nil"/>
              <w:left w:val="nil"/>
              <w:bottom w:val="single" w:sz="4" w:space="0" w:color="A0A0A0"/>
              <w:right w:val="single" w:sz="4" w:space="0" w:color="A0A0A0"/>
            </w:tcBorders>
            <w:shd w:val="clear" w:color="000000" w:fill="FFFFFF"/>
            <w:noWrap/>
            <w:hideMark/>
          </w:tcPr>
          <w:p w14:paraId="7786013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-7,786,700</w:t>
            </w:r>
          </w:p>
        </w:tc>
        <w:tc>
          <w:tcPr>
            <w:tcW w:w="1420" w:type="dxa"/>
            <w:tcBorders>
              <w:top w:val="nil"/>
              <w:left w:val="nil"/>
              <w:bottom w:val="single" w:sz="4" w:space="0" w:color="A0A0A0"/>
              <w:right w:val="single" w:sz="4" w:space="0" w:color="A0A0A0"/>
            </w:tcBorders>
            <w:shd w:val="clear" w:color="000000" w:fill="FFFFFF"/>
            <w:noWrap/>
            <w:hideMark/>
          </w:tcPr>
          <w:p w14:paraId="6AEAD05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-7,130,300</w:t>
            </w:r>
          </w:p>
        </w:tc>
        <w:tc>
          <w:tcPr>
            <w:tcW w:w="1420" w:type="dxa"/>
            <w:tcBorders>
              <w:top w:val="nil"/>
              <w:left w:val="nil"/>
              <w:bottom w:val="single" w:sz="4" w:space="0" w:color="A0A0A0"/>
              <w:right w:val="single" w:sz="4" w:space="0" w:color="A0A0A0"/>
            </w:tcBorders>
            <w:shd w:val="clear" w:color="000000" w:fill="FFFFFF"/>
            <w:noWrap/>
            <w:hideMark/>
          </w:tcPr>
          <w:p w14:paraId="4D47563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-6,244,100</w:t>
            </w:r>
          </w:p>
        </w:tc>
        <w:tc>
          <w:tcPr>
            <w:tcW w:w="1420" w:type="dxa"/>
            <w:tcBorders>
              <w:top w:val="nil"/>
              <w:left w:val="nil"/>
              <w:bottom w:val="single" w:sz="4" w:space="0" w:color="A0A0A0"/>
              <w:right w:val="single" w:sz="4" w:space="0" w:color="A0A0A0"/>
            </w:tcBorders>
            <w:shd w:val="clear" w:color="000000" w:fill="FFFFFF"/>
            <w:noWrap/>
            <w:hideMark/>
          </w:tcPr>
          <w:p w14:paraId="44C3A09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-6,589,500</w:t>
            </w:r>
          </w:p>
        </w:tc>
        <w:tc>
          <w:tcPr>
            <w:tcW w:w="1420" w:type="dxa"/>
            <w:tcBorders>
              <w:top w:val="nil"/>
              <w:left w:val="nil"/>
              <w:bottom w:val="single" w:sz="4" w:space="0" w:color="A0A0A0"/>
              <w:right w:val="single" w:sz="4" w:space="0" w:color="A0A0A0"/>
            </w:tcBorders>
            <w:shd w:val="clear" w:color="000000" w:fill="FFFFFF"/>
            <w:noWrap/>
            <w:hideMark/>
          </w:tcPr>
          <w:p w14:paraId="1FF4E9E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-6,547,200</w:t>
            </w:r>
          </w:p>
        </w:tc>
      </w:tr>
      <w:tr w:rsidR="00F30104" w:rsidRPr="00F30104" w14:paraId="56D90EC0"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8A0A310"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Exceptional Items pre GP</w:t>
            </w:r>
          </w:p>
        </w:tc>
        <w:tc>
          <w:tcPr>
            <w:tcW w:w="1420" w:type="dxa"/>
            <w:tcBorders>
              <w:top w:val="nil"/>
              <w:left w:val="nil"/>
              <w:bottom w:val="single" w:sz="4" w:space="0" w:color="A0A0A0"/>
              <w:right w:val="single" w:sz="4" w:space="0" w:color="A0A0A0"/>
            </w:tcBorders>
            <w:shd w:val="clear" w:color="000000" w:fill="FFFFFF"/>
            <w:noWrap/>
            <w:vAlign w:val="bottom"/>
            <w:hideMark/>
          </w:tcPr>
          <w:p w14:paraId="059C776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E9D750C"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9A023E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6F8E26E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B76C7B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6E0D2868" w14:textId="77777777" w:rsidTr="00C01D50">
        <w:trPr>
          <w:trHeight w:val="38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017AFF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Other Income pre GP</w:t>
            </w:r>
          </w:p>
        </w:tc>
        <w:tc>
          <w:tcPr>
            <w:tcW w:w="1420" w:type="dxa"/>
            <w:tcBorders>
              <w:top w:val="nil"/>
              <w:left w:val="nil"/>
              <w:bottom w:val="single" w:sz="4" w:space="0" w:color="A0A0A0"/>
              <w:right w:val="single" w:sz="4" w:space="0" w:color="A0A0A0"/>
            </w:tcBorders>
            <w:shd w:val="clear" w:color="000000" w:fill="FFFFFF"/>
            <w:noWrap/>
            <w:vAlign w:val="bottom"/>
            <w:hideMark/>
          </w:tcPr>
          <w:p w14:paraId="07C69D3B"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698A95A1"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49B4059"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300374D"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4A565BD0"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2E93FFF9"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9D40290"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Gross Profit</w:t>
            </w:r>
          </w:p>
        </w:tc>
        <w:tc>
          <w:tcPr>
            <w:tcW w:w="1420" w:type="dxa"/>
            <w:tcBorders>
              <w:top w:val="nil"/>
              <w:left w:val="nil"/>
              <w:bottom w:val="single" w:sz="4" w:space="0" w:color="A0A0A0"/>
              <w:right w:val="single" w:sz="4" w:space="0" w:color="A0A0A0"/>
            </w:tcBorders>
            <w:shd w:val="clear" w:color="000000" w:fill="FFFFFF"/>
            <w:noWrap/>
            <w:hideMark/>
          </w:tcPr>
          <w:p w14:paraId="25730DA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4,144,600</w:t>
            </w:r>
          </w:p>
        </w:tc>
        <w:tc>
          <w:tcPr>
            <w:tcW w:w="1420" w:type="dxa"/>
            <w:tcBorders>
              <w:top w:val="nil"/>
              <w:left w:val="nil"/>
              <w:bottom w:val="single" w:sz="4" w:space="0" w:color="A0A0A0"/>
              <w:right w:val="single" w:sz="4" w:space="0" w:color="A0A0A0"/>
            </w:tcBorders>
            <w:shd w:val="clear" w:color="000000" w:fill="FFFFFF"/>
            <w:noWrap/>
            <w:hideMark/>
          </w:tcPr>
          <w:p w14:paraId="49DE9F9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3,754,800</w:t>
            </w:r>
          </w:p>
        </w:tc>
        <w:tc>
          <w:tcPr>
            <w:tcW w:w="1420" w:type="dxa"/>
            <w:tcBorders>
              <w:top w:val="nil"/>
              <w:left w:val="nil"/>
              <w:bottom w:val="single" w:sz="4" w:space="0" w:color="A0A0A0"/>
              <w:right w:val="single" w:sz="4" w:space="0" w:color="A0A0A0"/>
            </w:tcBorders>
            <w:shd w:val="clear" w:color="000000" w:fill="FFFFFF"/>
            <w:noWrap/>
            <w:hideMark/>
          </w:tcPr>
          <w:p w14:paraId="7C9E713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2,911,600</w:t>
            </w:r>
          </w:p>
        </w:tc>
        <w:tc>
          <w:tcPr>
            <w:tcW w:w="1420" w:type="dxa"/>
            <w:tcBorders>
              <w:top w:val="nil"/>
              <w:left w:val="nil"/>
              <w:bottom w:val="single" w:sz="4" w:space="0" w:color="A0A0A0"/>
              <w:right w:val="single" w:sz="4" w:space="0" w:color="A0A0A0"/>
            </w:tcBorders>
            <w:shd w:val="clear" w:color="000000" w:fill="FFFFFF"/>
            <w:noWrap/>
            <w:hideMark/>
          </w:tcPr>
          <w:p w14:paraId="6569949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3,592,400</w:t>
            </w:r>
          </w:p>
        </w:tc>
        <w:tc>
          <w:tcPr>
            <w:tcW w:w="1420" w:type="dxa"/>
            <w:tcBorders>
              <w:top w:val="nil"/>
              <w:left w:val="nil"/>
              <w:bottom w:val="single" w:sz="4" w:space="0" w:color="A0A0A0"/>
              <w:right w:val="single" w:sz="4" w:space="0" w:color="A0A0A0"/>
            </w:tcBorders>
            <w:shd w:val="clear" w:color="000000" w:fill="FFFFFF"/>
            <w:noWrap/>
            <w:hideMark/>
          </w:tcPr>
          <w:p w14:paraId="1E75F71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3,830,100</w:t>
            </w:r>
          </w:p>
        </w:tc>
      </w:tr>
      <w:tr w:rsidR="00F30104" w:rsidRPr="00F30104" w14:paraId="78B73814"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7ECFC12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Administration Expenses</w:t>
            </w:r>
          </w:p>
        </w:tc>
        <w:tc>
          <w:tcPr>
            <w:tcW w:w="1420" w:type="dxa"/>
            <w:tcBorders>
              <w:top w:val="nil"/>
              <w:left w:val="nil"/>
              <w:bottom w:val="single" w:sz="4" w:space="0" w:color="A0A0A0"/>
              <w:right w:val="single" w:sz="4" w:space="0" w:color="A0A0A0"/>
            </w:tcBorders>
            <w:shd w:val="clear" w:color="000000" w:fill="FFFFFF"/>
            <w:noWrap/>
            <w:hideMark/>
          </w:tcPr>
          <w:p w14:paraId="0332033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-3,652,700</w:t>
            </w:r>
          </w:p>
        </w:tc>
        <w:tc>
          <w:tcPr>
            <w:tcW w:w="1420" w:type="dxa"/>
            <w:tcBorders>
              <w:top w:val="nil"/>
              <w:left w:val="nil"/>
              <w:bottom w:val="single" w:sz="4" w:space="0" w:color="A0A0A0"/>
              <w:right w:val="single" w:sz="4" w:space="0" w:color="A0A0A0"/>
            </w:tcBorders>
            <w:shd w:val="clear" w:color="000000" w:fill="FFFFFF"/>
            <w:noWrap/>
            <w:hideMark/>
          </w:tcPr>
          <w:p w14:paraId="30B2D74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-3,125,900</w:t>
            </w:r>
          </w:p>
        </w:tc>
        <w:tc>
          <w:tcPr>
            <w:tcW w:w="1420" w:type="dxa"/>
            <w:tcBorders>
              <w:top w:val="nil"/>
              <w:left w:val="nil"/>
              <w:bottom w:val="single" w:sz="4" w:space="0" w:color="A0A0A0"/>
              <w:right w:val="single" w:sz="4" w:space="0" w:color="A0A0A0"/>
            </w:tcBorders>
            <w:shd w:val="clear" w:color="000000" w:fill="FFFFFF"/>
            <w:noWrap/>
            <w:hideMark/>
          </w:tcPr>
          <w:p w14:paraId="57F8DD3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-2,713,000</w:t>
            </w:r>
          </w:p>
        </w:tc>
        <w:tc>
          <w:tcPr>
            <w:tcW w:w="1420" w:type="dxa"/>
            <w:tcBorders>
              <w:top w:val="nil"/>
              <w:left w:val="nil"/>
              <w:bottom w:val="single" w:sz="4" w:space="0" w:color="A0A0A0"/>
              <w:right w:val="single" w:sz="4" w:space="0" w:color="A0A0A0"/>
            </w:tcBorders>
            <w:shd w:val="clear" w:color="000000" w:fill="FFFFFF"/>
            <w:noWrap/>
            <w:hideMark/>
          </w:tcPr>
          <w:p w14:paraId="014C4AF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-3,036,400</w:t>
            </w:r>
          </w:p>
        </w:tc>
        <w:tc>
          <w:tcPr>
            <w:tcW w:w="1420" w:type="dxa"/>
            <w:tcBorders>
              <w:top w:val="nil"/>
              <w:left w:val="nil"/>
              <w:bottom w:val="single" w:sz="4" w:space="0" w:color="A0A0A0"/>
              <w:right w:val="single" w:sz="4" w:space="0" w:color="A0A0A0"/>
            </w:tcBorders>
            <w:shd w:val="clear" w:color="000000" w:fill="FFFFFF"/>
            <w:noWrap/>
            <w:hideMark/>
          </w:tcPr>
          <w:p w14:paraId="66E4F5D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-3,271,100</w:t>
            </w:r>
          </w:p>
        </w:tc>
      </w:tr>
      <w:tr w:rsidR="00F30104" w:rsidRPr="00F30104" w14:paraId="7439B251"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27EF44D0"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Other Operating Income/Costs pre OP</w:t>
            </w:r>
          </w:p>
        </w:tc>
        <w:tc>
          <w:tcPr>
            <w:tcW w:w="1420" w:type="dxa"/>
            <w:tcBorders>
              <w:top w:val="nil"/>
              <w:left w:val="nil"/>
              <w:bottom w:val="single" w:sz="4" w:space="0" w:color="A0A0A0"/>
              <w:right w:val="single" w:sz="4" w:space="0" w:color="A0A0A0"/>
            </w:tcBorders>
            <w:shd w:val="clear" w:color="000000" w:fill="FFFFFF"/>
            <w:noWrap/>
            <w:hideMark/>
          </w:tcPr>
          <w:p w14:paraId="212FA89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23,200</w:t>
            </w:r>
          </w:p>
        </w:tc>
        <w:tc>
          <w:tcPr>
            <w:tcW w:w="1420" w:type="dxa"/>
            <w:tcBorders>
              <w:top w:val="nil"/>
              <w:left w:val="nil"/>
              <w:bottom w:val="single" w:sz="4" w:space="0" w:color="A0A0A0"/>
              <w:right w:val="single" w:sz="4" w:space="0" w:color="A0A0A0"/>
            </w:tcBorders>
            <w:shd w:val="clear" w:color="000000" w:fill="FFFFFF"/>
            <w:noWrap/>
            <w:hideMark/>
          </w:tcPr>
          <w:p w14:paraId="3C64930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80,100</w:t>
            </w:r>
          </w:p>
        </w:tc>
        <w:tc>
          <w:tcPr>
            <w:tcW w:w="1420" w:type="dxa"/>
            <w:tcBorders>
              <w:top w:val="nil"/>
              <w:left w:val="nil"/>
              <w:bottom w:val="single" w:sz="4" w:space="0" w:color="A0A0A0"/>
              <w:right w:val="single" w:sz="4" w:space="0" w:color="A0A0A0"/>
            </w:tcBorders>
            <w:shd w:val="clear" w:color="000000" w:fill="FFFFFF"/>
            <w:noWrap/>
            <w:hideMark/>
          </w:tcPr>
          <w:p w14:paraId="796A823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12,400</w:t>
            </w:r>
          </w:p>
        </w:tc>
        <w:tc>
          <w:tcPr>
            <w:tcW w:w="1420" w:type="dxa"/>
            <w:tcBorders>
              <w:top w:val="nil"/>
              <w:left w:val="nil"/>
              <w:bottom w:val="single" w:sz="4" w:space="0" w:color="A0A0A0"/>
              <w:right w:val="single" w:sz="4" w:space="0" w:color="A0A0A0"/>
            </w:tcBorders>
            <w:shd w:val="clear" w:color="000000" w:fill="FFFFFF"/>
            <w:noWrap/>
            <w:hideMark/>
          </w:tcPr>
          <w:p w14:paraId="0613253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34,700</w:t>
            </w:r>
          </w:p>
        </w:tc>
        <w:tc>
          <w:tcPr>
            <w:tcW w:w="1420" w:type="dxa"/>
            <w:tcBorders>
              <w:top w:val="nil"/>
              <w:left w:val="nil"/>
              <w:bottom w:val="single" w:sz="4" w:space="0" w:color="A0A0A0"/>
              <w:right w:val="single" w:sz="4" w:space="0" w:color="A0A0A0"/>
            </w:tcBorders>
            <w:shd w:val="clear" w:color="000000" w:fill="FFFFFF"/>
            <w:noWrap/>
            <w:hideMark/>
          </w:tcPr>
          <w:p w14:paraId="2786AA2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42,000</w:t>
            </w:r>
          </w:p>
        </w:tc>
      </w:tr>
      <w:tr w:rsidR="00F30104" w:rsidRPr="00F30104" w14:paraId="16A57442"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47AB0B4"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Exceptional Items pre OP</w:t>
            </w:r>
          </w:p>
        </w:tc>
        <w:tc>
          <w:tcPr>
            <w:tcW w:w="1420" w:type="dxa"/>
            <w:tcBorders>
              <w:top w:val="nil"/>
              <w:left w:val="nil"/>
              <w:bottom w:val="single" w:sz="4" w:space="0" w:color="A0A0A0"/>
              <w:right w:val="single" w:sz="4" w:space="0" w:color="A0A0A0"/>
            </w:tcBorders>
            <w:shd w:val="clear" w:color="000000" w:fill="FFFFFF"/>
            <w:noWrap/>
            <w:vAlign w:val="bottom"/>
            <w:hideMark/>
          </w:tcPr>
          <w:p w14:paraId="51D9DD2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hideMark/>
          </w:tcPr>
          <w:p w14:paraId="2E06135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-136,800</w:t>
            </w:r>
          </w:p>
        </w:tc>
        <w:tc>
          <w:tcPr>
            <w:tcW w:w="1420" w:type="dxa"/>
            <w:tcBorders>
              <w:top w:val="nil"/>
              <w:left w:val="nil"/>
              <w:bottom w:val="single" w:sz="4" w:space="0" w:color="A0A0A0"/>
              <w:right w:val="single" w:sz="4" w:space="0" w:color="A0A0A0"/>
            </w:tcBorders>
            <w:shd w:val="clear" w:color="000000" w:fill="FFFFFF"/>
            <w:noWrap/>
            <w:hideMark/>
          </w:tcPr>
          <w:p w14:paraId="3A21835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-241,700</w:t>
            </w:r>
          </w:p>
        </w:tc>
        <w:tc>
          <w:tcPr>
            <w:tcW w:w="1420" w:type="dxa"/>
            <w:tcBorders>
              <w:top w:val="nil"/>
              <w:left w:val="nil"/>
              <w:bottom w:val="single" w:sz="4" w:space="0" w:color="A0A0A0"/>
              <w:right w:val="single" w:sz="4" w:space="0" w:color="A0A0A0"/>
            </w:tcBorders>
            <w:shd w:val="clear" w:color="000000" w:fill="FFFFFF"/>
            <w:noWrap/>
            <w:hideMark/>
          </w:tcPr>
          <w:p w14:paraId="32B989E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-335,900</w:t>
            </w:r>
          </w:p>
        </w:tc>
        <w:tc>
          <w:tcPr>
            <w:tcW w:w="1420" w:type="dxa"/>
            <w:tcBorders>
              <w:top w:val="nil"/>
              <w:left w:val="nil"/>
              <w:bottom w:val="single" w:sz="4" w:space="0" w:color="A0A0A0"/>
              <w:right w:val="single" w:sz="4" w:space="0" w:color="A0A0A0"/>
            </w:tcBorders>
            <w:shd w:val="clear" w:color="000000" w:fill="FFFFFF"/>
            <w:noWrap/>
            <w:hideMark/>
          </w:tcPr>
          <w:p w14:paraId="12EC848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-438,600</w:t>
            </w:r>
          </w:p>
        </w:tc>
      </w:tr>
      <w:tr w:rsidR="00F30104" w:rsidRPr="00F30104" w14:paraId="70F69CC0"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469BE7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Operating Profit</w:t>
            </w:r>
          </w:p>
        </w:tc>
        <w:tc>
          <w:tcPr>
            <w:tcW w:w="1420" w:type="dxa"/>
            <w:tcBorders>
              <w:top w:val="nil"/>
              <w:left w:val="nil"/>
              <w:bottom w:val="single" w:sz="4" w:space="0" w:color="A0A0A0"/>
              <w:right w:val="single" w:sz="4" w:space="0" w:color="A0A0A0"/>
            </w:tcBorders>
            <w:shd w:val="clear" w:color="000000" w:fill="FFFFFF"/>
            <w:noWrap/>
            <w:hideMark/>
          </w:tcPr>
          <w:p w14:paraId="47BC1DA4"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515,100</w:t>
            </w:r>
          </w:p>
        </w:tc>
        <w:tc>
          <w:tcPr>
            <w:tcW w:w="1420" w:type="dxa"/>
            <w:tcBorders>
              <w:top w:val="nil"/>
              <w:left w:val="nil"/>
              <w:bottom w:val="single" w:sz="4" w:space="0" w:color="A0A0A0"/>
              <w:right w:val="single" w:sz="4" w:space="0" w:color="A0A0A0"/>
            </w:tcBorders>
            <w:shd w:val="clear" w:color="000000" w:fill="FFFFFF"/>
            <w:noWrap/>
            <w:hideMark/>
          </w:tcPr>
          <w:p w14:paraId="16C9EA9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572,200</w:t>
            </w:r>
          </w:p>
        </w:tc>
        <w:tc>
          <w:tcPr>
            <w:tcW w:w="1420" w:type="dxa"/>
            <w:tcBorders>
              <w:top w:val="nil"/>
              <w:left w:val="nil"/>
              <w:bottom w:val="single" w:sz="4" w:space="0" w:color="A0A0A0"/>
              <w:right w:val="single" w:sz="4" w:space="0" w:color="A0A0A0"/>
            </w:tcBorders>
            <w:shd w:val="clear" w:color="000000" w:fill="FFFFFF"/>
            <w:noWrap/>
            <w:hideMark/>
          </w:tcPr>
          <w:p w14:paraId="5B390CF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-30,700</w:t>
            </w:r>
          </w:p>
        </w:tc>
        <w:tc>
          <w:tcPr>
            <w:tcW w:w="1420" w:type="dxa"/>
            <w:tcBorders>
              <w:top w:val="nil"/>
              <w:left w:val="nil"/>
              <w:bottom w:val="single" w:sz="4" w:space="0" w:color="A0A0A0"/>
              <w:right w:val="single" w:sz="4" w:space="0" w:color="A0A0A0"/>
            </w:tcBorders>
            <w:shd w:val="clear" w:color="000000" w:fill="FFFFFF"/>
            <w:noWrap/>
            <w:hideMark/>
          </w:tcPr>
          <w:p w14:paraId="36B3AB2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254,800</w:t>
            </w:r>
          </w:p>
        </w:tc>
        <w:tc>
          <w:tcPr>
            <w:tcW w:w="1420" w:type="dxa"/>
            <w:tcBorders>
              <w:top w:val="nil"/>
              <w:left w:val="nil"/>
              <w:bottom w:val="single" w:sz="4" w:space="0" w:color="A0A0A0"/>
              <w:right w:val="single" w:sz="4" w:space="0" w:color="A0A0A0"/>
            </w:tcBorders>
            <w:shd w:val="clear" w:color="000000" w:fill="FFFFFF"/>
            <w:noWrap/>
            <w:hideMark/>
          </w:tcPr>
          <w:p w14:paraId="25BA23A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162,400</w:t>
            </w:r>
          </w:p>
        </w:tc>
      </w:tr>
      <w:tr w:rsidR="00F30104" w:rsidRPr="00F30104" w14:paraId="503501B0"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FE85ED9"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Other Income</w:t>
            </w:r>
          </w:p>
        </w:tc>
        <w:tc>
          <w:tcPr>
            <w:tcW w:w="1420" w:type="dxa"/>
            <w:tcBorders>
              <w:top w:val="nil"/>
              <w:left w:val="nil"/>
              <w:bottom w:val="single" w:sz="4" w:space="0" w:color="A0A0A0"/>
              <w:right w:val="single" w:sz="4" w:space="0" w:color="A0A0A0"/>
            </w:tcBorders>
            <w:shd w:val="clear" w:color="000000" w:fill="FFFFFF"/>
            <w:noWrap/>
            <w:vAlign w:val="bottom"/>
            <w:hideMark/>
          </w:tcPr>
          <w:p w14:paraId="508B704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05FAF5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41D631A9"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13BFBCE"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537FEC2"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2F96E9F5"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1C8E930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Total Other Income &amp; Int. Received</w:t>
            </w:r>
          </w:p>
        </w:tc>
        <w:tc>
          <w:tcPr>
            <w:tcW w:w="1420" w:type="dxa"/>
            <w:tcBorders>
              <w:top w:val="nil"/>
              <w:left w:val="nil"/>
              <w:bottom w:val="single" w:sz="4" w:space="0" w:color="A0A0A0"/>
              <w:right w:val="single" w:sz="4" w:space="0" w:color="A0A0A0"/>
            </w:tcBorders>
            <w:shd w:val="clear" w:color="000000" w:fill="FFFFFF"/>
            <w:noWrap/>
            <w:hideMark/>
          </w:tcPr>
          <w:p w14:paraId="24AB686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166,100</w:t>
            </w:r>
          </w:p>
        </w:tc>
        <w:tc>
          <w:tcPr>
            <w:tcW w:w="1420" w:type="dxa"/>
            <w:tcBorders>
              <w:top w:val="nil"/>
              <w:left w:val="nil"/>
              <w:bottom w:val="single" w:sz="4" w:space="0" w:color="A0A0A0"/>
              <w:right w:val="single" w:sz="4" w:space="0" w:color="A0A0A0"/>
            </w:tcBorders>
            <w:shd w:val="clear" w:color="000000" w:fill="FFFFFF"/>
            <w:noWrap/>
            <w:hideMark/>
          </w:tcPr>
          <w:p w14:paraId="5ED22B9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33,900</w:t>
            </w:r>
          </w:p>
        </w:tc>
        <w:tc>
          <w:tcPr>
            <w:tcW w:w="1420" w:type="dxa"/>
            <w:tcBorders>
              <w:top w:val="nil"/>
              <w:left w:val="nil"/>
              <w:bottom w:val="single" w:sz="4" w:space="0" w:color="A0A0A0"/>
              <w:right w:val="single" w:sz="4" w:space="0" w:color="A0A0A0"/>
            </w:tcBorders>
            <w:shd w:val="clear" w:color="000000" w:fill="FFFFFF"/>
            <w:noWrap/>
            <w:hideMark/>
          </w:tcPr>
          <w:p w14:paraId="3FDEFB5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57,400</w:t>
            </w:r>
          </w:p>
        </w:tc>
        <w:tc>
          <w:tcPr>
            <w:tcW w:w="1420" w:type="dxa"/>
            <w:tcBorders>
              <w:top w:val="nil"/>
              <w:left w:val="nil"/>
              <w:bottom w:val="single" w:sz="4" w:space="0" w:color="A0A0A0"/>
              <w:right w:val="single" w:sz="4" w:space="0" w:color="A0A0A0"/>
            </w:tcBorders>
            <w:shd w:val="clear" w:color="000000" w:fill="FFFFFF"/>
            <w:noWrap/>
            <w:hideMark/>
          </w:tcPr>
          <w:p w14:paraId="685D67B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46,900</w:t>
            </w:r>
          </w:p>
        </w:tc>
        <w:tc>
          <w:tcPr>
            <w:tcW w:w="1420" w:type="dxa"/>
            <w:tcBorders>
              <w:top w:val="nil"/>
              <w:left w:val="nil"/>
              <w:bottom w:val="single" w:sz="4" w:space="0" w:color="A0A0A0"/>
              <w:right w:val="single" w:sz="4" w:space="0" w:color="A0A0A0"/>
            </w:tcBorders>
            <w:shd w:val="clear" w:color="000000" w:fill="FFFFFF"/>
            <w:noWrap/>
            <w:hideMark/>
          </w:tcPr>
          <w:p w14:paraId="62609DE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33,800</w:t>
            </w:r>
          </w:p>
        </w:tc>
      </w:tr>
      <w:tr w:rsidR="00F30104" w:rsidRPr="00F30104" w14:paraId="4FFCFB5B"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B9A2E9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Exceptional Items</w:t>
            </w:r>
          </w:p>
        </w:tc>
        <w:tc>
          <w:tcPr>
            <w:tcW w:w="1420" w:type="dxa"/>
            <w:tcBorders>
              <w:top w:val="nil"/>
              <w:left w:val="nil"/>
              <w:bottom w:val="single" w:sz="4" w:space="0" w:color="A0A0A0"/>
              <w:right w:val="single" w:sz="4" w:space="0" w:color="A0A0A0"/>
            </w:tcBorders>
            <w:shd w:val="clear" w:color="000000" w:fill="FFFFFF"/>
            <w:noWrap/>
            <w:vAlign w:val="bottom"/>
            <w:hideMark/>
          </w:tcPr>
          <w:p w14:paraId="74F99DAF"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7232C1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B5EA52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48F29140"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CBB140D"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5F7ACFFA"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743BA9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Profit (Loss) on Sale of Operations</w:t>
            </w:r>
          </w:p>
        </w:tc>
        <w:tc>
          <w:tcPr>
            <w:tcW w:w="1420" w:type="dxa"/>
            <w:tcBorders>
              <w:top w:val="nil"/>
              <w:left w:val="nil"/>
              <w:bottom w:val="single" w:sz="4" w:space="0" w:color="A0A0A0"/>
              <w:right w:val="single" w:sz="4" w:space="0" w:color="A0A0A0"/>
            </w:tcBorders>
            <w:shd w:val="clear" w:color="000000" w:fill="FFFFFF"/>
            <w:noWrap/>
            <w:vAlign w:val="bottom"/>
            <w:hideMark/>
          </w:tcPr>
          <w:p w14:paraId="3C59CEE1"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C62650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45CAAED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BA213CC"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63DE3A9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28653AF5"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589A635"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Costs of Reorganisation</w:t>
            </w:r>
          </w:p>
        </w:tc>
        <w:tc>
          <w:tcPr>
            <w:tcW w:w="1420" w:type="dxa"/>
            <w:tcBorders>
              <w:top w:val="nil"/>
              <w:left w:val="nil"/>
              <w:bottom w:val="single" w:sz="4" w:space="0" w:color="A0A0A0"/>
              <w:right w:val="single" w:sz="4" w:space="0" w:color="A0A0A0"/>
            </w:tcBorders>
            <w:shd w:val="clear" w:color="000000" w:fill="FFFFFF"/>
            <w:noWrap/>
            <w:vAlign w:val="bottom"/>
            <w:hideMark/>
          </w:tcPr>
          <w:p w14:paraId="0CB9E07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1E46129"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41704360"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AD59FC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405F7055"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3674B593"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E9386D2"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lastRenderedPageBreak/>
              <w:t xml:space="preserve"> ∟ Profit (Loss) on Disposal</w:t>
            </w:r>
          </w:p>
        </w:tc>
        <w:tc>
          <w:tcPr>
            <w:tcW w:w="1420" w:type="dxa"/>
            <w:tcBorders>
              <w:top w:val="nil"/>
              <w:left w:val="nil"/>
              <w:bottom w:val="single" w:sz="4" w:space="0" w:color="A0A0A0"/>
              <w:right w:val="single" w:sz="4" w:space="0" w:color="A0A0A0"/>
            </w:tcBorders>
            <w:shd w:val="clear" w:color="000000" w:fill="FFFFFF"/>
            <w:noWrap/>
            <w:vAlign w:val="bottom"/>
            <w:hideMark/>
          </w:tcPr>
          <w:p w14:paraId="0CA7FA8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3422D5D"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CD2FDFC"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566850B"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490A97F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47055A75"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6668FE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Other Exceptional Items</w:t>
            </w:r>
          </w:p>
        </w:tc>
        <w:tc>
          <w:tcPr>
            <w:tcW w:w="1420" w:type="dxa"/>
            <w:tcBorders>
              <w:top w:val="nil"/>
              <w:left w:val="nil"/>
              <w:bottom w:val="single" w:sz="4" w:space="0" w:color="A0A0A0"/>
              <w:right w:val="single" w:sz="4" w:space="0" w:color="A0A0A0"/>
            </w:tcBorders>
            <w:shd w:val="clear" w:color="000000" w:fill="FFFFFF"/>
            <w:noWrap/>
            <w:vAlign w:val="bottom"/>
            <w:hideMark/>
          </w:tcPr>
          <w:p w14:paraId="17AAB5E2"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B105E5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E00152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43797E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3CBA85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20989D8E"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36C2055"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Profit (Loss) before Interest paid</w:t>
            </w:r>
          </w:p>
        </w:tc>
        <w:tc>
          <w:tcPr>
            <w:tcW w:w="1420" w:type="dxa"/>
            <w:tcBorders>
              <w:top w:val="nil"/>
              <w:left w:val="nil"/>
              <w:bottom w:val="single" w:sz="4" w:space="0" w:color="A0A0A0"/>
              <w:right w:val="single" w:sz="4" w:space="0" w:color="A0A0A0"/>
            </w:tcBorders>
            <w:shd w:val="clear" w:color="000000" w:fill="FFFFFF"/>
            <w:noWrap/>
            <w:hideMark/>
          </w:tcPr>
          <w:p w14:paraId="562130F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681,200</w:t>
            </w:r>
          </w:p>
        </w:tc>
        <w:tc>
          <w:tcPr>
            <w:tcW w:w="1420" w:type="dxa"/>
            <w:tcBorders>
              <w:top w:val="nil"/>
              <w:left w:val="nil"/>
              <w:bottom w:val="single" w:sz="4" w:space="0" w:color="A0A0A0"/>
              <w:right w:val="single" w:sz="4" w:space="0" w:color="A0A0A0"/>
            </w:tcBorders>
            <w:shd w:val="clear" w:color="000000" w:fill="FFFFFF"/>
            <w:noWrap/>
            <w:hideMark/>
          </w:tcPr>
          <w:p w14:paraId="525FAC7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606,100</w:t>
            </w:r>
          </w:p>
        </w:tc>
        <w:tc>
          <w:tcPr>
            <w:tcW w:w="1420" w:type="dxa"/>
            <w:tcBorders>
              <w:top w:val="nil"/>
              <w:left w:val="nil"/>
              <w:bottom w:val="single" w:sz="4" w:space="0" w:color="A0A0A0"/>
              <w:right w:val="single" w:sz="4" w:space="0" w:color="A0A0A0"/>
            </w:tcBorders>
            <w:shd w:val="clear" w:color="000000" w:fill="FFFFFF"/>
            <w:noWrap/>
            <w:hideMark/>
          </w:tcPr>
          <w:p w14:paraId="3B6881C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26,700</w:t>
            </w:r>
          </w:p>
        </w:tc>
        <w:tc>
          <w:tcPr>
            <w:tcW w:w="1420" w:type="dxa"/>
            <w:tcBorders>
              <w:top w:val="nil"/>
              <w:left w:val="nil"/>
              <w:bottom w:val="single" w:sz="4" w:space="0" w:color="A0A0A0"/>
              <w:right w:val="single" w:sz="4" w:space="0" w:color="A0A0A0"/>
            </w:tcBorders>
            <w:shd w:val="clear" w:color="000000" w:fill="FFFFFF"/>
            <w:noWrap/>
            <w:hideMark/>
          </w:tcPr>
          <w:p w14:paraId="3346ED9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301,700</w:t>
            </w:r>
          </w:p>
        </w:tc>
        <w:tc>
          <w:tcPr>
            <w:tcW w:w="1420" w:type="dxa"/>
            <w:tcBorders>
              <w:top w:val="nil"/>
              <w:left w:val="nil"/>
              <w:bottom w:val="single" w:sz="4" w:space="0" w:color="A0A0A0"/>
              <w:right w:val="single" w:sz="4" w:space="0" w:color="A0A0A0"/>
            </w:tcBorders>
            <w:shd w:val="clear" w:color="000000" w:fill="FFFFFF"/>
            <w:noWrap/>
            <w:hideMark/>
          </w:tcPr>
          <w:p w14:paraId="43153B8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196,200</w:t>
            </w:r>
          </w:p>
        </w:tc>
      </w:tr>
      <w:tr w:rsidR="00F30104" w:rsidRPr="00F30104" w14:paraId="3D98EFCE"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19E1145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Interest Received</w:t>
            </w:r>
          </w:p>
        </w:tc>
        <w:tc>
          <w:tcPr>
            <w:tcW w:w="1420" w:type="dxa"/>
            <w:tcBorders>
              <w:top w:val="nil"/>
              <w:left w:val="nil"/>
              <w:bottom w:val="single" w:sz="4" w:space="0" w:color="A0A0A0"/>
              <w:right w:val="single" w:sz="4" w:space="0" w:color="A0A0A0"/>
            </w:tcBorders>
            <w:shd w:val="clear" w:color="000000" w:fill="FFFFFF"/>
            <w:noWrap/>
            <w:hideMark/>
          </w:tcPr>
          <w:p w14:paraId="6AD56F6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166,100</w:t>
            </w:r>
          </w:p>
        </w:tc>
        <w:tc>
          <w:tcPr>
            <w:tcW w:w="1420" w:type="dxa"/>
            <w:tcBorders>
              <w:top w:val="nil"/>
              <w:left w:val="nil"/>
              <w:bottom w:val="single" w:sz="4" w:space="0" w:color="A0A0A0"/>
              <w:right w:val="single" w:sz="4" w:space="0" w:color="A0A0A0"/>
            </w:tcBorders>
            <w:shd w:val="clear" w:color="000000" w:fill="FFFFFF"/>
            <w:noWrap/>
            <w:hideMark/>
          </w:tcPr>
          <w:p w14:paraId="19204FB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33,900</w:t>
            </w:r>
          </w:p>
        </w:tc>
        <w:tc>
          <w:tcPr>
            <w:tcW w:w="1420" w:type="dxa"/>
            <w:tcBorders>
              <w:top w:val="nil"/>
              <w:left w:val="nil"/>
              <w:bottom w:val="single" w:sz="4" w:space="0" w:color="A0A0A0"/>
              <w:right w:val="single" w:sz="4" w:space="0" w:color="A0A0A0"/>
            </w:tcBorders>
            <w:shd w:val="clear" w:color="000000" w:fill="FFFFFF"/>
            <w:noWrap/>
            <w:hideMark/>
          </w:tcPr>
          <w:p w14:paraId="079ECC1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57,400</w:t>
            </w:r>
          </w:p>
        </w:tc>
        <w:tc>
          <w:tcPr>
            <w:tcW w:w="1420" w:type="dxa"/>
            <w:tcBorders>
              <w:top w:val="nil"/>
              <w:left w:val="nil"/>
              <w:bottom w:val="single" w:sz="4" w:space="0" w:color="A0A0A0"/>
              <w:right w:val="single" w:sz="4" w:space="0" w:color="A0A0A0"/>
            </w:tcBorders>
            <w:shd w:val="clear" w:color="000000" w:fill="FFFFFF"/>
            <w:noWrap/>
            <w:hideMark/>
          </w:tcPr>
          <w:p w14:paraId="72075E9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46,900</w:t>
            </w:r>
          </w:p>
        </w:tc>
        <w:tc>
          <w:tcPr>
            <w:tcW w:w="1420" w:type="dxa"/>
            <w:tcBorders>
              <w:top w:val="nil"/>
              <w:left w:val="nil"/>
              <w:bottom w:val="single" w:sz="4" w:space="0" w:color="A0A0A0"/>
              <w:right w:val="single" w:sz="4" w:space="0" w:color="A0A0A0"/>
            </w:tcBorders>
            <w:shd w:val="clear" w:color="000000" w:fill="FFFFFF"/>
            <w:noWrap/>
            <w:hideMark/>
          </w:tcPr>
          <w:p w14:paraId="1FC4024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33,800</w:t>
            </w:r>
          </w:p>
        </w:tc>
      </w:tr>
      <w:tr w:rsidR="00F30104" w:rsidRPr="00F30104" w14:paraId="581A10AF"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2F3495A4"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Interest Paid</w:t>
            </w:r>
          </w:p>
        </w:tc>
        <w:tc>
          <w:tcPr>
            <w:tcW w:w="1420" w:type="dxa"/>
            <w:tcBorders>
              <w:top w:val="nil"/>
              <w:left w:val="nil"/>
              <w:bottom w:val="single" w:sz="4" w:space="0" w:color="A0A0A0"/>
              <w:right w:val="single" w:sz="4" w:space="0" w:color="A0A0A0"/>
            </w:tcBorders>
            <w:shd w:val="clear" w:color="000000" w:fill="FFFFFF"/>
            <w:noWrap/>
            <w:hideMark/>
          </w:tcPr>
          <w:p w14:paraId="0F5D8C5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-205,500</w:t>
            </w:r>
          </w:p>
        </w:tc>
        <w:tc>
          <w:tcPr>
            <w:tcW w:w="1420" w:type="dxa"/>
            <w:tcBorders>
              <w:top w:val="nil"/>
              <w:left w:val="nil"/>
              <w:bottom w:val="single" w:sz="4" w:space="0" w:color="A0A0A0"/>
              <w:right w:val="single" w:sz="4" w:space="0" w:color="A0A0A0"/>
            </w:tcBorders>
            <w:shd w:val="clear" w:color="000000" w:fill="FFFFFF"/>
            <w:noWrap/>
            <w:hideMark/>
          </w:tcPr>
          <w:p w14:paraId="12DCF42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-214,400</w:t>
            </w:r>
          </w:p>
        </w:tc>
        <w:tc>
          <w:tcPr>
            <w:tcW w:w="1420" w:type="dxa"/>
            <w:tcBorders>
              <w:top w:val="nil"/>
              <w:left w:val="nil"/>
              <w:bottom w:val="single" w:sz="4" w:space="0" w:color="A0A0A0"/>
              <w:right w:val="single" w:sz="4" w:space="0" w:color="A0A0A0"/>
            </w:tcBorders>
            <w:shd w:val="clear" w:color="000000" w:fill="FFFFFF"/>
            <w:noWrap/>
            <w:hideMark/>
          </w:tcPr>
          <w:p w14:paraId="418FC8F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-236,100</w:t>
            </w:r>
          </w:p>
        </w:tc>
        <w:tc>
          <w:tcPr>
            <w:tcW w:w="1420" w:type="dxa"/>
            <w:tcBorders>
              <w:top w:val="nil"/>
              <w:left w:val="nil"/>
              <w:bottom w:val="single" w:sz="4" w:space="0" w:color="A0A0A0"/>
              <w:right w:val="single" w:sz="4" w:space="0" w:color="A0A0A0"/>
            </w:tcBorders>
            <w:shd w:val="clear" w:color="000000" w:fill="FFFFFF"/>
            <w:noWrap/>
            <w:hideMark/>
          </w:tcPr>
          <w:p w14:paraId="441CD60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-234,500</w:t>
            </w:r>
          </w:p>
        </w:tc>
        <w:tc>
          <w:tcPr>
            <w:tcW w:w="1420" w:type="dxa"/>
            <w:tcBorders>
              <w:top w:val="nil"/>
              <w:left w:val="nil"/>
              <w:bottom w:val="single" w:sz="4" w:space="0" w:color="A0A0A0"/>
              <w:right w:val="single" w:sz="4" w:space="0" w:color="A0A0A0"/>
            </w:tcBorders>
            <w:shd w:val="clear" w:color="000000" w:fill="FFFFFF"/>
            <w:noWrap/>
            <w:hideMark/>
          </w:tcPr>
          <w:p w14:paraId="214B12B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-111,600</w:t>
            </w:r>
          </w:p>
        </w:tc>
      </w:tr>
      <w:tr w:rsidR="00F30104" w:rsidRPr="00F30104" w14:paraId="33F0CF14"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7AFEDC5E"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Paid to Bank</w:t>
            </w:r>
          </w:p>
        </w:tc>
        <w:tc>
          <w:tcPr>
            <w:tcW w:w="1420" w:type="dxa"/>
            <w:tcBorders>
              <w:top w:val="nil"/>
              <w:left w:val="nil"/>
              <w:bottom w:val="single" w:sz="4" w:space="0" w:color="A0A0A0"/>
              <w:right w:val="single" w:sz="4" w:space="0" w:color="A0A0A0"/>
            </w:tcBorders>
            <w:shd w:val="clear" w:color="000000" w:fill="FFFFFF"/>
            <w:noWrap/>
            <w:hideMark/>
          </w:tcPr>
          <w:p w14:paraId="1E58F75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-4,500</w:t>
            </w:r>
          </w:p>
        </w:tc>
        <w:tc>
          <w:tcPr>
            <w:tcW w:w="1420" w:type="dxa"/>
            <w:tcBorders>
              <w:top w:val="nil"/>
              <w:left w:val="nil"/>
              <w:bottom w:val="single" w:sz="4" w:space="0" w:color="A0A0A0"/>
              <w:right w:val="single" w:sz="4" w:space="0" w:color="A0A0A0"/>
            </w:tcBorders>
            <w:shd w:val="clear" w:color="000000" w:fill="FFFFFF"/>
            <w:noWrap/>
            <w:hideMark/>
          </w:tcPr>
          <w:p w14:paraId="56157B6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-4,700</w:t>
            </w:r>
          </w:p>
        </w:tc>
        <w:tc>
          <w:tcPr>
            <w:tcW w:w="1420" w:type="dxa"/>
            <w:tcBorders>
              <w:top w:val="nil"/>
              <w:left w:val="nil"/>
              <w:bottom w:val="single" w:sz="4" w:space="0" w:color="A0A0A0"/>
              <w:right w:val="single" w:sz="4" w:space="0" w:color="A0A0A0"/>
            </w:tcBorders>
            <w:shd w:val="clear" w:color="000000" w:fill="FFFFFF"/>
            <w:noWrap/>
            <w:hideMark/>
          </w:tcPr>
          <w:p w14:paraId="112B099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-3,900</w:t>
            </w:r>
          </w:p>
        </w:tc>
        <w:tc>
          <w:tcPr>
            <w:tcW w:w="1420" w:type="dxa"/>
            <w:tcBorders>
              <w:top w:val="nil"/>
              <w:left w:val="nil"/>
              <w:bottom w:val="single" w:sz="4" w:space="0" w:color="A0A0A0"/>
              <w:right w:val="single" w:sz="4" w:space="0" w:color="A0A0A0"/>
            </w:tcBorders>
            <w:shd w:val="clear" w:color="000000" w:fill="FFFFFF"/>
            <w:noWrap/>
            <w:hideMark/>
          </w:tcPr>
          <w:p w14:paraId="3B1C898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-2,300</w:t>
            </w:r>
          </w:p>
        </w:tc>
        <w:tc>
          <w:tcPr>
            <w:tcW w:w="1420" w:type="dxa"/>
            <w:tcBorders>
              <w:top w:val="nil"/>
              <w:left w:val="nil"/>
              <w:bottom w:val="single" w:sz="4" w:space="0" w:color="A0A0A0"/>
              <w:right w:val="single" w:sz="4" w:space="0" w:color="A0A0A0"/>
            </w:tcBorders>
            <w:shd w:val="clear" w:color="000000" w:fill="FFFFFF"/>
            <w:noWrap/>
            <w:hideMark/>
          </w:tcPr>
          <w:p w14:paraId="50D5C4E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-2,900</w:t>
            </w:r>
          </w:p>
        </w:tc>
      </w:tr>
      <w:tr w:rsidR="00F30104" w:rsidRPr="00F30104" w14:paraId="03AC675A" w14:textId="77777777" w:rsidTr="00C01D50">
        <w:trPr>
          <w:trHeight w:val="38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8450C55"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Paid on Hire Purchase</w:t>
            </w:r>
          </w:p>
        </w:tc>
        <w:tc>
          <w:tcPr>
            <w:tcW w:w="1420" w:type="dxa"/>
            <w:tcBorders>
              <w:top w:val="nil"/>
              <w:left w:val="nil"/>
              <w:bottom w:val="single" w:sz="4" w:space="0" w:color="A0A0A0"/>
              <w:right w:val="single" w:sz="4" w:space="0" w:color="A0A0A0"/>
            </w:tcBorders>
            <w:shd w:val="clear" w:color="000000" w:fill="FFFFFF"/>
            <w:noWrap/>
            <w:vAlign w:val="bottom"/>
            <w:hideMark/>
          </w:tcPr>
          <w:p w14:paraId="4BF6D91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7F33ABE"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92180BD"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55493D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8B8C6B9"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42EBA6A3"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8058765"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Paid on Leasing</w:t>
            </w:r>
          </w:p>
        </w:tc>
        <w:tc>
          <w:tcPr>
            <w:tcW w:w="1420" w:type="dxa"/>
            <w:tcBorders>
              <w:top w:val="nil"/>
              <w:left w:val="nil"/>
              <w:bottom w:val="single" w:sz="4" w:space="0" w:color="A0A0A0"/>
              <w:right w:val="single" w:sz="4" w:space="0" w:color="A0A0A0"/>
            </w:tcBorders>
            <w:shd w:val="clear" w:color="000000" w:fill="FFFFFF"/>
            <w:noWrap/>
            <w:hideMark/>
          </w:tcPr>
          <w:p w14:paraId="5727DAC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-116,700</w:t>
            </w:r>
          </w:p>
        </w:tc>
        <w:tc>
          <w:tcPr>
            <w:tcW w:w="1420" w:type="dxa"/>
            <w:tcBorders>
              <w:top w:val="nil"/>
              <w:left w:val="nil"/>
              <w:bottom w:val="single" w:sz="4" w:space="0" w:color="A0A0A0"/>
              <w:right w:val="single" w:sz="4" w:space="0" w:color="A0A0A0"/>
            </w:tcBorders>
            <w:shd w:val="clear" w:color="000000" w:fill="FFFFFF"/>
            <w:noWrap/>
            <w:hideMark/>
          </w:tcPr>
          <w:p w14:paraId="2F01AB4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-121,100</w:t>
            </w:r>
          </w:p>
        </w:tc>
        <w:tc>
          <w:tcPr>
            <w:tcW w:w="1420" w:type="dxa"/>
            <w:tcBorders>
              <w:top w:val="nil"/>
              <w:left w:val="nil"/>
              <w:bottom w:val="single" w:sz="4" w:space="0" w:color="A0A0A0"/>
              <w:right w:val="single" w:sz="4" w:space="0" w:color="A0A0A0"/>
            </w:tcBorders>
            <w:shd w:val="clear" w:color="000000" w:fill="FFFFFF"/>
            <w:noWrap/>
            <w:hideMark/>
          </w:tcPr>
          <w:p w14:paraId="6E14EDE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-130,400</w:t>
            </w:r>
          </w:p>
        </w:tc>
        <w:tc>
          <w:tcPr>
            <w:tcW w:w="1420" w:type="dxa"/>
            <w:tcBorders>
              <w:top w:val="nil"/>
              <w:left w:val="nil"/>
              <w:bottom w:val="single" w:sz="4" w:space="0" w:color="A0A0A0"/>
              <w:right w:val="single" w:sz="4" w:space="0" w:color="A0A0A0"/>
            </w:tcBorders>
            <w:shd w:val="clear" w:color="000000" w:fill="FFFFFF"/>
            <w:noWrap/>
            <w:hideMark/>
          </w:tcPr>
          <w:p w14:paraId="33F8983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-139,300</w:t>
            </w:r>
          </w:p>
        </w:tc>
        <w:tc>
          <w:tcPr>
            <w:tcW w:w="1420" w:type="dxa"/>
            <w:tcBorders>
              <w:top w:val="nil"/>
              <w:left w:val="nil"/>
              <w:bottom w:val="single" w:sz="4" w:space="0" w:color="A0A0A0"/>
              <w:right w:val="single" w:sz="4" w:space="0" w:color="A0A0A0"/>
            </w:tcBorders>
            <w:shd w:val="clear" w:color="000000" w:fill="FFFFFF"/>
            <w:noWrap/>
            <w:hideMark/>
          </w:tcPr>
          <w:p w14:paraId="62F3ED8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-1,700</w:t>
            </w:r>
          </w:p>
        </w:tc>
      </w:tr>
      <w:tr w:rsidR="00F30104" w:rsidRPr="00F30104" w14:paraId="1EF5509E"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5649234"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Other Interest Paid</w:t>
            </w:r>
          </w:p>
        </w:tc>
        <w:tc>
          <w:tcPr>
            <w:tcW w:w="1420" w:type="dxa"/>
            <w:tcBorders>
              <w:top w:val="nil"/>
              <w:left w:val="nil"/>
              <w:bottom w:val="single" w:sz="4" w:space="0" w:color="A0A0A0"/>
              <w:right w:val="single" w:sz="4" w:space="0" w:color="A0A0A0"/>
            </w:tcBorders>
            <w:shd w:val="clear" w:color="000000" w:fill="FFFFFF"/>
            <w:noWrap/>
            <w:hideMark/>
          </w:tcPr>
          <w:p w14:paraId="5E49D0A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-84,300</w:t>
            </w:r>
          </w:p>
        </w:tc>
        <w:tc>
          <w:tcPr>
            <w:tcW w:w="1420" w:type="dxa"/>
            <w:tcBorders>
              <w:top w:val="nil"/>
              <w:left w:val="nil"/>
              <w:bottom w:val="single" w:sz="4" w:space="0" w:color="A0A0A0"/>
              <w:right w:val="single" w:sz="4" w:space="0" w:color="A0A0A0"/>
            </w:tcBorders>
            <w:shd w:val="clear" w:color="000000" w:fill="FFFFFF"/>
            <w:noWrap/>
            <w:hideMark/>
          </w:tcPr>
          <w:p w14:paraId="50D7330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-88,600</w:t>
            </w:r>
          </w:p>
        </w:tc>
        <w:tc>
          <w:tcPr>
            <w:tcW w:w="1420" w:type="dxa"/>
            <w:tcBorders>
              <w:top w:val="nil"/>
              <w:left w:val="nil"/>
              <w:bottom w:val="single" w:sz="4" w:space="0" w:color="A0A0A0"/>
              <w:right w:val="single" w:sz="4" w:space="0" w:color="A0A0A0"/>
            </w:tcBorders>
            <w:shd w:val="clear" w:color="000000" w:fill="FFFFFF"/>
            <w:noWrap/>
            <w:hideMark/>
          </w:tcPr>
          <w:p w14:paraId="6ACD2D2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-101,800</w:t>
            </w:r>
          </w:p>
        </w:tc>
        <w:tc>
          <w:tcPr>
            <w:tcW w:w="1420" w:type="dxa"/>
            <w:tcBorders>
              <w:top w:val="nil"/>
              <w:left w:val="nil"/>
              <w:bottom w:val="single" w:sz="4" w:space="0" w:color="A0A0A0"/>
              <w:right w:val="single" w:sz="4" w:space="0" w:color="A0A0A0"/>
            </w:tcBorders>
            <w:shd w:val="clear" w:color="000000" w:fill="FFFFFF"/>
            <w:noWrap/>
            <w:hideMark/>
          </w:tcPr>
          <w:p w14:paraId="5C4AA91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-92,900</w:t>
            </w:r>
          </w:p>
        </w:tc>
        <w:tc>
          <w:tcPr>
            <w:tcW w:w="1420" w:type="dxa"/>
            <w:tcBorders>
              <w:top w:val="nil"/>
              <w:left w:val="nil"/>
              <w:bottom w:val="single" w:sz="4" w:space="0" w:color="A0A0A0"/>
              <w:right w:val="single" w:sz="4" w:space="0" w:color="A0A0A0"/>
            </w:tcBorders>
            <w:shd w:val="clear" w:color="000000" w:fill="FFFFFF"/>
            <w:noWrap/>
            <w:hideMark/>
          </w:tcPr>
          <w:p w14:paraId="37464C9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-107,000</w:t>
            </w:r>
          </w:p>
        </w:tc>
      </w:tr>
      <w:tr w:rsidR="00F30104" w:rsidRPr="00F30104" w14:paraId="78F3D7A8"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422785E"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Net Interest</w:t>
            </w:r>
          </w:p>
        </w:tc>
        <w:tc>
          <w:tcPr>
            <w:tcW w:w="1420" w:type="dxa"/>
            <w:tcBorders>
              <w:top w:val="nil"/>
              <w:left w:val="nil"/>
              <w:bottom w:val="single" w:sz="4" w:space="0" w:color="A0A0A0"/>
              <w:right w:val="single" w:sz="4" w:space="0" w:color="A0A0A0"/>
            </w:tcBorders>
            <w:shd w:val="clear" w:color="000000" w:fill="FFFFFF"/>
            <w:noWrap/>
            <w:hideMark/>
          </w:tcPr>
          <w:p w14:paraId="7970861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-39,400</w:t>
            </w:r>
          </w:p>
        </w:tc>
        <w:tc>
          <w:tcPr>
            <w:tcW w:w="1420" w:type="dxa"/>
            <w:tcBorders>
              <w:top w:val="nil"/>
              <w:left w:val="nil"/>
              <w:bottom w:val="single" w:sz="4" w:space="0" w:color="A0A0A0"/>
              <w:right w:val="single" w:sz="4" w:space="0" w:color="A0A0A0"/>
            </w:tcBorders>
            <w:shd w:val="clear" w:color="000000" w:fill="FFFFFF"/>
            <w:noWrap/>
            <w:hideMark/>
          </w:tcPr>
          <w:p w14:paraId="6CD5E9D0"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-180,500</w:t>
            </w:r>
          </w:p>
        </w:tc>
        <w:tc>
          <w:tcPr>
            <w:tcW w:w="1420" w:type="dxa"/>
            <w:tcBorders>
              <w:top w:val="nil"/>
              <w:left w:val="nil"/>
              <w:bottom w:val="single" w:sz="4" w:space="0" w:color="A0A0A0"/>
              <w:right w:val="single" w:sz="4" w:space="0" w:color="A0A0A0"/>
            </w:tcBorders>
            <w:shd w:val="clear" w:color="000000" w:fill="FFFFFF"/>
            <w:noWrap/>
            <w:hideMark/>
          </w:tcPr>
          <w:p w14:paraId="6577C45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-178,700</w:t>
            </w:r>
          </w:p>
        </w:tc>
        <w:tc>
          <w:tcPr>
            <w:tcW w:w="1420" w:type="dxa"/>
            <w:tcBorders>
              <w:top w:val="nil"/>
              <w:left w:val="nil"/>
              <w:bottom w:val="single" w:sz="4" w:space="0" w:color="A0A0A0"/>
              <w:right w:val="single" w:sz="4" w:space="0" w:color="A0A0A0"/>
            </w:tcBorders>
            <w:shd w:val="clear" w:color="000000" w:fill="FFFFFF"/>
            <w:noWrap/>
            <w:hideMark/>
          </w:tcPr>
          <w:p w14:paraId="3EB3966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-187,600</w:t>
            </w:r>
          </w:p>
        </w:tc>
        <w:tc>
          <w:tcPr>
            <w:tcW w:w="1420" w:type="dxa"/>
            <w:tcBorders>
              <w:top w:val="nil"/>
              <w:left w:val="nil"/>
              <w:bottom w:val="single" w:sz="4" w:space="0" w:color="A0A0A0"/>
              <w:right w:val="single" w:sz="4" w:space="0" w:color="A0A0A0"/>
            </w:tcBorders>
            <w:shd w:val="clear" w:color="000000" w:fill="FFFFFF"/>
            <w:noWrap/>
            <w:hideMark/>
          </w:tcPr>
          <w:p w14:paraId="0A9E60C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-77,800</w:t>
            </w:r>
          </w:p>
        </w:tc>
      </w:tr>
      <w:tr w:rsidR="00F30104" w:rsidRPr="00F30104" w14:paraId="0FAE9280"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DA543A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Profit (Loss) before Tax</w:t>
            </w:r>
          </w:p>
        </w:tc>
        <w:tc>
          <w:tcPr>
            <w:tcW w:w="1420" w:type="dxa"/>
            <w:tcBorders>
              <w:top w:val="nil"/>
              <w:left w:val="nil"/>
              <w:bottom w:val="single" w:sz="4" w:space="0" w:color="A0A0A0"/>
              <w:right w:val="single" w:sz="4" w:space="0" w:color="A0A0A0"/>
            </w:tcBorders>
            <w:shd w:val="clear" w:color="000000" w:fill="FFFFFF"/>
            <w:noWrap/>
            <w:hideMark/>
          </w:tcPr>
          <w:p w14:paraId="08219F8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475,700</w:t>
            </w:r>
          </w:p>
        </w:tc>
        <w:tc>
          <w:tcPr>
            <w:tcW w:w="1420" w:type="dxa"/>
            <w:tcBorders>
              <w:top w:val="nil"/>
              <w:left w:val="nil"/>
              <w:bottom w:val="single" w:sz="4" w:space="0" w:color="A0A0A0"/>
              <w:right w:val="single" w:sz="4" w:space="0" w:color="A0A0A0"/>
            </w:tcBorders>
            <w:shd w:val="clear" w:color="000000" w:fill="FFFFFF"/>
            <w:noWrap/>
            <w:hideMark/>
          </w:tcPr>
          <w:p w14:paraId="0CF1146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391,700</w:t>
            </w:r>
          </w:p>
        </w:tc>
        <w:tc>
          <w:tcPr>
            <w:tcW w:w="1420" w:type="dxa"/>
            <w:tcBorders>
              <w:top w:val="nil"/>
              <w:left w:val="nil"/>
              <w:bottom w:val="single" w:sz="4" w:space="0" w:color="A0A0A0"/>
              <w:right w:val="single" w:sz="4" w:space="0" w:color="A0A0A0"/>
            </w:tcBorders>
            <w:shd w:val="clear" w:color="000000" w:fill="FFFFFF"/>
            <w:noWrap/>
            <w:hideMark/>
          </w:tcPr>
          <w:p w14:paraId="17A83C30"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-209,400</w:t>
            </w:r>
          </w:p>
        </w:tc>
        <w:tc>
          <w:tcPr>
            <w:tcW w:w="1420" w:type="dxa"/>
            <w:tcBorders>
              <w:top w:val="nil"/>
              <w:left w:val="nil"/>
              <w:bottom w:val="single" w:sz="4" w:space="0" w:color="A0A0A0"/>
              <w:right w:val="single" w:sz="4" w:space="0" w:color="A0A0A0"/>
            </w:tcBorders>
            <w:shd w:val="clear" w:color="000000" w:fill="FFFFFF"/>
            <w:noWrap/>
            <w:hideMark/>
          </w:tcPr>
          <w:p w14:paraId="2C19BA9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67,200</w:t>
            </w:r>
          </w:p>
        </w:tc>
        <w:tc>
          <w:tcPr>
            <w:tcW w:w="1420" w:type="dxa"/>
            <w:tcBorders>
              <w:top w:val="nil"/>
              <w:left w:val="nil"/>
              <w:bottom w:val="single" w:sz="4" w:space="0" w:color="A0A0A0"/>
              <w:right w:val="single" w:sz="4" w:space="0" w:color="A0A0A0"/>
            </w:tcBorders>
            <w:shd w:val="clear" w:color="000000" w:fill="FFFFFF"/>
            <w:noWrap/>
            <w:hideMark/>
          </w:tcPr>
          <w:p w14:paraId="7217A1F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84,600</w:t>
            </w:r>
          </w:p>
        </w:tc>
      </w:tr>
      <w:tr w:rsidR="00F30104" w:rsidRPr="00F30104" w14:paraId="632E3092"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736EA7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Taxation</w:t>
            </w:r>
          </w:p>
        </w:tc>
        <w:tc>
          <w:tcPr>
            <w:tcW w:w="1420" w:type="dxa"/>
            <w:tcBorders>
              <w:top w:val="nil"/>
              <w:left w:val="nil"/>
              <w:bottom w:val="single" w:sz="4" w:space="0" w:color="A0A0A0"/>
              <w:right w:val="single" w:sz="4" w:space="0" w:color="A0A0A0"/>
            </w:tcBorders>
            <w:shd w:val="clear" w:color="000000" w:fill="FFFFFF"/>
            <w:noWrap/>
            <w:hideMark/>
          </w:tcPr>
          <w:p w14:paraId="50CE2A14"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-111,200</w:t>
            </w:r>
          </w:p>
        </w:tc>
        <w:tc>
          <w:tcPr>
            <w:tcW w:w="1420" w:type="dxa"/>
            <w:tcBorders>
              <w:top w:val="nil"/>
              <w:left w:val="nil"/>
              <w:bottom w:val="single" w:sz="4" w:space="0" w:color="A0A0A0"/>
              <w:right w:val="single" w:sz="4" w:space="0" w:color="A0A0A0"/>
            </w:tcBorders>
            <w:shd w:val="clear" w:color="000000" w:fill="FFFFFF"/>
            <w:noWrap/>
            <w:hideMark/>
          </w:tcPr>
          <w:p w14:paraId="1031205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-82,700</w:t>
            </w:r>
          </w:p>
        </w:tc>
        <w:tc>
          <w:tcPr>
            <w:tcW w:w="1420" w:type="dxa"/>
            <w:tcBorders>
              <w:top w:val="nil"/>
              <w:left w:val="nil"/>
              <w:bottom w:val="single" w:sz="4" w:space="0" w:color="A0A0A0"/>
              <w:right w:val="single" w:sz="4" w:space="0" w:color="A0A0A0"/>
            </w:tcBorders>
            <w:shd w:val="clear" w:color="000000" w:fill="FFFFFF"/>
            <w:noWrap/>
            <w:hideMark/>
          </w:tcPr>
          <w:p w14:paraId="47B2E36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8,200</w:t>
            </w:r>
          </w:p>
        </w:tc>
        <w:tc>
          <w:tcPr>
            <w:tcW w:w="1420" w:type="dxa"/>
            <w:tcBorders>
              <w:top w:val="nil"/>
              <w:left w:val="nil"/>
              <w:bottom w:val="single" w:sz="4" w:space="0" w:color="A0A0A0"/>
              <w:right w:val="single" w:sz="4" w:space="0" w:color="A0A0A0"/>
            </w:tcBorders>
            <w:shd w:val="clear" w:color="000000" w:fill="FFFFFF"/>
            <w:noWrap/>
            <w:hideMark/>
          </w:tcPr>
          <w:p w14:paraId="34CBB86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-39,800</w:t>
            </w:r>
          </w:p>
        </w:tc>
        <w:tc>
          <w:tcPr>
            <w:tcW w:w="1420" w:type="dxa"/>
            <w:tcBorders>
              <w:top w:val="nil"/>
              <w:left w:val="nil"/>
              <w:bottom w:val="single" w:sz="4" w:space="0" w:color="A0A0A0"/>
              <w:right w:val="single" w:sz="4" w:space="0" w:color="A0A0A0"/>
            </w:tcBorders>
            <w:shd w:val="clear" w:color="000000" w:fill="FFFFFF"/>
            <w:noWrap/>
            <w:hideMark/>
          </w:tcPr>
          <w:p w14:paraId="066EC95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-47,300</w:t>
            </w:r>
          </w:p>
        </w:tc>
      </w:tr>
      <w:tr w:rsidR="00F30104" w:rsidRPr="00F30104" w14:paraId="6FE1A2D4"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7E0A2C7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Profit (Loss) after Tax</w:t>
            </w:r>
          </w:p>
        </w:tc>
        <w:tc>
          <w:tcPr>
            <w:tcW w:w="1420" w:type="dxa"/>
            <w:tcBorders>
              <w:top w:val="nil"/>
              <w:left w:val="nil"/>
              <w:bottom w:val="single" w:sz="4" w:space="0" w:color="A0A0A0"/>
              <w:right w:val="single" w:sz="4" w:space="0" w:color="A0A0A0"/>
            </w:tcBorders>
            <w:shd w:val="clear" w:color="000000" w:fill="FFFFFF"/>
            <w:noWrap/>
            <w:hideMark/>
          </w:tcPr>
          <w:p w14:paraId="675828B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364,500</w:t>
            </w:r>
          </w:p>
        </w:tc>
        <w:tc>
          <w:tcPr>
            <w:tcW w:w="1420" w:type="dxa"/>
            <w:tcBorders>
              <w:top w:val="nil"/>
              <w:left w:val="nil"/>
              <w:bottom w:val="single" w:sz="4" w:space="0" w:color="A0A0A0"/>
              <w:right w:val="single" w:sz="4" w:space="0" w:color="A0A0A0"/>
            </w:tcBorders>
            <w:shd w:val="clear" w:color="000000" w:fill="FFFFFF"/>
            <w:noWrap/>
            <w:hideMark/>
          </w:tcPr>
          <w:p w14:paraId="3C1E0450"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309,000</w:t>
            </w:r>
          </w:p>
        </w:tc>
        <w:tc>
          <w:tcPr>
            <w:tcW w:w="1420" w:type="dxa"/>
            <w:tcBorders>
              <w:top w:val="nil"/>
              <w:left w:val="nil"/>
              <w:bottom w:val="single" w:sz="4" w:space="0" w:color="A0A0A0"/>
              <w:right w:val="single" w:sz="4" w:space="0" w:color="A0A0A0"/>
            </w:tcBorders>
            <w:shd w:val="clear" w:color="000000" w:fill="FFFFFF"/>
            <w:noWrap/>
            <w:hideMark/>
          </w:tcPr>
          <w:p w14:paraId="66984E1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-201,200</w:t>
            </w:r>
          </w:p>
        </w:tc>
        <w:tc>
          <w:tcPr>
            <w:tcW w:w="1420" w:type="dxa"/>
            <w:tcBorders>
              <w:top w:val="nil"/>
              <w:left w:val="nil"/>
              <w:bottom w:val="single" w:sz="4" w:space="0" w:color="A0A0A0"/>
              <w:right w:val="single" w:sz="4" w:space="0" w:color="A0A0A0"/>
            </w:tcBorders>
            <w:shd w:val="clear" w:color="000000" w:fill="FFFFFF"/>
            <w:noWrap/>
            <w:hideMark/>
          </w:tcPr>
          <w:p w14:paraId="7BF9EC0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27,400</w:t>
            </w:r>
          </w:p>
        </w:tc>
        <w:tc>
          <w:tcPr>
            <w:tcW w:w="1420" w:type="dxa"/>
            <w:tcBorders>
              <w:top w:val="nil"/>
              <w:left w:val="nil"/>
              <w:bottom w:val="single" w:sz="4" w:space="0" w:color="A0A0A0"/>
              <w:right w:val="single" w:sz="4" w:space="0" w:color="A0A0A0"/>
            </w:tcBorders>
            <w:shd w:val="clear" w:color="000000" w:fill="FFFFFF"/>
            <w:noWrap/>
            <w:hideMark/>
          </w:tcPr>
          <w:p w14:paraId="3DE0B08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37,300</w:t>
            </w:r>
          </w:p>
        </w:tc>
      </w:tr>
      <w:tr w:rsidR="00F30104" w:rsidRPr="00F30104" w14:paraId="40C7C1A9"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E30932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Extraordinary Items</w:t>
            </w:r>
          </w:p>
        </w:tc>
        <w:tc>
          <w:tcPr>
            <w:tcW w:w="1420" w:type="dxa"/>
            <w:tcBorders>
              <w:top w:val="nil"/>
              <w:left w:val="nil"/>
              <w:bottom w:val="single" w:sz="4" w:space="0" w:color="A0A0A0"/>
              <w:right w:val="single" w:sz="4" w:space="0" w:color="A0A0A0"/>
            </w:tcBorders>
            <w:shd w:val="clear" w:color="000000" w:fill="FFFFFF"/>
            <w:noWrap/>
            <w:vAlign w:val="bottom"/>
            <w:hideMark/>
          </w:tcPr>
          <w:p w14:paraId="688A2DFC"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8130F31"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E3A7AD5"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487016B"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A4E16A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0BB8CCF5"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A5D44B0"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Minority Interests</w:t>
            </w:r>
          </w:p>
        </w:tc>
        <w:tc>
          <w:tcPr>
            <w:tcW w:w="1420" w:type="dxa"/>
            <w:tcBorders>
              <w:top w:val="nil"/>
              <w:left w:val="nil"/>
              <w:bottom w:val="single" w:sz="4" w:space="0" w:color="A0A0A0"/>
              <w:right w:val="single" w:sz="4" w:space="0" w:color="A0A0A0"/>
            </w:tcBorders>
            <w:shd w:val="clear" w:color="000000" w:fill="FFFFFF"/>
            <w:noWrap/>
            <w:hideMark/>
          </w:tcPr>
          <w:p w14:paraId="7720FB0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-1,100</w:t>
            </w:r>
          </w:p>
        </w:tc>
        <w:tc>
          <w:tcPr>
            <w:tcW w:w="1420" w:type="dxa"/>
            <w:tcBorders>
              <w:top w:val="nil"/>
              <w:left w:val="nil"/>
              <w:bottom w:val="single" w:sz="4" w:space="0" w:color="A0A0A0"/>
              <w:right w:val="single" w:sz="4" w:space="0" w:color="A0A0A0"/>
            </w:tcBorders>
            <w:shd w:val="clear" w:color="000000" w:fill="FFFFFF"/>
            <w:noWrap/>
            <w:hideMark/>
          </w:tcPr>
          <w:p w14:paraId="474B861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-2,400</w:t>
            </w:r>
          </w:p>
        </w:tc>
        <w:tc>
          <w:tcPr>
            <w:tcW w:w="1420" w:type="dxa"/>
            <w:tcBorders>
              <w:top w:val="nil"/>
              <w:left w:val="nil"/>
              <w:bottom w:val="single" w:sz="4" w:space="0" w:color="A0A0A0"/>
              <w:right w:val="single" w:sz="4" w:space="0" w:color="A0A0A0"/>
            </w:tcBorders>
            <w:shd w:val="clear" w:color="000000" w:fill="FFFFFF"/>
            <w:noWrap/>
            <w:hideMark/>
          </w:tcPr>
          <w:p w14:paraId="37635FD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3,200</w:t>
            </w:r>
          </w:p>
        </w:tc>
        <w:tc>
          <w:tcPr>
            <w:tcW w:w="1420" w:type="dxa"/>
            <w:tcBorders>
              <w:top w:val="nil"/>
              <w:left w:val="nil"/>
              <w:bottom w:val="single" w:sz="4" w:space="0" w:color="A0A0A0"/>
              <w:right w:val="single" w:sz="4" w:space="0" w:color="A0A0A0"/>
            </w:tcBorders>
            <w:shd w:val="clear" w:color="000000" w:fill="FFFFFF"/>
            <w:noWrap/>
            <w:hideMark/>
          </w:tcPr>
          <w:p w14:paraId="7A60AC3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-3,700</w:t>
            </w:r>
          </w:p>
        </w:tc>
        <w:tc>
          <w:tcPr>
            <w:tcW w:w="1420" w:type="dxa"/>
            <w:tcBorders>
              <w:top w:val="nil"/>
              <w:left w:val="nil"/>
              <w:bottom w:val="single" w:sz="4" w:space="0" w:color="A0A0A0"/>
              <w:right w:val="single" w:sz="4" w:space="0" w:color="A0A0A0"/>
            </w:tcBorders>
            <w:shd w:val="clear" w:color="000000" w:fill="FFFFFF"/>
            <w:noWrap/>
            <w:hideMark/>
          </w:tcPr>
          <w:p w14:paraId="69BCD15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-3,800</w:t>
            </w:r>
          </w:p>
        </w:tc>
      </w:tr>
      <w:tr w:rsidR="00F30104" w:rsidRPr="00F30104" w14:paraId="20B1D39E"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B9B8342"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Profit (Loss) for period [=Net income]</w:t>
            </w:r>
          </w:p>
        </w:tc>
        <w:tc>
          <w:tcPr>
            <w:tcW w:w="1420" w:type="dxa"/>
            <w:tcBorders>
              <w:top w:val="nil"/>
              <w:left w:val="nil"/>
              <w:bottom w:val="single" w:sz="4" w:space="0" w:color="A0A0A0"/>
              <w:right w:val="single" w:sz="4" w:space="0" w:color="A0A0A0"/>
            </w:tcBorders>
            <w:shd w:val="clear" w:color="000000" w:fill="FFFFFF"/>
            <w:noWrap/>
            <w:hideMark/>
          </w:tcPr>
          <w:p w14:paraId="280753E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363,400</w:t>
            </w:r>
          </w:p>
        </w:tc>
        <w:tc>
          <w:tcPr>
            <w:tcW w:w="1420" w:type="dxa"/>
            <w:tcBorders>
              <w:top w:val="nil"/>
              <w:left w:val="nil"/>
              <w:bottom w:val="single" w:sz="4" w:space="0" w:color="A0A0A0"/>
              <w:right w:val="single" w:sz="4" w:space="0" w:color="A0A0A0"/>
            </w:tcBorders>
            <w:shd w:val="clear" w:color="000000" w:fill="FFFFFF"/>
            <w:noWrap/>
            <w:hideMark/>
          </w:tcPr>
          <w:p w14:paraId="3C2B292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306,600</w:t>
            </w:r>
          </w:p>
        </w:tc>
        <w:tc>
          <w:tcPr>
            <w:tcW w:w="1420" w:type="dxa"/>
            <w:tcBorders>
              <w:top w:val="nil"/>
              <w:left w:val="nil"/>
              <w:bottom w:val="single" w:sz="4" w:space="0" w:color="A0A0A0"/>
              <w:right w:val="single" w:sz="4" w:space="0" w:color="A0A0A0"/>
            </w:tcBorders>
            <w:shd w:val="clear" w:color="000000" w:fill="FFFFFF"/>
            <w:noWrap/>
            <w:hideMark/>
          </w:tcPr>
          <w:p w14:paraId="5ED67B4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-198,000</w:t>
            </w:r>
          </w:p>
        </w:tc>
        <w:tc>
          <w:tcPr>
            <w:tcW w:w="1420" w:type="dxa"/>
            <w:tcBorders>
              <w:top w:val="nil"/>
              <w:left w:val="nil"/>
              <w:bottom w:val="single" w:sz="4" w:space="0" w:color="A0A0A0"/>
              <w:right w:val="single" w:sz="4" w:space="0" w:color="A0A0A0"/>
            </w:tcBorders>
            <w:shd w:val="clear" w:color="000000" w:fill="FFFFFF"/>
            <w:noWrap/>
            <w:hideMark/>
          </w:tcPr>
          <w:p w14:paraId="6544693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23,700</w:t>
            </w:r>
          </w:p>
        </w:tc>
        <w:tc>
          <w:tcPr>
            <w:tcW w:w="1420" w:type="dxa"/>
            <w:tcBorders>
              <w:top w:val="nil"/>
              <w:left w:val="nil"/>
              <w:bottom w:val="single" w:sz="4" w:space="0" w:color="A0A0A0"/>
              <w:right w:val="single" w:sz="4" w:space="0" w:color="A0A0A0"/>
            </w:tcBorders>
            <w:shd w:val="clear" w:color="000000" w:fill="FFFFFF"/>
            <w:noWrap/>
            <w:hideMark/>
          </w:tcPr>
          <w:p w14:paraId="0C868BE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33,500</w:t>
            </w:r>
          </w:p>
        </w:tc>
      </w:tr>
      <w:tr w:rsidR="00F30104" w:rsidRPr="00F30104" w14:paraId="3F84502B"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1101ECD"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Dividends (Distributable profit)</w:t>
            </w:r>
          </w:p>
        </w:tc>
        <w:tc>
          <w:tcPr>
            <w:tcW w:w="1420" w:type="dxa"/>
            <w:tcBorders>
              <w:top w:val="nil"/>
              <w:left w:val="nil"/>
              <w:bottom w:val="single" w:sz="4" w:space="0" w:color="A0A0A0"/>
              <w:right w:val="single" w:sz="4" w:space="0" w:color="A0A0A0"/>
            </w:tcBorders>
            <w:shd w:val="clear" w:color="000000" w:fill="FFFFFF"/>
            <w:noWrap/>
            <w:vAlign w:val="bottom"/>
            <w:hideMark/>
          </w:tcPr>
          <w:p w14:paraId="427A8679"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7185AE4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07C410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hideMark/>
          </w:tcPr>
          <w:p w14:paraId="29D74BA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-191,100</w:t>
            </w:r>
          </w:p>
        </w:tc>
        <w:tc>
          <w:tcPr>
            <w:tcW w:w="1420" w:type="dxa"/>
            <w:tcBorders>
              <w:top w:val="nil"/>
              <w:left w:val="nil"/>
              <w:bottom w:val="single" w:sz="4" w:space="0" w:color="A0A0A0"/>
              <w:right w:val="single" w:sz="4" w:space="0" w:color="A0A0A0"/>
            </w:tcBorders>
            <w:shd w:val="clear" w:color="000000" w:fill="FFFFFF"/>
            <w:noWrap/>
            <w:hideMark/>
          </w:tcPr>
          <w:p w14:paraId="437D787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-303,500</w:t>
            </w:r>
          </w:p>
        </w:tc>
      </w:tr>
      <w:tr w:rsidR="00F30104" w:rsidRPr="00F30104" w14:paraId="5C4780D0"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20445A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Retained Profit(Loss)</w:t>
            </w:r>
          </w:p>
        </w:tc>
        <w:tc>
          <w:tcPr>
            <w:tcW w:w="1420" w:type="dxa"/>
            <w:tcBorders>
              <w:top w:val="nil"/>
              <w:left w:val="nil"/>
              <w:bottom w:val="single" w:sz="4" w:space="0" w:color="A0A0A0"/>
              <w:right w:val="single" w:sz="4" w:space="0" w:color="A0A0A0"/>
            </w:tcBorders>
            <w:shd w:val="clear" w:color="000000" w:fill="FFFFFF"/>
            <w:noWrap/>
            <w:hideMark/>
          </w:tcPr>
          <w:p w14:paraId="08F1152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363,400</w:t>
            </w:r>
          </w:p>
        </w:tc>
        <w:tc>
          <w:tcPr>
            <w:tcW w:w="1420" w:type="dxa"/>
            <w:tcBorders>
              <w:top w:val="nil"/>
              <w:left w:val="nil"/>
              <w:bottom w:val="single" w:sz="4" w:space="0" w:color="A0A0A0"/>
              <w:right w:val="single" w:sz="4" w:space="0" w:color="A0A0A0"/>
            </w:tcBorders>
            <w:shd w:val="clear" w:color="000000" w:fill="FFFFFF"/>
            <w:noWrap/>
            <w:hideMark/>
          </w:tcPr>
          <w:p w14:paraId="23C61C5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306,600</w:t>
            </w:r>
          </w:p>
        </w:tc>
        <w:tc>
          <w:tcPr>
            <w:tcW w:w="1420" w:type="dxa"/>
            <w:tcBorders>
              <w:top w:val="nil"/>
              <w:left w:val="nil"/>
              <w:bottom w:val="single" w:sz="4" w:space="0" w:color="A0A0A0"/>
              <w:right w:val="single" w:sz="4" w:space="0" w:color="A0A0A0"/>
            </w:tcBorders>
            <w:shd w:val="clear" w:color="000000" w:fill="FFFFFF"/>
            <w:noWrap/>
            <w:hideMark/>
          </w:tcPr>
          <w:p w14:paraId="023A09E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-198,000</w:t>
            </w:r>
          </w:p>
        </w:tc>
        <w:tc>
          <w:tcPr>
            <w:tcW w:w="1420" w:type="dxa"/>
            <w:tcBorders>
              <w:top w:val="nil"/>
              <w:left w:val="nil"/>
              <w:bottom w:val="single" w:sz="4" w:space="0" w:color="A0A0A0"/>
              <w:right w:val="single" w:sz="4" w:space="0" w:color="A0A0A0"/>
            </w:tcBorders>
            <w:shd w:val="clear" w:color="000000" w:fill="FFFFFF"/>
            <w:noWrap/>
            <w:hideMark/>
          </w:tcPr>
          <w:p w14:paraId="079AA3A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-167,400</w:t>
            </w:r>
          </w:p>
        </w:tc>
        <w:tc>
          <w:tcPr>
            <w:tcW w:w="1420" w:type="dxa"/>
            <w:tcBorders>
              <w:top w:val="nil"/>
              <w:left w:val="nil"/>
              <w:bottom w:val="single" w:sz="4" w:space="0" w:color="A0A0A0"/>
              <w:right w:val="single" w:sz="4" w:space="0" w:color="A0A0A0"/>
            </w:tcBorders>
            <w:shd w:val="clear" w:color="000000" w:fill="FFFFFF"/>
            <w:noWrap/>
            <w:hideMark/>
          </w:tcPr>
          <w:p w14:paraId="52853B7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-270,000</w:t>
            </w:r>
          </w:p>
        </w:tc>
      </w:tr>
      <w:tr w:rsidR="00F30104" w:rsidRPr="00F30104" w14:paraId="5437BDEF" w14:textId="77777777" w:rsidTr="00C01D50">
        <w:trPr>
          <w:trHeight w:val="503"/>
        </w:trPr>
        <w:tc>
          <w:tcPr>
            <w:tcW w:w="2900" w:type="dxa"/>
            <w:tcBorders>
              <w:top w:val="nil"/>
              <w:left w:val="nil"/>
              <w:bottom w:val="nil"/>
              <w:right w:val="nil"/>
            </w:tcBorders>
            <w:shd w:val="clear" w:color="000000" w:fill="FFFFFF"/>
            <w:noWrap/>
            <w:vAlign w:val="bottom"/>
            <w:hideMark/>
          </w:tcPr>
          <w:p w14:paraId="3E25A3BF"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4507BDB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5505DB7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5CC130BB"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7A77613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50D9F27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21C9C7A0" w14:textId="77777777" w:rsidTr="00C01D50">
        <w:trPr>
          <w:trHeight w:val="503"/>
        </w:trPr>
        <w:tc>
          <w:tcPr>
            <w:tcW w:w="2900" w:type="dxa"/>
            <w:tcBorders>
              <w:top w:val="single" w:sz="4" w:space="0" w:color="A0A0A0"/>
              <w:left w:val="single" w:sz="4" w:space="0" w:color="A0A0A0"/>
              <w:bottom w:val="single" w:sz="4" w:space="0" w:color="A0A0A0"/>
              <w:right w:val="single" w:sz="4" w:space="0" w:color="A0A0A0"/>
            </w:tcBorders>
            <w:shd w:val="clear" w:color="000000" w:fill="FFFFFF"/>
            <w:vAlign w:val="center"/>
            <w:hideMark/>
          </w:tcPr>
          <w:p w14:paraId="797E5994"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Depreciation</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7F3F883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506,000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43596CC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481,500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58AF4DE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529,500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584BC26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572,300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6D6DA11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511,400</w:t>
            </w:r>
          </w:p>
        </w:tc>
      </w:tr>
      <w:tr w:rsidR="00F30104" w:rsidRPr="00F30104" w14:paraId="4D746D6E"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4FBF7B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Depreciation Owned Assets</w:t>
            </w:r>
          </w:p>
        </w:tc>
        <w:tc>
          <w:tcPr>
            <w:tcW w:w="1420" w:type="dxa"/>
            <w:tcBorders>
              <w:top w:val="nil"/>
              <w:left w:val="nil"/>
              <w:bottom w:val="single" w:sz="4" w:space="0" w:color="A0A0A0"/>
              <w:right w:val="single" w:sz="4" w:space="0" w:color="A0A0A0"/>
            </w:tcBorders>
            <w:shd w:val="clear" w:color="000000" w:fill="FFFFFF"/>
            <w:noWrap/>
            <w:hideMark/>
          </w:tcPr>
          <w:p w14:paraId="615A7F2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310,300</w:t>
            </w:r>
          </w:p>
        </w:tc>
        <w:tc>
          <w:tcPr>
            <w:tcW w:w="1420" w:type="dxa"/>
            <w:tcBorders>
              <w:top w:val="nil"/>
              <w:left w:val="nil"/>
              <w:bottom w:val="single" w:sz="4" w:space="0" w:color="A0A0A0"/>
              <w:right w:val="single" w:sz="4" w:space="0" w:color="A0A0A0"/>
            </w:tcBorders>
            <w:shd w:val="clear" w:color="000000" w:fill="FFFFFF"/>
            <w:noWrap/>
            <w:hideMark/>
          </w:tcPr>
          <w:p w14:paraId="67CD791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290,300</w:t>
            </w:r>
          </w:p>
        </w:tc>
        <w:tc>
          <w:tcPr>
            <w:tcW w:w="1420" w:type="dxa"/>
            <w:tcBorders>
              <w:top w:val="nil"/>
              <w:left w:val="nil"/>
              <w:bottom w:val="single" w:sz="4" w:space="0" w:color="A0A0A0"/>
              <w:right w:val="single" w:sz="4" w:space="0" w:color="A0A0A0"/>
            </w:tcBorders>
            <w:shd w:val="clear" w:color="000000" w:fill="FFFFFF"/>
            <w:noWrap/>
            <w:hideMark/>
          </w:tcPr>
          <w:p w14:paraId="50ABA42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311,800</w:t>
            </w:r>
          </w:p>
        </w:tc>
        <w:tc>
          <w:tcPr>
            <w:tcW w:w="1420" w:type="dxa"/>
            <w:tcBorders>
              <w:top w:val="nil"/>
              <w:left w:val="nil"/>
              <w:bottom w:val="single" w:sz="4" w:space="0" w:color="A0A0A0"/>
              <w:right w:val="single" w:sz="4" w:space="0" w:color="A0A0A0"/>
            </w:tcBorders>
            <w:shd w:val="clear" w:color="000000" w:fill="FFFFFF"/>
            <w:noWrap/>
            <w:hideMark/>
          </w:tcPr>
          <w:p w14:paraId="63C621F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329,200</w:t>
            </w:r>
          </w:p>
        </w:tc>
        <w:tc>
          <w:tcPr>
            <w:tcW w:w="1420" w:type="dxa"/>
            <w:tcBorders>
              <w:top w:val="nil"/>
              <w:left w:val="nil"/>
              <w:bottom w:val="single" w:sz="4" w:space="0" w:color="A0A0A0"/>
              <w:right w:val="single" w:sz="4" w:space="0" w:color="A0A0A0"/>
            </w:tcBorders>
            <w:shd w:val="clear" w:color="000000" w:fill="FFFFFF"/>
            <w:noWrap/>
            <w:hideMark/>
          </w:tcPr>
          <w:p w14:paraId="431310B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440,000</w:t>
            </w:r>
          </w:p>
        </w:tc>
      </w:tr>
      <w:tr w:rsidR="00F30104" w:rsidRPr="00F30104" w14:paraId="3D69C775"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696FCF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Depreciation Other Assets</w:t>
            </w:r>
          </w:p>
        </w:tc>
        <w:tc>
          <w:tcPr>
            <w:tcW w:w="1420" w:type="dxa"/>
            <w:tcBorders>
              <w:top w:val="nil"/>
              <w:left w:val="nil"/>
              <w:bottom w:val="single" w:sz="4" w:space="0" w:color="A0A0A0"/>
              <w:right w:val="single" w:sz="4" w:space="0" w:color="A0A0A0"/>
            </w:tcBorders>
            <w:shd w:val="clear" w:color="000000" w:fill="FFFFFF"/>
            <w:noWrap/>
            <w:hideMark/>
          </w:tcPr>
          <w:p w14:paraId="697347B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180,900</w:t>
            </w:r>
          </w:p>
        </w:tc>
        <w:tc>
          <w:tcPr>
            <w:tcW w:w="1420" w:type="dxa"/>
            <w:tcBorders>
              <w:top w:val="nil"/>
              <w:left w:val="nil"/>
              <w:bottom w:val="single" w:sz="4" w:space="0" w:color="A0A0A0"/>
              <w:right w:val="single" w:sz="4" w:space="0" w:color="A0A0A0"/>
            </w:tcBorders>
            <w:shd w:val="clear" w:color="000000" w:fill="FFFFFF"/>
            <w:noWrap/>
            <w:hideMark/>
          </w:tcPr>
          <w:p w14:paraId="0692922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167,800</w:t>
            </w:r>
          </w:p>
        </w:tc>
        <w:tc>
          <w:tcPr>
            <w:tcW w:w="1420" w:type="dxa"/>
            <w:tcBorders>
              <w:top w:val="nil"/>
              <w:left w:val="nil"/>
              <w:bottom w:val="single" w:sz="4" w:space="0" w:color="A0A0A0"/>
              <w:right w:val="single" w:sz="4" w:space="0" w:color="A0A0A0"/>
            </w:tcBorders>
            <w:shd w:val="clear" w:color="000000" w:fill="FFFFFF"/>
            <w:noWrap/>
            <w:hideMark/>
          </w:tcPr>
          <w:p w14:paraId="3FFE43E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153,100</w:t>
            </w:r>
          </w:p>
        </w:tc>
        <w:tc>
          <w:tcPr>
            <w:tcW w:w="1420" w:type="dxa"/>
            <w:tcBorders>
              <w:top w:val="nil"/>
              <w:left w:val="nil"/>
              <w:bottom w:val="single" w:sz="4" w:space="0" w:color="A0A0A0"/>
              <w:right w:val="single" w:sz="4" w:space="0" w:color="A0A0A0"/>
            </w:tcBorders>
            <w:shd w:val="clear" w:color="000000" w:fill="FFFFFF"/>
            <w:noWrap/>
            <w:hideMark/>
          </w:tcPr>
          <w:p w14:paraId="1880BFC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174,600</w:t>
            </w:r>
          </w:p>
        </w:tc>
        <w:tc>
          <w:tcPr>
            <w:tcW w:w="1420" w:type="dxa"/>
            <w:tcBorders>
              <w:top w:val="nil"/>
              <w:left w:val="nil"/>
              <w:bottom w:val="single" w:sz="4" w:space="0" w:color="A0A0A0"/>
              <w:right w:val="single" w:sz="4" w:space="0" w:color="A0A0A0"/>
            </w:tcBorders>
            <w:shd w:val="clear" w:color="000000" w:fill="FFFFFF"/>
            <w:noWrap/>
            <w:hideMark/>
          </w:tcPr>
          <w:p w14:paraId="1E4AFA1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1,700</w:t>
            </w:r>
          </w:p>
        </w:tc>
      </w:tr>
      <w:tr w:rsidR="00F30104" w:rsidRPr="00F30104" w14:paraId="26C0D295"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1E15B1B1"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Impairment of Tangible Assets</w:t>
            </w:r>
          </w:p>
        </w:tc>
        <w:tc>
          <w:tcPr>
            <w:tcW w:w="1420" w:type="dxa"/>
            <w:tcBorders>
              <w:top w:val="nil"/>
              <w:left w:val="nil"/>
              <w:bottom w:val="single" w:sz="4" w:space="0" w:color="A0A0A0"/>
              <w:right w:val="single" w:sz="4" w:space="0" w:color="A0A0A0"/>
            </w:tcBorders>
            <w:shd w:val="clear" w:color="000000" w:fill="FFFFFF"/>
            <w:noWrap/>
            <w:hideMark/>
          </w:tcPr>
          <w:p w14:paraId="414E9324"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14,800</w:t>
            </w:r>
          </w:p>
        </w:tc>
        <w:tc>
          <w:tcPr>
            <w:tcW w:w="1420" w:type="dxa"/>
            <w:tcBorders>
              <w:top w:val="nil"/>
              <w:left w:val="nil"/>
              <w:bottom w:val="single" w:sz="4" w:space="0" w:color="A0A0A0"/>
              <w:right w:val="single" w:sz="4" w:space="0" w:color="A0A0A0"/>
            </w:tcBorders>
            <w:shd w:val="clear" w:color="000000" w:fill="FFFFFF"/>
            <w:noWrap/>
            <w:hideMark/>
          </w:tcPr>
          <w:p w14:paraId="7E6F9C9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23,400</w:t>
            </w:r>
          </w:p>
        </w:tc>
        <w:tc>
          <w:tcPr>
            <w:tcW w:w="1420" w:type="dxa"/>
            <w:tcBorders>
              <w:top w:val="nil"/>
              <w:left w:val="nil"/>
              <w:bottom w:val="single" w:sz="4" w:space="0" w:color="A0A0A0"/>
              <w:right w:val="single" w:sz="4" w:space="0" w:color="A0A0A0"/>
            </w:tcBorders>
            <w:shd w:val="clear" w:color="000000" w:fill="FFFFFF"/>
            <w:noWrap/>
            <w:hideMark/>
          </w:tcPr>
          <w:p w14:paraId="1AD88A1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64,600</w:t>
            </w:r>
          </w:p>
        </w:tc>
        <w:tc>
          <w:tcPr>
            <w:tcW w:w="1420" w:type="dxa"/>
            <w:tcBorders>
              <w:top w:val="nil"/>
              <w:left w:val="nil"/>
              <w:bottom w:val="single" w:sz="4" w:space="0" w:color="A0A0A0"/>
              <w:right w:val="single" w:sz="4" w:space="0" w:color="A0A0A0"/>
            </w:tcBorders>
            <w:shd w:val="clear" w:color="000000" w:fill="FFFFFF"/>
            <w:noWrap/>
            <w:hideMark/>
          </w:tcPr>
          <w:p w14:paraId="0036071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68,500</w:t>
            </w:r>
          </w:p>
        </w:tc>
        <w:tc>
          <w:tcPr>
            <w:tcW w:w="1420" w:type="dxa"/>
            <w:tcBorders>
              <w:top w:val="nil"/>
              <w:left w:val="nil"/>
              <w:bottom w:val="single" w:sz="4" w:space="0" w:color="A0A0A0"/>
              <w:right w:val="single" w:sz="4" w:space="0" w:color="A0A0A0"/>
            </w:tcBorders>
            <w:shd w:val="clear" w:color="000000" w:fill="FFFFFF"/>
            <w:noWrap/>
            <w:hideMark/>
          </w:tcPr>
          <w:p w14:paraId="33BAF7C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69,700</w:t>
            </w:r>
          </w:p>
        </w:tc>
      </w:tr>
      <w:tr w:rsidR="00F30104" w:rsidRPr="00F30104" w14:paraId="2FEAE295"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E5B69F5"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lastRenderedPageBreak/>
              <w:t xml:space="preserve"> ∟ Audit Fee</w:t>
            </w:r>
          </w:p>
        </w:tc>
        <w:tc>
          <w:tcPr>
            <w:tcW w:w="1420" w:type="dxa"/>
            <w:tcBorders>
              <w:top w:val="nil"/>
              <w:left w:val="nil"/>
              <w:bottom w:val="single" w:sz="4" w:space="0" w:color="A0A0A0"/>
              <w:right w:val="single" w:sz="4" w:space="0" w:color="A0A0A0"/>
            </w:tcBorders>
            <w:shd w:val="clear" w:color="000000" w:fill="FFFFFF"/>
            <w:noWrap/>
            <w:hideMark/>
          </w:tcPr>
          <w:p w14:paraId="23FCAEF4"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2,700</w:t>
            </w:r>
          </w:p>
        </w:tc>
        <w:tc>
          <w:tcPr>
            <w:tcW w:w="1420" w:type="dxa"/>
            <w:tcBorders>
              <w:top w:val="nil"/>
              <w:left w:val="nil"/>
              <w:bottom w:val="single" w:sz="4" w:space="0" w:color="A0A0A0"/>
              <w:right w:val="single" w:sz="4" w:space="0" w:color="A0A0A0"/>
            </w:tcBorders>
            <w:shd w:val="clear" w:color="000000" w:fill="FFFFFF"/>
            <w:noWrap/>
            <w:hideMark/>
          </w:tcPr>
          <w:p w14:paraId="2FD07D0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2,300</w:t>
            </w:r>
          </w:p>
        </w:tc>
        <w:tc>
          <w:tcPr>
            <w:tcW w:w="1420" w:type="dxa"/>
            <w:tcBorders>
              <w:top w:val="nil"/>
              <w:left w:val="nil"/>
              <w:bottom w:val="single" w:sz="4" w:space="0" w:color="A0A0A0"/>
              <w:right w:val="single" w:sz="4" w:space="0" w:color="A0A0A0"/>
            </w:tcBorders>
            <w:shd w:val="clear" w:color="000000" w:fill="FFFFFF"/>
            <w:noWrap/>
            <w:hideMark/>
          </w:tcPr>
          <w:p w14:paraId="6C59BD8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2,200</w:t>
            </w:r>
          </w:p>
        </w:tc>
        <w:tc>
          <w:tcPr>
            <w:tcW w:w="1420" w:type="dxa"/>
            <w:tcBorders>
              <w:top w:val="nil"/>
              <w:left w:val="nil"/>
              <w:bottom w:val="single" w:sz="4" w:space="0" w:color="A0A0A0"/>
              <w:right w:val="single" w:sz="4" w:space="0" w:color="A0A0A0"/>
            </w:tcBorders>
            <w:shd w:val="clear" w:color="000000" w:fill="FFFFFF"/>
            <w:noWrap/>
            <w:hideMark/>
          </w:tcPr>
          <w:p w14:paraId="49C8B62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2,000</w:t>
            </w:r>
          </w:p>
        </w:tc>
        <w:tc>
          <w:tcPr>
            <w:tcW w:w="1420" w:type="dxa"/>
            <w:tcBorders>
              <w:top w:val="nil"/>
              <w:left w:val="nil"/>
              <w:bottom w:val="single" w:sz="4" w:space="0" w:color="A0A0A0"/>
              <w:right w:val="single" w:sz="4" w:space="0" w:color="A0A0A0"/>
            </w:tcBorders>
            <w:shd w:val="clear" w:color="000000" w:fill="FFFFFF"/>
            <w:noWrap/>
            <w:hideMark/>
          </w:tcPr>
          <w:p w14:paraId="3401461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1,900</w:t>
            </w:r>
          </w:p>
        </w:tc>
      </w:tr>
      <w:tr w:rsidR="00F30104" w:rsidRPr="00F30104" w14:paraId="5CA7F70F"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1033C21"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Audit Non-fee expenses</w:t>
            </w:r>
          </w:p>
        </w:tc>
        <w:tc>
          <w:tcPr>
            <w:tcW w:w="1420" w:type="dxa"/>
            <w:tcBorders>
              <w:top w:val="nil"/>
              <w:left w:val="nil"/>
              <w:bottom w:val="single" w:sz="4" w:space="0" w:color="A0A0A0"/>
              <w:right w:val="single" w:sz="4" w:space="0" w:color="A0A0A0"/>
            </w:tcBorders>
            <w:shd w:val="clear" w:color="000000" w:fill="FFFFFF"/>
            <w:noWrap/>
            <w:hideMark/>
          </w:tcPr>
          <w:p w14:paraId="54269B3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300</w:t>
            </w:r>
          </w:p>
        </w:tc>
        <w:tc>
          <w:tcPr>
            <w:tcW w:w="1420" w:type="dxa"/>
            <w:tcBorders>
              <w:top w:val="nil"/>
              <w:left w:val="nil"/>
              <w:bottom w:val="single" w:sz="4" w:space="0" w:color="A0A0A0"/>
              <w:right w:val="single" w:sz="4" w:space="0" w:color="A0A0A0"/>
            </w:tcBorders>
            <w:shd w:val="clear" w:color="000000" w:fill="FFFFFF"/>
            <w:noWrap/>
            <w:hideMark/>
          </w:tcPr>
          <w:p w14:paraId="681CCBD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200</w:t>
            </w:r>
          </w:p>
        </w:tc>
        <w:tc>
          <w:tcPr>
            <w:tcW w:w="1420" w:type="dxa"/>
            <w:tcBorders>
              <w:top w:val="nil"/>
              <w:left w:val="nil"/>
              <w:bottom w:val="single" w:sz="4" w:space="0" w:color="A0A0A0"/>
              <w:right w:val="single" w:sz="4" w:space="0" w:color="A0A0A0"/>
            </w:tcBorders>
            <w:shd w:val="clear" w:color="000000" w:fill="FFFFFF"/>
            <w:noWrap/>
            <w:hideMark/>
          </w:tcPr>
          <w:p w14:paraId="33C5E36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200</w:t>
            </w:r>
          </w:p>
        </w:tc>
        <w:tc>
          <w:tcPr>
            <w:tcW w:w="1420" w:type="dxa"/>
            <w:tcBorders>
              <w:top w:val="nil"/>
              <w:left w:val="nil"/>
              <w:bottom w:val="single" w:sz="4" w:space="0" w:color="A0A0A0"/>
              <w:right w:val="single" w:sz="4" w:space="0" w:color="A0A0A0"/>
            </w:tcBorders>
            <w:shd w:val="clear" w:color="000000" w:fill="FFFFFF"/>
            <w:noWrap/>
            <w:hideMark/>
          </w:tcPr>
          <w:p w14:paraId="49B1EBD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700</w:t>
            </w:r>
          </w:p>
        </w:tc>
        <w:tc>
          <w:tcPr>
            <w:tcW w:w="1420" w:type="dxa"/>
            <w:tcBorders>
              <w:top w:val="nil"/>
              <w:left w:val="nil"/>
              <w:bottom w:val="single" w:sz="4" w:space="0" w:color="A0A0A0"/>
              <w:right w:val="single" w:sz="4" w:space="0" w:color="A0A0A0"/>
            </w:tcBorders>
            <w:shd w:val="clear" w:color="000000" w:fill="FFFFFF"/>
            <w:noWrap/>
            <w:hideMark/>
          </w:tcPr>
          <w:p w14:paraId="49B26A6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400</w:t>
            </w:r>
          </w:p>
        </w:tc>
      </w:tr>
      <w:tr w:rsidR="00F30104" w:rsidRPr="00F30104" w14:paraId="60194197"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2BDE2E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Tax Advice</w:t>
            </w:r>
          </w:p>
        </w:tc>
        <w:tc>
          <w:tcPr>
            <w:tcW w:w="1420" w:type="dxa"/>
            <w:tcBorders>
              <w:top w:val="nil"/>
              <w:left w:val="nil"/>
              <w:bottom w:val="single" w:sz="4" w:space="0" w:color="A0A0A0"/>
              <w:right w:val="single" w:sz="4" w:space="0" w:color="A0A0A0"/>
            </w:tcBorders>
            <w:shd w:val="clear" w:color="000000" w:fill="FFFFFF"/>
            <w:noWrap/>
            <w:vAlign w:val="bottom"/>
            <w:hideMark/>
          </w:tcPr>
          <w:p w14:paraId="39B6735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77385A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5DB489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87C7212"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7930CC44"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6080150C"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3F6257B"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Non-Tax Advisory Services</w:t>
            </w:r>
          </w:p>
        </w:tc>
        <w:tc>
          <w:tcPr>
            <w:tcW w:w="1420" w:type="dxa"/>
            <w:tcBorders>
              <w:top w:val="nil"/>
              <w:left w:val="nil"/>
              <w:bottom w:val="single" w:sz="4" w:space="0" w:color="A0A0A0"/>
              <w:right w:val="single" w:sz="4" w:space="0" w:color="A0A0A0"/>
            </w:tcBorders>
            <w:shd w:val="clear" w:color="000000" w:fill="FFFFFF"/>
            <w:noWrap/>
            <w:hideMark/>
          </w:tcPr>
          <w:p w14:paraId="5508C18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300</w:t>
            </w:r>
          </w:p>
        </w:tc>
        <w:tc>
          <w:tcPr>
            <w:tcW w:w="1420" w:type="dxa"/>
            <w:tcBorders>
              <w:top w:val="nil"/>
              <w:left w:val="nil"/>
              <w:bottom w:val="single" w:sz="4" w:space="0" w:color="A0A0A0"/>
              <w:right w:val="single" w:sz="4" w:space="0" w:color="A0A0A0"/>
            </w:tcBorders>
            <w:shd w:val="clear" w:color="000000" w:fill="FFFFFF"/>
            <w:noWrap/>
            <w:hideMark/>
          </w:tcPr>
          <w:p w14:paraId="4BF5AD8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200</w:t>
            </w:r>
          </w:p>
        </w:tc>
        <w:tc>
          <w:tcPr>
            <w:tcW w:w="1420" w:type="dxa"/>
            <w:tcBorders>
              <w:top w:val="nil"/>
              <w:left w:val="nil"/>
              <w:bottom w:val="single" w:sz="4" w:space="0" w:color="A0A0A0"/>
              <w:right w:val="single" w:sz="4" w:space="0" w:color="A0A0A0"/>
            </w:tcBorders>
            <w:shd w:val="clear" w:color="000000" w:fill="FFFFFF"/>
            <w:noWrap/>
            <w:hideMark/>
          </w:tcPr>
          <w:p w14:paraId="2B0E676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200</w:t>
            </w:r>
          </w:p>
        </w:tc>
        <w:tc>
          <w:tcPr>
            <w:tcW w:w="1420" w:type="dxa"/>
            <w:tcBorders>
              <w:top w:val="nil"/>
              <w:left w:val="nil"/>
              <w:bottom w:val="single" w:sz="4" w:space="0" w:color="A0A0A0"/>
              <w:right w:val="single" w:sz="4" w:space="0" w:color="A0A0A0"/>
            </w:tcBorders>
            <w:shd w:val="clear" w:color="000000" w:fill="FFFFFF"/>
            <w:noWrap/>
            <w:hideMark/>
          </w:tcPr>
          <w:p w14:paraId="62A110E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700</w:t>
            </w:r>
          </w:p>
        </w:tc>
        <w:tc>
          <w:tcPr>
            <w:tcW w:w="1420" w:type="dxa"/>
            <w:tcBorders>
              <w:top w:val="nil"/>
              <w:left w:val="nil"/>
              <w:bottom w:val="single" w:sz="4" w:space="0" w:color="A0A0A0"/>
              <w:right w:val="single" w:sz="4" w:space="0" w:color="A0A0A0"/>
            </w:tcBorders>
            <w:shd w:val="clear" w:color="000000" w:fill="FFFFFF"/>
            <w:noWrap/>
            <w:hideMark/>
          </w:tcPr>
          <w:p w14:paraId="5812B394"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400</w:t>
            </w:r>
          </w:p>
        </w:tc>
      </w:tr>
      <w:tr w:rsidR="00F30104" w:rsidRPr="00F30104" w14:paraId="20B74C83"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2CB456DC"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Other Auditors Services</w:t>
            </w:r>
          </w:p>
        </w:tc>
        <w:tc>
          <w:tcPr>
            <w:tcW w:w="1420" w:type="dxa"/>
            <w:tcBorders>
              <w:top w:val="nil"/>
              <w:left w:val="nil"/>
              <w:bottom w:val="single" w:sz="4" w:space="0" w:color="A0A0A0"/>
              <w:right w:val="single" w:sz="4" w:space="0" w:color="A0A0A0"/>
            </w:tcBorders>
            <w:shd w:val="clear" w:color="000000" w:fill="FFFFFF"/>
            <w:noWrap/>
            <w:vAlign w:val="bottom"/>
            <w:hideMark/>
          </w:tcPr>
          <w:p w14:paraId="1D75062C"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D7A8E11"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1A8F1F9"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957C874"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7B1F2AB"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3EF62DDB"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2FEEE85"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Non-Audit Fees paid to Other Auditors</w:t>
            </w:r>
          </w:p>
        </w:tc>
        <w:tc>
          <w:tcPr>
            <w:tcW w:w="1420" w:type="dxa"/>
            <w:tcBorders>
              <w:top w:val="nil"/>
              <w:left w:val="nil"/>
              <w:bottom w:val="single" w:sz="4" w:space="0" w:color="A0A0A0"/>
              <w:right w:val="single" w:sz="4" w:space="0" w:color="A0A0A0"/>
            </w:tcBorders>
            <w:shd w:val="clear" w:color="000000" w:fill="FFFFFF"/>
            <w:noWrap/>
            <w:vAlign w:val="bottom"/>
            <w:hideMark/>
          </w:tcPr>
          <w:p w14:paraId="79112F3E"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34E4FF1"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E5D921E"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6BB39E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47A924D0"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342E73DE"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54A12C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Total Amortization and Impairment</w:t>
            </w:r>
          </w:p>
        </w:tc>
        <w:tc>
          <w:tcPr>
            <w:tcW w:w="1420" w:type="dxa"/>
            <w:tcBorders>
              <w:top w:val="nil"/>
              <w:left w:val="nil"/>
              <w:bottom w:val="single" w:sz="4" w:space="0" w:color="A0A0A0"/>
              <w:right w:val="single" w:sz="4" w:space="0" w:color="A0A0A0"/>
            </w:tcBorders>
            <w:shd w:val="clear" w:color="000000" w:fill="FFFFFF"/>
            <w:noWrap/>
            <w:hideMark/>
          </w:tcPr>
          <w:p w14:paraId="05BF75E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87,000</w:t>
            </w:r>
          </w:p>
        </w:tc>
        <w:tc>
          <w:tcPr>
            <w:tcW w:w="1420" w:type="dxa"/>
            <w:tcBorders>
              <w:top w:val="nil"/>
              <w:left w:val="nil"/>
              <w:bottom w:val="single" w:sz="4" w:space="0" w:color="A0A0A0"/>
              <w:right w:val="single" w:sz="4" w:space="0" w:color="A0A0A0"/>
            </w:tcBorders>
            <w:shd w:val="clear" w:color="000000" w:fill="FFFFFF"/>
            <w:noWrap/>
            <w:hideMark/>
          </w:tcPr>
          <w:p w14:paraId="1D1AB9F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93,600</w:t>
            </w:r>
          </w:p>
        </w:tc>
        <w:tc>
          <w:tcPr>
            <w:tcW w:w="1420" w:type="dxa"/>
            <w:tcBorders>
              <w:top w:val="nil"/>
              <w:left w:val="nil"/>
              <w:bottom w:val="single" w:sz="4" w:space="0" w:color="A0A0A0"/>
              <w:right w:val="single" w:sz="4" w:space="0" w:color="A0A0A0"/>
            </w:tcBorders>
            <w:shd w:val="clear" w:color="000000" w:fill="FFFFFF"/>
            <w:noWrap/>
            <w:hideMark/>
          </w:tcPr>
          <w:p w14:paraId="255D288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211,200</w:t>
            </w:r>
          </w:p>
        </w:tc>
        <w:tc>
          <w:tcPr>
            <w:tcW w:w="1420" w:type="dxa"/>
            <w:tcBorders>
              <w:top w:val="nil"/>
              <w:left w:val="nil"/>
              <w:bottom w:val="single" w:sz="4" w:space="0" w:color="A0A0A0"/>
              <w:right w:val="single" w:sz="4" w:space="0" w:color="A0A0A0"/>
            </w:tcBorders>
            <w:shd w:val="clear" w:color="000000" w:fill="FFFFFF"/>
            <w:noWrap/>
            <w:hideMark/>
          </w:tcPr>
          <w:p w14:paraId="01E876D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178,200</w:t>
            </w:r>
          </w:p>
        </w:tc>
        <w:tc>
          <w:tcPr>
            <w:tcW w:w="1420" w:type="dxa"/>
            <w:tcBorders>
              <w:top w:val="nil"/>
              <w:left w:val="nil"/>
              <w:bottom w:val="single" w:sz="4" w:space="0" w:color="A0A0A0"/>
              <w:right w:val="single" w:sz="4" w:space="0" w:color="A0A0A0"/>
            </w:tcBorders>
            <w:shd w:val="clear" w:color="000000" w:fill="FFFFFF"/>
            <w:noWrap/>
            <w:hideMark/>
          </w:tcPr>
          <w:p w14:paraId="4E231D7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184,400</w:t>
            </w:r>
          </w:p>
        </w:tc>
      </w:tr>
      <w:tr w:rsidR="00F30104" w:rsidRPr="00F30104" w14:paraId="72097BAC"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751FCC02"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Amortisation</w:t>
            </w:r>
          </w:p>
        </w:tc>
        <w:tc>
          <w:tcPr>
            <w:tcW w:w="1420" w:type="dxa"/>
            <w:tcBorders>
              <w:top w:val="nil"/>
              <w:left w:val="nil"/>
              <w:bottom w:val="single" w:sz="4" w:space="0" w:color="A0A0A0"/>
              <w:right w:val="single" w:sz="4" w:space="0" w:color="A0A0A0"/>
            </w:tcBorders>
            <w:shd w:val="clear" w:color="000000" w:fill="FFFFFF"/>
            <w:noWrap/>
            <w:hideMark/>
          </w:tcPr>
          <w:p w14:paraId="5FE26A0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87,000</w:t>
            </w:r>
          </w:p>
        </w:tc>
        <w:tc>
          <w:tcPr>
            <w:tcW w:w="1420" w:type="dxa"/>
            <w:tcBorders>
              <w:top w:val="nil"/>
              <w:left w:val="nil"/>
              <w:bottom w:val="single" w:sz="4" w:space="0" w:color="A0A0A0"/>
              <w:right w:val="single" w:sz="4" w:space="0" w:color="A0A0A0"/>
            </w:tcBorders>
            <w:shd w:val="clear" w:color="000000" w:fill="FFFFFF"/>
            <w:noWrap/>
            <w:hideMark/>
          </w:tcPr>
          <w:p w14:paraId="0C0B625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93,600</w:t>
            </w:r>
          </w:p>
        </w:tc>
        <w:tc>
          <w:tcPr>
            <w:tcW w:w="1420" w:type="dxa"/>
            <w:tcBorders>
              <w:top w:val="nil"/>
              <w:left w:val="nil"/>
              <w:bottom w:val="single" w:sz="4" w:space="0" w:color="A0A0A0"/>
              <w:right w:val="single" w:sz="4" w:space="0" w:color="A0A0A0"/>
            </w:tcBorders>
            <w:shd w:val="clear" w:color="000000" w:fill="FFFFFF"/>
            <w:noWrap/>
            <w:hideMark/>
          </w:tcPr>
          <w:p w14:paraId="2BC899D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131,600</w:t>
            </w:r>
          </w:p>
        </w:tc>
        <w:tc>
          <w:tcPr>
            <w:tcW w:w="1420" w:type="dxa"/>
            <w:tcBorders>
              <w:top w:val="nil"/>
              <w:left w:val="nil"/>
              <w:bottom w:val="single" w:sz="4" w:space="0" w:color="A0A0A0"/>
              <w:right w:val="single" w:sz="4" w:space="0" w:color="A0A0A0"/>
            </w:tcBorders>
            <w:shd w:val="clear" w:color="000000" w:fill="FFFFFF"/>
            <w:noWrap/>
            <w:hideMark/>
          </w:tcPr>
          <w:p w14:paraId="49C2BF1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164,800</w:t>
            </w:r>
          </w:p>
        </w:tc>
        <w:tc>
          <w:tcPr>
            <w:tcW w:w="1420" w:type="dxa"/>
            <w:tcBorders>
              <w:top w:val="nil"/>
              <w:left w:val="nil"/>
              <w:bottom w:val="single" w:sz="4" w:space="0" w:color="A0A0A0"/>
              <w:right w:val="single" w:sz="4" w:space="0" w:color="A0A0A0"/>
            </w:tcBorders>
            <w:shd w:val="clear" w:color="000000" w:fill="FFFFFF"/>
            <w:noWrap/>
            <w:hideMark/>
          </w:tcPr>
          <w:p w14:paraId="4F28F9F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184,400</w:t>
            </w:r>
          </w:p>
        </w:tc>
      </w:tr>
      <w:tr w:rsidR="00F30104" w:rsidRPr="00F30104" w14:paraId="3B14171B"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70DA6F9D"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Impairment</w:t>
            </w:r>
          </w:p>
        </w:tc>
        <w:tc>
          <w:tcPr>
            <w:tcW w:w="1420" w:type="dxa"/>
            <w:tcBorders>
              <w:top w:val="nil"/>
              <w:left w:val="nil"/>
              <w:bottom w:val="single" w:sz="4" w:space="0" w:color="A0A0A0"/>
              <w:right w:val="single" w:sz="4" w:space="0" w:color="A0A0A0"/>
            </w:tcBorders>
            <w:shd w:val="clear" w:color="000000" w:fill="FFFFFF"/>
            <w:noWrap/>
            <w:vAlign w:val="bottom"/>
            <w:hideMark/>
          </w:tcPr>
          <w:p w14:paraId="06F8DD3D"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44C22BD"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hideMark/>
          </w:tcPr>
          <w:p w14:paraId="47DD5B44"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79,600</w:t>
            </w:r>
          </w:p>
        </w:tc>
        <w:tc>
          <w:tcPr>
            <w:tcW w:w="1420" w:type="dxa"/>
            <w:tcBorders>
              <w:top w:val="nil"/>
              <w:left w:val="nil"/>
              <w:bottom w:val="single" w:sz="4" w:space="0" w:color="A0A0A0"/>
              <w:right w:val="single" w:sz="4" w:space="0" w:color="A0A0A0"/>
            </w:tcBorders>
            <w:shd w:val="clear" w:color="000000" w:fill="FFFFFF"/>
            <w:noWrap/>
            <w:hideMark/>
          </w:tcPr>
          <w:p w14:paraId="120318C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13,400</w:t>
            </w:r>
          </w:p>
        </w:tc>
        <w:tc>
          <w:tcPr>
            <w:tcW w:w="1420" w:type="dxa"/>
            <w:tcBorders>
              <w:top w:val="nil"/>
              <w:left w:val="nil"/>
              <w:bottom w:val="single" w:sz="4" w:space="0" w:color="A0A0A0"/>
              <w:right w:val="single" w:sz="4" w:space="0" w:color="A0A0A0"/>
            </w:tcBorders>
            <w:shd w:val="clear" w:color="000000" w:fill="FFFFFF"/>
            <w:noWrap/>
            <w:vAlign w:val="bottom"/>
            <w:hideMark/>
          </w:tcPr>
          <w:p w14:paraId="1BDAFC7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1E6F58CC"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CC7314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Total Operating Lease Rentals</w:t>
            </w:r>
          </w:p>
        </w:tc>
        <w:tc>
          <w:tcPr>
            <w:tcW w:w="1420" w:type="dxa"/>
            <w:tcBorders>
              <w:top w:val="nil"/>
              <w:left w:val="nil"/>
              <w:bottom w:val="single" w:sz="4" w:space="0" w:color="A0A0A0"/>
              <w:right w:val="single" w:sz="4" w:space="0" w:color="A0A0A0"/>
            </w:tcBorders>
            <w:shd w:val="clear" w:color="000000" w:fill="FFFFFF"/>
            <w:noWrap/>
            <w:vAlign w:val="bottom"/>
            <w:hideMark/>
          </w:tcPr>
          <w:p w14:paraId="50BAAC7D"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47811A0"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D48F54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62F66993"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hideMark/>
          </w:tcPr>
          <w:p w14:paraId="223D22D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314,300</w:t>
            </w:r>
          </w:p>
        </w:tc>
      </w:tr>
      <w:tr w:rsidR="00F30104" w:rsidRPr="00F30104" w14:paraId="7BDCE82F"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0AE3BC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Hire of Plant &amp; Machinery</w:t>
            </w:r>
          </w:p>
        </w:tc>
        <w:tc>
          <w:tcPr>
            <w:tcW w:w="1420" w:type="dxa"/>
            <w:tcBorders>
              <w:top w:val="nil"/>
              <w:left w:val="nil"/>
              <w:bottom w:val="single" w:sz="4" w:space="0" w:color="A0A0A0"/>
              <w:right w:val="single" w:sz="4" w:space="0" w:color="A0A0A0"/>
            </w:tcBorders>
            <w:shd w:val="clear" w:color="000000" w:fill="FFFFFF"/>
            <w:noWrap/>
            <w:vAlign w:val="bottom"/>
            <w:hideMark/>
          </w:tcPr>
          <w:p w14:paraId="27387845"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C6AB84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652C1AA9"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6807BF4D"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hideMark/>
          </w:tcPr>
          <w:p w14:paraId="0C42DB1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11,800</w:t>
            </w:r>
          </w:p>
        </w:tc>
      </w:tr>
      <w:tr w:rsidR="00F30104" w:rsidRPr="00F30104" w14:paraId="14709087"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4C44E8E"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Land &amp; Building or Property Rents &amp; Other</w:t>
            </w:r>
          </w:p>
        </w:tc>
        <w:tc>
          <w:tcPr>
            <w:tcW w:w="1420" w:type="dxa"/>
            <w:tcBorders>
              <w:top w:val="nil"/>
              <w:left w:val="nil"/>
              <w:bottom w:val="single" w:sz="4" w:space="0" w:color="A0A0A0"/>
              <w:right w:val="single" w:sz="4" w:space="0" w:color="A0A0A0"/>
            </w:tcBorders>
            <w:shd w:val="clear" w:color="000000" w:fill="FFFFFF"/>
            <w:noWrap/>
            <w:vAlign w:val="bottom"/>
            <w:hideMark/>
          </w:tcPr>
          <w:p w14:paraId="5A06849C"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471A4B82"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6CF9736"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74E8DC6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hideMark/>
          </w:tcPr>
          <w:p w14:paraId="245CBAA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302,500</w:t>
            </w:r>
          </w:p>
        </w:tc>
      </w:tr>
      <w:tr w:rsidR="00F30104" w:rsidRPr="00F30104" w14:paraId="3A2DDA08"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D653CF2"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Research &amp; Development</w:t>
            </w:r>
          </w:p>
        </w:tc>
        <w:tc>
          <w:tcPr>
            <w:tcW w:w="1420" w:type="dxa"/>
            <w:tcBorders>
              <w:top w:val="nil"/>
              <w:left w:val="nil"/>
              <w:bottom w:val="single" w:sz="4" w:space="0" w:color="A0A0A0"/>
              <w:right w:val="single" w:sz="4" w:space="0" w:color="A0A0A0"/>
            </w:tcBorders>
            <w:shd w:val="clear" w:color="000000" w:fill="FFFFFF"/>
            <w:noWrap/>
            <w:vAlign w:val="bottom"/>
            <w:hideMark/>
          </w:tcPr>
          <w:p w14:paraId="6FDFE8B4"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7BEF249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05BC7F1"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7C12319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6105E4F8"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w:t>
            </w:r>
          </w:p>
        </w:tc>
      </w:tr>
      <w:tr w:rsidR="00F30104" w:rsidRPr="00F30104" w14:paraId="398C8EDC"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C1239E1"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Foreign Exchange Gains/Losses</w:t>
            </w:r>
          </w:p>
        </w:tc>
        <w:tc>
          <w:tcPr>
            <w:tcW w:w="1420" w:type="dxa"/>
            <w:tcBorders>
              <w:top w:val="nil"/>
              <w:left w:val="nil"/>
              <w:bottom w:val="single" w:sz="4" w:space="0" w:color="A0A0A0"/>
              <w:right w:val="single" w:sz="4" w:space="0" w:color="A0A0A0"/>
            </w:tcBorders>
            <w:shd w:val="clear" w:color="000000" w:fill="FFFFFF"/>
            <w:noWrap/>
            <w:hideMark/>
          </w:tcPr>
          <w:p w14:paraId="32431F7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-6,700</w:t>
            </w:r>
          </w:p>
        </w:tc>
        <w:tc>
          <w:tcPr>
            <w:tcW w:w="1420" w:type="dxa"/>
            <w:tcBorders>
              <w:top w:val="nil"/>
              <w:left w:val="nil"/>
              <w:bottom w:val="single" w:sz="4" w:space="0" w:color="A0A0A0"/>
              <w:right w:val="single" w:sz="4" w:space="0" w:color="A0A0A0"/>
            </w:tcBorders>
            <w:shd w:val="clear" w:color="000000" w:fill="FFFFFF"/>
            <w:noWrap/>
            <w:hideMark/>
          </w:tcPr>
          <w:p w14:paraId="541AF0F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14,500</w:t>
            </w:r>
          </w:p>
        </w:tc>
        <w:tc>
          <w:tcPr>
            <w:tcW w:w="1420" w:type="dxa"/>
            <w:tcBorders>
              <w:top w:val="nil"/>
              <w:left w:val="nil"/>
              <w:bottom w:val="single" w:sz="4" w:space="0" w:color="A0A0A0"/>
              <w:right w:val="single" w:sz="4" w:space="0" w:color="A0A0A0"/>
            </w:tcBorders>
            <w:shd w:val="clear" w:color="000000" w:fill="FFFFFF"/>
            <w:noWrap/>
            <w:hideMark/>
          </w:tcPr>
          <w:p w14:paraId="289A502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2,900</w:t>
            </w:r>
          </w:p>
        </w:tc>
        <w:tc>
          <w:tcPr>
            <w:tcW w:w="1420" w:type="dxa"/>
            <w:tcBorders>
              <w:top w:val="nil"/>
              <w:left w:val="nil"/>
              <w:bottom w:val="single" w:sz="4" w:space="0" w:color="A0A0A0"/>
              <w:right w:val="single" w:sz="4" w:space="0" w:color="A0A0A0"/>
            </w:tcBorders>
            <w:shd w:val="clear" w:color="000000" w:fill="FFFFFF"/>
            <w:noWrap/>
            <w:hideMark/>
          </w:tcPr>
          <w:p w14:paraId="4301B2A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2,100</w:t>
            </w:r>
          </w:p>
        </w:tc>
        <w:tc>
          <w:tcPr>
            <w:tcW w:w="1420" w:type="dxa"/>
            <w:tcBorders>
              <w:top w:val="nil"/>
              <w:left w:val="nil"/>
              <w:bottom w:val="single" w:sz="4" w:space="0" w:color="A0A0A0"/>
              <w:right w:val="single" w:sz="4" w:space="0" w:color="A0A0A0"/>
            </w:tcBorders>
            <w:shd w:val="clear" w:color="000000" w:fill="FFFFFF"/>
            <w:noWrap/>
            <w:hideMark/>
          </w:tcPr>
          <w:p w14:paraId="332F52E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3,400</w:t>
            </w:r>
          </w:p>
        </w:tc>
      </w:tr>
      <w:tr w:rsidR="00F30104" w:rsidRPr="00F30104" w14:paraId="03C16211"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0515C12"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Remuneration</w:t>
            </w:r>
          </w:p>
        </w:tc>
        <w:tc>
          <w:tcPr>
            <w:tcW w:w="1420" w:type="dxa"/>
            <w:tcBorders>
              <w:top w:val="nil"/>
              <w:left w:val="nil"/>
              <w:bottom w:val="single" w:sz="4" w:space="0" w:color="A0A0A0"/>
              <w:right w:val="single" w:sz="4" w:space="0" w:color="A0A0A0"/>
            </w:tcBorders>
            <w:shd w:val="clear" w:color="000000" w:fill="FFFFFF"/>
            <w:noWrap/>
            <w:hideMark/>
          </w:tcPr>
          <w:p w14:paraId="2C4609B0"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1,586,200</w:t>
            </w:r>
          </w:p>
        </w:tc>
        <w:tc>
          <w:tcPr>
            <w:tcW w:w="1420" w:type="dxa"/>
            <w:tcBorders>
              <w:top w:val="nil"/>
              <w:left w:val="nil"/>
              <w:bottom w:val="single" w:sz="4" w:space="0" w:color="A0A0A0"/>
              <w:right w:val="single" w:sz="4" w:space="0" w:color="A0A0A0"/>
            </w:tcBorders>
            <w:shd w:val="clear" w:color="000000" w:fill="FFFFFF"/>
            <w:noWrap/>
            <w:hideMark/>
          </w:tcPr>
          <w:p w14:paraId="15EE750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1,487,500</w:t>
            </w:r>
          </w:p>
        </w:tc>
        <w:tc>
          <w:tcPr>
            <w:tcW w:w="1420" w:type="dxa"/>
            <w:tcBorders>
              <w:top w:val="nil"/>
              <w:left w:val="nil"/>
              <w:bottom w:val="single" w:sz="4" w:space="0" w:color="A0A0A0"/>
              <w:right w:val="single" w:sz="4" w:space="0" w:color="A0A0A0"/>
            </w:tcBorders>
            <w:shd w:val="clear" w:color="000000" w:fill="FFFFFF"/>
            <w:noWrap/>
            <w:hideMark/>
          </w:tcPr>
          <w:p w14:paraId="780CBAC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1,437,700</w:t>
            </w:r>
          </w:p>
        </w:tc>
        <w:tc>
          <w:tcPr>
            <w:tcW w:w="1420" w:type="dxa"/>
            <w:tcBorders>
              <w:top w:val="nil"/>
              <w:left w:val="nil"/>
              <w:bottom w:val="single" w:sz="4" w:space="0" w:color="A0A0A0"/>
              <w:right w:val="single" w:sz="4" w:space="0" w:color="A0A0A0"/>
            </w:tcBorders>
            <w:shd w:val="clear" w:color="000000" w:fill="FFFFFF"/>
            <w:noWrap/>
            <w:hideMark/>
          </w:tcPr>
          <w:p w14:paraId="1B663C5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1,464,400</w:t>
            </w:r>
          </w:p>
        </w:tc>
        <w:tc>
          <w:tcPr>
            <w:tcW w:w="1420" w:type="dxa"/>
            <w:tcBorders>
              <w:top w:val="nil"/>
              <w:left w:val="nil"/>
              <w:bottom w:val="single" w:sz="4" w:space="0" w:color="A0A0A0"/>
              <w:right w:val="single" w:sz="4" w:space="0" w:color="A0A0A0"/>
            </w:tcBorders>
            <w:shd w:val="clear" w:color="000000" w:fill="FFFFFF"/>
            <w:noWrap/>
            <w:hideMark/>
          </w:tcPr>
          <w:p w14:paraId="3C257334"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1,511,000</w:t>
            </w:r>
          </w:p>
        </w:tc>
      </w:tr>
      <w:tr w:rsidR="00F30104" w:rsidRPr="00F30104" w14:paraId="33336973"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2CDBE74A"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Wages &amp; Salaries</w:t>
            </w:r>
          </w:p>
        </w:tc>
        <w:tc>
          <w:tcPr>
            <w:tcW w:w="1420" w:type="dxa"/>
            <w:tcBorders>
              <w:top w:val="nil"/>
              <w:left w:val="nil"/>
              <w:bottom w:val="single" w:sz="4" w:space="0" w:color="A0A0A0"/>
              <w:right w:val="single" w:sz="4" w:space="0" w:color="A0A0A0"/>
            </w:tcBorders>
            <w:shd w:val="clear" w:color="000000" w:fill="FFFFFF"/>
            <w:noWrap/>
            <w:hideMark/>
          </w:tcPr>
          <w:p w14:paraId="0B44D5C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1,351,400</w:t>
            </w:r>
          </w:p>
        </w:tc>
        <w:tc>
          <w:tcPr>
            <w:tcW w:w="1420" w:type="dxa"/>
            <w:tcBorders>
              <w:top w:val="nil"/>
              <w:left w:val="nil"/>
              <w:bottom w:val="single" w:sz="4" w:space="0" w:color="A0A0A0"/>
              <w:right w:val="single" w:sz="4" w:space="0" w:color="A0A0A0"/>
            </w:tcBorders>
            <w:shd w:val="clear" w:color="000000" w:fill="FFFFFF"/>
            <w:noWrap/>
            <w:hideMark/>
          </w:tcPr>
          <w:p w14:paraId="6ACB041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1,256,000</w:t>
            </w:r>
          </w:p>
        </w:tc>
        <w:tc>
          <w:tcPr>
            <w:tcW w:w="1420" w:type="dxa"/>
            <w:tcBorders>
              <w:top w:val="nil"/>
              <w:left w:val="nil"/>
              <w:bottom w:val="single" w:sz="4" w:space="0" w:color="A0A0A0"/>
              <w:right w:val="single" w:sz="4" w:space="0" w:color="A0A0A0"/>
            </w:tcBorders>
            <w:shd w:val="clear" w:color="000000" w:fill="FFFFFF"/>
            <w:noWrap/>
            <w:hideMark/>
          </w:tcPr>
          <w:p w14:paraId="0968F8C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1,210,300</w:t>
            </w:r>
          </w:p>
        </w:tc>
        <w:tc>
          <w:tcPr>
            <w:tcW w:w="1420" w:type="dxa"/>
            <w:tcBorders>
              <w:top w:val="nil"/>
              <w:left w:val="nil"/>
              <w:bottom w:val="single" w:sz="4" w:space="0" w:color="A0A0A0"/>
              <w:right w:val="single" w:sz="4" w:space="0" w:color="A0A0A0"/>
            </w:tcBorders>
            <w:shd w:val="clear" w:color="000000" w:fill="FFFFFF"/>
            <w:noWrap/>
            <w:hideMark/>
          </w:tcPr>
          <w:p w14:paraId="1B1C4E5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1,263,700</w:t>
            </w:r>
          </w:p>
        </w:tc>
        <w:tc>
          <w:tcPr>
            <w:tcW w:w="1420" w:type="dxa"/>
            <w:tcBorders>
              <w:top w:val="nil"/>
              <w:left w:val="nil"/>
              <w:bottom w:val="single" w:sz="4" w:space="0" w:color="A0A0A0"/>
              <w:right w:val="single" w:sz="4" w:space="0" w:color="A0A0A0"/>
            </w:tcBorders>
            <w:shd w:val="clear" w:color="000000" w:fill="FFFFFF"/>
            <w:noWrap/>
            <w:hideMark/>
          </w:tcPr>
          <w:p w14:paraId="27F6695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1,293,200</w:t>
            </w:r>
          </w:p>
        </w:tc>
      </w:tr>
      <w:tr w:rsidR="00F30104" w:rsidRPr="00F30104" w14:paraId="552717D2"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6612184"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Social Security Costs</w:t>
            </w:r>
          </w:p>
        </w:tc>
        <w:tc>
          <w:tcPr>
            <w:tcW w:w="1420" w:type="dxa"/>
            <w:tcBorders>
              <w:top w:val="nil"/>
              <w:left w:val="nil"/>
              <w:bottom w:val="single" w:sz="4" w:space="0" w:color="A0A0A0"/>
              <w:right w:val="single" w:sz="4" w:space="0" w:color="A0A0A0"/>
            </w:tcBorders>
            <w:shd w:val="clear" w:color="000000" w:fill="FFFFFF"/>
            <w:noWrap/>
            <w:hideMark/>
          </w:tcPr>
          <w:p w14:paraId="674F9C64"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93,700</w:t>
            </w:r>
          </w:p>
        </w:tc>
        <w:tc>
          <w:tcPr>
            <w:tcW w:w="1420" w:type="dxa"/>
            <w:tcBorders>
              <w:top w:val="nil"/>
              <w:left w:val="nil"/>
              <w:bottom w:val="single" w:sz="4" w:space="0" w:color="A0A0A0"/>
              <w:right w:val="single" w:sz="4" w:space="0" w:color="A0A0A0"/>
            </w:tcBorders>
            <w:shd w:val="clear" w:color="000000" w:fill="FFFFFF"/>
            <w:noWrap/>
            <w:hideMark/>
          </w:tcPr>
          <w:p w14:paraId="742FA78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84,600</w:t>
            </w:r>
          </w:p>
        </w:tc>
        <w:tc>
          <w:tcPr>
            <w:tcW w:w="1420" w:type="dxa"/>
            <w:tcBorders>
              <w:top w:val="nil"/>
              <w:left w:val="nil"/>
              <w:bottom w:val="single" w:sz="4" w:space="0" w:color="A0A0A0"/>
              <w:right w:val="single" w:sz="4" w:space="0" w:color="A0A0A0"/>
            </w:tcBorders>
            <w:shd w:val="clear" w:color="000000" w:fill="FFFFFF"/>
            <w:noWrap/>
            <w:hideMark/>
          </w:tcPr>
          <w:p w14:paraId="633BDCC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99,500</w:t>
            </w:r>
          </w:p>
        </w:tc>
        <w:tc>
          <w:tcPr>
            <w:tcW w:w="1420" w:type="dxa"/>
            <w:tcBorders>
              <w:top w:val="nil"/>
              <w:left w:val="nil"/>
              <w:bottom w:val="single" w:sz="4" w:space="0" w:color="A0A0A0"/>
              <w:right w:val="single" w:sz="4" w:space="0" w:color="A0A0A0"/>
            </w:tcBorders>
            <w:shd w:val="clear" w:color="000000" w:fill="FFFFFF"/>
            <w:noWrap/>
            <w:hideMark/>
          </w:tcPr>
          <w:p w14:paraId="0A90E72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80,000</w:t>
            </w:r>
          </w:p>
        </w:tc>
        <w:tc>
          <w:tcPr>
            <w:tcW w:w="1420" w:type="dxa"/>
            <w:tcBorders>
              <w:top w:val="nil"/>
              <w:left w:val="nil"/>
              <w:bottom w:val="single" w:sz="4" w:space="0" w:color="A0A0A0"/>
              <w:right w:val="single" w:sz="4" w:space="0" w:color="A0A0A0"/>
            </w:tcBorders>
            <w:shd w:val="clear" w:color="000000" w:fill="FFFFFF"/>
            <w:noWrap/>
            <w:hideMark/>
          </w:tcPr>
          <w:p w14:paraId="7400937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85,000</w:t>
            </w:r>
          </w:p>
        </w:tc>
      </w:tr>
      <w:tr w:rsidR="00F30104" w:rsidRPr="00F30104" w14:paraId="22E442B8"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7C9C567"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Pension Costs</w:t>
            </w:r>
          </w:p>
        </w:tc>
        <w:tc>
          <w:tcPr>
            <w:tcW w:w="1420" w:type="dxa"/>
            <w:tcBorders>
              <w:top w:val="nil"/>
              <w:left w:val="nil"/>
              <w:bottom w:val="single" w:sz="4" w:space="0" w:color="A0A0A0"/>
              <w:right w:val="single" w:sz="4" w:space="0" w:color="A0A0A0"/>
            </w:tcBorders>
            <w:shd w:val="clear" w:color="000000" w:fill="FFFFFF"/>
            <w:noWrap/>
            <w:hideMark/>
          </w:tcPr>
          <w:p w14:paraId="72A6F2C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75,900</w:t>
            </w:r>
          </w:p>
        </w:tc>
        <w:tc>
          <w:tcPr>
            <w:tcW w:w="1420" w:type="dxa"/>
            <w:tcBorders>
              <w:top w:val="nil"/>
              <w:left w:val="nil"/>
              <w:bottom w:val="single" w:sz="4" w:space="0" w:color="A0A0A0"/>
              <w:right w:val="single" w:sz="4" w:space="0" w:color="A0A0A0"/>
            </w:tcBorders>
            <w:shd w:val="clear" w:color="000000" w:fill="FFFFFF"/>
            <w:noWrap/>
            <w:hideMark/>
          </w:tcPr>
          <w:p w14:paraId="09BBDD5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69,000</w:t>
            </w:r>
          </w:p>
        </w:tc>
        <w:tc>
          <w:tcPr>
            <w:tcW w:w="1420" w:type="dxa"/>
            <w:tcBorders>
              <w:top w:val="nil"/>
              <w:left w:val="nil"/>
              <w:bottom w:val="single" w:sz="4" w:space="0" w:color="A0A0A0"/>
              <w:right w:val="single" w:sz="4" w:space="0" w:color="A0A0A0"/>
            </w:tcBorders>
            <w:shd w:val="clear" w:color="000000" w:fill="FFFFFF"/>
            <w:noWrap/>
            <w:hideMark/>
          </w:tcPr>
          <w:p w14:paraId="0727E70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71,300</w:t>
            </w:r>
          </w:p>
        </w:tc>
        <w:tc>
          <w:tcPr>
            <w:tcW w:w="1420" w:type="dxa"/>
            <w:tcBorders>
              <w:top w:val="nil"/>
              <w:left w:val="nil"/>
              <w:bottom w:val="single" w:sz="4" w:space="0" w:color="A0A0A0"/>
              <w:right w:val="single" w:sz="4" w:space="0" w:color="A0A0A0"/>
            </w:tcBorders>
            <w:shd w:val="clear" w:color="000000" w:fill="FFFFFF"/>
            <w:noWrap/>
            <w:hideMark/>
          </w:tcPr>
          <w:p w14:paraId="20D6611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72,900</w:t>
            </w:r>
          </w:p>
        </w:tc>
        <w:tc>
          <w:tcPr>
            <w:tcW w:w="1420" w:type="dxa"/>
            <w:tcBorders>
              <w:top w:val="nil"/>
              <w:left w:val="nil"/>
              <w:bottom w:val="single" w:sz="4" w:space="0" w:color="A0A0A0"/>
              <w:right w:val="single" w:sz="4" w:space="0" w:color="A0A0A0"/>
            </w:tcBorders>
            <w:shd w:val="clear" w:color="000000" w:fill="FFFFFF"/>
            <w:noWrap/>
            <w:hideMark/>
          </w:tcPr>
          <w:p w14:paraId="5B56902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77,400</w:t>
            </w:r>
          </w:p>
        </w:tc>
      </w:tr>
      <w:tr w:rsidR="00F30104" w:rsidRPr="00F30104" w14:paraId="260474E4"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29E04292"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Other Staff Costs</w:t>
            </w:r>
          </w:p>
        </w:tc>
        <w:tc>
          <w:tcPr>
            <w:tcW w:w="1420" w:type="dxa"/>
            <w:tcBorders>
              <w:top w:val="nil"/>
              <w:left w:val="nil"/>
              <w:bottom w:val="single" w:sz="4" w:space="0" w:color="A0A0A0"/>
              <w:right w:val="single" w:sz="4" w:space="0" w:color="A0A0A0"/>
            </w:tcBorders>
            <w:shd w:val="clear" w:color="000000" w:fill="FFFFFF"/>
            <w:noWrap/>
            <w:hideMark/>
          </w:tcPr>
          <w:p w14:paraId="1B66979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80,100</w:t>
            </w:r>
          </w:p>
        </w:tc>
        <w:tc>
          <w:tcPr>
            <w:tcW w:w="1420" w:type="dxa"/>
            <w:tcBorders>
              <w:top w:val="nil"/>
              <w:left w:val="nil"/>
              <w:bottom w:val="single" w:sz="4" w:space="0" w:color="A0A0A0"/>
              <w:right w:val="single" w:sz="4" w:space="0" w:color="A0A0A0"/>
            </w:tcBorders>
            <w:shd w:val="clear" w:color="000000" w:fill="FFFFFF"/>
            <w:noWrap/>
            <w:hideMark/>
          </w:tcPr>
          <w:p w14:paraId="49D1FFF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84,300</w:t>
            </w:r>
          </w:p>
        </w:tc>
        <w:tc>
          <w:tcPr>
            <w:tcW w:w="1420" w:type="dxa"/>
            <w:tcBorders>
              <w:top w:val="nil"/>
              <w:left w:val="nil"/>
              <w:bottom w:val="single" w:sz="4" w:space="0" w:color="A0A0A0"/>
              <w:right w:val="single" w:sz="4" w:space="0" w:color="A0A0A0"/>
            </w:tcBorders>
            <w:shd w:val="clear" w:color="000000" w:fill="FFFFFF"/>
            <w:noWrap/>
            <w:hideMark/>
          </w:tcPr>
          <w:p w14:paraId="1855F34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63,000</w:t>
            </w:r>
          </w:p>
        </w:tc>
        <w:tc>
          <w:tcPr>
            <w:tcW w:w="1420" w:type="dxa"/>
            <w:tcBorders>
              <w:top w:val="nil"/>
              <w:left w:val="nil"/>
              <w:bottom w:val="single" w:sz="4" w:space="0" w:color="A0A0A0"/>
              <w:right w:val="single" w:sz="4" w:space="0" w:color="A0A0A0"/>
            </w:tcBorders>
            <w:shd w:val="clear" w:color="000000" w:fill="FFFFFF"/>
            <w:noWrap/>
            <w:hideMark/>
          </w:tcPr>
          <w:p w14:paraId="34630CB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70,300</w:t>
            </w:r>
          </w:p>
        </w:tc>
        <w:tc>
          <w:tcPr>
            <w:tcW w:w="1420" w:type="dxa"/>
            <w:tcBorders>
              <w:top w:val="nil"/>
              <w:left w:val="nil"/>
              <w:bottom w:val="single" w:sz="4" w:space="0" w:color="A0A0A0"/>
              <w:right w:val="single" w:sz="4" w:space="0" w:color="A0A0A0"/>
            </w:tcBorders>
            <w:shd w:val="clear" w:color="000000" w:fill="FFFFFF"/>
            <w:noWrap/>
            <w:hideMark/>
          </w:tcPr>
          <w:p w14:paraId="56EB901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73,000</w:t>
            </w:r>
          </w:p>
        </w:tc>
      </w:tr>
      <w:tr w:rsidR="00F30104" w:rsidRPr="00F30104" w14:paraId="2584E933" w14:textId="77777777" w:rsidTr="00C01D50">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140505D4"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Directors' Remuneration</w:t>
            </w:r>
          </w:p>
        </w:tc>
        <w:tc>
          <w:tcPr>
            <w:tcW w:w="1420" w:type="dxa"/>
            <w:tcBorders>
              <w:top w:val="nil"/>
              <w:left w:val="nil"/>
              <w:bottom w:val="single" w:sz="4" w:space="0" w:color="A0A0A0"/>
              <w:right w:val="single" w:sz="4" w:space="0" w:color="A0A0A0"/>
            </w:tcBorders>
            <w:shd w:val="clear" w:color="000000" w:fill="FFFFFF"/>
            <w:noWrap/>
            <w:hideMark/>
          </w:tcPr>
          <w:p w14:paraId="1FBD55EF"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6,737</w:t>
            </w:r>
          </w:p>
        </w:tc>
        <w:tc>
          <w:tcPr>
            <w:tcW w:w="1420" w:type="dxa"/>
            <w:tcBorders>
              <w:top w:val="nil"/>
              <w:left w:val="nil"/>
              <w:bottom w:val="single" w:sz="4" w:space="0" w:color="A0A0A0"/>
              <w:right w:val="single" w:sz="4" w:space="0" w:color="A0A0A0"/>
            </w:tcBorders>
            <w:shd w:val="clear" w:color="000000" w:fill="FFFFFF"/>
            <w:noWrap/>
            <w:hideMark/>
          </w:tcPr>
          <w:p w14:paraId="3D9662F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5,670</w:t>
            </w:r>
          </w:p>
        </w:tc>
        <w:tc>
          <w:tcPr>
            <w:tcW w:w="1420" w:type="dxa"/>
            <w:tcBorders>
              <w:top w:val="nil"/>
              <w:left w:val="nil"/>
              <w:bottom w:val="single" w:sz="4" w:space="0" w:color="A0A0A0"/>
              <w:right w:val="single" w:sz="4" w:space="0" w:color="A0A0A0"/>
            </w:tcBorders>
            <w:shd w:val="clear" w:color="000000" w:fill="FFFFFF"/>
            <w:noWrap/>
            <w:hideMark/>
          </w:tcPr>
          <w:p w14:paraId="4D5FF0A7"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4,127</w:t>
            </w:r>
          </w:p>
        </w:tc>
        <w:tc>
          <w:tcPr>
            <w:tcW w:w="1420" w:type="dxa"/>
            <w:tcBorders>
              <w:top w:val="nil"/>
              <w:left w:val="nil"/>
              <w:bottom w:val="single" w:sz="4" w:space="0" w:color="A0A0A0"/>
              <w:right w:val="single" w:sz="4" w:space="0" w:color="A0A0A0"/>
            </w:tcBorders>
            <w:shd w:val="clear" w:color="000000" w:fill="FFFFFF"/>
            <w:noWrap/>
            <w:hideMark/>
          </w:tcPr>
          <w:p w14:paraId="74A01CB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2,772</w:t>
            </w:r>
          </w:p>
        </w:tc>
        <w:tc>
          <w:tcPr>
            <w:tcW w:w="1420" w:type="dxa"/>
            <w:tcBorders>
              <w:top w:val="nil"/>
              <w:left w:val="nil"/>
              <w:bottom w:val="single" w:sz="4" w:space="0" w:color="A0A0A0"/>
              <w:right w:val="single" w:sz="4" w:space="0" w:color="A0A0A0"/>
            </w:tcBorders>
            <w:shd w:val="clear" w:color="000000" w:fill="FFFFFF"/>
            <w:noWrap/>
            <w:hideMark/>
          </w:tcPr>
          <w:p w14:paraId="3D7AA7D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3,392</w:t>
            </w:r>
          </w:p>
        </w:tc>
      </w:tr>
      <w:tr w:rsidR="00F30104" w:rsidRPr="00F30104" w14:paraId="59CD49EF"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76F30F0F"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Directors' Fees</w:t>
            </w:r>
          </w:p>
        </w:tc>
        <w:tc>
          <w:tcPr>
            <w:tcW w:w="1420" w:type="dxa"/>
            <w:tcBorders>
              <w:top w:val="nil"/>
              <w:left w:val="nil"/>
              <w:bottom w:val="single" w:sz="4" w:space="0" w:color="A0A0A0"/>
              <w:right w:val="single" w:sz="4" w:space="0" w:color="A0A0A0"/>
            </w:tcBorders>
            <w:shd w:val="clear" w:color="000000" w:fill="FFFFFF"/>
            <w:noWrap/>
            <w:hideMark/>
          </w:tcPr>
          <w:p w14:paraId="6595A1D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1,922</w:t>
            </w:r>
          </w:p>
        </w:tc>
        <w:tc>
          <w:tcPr>
            <w:tcW w:w="1420" w:type="dxa"/>
            <w:tcBorders>
              <w:top w:val="nil"/>
              <w:left w:val="nil"/>
              <w:bottom w:val="single" w:sz="4" w:space="0" w:color="A0A0A0"/>
              <w:right w:val="single" w:sz="4" w:space="0" w:color="A0A0A0"/>
            </w:tcBorders>
            <w:shd w:val="clear" w:color="000000" w:fill="FFFFFF"/>
            <w:noWrap/>
            <w:hideMark/>
          </w:tcPr>
          <w:p w14:paraId="386F9F6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1,446</w:t>
            </w:r>
          </w:p>
        </w:tc>
        <w:tc>
          <w:tcPr>
            <w:tcW w:w="1420" w:type="dxa"/>
            <w:tcBorders>
              <w:top w:val="nil"/>
              <w:left w:val="nil"/>
              <w:bottom w:val="single" w:sz="4" w:space="0" w:color="A0A0A0"/>
              <w:right w:val="single" w:sz="4" w:space="0" w:color="A0A0A0"/>
            </w:tcBorders>
            <w:shd w:val="clear" w:color="000000" w:fill="FFFFFF"/>
            <w:noWrap/>
            <w:hideMark/>
          </w:tcPr>
          <w:p w14:paraId="2D42555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1,323</w:t>
            </w:r>
          </w:p>
        </w:tc>
        <w:tc>
          <w:tcPr>
            <w:tcW w:w="1420" w:type="dxa"/>
            <w:tcBorders>
              <w:top w:val="nil"/>
              <w:left w:val="nil"/>
              <w:bottom w:val="single" w:sz="4" w:space="0" w:color="A0A0A0"/>
              <w:right w:val="single" w:sz="4" w:space="0" w:color="A0A0A0"/>
            </w:tcBorders>
            <w:shd w:val="clear" w:color="000000" w:fill="FFFFFF"/>
            <w:noWrap/>
            <w:hideMark/>
          </w:tcPr>
          <w:p w14:paraId="64D16D5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1,284</w:t>
            </w:r>
          </w:p>
        </w:tc>
        <w:tc>
          <w:tcPr>
            <w:tcW w:w="1420" w:type="dxa"/>
            <w:tcBorders>
              <w:top w:val="nil"/>
              <w:left w:val="nil"/>
              <w:bottom w:val="single" w:sz="4" w:space="0" w:color="A0A0A0"/>
              <w:right w:val="single" w:sz="4" w:space="0" w:color="A0A0A0"/>
            </w:tcBorders>
            <w:shd w:val="clear" w:color="000000" w:fill="FFFFFF"/>
            <w:noWrap/>
            <w:hideMark/>
          </w:tcPr>
          <w:p w14:paraId="515C379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1,296</w:t>
            </w:r>
          </w:p>
        </w:tc>
      </w:tr>
      <w:tr w:rsidR="00F30104" w:rsidRPr="00F30104" w14:paraId="2CA0B1CF"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39A4ADD"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lastRenderedPageBreak/>
              <w:t xml:space="preserve"> ∟ Pension Contribution</w:t>
            </w:r>
          </w:p>
        </w:tc>
        <w:tc>
          <w:tcPr>
            <w:tcW w:w="1420" w:type="dxa"/>
            <w:tcBorders>
              <w:top w:val="nil"/>
              <w:left w:val="nil"/>
              <w:bottom w:val="single" w:sz="4" w:space="0" w:color="A0A0A0"/>
              <w:right w:val="single" w:sz="4" w:space="0" w:color="A0A0A0"/>
            </w:tcBorders>
            <w:shd w:val="clear" w:color="000000" w:fill="FFFFFF"/>
            <w:noWrap/>
            <w:hideMark/>
          </w:tcPr>
          <w:p w14:paraId="4136CF7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180</w:t>
            </w:r>
          </w:p>
        </w:tc>
        <w:tc>
          <w:tcPr>
            <w:tcW w:w="1420" w:type="dxa"/>
            <w:tcBorders>
              <w:top w:val="nil"/>
              <w:left w:val="nil"/>
              <w:bottom w:val="single" w:sz="4" w:space="0" w:color="A0A0A0"/>
              <w:right w:val="single" w:sz="4" w:space="0" w:color="A0A0A0"/>
            </w:tcBorders>
            <w:shd w:val="clear" w:color="000000" w:fill="FFFFFF"/>
            <w:noWrap/>
            <w:hideMark/>
          </w:tcPr>
          <w:p w14:paraId="6EC2A1A9"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208</w:t>
            </w:r>
          </w:p>
        </w:tc>
        <w:tc>
          <w:tcPr>
            <w:tcW w:w="1420" w:type="dxa"/>
            <w:tcBorders>
              <w:top w:val="nil"/>
              <w:left w:val="nil"/>
              <w:bottom w:val="single" w:sz="4" w:space="0" w:color="A0A0A0"/>
              <w:right w:val="single" w:sz="4" w:space="0" w:color="A0A0A0"/>
            </w:tcBorders>
            <w:shd w:val="clear" w:color="000000" w:fill="FFFFFF"/>
            <w:noWrap/>
            <w:hideMark/>
          </w:tcPr>
          <w:p w14:paraId="3BC0B38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242</w:t>
            </w:r>
          </w:p>
        </w:tc>
        <w:tc>
          <w:tcPr>
            <w:tcW w:w="1420" w:type="dxa"/>
            <w:tcBorders>
              <w:top w:val="nil"/>
              <w:left w:val="nil"/>
              <w:bottom w:val="single" w:sz="4" w:space="0" w:color="A0A0A0"/>
              <w:right w:val="single" w:sz="4" w:space="0" w:color="A0A0A0"/>
            </w:tcBorders>
            <w:shd w:val="clear" w:color="000000" w:fill="FFFFFF"/>
            <w:noWrap/>
            <w:hideMark/>
          </w:tcPr>
          <w:p w14:paraId="6AB40181"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203</w:t>
            </w:r>
          </w:p>
        </w:tc>
        <w:tc>
          <w:tcPr>
            <w:tcW w:w="1420" w:type="dxa"/>
            <w:tcBorders>
              <w:top w:val="nil"/>
              <w:left w:val="nil"/>
              <w:bottom w:val="single" w:sz="4" w:space="0" w:color="A0A0A0"/>
              <w:right w:val="single" w:sz="4" w:space="0" w:color="A0A0A0"/>
            </w:tcBorders>
            <w:shd w:val="clear" w:color="000000" w:fill="FFFFFF"/>
            <w:noWrap/>
            <w:hideMark/>
          </w:tcPr>
          <w:p w14:paraId="16AAAC4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214</w:t>
            </w:r>
          </w:p>
        </w:tc>
      </w:tr>
      <w:tr w:rsidR="00F30104" w:rsidRPr="00F30104" w14:paraId="589AFAAF"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2BD20FA4"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Other Emoluments</w:t>
            </w:r>
          </w:p>
        </w:tc>
        <w:tc>
          <w:tcPr>
            <w:tcW w:w="1420" w:type="dxa"/>
            <w:tcBorders>
              <w:top w:val="nil"/>
              <w:left w:val="nil"/>
              <w:bottom w:val="single" w:sz="4" w:space="0" w:color="A0A0A0"/>
              <w:right w:val="single" w:sz="4" w:space="0" w:color="A0A0A0"/>
            </w:tcBorders>
            <w:shd w:val="clear" w:color="000000" w:fill="FFFFFF"/>
            <w:noWrap/>
            <w:hideMark/>
          </w:tcPr>
          <w:p w14:paraId="34AEDE5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4,635</w:t>
            </w:r>
          </w:p>
        </w:tc>
        <w:tc>
          <w:tcPr>
            <w:tcW w:w="1420" w:type="dxa"/>
            <w:tcBorders>
              <w:top w:val="nil"/>
              <w:left w:val="nil"/>
              <w:bottom w:val="single" w:sz="4" w:space="0" w:color="A0A0A0"/>
              <w:right w:val="single" w:sz="4" w:space="0" w:color="A0A0A0"/>
            </w:tcBorders>
            <w:shd w:val="clear" w:color="000000" w:fill="FFFFFF"/>
            <w:noWrap/>
            <w:hideMark/>
          </w:tcPr>
          <w:p w14:paraId="3393BE2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4,016</w:t>
            </w:r>
          </w:p>
        </w:tc>
        <w:tc>
          <w:tcPr>
            <w:tcW w:w="1420" w:type="dxa"/>
            <w:tcBorders>
              <w:top w:val="nil"/>
              <w:left w:val="nil"/>
              <w:bottom w:val="single" w:sz="4" w:space="0" w:color="A0A0A0"/>
              <w:right w:val="single" w:sz="4" w:space="0" w:color="A0A0A0"/>
            </w:tcBorders>
            <w:shd w:val="clear" w:color="000000" w:fill="FFFFFF"/>
            <w:noWrap/>
            <w:hideMark/>
          </w:tcPr>
          <w:p w14:paraId="45F32AF2"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2,562</w:t>
            </w:r>
          </w:p>
        </w:tc>
        <w:tc>
          <w:tcPr>
            <w:tcW w:w="1420" w:type="dxa"/>
            <w:tcBorders>
              <w:top w:val="nil"/>
              <w:left w:val="nil"/>
              <w:bottom w:val="single" w:sz="4" w:space="0" w:color="A0A0A0"/>
              <w:right w:val="single" w:sz="4" w:space="0" w:color="A0A0A0"/>
            </w:tcBorders>
            <w:shd w:val="clear" w:color="000000" w:fill="FFFFFF"/>
            <w:noWrap/>
            <w:hideMark/>
          </w:tcPr>
          <w:p w14:paraId="1CC37004"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1,285</w:t>
            </w:r>
          </w:p>
        </w:tc>
        <w:tc>
          <w:tcPr>
            <w:tcW w:w="1420" w:type="dxa"/>
            <w:tcBorders>
              <w:top w:val="nil"/>
              <w:left w:val="nil"/>
              <w:bottom w:val="single" w:sz="4" w:space="0" w:color="A0A0A0"/>
              <w:right w:val="single" w:sz="4" w:space="0" w:color="A0A0A0"/>
            </w:tcBorders>
            <w:shd w:val="clear" w:color="000000" w:fill="FFFFFF"/>
            <w:noWrap/>
            <w:hideMark/>
          </w:tcPr>
          <w:p w14:paraId="10AD04B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1,882</w:t>
            </w:r>
          </w:p>
        </w:tc>
      </w:tr>
      <w:tr w:rsidR="00F30104" w:rsidRPr="00F30104" w14:paraId="6346D4DC"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C8FDE5F"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Highest Paid Director</w:t>
            </w:r>
          </w:p>
        </w:tc>
        <w:tc>
          <w:tcPr>
            <w:tcW w:w="1420" w:type="dxa"/>
            <w:tcBorders>
              <w:top w:val="nil"/>
              <w:left w:val="nil"/>
              <w:bottom w:val="single" w:sz="4" w:space="0" w:color="A0A0A0"/>
              <w:right w:val="single" w:sz="4" w:space="0" w:color="A0A0A0"/>
            </w:tcBorders>
            <w:shd w:val="clear" w:color="000000" w:fill="FFFFFF"/>
            <w:noWrap/>
            <w:hideMark/>
          </w:tcPr>
          <w:p w14:paraId="4652B156"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2,534</w:t>
            </w:r>
          </w:p>
        </w:tc>
        <w:tc>
          <w:tcPr>
            <w:tcW w:w="1420" w:type="dxa"/>
            <w:tcBorders>
              <w:top w:val="nil"/>
              <w:left w:val="nil"/>
              <w:bottom w:val="single" w:sz="4" w:space="0" w:color="A0A0A0"/>
              <w:right w:val="single" w:sz="4" w:space="0" w:color="A0A0A0"/>
            </w:tcBorders>
            <w:shd w:val="clear" w:color="000000" w:fill="FFFFFF"/>
            <w:noWrap/>
            <w:hideMark/>
          </w:tcPr>
          <w:p w14:paraId="6D6A0D60"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2,630</w:t>
            </w:r>
          </w:p>
        </w:tc>
        <w:tc>
          <w:tcPr>
            <w:tcW w:w="1420" w:type="dxa"/>
            <w:tcBorders>
              <w:top w:val="nil"/>
              <w:left w:val="nil"/>
              <w:bottom w:val="single" w:sz="4" w:space="0" w:color="A0A0A0"/>
              <w:right w:val="single" w:sz="4" w:space="0" w:color="A0A0A0"/>
            </w:tcBorders>
            <w:shd w:val="clear" w:color="000000" w:fill="FFFFFF"/>
            <w:noWrap/>
            <w:hideMark/>
          </w:tcPr>
          <w:p w14:paraId="1890139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1,949</w:t>
            </w:r>
          </w:p>
        </w:tc>
        <w:tc>
          <w:tcPr>
            <w:tcW w:w="1420" w:type="dxa"/>
            <w:tcBorders>
              <w:top w:val="nil"/>
              <w:left w:val="nil"/>
              <w:bottom w:val="single" w:sz="4" w:space="0" w:color="A0A0A0"/>
              <w:right w:val="single" w:sz="4" w:space="0" w:color="A0A0A0"/>
            </w:tcBorders>
            <w:shd w:val="clear" w:color="000000" w:fill="FFFFFF"/>
            <w:noWrap/>
            <w:hideMark/>
          </w:tcPr>
          <w:p w14:paraId="6A4D2BB3"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1,211</w:t>
            </w:r>
          </w:p>
        </w:tc>
        <w:tc>
          <w:tcPr>
            <w:tcW w:w="1420" w:type="dxa"/>
            <w:tcBorders>
              <w:top w:val="nil"/>
              <w:left w:val="nil"/>
              <w:bottom w:val="single" w:sz="4" w:space="0" w:color="A0A0A0"/>
              <w:right w:val="single" w:sz="4" w:space="0" w:color="A0A0A0"/>
            </w:tcBorders>
            <w:shd w:val="clear" w:color="000000" w:fill="FFFFFF"/>
            <w:noWrap/>
            <w:hideMark/>
          </w:tcPr>
          <w:p w14:paraId="2D925EAD"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1,667</w:t>
            </w:r>
          </w:p>
        </w:tc>
      </w:tr>
      <w:tr w:rsidR="00F30104" w:rsidRPr="00F30104" w14:paraId="1A998431"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2F60D6BC"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EBITDA</w:t>
            </w:r>
          </w:p>
        </w:tc>
        <w:tc>
          <w:tcPr>
            <w:tcW w:w="1420" w:type="dxa"/>
            <w:tcBorders>
              <w:top w:val="nil"/>
              <w:left w:val="nil"/>
              <w:bottom w:val="single" w:sz="4" w:space="0" w:color="A0A0A0"/>
              <w:right w:val="single" w:sz="4" w:space="0" w:color="A0A0A0"/>
            </w:tcBorders>
            <w:shd w:val="clear" w:color="000000" w:fill="FFFFFF"/>
            <w:noWrap/>
            <w:hideMark/>
          </w:tcPr>
          <w:p w14:paraId="311AC9D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1,108,100</w:t>
            </w:r>
          </w:p>
        </w:tc>
        <w:tc>
          <w:tcPr>
            <w:tcW w:w="1420" w:type="dxa"/>
            <w:tcBorders>
              <w:top w:val="nil"/>
              <w:left w:val="nil"/>
              <w:bottom w:val="single" w:sz="4" w:space="0" w:color="A0A0A0"/>
              <w:right w:val="single" w:sz="4" w:space="0" w:color="A0A0A0"/>
            </w:tcBorders>
            <w:shd w:val="clear" w:color="000000" w:fill="FFFFFF"/>
            <w:noWrap/>
            <w:hideMark/>
          </w:tcPr>
          <w:p w14:paraId="6BBDBA8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1,147,300</w:t>
            </w:r>
          </w:p>
        </w:tc>
        <w:tc>
          <w:tcPr>
            <w:tcW w:w="1420" w:type="dxa"/>
            <w:tcBorders>
              <w:top w:val="nil"/>
              <w:left w:val="nil"/>
              <w:bottom w:val="single" w:sz="4" w:space="0" w:color="A0A0A0"/>
              <w:right w:val="single" w:sz="4" w:space="0" w:color="A0A0A0"/>
            </w:tcBorders>
            <w:shd w:val="clear" w:color="000000" w:fill="FFFFFF"/>
            <w:noWrap/>
            <w:hideMark/>
          </w:tcPr>
          <w:p w14:paraId="68AAD30B"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710,000</w:t>
            </w:r>
          </w:p>
        </w:tc>
        <w:tc>
          <w:tcPr>
            <w:tcW w:w="1420" w:type="dxa"/>
            <w:tcBorders>
              <w:top w:val="nil"/>
              <w:left w:val="nil"/>
              <w:bottom w:val="single" w:sz="4" w:space="0" w:color="A0A0A0"/>
              <w:right w:val="single" w:sz="4" w:space="0" w:color="A0A0A0"/>
            </w:tcBorders>
            <w:shd w:val="clear" w:color="000000" w:fill="FFFFFF"/>
            <w:noWrap/>
            <w:hideMark/>
          </w:tcPr>
          <w:p w14:paraId="7C6F37C4"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1,005,300</w:t>
            </w:r>
          </w:p>
        </w:tc>
        <w:tc>
          <w:tcPr>
            <w:tcW w:w="1420" w:type="dxa"/>
            <w:tcBorders>
              <w:top w:val="nil"/>
              <w:left w:val="nil"/>
              <w:bottom w:val="single" w:sz="4" w:space="0" w:color="A0A0A0"/>
              <w:right w:val="single" w:sz="4" w:space="0" w:color="A0A0A0"/>
            </w:tcBorders>
            <w:shd w:val="clear" w:color="000000" w:fill="FFFFFF"/>
            <w:noWrap/>
            <w:hideMark/>
          </w:tcPr>
          <w:p w14:paraId="51BB5430"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858,200</w:t>
            </w:r>
          </w:p>
        </w:tc>
      </w:tr>
      <w:tr w:rsidR="00F30104" w:rsidRPr="00F30104" w14:paraId="09359E5B" w14:textId="77777777" w:rsidTr="00C01D50">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E70FB9C" w14:textId="77777777" w:rsidR="00C01D50" w:rsidRPr="00C01D50" w:rsidRDefault="00C01D50" w:rsidP="00F30104">
            <w:pPr>
              <w:spacing w:after="0" w:line="360" w:lineRule="auto"/>
              <w:contextualSpacing/>
              <w:rPr>
                <w:rFonts w:ascii="Arial" w:eastAsia="Times New Roman" w:hAnsi="Arial" w:cs="Arial"/>
                <w:kern w:val="0"/>
                <w:lang/>
                <w14:ligatures w14:val="none"/>
              </w:rPr>
            </w:pPr>
            <w:r w:rsidRPr="00C01D50">
              <w:rPr>
                <w:rFonts w:ascii="Arial" w:eastAsia="Times New Roman" w:hAnsi="Arial" w:cs="Arial"/>
                <w:kern w:val="0"/>
                <w:lang/>
                <w14:ligatures w14:val="none"/>
              </w:rPr>
              <w:t xml:space="preserve"> ∟ Number of employees</w:t>
            </w:r>
          </w:p>
        </w:tc>
        <w:tc>
          <w:tcPr>
            <w:tcW w:w="1420" w:type="dxa"/>
            <w:tcBorders>
              <w:top w:val="nil"/>
              <w:left w:val="nil"/>
              <w:bottom w:val="single" w:sz="4" w:space="0" w:color="A0A0A0"/>
              <w:right w:val="single" w:sz="4" w:space="0" w:color="A0A0A0"/>
            </w:tcBorders>
            <w:shd w:val="clear" w:color="000000" w:fill="FFFFFF"/>
            <w:noWrap/>
            <w:hideMark/>
          </w:tcPr>
          <w:p w14:paraId="1F713ECE"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72,316</w:t>
            </w:r>
          </w:p>
        </w:tc>
        <w:tc>
          <w:tcPr>
            <w:tcW w:w="1420" w:type="dxa"/>
            <w:tcBorders>
              <w:top w:val="nil"/>
              <w:left w:val="nil"/>
              <w:bottom w:val="single" w:sz="4" w:space="0" w:color="A0A0A0"/>
              <w:right w:val="single" w:sz="4" w:space="0" w:color="A0A0A0"/>
            </w:tcBorders>
            <w:shd w:val="clear" w:color="000000" w:fill="FFFFFF"/>
            <w:noWrap/>
            <w:hideMark/>
          </w:tcPr>
          <w:p w14:paraId="568321FA"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67,086</w:t>
            </w:r>
          </w:p>
        </w:tc>
        <w:tc>
          <w:tcPr>
            <w:tcW w:w="1420" w:type="dxa"/>
            <w:tcBorders>
              <w:top w:val="nil"/>
              <w:left w:val="nil"/>
              <w:bottom w:val="single" w:sz="4" w:space="0" w:color="A0A0A0"/>
              <w:right w:val="single" w:sz="4" w:space="0" w:color="A0A0A0"/>
            </w:tcBorders>
            <w:shd w:val="clear" w:color="000000" w:fill="FFFFFF"/>
            <w:noWrap/>
            <w:hideMark/>
          </w:tcPr>
          <w:p w14:paraId="7FBB560C"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69,846</w:t>
            </w:r>
          </w:p>
        </w:tc>
        <w:tc>
          <w:tcPr>
            <w:tcW w:w="1420" w:type="dxa"/>
            <w:tcBorders>
              <w:top w:val="nil"/>
              <w:left w:val="nil"/>
              <w:bottom w:val="single" w:sz="4" w:space="0" w:color="A0A0A0"/>
              <w:right w:val="single" w:sz="4" w:space="0" w:color="A0A0A0"/>
            </w:tcBorders>
            <w:shd w:val="clear" w:color="000000" w:fill="FFFFFF"/>
            <w:noWrap/>
            <w:hideMark/>
          </w:tcPr>
          <w:p w14:paraId="50E10F95"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78,031</w:t>
            </w:r>
          </w:p>
        </w:tc>
        <w:tc>
          <w:tcPr>
            <w:tcW w:w="1420" w:type="dxa"/>
            <w:tcBorders>
              <w:top w:val="nil"/>
              <w:left w:val="nil"/>
              <w:bottom w:val="single" w:sz="4" w:space="0" w:color="A0A0A0"/>
              <w:right w:val="single" w:sz="4" w:space="0" w:color="A0A0A0"/>
            </w:tcBorders>
            <w:shd w:val="clear" w:color="000000" w:fill="FFFFFF"/>
            <w:noWrap/>
            <w:hideMark/>
          </w:tcPr>
          <w:p w14:paraId="651F9F78" w14:textId="77777777" w:rsidR="00C01D50" w:rsidRPr="00C01D50" w:rsidRDefault="00C01D50" w:rsidP="00F30104">
            <w:pPr>
              <w:spacing w:after="0" w:line="360" w:lineRule="auto"/>
              <w:contextualSpacing/>
              <w:jc w:val="right"/>
              <w:rPr>
                <w:rFonts w:ascii="Arial" w:eastAsia="Times New Roman" w:hAnsi="Arial" w:cs="Arial"/>
                <w:kern w:val="0"/>
                <w:lang/>
                <w14:ligatures w14:val="none"/>
              </w:rPr>
            </w:pPr>
            <w:r w:rsidRPr="00C01D50">
              <w:rPr>
                <w:rFonts w:ascii="Arial" w:eastAsia="Times New Roman" w:hAnsi="Arial" w:cs="Arial"/>
                <w:kern w:val="0"/>
                <w:lang/>
                <w14:ligatures w14:val="none"/>
              </w:rPr>
              <w:t>80,097</w:t>
            </w:r>
          </w:p>
        </w:tc>
      </w:tr>
    </w:tbl>
    <w:p w14:paraId="0DBEFA4D" w14:textId="77777777" w:rsidR="00C01D50" w:rsidRPr="00F30104" w:rsidRDefault="00C01D50" w:rsidP="00F30104">
      <w:pPr>
        <w:spacing w:after="0" w:line="360" w:lineRule="auto"/>
        <w:contextualSpacing/>
        <w:rPr>
          <w:rFonts w:ascii="Arial" w:hAnsi="Arial" w:cs="Arial"/>
          <w:lang w:val="en-GB"/>
        </w:rPr>
      </w:pPr>
    </w:p>
    <w:p w14:paraId="5660E0D2" w14:textId="5A72F724" w:rsidR="00FE57B4" w:rsidRPr="00F30104" w:rsidRDefault="00C01D50" w:rsidP="00F30104">
      <w:pPr>
        <w:pStyle w:val="Heading1"/>
      </w:pPr>
      <w:bookmarkStart w:id="19" w:name="_Toc151385682"/>
      <w:r w:rsidRPr="00F30104">
        <w:t>Appendix D: Cash Flow Statement</w:t>
      </w:r>
      <w:bookmarkEnd w:id="19"/>
    </w:p>
    <w:tbl>
      <w:tblPr>
        <w:tblW w:w="10000" w:type="dxa"/>
        <w:tblLook w:val="04A0" w:firstRow="1" w:lastRow="0" w:firstColumn="1" w:lastColumn="0" w:noHBand="0" w:noVBand="1"/>
      </w:tblPr>
      <w:tblGrid>
        <w:gridCol w:w="2900"/>
        <w:gridCol w:w="1420"/>
        <w:gridCol w:w="1420"/>
        <w:gridCol w:w="1420"/>
        <w:gridCol w:w="1420"/>
        <w:gridCol w:w="1420"/>
      </w:tblGrid>
      <w:tr w:rsidR="00F30104" w:rsidRPr="00F30104" w14:paraId="440B9B0C" w14:textId="77777777" w:rsidTr="00F30104">
        <w:trPr>
          <w:trHeight w:val="289"/>
        </w:trPr>
        <w:tc>
          <w:tcPr>
            <w:tcW w:w="2900" w:type="dxa"/>
            <w:tcBorders>
              <w:top w:val="nil"/>
              <w:left w:val="nil"/>
              <w:bottom w:val="nil"/>
              <w:right w:val="nil"/>
            </w:tcBorders>
            <w:shd w:val="clear" w:color="000000" w:fill="FFFFFF"/>
            <w:noWrap/>
            <w:vAlign w:val="bottom"/>
            <w:hideMark/>
          </w:tcPr>
          <w:p w14:paraId="1BF48CA0"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0FC3A09C"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5EF52E6A"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7F02815E"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1E29E80A"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48B788E5"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r>
      <w:tr w:rsidR="00F30104" w:rsidRPr="00F30104" w14:paraId="2CCFFBD6" w14:textId="77777777" w:rsidTr="00F30104">
        <w:trPr>
          <w:trHeight w:val="383"/>
        </w:trPr>
        <w:tc>
          <w:tcPr>
            <w:tcW w:w="2900" w:type="dxa"/>
            <w:tcBorders>
              <w:top w:val="nil"/>
              <w:left w:val="nil"/>
              <w:bottom w:val="nil"/>
              <w:right w:val="nil"/>
            </w:tcBorders>
            <w:shd w:val="clear" w:color="000000" w:fill="FFFFFF"/>
            <w:noWrap/>
            <w:vAlign w:val="bottom"/>
            <w:hideMark/>
          </w:tcPr>
          <w:p w14:paraId="0C47FDBE"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hideMark/>
          </w:tcPr>
          <w:p w14:paraId="40DE287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01/04/2023</w:t>
            </w:r>
          </w:p>
        </w:tc>
        <w:tc>
          <w:tcPr>
            <w:tcW w:w="1420" w:type="dxa"/>
            <w:tcBorders>
              <w:top w:val="nil"/>
              <w:left w:val="nil"/>
              <w:bottom w:val="nil"/>
              <w:right w:val="nil"/>
            </w:tcBorders>
            <w:shd w:val="clear" w:color="000000" w:fill="FFFFFF"/>
            <w:noWrap/>
            <w:hideMark/>
          </w:tcPr>
          <w:p w14:paraId="25C2E074"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02/04/2022</w:t>
            </w:r>
          </w:p>
        </w:tc>
        <w:tc>
          <w:tcPr>
            <w:tcW w:w="1420" w:type="dxa"/>
            <w:tcBorders>
              <w:top w:val="nil"/>
              <w:left w:val="nil"/>
              <w:bottom w:val="nil"/>
              <w:right w:val="nil"/>
            </w:tcBorders>
            <w:shd w:val="clear" w:color="000000" w:fill="FFFFFF"/>
            <w:noWrap/>
            <w:hideMark/>
          </w:tcPr>
          <w:p w14:paraId="402994B6"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03/04/2021</w:t>
            </w:r>
          </w:p>
        </w:tc>
        <w:tc>
          <w:tcPr>
            <w:tcW w:w="1420" w:type="dxa"/>
            <w:tcBorders>
              <w:top w:val="nil"/>
              <w:left w:val="nil"/>
              <w:bottom w:val="nil"/>
              <w:right w:val="nil"/>
            </w:tcBorders>
            <w:shd w:val="clear" w:color="000000" w:fill="FFFFFF"/>
            <w:noWrap/>
            <w:hideMark/>
          </w:tcPr>
          <w:p w14:paraId="163AEA67"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28/03/2020</w:t>
            </w:r>
          </w:p>
        </w:tc>
        <w:tc>
          <w:tcPr>
            <w:tcW w:w="1420" w:type="dxa"/>
            <w:tcBorders>
              <w:top w:val="nil"/>
              <w:left w:val="nil"/>
              <w:bottom w:val="nil"/>
              <w:right w:val="nil"/>
            </w:tcBorders>
            <w:shd w:val="clear" w:color="000000" w:fill="FFFFFF"/>
            <w:noWrap/>
            <w:hideMark/>
          </w:tcPr>
          <w:p w14:paraId="6D3F348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30/03/2019</w:t>
            </w:r>
          </w:p>
        </w:tc>
      </w:tr>
      <w:tr w:rsidR="00F30104" w:rsidRPr="00F30104" w14:paraId="576B8C58" w14:textId="77777777" w:rsidTr="00F30104">
        <w:trPr>
          <w:trHeight w:val="383"/>
        </w:trPr>
        <w:tc>
          <w:tcPr>
            <w:tcW w:w="2900" w:type="dxa"/>
            <w:tcBorders>
              <w:top w:val="nil"/>
              <w:left w:val="nil"/>
              <w:bottom w:val="nil"/>
              <w:right w:val="nil"/>
            </w:tcBorders>
            <w:shd w:val="clear" w:color="000000" w:fill="FFFFFF"/>
            <w:noWrap/>
            <w:vAlign w:val="bottom"/>
            <w:hideMark/>
          </w:tcPr>
          <w:p w14:paraId="41FD08E6"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234B3653"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176FCEAB"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375838A9"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4E826A4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th GBP</w:t>
            </w:r>
          </w:p>
        </w:tc>
        <w:tc>
          <w:tcPr>
            <w:tcW w:w="1420" w:type="dxa"/>
            <w:tcBorders>
              <w:top w:val="nil"/>
              <w:left w:val="nil"/>
              <w:bottom w:val="nil"/>
              <w:right w:val="nil"/>
            </w:tcBorders>
            <w:shd w:val="clear" w:color="000000" w:fill="FFFFFF"/>
            <w:hideMark/>
          </w:tcPr>
          <w:p w14:paraId="7C334F06"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th GBP</w:t>
            </w:r>
          </w:p>
        </w:tc>
      </w:tr>
      <w:tr w:rsidR="00F30104" w:rsidRPr="00F30104" w14:paraId="138637FB" w14:textId="77777777" w:rsidTr="00F30104">
        <w:trPr>
          <w:trHeight w:val="383"/>
        </w:trPr>
        <w:tc>
          <w:tcPr>
            <w:tcW w:w="2900" w:type="dxa"/>
            <w:tcBorders>
              <w:top w:val="nil"/>
              <w:left w:val="nil"/>
              <w:bottom w:val="nil"/>
              <w:right w:val="nil"/>
            </w:tcBorders>
            <w:shd w:val="clear" w:color="000000" w:fill="FFFFFF"/>
            <w:vAlign w:val="center"/>
            <w:hideMark/>
          </w:tcPr>
          <w:p w14:paraId="53F3ECDA"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Original documents</w:t>
            </w:r>
          </w:p>
        </w:tc>
        <w:tc>
          <w:tcPr>
            <w:tcW w:w="1420" w:type="dxa"/>
            <w:tcBorders>
              <w:top w:val="nil"/>
              <w:left w:val="nil"/>
              <w:bottom w:val="nil"/>
              <w:right w:val="nil"/>
            </w:tcBorders>
            <w:shd w:val="clear" w:color="000000" w:fill="FFFFFF"/>
            <w:hideMark/>
          </w:tcPr>
          <w:p w14:paraId="4FD23BB7" w14:textId="77777777" w:rsidR="00F30104" w:rsidRPr="00F30104" w:rsidRDefault="00510663" w:rsidP="00F30104">
            <w:pPr>
              <w:spacing w:after="0" w:line="360" w:lineRule="auto"/>
              <w:contextualSpacing/>
              <w:jc w:val="right"/>
              <w:rPr>
                <w:rFonts w:ascii="Arial" w:eastAsia="Times New Roman" w:hAnsi="Arial" w:cs="Arial"/>
                <w:kern w:val="0"/>
                <w:lang/>
                <w14:ligatures w14:val="none"/>
              </w:rPr>
            </w:pPr>
            <w:hyperlink r:id="rId49" w:history="1">
              <w:r w:rsidR="00F30104" w:rsidRPr="00F30104">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4F49B11F" w14:textId="77777777" w:rsidR="00F30104" w:rsidRPr="00F30104" w:rsidRDefault="00510663" w:rsidP="00F30104">
            <w:pPr>
              <w:spacing w:after="0" w:line="360" w:lineRule="auto"/>
              <w:contextualSpacing/>
              <w:jc w:val="right"/>
              <w:rPr>
                <w:rFonts w:ascii="Arial" w:eastAsia="Times New Roman" w:hAnsi="Arial" w:cs="Arial"/>
                <w:kern w:val="0"/>
                <w:lang/>
                <w14:ligatures w14:val="none"/>
              </w:rPr>
            </w:pPr>
            <w:hyperlink r:id="rId50" w:history="1">
              <w:r w:rsidR="00F30104" w:rsidRPr="00F30104">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591CE3B4" w14:textId="77777777" w:rsidR="00F30104" w:rsidRPr="00F30104" w:rsidRDefault="00510663" w:rsidP="00F30104">
            <w:pPr>
              <w:spacing w:after="0" w:line="360" w:lineRule="auto"/>
              <w:contextualSpacing/>
              <w:jc w:val="right"/>
              <w:rPr>
                <w:rFonts w:ascii="Arial" w:eastAsia="Times New Roman" w:hAnsi="Arial" w:cs="Arial"/>
                <w:kern w:val="0"/>
                <w:lang/>
                <w14:ligatures w14:val="none"/>
              </w:rPr>
            </w:pPr>
            <w:hyperlink r:id="rId51" w:history="1">
              <w:r w:rsidR="00F30104" w:rsidRPr="00F30104">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44584A61" w14:textId="77777777" w:rsidR="00F30104" w:rsidRPr="00F30104" w:rsidRDefault="00510663" w:rsidP="00F30104">
            <w:pPr>
              <w:spacing w:after="0" w:line="360" w:lineRule="auto"/>
              <w:contextualSpacing/>
              <w:jc w:val="right"/>
              <w:rPr>
                <w:rFonts w:ascii="Arial" w:eastAsia="Times New Roman" w:hAnsi="Arial" w:cs="Arial"/>
                <w:kern w:val="0"/>
                <w:lang/>
                <w14:ligatures w14:val="none"/>
              </w:rPr>
            </w:pPr>
            <w:hyperlink r:id="rId52" w:history="1">
              <w:r w:rsidR="00F30104" w:rsidRPr="00F30104">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0A2A4ADA" w14:textId="77777777" w:rsidR="00F30104" w:rsidRPr="00F30104" w:rsidRDefault="00510663" w:rsidP="00F30104">
            <w:pPr>
              <w:spacing w:after="0" w:line="360" w:lineRule="auto"/>
              <w:contextualSpacing/>
              <w:jc w:val="right"/>
              <w:rPr>
                <w:rFonts w:ascii="Arial" w:eastAsia="Times New Roman" w:hAnsi="Arial" w:cs="Arial"/>
                <w:kern w:val="0"/>
                <w:lang/>
                <w14:ligatures w14:val="none"/>
              </w:rPr>
            </w:pPr>
            <w:hyperlink r:id="rId53" w:history="1">
              <w:r w:rsidR="00F30104" w:rsidRPr="00F30104">
                <w:rPr>
                  <w:rFonts w:ascii="Arial" w:eastAsia="Times New Roman" w:hAnsi="Arial" w:cs="Arial"/>
                  <w:kern w:val="0"/>
                  <w:lang/>
                  <w14:ligatures w14:val="none"/>
                </w:rPr>
                <w:t>PDF</w:t>
              </w:r>
            </w:hyperlink>
          </w:p>
        </w:tc>
      </w:tr>
      <w:tr w:rsidR="00F30104" w:rsidRPr="00F30104" w14:paraId="2F149E54" w14:textId="77777777" w:rsidTr="00F30104">
        <w:trPr>
          <w:trHeight w:val="383"/>
        </w:trPr>
        <w:tc>
          <w:tcPr>
            <w:tcW w:w="2900" w:type="dxa"/>
            <w:tcBorders>
              <w:top w:val="nil"/>
              <w:left w:val="nil"/>
              <w:bottom w:val="nil"/>
              <w:right w:val="nil"/>
            </w:tcBorders>
            <w:shd w:val="clear" w:color="000000" w:fill="FFFFFF"/>
            <w:noWrap/>
            <w:vAlign w:val="bottom"/>
            <w:hideMark/>
          </w:tcPr>
          <w:p w14:paraId="1F1E6729"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6C68549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7982876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1F92B85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5AB5D32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0C72E700"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 months</w:t>
            </w:r>
          </w:p>
        </w:tc>
      </w:tr>
      <w:tr w:rsidR="00F30104" w:rsidRPr="00F30104" w14:paraId="44697991" w14:textId="77777777" w:rsidTr="00F30104">
        <w:trPr>
          <w:trHeight w:val="383"/>
        </w:trPr>
        <w:tc>
          <w:tcPr>
            <w:tcW w:w="2900" w:type="dxa"/>
            <w:tcBorders>
              <w:top w:val="nil"/>
              <w:left w:val="nil"/>
              <w:bottom w:val="nil"/>
              <w:right w:val="nil"/>
            </w:tcBorders>
            <w:shd w:val="clear" w:color="000000" w:fill="FFFFFF"/>
            <w:noWrap/>
            <w:vAlign w:val="bottom"/>
            <w:hideMark/>
          </w:tcPr>
          <w:p w14:paraId="450AC040"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487E38E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2D590394"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4AEB1790"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37F3BE23"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1CD221D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Cons.</w:t>
            </w:r>
          </w:p>
        </w:tc>
      </w:tr>
      <w:tr w:rsidR="00F30104" w:rsidRPr="00F30104" w14:paraId="5C999B09" w14:textId="77777777" w:rsidTr="00F30104">
        <w:trPr>
          <w:trHeight w:val="383"/>
        </w:trPr>
        <w:tc>
          <w:tcPr>
            <w:tcW w:w="2900" w:type="dxa"/>
            <w:tcBorders>
              <w:top w:val="nil"/>
              <w:left w:val="nil"/>
              <w:bottom w:val="nil"/>
              <w:right w:val="nil"/>
            </w:tcBorders>
            <w:shd w:val="clear" w:color="000000" w:fill="FFFFFF"/>
            <w:noWrap/>
            <w:vAlign w:val="bottom"/>
            <w:hideMark/>
          </w:tcPr>
          <w:p w14:paraId="1D69938F"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764E8D4B"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3E8F66D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1E6A066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64854AC7"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6892A38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Unqualified</w:t>
            </w:r>
          </w:p>
        </w:tc>
      </w:tr>
      <w:tr w:rsidR="00F30104" w:rsidRPr="00F30104" w14:paraId="19C071DC" w14:textId="77777777" w:rsidTr="00F30104">
        <w:trPr>
          <w:trHeight w:val="383"/>
        </w:trPr>
        <w:tc>
          <w:tcPr>
            <w:tcW w:w="2900" w:type="dxa"/>
            <w:tcBorders>
              <w:top w:val="nil"/>
              <w:left w:val="nil"/>
              <w:bottom w:val="nil"/>
              <w:right w:val="nil"/>
            </w:tcBorders>
            <w:shd w:val="clear" w:color="000000" w:fill="FFFFFF"/>
            <w:noWrap/>
            <w:vAlign w:val="bottom"/>
            <w:hideMark/>
          </w:tcPr>
          <w:p w14:paraId="0BDD8C4D"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4D5C2C4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641AA1F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6CC541B9"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667735B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06558448"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IFRS</w:t>
            </w:r>
          </w:p>
        </w:tc>
      </w:tr>
      <w:tr w:rsidR="00F30104" w:rsidRPr="00F30104" w14:paraId="5A86583F" w14:textId="77777777" w:rsidTr="00F30104">
        <w:trPr>
          <w:trHeight w:val="649"/>
        </w:trPr>
        <w:tc>
          <w:tcPr>
            <w:tcW w:w="2900" w:type="dxa"/>
            <w:tcBorders>
              <w:top w:val="single" w:sz="4" w:space="0" w:color="A0A0A0"/>
              <w:left w:val="single" w:sz="4" w:space="0" w:color="A0A0A0"/>
              <w:bottom w:val="single" w:sz="4" w:space="0" w:color="A0A0A0"/>
              <w:right w:val="single" w:sz="4" w:space="0" w:color="A0A0A0"/>
            </w:tcBorders>
            <w:shd w:val="clear" w:color="000000" w:fill="FFFFFF"/>
            <w:vAlign w:val="center"/>
            <w:hideMark/>
          </w:tcPr>
          <w:p w14:paraId="06DCC524"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Cash In(Out)flow Operat. Activ.</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5E839CB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949,900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7A20F45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1,122,500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5D4BC810"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706,200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3F46E8D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837,300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1E5FC146"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915,900</w:t>
            </w:r>
          </w:p>
        </w:tc>
      </w:tr>
      <w:tr w:rsidR="00F30104" w:rsidRPr="00F30104" w14:paraId="52133832"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EF43D1B"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Cash In(Out)flow Ret. on Invest.</w:t>
            </w:r>
          </w:p>
        </w:tc>
        <w:tc>
          <w:tcPr>
            <w:tcW w:w="1420" w:type="dxa"/>
            <w:tcBorders>
              <w:top w:val="nil"/>
              <w:left w:val="nil"/>
              <w:bottom w:val="single" w:sz="4" w:space="0" w:color="A0A0A0"/>
              <w:right w:val="single" w:sz="4" w:space="0" w:color="A0A0A0"/>
            </w:tcBorders>
            <w:shd w:val="clear" w:color="000000" w:fill="FFFFFF"/>
            <w:noWrap/>
            <w:hideMark/>
          </w:tcPr>
          <w:p w14:paraId="2AD914F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-149,000</w:t>
            </w:r>
          </w:p>
        </w:tc>
        <w:tc>
          <w:tcPr>
            <w:tcW w:w="1420" w:type="dxa"/>
            <w:tcBorders>
              <w:top w:val="nil"/>
              <w:left w:val="nil"/>
              <w:bottom w:val="single" w:sz="4" w:space="0" w:color="A0A0A0"/>
              <w:right w:val="single" w:sz="4" w:space="0" w:color="A0A0A0"/>
            </w:tcBorders>
            <w:shd w:val="clear" w:color="000000" w:fill="FFFFFF"/>
            <w:noWrap/>
            <w:hideMark/>
          </w:tcPr>
          <w:p w14:paraId="65053D30"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-27,700</w:t>
            </w:r>
          </w:p>
        </w:tc>
        <w:tc>
          <w:tcPr>
            <w:tcW w:w="1420" w:type="dxa"/>
            <w:tcBorders>
              <w:top w:val="nil"/>
              <w:left w:val="nil"/>
              <w:bottom w:val="single" w:sz="4" w:space="0" w:color="A0A0A0"/>
              <w:right w:val="single" w:sz="4" w:space="0" w:color="A0A0A0"/>
            </w:tcBorders>
            <w:shd w:val="clear" w:color="000000" w:fill="FFFFFF"/>
            <w:noWrap/>
            <w:hideMark/>
          </w:tcPr>
          <w:p w14:paraId="150939E6"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-31,400</w:t>
            </w:r>
          </w:p>
        </w:tc>
        <w:tc>
          <w:tcPr>
            <w:tcW w:w="1420" w:type="dxa"/>
            <w:tcBorders>
              <w:top w:val="nil"/>
              <w:left w:val="nil"/>
              <w:bottom w:val="single" w:sz="4" w:space="0" w:color="A0A0A0"/>
              <w:right w:val="single" w:sz="4" w:space="0" w:color="A0A0A0"/>
            </w:tcBorders>
            <w:shd w:val="clear" w:color="000000" w:fill="FFFFFF"/>
            <w:noWrap/>
            <w:hideMark/>
          </w:tcPr>
          <w:p w14:paraId="1DFEEFC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13,600</w:t>
            </w:r>
          </w:p>
        </w:tc>
        <w:tc>
          <w:tcPr>
            <w:tcW w:w="1420" w:type="dxa"/>
            <w:tcBorders>
              <w:top w:val="nil"/>
              <w:left w:val="nil"/>
              <w:bottom w:val="single" w:sz="4" w:space="0" w:color="A0A0A0"/>
              <w:right w:val="single" w:sz="4" w:space="0" w:color="A0A0A0"/>
            </w:tcBorders>
            <w:shd w:val="clear" w:color="000000" w:fill="FFFFFF"/>
            <w:noWrap/>
            <w:hideMark/>
          </w:tcPr>
          <w:p w14:paraId="5841096B"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-1,200</w:t>
            </w:r>
          </w:p>
        </w:tc>
      </w:tr>
      <w:tr w:rsidR="00F30104" w:rsidRPr="00F30104" w14:paraId="03641B97"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65FA656"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Taxation</w:t>
            </w:r>
          </w:p>
        </w:tc>
        <w:tc>
          <w:tcPr>
            <w:tcW w:w="1420" w:type="dxa"/>
            <w:tcBorders>
              <w:top w:val="nil"/>
              <w:left w:val="nil"/>
              <w:bottom w:val="single" w:sz="4" w:space="0" w:color="A0A0A0"/>
              <w:right w:val="single" w:sz="4" w:space="0" w:color="A0A0A0"/>
            </w:tcBorders>
            <w:shd w:val="clear" w:color="000000" w:fill="FFFFFF"/>
            <w:noWrap/>
            <w:hideMark/>
          </w:tcPr>
          <w:p w14:paraId="5E7D18B7"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40,600</w:t>
            </w:r>
          </w:p>
        </w:tc>
        <w:tc>
          <w:tcPr>
            <w:tcW w:w="1420" w:type="dxa"/>
            <w:tcBorders>
              <w:top w:val="nil"/>
              <w:left w:val="nil"/>
              <w:bottom w:val="single" w:sz="4" w:space="0" w:color="A0A0A0"/>
              <w:right w:val="single" w:sz="4" w:space="0" w:color="A0A0A0"/>
            </w:tcBorders>
            <w:shd w:val="clear" w:color="000000" w:fill="FFFFFF"/>
            <w:noWrap/>
            <w:hideMark/>
          </w:tcPr>
          <w:p w14:paraId="002A1EC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75,000</w:t>
            </w:r>
          </w:p>
        </w:tc>
        <w:tc>
          <w:tcPr>
            <w:tcW w:w="1420" w:type="dxa"/>
            <w:tcBorders>
              <w:top w:val="nil"/>
              <w:left w:val="nil"/>
              <w:bottom w:val="single" w:sz="4" w:space="0" w:color="A0A0A0"/>
              <w:right w:val="single" w:sz="4" w:space="0" w:color="A0A0A0"/>
            </w:tcBorders>
            <w:shd w:val="clear" w:color="000000" w:fill="FFFFFF"/>
            <w:noWrap/>
            <w:hideMark/>
          </w:tcPr>
          <w:p w14:paraId="6AEB0976"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-14,000</w:t>
            </w:r>
          </w:p>
        </w:tc>
        <w:tc>
          <w:tcPr>
            <w:tcW w:w="1420" w:type="dxa"/>
            <w:tcBorders>
              <w:top w:val="nil"/>
              <w:left w:val="nil"/>
              <w:bottom w:val="single" w:sz="4" w:space="0" w:color="A0A0A0"/>
              <w:right w:val="single" w:sz="4" w:space="0" w:color="A0A0A0"/>
            </w:tcBorders>
            <w:shd w:val="clear" w:color="000000" w:fill="FFFFFF"/>
            <w:noWrap/>
            <w:hideMark/>
          </w:tcPr>
          <w:p w14:paraId="55D6DFE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-91,600</w:t>
            </w:r>
          </w:p>
        </w:tc>
        <w:tc>
          <w:tcPr>
            <w:tcW w:w="1420" w:type="dxa"/>
            <w:tcBorders>
              <w:top w:val="nil"/>
              <w:left w:val="nil"/>
              <w:bottom w:val="single" w:sz="4" w:space="0" w:color="A0A0A0"/>
              <w:right w:val="single" w:sz="4" w:space="0" w:color="A0A0A0"/>
            </w:tcBorders>
            <w:shd w:val="clear" w:color="000000" w:fill="FFFFFF"/>
            <w:noWrap/>
            <w:hideMark/>
          </w:tcPr>
          <w:p w14:paraId="2F58F963"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-58,400</w:t>
            </w:r>
          </w:p>
        </w:tc>
      </w:tr>
      <w:tr w:rsidR="00F30104" w:rsidRPr="00F30104" w14:paraId="6046FEF7"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283346A"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Cash Out(In)flow Investing Activ.</w:t>
            </w:r>
          </w:p>
        </w:tc>
        <w:tc>
          <w:tcPr>
            <w:tcW w:w="1420" w:type="dxa"/>
            <w:tcBorders>
              <w:top w:val="nil"/>
              <w:left w:val="nil"/>
              <w:bottom w:val="single" w:sz="4" w:space="0" w:color="A0A0A0"/>
              <w:right w:val="single" w:sz="4" w:space="0" w:color="A0A0A0"/>
            </w:tcBorders>
            <w:shd w:val="clear" w:color="000000" w:fill="FFFFFF"/>
            <w:noWrap/>
            <w:hideMark/>
          </w:tcPr>
          <w:p w14:paraId="6E7EA810"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-540,700</w:t>
            </w:r>
          </w:p>
        </w:tc>
        <w:tc>
          <w:tcPr>
            <w:tcW w:w="1420" w:type="dxa"/>
            <w:tcBorders>
              <w:top w:val="nil"/>
              <w:left w:val="nil"/>
              <w:bottom w:val="single" w:sz="4" w:space="0" w:color="A0A0A0"/>
              <w:right w:val="single" w:sz="4" w:space="0" w:color="A0A0A0"/>
            </w:tcBorders>
            <w:shd w:val="clear" w:color="000000" w:fill="FFFFFF"/>
            <w:noWrap/>
            <w:hideMark/>
          </w:tcPr>
          <w:p w14:paraId="0C025AB0"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-254,100</w:t>
            </w:r>
          </w:p>
        </w:tc>
        <w:tc>
          <w:tcPr>
            <w:tcW w:w="1420" w:type="dxa"/>
            <w:tcBorders>
              <w:top w:val="nil"/>
              <w:left w:val="nil"/>
              <w:bottom w:val="single" w:sz="4" w:space="0" w:color="A0A0A0"/>
              <w:right w:val="single" w:sz="4" w:space="0" w:color="A0A0A0"/>
            </w:tcBorders>
            <w:shd w:val="clear" w:color="000000" w:fill="FFFFFF"/>
            <w:noWrap/>
            <w:hideMark/>
          </w:tcPr>
          <w:p w14:paraId="515DC29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-201,800</w:t>
            </w:r>
          </w:p>
        </w:tc>
        <w:tc>
          <w:tcPr>
            <w:tcW w:w="1420" w:type="dxa"/>
            <w:tcBorders>
              <w:top w:val="nil"/>
              <w:left w:val="nil"/>
              <w:bottom w:val="single" w:sz="4" w:space="0" w:color="A0A0A0"/>
              <w:right w:val="single" w:sz="4" w:space="0" w:color="A0A0A0"/>
            </w:tcBorders>
            <w:shd w:val="clear" w:color="000000" w:fill="FFFFFF"/>
            <w:noWrap/>
            <w:hideMark/>
          </w:tcPr>
          <w:p w14:paraId="14FE0A19"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-776,100</w:t>
            </w:r>
          </w:p>
        </w:tc>
        <w:tc>
          <w:tcPr>
            <w:tcW w:w="1420" w:type="dxa"/>
            <w:tcBorders>
              <w:top w:val="nil"/>
              <w:left w:val="nil"/>
              <w:bottom w:val="single" w:sz="4" w:space="0" w:color="A0A0A0"/>
              <w:right w:val="single" w:sz="4" w:space="0" w:color="A0A0A0"/>
            </w:tcBorders>
            <w:shd w:val="clear" w:color="000000" w:fill="FFFFFF"/>
            <w:noWrap/>
            <w:hideMark/>
          </w:tcPr>
          <w:p w14:paraId="70D6174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-395,400</w:t>
            </w:r>
          </w:p>
        </w:tc>
      </w:tr>
      <w:tr w:rsidR="00F30104" w:rsidRPr="00F30104" w14:paraId="5FF72B63"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1EB0285E"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Capital Expenditure &amp; Financ. Invest.</w:t>
            </w:r>
          </w:p>
        </w:tc>
        <w:tc>
          <w:tcPr>
            <w:tcW w:w="1420" w:type="dxa"/>
            <w:tcBorders>
              <w:top w:val="nil"/>
              <w:left w:val="nil"/>
              <w:bottom w:val="single" w:sz="4" w:space="0" w:color="A0A0A0"/>
              <w:right w:val="single" w:sz="4" w:space="0" w:color="A0A0A0"/>
            </w:tcBorders>
            <w:shd w:val="clear" w:color="000000" w:fill="FFFFFF"/>
            <w:noWrap/>
            <w:vAlign w:val="bottom"/>
            <w:hideMark/>
          </w:tcPr>
          <w:p w14:paraId="6709616F"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6DEBBD82"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7D20A6F"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1FE6EE83"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7958D52D"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r>
      <w:tr w:rsidR="00F30104" w:rsidRPr="00F30104" w14:paraId="2985D0EC"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2848618A"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Acquisition &amp; Disposal</w:t>
            </w:r>
          </w:p>
        </w:tc>
        <w:tc>
          <w:tcPr>
            <w:tcW w:w="1420" w:type="dxa"/>
            <w:tcBorders>
              <w:top w:val="nil"/>
              <w:left w:val="nil"/>
              <w:bottom w:val="single" w:sz="4" w:space="0" w:color="A0A0A0"/>
              <w:right w:val="single" w:sz="4" w:space="0" w:color="A0A0A0"/>
            </w:tcBorders>
            <w:shd w:val="clear" w:color="000000" w:fill="FFFFFF"/>
            <w:noWrap/>
            <w:vAlign w:val="bottom"/>
            <w:hideMark/>
          </w:tcPr>
          <w:p w14:paraId="7BD2A62C"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5B3DEB48"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71780863"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4E6B900"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4253F25E"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r>
      <w:tr w:rsidR="00F30104" w:rsidRPr="00F30104" w14:paraId="19476678"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DACC03C"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Equity Dividends Paid</w:t>
            </w:r>
          </w:p>
        </w:tc>
        <w:tc>
          <w:tcPr>
            <w:tcW w:w="1420" w:type="dxa"/>
            <w:tcBorders>
              <w:top w:val="nil"/>
              <w:left w:val="nil"/>
              <w:bottom w:val="single" w:sz="4" w:space="0" w:color="A0A0A0"/>
              <w:right w:val="single" w:sz="4" w:space="0" w:color="A0A0A0"/>
            </w:tcBorders>
            <w:shd w:val="clear" w:color="000000" w:fill="FFFFFF"/>
            <w:noWrap/>
            <w:vAlign w:val="bottom"/>
            <w:hideMark/>
          </w:tcPr>
          <w:p w14:paraId="375770C0"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08D3D02"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56A459A"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hideMark/>
          </w:tcPr>
          <w:p w14:paraId="48FCF08C"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-191,100</w:t>
            </w:r>
          </w:p>
        </w:tc>
        <w:tc>
          <w:tcPr>
            <w:tcW w:w="1420" w:type="dxa"/>
            <w:tcBorders>
              <w:top w:val="nil"/>
              <w:left w:val="nil"/>
              <w:bottom w:val="single" w:sz="4" w:space="0" w:color="A0A0A0"/>
              <w:right w:val="single" w:sz="4" w:space="0" w:color="A0A0A0"/>
            </w:tcBorders>
            <w:shd w:val="clear" w:color="000000" w:fill="FFFFFF"/>
            <w:noWrap/>
            <w:hideMark/>
          </w:tcPr>
          <w:p w14:paraId="2AA50F44"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-303,500</w:t>
            </w:r>
          </w:p>
        </w:tc>
      </w:tr>
      <w:tr w:rsidR="00F30104" w:rsidRPr="00F30104" w14:paraId="362F527E"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332B700"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Management of Liquid Resources</w:t>
            </w:r>
          </w:p>
        </w:tc>
        <w:tc>
          <w:tcPr>
            <w:tcW w:w="1420" w:type="dxa"/>
            <w:tcBorders>
              <w:top w:val="nil"/>
              <w:left w:val="nil"/>
              <w:bottom w:val="single" w:sz="4" w:space="0" w:color="A0A0A0"/>
              <w:right w:val="single" w:sz="4" w:space="0" w:color="A0A0A0"/>
            </w:tcBorders>
            <w:shd w:val="clear" w:color="000000" w:fill="FFFFFF"/>
            <w:noWrap/>
            <w:vAlign w:val="bottom"/>
            <w:hideMark/>
          </w:tcPr>
          <w:p w14:paraId="2BA357B0"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3467C8DD"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0C919C88"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492EC381"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vAlign w:val="bottom"/>
            <w:hideMark/>
          </w:tcPr>
          <w:p w14:paraId="220F0B40"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r>
      <w:tr w:rsidR="00F30104" w:rsidRPr="00F30104" w14:paraId="58BE8789"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07C871C"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Cash Out(In)flow from Financing</w:t>
            </w:r>
          </w:p>
        </w:tc>
        <w:tc>
          <w:tcPr>
            <w:tcW w:w="1420" w:type="dxa"/>
            <w:tcBorders>
              <w:top w:val="nil"/>
              <w:left w:val="nil"/>
              <w:bottom w:val="single" w:sz="4" w:space="0" w:color="A0A0A0"/>
              <w:right w:val="single" w:sz="4" w:space="0" w:color="A0A0A0"/>
            </w:tcBorders>
            <w:shd w:val="clear" w:color="000000" w:fill="FFFFFF"/>
            <w:noWrap/>
            <w:hideMark/>
          </w:tcPr>
          <w:p w14:paraId="5458271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-431,300</w:t>
            </w:r>
          </w:p>
        </w:tc>
        <w:tc>
          <w:tcPr>
            <w:tcW w:w="1420" w:type="dxa"/>
            <w:tcBorders>
              <w:top w:val="nil"/>
              <w:left w:val="nil"/>
              <w:bottom w:val="single" w:sz="4" w:space="0" w:color="A0A0A0"/>
              <w:right w:val="single" w:sz="4" w:space="0" w:color="A0A0A0"/>
            </w:tcBorders>
            <w:shd w:val="clear" w:color="000000" w:fill="FFFFFF"/>
            <w:noWrap/>
            <w:hideMark/>
          </w:tcPr>
          <w:p w14:paraId="54E1A3F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-379,300</w:t>
            </w:r>
          </w:p>
        </w:tc>
        <w:tc>
          <w:tcPr>
            <w:tcW w:w="1420" w:type="dxa"/>
            <w:tcBorders>
              <w:top w:val="nil"/>
              <w:left w:val="nil"/>
              <w:bottom w:val="single" w:sz="4" w:space="0" w:color="A0A0A0"/>
              <w:right w:val="single" w:sz="4" w:space="0" w:color="A0A0A0"/>
            </w:tcBorders>
            <w:shd w:val="clear" w:color="000000" w:fill="FFFFFF"/>
            <w:noWrap/>
            <w:hideMark/>
          </w:tcPr>
          <w:p w14:paraId="6F5BC3B8"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-24,700</w:t>
            </w:r>
          </w:p>
        </w:tc>
        <w:tc>
          <w:tcPr>
            <w:tcW w:w="1420" w:type="dxa"/>
            <w:tcBorders>
              <w:top w:val="nil"/>
              <w:left w:val="nil"/>
              <w:bottom w:val="single" w:sz="4" w:space="0" w:color="A0A0A0"/>
              <w:right w:val="single" w:sz="4" w:space="0" w:color="A0A0A0"/>
            </w:tcBorders>
            <w:shd w:val="clear" w:color="000000" w:fill="FFFFFF"/>
            <w:noWrap/>
            <w:hideMark/>
          </w:tcPr>
          <w:p w14:paraId="2E70624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158,400</w:t>
            </w:r>
          </w:p>
        </w:tc>
        <w:tc>
          <w:tcPr>
            <w:tcW w:w="1420" w:type="dxa"/>
            <w:tcBorders>
              <w:top w:val="nil"/>
              <w:left w:val="nil"/>
              <w:bottom w:val="single" w:sz="4" w:space="0" w:color="A0A0A0"/>
              <w:right w:val="single" w:sz="4" w:space="0" w:color="A0A0A0"/>
            </w:tcBorders>
            <w:shd w:val="clear" w:color="000000" w:fill="FFFFFF"/>
            <w:noWrap/>
            <w:hideMark/>
          </w:tcPr>
          <w:p w14:paraId="28762D8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-115,100</w:t>
            </w:r>
          </w:p>
        </w:tc>
      </w:tr>
      <w:tr w:rsidR="00F30104" w:rsidRPr="00F30104" w14:paraId="67E120D5" w14:textId="77777777" w:rsidTr="00F30104">
        <w:trPr>
          <w:trHeight w:val="649"/>
        </w:trPr>
        <w:tc>
          <w:tcPr>
            <w:tcW w:w="2900" w:type="dxa"/>
            <w:tcBorders>
              <w:top w:val="single" w:sz="4" w:space="0" w:color="E87722"/>
              <w:left w:val="single" w:sz="4" w:space="0" w:color="A0A0A0"/>
              <w:bottom w:val="single" w:sz="4" w:space="0" w:color="A0A0A0"/>
              <w:right w:val="single" w:sz="4" w:space="0" w:color="A0A0A0"/>
            </w:tcBorders>
            <w:shd w:val="clear" w:color="000000" w:fill="FFFFFF"/>
            <w:vAlign w:val="center"/>
            <w:hideMark/>
          </w:tcPr>
          <w:p w14:paraId="206282A4" w14:textId="77777777" w:rsidR="00F30104" w:rsidRPr="00F30104" w:rsidRDefault="00F30104" w:rsidP="00F30104">
            <w:pPr>
              <w:spacing w:after="0" w:line="360" w:lineRule="auto"/>
              <w:contextualSpacing/>
              <w:jc w:val="right"/>
              <w:rPr>
                <w:rFonts w:ascii="Arial" w:eastAsia="Times New Roman" w:hAnsi="Arial" w:cs="Arial"/>
                <w:b/>
                <w:bCs/>
                <w:kern w:val="0"/>
                <w:lang/>
                <w14:ligatures w14:val="none"/>
              </w:rPr>
            </w:pPr>
            <w:r w:rsidRPr="00F30104">
              <w:rPr>
                <w:rFonts w:ascii="Arial" w:eastAsia="Times New Roman" w:hAnsi="Arial" w:cs="Arial"/>
                <w:b/>
                <w:bCs/>
                <w:kern w:val="0"/>
                <w:lang/>
                <w14:ligatures w14:val="none"/>
              </w:rPr>
              <w:t xml:space="preserve"> ∟ Increase(Decrease) Cash &amp; Equiv.</w:t>
            </w:r>
          </w:p>
        </w:tc>
        <w:tc>
          <w:tcPr>
            <w:tcW w:w="1420" w:type="dxa"/>
            <w:tcBorders>
              <w:top w:val="single" w:sz="4" w:space="0" w:color="E87722"/>
              <w:left w:val="nil"/>
              <w:bottom w:val="single" w:sz="4" w:space="0" w:color="A0A0A0"/>
              <w:right w:val="single" w:sz="4" w:space="0" w:color="A0A0A0"/>
            </w:tcBorders>
            <w:shd w:val="clear" w:color="000000" w:fill="FFFFFF"/>
            <w:noWrap/>
            <w:hideMark/>
          </w:tcPr>
          <w:p w14:paraId="7E3A8852" w14:textId="77777777" w:rsidR="00F30104" w:rsidRPr="00F30104" w:rsidRDefault="00F30104" w:rsidP="00F30104">
            <w:pPr>
              <w:spacing w:after="0" w:line="360" w:lineRule="auto"/>
              <w:contextualSpacing/>
              <w:jc w:val="right"/>
              <w:rPr>
                <w:rFonts w:ascii="Arial" w:eastAsia="Times New Roman" w:hAnsi="Arial" w:cs="Arial"/>
                <w:b/>
                <w:bCs/>
                <w:kern w:val="0"/>
                <w:lang/>
                <w14:ligatures w14:val="none"/>
              </w:rPr>
            </w:pPr>
            <w:r w:rsidRPr="00F30104">
              <w:rPr>
                <w:rFonts w:ascii="Arial" w:eastAsia="Times New Roman" w:hAnsi="Arial" w:cs="Arial"/>
                <w:b/>
                <w:bCs/>
                <w:kern w:val="0"/>
                <w:lang/>
                <w14:ligatures w14:val="none"/>
              </w:rPr>
              <w:t>-130,500</w:t>
            </w:r>
          </w:p>
        </w:tc>
        <w:tc>
          <w:tcPr>
            <w:tcW w:w="1420" w:type="dxa"/>
            <w:tcBorders>
              <w:top w:val="single" w:sz="4" w:space="0" w:color="E87722"/>
              <w:left w:val="nil"/>
              <w:bottom w:val="single" w:sz="4" w:space="0" w:color="A0A0A0"/>
              <w:right w:val="single" w:sz="4" w:space="0" w:color="A0A0A0"/>
            </w:tcBorders>
            <w:shd w:val="clear" w:color="000000" w:fill="FFFFFF"/>
            <w:noWrap/>
            <w:hideMark/>
          </w:tcPr>
          <w:p w14:paraId="268C9B37" w14:textId="77777777" w:rsidR="00F30104" w:rsidRPr="00F30104" w:rsidRDefault="00F30104" w:rsidP="00F30104">
            <w:pPr>
              <w:spacing w:after="0" w:line="360" w:lineRule="auto"/>
              <w:contextualSpacing/>
              <w:jc w:val="right"/>
              <w:rPr>
                <w:rFonts w:ascii="Arial" w:eastAsia="Times New Roman" w:hAnsi="Arial" w:cs="Arial"/>
                <w:b/>
                <w:bCs/>
                <w:kern w:val="0"/>
                <w:lang/>
                <w14:ligatures w14:val="none"/>
              </w:rPr>
            </w:pPr>
            <w:r w:rsidRPr="00F30104">
              <w:rPr>
                <w:rFonts w:ascii="Arial" w:eastAsia="Times New Roman" w:hAnsi="Arial" w:cs="Arial"/>
                <w:b/>
                <w:bCs/>
                <w:kern w:val="0"/>
                <w:lang/>
                <w14:ligatures w14:val="none"/>
              </w:rPr>
              <w:t>536,400</w:t>
            </w:r>
          </w:p>
        </w:tc>
        <w:tc>
          <w:tcPr>
            <w:tcW w:w="1420" w:type="dxa"/>
            <w:tcBorders>
              <w:top w:val="single" w:sz="4" w:space="0" w:color="E87722"/>
              <w:left w:val="nil"/>
              <w:bottom w:val="single" w:sz="4" w:space="0" w:color="A0A0A0"/>
              <w:right w:val="single" w:sz="4" w:space="0" w:color="A0A0A0"/>
            </w:tcBorders>
            <w:shd w:val="clear" w:color="000000" w:fill="FFFFFF"/>
            <w:noWrap/>
            <w:hideMark/>
          </w:tcPr>
          <w:p w14:paraId="7B2B5655" w14:textId="77777777" w:rsidR="00F30104" w:rsidRPr="00F30104" w:rsidRDefault="00F30104" w:rsidP="00F30104">
            <w:pPr>
              <w:spacing w:after="0" w:line="360" w:lineRule="auto"/>
              <w:contextualSpacing/>
              <w:jc w:val="right"/>
              <w:rPr>
                <w:rFonts w:ascii="Arial" w:eastAsia="Times New Roman" w:hAnsi="Arial" w:cs="Arial"/>
                <w:b/>
                <w:bCs/>
                <w:kern w:val="0"/>
                <w:lang/>
                <w14:ligatures w14:val="none"/>
              </w:rPr>
            </w:pPr>
            <w:r w:rsidRPr="00F30104">
              <w:rPr>
                <w:rFonts w:ascii="Arial" w:eastAsia="Times New Roman" w:hAnsi="Arial" w:cs="Arial"/>
                <w:b/>
                <w:bCs/>
                <w:kern w:val="0"/>
                <w:lang/>
                <w14:ligatures w14:val="none"/>
              </w:rPr>
              <w:t>434,300</w:t>
            </w:r>
          </w:p>
        </w:tc>
        <w:tc>
          <w:tcPr>
            <w:tcW w:w="1420" w:type="dxa"/>
            <w:tcBorders>
              <w:top w:val="single" w:sz="4" w:space="0" w:color="E87722"/>
              <w:left w:val="nil"/>
              <w:bottom w:val="single" w:sz="4" w:space="0" w:color="A0A0A0"/>
              <w:right w:val="single" w:sz="4" w:space="0" w:color="A0A0A0"/>
            </w:tcBorders>
            <w:shd w:val="clear" w:color="000000" w:fill="FFFFFF"/>
            <w:noWrap/>
            <w:hideMark/>
          </w:tcPr>
          <w:p w14:paraId="489BF46A" w14:textId="77777777" w:rsidR="00F30104" w:rsidRPr="00F30104" w:rsidRDefault="00F30104" w:rsidP="00F30104">
            <w:pPr>
              <w:spacing w:after="0" w:line="360" w:lineRule="auto"/>
              <w:contextualSpacing/>
              <w:jc w:val="right"/>
              <w:rPr>
                <w:rFonts w:ascii="Arial" w:eastAsia="Times New Roman" w:hAnsi="Arial" w:cs="Arial"/>
                <w:b/>
                <w:bCs/>
                <w:kern w:val="0"/>
                <w:lang/>
                <w14:ligatures w14:val="none"/>
              </w:rPr>
            </w:pPr>
            <w:r w:rsidRPr="00F30104">
              <w:rPr>
                <w:rFonts w:ascii="Arial" w:eastAsia="Times New Roman" w:hAnsi="Arial" w:cs="Arial"/>
                <w:b/>
                <w:bCs/>
                <w:kern w:val="0"/>
                <w:lang/>
                <w14:ligatures w14:val="none"/>
              </w:rPr>
              <w:t>-49,500</w:t>
            </w:r>
          </w:p>
        </w:tc>
        <w:tc>
          <w:tcPr>
            <w:tcW w:w="1420" w:type="dxa"/>
            <w:tcBorders>
              <w:top w:val="single" w:sz="4" w:space="0" w:color="E87722"/>
              <w:left w:val="nil"/>
              <w:bottom w:val="single" w:sz="4" w:space="0" w:color="A0A0A0"/>
              <w:right w:val="single" w:sz="4" w:space="0" w:color="A0A0A0"/>
            </w:tcBorders>
            <w:shd w:val="clear" w:color="000000" w:fill="FFFFFF"/>
            <w:noWrap/>
            <w:hideMark/>
          </w:tcPr>
          <w:p w14:paraId="21FC51F6" w14:textId="77777777" w:rsidR="00F30104" w:rsidRPr="00F30104" w:rsidRDefault="00F30104" w:rsidP="00F30104">
            <w:pPr>
              <w:spacing w:after="0" w:line="360" w:lineRule="auto"/>
              <w:contextualSpacing/>
              <w:jc w:val="right"/>
              <w:rPr>
                <w:rFonts w:ascii="Arial" w:eastAsia="Times New Roman" w:hAnsi="Arial" w:cs="Arial"/>
                <w:b/>
                <w:bCs/>
                <w:kern w:val="0"/>
                <w:lang/>
                <w14:ligatures w14:val="none"/>
              </w:rPr>
            </w:pPr>
            <w:r w:rsidRPr="00F30104">
              <w:rPr>
                <w:rFonts w:ascii="Arial" w:eastAsia="Times New Roman" w:hAnsi="Arial" w:cs="Arial"/>
                <w:b/>
                <w:bCs/>
                <w:kern w:val="0"/>
                <w:lang/>
                <w14:ligatures w14:val="none"/>
              </w:rPr>
              <w:t>42,300</w:t>
            </w:r>
          </w:p>
        </w:tc>
      </w:tr>
    </w:tbl>
    <w:p w14:paraId="35B9AAB8" w14:textId="77777777" w:rsidR="00C01D50" w:rsidRPr="00F30104" w:rsidRDefault="00C01D50" w:rsidP="00F30104">
      <w:pPr>
        <w:spacing w:after="0" w:line="360" w:lineRule="auto"/>
        <w:contextualSpacing/>
        <w:rPr>
          <w:rFonts w:ascii="Arial" w:hAnsi="Arial" w:cs="Arial"/>
          <w:lang w:val="en-GB"/>
        </w:rPr>
      </w:pPr>
    </w:p>
    <w:p w14:paraId="1598AE4F" w14:textId="77777777" w:rsidR="00367B93" w:rsidRPr="00F30104" w:rsidRDefault="00367B93" w:rsidP="00F30104">
      <w:pPr>
        <w:spacing w:after="0" w:line="360" w:lineRule="auto"/>
        <w:contextualSpacing/>
        <w:jc w:val="both"/>
        <w:rPr>
          <w:rFonts w:ascii="Arial" w:hAnsi="Arial" w:cs="Arial"/>
          <w:lang w:val="en-GB"/>
        </w:rPr>
      </w:pPr>
    </w:p>
    <w:p w14:paraId="32D20C76" w14:textId="4C68535B" w:rsidR="00F30104" w:rsidRPr="00F30104" w:rsidRDefault="00F30104" w:rsidP="00F30104">
      <w:pPr>
        <w:spacing w:after="0" w:line="360" w:lineRule="auto"/>
        <w:contextualSpacing/>
        <w:rPr>
          <w:rFonts w:ascii="Arial" w:hAnsi="Arial" w:cs="Arial"/>
          <w:lang w:val="en-GB"/>
        </w:rPr>
      </w:pPr>
      <w:r w:rsidRPr="00F30104">
        <w:rPr>
          <w:rFonts w:ascii="Arial" w:hAnsi="Arial" w:cs="Arial"/>
          <w:lang w:val="en-GB"/>
        </w:rPr>
        <w:br w:type="page"/>
      </w:r>
    </w:p>
    <w:p w14:paraId="5952A04D" w14:textId="5F95B513" w:rsidR="00BD01EC" w:rsidRPr="00F30104" w:rsidRDefault="00F30104" w:rsidP="00F30104">
      <w:pPr>
        <w:pStyle w:val="Heading1"/>
      </w:pPr>
      <w:bookmarkStart w:id="20" w:name="_Toc151385683"/>
      <w:r w:rsidRPr="00F30104">
        <w:lastRenderedPageBreak/>
        <w:t>Appendix E: Financial Ratios</w:t>
      </w:r>
      <w:bookmarkEnd w:id="20"/>
    </w:p>
    <w:tbl>
      <w:tblPr>
        <w:tblW w:w="10000" w:type="dxa"/>
        <w:tblLook w:val="04A0" w:firstRow="1" w:lastRow="0" w:firstColumn="1" w:lastColumn="0" w:noHBand="0" w:noVBand="1"/>
      </w:tblPr>
      <w:tblGrid>
        <w:gridCol w:w="2900"/>
        <w:gridCol w:w="1420"/>
        <w:gridCol w:w="1420"/>
        <w:gridCol w:w="1420"/>
        <w:gridCol w:w="1420"/>
        <w:gridCol w:w="1420"/>
      </w:tblGrid>
      <w:tr w:rsidR="00F30104" w:rsidRPr="00F30104" w14:paraId="28713D44" w14:textId="77777777" w:rsidTr="00F30104">
        <w:trPr>
          <w:trHeight w:val="383"/>
        </w:trPr>
        <w:tc>
          <w:tcPr>
            <w:tcW w:w="2900" w:type="dxa"/>
            <w:tcBorders>
              <w:top w:val="nil"/>
              <w:left w:val="nil"/>
              <w:bottom w:val="nil"/>
              <w:right w:val="nil"/>
            </w:tcBorders>
            <w:shd w:val="clear" w:color="000000" w:fill="FFFFFF"/>
            <w:noWrap/>
            <w:vAlign w:val="bottom"/>
            <w:hideMark/>
          </w:tcPr>
          <w:p w14:paraId="339BB77F"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hideMark/>
          </w:tcPr>
          <w:p w14:paraId="77DB5D1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01/04/2023</w:t>
            </w:r>
          </w:p>
        </w:tc>
        <w:tc>
          <w:tcPr>
            <w:tcW w:w="1420" w:type="dxa"/>
            <w:tcBorders>
              <w:top w:val="nil"/>
              <w:left w:val="nil"/>
              <w:bottom w:val="nil"/>
              <w:right w:val="nil"/>
            </w:tcBorders>
            <w:shd w:val="clear" w:color="000000" w:fill="FFFFFF"/>
            <w:noWrap/>
            <w:hideMark/>
          </w:tcPr>
          <w:p w14:paraId="3590743C"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02/04/2022</w:t>
            </w:r>
          </w:p>
        </w:tc>
        <w:tc>
          <w:tcPr>
            <w:tcW w:w="1420" w:type="dxa"/>
            <w:tcBorders>
              <w:top w:val="nil"/>
              <w:left w:val="nil"/>
              <w:bottom w:val="nil"/>
              <w:right w:val="nil"/>
            </w:tcBorders>
            <w:shd w:val="clear" w:color="000000" w:fill="FFFFFF"/>
            <w:noWrap/>
            <w:hideMark/>
          </w:tcPr>
          <w:p w14:paraId="01C7F2F3"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03/04/2021</w:t>
            </w:r>
          </w:p>
        </w:tc>
        <w:tc>
          <w:tcPr>
            <w:tcW w:w="1420" w:type="dxa"/>
            <w:tcBorders>
              <w:top w:val="nil"/>
              <w:left w:val="nil"/>
              <w:bottom w:val="nil"/>
              <w:right w:val="nil"/>
            </w:tcBorders>
            <w:shd w:val="clear" w:color="000000" w:fill="FFFFFF"/>
            <w:noWrap/>
            <w:hideMark/>
          </w:tcPr>
          <w:p w14:paraId="6EBFFCE3"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28/03/2020</w:t>
            </w:r>
          </w:p>
        </w:tc>
        <w:tc>
          <w:tcPr>
            <w:tcW w:w="1420" w:type="dxa"/>
            <w:tcBorders>
              <w:top w:val="nil"/>
              <w:left w:val="nil"/>
              <w:bottom w:val="nil"/>
              <w:right w:val="nil"/>
            </w:tcBorders>
            <w:shd w:val="clear" w:color="000000" w:fill="FFFFFF"/>
            <w:noWrap/>
            <w:hideMark/>
          </w:tcPr>
          <w:p w14:paraId="56557B8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30/03/2019</w:t>
            </w:r>
          </w:p>
        </w:tc>
      </w:tr>
      <w:tr w:rsidR="00F30104" w:rsidRPr="00F30104" w14:paraId="19D54460" w14:textId="77777777" w:rsidTr="00F30104">
        <w:trPr>
          <w:trHeight w:val="383"/>
        </w:trPr>
        <w:tc>
          <w:tcPr>
            <w:tcW w:w="2900" w:type="dxa"/>
            <w:tcBorders>
              <w:top w:val="nil"/>
              <w:left w:val="nil"/>
              <w:bottom w:val="nil"/>
              <w:right w:val="nil"/>
            </w:tcBorders>
            <w:shd w:val="clear" w:color="000000" w:fill="FFFFFF"/>
            <w:noWrap/>
            <w:vAlign w:val="bottom"/>
            <w:hideMark/>
          </w:tcPr>
          <w:p w14:paraId="1B483545"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3C304A3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GBP</w:t>
            </w:r>
          </w:p>
        </w:tc>
        <w:tc>
          <w:tcPr>
            <w:tcW w:w="1420" w:type="dxa"/>
            <w:tcBorders>
              <w:top w:val="nil"/>
              <w:left w:val="nil"/>
              <w:bottom w:val="nil"/>
              <w:right w:val="nil"/>
            </w:tcBorders>
            <w:shd w:val="clear" w:color="000000" w:fill="FFFFFF"/>
            <w:hideMark/>
          </w:tcPr>
          <w:p w14:paraId="239B277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GBP</w:t>
            </w:r>
          </w:p>
        </w:tc>
        <w:tc>
          <w:tcPr>
            <w:tcW w:w="1420" w:type="dxa"/>
            <w:tcBorders>
              <w:top w:val="nil"/>
              <w:left w:val="nil"/>
              <w:bottom w:val="nil"/>
              <w:right w:val="nil"/>
            </w:tcBorders>
            <w:shd w:val="clear" w:color="000000" w:fill="FFFFFF"/>
            <w:hideMark/>
          </w:tcPr>
          <w:p w14:paraId="124709FB"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GBP</w:t>
            </w:r>
          </w:p>
        </w:tc>
        <w:tc>
          <w:tcPr>
            <w:tcW w:w="1420" w:type="dxa"/>
            <w:tcBorders>
              <w:top w:val="nil"/>
              <w:left w:val="nil"/>
              <w:bottom w:val="nil"/>
              <w:right w:val="nil"/>
            </w:tcBorders>
            <w:shd w:val="clear" w:color="000000" w:fill="FFFFFF"/>
            <w:hideMark/>
          </w:tcPr>
          <w:p w14:paraId="4A56A9A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GBP</w:t>
            </w:r>
          </w:p>
        </w:tc>
        <w:tc>
          <w:tcPr>
            <w:tcW w:w="1420" w:type="dxa"/>
            <w:tcBorders>
              <w:top w:val="nil"/>
              <w:left w:val="nil"/>
              <w:bottom w:val="nil"/>
              <w:right w:val="nil"/>
            </w:tcBorders>
            <w:shd w:val="clear" w:color="000000" w:fill="FFFFFF"/>
            <w:hideMark/>
          </w:tcPr>
          <w:p w14:paraId="79B7C388"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GBP</w:t>
            </w:r>
          </w:p>
        </w:tc>
      </w:tr>
      <w:tr w:rsidR="00F30104" w:rsidRPr="00F30104" w14:paraId="1ACF5356" w14:textId="77777777" w:rsidTr="00F30104">
        <w:trPr>
          <w:trHeight w:val="383"/>
        </w:trPr>
        <w:tc>
          <w:tcPr>
            <w:tcW w:w="2900" w:type="dxa"/>
            <w:tcBorders>
              <w:top w:val="nil"/>
              <w:left w:val="nil"/>
              <w:bottom w:val="nil"/>
              <w:right w:val="nil"/>
            </w:tcBorders>
            <w:shd w:val="clear" w:color="000000" w:fill="FFFFFF"/>
            <w:vAlign w:val="center"/>
            <w:hideMark/>
          </w:tcPr>
          <w:p w14:paraId="25ACD60B"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Original documents</w:t>
            </w:r>
          </w:p>
        </w:tc>
        <w:tc>
          <w:tcPr>
            <w:tcW w:w="1420" w:type="dxa"/>
            <w:tcBorders>
              <w:top w:val="nil"/>
              <w:left w:val="nil"/>
              <w:bottom w:val="nil"/>
              <w:right w:val="nil"/>
            </w:tcBorders>
            <w:shd w:val="clear" w:color="000000" w:fill="FFFFFF"/>
            <w:hideMark/>
          </w:tcPr>
          <w:p w14:paraId="729C1C31" w14:textId="77777777" w:rsidR="00F30104" w:rsidRPr="00F30104" w:rsidRDefault="00510663" w:rsidP="00F30104">
            <w:pPr>
              <w:spacing w:after="0" w:line="360" w:lineRule="auto"/>
              <w:contextualSpacing/>
              <w:jc w:val="right"/>
              <w:rPr>
                <w:rFonts w:ascii="Arial" w:eastAsia="Times New Roman" w:hAnsi="Arial" w:cs="Arial"/>
                <w:kern w:val="0"/>
                <w:lang/>
                <w14:ligatures w14:val="none"/>
              </w:rPr>
            </w:pPr>
            <w:hyperlink r:id="rId54" w:history="1">
              <w:r w:rsidR="00F30104" w:rsidRPr="00F30104">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69F2667B" w14:textId="77777777" w:rsidR="00F30104" w:rsidRPr="00F30104" w:rsidRDefault="00510663" w:rsidP="00F30104">
            <w:pPr>
              <w:spacing w:after="0" w:line="360" w:lineRule="auto"/>
              <w:contextualSpacing/>
              <w:jc w:val="right"/>
              <w:rPr>
                <w:rFonts w:ascii="Arial" w:eastAsia="Times New Roman" w:hAnsi="Arial" w:cs="Arial"/>
                <w:kern w:val="0"/>
                <w:lang/>
                <w14:ligatures w14:val="none"/>
              </w:rPr>
            </w:pPr>
            <w:hyperlink r:id="rId55" w:history="1">
              <w:r w:rsidR="00F30104" w:rsidRPr="00F30104">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13525F11" w14:textId="77777777" w:rsidR="00F30104" w:rsidRPr="00F30104" w:rsidRDefault="00510663" w:rsidP="00F30104">
            <w:pPr>
              <w:spacing w:after="0" w:line="360" w:lineRule="auto"/>
              <w:contextualSpacing/>
              <w:jc w:val="right"/>
              <w:rPr>
                <w:rFonts w:ascii="Arial" w:eastAsia="Times New Roman" w:hAnsi="Arial" w:cs="Arial"/>
                <w:kern w:val="0"/>
                <w:lang/>
                <w14:ligatures w14:val="none"/>
              </w:rPr>
            </w:pPr>
            <w:hyperlink r:id="rId56" w:history="1">
              <w:r w:rsidR="00F30104" w:rsidRPr="00F30104">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5A15D59B" w14:textId="77777777" w:rsidR="00F30104" w:rsidRPr="00F30104" w:rsidRDefault="00510663" w:rsidP="00F30104">
            <w:pPr>
              <w:spacing w:after="0" w:line="360" w:lineRule="auto"/>
              <w:contextualSpacing/>
              <w:jc w:val="right"/>
              <w:rPr>
                <w:rFonts w:ascii="Arial" w:eastAsia="Times New Roman" w:hAnsi="Arial" w:cs="Arial"/>
                <w:kern w:val="0"/>
                <w:lang/>
                <w14:ligatures w14:val="none"/>
              </w:rPr>
            </w:pPr>
            <w:hyperlink r:id="rId57" w:history="1">
              <w:r w:rsidR="00F30104" w:rsidRPr="00F30104">
                <w:rPr>
                  <w:rFonts w:ascii="Arial" w:eastAsia="Times New Roman" w:hAnsi="Arial" w:cs="Arial"/>
                  <w:kern w:val="0"/>
                  <w:lang/>
                  <w14:ligatures w14:val="none"/>
                </w:rPr>
                <w:t>PDF</w:t>
              </w:r>
            </w:hyperlink>
          </w:p>
        </w:tc>
        <w:tc>
          <w:tcPr>
            <w:tcW w:w="1420" w:type="dxa"/>
            <w:tcBorders>
              <w:top w:val="nil"/>
              <w:left w:val="nil"/>
              <w:bottom w:val="nil"/>
              <w:right w:val="nil"/>
            </w:tcBorders>
            <w:shd w:val="clear" w:color="000000" w:fill="FFFFFF"/>
            <w:hideMark/>
          </w:tcPr>
          <w:p w14:paraId="12B091A0" w14:textId="77777777" w:rsidR="00F30104" w:rsidRPr="00F30104" w:rsidRDefault="00510663" w:rsidP="00F30104">
            <w:pPr>
              <w:spacing w:after="0" w:line="360" w:lineRule="auto"/>
              <w:contextualSpacing/>
              <w:jc w:val="right"/>
              <w:rPr>
                <w:rFonts w:ascii="Arial" w:eastAsia="Times New Roman" w:hAnsi="Arial" w:cs="Arial"/>
                <w:kern w:val="0"/>
                <w:lang/>
                <w14:ligatures w14:val="none"/>
              </w:rPr>
            </w:pPr>
            <w:hyperlink r:id="rId58" w:history="1">
              <w:r w:rsidR="00F30104" w:rsidRPr="00F30104">
                <w:rPr>
                  <w:rFonts w:ascii="Arial" w:eastAsia="Times New Roman" w:hAnsi="Arial" w:cs="Arial"/>
                  <w:kern w:val="0"/>
                  <w:lang/>
                  <w14:ligatures w14:val="none"/>
                </w:rPr>
                <w:t>PDF</w:t>
              </w:r>
            </w:hyperlink>
          </w:p>
        </w:tc>
      </w:tr>
      <w:tr w:rsidR="00F30104" w:rsidRPr="00F30104" w14:paraId="120B6493" w14:textId="77777777" w:rsidTr="00F30104">
        <w:trPr>
          <w:trHeight w:val="383"/>
        </w:trPr>
        <w:tc>
          <w:tcPr>
            <w:tcW w:w="2900" w:type="dxa"/>
            <w:tcBorders>
              <w:top w:val="nil"/>
              <w:left w:val="nil"/>
              <w:bottom w:val="nil"/>
              <w:right w:val="nil"/>
            </w:tcBorders>
            <w:shd w:val="clear" w:color="000000" w:fill="FFFFFF"/>
            <w:noWrap/>
            <w:vAlign w:val="bottom"/>
            <w:hideMark/>
          </w:tcPr>
          <w:p w14:paraId="1EBCC42A"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4ABE426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0005ECF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7E5FA1A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35C893A7"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 months</w:t>
            </w:r>
          </w:p>
        </w:tc>
        <w:tc>
          <w:tcPr>
            <w:tcW w:w="1420" w:type="dxa"/>
            <w:tcBorders>
              <w:top w:val="nil"/>
              <w:left w:val="nil"/>
              <w:bottom w:val="nil"/>
              <w:right w:val="nil"/>
            </w:tcBorders>
            <w:shd w:val="clear" w:color="000000" w:fill="FFFFFF"/>
            <w:hideMark/>
          </w:tcPr>
          <w:p w14:paraId="6AD54029"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 months</w:t>
            </w:r>
          </w:p>
        </w:tc>
      </w:tr>
      <w:tr w:rsidR="00F30104" w:rsidRPr="00F30104" w14:paraId="592474FE" w14:textId="77777777" w:rsidTr="00F30104">
        <w:trPr>
          <w:trHeight w:val="383"/>
        </w:trPr>
        <w:tc>
          <w:tcPr>
            <w:tcW w:w="2900" w:type="dxa"/>
            <w:tcBorders>
              <w:top w:val="nil"/>
              <w:left w:val="nil"/>
              <w:bottom w:val="nil"/>
              <w:right w:val="nil"/>
            </w:tcBorders>
            <w:shd w:val="clear" w:color="000000" w:fill="FFFFFF"/>
            <w:noWrap/>
            <w:vAlign w:val="bottom"/>
            <w:hideMark/>
          </w:tcPr>
          <w:p w14:paraId="5A1E22A8"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51247D44"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7FE68BA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4A890386"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055914C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Cons.</w:t>
            </w:r>
          </w:p>
        </w:tc>
        <w:tc>
          <w:tcPr>
            <w:tcW w:w="1420" w:type="dxa"/>
            <w:tcBorders>
              <w:top w:val="nil"/>
              <w:left w:val="nil"/>
              <w:bottom w:val="nil"/>
              <w:right w:val="nil"/>
            </w:tcBorders>
            <w:shd w:val="clear" w:color="000000" w:fill="FFFFFF"/>
            <w:hideMark/>
          </w:tcPr>
          <w:p w14:paraId="457FF69B"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Cons.</w:t>
            </w:r>
          </w:p>
        </w:tc>
      </w:tr>
      <w:tr w:rsidR="00F30104" w:rsidRPr="00F30104" w14:paraId="74EECBE7" w14:textId="77777777" w:rsidTr="00F30104">
        <w:trPr>
          <w:trHeight w:val="383"/>
        </w:trPr>
        <w:tc>
          <w:tcPr>
            <w:tcW w:w="2900" w:type="dxa"/>
            <w:tcBorders>
              <w:top w:val="nil"/>
              <w:left w:val="nil"/>
              <w:bottom w:val="nil"/>
              <w:right w:val="nil"/>
            </w:tcBorders>
            <w:shd w:val="clear" w:color="000000" w:fill="FFFFFF"/>
            <w:noWrap/>
            <w:vAlign w:val="bottom"/>
            <w:hideMark/>
          </w:tcPr>
          <w:p w14:paraId="66A9288F"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0285F28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67B70E0C"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74A2C1BE"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22EF8FA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Unqualified</w:t>
            </w:r>
          </w:p>
        </w:tc>
        <w:tc>
          <w:tcPr>
            <w:tcW w:w="1420" w:type="dxa"/>
            <w:tcBorders>
              <w:top w:val="nil"/>
              <w:left w:val="nil"/>
              <w:bottom w:val="nil"/>
              <w:right w:val="nil"/>
            </w:tcBorders>
            <w:shd w:val="clear" w:color="000000" w:fill="FFFFFF"/>
            <w:hideMark/>
          </w:tcPr>
          <w:p w14:paraId="5B660C3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Unqualified</w:t>
            </w:r>
          </w:p>
        </w:tc>
      </w:tr>
      <w:tr w:rsidR="00F30104" w:rsidRPr="00F30104" w14:paraId="1585BD9C" w14:textId="77777777" w:rsidTr="00F30104">
        <w:trPr>
          <w:trHeight w:val="383"/>
        </w:trPr>
        <w:tc>
          <w:tcPr>
            <w:tcW w:w="2900" w:type="dxa"/>
            <w:tcBorders>
              <w:top w:val="nil"/>
              <w:left w:val="nil"/>
              <w:bottom w:val="nil"/>
              <w:right w:val="nil"/>
            </w:tcBorders>
            <w:shd w:val="clear" w:color="000000" w:fill="FFFFFF"/>
            <w:noWrap/>
            <w:vAlign w:val="bottom"/>
            <w:hideMark/>
          </w:tcPr>
          <w:p w14:paraId="081152C9"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hideMark/>
          </w:tcPr>
          <w:p w14:paraId="1BA191DC"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2065582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6AF4731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3EF1054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IFRS</w:t>
            </w:r>
          </w:p>
        </w:tc>
        <w:tc>
          <w:tcPr>
            <w:tcW w:w="1420" w:type="dxa"/>
            <w:tcBorders>
              <w:top w:val="nil"/>
              <w:left w:val="nil"/>
              <w:bottom w:val="nil"/>
              <w:right w:val="nil"/>
            </w:tcBorders>
            <w:shd w:val="clear" w:color="000000" w:fill="FFFFFF"/>
            <w:hideMark/>
          </w:tcPr>
          <w:p w14:paraId="3F64B52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IFRS</w:t>
            </w:r>
          </w:p>
        </w:tc>
      </w:tr>
      <w:tr w:rsidR="00F30104" w:rsidRPr="00F30104" w14:paraId="04C99DD6" w14:textId="77777777" w:rsidTr="00F30104">
        <w:trPr>
          <w:trHeight w:val="503"/>
        </w:trPr>
        <w:tc>
          <w:tcPr>
            <w:tcW w:w="2900" w:type="dxa"/>
            <w:tcBorders>
              <w:top w:val="nil"/>
              <w:left w:val="nil"/>
              <w:bottom w:val="nil"/>
              <w:right w:val="nil"/>
            </w:tcBorders>
            <w:shd w:val="clear" w:color="000000" w:fill="FFFFFF"/>
            <w:vAlign w:val="center"/>
            <w:hideMark/>
          </w:tcPr>
          <w:p w14:paraId="46C7BE7F"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Profitability ratios</w:t>
            </w:r>
          </w:p>
        </w:tc>
        <w:tc>
          <w:tcPr>
            <w:tcW w:w="1420" w:type="dxa"/>
            <w:tcBorders>
              <w:top w:val="nil"/>
              <w:left w:val="nil"/>
              <w:bottom w:val="nil"/>
              <w:right w:val="nil"/>
            </w:tcBorders>
            <w:shd w:val="clear" w:color="000000" w:fill="FFFFFF"/>
            <w:noWrap/>
            <w:vAlign w:val="bottom"/>
            <w:hideMark/>
          </w:tcPr>
          <w:p w14:paraId="77E3EA25"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7D9A8FBD"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2D894112"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05920950"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4E7BF743"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r>
      <w:tr w:rsidR="00F30104" w:rsidRPr="00F30104" w14:paraId="247F4591" w14:textId="77777777" w:rsidTr="00F30104">
        <w:trPr>
          <w:trHeight w:val="649"/>
        </w:trPr>
        <w:tc>
          <w:tcPr>
            <w:tcW w:w="2900" w:type="dxa"/>
            <w:tcBorders>
              <w:top w:val="single" w:sz="4" w:space="0" w:color="A0A0A0"/>
              <w:left w:val="single" w:sz="4" w:space="0" w:color="A0A0A0"/>
              <w:bottom w:val="single" w:sz="4" w:space="0" w:color="A0A0A0"/>
              <w:right w:val="single" w:sz="4" w:space="0" w:color="A0A0A0"/>
            </w:tcBorders>
            <w:shd w:val="clear" w:color="000000" w:fill="FFFFFF"/>
            <w:vAlign w:val="center"/>
            <w:hideMark/>
          </w:tcPr>
          <w:p w14:paraId="45B8BBB6"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Return on Shareholders Funds (%)</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5B060BF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16.90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1205A3D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13.42</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7D6BA09B"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-9.16</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24FD6647"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1.81</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284970F6"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3.16</w:t>
            </w:r>
          </w:p>
        </w:tc>
      </w:tr>
      <w:tr w:rsidR="00F30104" w:rsidRPr="00F30104" w14:paraId="1A3EB548"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19C87FE"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Return on Capital Employed (%)</w:t>
            </w:r>
          </w:p>
        </w:tc>
        <w:tc>
          <w:tcPr>
            <w:tcW w:w="1420" w:type="dxa"/>
            <w:tcBorders>
              <w:top w:val="nil"/>
              <w:left w:val="nil"/>
              <w:bottom w:val="single" w:sz="4" w:space="0" w:color="A0A0A0"/>
              <w:right w:val="single" w:sz="4" w:space="0" w:color="A0A0A0"/>
            </w:tcBorders>
            <w:shd w:val="clear" w:color="000000" w:fill="FFFFFF"/>
            <w:noWrap/>
            <w:hideMark/>
          </w:tcPr>
          <w:p w14:paraId="2D19FD9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7.44</w:t>
            </w:r>
          </w:p>
        </w:tc>
        <w:tc>
          <w:tcPr>
            <w:tcW w:w="1420" w:type="dxa"/>
            <w:tcBorders>
              <w:top w:val="nil"/>
              <w:left w:val="nil"/>
              <w:bottom w:val="single" w:sz="4" w:space="0" w:color="A0A0A0"/>
              <w:right w:val="single" w:sz="4" w:space="0" w:color="A0A0A0"/>
            </w:tcBorders>
            <w:shd w:val="clear" w:color="000000" w:fill="FFFFFF"/>
            <w:noWrap/>
            <w:hideMark/>
          </w:tcPr>
          <w:p w14:paraId="5921FC98"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5.54</w:t>
            </w:r>
          </w:p>
        </w:tc>
        <w:tc>
          <w:tcPr>
            <w:tcW w:w="1420" w:type="dxa"/>
            <w:tcBorders>
              <w:top w:val="nil"/>
              <w:left w:val="nil"/>
              <w:bottom w:val="single" w:sz="4" w:space="0" w:color="A0A0A0"/>
              <w:right w:val="single" w:sz="4" w:space="0" w:color="A0A0A0"/>
            </w:tcBorders>
            <w:shd w:val="clear" w:color="000000" w:fill="FFFFFF"/>
            <w:noWrap/>
            <w:hideMark/>
          </w:tcPr>
          <w:p w14:paraId="07E4274B"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-3.30</w:t>
            </w:r>
          </w:p>
        </w:tc>
        <w:tc>
          <w:tcPr>
            <w:tcW w:w="1420" w:type="dxa"/>
            <w:tcBorders>
              <w:top w:val="nil"/>
              <w:left w:val="nil"/>
              <w:bottom w:val="single" w:sz="4" w:space="0" w:color="A0A0A0"/>
              <w:right w:val="single" w:sz="4" w:space="0" w:color="A0A0A0"/>
            </w:tcBorders>
            <w:shd w:val="clear" w:color="000000" w:fill="FFFFFF"/>
            <w:noWrap/>
            <w:hideMark/>
          </w:tcPr>
          <w:p w14:paraId="56C41414"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0.81</w:t>
            </w:r>
          </w:p>
        </w:tc>
        <w:tc>
          <w:tcPr>
            <w:tcW w:w="1420" w:type="dxa"/>
            <w:tcBorders>
              <w:top w:val="nil"/>
              <w:left w:val="nil"/>
              <w:bottom w:val="single" w:sz="4" w:space="0" w:color="A0A0A0"/>
              <w:right w:val="single" w:sz="4" w:space="0" w:color="A0A0A0"/>
            </w:tcBorders>
            <w:shd w:val="clear" w:color="000000" w:fill="FFFFFF"/>
            <w:noWrap/>
            <w:hideMark/>
          </w:tcPr>
          <w:p w14:paraId="3B43271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1.70</w:t>
            </w:r>
          </w:p>
        </w:tc>
      </w:tr>
      <w:tr w:rsidR="00F30104" w:rsidRPr="00F30104" w14:paraId="661614E2"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72BD5987"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Return on Total Assets (%)</w:t>
            </w:r>
          </w:p>
        </w:tc>
        <w:tc>
          <w:tcPr>
            <w:tcW w:w="1420" w:type="dxa"/>
            <w:tcBorders>
              <w:top w:val="nil"/>
              <w:left w:val="nil"/>
              <w:bottom w:val="single" w:sz="4" w:space="0" w:color="A0A0A0"/>
              <w:right w:val="single" w:sz="4" w:space="0" w:color="A0A0A0"/>
            </w:tcBorders>
            <w:shd w:val="clear" w:color="000000" w:fill="FFFFFF"/>
            <w:noWrap/>
            <w:hideMark/>
          </w:tcPr>
          <w:p w14:paraId="65209018"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5.23</w:t>
            </w:r>
          </w:p>
        </w:tc>
        <w:tc>
          <w:tcPr>
            <w:tcW w:w="1420" w:type="dxa"/>
            <w:tcBorders>
              <w:top w:val="nil"/>
              <w:left w:val="nil"/>
              <w:bottom w:val="single" w:sz="4" w:space="0" w:color="A0A0A0"/>
              <w:right w:val="single" w:sz="4" w:space="0" w:color="A0A0A0"/>
            </w:tcBorders>
            <w:shd w:val="clear" w:color="000000" w:fill="FFFFFF"/>
            <w:noWrap/>
            <w:hideMark/>
          </w:tcPr>
          <w:p w14:paraId="2D44D2E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4.15</w:t>
            </w:r>
          </w:p>
        </w:tc>
        <w:tc>
          <w:tcPr>
            <w:tcW w:w="1420" w:type="dxa"/>
            <w:tcBorders>
              <w:top w:val="nil"/>
              <w:left w:val="nil"/>
              <w:bottom w:val="single" w:sz="4" w:space="0" w:color="A0A0A0"/>
              <w:right w:val="single" w:sz="4" w:space="0" w:color="A0A0A0"/>
            </w:tcBorders>
            <w:shd w:val="clear" w:color="000000" w:fill="FFFFFF"/>
            <w:noWrap/>
            <w:hideMark/>
          </w:tcPr>
          <w:p w14:paraId="445B5D6E"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-2.42</w:t>
            </w:r>
          </w:p>
        </w:tc>
        <w:tc>
          <w:tcPr>
            <w:tcW w:w="1420" w:type="dxa"/>
            <w:tcBorders>
              <w:top w:val="nil"/>
              <w:left w:val="nil"/>
              <w:bottom w:val="single" w:sz="4" w:space="0" w:color="A0A0A0"/>
              <w:right w:val="single" w:sz="4" w:space="0" w:color="A0A0A0"/>
            </w:tcBorders>
            <w:shd w:val="clear" w:color="000000" w:fill="FFFFFF"/>
            <w:noWrap/>
            <w:hideMark/>
          </w:tcPr>
          <w:p w14:paraId="001C0E5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0.66</w:t>
            </w:r>
          </w:p>
        </w:tc>
        <w:tc>
          <w:tcPr>
            <w:tcW w:w="1420" w:type="dxa"/>
            <w:tcBorders>
              <w:top w:val="nil"/>
              <w:left w:val="nil"/>
              <w:bottom w:val="single" w:sz="4" w:space="0" w:color="A0A0A0"/>
              <w:right w:val="single" w:sz="4" w:space="0" w:color="A0A0A0"/>
            </w:tcBorders>
            <w:shd w:val="clear" w:color="000000" w:fill="FFFFFF"/>
            <w:noWrap/>
            <w:hideMark/>
          </w:tcPr>
          <w:p w14:paraId="4F5E0C98"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1.17</w:t>
            </w:r>
          </w:p>
        </w:tc>
      </w:tr>
      <w:tr w:rsidR="00F30104" w:rsidRPr="00F30104" w14:paraId="04FF5336"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782C1F61"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Profit margin (%)</w:t>
            </w:r>
          </w:p>
        </w:tc>
        <w:tc>
          <w:tcPr>
            <w:tcW w:w="1420" w:type="dxa"/>
            <w:tcBorders>
              <w:top w:val="nil"/>
              <w:left w:val="nil"/>
              <w:bottom w:val="single" w:sz="4" w:space="0" w:color="A0A0A0"/>
              <w:right w:val="single" w:sz="4" w:space="0" w:color="A0A0A0"/>
            </w:tcBorders>
            <w:shd w:val="clear" w:color="000000" w:fill="FFFFFF"/>
            <w:noWrap/>
            <w:hideMark/>
          </w:tcPr>
          <w:p w14:paraId="4FBCC10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3.99</w:t>
            </w:r>
          </w:p>
        </w:tc>
        <w:tc>
          <w:tcPr>
            <w:tcW w:w="1420" w:type="dxa"/>
            <w:tcBorders>
              <w:top w:val="nil"/>
              <w:left w:val="nil"/>
              <w:bottom w:val="single" w:sz="4" w:space="0" w:color="A0A0A0"/>
              <w:right w:val="single" w:sz="4" w:space="0" w:color="A0A0A0"/>
            </w:tcBorders>
            <w:shd w:val="clear" w:color="000000" w:fill="FFFFFF"/>
            <w:noWrap/>
            <w:hideMark/>
          </w:tcPr>
          <w:p w14:paraId="1746F07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3.60</w:t>
            </w:r>
          </w:p>
        </w:tc>
        <w:tc>
          <w:tcPr>
            <w:tcW w:w="1420" w:type="dxa"/>
            <w:tcBorders>
              <w:top w:val="nil"/>
              <w:left w:val="nil"/>
              <w:bottom w:val="single" w:sz="4" w:space="0" w:color="A0A0A0"/>
              <w:right w:val="single" w:sz="4" w:space="0" w:color="A0A0A0"/>
            </w:tcBorders>
            <w:shd w:val="clear" w:color="000000" w:fill="FFFFFF"/>
            <w:noWrap/>
            <w:hideMark/>
          </w:tcPr>
          <w:p w14:paraId="17837F17"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-2.29</w:t>
            </w:r>
          </w:p>
        </w:tc>
        <w:tc>
          <w:tcPr>
            <w:tcW w:w="1420" w:type="dxa"/>
            <w:tcBorders>
              <w:top w:val="nil"/>
              <w:left w:val="nil"/>
              <w:bottom w:val="single" w:sz="4" w:space="0" w:color="A0A0A0"/>
              <w:right w:val="single" w:sz="4" w:space="0" w:color="A0A0A0"/>
            </w:tcBorders>
            <w:shd w:val="clear" w:color="000000" w:fill="FFFFFF"/>
            <w:noWrap/>
            <w:hideMark/>
          </w:tcPr>
          <w:p w14:paraId="2AAF4CE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0.66</w:t>
            </w:r>
          </w:p>
        </w:tc>
        <w:tc>
          <w:tcPr>
            <w:tcW w:w="1420" w:type="dxa"/>
            <w:tcBorders>
              <w:top w:val="nil"/>
              <w:left w:val="nil"/>
              <w:bottom w:val="single" w:sz="4" w:space="0" w:color="A0A0A0"/>
              <w:right w:val="single" w:sz="4" w:space="0" w:color="A0A0A0"/>
            </w:tcBorders>
            <w:shd w:val="clear" w:color="000000" w:fill="FFFFFF"/>
            <w:noWrap/>
            <w:hideMark/>
          </w:tcPr>
          <w:p w14:paraId="22251E1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0.82</w:t>
            </w:r>
          </w:p>
        </w:tc>
      </w:tr>
      <w:tr w:rsidR="00F30104" w:rsidRPr="00F30104" w14:paraId="457DE83E"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227FAB5"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Gross margin (%)</w:t>
            </w:r>
          </w:p>
        </w:tc>
        <w:tc>
          <w:tcPr>
            <w:tcW w:w="1420" w:type="dxa"/>
            <w:tcBorders>
              <w:top w:val="nil"/>
              <w:left w:val="nil"/>
              <w:bottom w:val="single" w:sz="4" w:space="0" w:color="A0A0A0"/>
              <w:right w:val="single" w:sz="4" w:space="0" w:color="A0A0A0"/>
            </w:tcBorders>
            <w:shd w:val="clear" w:color="000000" w:fill="FFFFFF"/>
            <w:noWrap/>
            <w:hideMark/>
          </w:tcPr>
          <w:p w14:paraId="62C9E584"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34.74</w:t>
            </w:r>
          </w:p>
        </w:tc>
        <w:tc>
          <w:tcPr>
            <w:tcW w:w="1420" w:type="dxa"/>
            <w:tcBorders>
              <w:top w:val="nil"/>
              <w:left w:val="nil"/>
              <w:bottom w:val="single" w:sz="4" w:space="0" w:color="A0A0A0"/>
              <w:right w:val="single" w:sz="4" w:space="0" w:color="A0A0A0"/>
            </w:tcBorders>
            <w:shd w:val="clear" w:color="000000" w:fill="FFFFFF"/>
            <w:noWrap/>
            <w:hideMark/>
          </w:tcPr>
          <w:p w14:paraId="7676EB24"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34.49</w:t>
            </w:r>
          </w:p>
        </w:tc>
        <w:tc>
          <w:tcPr>
            <w:tcW w:w="1420" w:type="dxa"/>
            <w:tcBorders>
              <w:top w:val="nil"/>
              <w:left w:val="nil"/>
              <w:bottom w:val="single" w:sz="4" w:space="0" w:color="A0A0A0"/>
              <w:right w:val="single" w:sz="4" w:space="0" w:color="A0A0A0"/>
            </w:tcBorders>
            <w:shd w:val="clear" w:color="000000" w:fill="FFFFFF"/>
            <w:noWrap/>
            <w:hideMark/>
          </w:tcPr>
          <w:p w14:paraId="4B27BD63"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31.80</w:t>
            </w:r>
          </w:p>
        </w:tc>
        <w:tc>
          <w:tcPr>
            <w:tcW w:w="1420" w:type="dxa"/>
            <w:tcBorders>
              <w:top w:val="nil"/>
              <w:left w:val="nil"/>
              <w:bottom w:val="single" w:sz="4" w:space="0" w:color="A0A0A0"/>
              <w:right w:val="single" w:sz="4" w:space="0" w:color="A0A0A0"/>
            </w:tcBorders>
            <w:shd w:val="clear" w:color="000000" w:fill="FFFFFF"/>
            <w:noWrap/>
            <w:hideMark/>
          </w:tcPr>
          <w:p w14:paraId="4E995BC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35.28</w:t>
            </w:r>
          </w:p>
        </w:tc>
        <w:tc>
          <w:tcPr>
            <w:tcW w:w="1420" w:type="dxa"/>
            <w:tcBorders>
              <w:top w:val="nil"/>
              <w:left w:val="nil"/>
              <w:bottom w:val="single" w:sz="4" w:space="0" w:color="A0A0A0"/>
              <w:right w:val="single" w:sz="4" w:space="0" w:color="A0A0A0"/>
            </w:tcBorders>
            <w:shd w:val="clear" w:color="000000" w:fill="FFFFFF"/>
            <w:noWrap/>
            <w:hideMark/>
          </w:tcPr>
          <w:p w14:paraId="6C63A35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36.91</w:t>
            </w:r>
          </w:p>
        </w:tc>
      </w:tr>
      <w:tr w:rsidR="00F30104" w:rsidRPr="00F30104" w14:paraId="7A82944D"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A436FD0"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Berry ratio (x)</w:t>
            </w:r>
          </w:p>
        </w:tc>
        <w:tc>
          <w:tcPr>
            <w:tcW w:w="1420" w:type="dxa"/>
            <w:tcBorders>
              <w:top w:val="nil"/>
              <w:left w:val="nil"/>
              <w:bottom w:val="single" w:sz="4" w:space="0" w:color="A0A0A0"/>
              <w:right w:val="single" w:sz="4" w:space="0" w:color="A0A0A0"/>
            </w:tcBorders>
            <w:shd w:val="clear" w:color="000000" w:fill="FFFFFF"/>
            <w:noWrap/>
            <w:hideMark/>
          </w:tcPr>
          <w:p w14:paraId="5825378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1.14</w:t>
            </w:r>
          </w:p>
        </w:tc>
        <w:tc>
          <w:tcPr>
            <w:tcW w:w="1420" w:type="dxa"/>
            <w:tcBorders>
              <w:top w:val="nil"/>
              <w:left w:val="nil"/>
              <w:bottom w:val="single" w:sz="4" w:space="0" w:color="A0A0A0"/>
              <w:right w:val="single" w:sz="4" w:space="0" w:color="A0A0A0"/>
            </w:tcBorders>
            <w:shd w:val="clear" w:color="000000" w:fill="FFFFFF"/>
            <w:noWrap/>
            <w:hideMark/>
          </w:tcPr>
          <w:p w14:paraId="26CF51DE"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1.18</w:t>
            </w:r>
          </w:p>
        </w:tc>
        <w:tc>
          <w:tcPr>
            <w:tcW w:w="1420" w:type="dxa"/>
            <w:tcBorders>
              <w:top w:val="nil"/>
              <w:left w:val="nil"/>
              <w:bottom w:val="single" w:sz="4" w:space="0" w:color="A0A0A0"/>
              <w:right w:val="single" w:sz="4" w:space="0" w:color="A0A0A0"/>
            </w:tcBorders>
            <w:shd w:val="clear" w:color="000000" w:fill="FFFFFF"/>
            <w:noWrap/>
            <w:hideMark/>
          </w:tcPr>
          <w:p w14:paraId="7A846ABE"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0.99</w:t>
            </w:r>
          </w:p>
        </w:tc>
        <w:tc>
          <w:tcPr>
            <w:tcW w:w="1420" w:type="dxa"/>
            <w:tcBorders>
              <w:top w:val="nil"/>
              <w:left w:val="nil"/>
              <w:bottom w:val="single" w:sz="4" w:space="0" w:color="A0A0A0"/>
              <w:right w:val="single" w:sz="4" w:space="0" w:color="A0A0A0"/>
            </w:tcBorders>
            <w:shd w:val="clear" w:color="000000" w:fill="FFFFFF"/>
            <w:noWrap/>
            <w:hideMark/>
          </w:tcPr>
          <w:p w14:paraId="44FFE499"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1.08</w:t>
            </w:r>
          </w:p>
        </w:tc>
        <w:tc>
          <w:tcPr>
            <w:tcW w:w="1420" w:type="dxa"/>
            <w:tcBorders>
              <w:top w:val="nil"/>
              <w:left w:val="nil"/>
              <w:bottom w:val="single" w:sz="4" w:space="0" w:color="A0A0A0"/>
              <w:right w:val="single" w:sz="4" w:space="0" w:color="A0A0A0"/>
            </w:tcBorders>
            <w:shd w:val="clear" w:color="000000" w:fill="FFFFFF"/>
            <w:noWrap/>
            <w:hideMark/>
          </w:tcPr>
          <w:p w14:paraId="27F198E0"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1.04</w:t>
            </w:r>
          </w:p>
        </w:tc>
      </w:tr>
      <w:tr w:rsidR="00F30104" w:rsidRPr="00F30104" w14:paraId="175D3880"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7E804062"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EBIT margin (%)</w:t>
            </w:r>
          </w:p>
        </w:tc>
        <w:tc>
          <w:tcPr>
            <w:tcW w:w="1420" w:type="dxa"/>
            <w:tcBorders>
              <w:top w:val="nil"/>
              <w:left w:val="nil"/>
              <w:bottom w:val="single" w:sz="4" w:space="0" w:color="A0A0A0"/>
              <w:right w:val="single" w:sz="4" w:space="0" w:color="A0A0A0"/>
            </w:tcBorders>
            <w:shd w:val="clear" w:color="000000" w:fill="FFFFFF"/>
            <w:noWrap/>
            <w:hideMark/>
          </w:tcPr>
          <w:p w14:paraId="1932FDE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4.32</w:t>
            </w:r>
          </w:p>
        </w:tc>
        <w:tc>
          <w:tcPr>
            <w:tcW w:w="1420" w:type="dxa"/>
            <w:tcBorders>
              <w:top w:val="nil"/>
              <w:left w:val="nil"/>
              <w:bottom w:val="single" w:sz="4" w:space="0" w:color="A0A0A0"/>
              <w:right w:val="single" w:sz="4" w:space="0" w:color="A0A0A0"/>
            </w:tcBorders>
            <w:shd w:val="clear" w:color="000000" w:fill="FFFFFF"/>
            <w:noWrap/>
            <w:hideMark/>
          </w:tcPr>
          <w:p w14:paraId="5442EB4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5.26</w:t>
            </w:r>
          </w:p>
        </w:tc>
        <w:tc>
          <w:tcPr>
            <w:tcW w:w="1420" w:type="dxa"/>
            <w:tcBorders>
              <w:top w:val="nil"/>
              <w:left w:val="nil"/>
              <w:bottom w:val="single" w:sz="4" w:space="0" w:color="A0A0A0"/>
              <w:right w:val="single" w:sz="4" w:space="0" w:color="A0A0A0"/>
            </w:tcBorders>
            <w:shd w:val="clear" w:color="000000" w:fill="FFFFFF"/>
            <w:noWrap/>
            <w:hideMark/>
          </w:tcPr>
          <w:p w14:paraId="26488EE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-0.34</w:t>
            </w:r>
          </w:p>
        </w:tc>
        <w:tc>
          <w:tcPr>
            <w:tcW w:w="1420" w:type="dxa"/>
            <w:tcBorders>
              <w:top w:val="nil"/>
              <w:left w:val="nil"/>
              <w:bottom w:val="single" w:sz="4" w:space="0" w:color="A0A0A0"/>
              <w:right w:val="single" w:sz="4" w:space="0" w:color="A0A0A0"/>
            </w:tcBorders>
            <w:shd w:val="clear" w:color="000000" w:fill="FFFFFF"/>
            <w:noWrap/>
            <w:hideMark/>
          </w:tcPr>
          <w:p w14:paraId="48A02AA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2.50</w:t>
            </w:r>
          </w:p>
        </w:tc>
        <w:tc>
          <w:tcPr>
            <w:tcW w:w="1420" w:type="dxa"/>
            <w:tcBorders>
              <w:top w:val="nil"/>
              <w:left w:val="nil"/>
              <w:bottom w:val="single" w:sz="4" w:space="0" w:color="A0A0A0"/>
              <w:right w:val="single" w:sz="4" w:space="0" w:color="A0A0A0"/>
            </w:tcBorders>
            <w:shd w:val="clear" w:color="000000" w:fill="FFFFFF"/>
            <w:noWrap/>
            <w:hideMark/>
          </w:tcPr>
          <w:p w14:paraId="43907174"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1.56</w:t>
            </w:r>
          </w:p>
        </w:tc>
      </w:tr>
      <w:tr w:rsidR="00F30104" w:rsidRPr="00F30104" w14:paraId="43C4DB48"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6E4D334E"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EBITDA margin (%)</w:t>
            </w:r>
          </w:p>
        </w:tc>
        <w:tc>
          <w:tcPr>
            <w:tcW w:w="1420" w:type="dxa"/>
            <w:tcBorders>
              <w:top w:val="nil"/>
              <w:left w:val="nil"/>
              <w:bottom w:val="single" w:sz="4" w:space="0" w:color="A0A0A0"/>
              <w:right w:val="single" w:sz="4" w:space="0" w:color="A0A0A0"/>
            </w:tcBorders>
            <w:shd w:val="clear" w:color="000000" w:fill="FFFFFF"/>
            <w:noWrap/>
            <w:hideMark/>
          </w:tcPr>
          <w:p w14:paraId="22B6290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9.29</w:t>
            </w:r>
          </w:p>
        </w:tc>
        <w:tc>
          <w:tcPr>
            <w:tcW w:w="1420" w:type="dxa"/>
            <w:tcBorders>
              <w:top w:val="nil"/>
              <w:left w:val="nil"/>
              <w:bottom w:val="single" w:sz="4" w:space="0" w:color="A0A0A0"/>
              <w:right w:val="single" w:sz="4" w:space="0" w:color="A0A0A0"/>
            </w:tcBorders>
            <w:shd w:val="clear" w:color="000000" w:fill="FFFFFF"/>
            <w:noWrap/>
            <w:hideMark/>
          </w:tcPr>
          <w:p w14:paraId="414FD3F8"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10.54</w:t>
            </w:r>
          </w:p>
        </w:tc>
        <w:tc>
          <w:tcPr>
            <w:tcW w:w="1420" w:type="dxa"/>
            <w:tcBorders>
              <w:top w:val="nil"/>
              <w:left w:val="nil"/>
              <w:bottom w:val="single" w:sz="4" w:space="0" w:color="A0A0A0"/>
              <w:right w:val="single" w:sz="4" w:space="0" w:color="A0A0A0"/>
            </w:tcBorders>
            <w:shd w:val="clear" w:color="000000" w:fill="FFFFFF"/>
            <w:noWrap/>
            <w:hideMark/>
          </w:tcPr>
          <w:p w14:paraId="2E83AB4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7.75</w:t>
            </w:r>
          </w:p>
        </w:tc>
        <w:tc>
          <w:tcPr>
            <w:tcW w:w="1420" w:type="dxa"/>
            <w:tcBorders>
              <w:top w:val="nil"/>
              <w:left w:val="nil"/>
              <w:bottom w:val="single" w:sz="4" w:space="0" w:color="A0A0A0"/>
              <w:right w:val="single" w:sz="4" w:space="0" w:color="A0A0A0"/>
            </w:tcBorders>
            <w:shd w:val="clear" w:color="000000" w:fill="FFFFFF"/>
            <w:noWrap/>
            <w:hideMark/>
          </w:tcPr>
          <w:p w14:paraId="0C4FC3D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9.87</w:t>
            </w:r>
          </w:p>
        </w:tc>
        <w:tc>
          <w:tcPr>
            <w:tcW w:w="1420" w:type="dxa"/>
            <w:tcBorders>
              <w:top w:val="nil"/>
              <w:left w:val="nil"/>
              <w:bottom w:val="single" w:sz="4" w:space="0" w:color="A0A0A0"/>
              <w:right w:val="single" w:sz="4" w:space="0" w:color="A0A0A0"/>
            </w:tcBorders>
            <w:shd w:val="clear" w:color="000000" w:fill="FFFFFF"/>
            <w:noWrap/>
            <w:hideMark/>
          </w:tcPr>
          <w:p w14:paraId="6B1946F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8.27</w:t>
            </w:r>
          </w:p>
        </w:tc>
      </w:tr>
      <w:tr w:rsidR="00F30104" w:rsidRPr="00F30104" w14:paraId="01E2C10E" w14:textId="77777777" w:rsidTr="00F30104">
        <w:trPr>
          <w:trHeight w:val="503"/>
        </w:trPr>
        <w:tc>
          <w:tcPr>
            <w:tcW w:w="2900" w:type="dxa"/>
            <w:tcBorders>
              <w:top w:val="nil"/>
              <w:left w:val="nil"/>
              <w:bottom w:val="nil"/>
              <w:right w:val="nil"/>
            </w:tcBorders>
            <w:shd w:val="clear" w:color="000000" w:fill="FFFFFF"/>
            <w:noWrap/>
            <w:vAlign w:val="bottom"/>
            <w:hideMark/>
          </w:tcPr>
          <w:p w14:paraId="721D39BC"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663CE6AB"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496A1440"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0597A4D5"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259B4118"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501CF4A8"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r>
      <w:tr w:rsidR="00F30104" w:rsidRPr="00F30104" w14:paraId="163636A8" w14:textId="77777777" w:rsidTr="00F30104">
        <w:trPr>
          <w:trHeight w:val="503"/>
        </w:trPr>
        <w:tc>
          <w:tcPr>
            <w:tcW w:w="2900" w:type="dxa"/>
            <w:tcBorders>
              <w:top w:val="nil"/>
              <w:left w:val="nil"/>
              <w:bottom w:val="nil"/>
              <w:right w:val="nil"/>
            </w:tcBorders>
            <w:shd w:val="clear" w:color="000000" w:fill="FFFFFF"/>
            <w:vAlign w:val="center"/>
            <w:hideMark/>
          </w:tcPr>
          <w:p w14:paraId="7314D866"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Operational ratios</w:t>
            </w:r>
          </w:p>
        </w:tc>
        <w:tc>
          <w:tcPr>
            <w:tcW w:w="1420" w:type="dxa"/>
            <w:tcBorders>
              <w:top w:val="nil"/>
              <w:left w:val="nil"/>
              <w:bottom w:val="nil"/>
              <w:right w:val="nil"/>
            </w:tcBorders>
            <w:shd w:val="clear" w:color="000000" w:fill="FFFFFF"/>
            <w:noWrap/>
            <w:vAlign w:val="bottom"/>
            <w:hideMark/>
          </w:tcPr>
          <w:p w14:paraId="01BEC89B"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0F229CFB"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3DED0547"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48F05932"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479ABC4A"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r>
      <w:tr w:rsidR="00F30104" w:rsidRPr="00F30104" w14:paraId="26AA88D0" w14:textId="77777777" w:rsidTr="00F30104">
        <w:trPr>
          <w:trHeight w:val="649"/>
        </w:trPr>
        <w:tc>
          <w:tcPr>
            <w:tcW w:w="2900" w:type="dxa"/>
            <w:tcBorders>
              <w:top w:val="single" w:sz="4" w:space="0" w:color="A0A0A0"/>
              <w:left w:val="single" w:sz="4" w:space="0" w:color="A0A0A0"/>
              <w:bottom w:val="single" w:sz="4" w:space="0" w:color="A0A0A0"/>
              <w:right w:val="single" w:sz="4" w:space="0" w:color="A0A0A0"/>
            </w:tcBorders>
            <w:shd w:val="clear" w:color="000000" w:fill="FFFFFF"/>
            <w:vAlign w:val="center"/>
            <w:hideMark/>
          </w:tcPr>
          <w:p w14:paraId="38DB815B"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Net Assets Turnover (x)</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57FE4DFC"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1.87</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520292C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1.54</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47C62BD8"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1.44</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188CDCDB"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1.22</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6F0179CC"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2.09</w:t>
            </w:r>
          </w:p>
        </w:tc>
      </w:tr>
      <w:tr w:rsidR="00F30104" w:rsidRPr="00F30104" w14:paraId="033EE854"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774F5738"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Fixed Assets Turnover (x)</w:t>
            </w:r>
          </w:p>
        </w:tc>
        <w:tc>
          <w:tcPr>
            <w:tcW w:w="1420" w:type="dxa"/>
            <w:tcBorders>
              <w:top w:val="nil"/>
              <w:left w:val="nil"/>
              <w:bottom w:val="single" w:sz="4" w:space="0" w:color="A0A0A0"/>
              <w:right w:val="single" w:sz="4" w:space="0" w:color="A0A0A0"/>
            </w:tcBorders>
            <w:shd w:val="clear" w:color="000000" w:fill="FFFFFF"/>
            <w:noWrap/>
            <w:hideMark/>
          </w:tcPr>
          <w:p w14:paraId="39D2005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1.72</w:t>
            </w:r>
          </w:p>
        </w:tc>
        <w:tc>
          <w:tcPr>
            <w:tcW w:w="1420" w:type="dxa"/>
            <w:tcBorders>
              <w:top w:val="nil"/>
              <w:left w:val="nil"/>
              <w:bottom w:val="single" w:sz="4" w:space="0" w:color="A0A0A0"/>
              <w:right w:val="single" w:sz="4" w:space="0" w:color="A0A0A0"/>
            </w:tcBorders>
            <w:shd w:val="clear" w:color="000000" w:fill="FFFFFF"/>
            <w:noWrap/>
            <w:hideMark/>
          </w:tcPr>
          <w:p w14:paraId="48650E4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1.50</w:t>
            </w:r>
          </w:p>
        </w:tc>
        <w:tc>
          <w:tcPr>
            <w:tcW w:w="1420" w:type="dxa"/>
            <w:tcBorders>
              <w:top w:val="nil"/>
              <w:left w:val="nil"/>
              <w:bottom w:val="single" w:sz="4" w:space="0" w:color="A0A0A0"/>
              <w:right w:val="single" w:sz="4" w:space="0" w:color="A0A0A0"/>
            </w:tcBorders>
            <w:shd w:val="clear" w:color="000000" w:fill="FFFFFF"/>
            <w:noWrap/>
            <w:hideMark/>
          </w:tcPr>
          <w:p w14:paraId="67E0DA5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1.30</w:t>
            </w:r>
          </w:p>
        </w:tc>
        <w:tc>
          <w:tcPr>
            <w:tcW w:w="1420" w:type="dxa"/>
            <w:tcBorders>
              <w:top w:val="nil"/>
              <w:left w:val="nil"/>
              <w:bottom w:val="single" w:sz="4" w:space="0" w:color="A0A0A0"/>
              <w:right w:val="single" w:sz="4" w:space="0" w:color="A0A0A0"/>
            </w:tcBorders>
            <w:shd w:val="clear" w:color="000000" w:fill="FFFFFF"/>
            <w:noWrap/>
            <w:hideMark/>
          </w:tcPr>
          <w:p w14:paraId="3824DF59"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1.14</w:t>
            </w:r>
          </w:p>
        </w:tc>
        <w:tc>
          <w:tcPr>
            <w:tcW w:w="1420" w:type="dxa"/>
            <w:tcBorders>
              <w:top w:val="nil"/>
              <w:left w:val="nil"/>
              <w:bottom w:val="single" w:sz="4" w:space="0" w:color="A0A0A0"/>
              <w:right w:val="single" w:sz="4" w:space="0" w:color="A0A0A0"/>
            </w:tcBorders>
            <w:shd w:val="clear" w:color="000000" w:fill="FFFFFF"/>
            <w:noWrap/>
            <w:hideMark/>
          </w:tcPr>
          <w:p w14:paraId="7999257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1.82</w:t>
            </w:r>
          </w:p>
        </w:tc>
      </w:tr>
      <w:tr w:rsidR="00F30104" w:rsidRPr="00F30104" w14:paraId="4C6BD49B"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1F638482"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Interest Cover (x)</w:t>
            </w:r>
          </w:p>
        </w:tc>
        <w:tc>
          <w:tcPr>
            <w:tcW w:w="1420" w:type="dxa"/>
            <w:tcBorders>
              <w:top w:val="nil"/>
              <w:left w:val="nil"/>
              <w:bottom w:val="single" w:sz="4" w:space="0" w:color="A0A0A0"/>
              <w:right w:val="single" w:sz="4" w:space="0" w:color="A0A0A0"/>
            </w:tcBorders>
            <w:shd w:val="clear" w:color="000000" w:fill="FFFFFF"/>
            <w:noWrap/>
            <w:hideMark/>
          </w:tcPr>
          <w:p w14:paraId="47DF263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3.31</w:t>
            </w:r>
          </w:p>
        </w:tc>
        <w:tc>
          <w:tcPr>
            <w:tcW w:w="1420" w:type="dxa"/>
            <w:tcBorders>
              <w:top w:val="nil"/>
              <w:left w:val="nil"/>
              <w:bottom w:val="single" w:sz="4" w:space="0" w:color="A0A0A0"/>
              <w:right w:val="single" w:sz="4" w:space="0" w:color="A0A0A0"/>
            </w:tcBorders>
            <w:shd w:val="clear" w:color="000000" w:fill="FFFFFF"/>
            <w:noWrap/>
            <w:hideMark/>
          </w:tcPr>
          <w:p w14:paraId="56CA55FC"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2.83</w:t>
            </w:r>
          </w:p>
        </w:tc>
        <w:tc>
          <w:tcPr>
            <w:tcW w:w="1420" w:type="dxa"/>
            <w:tcBorders>
              <w:top w:val="nil"/>
              <w:left w:val="nil"/>
              <w:bottom w:val="single" w:sz="4" w:space="0" w:color="A0A0A0"/>
              <w:right w:val="single" w:sz="4" w:space="0" w:color="A0A0A0"/>
            </w:tcBorders>
            <w:shd w:val="clear" w:color="000000" w:fill="FFFFFF"/>
            <w:noWrap/>
            <w:hideMark/>
          </w:tcPr>
          <w:p w14:paraId="2B51995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0.11</w:t>
            </w:r>
          </w:p>
        </w:tc>
        <w:tc>
          <w:tcPr>
            <w:tcW w:w="1420" w:type="dxa"/>
            <w:tcBorders>
              <w:top w:val="nil"/>
              <w:left w:val="nil"/>
              <w:bottom w:val="single" w:sz="4" w:space="0" w:color="A0A0A0"/>
              <w:right w:val="single" w:sz="4" w:space="0" w:color="A0A0A0"/>
            </w:tcBorders>
            <w:shd w:val="clear" w:color="000000" w:fill="FFFFFF"/>
            <w:noWrap/>
            <w:hideMark/>
          </w:tcPr>
          <w:p w14:paraId="74753F14"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1.29</w:t>
            </w:r>
          </w:p>
        </w:tc>
        <w:tc>
          <w:tcPr>
            <w:tcW w:w="1420" w:type="dxa"/>
            <w:tcBorders>
              <w:top w:val="nil"/>
              <w:left w:val="nil"/>
              <w:bottom w:val="single" w:sz="4" w:space="0" w:color="A0A0A0"/>
              <w:right w:val="single" w:sz="4" w:space="0" w:color="A0A0A0"/>
            </w:tcBorders>
            <w:shd w:val="clear" w:color="000000" w:fill="FFFFFF"/>
            <w:noWrap/>
            <w:hideMark/>
          </w:tcPr>
          <w:p w14:paraId="5101C83E"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1.76</w:t>
            </w:r>
          </w:p>
        </w:tc>
      </w:tr>
      <w:tr w:rsidR="00F30104" w:rsidRPr="00F30104" w14:paraId="3714F194"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FC80F3B"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Stock Turnover (x)</w:t>
            </w:r>
          </w:p>
        </w:tc>
        <w:tc>
          <w:tcPr>
            <w:tcW w:w="1420" w:type="dxa"/>
            <w:tcBorders>
              <w:top w:val="nil"/>
              <w:left w:val="nil"/>
              <w:bottom w:val="single" w:sz="4" w:space="0" w:color="A0A0A0"/>
              <w:right w:val="single" w:sz="4" w:space="0" w:color="A0A0A0"/>
            </w:tcBorders>
            <w:shd w:val="clear" w:color="000000" w:fill="FFFFFF"/>
            <w:noWrap/>
            <w:hideMark/>
          </w:tcPr>
          <w:p w14:paraId="18FD2ADE"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15.61</w:t>
            </w:r>
          </w:p>
        </w:tc>
        <w:tc>
          <w:tcPr>
            <w:tcW w:w="1420" w:type="dxa"/>
            <w:tcBorders>
              <w:top w:val="nil"/>
              <w:left w:val="nil"/>
              <w:bottom w:val="single" w:sz="4" w:space="0" w:color="A0A0A0"/>
              <w:right w:val="single" w:sz="4" w:space="0" w:color="A0A0A0"/>
            </w:tcBorders>
            <w:shd w:val="clear" w:color="000000" w:fill="FFFFFF"/>
            <w:noWrap/>
            <w:hideMark/>
          </w:tcPr>
          <w:p w14:paraId="436257B9"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15.42</w:t>
            </w:r>
          </w:p>
        </w:tc>
        <w:tc>
          <w:tcPr>
            <w:tcW w:w="1420" w:type="dxa"/>
            <w:tcBorders>
              <w:top w:val="nil"/>
              <w:left w:val="nil"/>
              <w:bottom w:val="single" w:sz="4" w:space="0" w:color="A0A0A0"/>
              <w:right w:val="single" w:sz="4" w:space="0" w:color="A0A0A0"/>
            </w:tcBorders>
            <w:shd w:val="clear" w:color="000000" w:fill="FFFFFF"/>
            <w:noWrap/>
            <w:hideMark/>
          </w:tcPr>
          <w:p w14:paraId="2ECC1C37"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14.66</w:t>
            </w:r>
          </w:p>
        </w:tc>
        <w:tc>
          <w:tcPr>
            <w:tcW w:w="1420" w:type="dxa"/>
            <w:tcBorders>
              <w:top w:val="nil"/>
              <w:left w:val="nil"/>
              <w:bottom w:val="single" w:sz="4" w:space="0" w:color="A0A0A0"/>
              <w:right w:val="single" w:sz="4" w:space="0" w:color="A0A0A0"/>
            </w:tcBorders>
            <w:shd w:val="clear" w:color="000000" w:fill="FFFFFF"/>
            <w:noWrap/>
            <w:hideMark/>
          </w:tcPr>
          <w:p w14:paraId="676332C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18.05</w:t>
            </w:r>
          </w:p>
        </w:tc>
        <w:tc>
          <w:tcPr>
            <w:tcW w:w="1420" w:type="dxa"/>
            <w:tcBorders>
              <w:top w:val="nil"/>
              <w:left w:val="nil"/>
              <w:bottom w:val="single" w:sz="4" w:space="0" w:color="A0A0A0"/>
              <w:right w:val="single" w:sz="4" w:space="0" w:color="A0A0A0"/>
            </w:tcBorders>
            <w:shd w:val="clear" w:color="000000" w:fill="FFFFFF"/>
            <w:noWrap/>
            <w:hideMark/>
          </w:tcPr>
          <w:p w14:paraId="63A11E5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14.82</w:t>
            </w:r>
          </w:p>
        </w:tc>
      </w:tr>
      <w:tr w:rsidR="00F30104" w:rsidRPr="00F30104" w14:paraId="577AD24C"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398480AD"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Debtors Turnover (x)</w:t>
            </w:r>
          </w:p>
        </w:tc>
        <w:tc>
          <w:tcPr>
            <w:tcW w:w="1420" w:type="dxa"/>
            <w:tcBorders>
              <w:top w:val="nil"/>
              <w:left w:val="nil"/>
              <w:bottom w:val="single" w:sz="4" w:space="0" w:color="A0A0A0"/>
              <w:right w:val="single" w:sz="4" w:space="0" w:color="A0A0A0"/>
            </w:tcBorders>
            <w:shd w:val="clear" w:color="000000" w:fill="FFFFFF"/>
            <w:noWrap/>
            <w:hideMark/>
          </w:tcPr>
          <w:p w14:paraId="2B49326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97.08</w:t>
            </w:r>
          </w:p>
        </w:tc>
        <w:tc>
          <w:tcPr>
            <w:tcW w:w="1420" w:type="dxa"/>
            <w:tcBorders>
              <w:top w:val="nil"/>
              <w:left w:val="nil"/>
              <w:bottom w:val="single" w:sz="4" w:space="0" w:color="A0A0A0"/>
              <w:right w:val="single" w:sz="4" w:space="0" w:color="A0A0A0"/>
            </w:tcBorders>
            <w:shd w:val="clear" w:color="000000" w:fill="FFFFFF"/>
            <w:noWrap/>
            <w:hideMark/>
          </w:tcPr>
          <w:p w14:paraId="321EA2A8"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110.85</w:t>
            </w:r>
          </w:p>
        </w:tc>
        <w:tc>
          <w:tcPr>
            <w:tcW w:w="1420" w:type="dxa"/>
            <w:tcBorders>
              <w:top w:val="nil"/>
              <w:left w:val="nil"/>
              <w:bottom w:val="single" w:sz="4" w:space="0" w:color="A0A0A0"/>
              <w:right w:val="single" w:sz="4" w:space="0" w:color="A0A0A0"/>
            </w:tcBorders>
            <w:shd w:val="clear" w:color="000000" w:fill="FFFFFF"/>
            <w:noWrap/>
            <w:hideMark/>
          </w:tcPr>
          <w:p w14:paraId="5C52E4B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86.29</w:t>
            </w:r>
          </w:p>
        </w:tc>
        <w:tc>
          <w:tcPr>
            <w:tcW w:w="1420" w:type="dxa"/>
            <w:tcBorders>
              <w:top w:val="nil"/>
              <w:left w:val="nil"/>
              <w:bottom w:val="single" w:sz="4" w:space="0" w:color="A0A0A0"/>
              <w:right w:val="single" w:sz="4" w:space="0" w:color="A0A0A0"/>
            </w:tcBorders>
            <w:shd w:val="clear" w:color="000000" w:fill="FFFFFF"/>
            <w:noWrap/>
            <w:hideMark/>
          </w:tcPr>
          <w:p w14:paraId="731C3616"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69.36</w:t>
            </w:r>
          </w:p>
        </w:tc>
        <w:tc>
          <w:tcPr>
            <w:tcW w:w="1420" w:type="dxa"/>
            <w:tcBorders>
              <w:top w:val="nil"/>
              <w:left w:val="nil"/>
              <w:bottom w:val="single" w:sz="4" w:space="0" w:color="A0A0A0"/>
              <w:right w:val="single" w:sz="4" w:space="0" w:color="A0A0A0"/>
            </w:tcBorders>
            <w:shd w:val="clear" w:color="000000" w:fill="FFFFFF"/>
            <w:noWrap/>
            <w:hideMark/>
          </w:tcPr>
          <w:p w14:paraId="1C53D764"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87.50</w:t>
            </w:r>
          </w:p>
        </w:tc>
      </w:tr>
      <w:tr w:rsidR="00F30104" w:rsidRPr="00F30104" w14:paraId="22B7EEB1"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1DE28594"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Debtor Collection (days)</w:t>
            </w:r>
          </w:p>
        </w:tc>
        <w:tc>
          <w:tcPr>
            <w:tcW w:w="1420" w:type="dxa"/>
            <w:tcBorders>
              <w:top w:val="nil"/>
              <w:left w:val="nil"/>
              <w:bottom w:val="single" w:sz="4" w:space="0" w:color="A0A0A0"/>
              <w:right w:val="single" w:sz="4" w:space="0" w:color="A0A0A0"/>
            </w:tcBorders>
            <w:shd w:val="clear" w:color="000000" w:fill="FFFFFF"/>
            <w:noWrap/>
            <w:hideMark/>
          </w:tcPr>
          <w:p w14:paraId="162B3BA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3.76</w:t>
            </w:r>
          </w:p>
        </w:tc>
        <w:tc>
          <w:tcPr>
            <w:tcW w:w="1420" w:type="dxa"/>
            <w:tcBorders>
              <w:top w:val="nil"/>
              <w:left w:val="nil"/>
              <w:bottom w:val="single" w:sz="4" w:space="0" w:color="A0A0A0"/>
              <w:right w:val="single" w:sz="4" w:space="0" w:color="A0A0A0"/>
            </w:tcBorders>
            <w:shd w:val="clear" w:color="000000" w:fill="FFFFFF"/>
            <w:noWrap/>
            <w:hideMark/>
          </w:tcPr>
          <w:p w14:paraId="139D75E7"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3.29</w:t>
            </w:r>
          </w:p>
        </w:tc>
        <w:tc>
          <w:tcPr>
            <w:tcW w:w="1420" w:type="dxa"/>
            <w:tcBorders>
              <w:top w:val="nil"/>
              <w:left w:val="nil"/>
              <w:bottom w:val="single" w:sz="4" w:space="0" w:color="A0A0A0"/>
              <w:right w:val="single" w:sz="4" w:space="0" w:color="A0A0A0"/>
            </w:tcBorders>
            <w:shd w:val="clear" w:color="000000" w:fill="FFFFFF"/>
            <w:noWrap/>
            <w:hideMark/>
          </w:tcPr>
          <w:p w14:paraId="1AC0E3C8"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4.23</w:t>
            </w:r>
          </w:p>
        </w:tc>
        <w:tc>
          <w:tcPr>
            <w:tcW w:w="1420" w:type="dxa"/>
            <w:tcBorders>
              <w:top w:val="nil"/>
              <w:left w:val="nil"/>
              <w:bottom w:val="single" w:sz="4" w:space="0" w:color="A0A0A0"/>
              <w:right w:val="single" w:sz="4" w:space="0" w:color="A0A0A0"/>
            </w:tcBorders>
            <w:shd w:val="clear" w:color="000000" w:fill="FFFFFF"/>
            <w:noWrap/>
            <w:hideMark/>
          </w:tcPr>
          <w:p w14:paraId="74EF205B"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5.26</w:t>
            </w:r>
          </w:p>
        </w:tc>
        <w:tc>
          <w:tcPr>
            <w:tcW w:w="1420" w:type="dxa"/>
            <w:tcBorders>
              <w:top w:val="nil"/>
              <w:left w:val="nil"/>
              <w:bottom w:val="single" w:sz="4" w:space="0" w:color="A0A0A0"/>
              <w:right w:val="single" w:sz="4" w:space="0" w:color="A0A0A0"/>
            </w:tcBorders>
            <w:shd w:val="clear" w:color="000000" w:fill="FFFFFF"/>
            <w:noWrap/>
            <w:hideMark/>
          </w:tcPr>
          <w:p w14:paraId="14B945D0"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4.17</w:t>
            </w:r>
          </w:p>
        </w:tc>
      </w:tr>
      <w:tr w:rsidR="00F30104" w:rsidRPr="00F30104" w14:paraId="549E2BC2"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54CC3A3"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lastRenderedPageBreak/>
              <w:t xml:space="preserve"> ∟ Creditors Payment (days)</w:t>
            </w:r>
          </w:p>
        </w:tc>
        <w:tc>
          <w:tcPr>
            <w:tcW w:w="1420" w:type="dxa"/>
            <w:tcBorders>
              <w:top w:val="nil"/>
              <w:left w:val="nil"/>
              <w:bottom w:val="single" w:sz="4" w:space="0" w:color="A0A0A0"/>
              <w:right w:val="single" w:sz="4" w:space="0" w:color="A0A0A0"/>
            </w:tcBorders>
            <w:shd w:val="clear" w:color="000000" w:fill="FFFFFF"/>
            <w:noWrap/>
            <w:hideMark/>
          </w:tcPr>
          <w:p w14:paraId="6CF9F4B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24.53</w:t>
            </w:r>
          </w:p>
        </w:tc>
        <w:tc>
          <w:tcPr>
            <w:tcW w:w="1420" w:type="dxa"/>
            <w:tcBorders>
              <w:top w:val="nil"/>
              <w:left w:val="nil"/>
              <w:bottom w:val="single" w:sz="4" w:space="0" w:color="A0A0A0"/>
              <w:right w:val="single" w:sz="4" w:space="0" w:color="A0A0A0"/>
            </w:tcBorders>
            <w:shd w:val="clear" w:color="000000" w:fill="FFFFFF"/>
            <w:noWrap/>
            <w:hideMark/>
          </w:tcPr>
          <w:p w14:paraId="4C2D182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24.57</w:t>
            </w:r>
          </w:p>
        </w:tc>
        <w:tc>
          <w:tcPr>
            <w:tcW w:w="1420" w:type="dxa"/>
            <w:tcBorders>
              <w:top w:val="nil"/>
              <w:left w:val="nil"/>
              <w:bottom w:val="single" w:sz="4" w:space="0" w:color="A0A0A0"/>
              <w:right w:val="single" w:sz="4" w:space="0" w:color="A0A0A0"/>
            </w:tcBorders>
            <w:shd w:val="clear" w:color="000000" w:fill="FFFFFF"/>
            <w:noWrap/>
            <w:vAlign w:val="bottom"/>
            <w:hideMark/>
          </w:tcPr>
          <w:p w14:paraId="7904285E"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single" w:sz="4" w:space="0" w:color="A0A0A0"/>
              <w:right w:val="single" w:sz="4" w:space="0" w:color="A0A0A0"/>
            </w:tcBorders>
            <w:shd w:val="clear" w:color="000000" w:fill="FFFFFF"/>
            <w:noWrap/>
            <w:hideMark/>
          </w:tcPr>
          <w:p w14:paraId="2F8D91B0"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33.81</w:t>
            </w:r>
          </w:p>
        </w:tc>
        <w:tc>
          <w:tcPr>
            <w:tcW w:w="1420" w:type="dxa"/>
            <w:tcBorders>
              <w:top w:val="nil"/>
              <w:left w:val="nil"/>
              <w:bottom w:val="single" w:sz="4" w:space="0" w:color="A0A0A0"/>
              <w:right w:val="single" w:sz="4" w:space="0" w:color="A0A0A0"/>
            </w:tcBorders>
            <w:shd w:val="clear" w:color="000000" w:fill="FFFFFF"/>
            <w:noWrap/>
            <w:hideMark/>
          </w:tcPr>
          <w:p w14:paraId="651AEA5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32.05</w:t>
            </w:r>
          </w:p>
        </w:tc>
      </w:tr>
      <w:tr w:rsidR="00F30104" w:rsidRPr="00F30104" w14:paraId="1F943627" w14:textId="77777777" w:rsidTr="00F30104">
        <w:trPr>
          <w:trHeight w:val="503"/>
        </w:trPr>
        <w:tc>
          <w:tcPr>
            <w:tcW w:w="2900" w:type="dxa"/>
            <w:tcBorders>
              <w:top w:val="nil"/>
              <w:left w:val="nil"/>
              <w:bottom w:val="nil"/>
              <w:right w:val="nil"/>
            </w:tcBorders>
            <w:shd w:val="clear" w:color="000000" w:fill="FFFFFF"/>
            <w:noWrap/>
            <w:vAlign w:val="bottom"/>
            <w:hideMark/>
          </w:tcPr>
          <w:p w14:paraId="530184DF"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7C533F37"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20AD29E0"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2E2C4AD2"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743F28F6"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36135AEE"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r>
      <w:tr w:rsidR="00F30104" w:rsidRPr="00F30104" w14:paraId="133B0AE1" w14:textId="77777777" w:rsidTr="00F30104">
        <w:trPr>
          <w:trHeight w:val="503"/>
        </w:trPr>
        <w:tc>
          <w:tcPr>
            <w:tcW w:w="2900" w:type="dxa"/>
            <w:tcBorders>
              <w:top w:val="nil"/>
              <w:left w:val="nil"/>
              <w:bottom w:val="nil"/>
              <w:right w:val="nil"/>
            </w:tcBorders>
            <w:shd w:val="clear" w:color="000000" w:fill="FFFFFF"/>
            <w:vAlign w:val="center"/>
            <w:hideMark/>
          </w:tcPr>
          <w:p w14:paraId="13EE39E8"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Structure ratios</w:t>
            </w:r>
          </w:p>
        </w:tc>
        <w:tc>
          <w:tcPr>
            <w:tcW w:w="1420" w:type="dxa"/>
            <w:tcBorders>
              <w:top w:val="nil"/>
              <w:left w:val="nil"/>
              <w:bottom w:val="nil"/>
              <w:right w:val="nil"/>
            </w:tcBorders>
            <w:shd w:val="clear" w:color="000000" w:fill="FFFFFF"/>
            <w:noWrap/>
            <w:vAlign w:val="bottom"/>
            <w:hideMark/>
          </w:tcPr>
          <w:p w14:paraId="3530348D"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155CD2B4"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250BEFD3"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55FC407A"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c>
          <w:tcPr>
            <w:tcW w:w="1420" w:type="dxa"/>
            <w:tcBorders>
              <w:top w:val="nil"/>
              <w:left w:val="nil"/>
              <w:bottom w:val="nil"/>
              <w:right w:val="nil"/>
            </w:tcBorders>
            <w:shd w:val="clear" w:color="000000" w:fill="FFFFFF"/>
            <w:noWrap/>
            <w:vAlign w:val="bottom"/>
            <w:hideMark/>
          </w:tcPr>
          <w:p w14:paraId="49426575"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w:t>
            </w:r>
          </w:p>
        </w:tc>
      </w:tr>
      <w:tr w:rsidR="00F30104" w:rsidRPr="00F30104" w14:paraId="2762821A" w14:textId="77777777" w:rsidTr="00F30104">
        <w:trPr>
          <w:trHeight w:val="503"/>
        </w:trPr>
        <w:tc>
          <w:tcPr>
            <w:tcW w:w="2900" w:type="dxa"/>
            <w:tcBorders>
              <w:top w:val="single" w:sz="4" w:space="0" w:color="A0A0A0"/>
              <w:left w:val="single" w:sz="4" w:space="0" w:color="A0A0A0"/>
              <w:bottom w:val="single" w:sz="4" w:space="0" w:color="A0A0A0"/>
              <w:right w:val="single" w:sz="4" w:space="0" w:color="A0A0A0"/>
            </w:tcBorders>
            <w:shd w:val="clear" w:color="000000" w:fill="FFFFFF"/>
            <w:vAlign w:val="center"/>
            <w:hideMark/>
          </w:tcPr>
          <w:p w14:paraId="5B1D1741"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Current ratio (x)</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0611F754"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0.80</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7A49F567"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0.92</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025870D9"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0.69</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15EDF533"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0.66</w:t>
            </w:r>
          </w:p>
        </w:tc>
        <w:tc>
          <w:tcPr>
            <w:tcW w:w="1420" w:type="dxa"/>
            <w:tcBorders>
              <w:top w:val="single" w:sz="4" w:space="0" w:color="A0A0A0"/>
              <w:left w:val="nil"/>
              <w:bottom w:val="single" w:sz="4" w:space="0" w:color="A0A0A0"/>
              <w:right w:val="single" w:sz="4" w:space="0" w:color="A0A0A0"/>
            </w:tcBorders>
            <w:shd w:val="clear" w:color="000000" w:fill="FFFFFF"/>
            <w:noWrap/>
            <w:hideMark/>
          </w:tcPr>
          <w:p w14:paraId="64E45A2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0.67</w:t>
            </w:r>
          </w:p>
        </w:tc>
      </w:tr>
      <w:tr w:rsidR="00F30104" w:rsidRPr="00F30104" w14:paraId="0E566C6B"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925D852"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Liquidity ratio (x)</w:t>
            </w:r>
          </w:p>
        </w:tc>
        <w:tc>
          <w:tcPr>
            <w:tcW w:w="1420" w:type="dxa"/>
            <w:tcBorders>
              <w:top w:val="nil"/>
              <w:left w:val="nil"/>
              <w:bottom w:val="single" w:sz="4" w:space="0" w:color="A0A0A0"/>
              <w:right w:val="single" w:sz="4" w:space="0" w:color="A0A0A0"/>
            </w:tcBorders>
            <w:shd w:val="clear" w:color="000000" w:fill="FFFFFF"/>
            <w:noWrap/>
            <w:hideMark/>
          </w:tcPr>
          <w:p w14:paraId="0BE87019"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0.51</w:t>
            </w:r>
          </w:p>
        </w:tc>
        <w:tc>
          <w:tcPr>
            <w:tcW w:w="1420" w:type="dxa"/>
            <w:tcBorders>
              <w:top w:val="nil"/>
              <w:left w:val="nil"/>
              <w:bottom w:val="single" w:sz="4" w:space="0" w:color="A0A0A0"/>
              <w:right w:val="single" w:sz="4" w:space="0" w:color="A0A0A0"/>
            </w:tcBorders>
            <w:shd w:val="clear" w:color="000000" w:fill="FFFFFF"/>
            <w:noWrap/>
            <w:hideMark/>
          </w:tcPr>
          <w:p w14:paraId="6F212C4C"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0.62</w:t>
            </w:r>
          </w:p>
        </w:tc>
        <w:tc>
          <w:tcPr>
            <w:tcW w:w="1420" w:type="dxa"/>
            <w:tcBorders>
              <w:top w:val="nil"/>
              <w:left w:val="nil"/>
              <w:bottom w:val="single" w:sz="4" w:space="0" w:color="A0A0A0"/>
              <w:right w:val="single" w:sz="4" w:space="0" w:color="A0A0A0"/>
            </w:tcBorders>
            <w:shd w:val="clear" w:color="000000" w:fill="FFFFFF"/>
            <w:noWrap/>
            <w:hideMark/>
          </w:tcPr>
          <w:p w14:paraId="66AD48C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0.42</w:t>
            </w:r>
          </w:p>
        </w:tc>
        <w:tc>
          <w:tcPr>
            <w:tcW w:w="1420" w:type="dxa"/>
            <w:tcBorders>
              <w:top w:val="nil"/>
              <w:left w:val="nil"/>
              <w:bottom w:val="single" w:sz="4" w:space="0" w:color="A0A0A0"/>
              <w:right w:val="single" w:sz="4" w:space="0" w:color="A0A0A0"/>
            </w:tcBorders>
            <w:shd w:val="clear" w:color="000000" w:fill="FFFFFF"/>
            <w:noWrap/>
            <w:hideMark/>
          </w:tcPr>
          <w:p w14:paraId="20CF07F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0.35</w:t>
            </w:r>
          </w:p>
        </w:tc>
        <w:tc>
          <w:tcPr>
            <w:tcW w:w="1420" w:type="dxa"/>
            <w:tcBorders>
              <w:top w:val="nil"/>
              <w:left w:val="nil"/>
              <w:bottom w:val="single" w:sz="4" w:space="0" w:color="A0A0A0"/>
              <w:right w:val="single" w:sz="4" w:space="0" w:color="A0A0A0"/>
            </w:tcBorders>
            <w:shd w:val="clear" w:color="000000" w:fill="FFFFFF"/>
            <w:noWrap/>
            <w:hideMark/>
          </w:tcPr>
          <w:p w14:paraId="41705AC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0.35</w:t>
            </w:r>
          </w:p>
        </w:tc>
      </w:tr>
      <w:tr w:rsidR="00F30104" w:rsidRPr="00F30104" w14:paraId="0AE79407"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2489F13B"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Shareholders liquidity ratio (x)</w:t>
            </w:r>
          </w:p>
        </w:tc>
        <w:tc>
          <w:tcPr>
            <w:tcW w:w="1420" w:type="dxa"/>
            <w:tcBorders>
              <w:top w:val="nil"/>
              <w:left w:val="nil"/>
              <w:bottom w:val="single" w:sz="4" w:space="0" w:color="A0A0A0"/>
              <w:right w:val="single" w:sz="4" w:space="0" w:color="A0A0A0"/>
            </w:tcBorders>
            <w:shd w:val="clear" w:color="000000" w:fill="FFFFFF"/>
            <w:noWrap/>
            <w:hideMark/>
          </w:tcPr>
          <w:p w14:paraId="5AF82C4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0.79</w:t>
            </w:r>
          </w:p>
        </w:tc>
        <w:tc>
          <w:tcPr>
            <w:tcW w:w="1420" w:type="dxa"/>
            <w:tcBorders>
              <w:top w:val="nil"/>
              <w:left w:val="nil"/>
              <w:bottom w:val="single" w:sz="4" w:space="0" w:color="A0A0A0"/>
              <w:right w:val="single" w:sz="4" w:space="0" w:color="A0A0A0"/>
            </w:tcBorders>
            <w:shd w:val="clear" w:color="000000" w:fill="FFFFFF"/>
            <w:noWrap/>
            <w:hideMark/>
          </w:tcPr>
          <w:p w14:paraId="7DC7F423"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0.70</w:t>
            </w:r>
          </w:p>
        </w:tc>
        <w:tc>
          <w:tcPr>
            <w:tcW w:w="1420" w:type="dxa"/>
            <w:tcBorders>
              <w:top w:val="nil"/>
              <w:left w:val="nil"/>
              <w:bottom w:val="single" w:sz="4" w:space="0" w:color="A0A0A0"/>
              <w:right w:val="single" w:sz="4" w:space="0" w:color="A0A0A0"/>
            </w:tcBorders>
            <w:shd w:val="clear" w:color="000000" w:fill="FFFFFF"/>
            <w:noWrap/>
            <w:hideMark/>
          </w:tcPr>
          <w:p w14:paraId="7AEDDA13"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0.56</w:t>
            </w:r>
          </w:p>
        </w:tc>
        <w:tc>
          <w:tcPr>
            <w:tcW w:w="1420" w:type="dxa"/>
            <w:tcBorders>
              <w:top w:val="nil"/>
              <w:left w:val="nil"/>
              <w:bottom w:val="single" w:sz="4" w:space="0" w:color="A0A0A0"/>
              <w:right w:val="single" w:sz="4" w:space="0" w:color="A0A0A0"/>
            </w:tcBorders>
            <w:shd w:val="clear" w:color="000000" w:fill="FFFFFF"/>
            <w:noWrap/>
            <w:hideMark/>
          </w:tcPr>
          <w:p w14:paraId="11D3F26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0.80</w:t>
            </w:r>
          </w:p>
        </w:tc>
        <w:tc>
          <w:tcPr>
            <w:tcW w:w="1420" w:type="dxa"/>
            <w:tcBorders>
              <w:top w:val="nil"/>
              <w:left w:val="nil"/>
              <w:bottom w:val="single" w:sz="4" w:space="0" w:color="A0A0A0"/>
              <w:right w:val="single" w:sz="4" w:space="0" w:color="A0A0A0"/>
            </w:tcBorders>
            <w:shd w:val="clear" w:color="000000" w:fill="FFFFFF"/>
            <w:noWrap/>
            <w:hideMark/>
          </w:tcPr>
          <w:p w14:paraId="0B06473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1.17</w:t>
            </w:r>
          </w:p>
        </w:tc>
      </w:tr>
      <w:tr w:rsidR="00F30104" w:rsidRPr="00F30104" w14:paraId="0A3E18B7"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7126921A"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Solvency ratio (Asset based) (%)</w:t>
            </w:r>
          </w:p>
        </w:tc>
        <w:tc>
          <w:tcPr>
            <w:tcW w:w="1420" w:type="dxa"/>
            <w:tcBorders>
              <w:top w:val="nil"/>
              <w:left w:val="nil"/>
              <w:bottom w:val="single" w:sz="4" w:space="0" w:color="A0A0A0"/>
              <w:right w:val="single" w:sz="4" w:space="0" w:color="A0A0A0"/>
            </w:tcBorders>
            <w:shd w:val="clear" w:color="000000" w:fill="FFFFFF"/>
            <w:noWrap/>
            <w:hideMark/>
          </w:tcPr>
          <w:p w14:paraId="6FBFED2C"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30.94</w:t>
            </w:r>
          </w:p>
        </w:tc>
        <w:tc>
          <w:tcPr>
            <w:tcW w:w="1420" w:type="dxa"/>
            <w:tcBorders>
              <w:top w:val="nil"/>
              <w:left w:val="nil"/>
              <w:bottom w:val="single" w:sz="4" w:space="0" w:color="A0A0A0"/>
              <w:right w:val="single" w:sz="4" w:space="0" w:color="A0A0A0"/>
            </w:tcBorders>
            <w:shd w:val="clear" w:color="000000" w:fill="FFFFFF"/>
            <w:noWrap/>
            <w:hideMark/>
          </w:tcPr>
          <w:p w14:paraId="30FAA965"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30.90</w:t>
            </w:r>
          </w:p>
        </w:tc>
        <w:tc>
          <w:tcPr>
            <w:tcW w:w="1420" w:type="dxa"/>
            <w:tcBorders>
              <w:top w:val="nil"/>
              <w:left w:val="nil"/>
              <w:bottom w:val="single" w:sz="4" w:space="0" w:color="A0A0A0"/>
              <w:right w:val="single" w:sz="4" w:space="0" w:color="A0A0A0"/>
            </w:tcBorders>
            <w:shd w:val="clear" w:color="000000" w:fill="FFFFFF"/>
            <w:noWrap/>
            <w:hideMark/>
          </w:tcPr>
          <w:p w14:paraId="1B415DA3"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26.46</w:t>
            </w:r>
          </w:p>
        </w:tc>
        <w:tc>
          <w:tcPr>
            <w:tcW w:w="1420" w:type="dxa"/>
            <w:tcBorders>
              <w:top w:val="nil"/>
              <w:left w:val="nil"/>
              <w:bottom w:val="single" w:sz="4" w:space="0" w:color="A0A0A0"/>
              <w:right w:val="single" w:sz="4" w:space="0" w:color="A0A0A0"/>
            </w:tcBorders>
            <w:shd w:val="clear" w:color="000000" w:fill="FFFFFF"/>
            <w:noWrap/>
            <w:hideMark/>
          </w:tcPr>
          <w:p w14:paraId="35B1F6CE"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36.42</w:t>
            </w:r>
          </w:p>
        </w:tc>
        <w:tc>
          <w:tcPr>
            <w:tcW w:w="1420" w:type="dxa"/>
            <w:tcBorders>
              <w:top w:val="nil"/>
              <w:left w:val="nil"/>
              <w:bottom w:val="single" w:sz="4" w:space="0" w:color="A0A0A0"/>
              <w:right w:val="single" w:sz="4" w:space="0" w:color="A0A0A0"/>
            </w:tcBorders>
            <w:shd w:val="clear" w:color="000000" w:fill="FFFFFF"/>
            <w:noWrap/>
            <w:hideMark/>
          </w:tcPr>
          <w:p w14:paraId="07560658"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37.23</w:t>
            </w:r>
          </w:p>
        </w:tc>
      </w:tr>
      <w:tr w:rsidR="00F30104" w:rsidRPr="00F30104" w14:paraId="445A4F4C" w14:textId="77777777" w:rsidTr="00F30104">
        <w:trPr>
          <w:trHeight w:val="649"/>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0B46E78B"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Solvency ratio (Liability based) (%)</w:t>
            </w:r>
          </w:p>
        </w:tc>
        <w:tc>
          <w:tcPr>
            <w:tcW w:w="1420" w:type="dxa"/>
            <w:tcBorders>
              <w:top w:val="nil"/>
              <w:left w:val="nil"/>
              <w:bottom w:val="single" w:sz="4" w:space="0" w:color="A0A0A0"/>
              <w:right w:val="single" w:sz="4" w:space="0" w:color="A0A0A0"/>
            </w:tcBorders>
            <w:shd w:val="clear" w:color="000000" w:fill="FFFFFF"/>
            <w:noWrap/>
            <w:hideMark/>
          </w:tcPr>
          <w:p w14:paraId="3A2D88C7"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44.80</w:t>
            </w:r>
          </w:p>
        </w:tc>
        <w:tc>
          <w:tcPr>
            <w:tcW w:w="1420" w:type="dxa"/>
            <w:tcBorders>
              <w:top w:val="nil"/>
              <w:left w:val="nil"/>
              <w:bottom w:val="single" w:sz="4" w:space="0" w:color="A0A0A0"/>
              <w:right w:val="single" w:sz="4" w:space="0" w:color="A0A0A0"/>
            </w:tcBorders>
            <w:shd w:val="clear" w:color="000000" w:fill="FFFFFF"/>
            <w:noWrap/>
            <w:hideMark/>
          </w:tcPr>
          <w:p w14:paraId="7FE5067E"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44.72</w:t>
            </w:r>
          </w:p>
        </w:tc>
        <w:tc>
          <w:tcPr>
            <w:tcW w:w="1420" w:type="dxa"/>
            <w:tcBorders>
              <w:top w:val="nil"/>
              <w:left w:val="nil"/>
              <w:bottom w:val="single" w:sz="4" w:space="0" w:color="A0A0A0"/>
              <w:right w:val="single" w:sz="4" w:space="0" w:color="A0A0A0"/>
            </w:tcBorders>
            <w:shd w:val="clear" w:color="000000" w:fill="FFFFFF"/>
            <w:noWrap/>
            <w:hideMark/>
          </w:tcPr>
          <w:p w14:paraId="10370590"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35.99</w:t>
            </w:r>
          </w:p>
        </w:tc>
        <w:tc>
          <w:tcPr>
            <w:tcW w:w="1420" w:type="dxa"/>
            <w:tcBorders>
              <w:top w:val="nil"/>
              <w:left w:val="nil"/>
              <w:bottom w:val="single" w:sz="4" w:space="0" w:color="A0A0A0"/>
              <w:right w:val="single" w:sz="4" w:space="0" w:color="A0A0A0"/>
            </w:tcBorders>
            <w:shd w:val="clear" w:color="000000" w:fill="FFFFFF"/>
            <w:noWrap/>
            <w:hideMark/>
          </w:tcPr>
          <w:p w14:paraId="29DD2D78"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57.27</w:t>
            </w:r>
          </w:p>
        </w:tc>
        <w:tc>
          <w:tcPr>
            <w:tcW w:w="1420" w:type="dxa"/>
            <w:tcBorders>
              <w:top w:val="nil"/>
              <w:left w:val="nil"/>
              <w:bottom w:val="single" w:sz="4" w:space="0" w:color="A0A0A0"/>
              <w:right w:val="single" w:sz="4" w:space="0" w:color="A0A0A0"/>
            </w:tcBorders>
            <w:shd w:val="clear" w:color="000000" w:fill="FFFFFF"/>
            <w:noWrap/>
            <w:hideMark/>
          </w:tcPr>
          <w:p w14:paraId="25262B5D"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59.32</w:t>
            </w:r>
          </w:p>
        </w:tc>
      </w:tr>
      <w:tr w:rsidR="00F30104" w:rsidRPr="00F30104" w14:paraId="30F1D286"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57A0FF82"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Asset Cover (x)</w:t>
            </w:r>
          </w:p>
        </w:tc>
        <w:tc>
          <w:tcPr>
            <w:tcW w:w="1420" w:type="dxa"/>
            <w:tcBorders>
              <w:top w:val="nil"/>
              <w:left w:val="nil"/>
              <w:bottom w:val="single" w:sz="4" w:space="0" w:color="A0A0A0"/>
              <w:right w:val="single" w:sz="4" w:space="0" w:color="A0A0A0"/>
            </w:tcBorders>
            <w:shd w:val="clear" w:color="000000" w:fill="FFFFFF"/>
            <w:noWrap/>
            <w:hideMark/>
          </w:tcPr>
          <w:p w14:paraId="56770374"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2.86</w:t>
            </w:r>
          </w:p>
        </w:tc>
        <w:tc>
          <w:tcPr>
            <w:tcW w:w="1420" w:type="dxa"/>
            <w:tcBorders>
              <w:top w:val="nil"/>
              <w:left w:val="nil"/>
              <w:bottom w:val="single" w:sz="4" w:space="0" w:color="A0A0A0"/>
              <w:right w:val="single" w:sz="4" w:space="0" w:color="A0A0A0"/>
            </w:tcBorders>
            <w:shd w:val="clear" w:color="000000" w:fill="FFFFFF"/>
            <w:noWrap/>
            <w:hideMark/>
          </w:tcPr>
          <w:p w14:paraId="2ECC623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2.65</w:t>
            </w:r>
          </w:p>
        </w:tc>
        <w:tc>
          <w:tcPr>
            <w:tcW w:w="1420" w:type="dxa"/>
            <w:tcBorders>
              <w:top w:val="nil"/>
              <w:left w:val="nil"/>
              <w:bottom w:val="single" w:sz="4" w:space="0" w:color="A0A0A0"/>
              <w:right w:val="single" w:sz="4" w:space="0" w:color="A0A0A0"/>
            </w:tcBorders>
            <w:shd w:val="clear" w:color="000000" w:fill="FFFFFF"/>
            <w:noWrap/>
            <w:hideMark/>
          </w:tcPr>
          <w:p w14:paraId="71DFBE99"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2.36</w:t>
            </w:r>
          </w:p>
        </w:tc>
        <w:tc>
          <w:tcPr>
            <w:tcW w:w="1420" w:type="dxa"/>
            <w:tcBorders>
              <w:top w:val="nil"/>
              <w:left w:val="nil"/>
              <w:bottom w:val="single" w:sz="4" w:space="0" w:color="A0A0A0"/>
              <w:right w:val="single" w:sz="4" w:space="0" w:color="A0A0A0"/>
            </w:tcBorders>
            <w:shd w:val="clear" w:color="000000" w:fill="FFFFFF"/>
            <w:noWrap/>
            <w:hideMark/>
          </w:tcPr>
          <w:p w14:paraId="2F9FFAC1"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2.63</w:t>
            </w:r>
          </w:p>
        </w:tc>
        <w:tc>
          <w:tcPr>
            <w:tcW w:w="1420" w:type="dxa"/>
            <w:tcBorders>
              <w:top w:val="nil"/>
              <w:left w:val="nil"/>
              <w:bottom w:val="single" w:sz="4" w:space="0" w:color="A0A0A0"/>
              <w:right w:val="single" w:sz="4" w:space="0" w:color="A0A0A0"/>
            </w:tcBorders>
            <w:shd w:val="clear" w:color="000000" w:fill="FFFFFF"/>
            <w:noWrap/>
            <w:hideMark/>
          </w:tcPr>
          <w:p w14:paraId="27638BAA"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5.63</w:t>
            </w:r>
          </w:p>
        </w:tc>
      </w:tr>
      <w:tr w:rsidR="00F30104" w:rsidRPr="00F30104" w14:paraId="71C6B846" w14:textId="77777777" w:rsidTr="00F30104">
        <w:trPr>
          <w:trHeight w:val="503"/>
        </w:trPr>
        <w:tc>
          <w:tcPr>
            <w:tcW w:w="2900" w:type="dxa"/>
            <w:tcBorders>
              <w:top w:val="nil"/>
              <w:left w:val="single" w:sz="4" w:space="0" w:color="A0A0A0"/>
              <w:bottom w:val="single" w:sz="4" w:space="0" w:color="A0A0A0"/>
              <w:right w:val="single" w:sz="4" w:space="0" w:color="A0A0A0"/>
            </w:tcBorders>
            <w:shd w:val="clear" w:color="000000" w:fill="FFFFFF"/>
            <w:vAlign w:val="center"/>
            <w:hideMark/>
          </w:tcPr>
          <w:p w14:paraId="48262962" w14:textId="77777777" w:rsidR="00F30104" w:rsidRPr="00F30104" w:rsidRDefault="00F30104" w:rsidP="00F30104">
            <w:pPr>
              <w:spacing w:after="0" w:line="360" w:lineRule="auto"/>
              <w:contextualSpacing/>
              <w:rPr>
                <w:rFonts w:ascii="Arial" w:eastAsia="Times New Roman" w:hAnsi="Arial" w:cs="Arial"/>
                <w:kern w:val="0"/>
                <w:lang/>
                <w14:ligatures w14:val="none"/>
              </w:rPr>
            </w:pPr>
            <w:r w:rsidRPr="00F30104">
              <w:rPr>
                <w:rFonts w:ascii="Arial" w:eastAsia="Times New Roman" w:hAnsi="Arial" w:cs="Arial"/>
                <w:kern w:val="0"/>
                <w:lang/>
                <w14:ligatures w14:val="none"/>
              </w:rPr>
              <w:t xml:space="preserve"> ∟ Gearing (%)</w:t>
            </w:r>
          </w:p>
        </w:tc>
        <w:tc>
          <w:tcPr>
            <w:tcW w:w="1420" w:type="dxa"/>
            <w:tcBorders>
              <w:top w:val="nil"/>
              <w:left w:val="nil"/>
              <w:bottom w:val="single" w:sz="4" w:space="0" w:color="A0A0A0"/>
              <w:right w:val="single" w:sz="4" w:space="0" w:color="A0A0A0"/>
            </w:tcBorders>
            <w:shd w:val="clear" w:color="000000" w:fill="FFFFFF"/>
            <w:noWrap/>
            <w:hideMark/>
          </w:tcPr>
          <w:p w14:paraId="7B0E721C"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142.83</w:t>
            </w:r>
          </w:p>
        </w:tc>
        <w:tc>
          <w:tcPr>
            <w:tcW w:w="1420" w:type="dxa"/>
            <w:tcBorders>
              <w:top w:val="nil"/>
              <w:left w:val="nil"/>
              <w:bottom w:val="single" w:sz="4" w:space="0" w:color="A0A0A0"/>
              <w:right w:val="single" w:sz="4" w:space="0" w:color="A0A0A0"/>
            </w:tcBorders>
            <w:shd w:val="clear" w:color="000000" w:fill="FFFFFF"/>
            <w:noWrap/>
            <w:hideMark/>
          </w:tcPr>
          <w:p w14:paraId="743C9062"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150.86</w:t>
            </w:r>
          </w:p>
        </w:tc>
        <w:tc>
          <w:tcPr>
            <w:tcW w:w="1420" w:type="dxa"/>
            <w:tcBorders>
              <w:top w:val="nil"/>
              <w:left w:val="nil"/>
              <w:bottom w:val="single" w:sz="4" w:space="0" w:color="A0A0A0"/>
              <w:right w:val="single" w:sz="4" w:space="0" w:color="A0A0A0"/>
            </w:tcBorders>
            <w:shd w:val="clear" w:color="000000" w:fill="FFFFFF"/>
            <w:noWrap/>
            <w:hideMark/>
          </w:tcPr>
          <w:p w14:paraId="527BF550"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196.37</w:t>
            </w:r>
          </w:p>
        </w:tc>
        <w:tc>
          <w:tcPr>
            <w:tcW w:w="1420" w:type="dxa"/>
            <w:tcBorders>
              <w:top w:val="nil"/>
              <w:left w:val="nil"/>
              <w:bottom w:val="single" w:sz="4" w:space="0" w:color="A0A0A0"/>
              <w:right w:val="single" w:sz="4" w:space="0" w:color="A0A0A0"/>
            </w:tcBorders>
            <w:shd w:val="clear" w:color="000000" w:fill="FFFFFF"/>
            <w:noWrap/>
            <w:hideMark/>
          </w:tcPr>
          <w:p w14:paraId="787EE5AF"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133.28</w:t>
            </w:r>
          </w:p>
        </w:tc>
        <w:tc>
          <w:tcPr>
            <w:tcW w:w="1420" w:type="dxa"/>
            <w:tcBorders>
              <w:top w:val="nil"/>
              <w:left w:val="nil"/>
              <w:bottom w:val="single" w:sz="4" w:space="0" w:color="A0A0A0"/>
              <w:right w:val="single" w:sz="4" w:space="0" w:color="A0A0A0"/>
            </w:tcBorders>
            <w:shd w:val="clear" w:color="000000" w:fill="FFFFFF"/>
            <w:noWrap/>
            <w:hideMark/>
          </w:tcPr>
          <w:p w14:paraId="373E72CB" w14:textId="77777777" w:rsidR="00F30104" w:rsidRPr="00F30104" w:rsidRDefault="00F30104" w:rsidP="00F30104">
            <w:pPr>
              <w:spacing w:after="0" w:line="360" w:lineRule="auto"/>
              <w:contextualSpacing/>
              <w:jc w:val="right"/>
              <w:rPr>
                <w:rFonts w:ascii="Arial" w:eastAsia="Times New Roman" w:hAnsi="Arial" w:cs="Arial"/>
                <w:kern w:val="0"/>
                <w:lang/>
                <w14:ligatures w14:val="none"/>
              </w:rPr>
            </w:pPr>
            <w:r w:rsidRPr="00F30104">
              <w:rPr>
                <w:rFonts w:ascii="Arial" w:eastAsia="Times New Roman" w:hAnsi="Arial" w:cs="Arial"/>
                <w:kern w:val="0"/>
                <w:lang/>
                <w14:ligatures w14:val="none"/>
              </w:rPr>
              <w:t>104.59</w:t>
            </w:r>
          </w:p>
        </w:tc>
      </w:tr>
    </w:tbl>
    <w:p w14:paraId="6F876C48" w14:textId="77777777" w:rsidR="00F30104" w:rsidRPr="00F30104" w:rsidRDefault="00F30104" w:rsidP="00F30104">
      <w:pPr>
        <w:spacing w:after="0" w:line="360" w:lineRule="auto"/>
        <w:contextualSpacing/>
        <w:rPr>
          <w:rFonts w:ascii="Arial" w:hAnsi="Arial" w:cs="Arial"/>
          <w:lang w:val="en-GB"/>
        </w:rPr>
      </w:pPr>
    </w:p>
    <w:p w14:paraId="36CC3048" w14:textId="6D5E236E" w:rsidR="000877B1" w:rsidRPr="00F30104" w:rsidRDefault="000877B1" w:rsidP="00F30104">
      <w:pPr>
        <w:spacing w:after="0" w:line="360" w:lineRule="auto"/>
        <w:contextualSpacing/>
        <w:jc w:val="both"/>
        <w:rPr>
          <w:rFonts w:ascii="Arial" w:hAnsi="Arial" w:cs="Arial"/>
          <w:lang w:val="en-GB"/>
        </w:rPr>
      </w:pPr>
    </w:p>
    <w:p w14:paraId="6DE6937D" w14:textId="77777777" w:rsidR="009E4DDC" w:rsidRPr="00F30104" w:rsidRDefault="009E4DDC" w:rsidP="00F30104">
      <w:pPr>
        <w:spacing w:after="0" w:line="360" w:lineRule="auto"/>
        <w:contextualSpacing/>
        <w:jc w:val="both"/>
        <w:rPr>
          <w:rFonts w:ascii="Arial" w:hAnsi="Arial" w:cs="Arial"/>
          <w:lang w:val="en-GB"/>
        </w:rPr>
      </w:pPr>
    </w:p>
    <w:sectPr w:rsidR="009E4DDC" w:rsidRPr="00F30104" w:rsidSect="009E280A">
      <w:footerReference w:type="default" r:id="rId5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D75E4" w14:textId="77777777" w:rsidR="002E1961" w:rsidRDefault="002E1961" w:rsidP="009E280A">
      <w:pPr>
        <w:spacing w:after="0" w:line="240" w:lineRule="auto"/>
      </w:pPr>
      <w:r>
        <w:separator/>
      </w:r>
    </w:p>
  </w:endnote>
  <w:endnote w:type="continuationSeparator" w:id="0">
    <w:p w14:paraId="5FC8EC4A" w14:textId="77777777" w:rsidR="002E1961" w:rsidRDefault="002E1961" w:rsidP="009E28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AF41C" w14:textId="77777777" w:rsidR="009E280A" w:rsidRDefault="009E280A">
    <w:pPr>
      <w:pStyle w:val="Footer"/>
      <w:jc w:val="center"/>
      <w:rPr>
        <w:caps/>
        <w:color w:val="4472C4" w:themeColor="accent1"/>
      </w:rPr>
    </w:pPr>
  </w:p>
  <w:p w14:paraId="6B857B7B" w14:textId="5AC9F363" w:rsidR="009E280A" w:rsidRDefault="009E280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5FA7596" w14:textId="77777777" w:rsidR="009E280A" w:rsidRDefault="009E28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55893" w14:textId="77777777" w:rsidR="002E1961" w:rsidRDefault="002E1961" w:rsidP="009E280A">
      <w:pPr>
        <w:spacing w:after="0" w:line="240" w:lineRule="auto"/>
      </w:pPr>
      <w:r>
        <w:separator/>
      </w:r>
    </w:p>
  </w:footnote>
  <w:footnote w:type="continuationSeparator" w:id="0">
    <w:p w14:paraId="501E9FD7" w14:textId="77777777" w:rsidR="002E1961" w:rsidRDefault="002E1961" w:rsidP="009E28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81A34"/>
    <w:multiLevelType w:val="multilevel"/>
    <w:tmpl w:val="CAB66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794D90"/>
    <w:multiLevelType w:val="multilevel"/>
    <w:tmpl w:val="9F028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6C1517"/>
    <w:multiLevelType w:val="multilevel"/>
    <w:tmpl w:val="803E2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EE531D"/>
    <w:multiLevelType w:val="hybridMultilevel"/>
    <w:tmpl w:val="815E5C8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34247753"/>
    <w:multiLevelType w:val="multilevel"/>
    <w:tmpl w:val="D90E8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E77A70"/>
    <w:multiLevelType w:val="multilevel"/>
    <w:tmpl w:val="B7860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75B7F17"/>
    <w:multiLevelType w:val="multilevel"/>
    <w:tmpl w:val="B65A3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1D0129D"/>
    <w:multiLevelType w:val="multilevel"/>
    <w:tmpl w:val="93468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8325A28"/>
    <w:multiLevelType w:val="multilevel"/>
    <w:tmpl w:val="DD1E5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56467994">
    <w:abstractNumId w:val="0"/>
  </w:num>
  <w:num w:numId="2" w16cid:durableId="890850242">
    <w:abstractNumId w:val="2"/>
  </w:num>
  <w:num w:numId="3" w16cid:durableId="726073558">
    <w:abstractNumId w:val="1"/>
  </w:num>
  <w:num w:numId="4" w16cid:durableId="1841038467">
    <w:abstractNumId w:val="8"/>
  </w:num>
  <w:num w:numId="5" w16cid:durableId="1730684911">
    <w:abstractNumId w:val="5"/>
  </w:num>
  <w:num w:numId="6" w16cid:durableId="972172908">
    <w:abstractNumId w:val="3"/>
  </w:num>
  <w:num w:numId="7" w16cid:durableId="1575554796">
    <w:abstractNumId w:val="6"/>
  </w:num>
  <w:num w:numId="8" w16cid:durableId="112137507">
    <w:abstractNumId w:val="7"/>
  </w:num>
  <w:num w:numId="9" w16cid:durableId="16481243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142"/>
    <w:rsid w:val="000044AF"/>
    <w:rsid w:val="00013F7F"/>
    <w:rsid w:val="000166AB"/>
    <w:rsid w:val="0002069F"/>
    <w:rsid w:val="00042A94"/>
    <w:rsid w:val="0005034C"/>
    <w:rsid w:val="00050EB9"/>
    <w:rsid w:val="000570DF"/>
    <w:rsid w:val="00057F56"/>
    <w:rsid w:val="0006341A"/>
    <w:rsid w:val="0008132B"/>
    <w:rsid w:val="00087265"/>
    <w:rsid w:val="000877B1"/>
    <w:rsid w:val="00091AF8"/>
    <w:rsid w:val="000A3938"/>
    <w:rsid w:val="000A5328"/>
    <w:rsid w:val="000C0D27"/>
    <w:rsid w:val="000C58E6"/>
    <w:rsid w:val="000D17A1"/>
    <w:rsid w:val="000D1FD8"/>
    <w:rsid w:val="000D6C4E"/>
    <w:rsid w:val="000E5C0D"/>
    <w:rsid w:val="00100621"/>
    <w:rsid w:val="001159AA"/>
    <w:rsid w:val="001260C9"/>
    <w:rsid w:val="00132EFA"/>
    <w:rsid w:val="00133546"/>
    <w:rsid w:val="00134144"/>
    <w:rsid w:val="0014211A"/>
    <w:rsid w:val="001442F9"/>
    <w:rsid w:val="0015411C"/>
    <w:rsid w:val="00162402"/>
    <w:rsid w:val="00162EE1"/>
    <w:rsid w:val="00167E1B"/>
    <w:rsid w:val="00172036"/>
    <w:rsid w:val="001A0E65"/>
    <w:rsid w:val="001A28E0"/>
    <w:rsid w:val="001B53D2"/>
    <w:rsid w:val="001B5E50"/>
    <w:rsid w:val="001B61A4"/>
    <w:rsid w:val="001B6419"/>
    <w:rsid w:val="001D1B89"/>
    <w:rsid w:val="001E65A3"/>
    <w:rsid w:val="001F1C99"/>
    <w:rsid w:val="001F476B"/>
    <w:rsid w:val="001F4C5D"/>
    <w:rsid w:val="00210DA6"/>
    <w:rsid w:val="002203AC"/>
    <w:rsid w:val="00231FC5"/>
    <w:rsid w:val="00236ADD"/>
    <w:rsid w:val="00240CAB"/>
    <w:rsid w:val="00244E74"/>
    <w:rsid w:val="0026083A"/>
    <w:rsid w:val="00266206"/>
    <w:rsid w:val="002906D3"/>
    <w:rsid w:val="00291744"/>
    <w:rsid w:val="002949D4"/>
    <w:rsid w:val="002A46E7"/>
    <w:rsid w:val="002B1E77"/>
    <w:rsid w:val="002C190D"/>
    <w:rsid w:val="002C42F8"/>
    <w:rsid w:val="002D430A"/>
    <w:rsid w:val="002D4378"/>
    <w:rsid w:val="002D7AAD"/>
    <w:rsid w:val="002E1961"/>
    <w:rsid w:val="002E2CF5"/>
    <w:rsid w:val="002E4BCA"/>
    <w:rsid w:val="002E6AC2"/>
    <w:rsid w:val="002E7C45"/>
    <w:rsid w:val="002F0CE6"/>
    <w:rsid w:val="002F52C1"/>
    <w:rsid w:val="00310348"/>
    <w:rsid w:val="00310846"/>
    <w:rsid w:val="00312B51"/>
    <w:rsid w:val="003214B7"/>
    <w:rsid w:val="003308B4"/>
    <w:rsid w:val="00332643"/>
    <w:rsid w:val="00333F6D"/>
    <w:rsid w:val="0033649B"/>
    <w:rsid w:val="003510DB"/>
    <w:rsid w:val="00367B93"/>
    <w:rsid w:val="00370489"/>
    <w:rsid w:val="00371046"/>
    <w:rsid w:val="00391DFC"/>
    <w:rsid w:val="0039251B"/>
    <w:rsid w:val="00393DB6"/>
    <w:rsid w:val="003A1825"/>
    <w:rsid w:val="003A1F5D"/>
    <w:rsid w:val="003B459A"/>
    <w:rsid w:val="003B49B3"/>
    <w:rsid w:val="003C0B3A"/>
    <w:rsid w:val="003C36F9"/>
    <w:rsid w:val="003C3BD8"/>
    <w:rsid w:val="003D0626"/>
    <w:rsid w:val="003D1604"/>
    <w:rsid w:val="003D2521"/>
    <w:rsid w:val="003D534A"/>
    <w:rsid w:val="003F32B1"/>
    <w:rsid w:val="003F3649"/>
    <w:rsid w:val="003F45D0"/>
    <w:rsid w:val="00407795"/>
    <w:rsid w:val="004121B8"/>
    <w:rsid w:val="00416E03"/>
    <w:rsid w:val="004376EC"/>
    <w:rsid w:val="00463190"/>
    <w:rsid w:val="004739AC"/>
    <w:rsid w:val="00473C1F"/>
    <w:rsid w:val="00476130"/>
    <w:rsid w:val="00480ADC"/>
    <w:rsid w:val="00484961"/>
    <w:rsid w:val="004867EC"/>
    <w:rsid w:val="00497838"/>
    <w:rsid w:val="004B53A8"/>
    <w:rsid w:val="004C5814"/>
    <w:rsid w:val="004C7C49"/>
    <w:rsid w:val="004D51A3"/>
    <w:rsid w:val="004F2ECF"/>
    <w:rsid w:val="0050179F"/>
    <w:rsid w:val="00504AC1"/>
    <w:rsid w:val="00510663"/>
    <w:rsid w:val="00513E63"/>
    <w:rsid w:val="00514FBF"/>
    <w:rsid w:val="00516156"/>
    <w:rsid w:val="005204AF"/>
    <w:rsid w:val="00520B30"/>
    <w:rsid w:val="0052307B"/>
    <w:rsid w:val="00531A14"/>
    <w:rsid w:val="005528B3"/>
    <w:rsid w:val="00563333"/>
    <w:rsid w:val="00575982"/>
    <w:rsid w:val="005760DC"/>
    <w:rsid w:val="005820B4"/>
    <w:rsid w:val="005A1984"/>
    <w:rsid w:val="005A1CE4"/>
    <w:rsid w:val="005A257F"/>
    <w:rsid w:val="005A2846"/>
    <w:rsid w:val="005A43E7"/>
    <w:rsid w:val="005A5F7C"/>
    <w:rsid w:val="005A7B31"/>
    <w:rsid w:val="005B4104"/>
    <w:rsid w:val="005D5142"/>
    <w:rsid w:val="005D6649"/>
    <w:rsid w:val="0060429F"/>
    <w:rsid w:val="00614507"/>
    <w:rsid w:val="00623171"/>
    <w:rsid w:val="00626F0C"/>
    <w:rsid w:val="00630684"/>
    <w:rsid w:val="00636904"/>
    <w:rsid w:val="006460CD"/>
    <w:rsid w:val="0068064E"/>
    <w:rsid w:val="00681ABC"/>
    <w:rsid w:val="00691D7B"/>
    <w:rsid w:val="006A1E2D"/>
    <w:rsid w:val="006A1F47"/>
    <w:rsid w:val="006B1721"/>
    <w:rsid w:val="006B281D"/>
    <w:rsid w:val="006C05CB"/>
    <w:rsid w:val="006D1F22"/>
    <w:rsid w:val="006D47AF"/>
    <w:rsid w:val="006E2872"/>
    <w:rsid w:val="006E5808"/>
    <w:rsid w:val="006E64F0"/>
    <w:rsid w:val="006F4A3D"/>
    <w:rsid w:val="006F7738"/>
    <w:rsid w:val="007033CF"/>
    <w:rsid w:val="007050F0"/>
    <w:rsid w:val="007076E9"/>
    <w:rsid w:val="007430C1"/>
    <w:rsid w:val="00750E0F"/>
    <w:rsid w:val="007528B2"/>
    <w:rsid w:val="0075464B"/>
    <w:rsid w:val="00755114"/>
    <w:rsid w:val="00755236"/>
    <w:rsid w:val="00771D6B"/>
    <w:rsid w:val="007741F4"/>
    <w:rsid w:val="00784A5B"/>
    <w:rsid w:val="00795B26"/>
    <w:rsid w:val="00796018"/>
    <w:rsid w:val="007B1198"/>
    <w:rsid w:val="007C0398"/>
    <w:rsid w:val="007C078C"/>
    <w:rsid w:val="007C1CE7"/>
    <w:rsid w:val="007C4660"/>
    <w:rsid w:val="007C762A"/>
    <w:rsid w:val="007D1277"/>
    <w:rsid w:val="007E2894"/>
    <w:rsid w:val="007F46A3"/>
    <w:rsid w:val="00800592"/>
    <w:rsid w:val="00802753"/>
    <w:rsid w:val="00805A20"/>
    <w:rsid w:val="00810330"/>
    <w:rsid w:val="00816806"/>
    <w:rsid w:val="008208F2"/>
    <w:rsid w:val="00823D9A"/>
    <w:rsid w:val="00827710"/>
    <w:rsid w:val="0084052F"/>
    <w:rsid w:val="00856E77"/>
    <w:rsid w:val="00862A55"/>
    <w:rsid w:val="00864610"/>
    <w:rsid w:val="008677DB"/>
    <w:rsid w:val="00875F5C"/>
    <w:rsid w:val="00876B79"/>
    <w:rsid w:val="00887F08"/>
    <w:rsid w:val="008922D9"/>
    <w:rsid w:val="008A66D6"/>
    <w:rsid w:val="008C0A25"/>
    <w:rsid w:val="008C5F21"/>
    <w:rsid w:val="008D1918"/>
    <w:rsid w:val="008F45A8"/>
    <w:rsid w:val="00902B8C"/>
    <w:rsid w:val="00906EB1"/>
    <w:rsid w:val="00913B39"/>
    <w:rsid w:val="009376B5"/>
    <w:rsid w:val="009559B4"/>
    <w:rsid w:val="00955F59"/>
    <w:rsid w:val="00961457"/>
    <w:rsid w:val="00970284"/>
    <w:rsid w:val="0097673E"/>
    <w:rsid w:val="00980F17"/>
    <w:rsid w:val="00982B44"/>
    <w:rsid w:val="009A0D2C"/>
    <w:rsid w:val="009C79F0"/>
    <w:rsid w:val="009C7DB3"/>
    <w:rsid w:val="009D57EF"/>
    <w:rsid w:val="009E0A35"/>
    <w:rsid w:val="009E280A"/>
    <w:rsid w:val="009E439A"/>
    <w:rsid w:val="009E48AA"/>
    <w:rsid w:val="009E4DDC"/>
    <w:rsid w:val="009E7F3C"/>
    <w:rsid w:val="009F10A5"/>
    <w:rsid w:val="00A02DA1"/>
    <w:rsid w:val="00A042BA"/>
    <w:rsid w:val="00A263F5"/>
    <w:rsid w:val="00A41AE9"/>
    <w:rsid w:val="00A4534A"/>
    <w:rsid w:val="00A51B64"/>
    <w:rsid w:val="00A53F8E"/>
    <w:rsid w:val="00A56808"/>
    <w:rsid w:val="00A57CA3"/>
    <w:rsid w:val="00A73FA3"/>
    <w:rsid w:val="00A7424A"/>
    <w:rsid w:val="00A97632"/>
    <w:rsid w:val="00AC3112"/>
    <w:rsid w:val="00AC3C56"/>
    <w:rsid w:val="00AC42E1"/>
    <w:rsid w:val="00AD0005"/>
    <w:rsid w:val="00AD5306"/>
    <w:rsid w:val="00AF0E94"/>
    <w:rsid w:val="00AF61FE"/>
    <w:rsid w:val="00B00C93"/>
    <w:rsid w:val="00B0542A"/>
    <w:rsid w:val="00B178A6"/>
    <w:rsid w:val="00B20657"/>
    <w:rsid w:val="00B239D3"/>
    <w:rsid w:val="00B254F2"/>
    <w:rsid w:val="00B33DAF"/>
    <w:rsid w:val="00B45CE4"/>
    <w:rsid w:val="00B70387"/>
    <w:rsid w:val="00B71F20"/>
    <w:rsid w:val="00B82112"/>
    <w:rsid w:val="00B87C91"/>
    <w:rsid w:val="00B96178"/>
    <w:rsid w:val="00BC094F"/>
    <w:rsid w:val="00BC3F00"/>
    <w:rsid w:val="00BD01EC"/>
    <w:rsid w:val="00BD028F"/>
    <w:rsid w:val="00BE2E06"/>
    <w:rsid w:val="00BE61F8"/>
    <w:rsid w:val="00BE63BF"/>
    <w:rsid w:val="00BE777F"/>
    <w:rsid w:val="00BF12B6"/>
    <w:rsid w:val="00BF3028"/>
    <w:rsid w:val="00C01D50"/>
    <w:rsid w:val="00C16BC5"/>
    <w:rsid w:val="00C34321"/>
    <w:rsid w:val="00C36523"/>
    <w:rsid w:val="00C42FFB"/>
    <w:rsid w:val="00C61BBB"/>
    <w:rsid w:val="00C6711A"/>
    <w:rsid w:val="00C73D13"/>
    <w:rsid w:val="00C7537E"/>
    <w:rsid w:val="00C756A4"/>
    <w:rsid w:val="00C87ED5"/>
    <w:rsid w:val="00C95615"/>
    <w:rsid w:val="00C96CDB"/>
    <w:rsid w:val="00C96DA9"/>
    <w:rsid w:val="00CB45DE"/>
    <w:rsid w:val="00CB6303"/>
    <w:rsid w:val="00CC0156"/>
    <w:rsid w:val="00CC1BC3"/>
    <w:rsid w:val="00CE62E6"/>
    <w:rsid w:val="00CF2DF9"/>
    <w:rsid w:val="00D0017A"/>
    <w:rsid w:val="00D04EFD"/>
    <w:rsid w:val="00D05993"/>
    <w:rsid w:val="00D102B5"/>
    <w:rsid w:val="00D12268"/>
    <w:rsid w:val="00D13C7A"/>
    <w:rsid w:val="00D14F42"/>
    <w:rsid w:val="00D21FDA"/>
    <w:rsid w:val="00D3291A"/>
    <w:rsid w:val="00D33473"/>
    <w:rsid w:val="00D3784F"/>
    <w:rsid w:val="00D45AE8"/>
    <w:rsid w:val="00D462CE"/>
    <w:rsid w:val="00D5030E"/>
    <w:rsid w:val="00D575C6"/>
    <w:rsid w:val="00D62637"/>
    <w:rsid w:val="00D65A58"/>
    <w:rsid w:val="00D7428A"/>
    <w:rsid w:val="00D756B8"/>
    <w:rsid w:val="00D765BB"/>
    <w:rsid w:val="00D77EA5"/>
    <w:rsid w:val="00D81073"/>
    <w:rsid w:val="00D81871"/>
    <w:rsid w:val="00D828BA"/>
    <w:rsid w:val="00D8492B"/>
    <w:rsid w:val="00DC494E"/>
    <w:rsid w:val="00DE3E94"/>
    <w:rsid w:val="00DE5A04"/>
    <w:rsid w:val="00DF1991"/>
    <w:rsid w:val="00DF29A9"/>
    <w:rsid w:val="00DF3357"/>
    <w:rsid w:val="00DF583A"/>
    <w:rsid w:val="00E02400"/>
    <w:rsid w:val="00E124B4"/>
    <w:rsid w:val="00E1452D"/>
    <w:rsid w:val="00E269B4"/>
    <w:rsid w:val="00E26CFF"/>
    <w:rsid w:val="00E309DA"/>
    <w:rsid w:val="00E41643"/>
    <w:rsid w:val="00E5060C"/>
    <w:rsid w:val="00E634B3"/>
    <w:rsid w:val="00E7305A"/>
    <w:rsid w:val="00E87A48"/>
    <w:rsid w:val="00EB43E4"/>
    <w:rsid w:val="00EB55F7"/>
    <w:rsid w:val="00EB576B"/>
    <w:rsid w:val="00EC09B8"/>
    <w:rsid w:val="00ED108A"/>
    <w:rsid w:val="00EF0711"/>
    <w:rsid w:val="00EF13A2"/>
    <w:rsid w:val="00EF2A45"/>
    <w:rsid w:val="00EF334D"/>
    <w:rsid w:val="00EF4AC7"/>
    <w:rsid w:val="00EF621A"/>
    <w:rsid w:val="00F02FDF"/>
    <w:rsid w:val="00F05839"/>
    <w:rsid w:val="00F26A39"/>
    <w:rsid w:val="00F30104"/>
    <w:rsid w:val="00F31F7B"/>
    <w:rsid w:val="00F54F6D"/>
    <w:rsid w:val="00F57F35"/>
    <w:rsid w:val="00F619A0"/>
    <w:rsid w:val="00F64CFC"/>
    <w:rsid w:val="00F75113"/>
    <w:rsid w:val="00F965BB"/>
    <w:rsid w:val="00F97EC9"/>
    <w:rsid w:val="00FA1C06"/>
    <w:rsid w:val="00FB12D2"/>
    <w:rsid w:val="00FB7764"/>
    <w:rsid w:val="00FC1D44"/>
    <w:rsid w:val="00FE57B4"/>
    <w:rsid w:val="00FE6987"/>
    <w:rsid w:val="00FF5D0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CD332"/>
  <w15:chartTrackingRefBased/>
  <w15:docId w15:val="{DDE2381C-EB47-41E5-A97E-FE60142FD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C56"/>
    <w:pPr>
      <w:keepNext/>
      <w:keepLines/>
      <w:spacing w:after="0" w:line="360" w:lineRule="auto"/>
      <w:contextualSpacing/>
      <w:outlineLvl w:val="0"/>
    </w:pPr>
    <w:rPr>
      <w:rFonts w:ascii="Arial" w:eastAsiaTheme="majorEastAsia" w:hAnsi="Arial" w:cs="Arial"/>
      <w:b/>
      <w:bCs/>
      <w:lang w:val="en-GB"/>
    </w:rPr>
  </w:style>
  <w:style w:type="paragraph" w:styleId="Heading2">
    <w:name w:val="heading 2"/>
    <w:basedOn w:val="Heading1"/>
    <w:next w:val="Normal"/>
    <w:link w:val="Heading2Char"/>
    <w:uiPriority w:val="9"/>
    <w:unhideWhenUsed/>
    <w:qFormat/>
    <w:rsid w:val="009C79F0"/>
    <w:pPr>
      <w:jc w:val="both"/>
      <w:outlineLvl w:val="1"/>
    </w:pPr>
  </w:style>
  <w:style w:type="paragraph" w:styleId="Heading3">
    <w:name w:val="heading 3"/>
    <w:basedOn w:val="Normal"/>
    <w:next w:val="Normal"/>
    <w:link w:val="Heading3Char"/>
    <w:uiPriority w:val="9"/>
    <w:unhideWhenUsed/>
    <w:qFormat/>
    <w:rsid w:val="006369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31FC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5AE8"/>
    <w:rPr>
      <w:color w:val="0563C1" w:themeColor="hyperlink"/>
      <w:u w:val="single"/>
    </w:rPr>
  </w:style>
  <w:style w:type="character" w:styleId="UnresolvedMention">
    <w:name w:val="Unresolved Mention"/>
    <w:basedOn w:val="DefaultParagraphFont"/>
    <w:uiPriority w:val="99"/>
    <w:semiHidden/>
    <w:unhideWhenUsed/>
    <w:rsid w:val="00D45AE8"/>
    <w:rPr>
      <w:color w:val="605E5C"/>
      <w:shd w:val="clear" w:color="auto" w:fill="E1DFDD"/>
    </w:rPr>
  </w:style>
  <w:style w:type="table" w:styleId="TableGrid">
    <w:name w:val="Table Grid"/>
    <w:basedOn w:val="TableNormal"/>
    <w:uiPriority w:val="39"/>
    <w:rsid w:val="00AD53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E28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80A"/>
  </w:style>
  <w:style w:type="paragraph" w:styleId="Footer">
    <w:name w:val="footer"/>
    <w:basedOn w:val="Normal"/>
    <w:link w:val="FooterChar"/>
    <w:uiPriority w:val="99"/>
    <w:unhideWhenUsed/>
    <w:rsid w:val="009E28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80A"/>
  </w:style>
  <w:style w:type="paragraph" w:styleId="ListParagraph">
    <w:name w:val="List Paragraph"/>
    <w:basedOn w:val="Normal"/>
    <w:uiPriority w:val="34"/>
    <w:qFormat/>
    <w:rsid w:val="002F0CE6"/>
    <w:pPr>
      <w:ind w:left="720"/>
      <w:contextualSpacing/>
    </w:pPr>
  </w:style>
  <w:style w:type="character" w:customStyle="1" w:styleId="Heading1Char">
    <w:name w:val="Heading 1 Char"/>
    <w:basedOn w:val="DefaultParagraphFont"/>
    <w:link w:val="Heading1"/>
    <w:uiPriority w:val="9"/>
    <w:rsid w:val="00AC3C56"/>
    <w:rPr>
      <w:rFonts w:ascii="Arial" w:eastAsiaTheme="majorEastAsia" w:hAnsi="Arial" w:cs="Arial"/>
      <w:b/>
      <w:bCs/>
      <w:lang w:val="en-GB"/>
    </w:rPr>
  </w:style>
  <w:style w:type="paragraph" w:styleId="TOCHeading">
    <w:name w:val="TOC Heading"/>
    <w:basedOn w:val="Heading1"/>
    <w:next w:val="Normal"/>
    <w:uiPriority w:val="39"/>
    <w:unhideWhenUsed/>
    <w:qFormat/>
    <w:rsid w:val="005204AF"/>
    <w:pPr>
      <w:outlineLvl w:val="9"/>
    </w:pPr>
    <w:rPr>
      <w:kern w:val="0"/>
      <w:lang w:val="en-US"/>
      <w14:ligatures w14:val="none"/>
    </w:rPr>
  </w:style>
  <w:style w:type="paragraph" w:styleId="TOC1">
    <w:name w:val="toc 1"/>
    <w:basedOn w:val="Normal"/>
    <w:next w:val="Normal"/>
    <w:autoRedefine/>
    <w:uiPriority w:val="39"/>
    <w:unhideWhenUsed/>
    <w:rsid w:val="005204AF"/>
    <w:pPr>
      <w:spacing w:after="100"/>
    </w:pPr>
  </w:style>
  <w:style w:type="character" w:customStyle="1" w:styleId="Heading2Char">
    <w:name w:val="Heading 2 Char"/>
    <w:basedOn w:val="DefaultParagraphFont"/>
    <w:link w:val="Heading2"/>
    <w:uiPriority w:val="9"/>
    <w:rsid w:val="009C79F0"/>
    <w:rPr>
      <w:rFonts w:ascii="Arial" w:eastAsiaTheme="majorEastAsia" w:hAnsi="Arial" w:cs="Arial"/>
      <w:b/>
      <w:bCs/>
      <w:lang w:val="en-GB"/>
    </w:rPr>
  </w:style>
  <w:style w:type="character" w:customStyle="1" w:styleId="Heading4Char">
    <w:name w:val="Heading 4 Char"/>
    <w:basedOn w:val="DefaultParagraphFont"/>
    <w:link w:val="Heading4"/>
    <w:uiPriority w:val="9"/>
    <w:semiHidden/>
    <w:rsid w:val="00231FC5"/>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636904"/>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D13C7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8678">
      <w:bodyDiv w:val="1"/>
      <w:marLeft w:val="0"/>
      <w:marRight w:val="0"/>
      <w:marTop w:val="0"/>
      <w:marBottom w:val="0"/>
      <w:divBdr>
        <w:top w:val="none" w:sz="0" w:space="0" w:color="auto"/>
        <w:left w:val="none" w:sz="0" w:space="0" w:color="auto"/>
        <w:bottom w:val="none" w:sz="0" w:space="0" w:color="auto"/>
        <w:right w:val="none" w:sz="0" w:space="0" w:color="auto"/>
      </w:divBdr>
    </w:div>
    <w:div w:id="12195179">
      <w:bodyDiv w:val="1"/>
      <w:marLeft w:val="0"/>
      <w:marRight w:val="0"/>
      <w:marTop w:val="0"/>
      <w:marBottom w:val="0"/>
      <w:divBdr>
        <w:top w:val="none" w:sz="0" w:space="0" w:color="auto"/>
        <w:left w:val="none" w:sz="0" w:space="0" w:color="auto"/>
        <w:bottom w:val="none" w:sz="0" w:space="0" w:color="auto"/>
        <w:right w:val="none" w:sz="0" w:space="0" w:color="auto"/>
      </w:divBdr>
    </w:div>
    <w:div w:id="24644485">
      <w:bodyDiv w:val="1"/>
      <w:marLeft w:val="0"/>
      <w:marRight w:val="0"/>
      <w:marTop w:val="0"/>
      <w:marBottom w:val="0"/>
      <w:divBdr>
        <w:top w:val="none" w:sz="0" w:space="0" w:color="auto"/>
        <w:left w:val="none" w:sz="0" w:space="0" w:color="auto"/>
        <w:bottom w:val="none" w:sz="0" w:space="0" w:color="auto"/>
        <w:right w:val="none" w:sz="0" w:space="0" w:color="auto"/>
      </w:divBdr>
    </w:div>
    <w:div w:id="95446593">
      <w:bodyDiv w:val="1"/>
      <w:marLeft w:val="0"/>
      <w:marRight w:val="0"/>
      <w:marTop w:val="0"/>
      <w:marBottom w:val="0"/>
      <w:divBdr>
        <w:top w:val="none" w:sz="0" w:space="0" w:color="auto"/>
        <w:left w:val="none" w:sz="0" w:space="0" w:color="auto"/>
        <w:bottom w:val="none" w:sz="0" w:space="0" w:color="auto"/>
        <w:right w:val="none" w:sz="0" w:space="0" w:color="auto"/>
      </w:divBdr>
    </w:div>
    <w:div w:id="146092240">
      <w:bodyDiv w:val="1"/>
      <w:marLeft w:val="0"/>
      <w:marRight w:val="0"/>
      <w:marTop w:val="0"/>
      <w:marBottom w:val="0"/>
      <w:divBdr>
        <w:top w:val="none" w:sz="0" w:space="0" w:color="auto"/>
        <w:left w:val="none" w:sz="0" w:space="0" w:color="auto"/>
        <w:bottom w:val="none" w:sz="0" w:space="0" w:color="auto"/>
        <w:right w:val="none" w:sz="0" w:space="0" w:color="auto"/>
      </w:divBdr>
    </w:div>
    <w:div w:id="153767546">
      <w:bodyDiv w:val="1"/>
      <w:marLeft w:val="0"/>
      <w:marRight w:val="0"/>
      <w:marTop w:val="0"/>
      <w:marBottom w:val="0"/>
      <w:divBdr>
        <w:top w:val="none" w:sz="0" w:space="0" w:color="auto"/>
        <w:left w:val="none" w:sz="0" w:space="0" w:color="auto"/>
        <w:bottom w:val="none" w:sz="0" w:space="0" w:color="auto"/>
        <w:right w:val="none" w:sz="0" w:space="0" w:color="auto"/>
      </w:divBdr>
    </w:div>
    <w:div w:id="189220750">
      <w:bodyDiv w:val="1"/>
      <w:marLeft w:val="0"/>
      <w:marRight w:val="0"/>
      <w:marTop w:val="0"/>
      <w:marBottom w:val="0"/>
      <w:divBdr>
        <w:top w:val="none" w:sz="0" w:space="0" w:color="auto"/>
        <w:left w:val="none" w:sz="0" w:space="0" w:color="auto"/>
        <w:bottom w:val="none" w:sz="0" w:space="0" w:color="auto"/>
        <w:right w:val="none" w:sz="0" w:space="0" w:color="auto"/>
      </w:divBdr>
    </w:div>
    <w:div w:id="288511991">
      <w:bodyDiv w:val="1"/>
      <w:marLeft w:val="0"/>
      <w:marRight w:val="0"/>
      <w:marTop w:val="0"/>
      <w:marBottom w:val="0"/>
      <w:divBdr>
        <w:top w:val="none" w:sz="0" w:space="0" w:color="auto"/>
        <w:left w:val="none" w:sz="0" w:space="0" w:color="auto"/>
        <w:bottom w:val="none" w:sz="0" w:space="0" w:color="auto"/>
        <w:right w:val="none" w:sz="0" w:space="0" w:color="auto"/>
      </w:divBdr>
    </w:div>
    <w:div w:id="293171168">
      <w:bodyDiv w:val="1"/>
      <w:marLeft w:val="0"/>
      <w:marRight w:val="0"/>
      <w:marTop w:val="0"/>
      <w:marBottom w:val="0"/>
      <w:divBdr>
        <w:top w:val="none" w:sz="0" w:space="0" w:color="auto"/>
        <w:left w:val="none" w:sz="0" w:space="0" w:color="auto"/>
        <w:bottom w:val="none" w:sz="0" w:space="0" w:color="auto"/>
        <w:right w:val="none" w:sz="0" w:space="0" w:color="auto"/>
      </w:divBdr>
    </w:div>
    <w:div w:id="457996551">
      <w:bodyDiv w:val="1"/>
      <w:marLeft w:val="0"/>
      <w:marRight w:val="0"/>
      <w:marTop w:val="0"/>
      <w:marBottom w:val="0"/>
      <w:divBdr>
        <w:top w:val="none" w:sz="0" w:space="0" w:color="auto"/>
        <w:left w:val="none" w:sz="0" w:space="0" w:color="auto"/>
        <w:bottom w:val="none" w:sz="0" w:space="0" w:color="auto"/>
        <w:right w:val="none" w:sz="0" w:space="0" w:color="auto"/>
      </w:divBdr>
    </w:div>
    <w:div w:id="526722936">
      <w:bodyDiv w:val="1"/>
      <w:marLeft w:val="0"/>
      <w:marRight w:val="0"/>
      <w:marTop w:val="0"/>
      <w:marBottom w:val="0"/>
      <w:divBdr>
        <w:top w:val="none" w:sz="0" w:space="0" w:color="auto"/>
        <w:left w:val="none" w:sz="0" w:space="0" w:color="auto"/>
        <w:bottom w:val="none" w:sz="0" w:space="0" w:color="auto"/>
        <w:right w:val="none" w:sz="0" w:space="0" w:color="auto"/>
      </w:divBdr>
    </w:div>
    <w:div w:id="683441958">
      <w:bodyDiv w:val="1"/>
      <w:marLeft w:val="0"/>
      <w:marRight w:val="0"/>
      <w:marTop w:val="0"/>
      <w:marBottom w:val="0"/>
      <w:divBdr>
        <w:top w:val="none" w:sz="0" w:space="0" w:color="auto"/>
        <w:left w:val="none" w:sz="0" w:space="0" w:color="auto"/>
        <w:bottom w:val="none" w:sz="0" w:space="0" w:color="auto"/>
        <w:right w:val="none" w:sz="0" w:space="0" w:color="auto"/>
      </w:divBdr>
    </w:div>
    <w:div w:id="684405464">
      <w:bodyDiv w:val="1"/>
      <w:marLeft w:val="0"/>
      <w:marRight w:val="0"/>
      <w:marTop w:val="0"/>
      <w:marBottom w:val="0"/>
      <w:divBdr>
        <w:top w:val="none" w:sz="0" w:space="0" w:color="auto"/>
        <w:left w:val="none" w:sz="0" w:space="0" w:color="auto"/>
        <w:bottom w:val="none" w:sz="0" w:space="0" w:color="auto"/>
        <w:right w:val="none" w:sz="0" w:space="0" w:color="auto"/>
      </w:divBdr>
    </w:div>
    <w:div w:id="705448731">
      <w:bodyDiv w:val="1"/>
      <w:marLeft w:val="0"/>
      <w:marRight w:val="0"/>
      <w:marTop w:val="0"/>
      <w:marBottom w:val="0"/>
      <w:divBdr>
        <w:top w:val="none" w:sz="0" w:space="0" w:color="auto"/>
        <w:left w:val="none" w:sz="0" w:space="0" w:color="auto"/>
        <w:bottom w:val="none" w:sz="0" w:space="0" w:color="auto"/>
        <w:right w:val="none" w:sz="0" w:space="0" w:color="auto"/>
      </w:divBdr>
    </w:div>
    <w:div w:id="736125099">
      <w:bodyDiv w:val="1"/>
      <w:marLeft w:val="0"/>
      <w:marRight w:val="0"/>
      <w:marTop w:val="0"/>
      <w:marBottom w:val="0"/>
      <w:divBdr>
        <w:top w:val="none" w:sz="0" w:space="0" w:color="auto"/>
        <w:left w:val="none" w:sz="0" w:space="0" w:color="auto"/>
        <w:bottom w:val="none" w:sz="0" w:space="0" w:color="auto"/>
        <w:right w:val="none" w:sz="0" w:space="0" w:color="auto"/>
      </w:divBdr>
    </w:div>
    <w:div w:id="796334832">
      <w:bodyDiv w:val="1"/>
      <w:marLeft w:val="0"/>
      <w:marRight w:val="0"/>
      <w:marTop w:val="0"/>
      <w:marBottom w:val="0"/>
      <w:divBdr>
        <w:top w:val="none" w:sz="0" w:space="0" w:color="auto"/>
        <w:left w:val="none" w:sz="0" w:space="0" w:color="auto"/>
        <w:bottom w:val="none" w:sz="0" w:space="0" w:color="auto"/>
        <w:right w:val="none" w:sz="0" w:space="0" w:color="auto"/>
      </w:divBdr>
    </w:div>
    <w:div w:id="840047226">
      <w:bodyDiv w:val="1"/>
      <w:marLeft w:val="0"/>
      <w:marRight w:val="0"/>
      <w:marTop w:val="0"/>
      <w:marBottom w:val="0"/>
      <w:divBdr>
        <w:top w:val="none" w:sz="0" w:space="0" w:color="auto"/>
        <w:left w:val="none" w:sz="0" w:space="0" w:color="auto"/>
        <w:bottom w:val="none" w:sz="0" w:space="0" w:color="auto"/>
        <w:right w:val="none" w:sz="0" w:space="0" w:color="auto"/>
      </w:divBdr>
    </w:div>
    <w:div w:id="855267637">
      <w:bodyDiv w:val="1"/>
      <w:marLeft w:val="0"/>
      <w:marRight w:val="0"/>
      <w:marTop w:val="0"/>
      <w:marBottom w:val="0"/>
      <w:divBdr>
        <w:top w:val="none" w:sz="0" w:space="0" w:color="auto"/>
        <w:left w:val="none" w:sz="0" w:space="0" w:color="auto"/>
        <w:bottom w:val="none" w:sz="0" w:space="0" w:color="auto"/>
        <w:right w:val="none" w:sz="0" w:space="0" w:color="auto"/>
      </w:divBdr>
    </w:div>
    <w:div w:id="888146862">
      <w:bodyDiv w:val="1"/>
      <w:marLeft w:val="0"/>
      <w:marRight w:val="0"/>
      <w:marTop w:val="0"/>
      <w:marBottom w:val="0"/>
      <w:divBdr>
        <w:top w:val="none" w:sz="0" w:space="0" w:color="auto"/>
        <w:left w:val="none" w:sz="0" w:space="0" w:color="auto"/>
        <w:bottom w:val="none" w:sz="0" w:space="0" w:color="auto"/>
        <w:right w:val="none" w:sz="0" w:space="0" w:color="auto"/>
      </w:divBdr>
    </w:div>
    <w:div w:id="901673875">
      <w:bodyDiv w:val="1"/>
      <w:marLeft w:val="0"/>
      <w:marRight w:val="0"/>
      <w:marTop w:val="0"/>
      <w:marBottom w:val="0"/>
      <w:divBdr>
        <w:top w:val="none" w:sz="0" w:space="0" w:color="auto"/>
        <w:left w:val="none" w:sz="0" w:space="0" w:color="auto"/>
        <w:bottom w:val="none" w:sz="0" w:space="0" w:color="auto"/>
        <w:right w:val="none" w:sz="0" w:space="0" w:color="auto"/>
      </w:divBdr>
    </w:div>
    <w:div w:id="932588541">
      <w:bodyDiv w:val="1"/>
      <w:marLeft w:val="0"/>
      <w:marRight w:val="0"/>
      <w:marTop w:val="0"/>
      <w:marBottom w:val="0"/>
      <w:divBdr>
        <w:top w:val="none" w:sz="0" w:space="0" w:color="auto"/>
        <w:left w:val="none" w:sz="0" w:space="0" w:color="auto"/>
        <w:bottom w:val="none" w:sz="0" w:space="0" w:color="auto"/>
        <w:right w:val="none" w:sz="0" w:space="0" w:color="auto"/>
      </w:divBdr>
    </w:div>
    <w:div w:id="1199584632">
      <w:bodyDiv w:val="1"/>
      <w:marLeft w:val="0"/>
      <w:marRight w:val="0"/>
      <w:marTop w:val="0"/>
      <w:marBottom w:val="0"/>
      <w:divBdr>
        <w:top w:val="none" w:sz="0" w:space="0" w:color="auto"/>
        <w:left w:val="none" w:sz="0" w:space="0" w:color="auto"/>
        <w:bottom w:val="none" w:sz="0" w:space="0" w:color="auto"/>
        <w:right w:val="none" w:sz="0" w:space="0" w:color="auto"/>
      </w:divBdr>
    </w:div>
    <w:div w:id="1267352125">
      <w:bodyDiv w:val="1"/>
      <w:marLeft w:val="0"/>
      <w:marRight w:val="0"/>
      <w:marTop w:val="0"/>
      <w:marBottom w:val="0"/>
      <w:divBdr>
        <w:top w:val="none" w:sz="0" w:space="0" w:color="auto"/>
        <w:left w:val="none" w:sz="0" w:space="0" w:color="auto"/>
        <w:bottom w:val="none" w:sz="0" w:space="0" w:color="auto"/>
        <w:right w:val="none" w:sz="0" w:space="0" w:color="auto"/>
      </w:divBdr>
    </w:div>
    <w:div w:id="1352954772">
      <w:bodyDiv w:val="1"/>
      <w:marLeft w:val="0"/>
      <w:marRight w:val="0"/>
      <w:marTop w:val="0"/>
      <w:marBottom w:val="0"/>
      <w:divBdr>
        <w:top w:val="none" w:sz="0" w:space="0" w:color="auto"/>
        <w:left w:val="none" w:sz="0" w:space="0" w:color="auto"/>
        <w:bottom w:val="none" w:sz="0" w:space="0" w:color="auto"/>
        <w:right w:val="none" w:sz="0" w:space="0" w:color="auto"/>
      </w:divBdr>
    </w:div>
    <w:div w:id="1433623862">
      <w:bodyDiv w:val="1"/>
      <w:marLeft w:val="0"/>
      <w:marRight w:val="0"/>
      <w:marTop w:val="0"/>
      <w:marBottom w:val="0"/>
      <w:divBdr>
        <w:top w:val="none" w:sz="0" w:space="0" w:color="auto"/>
        <w:left w:val="none" w:sz="0" w:space="0" w:color="auto"/>
        <w:bottom w:val="none" w:sz="0" w:space="0" w:color="auto"/>
        <w:right w:val="none" w:sz="0" w:space="0" w:color="auto"/>
      </w:divBdr>
    </w:div>
    <w:div w:id="1446998444">
      <w:bodyDiv w:val="1"/>
      <w:marLeft w:val="0"/>
      <w:marRight w:val="0"/>
      <w:marTop w:val="0"/>
      <w:marBottom w:val="0"/>
      <w:divBdr>
        <w:top w:val="none" w:sz="0" w:space="0" w:color="auto"/>
        <w:left w:val="none" w:sz="0" w:space="0" w:color="auto"/>
        <w:bottom w:val="none" w:sz="0" w:space="0" w:color="auto"/>
        <w:right w:val="none" w:sz="0" w:space="0" w:color="auto"/>
      </w:divBdr>
    </w:div>
    <w:div w:id="1545363612">
      <w:bodyDiv w:val="1"/>
      <w:marLeft w:val="0"/>
      <w:marRight w:val="0"/>
      <w:marTop w:val="0"/>
      <w:marBottom w:val="0"/>
      <w:divBdr>
        <w:top w:val="none" w:sz="0" w:space="0" w:color="auto"/>
        <w:left w:val="none" w:sz="0" w:space="0" w:color="auto"/>
        <w:bottom w:val="none" w:sz="0" w:space="0" w:color="auto"/>
        <w:right w:val="none" w:sz="0" w:space="0" w:color="auto"/>
      </w:divBdr>
    </w:div>
    <w:div w:id="1936786819">
      <w:bodyDiv w:val="1"/>
      <w:marLeft w:val="0"/>
      <w:marRight w:val="0"/>
      <w:marTop w:val="0"/>
      <w:marBottom w:val="0"/>
      <w:divBdr>
        <w:top w:val="none" w:sz="0" w:space="0" w:color="auto"/>
        <w:left w:val="none" w:sz="0" w:space="0" w:color="auto"/>
        <w:bottom w:val="none" w:sz="0" w:space="0" w:color="auto"/>
        <w:right w:val="none" w:sz="0" w:space="0" w:color="auto"/>
      </w:divBdr>
    </w:div>
    <w:div w:id="2020965900">
      <w:bodyDiv w:val="1"/>
      <w:marLeft w:val="0"/>
      <w:marRight w:val="0"/>
      <w:marTop w:val="0"/>
      <w:marBottom w:val="0"/>
      <w:divBdr>
        <w:top w:val="none" w:sz="0" w:space="0" w:color="auto"/>
        <w:left w:val="none" w:sz="0" w:space="0" w:color="auto"/>
        <w:bottom w:val="none" w:sz="0" w:space="0" w:color="auto"/>
        <w:right w:val="none" w:sz="0" w:space="0" w:color="auto"/>
      </w:divBdr>
    </w:div>
    <w:div w:id="2131901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chart" Target="charts/chart5.xml"/><Relationship Id="rId39" Type="http://schemas.openxmlformats.org/officeDocument/2006/relationships/hyperlink" Target="http://10.58.80.117/version-20230918-1-4/fame/1/Companies/JordansDocuments/DownloadLastFile?rid=internal|3910121&amp;closingDate=01%2f04%2f2023|FameJordans" TargetMode="External"/><Relationship Id="rId21" Type="http://schemas.openxmlformats.org/officeDocument/2006/relationships/image" Target="media/image1.png"/><Relationship Id="rId34" Type="http://schemas.openxmlformats.org/officeDocument/2006/relationships/hyperlink" Target="http://10.58.80.117/version-20230918-1-4/fame/1/Companies/JordansDocuments/DownloadLastFile?rid=internal|3910121&amp;closingDate=01%2f04%2f2023|FameJordans" TargetMode="External"/><Relationship Id="rId42" Type="http://schemas.openxmlformats.org/officeDocument/2006/relationships/hyperlink" Target="http://10.58.80.117/version-20230918-1-4/fame/1/Companies/JordansDocuments/DownloadLastFile?rid=internal|3910121&amp;closingDate=28%2f03%2f2020|FameJordans" TargetMode="External"/><Relationship Id="rId47" Type="http://schemas.openxmlformats.org/officeDocument/2006/relationships/hyperlink" Target="http://10.58.80.117/version-20230918-1-4/fame/1/Companies/JordansDocuments/DownloadLastFile?rid=internal|3910121&amp;closingDate=28%2f03%2f2020|FameJordans" TargetMode="External"/><Relationship Id="rId50" Type="http://schemas.openxmlformats.org/officeDocument/2006/relationships/hyperlink" Target="http://10.58.80.117/version-20230918-1-4/fame/1/Companies/JordansDocuments/DownloadLastFile?rid=internal|3910121&amp;closingDate=02%2f04%2f2022|FameJordans" TargetMode="External"/><Relationship Id="rId55" Type="http://schemas.openxmlformats.org/officeDocument/2006/relationships/hyperlink" Target="http://10.58.80.117/version-20230918-1-4/fame/1/Companies/JordansDocuments/DownloadLastFile?rid=internal|3910121&amp;closingDate=02%2f04%2f2022|FameJordan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Data" Target="diagrams/data2.xml"/><Relationship Id="rId29" Type="http://schemas.openxmlformats.org/officeDocument/2006/relationships/hyperlink" Target="https://www.investopedia.com/terms/e/efficiencyratio.asp" TargetMode="External"/><Relationship Id="rId11" Type="http://schemas.openxmlformats.org/officeDocument/2006/relationships/diagramData" Target="diagrams/data1.xml"/><Relationship Id="rId24" Type="http://schemas.openxmlformats.org/officeDocument/2006/relationships/chart" Target="charts/chart3.xml"/><Relationship Id="rId32" Type="http://schemas.openxmlformats.org/officeDocument/2006/relationships/hyperlink" Target="https://corporate.marksandspencer.com/about-us/our-businesses" TargetMode="External"/><Relationship Id="rId37" Type="http://schemas.openxmlformats.org/officeDocument/2006/relationships/hyperlink" Target="http://10.58.80.117/version-20230918-1-4/fame/1/Companies/JordansDocuments/DownloadLastFile?rid=internal|3910121&amp;closingDate=28%2f03%2f2020|FameJordans" TargetMode="External"/><Relationship Id="rId40" Type="http://schemas.openxmlformats.org/officeDocument/2006/relationships/hyperlink" Target="http://10.58.80.117/version-20230918-1-4/fame/1/Companies/JordansDocuments/DownloadLastFile?rid=internal|3910121&amp;closingDate=02%2f04%2f2022|FameJordans" TargetMode="External"/><Relationship Id="rId45" Type="http://schemas.openxmlformats.org/officeDocument/2006/relationships/hyperlink" Target="http://10.58.80.117/version-20230918-1-4/fame/1/Companies/JordansDocuments/DownloadLastFile?rid=internal|3910121&amp;closingDate=02%2f04%2f2022|FameJordans" TargetMode="External"/><Relationship Id="rId53" Type="http://schemas.openxmlformats.org/officeDocument/2006/relationships/hyperlink" Target="http://10.58.80.117/version-20230918-1-4/fame/1/Companies/JordansDocuments/DownloadLastFile?rid=internal|3910121&amp;closingDate=30%2f03%2f2019|FameJordans" TargetMode="External"/><Relationship Id="rId58" Type="http://schemas.openxmlformats.org/officeDocument/2006/relationships/hyperlink" Target="http://10.58.80.117/version-20230918-1-4/fame/1/Companies/JordansDocuments/DownloadLastFile?rid=internal|3910121&amp;closingDate=30%2f03%2f2019|FameJordans" TargetMode="Externa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diagramColors" Target="diagrams/colors2.xml"/><Relationship Id="rId14" Type="http://schemas.openxmlformats.org/officeDocument/2006/relationships/diagramColors" Target="diagrams/colors1.xml"/><Relationship Id="rId22" Type="http://schemas.openxmlformats.org/officeDocument/2006/relationships/chart" Target="charts/chart1.xml"/><Relationship Id="rId27" Type="http://schemas.openxmlformats.org/officeDocument/2006/relationships/hyperlink" Target="https://corporatefinanceinstitute.com/resources/accounting/gearing/" TargetMode="External"/><Relationship Id="rId30" Type="http://schemas.openxmlformats.org/officeDocument/2006/relationships/hyperlink" Target="https://www.investopedia.com/terms/f/financialperformance.asp" TargetMode="External"/><Relationship Id="rId35" Type="http://schemas.openxmlformats.org/officeDocument/2006/relationships/hyperlink" Target="http://10.58.80.117/version-20230918-1-4/fame/1/Companies/JordansDocuments/DownloadLastFile?rid=internal|3910121&amp;closingDate=02%2f04%2f2022|FameJordans" TargetMode="External"/><Relationship Id="rId43" Type="http://schemas.openxmlformats.org/officeDocument/2006/relationships/hyperlink" Target="http://10.58.80.117/version-20230918-1-4/fame/1/Companies/JordansDocuments/DownloadLastFile?rid=internal|3910121&amp;closingDate=30%2f03%2f2019|FameJordans" TargetMode="External"/><Relationship Id="rId48" Type="http://schemas.openxmlformats.org/officeDocument/2006/relationships/hyperlink" Target="http://10.58.80.117/version-20230918-1-4/fame/1/Companies/JordansDocuments/DownloadLastFile?rid=internal|3910121&amp;closingDate=30%2f03%2f2019|FameJordans" TargetMode="External"/><Relationship Id="rId56" Type="http://schemas.openxmlformats.org/officeDocument/2006/relationships/hyperlink" Target="http://10.58.80.117/version-20230918-1-4/fame/1/Companies/JordansDocuments/DownloadLastFile?rid=internal|3910121&amp;closingDate=03%2f04%2f2021|FameJordans" TargetMode="External"/><Relationship Id="rId8" Type="http://schemas.openxmlformats.org/officeDocument/2006/relationships/webSettings" Target="webSettings.xml"/><Relationship Id="rId51" Type="http://schemas.openxmlformats.org/officeDocument/2006/relationships/hyperlink" Target="http://10.58.80.117/version-20230918-1-4/fame/1/Companies/JordansDocuments/DownloadLastFile?rid=internal|3910121&amp;closingDate=03%2f04%2f2021|FameJordans" TargetMode="External"/><Relationship Id="rId3" Type="http://schemas.openxmlformats.org/officeDocument/2006/relationships/customXml" Target="../customXml/item3.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chart" Target="charts/chart4.xml"/><Relationship Id="rId33" Type="http://schemas.openxmlformats.org/officeDocument/2006/relationships/hyperlink" Target="https://corporate.marksandspencer.com/about-us/key-facts-figures" TargetMode="External"/><Relationship Id="rId38" Type="http://schemas.openxmlformats.org/officeDocument/2006/relationships/hyperlink" Target="http://10.58.80.117/version-20230918-1-4/fame/1/Companies/JordansDocuments/DownloadLastFile?rid=internal|3910121&amp;closingDate=30%2f03%2f2019|FameJordans" TargetMode="External"/><Relationship Id="rId46" Type="http://schemas.openxmlformats.org/officeDocument/2006/relationships/hyperlink" Target="http://10.58.80.117/version-20230918-1-4/fame/1/Companies/JordansDocuments/DownloadLastFile?rid=internal|3910121&amp;closingDate=03%2f04%2f2021|FameJordans" TargetMode="External"/><Relationship Id="rId59" Type="http://schemas.openxmlformats.org/officeDocument/2006/relationships/footer" Target="footer1.xml"/><Relationship Id="rId20" Type="http://schemas.microsoft.com/office/2007/relationships/diagramDrawing" Target="diagrams/drawing2.xml"/><Relationship Id="rId41" Type="http://schemas.openxmlformats.org/officeDocument/2006/relationships/hyperlink" Target="http://10.58.80.117/version-20230918-1-4/fame/1/Companies/JordansDocuments/DownloadLastFile?rid=internal|3910121&amp;closingDate=03%2f04%2f2021|FameJordans" TargetMode="External"/><Relationship Id="rId54" Type="http://schemas.openxmlformats.org/officeDocument/2006/relationships/hyperlink" Target="http://10.58.80.117/version-20230918-1-4/fame/1/Companies/JordansDocuments/DownloadLastFile?rid=internal|3910121&amp;closingDate=01%2f04%2f2023|FameJordans" TargetMode="External"/><Relationship Id="rId1" Type="http://schemas.openxmlformats.org/officeDocument/2006/relationships/customXml" Target="../customXml/item1.xml"/><Relationship Id="rId6"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chart" Target="charts/chart2.xml"/><Relationship Id="rId28" Type="http://schemas.openxmlformats.org/officeDocument/2006/relationships/hyperlink" Target="https://www.investopedia.com/terms/p/profitabilityratios.asp" TargetMode="External"/><Relationship Id="rId36" Type="http://schemas.openxmlformats.org/officeDocument/2006/relationships/hyperlink" Target="http://10.58.80.117/version-20230918-1-4/fame/1/Companies/JordansDocuments/DownloadLastFile?rid=internal|3910121&amp;closingDate=03%2f04%2f2021|FameJordans" TargetMode="External"/><Relationship Id="rId49" Type="http://schemas.openxmlformats.org/officeDocument/2006/relationships/hyperlink" Target="http://10.58.80.117/version-20230918-1-4/fame/1/Companies/JordansDocuments/DownloadLastFile?rid=internal|3910121&amp;closingDate=01%2f04%2f2023|FameJordans" TargetMode="External"/><Relationship Id="rId57" Type="http://schemas.openxmlformats.org/officeDocument/2006/relationships/hyperlink" Target="http://10.58.80.117/version-20230918-1-4/fame/1/Companies/JordansDocuments/DownloadLastFile?rid=internal|3910121&amp;closingDate=28%2f03%2f2020|FameJordans" TargetMode="External"/><Relationship Id="rId10" Type="http://schemas.openxmlformats.org/officeDocument/2006/relationships/endnotes" Target="endnotes.xml"/><Relationship Id="rId31" Type="http://schemas.openxmlformats.org/officeDocument/2006/relationships/hyperlink" Target="https://www.londonstockexchange.com/stock/MKS/marks-and-spencer-group-plc/company-page" TargetMode="External"/><Relationship Id="rId44" Type="http://schemas.openxmlformats.org/officeDocument/2006/relationships/hyperlink" Target="http://10.58.80.117/version-20230918-1-4/fame/1/Companies/JordansDocuments/DownloadLastFile?rid=internal|3910121&amp;closingDate=01%2f04%2f2023|FameJordans" TargetMode="External"/><Relationship Id="rId52" Type="http://schemas.openxmlformats.org/officeDocument/2006/relationships/hyperlink" Target="http://10.58.80.117/version-20230918-1-4/fame/1/Companies/JordansDocuments/DownloadLastFile?rid=internal|3910121&amp;closingDate=28%2f03%2f2020|FameJordans"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ROCE</a:t>
            </a:r>
            <a:endParaRPr lang="ro-RO"/>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 M&amp;S</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Sheet1!$A$2:$A$6</c:f>
              <c:numCache>
                <c:formatCode>General</c:formatCode>
                <c:ptCount val="5"/>
                <c:pt idx="0">
                  <c:v>2019</c:v>
                </c:pt>
                <c:pt idx="1">
                  <c:v>2020</c:v>
                </c:pt>
                <c:pt idx="2">
                  <c:v>2021</c:v>
                </c:pt>
                <c:pt idx="3">
                  <c:v>2022</c:v>
                </c:pt>
                <c:pt idx="4">
                  <c:v>2023</c:v>
                </c:pt>
              </c:numCache>
            </c:numRef>
          </c:cat>
          <c:val>
            <c:numRef>
              <c:f>Sheet1!$B$2:$B$6</c:f>
              <c:numCache>
                <c:formatCode>General</c:formatCode>
                <c:ptCount val="5"/>
                <c:pt idx="0">
                  <c:v>1.7</c:v>
                </c:pt>
                <c:pt idx="1">
                  <c:v>0.81</c:v>
                </c:pt>
                <c:pt idx="2">
                  <c:v>-3.3</c:v>
                </c:pt>
                <c:pt idx="3">
                  <c:v>5.54</c:v>
                </c:pt>
                <c:pt idx="4">
                  <c:v>7.44</c:v>
                </c:pt>
              </c:numCache>
            </c:numRef>
          </c:val>
          <c:smooth val="0"/>
          <c:extLst>
            <c:ext xmlns:c16="http://schemas.microsoft.com/office/drawing/2014/chart" uri="{C3380CC4-5D6E-409C-BE32-E72D297353CC}">
              <c16:uniqueId val="{00000000-0F80-43BC-8ADF-F566691E2D61}"/>
            </c:ext>
          </c:extLst>
        </c:ser>
        <c:dLbls>
          <c:dLblPos val="ctr"/>
          <c:showLegendKey val="0"/>
          <c:showVal val="1"/>
          <c:showCatName val="0"/>
          <c:showSerName val="0"/>
          <c:showPercent val="0"/>
          <c:showBubbleSize val="0"/>
        </c:dLbls>
        <c:marker val="1"/>
        <c:smooth val="0"/>
        <c:axId val="1931087535"/>
        <c:axId val="930505936"/>
      </c:lineChart>
      <c:catAx>
        <c:axId val="193108753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30505936"/>
        <c:crosses val="autoZero"/>
        <c:auto val="1"/>
        <c:lblAlgn val="ctr"/>
        <c:lblOffset val="100"/>
        <c:noMultiLvlLbl val="0"/>
      </c:catAx>
      <c:valAx>
        <c:axId val="930505936"/>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931087535"/>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Gross Margin</a:t>
            </a:r>
            <a:endParaRPr lang="ro-RO"/>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2.5974025974025976E-2"/>
          <c:y val="0.17965063355844565"/>
          <c:w val="0.95238095238095233"/>
          <c:h val="0.56030748965368093"/>
        </c:manualLayout>
      </c:layout>
      <c:lineChart>
        <c:grouping val="standard"/>
        <c:varyColors val="0"/>
        <c:ser>
          <c:idx val="0"/>
          <c:order val="0"/>
          <c:tx>
            <c:strRef>
              <c:f>Sheet1!$B$1</c:f>
              <c:strCache>
                <c:ptCount val="1"/>
                <c:pt idx="0">
                  <c:v>M&amp;S</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Sheet1!$A$2:$A$6</c:f>
              <c:numCache>
                <c:formatCode>General</c:formatCode>
                <c:ptCount val="5"/>
                <c:pt idx="0">
                  <c:v>2023</c:v>
                </c:pt>
                <c:pt idx="1">
                  <c:v>2022</c:v>
                </c:pt>
                <c:pt idx="2">
                  <c:v>2021</c:v>
                </c:pt>
                <c:pt idx="3">
                  <c:v>2020</c:v>
                </c:pt>
                <c:pt idx="4">
                  <c:v>2019</c:v>
                </c:pt>
              </c:numCache>
            </c:numRef>
          </c:cat>
          <c:val>
            <c:numRef>
              <c:f>Sheet1!$B$2:$B$6</c:f>
              <c:numCache>
                <c:formatCode>General</c:formatCode>
                <c:ptCount val="5"/>
                <c:pt idx="0">
                  <c:v>34.74</c:v>
                </c:pt>
                <c:pt idx="1">
                  <c:v>34.49</c:v>
                </c:pt>
                <c:pt idx="2">
                  <c:v>31.8</c:v>
                </c:pt>
                <c:pt idx="3">
                  <c:v>35.28</c:v>
                </c:pt>
                <c:pt idx="4">
                  <c:v>36.909999999999997</c:v>
                </c:pt>
              </c:numCache>
            </c:numRef>
          </c:val>
          <c:smooth val="0"/>
          <c:extLst>
            <c:ext xmlns:c16="http://schemas.microsoft.com/office/drawing/2014/chart" uri="{C3380CC4-5D6E-409C-BE32-E72D297353CC}">
              <c16:uniqueId val="{00000000-A2FB-4FC4-8BA3-E7194F487C60}"/>
            </c:ext>
          </c:extLst>
        </c:ser>
        <c:ser>
          <c:idx val="1"/>
          <c:order val="1"/>
          <c:tx>
            <c:strRef>
              <c:f>Sheet1!$C$1</c:f>
              <c:strCache>
                <c:ptCount val="1"/>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Sheet1!$A$2:$A$6</c:f>
              <c:numCache>
                <c:formatCode>General</c:formatCode>
                <c:ptCount val="5"/>
                <c:pt idx="0">
                  <c:v>2023</c:v>
                </c:pt>
                <c:pt idx="1">
                  <c:v>2022</c:v>
                </c:pt>
                <c:pt idx="2">
                  <c:v>2021</c:v>
                </c:pt>
                <c:pt idx="3">
                  <c:v>2020</c:v>
                </c:pt>
                <c:pt idx="4">
                  <c:v>2019</c:v>
                </c:pt>
              </c:numCache>
            </c:numRef>
          </c:cat>
          <c:val>
            <c:numRef>
              <c:f>Sheet1!$C$2:$C$6</c:f>
              <c:numCache>
                <c:formatCode>General</c:formatCode>
                <c:ptCount val="5"/>
              </c:numCache>
            </c:numRef>
          </c:val>
          <c:smooth val="0"/>
          <c:extLst>
            <c:ext xmlns:c16="http://schemas.microsoft.com/office/drawing/2014/chart" uri="{C3380CC4-5D6E-409C-BE32-E72D297353CC}">
              <c16:uniqueId val="{00000001-A2FB-4FC4-8BA3-E7194F487C60}"/>
            </c:ext>
          </c:extLst>
        </c:ser>
        <c:dLbls>
          <c:dLblPos val="ctr"/>
          <c:showLegendKey val="0"/>
          <c:showVal val="1"/>
          <c:showCatName val="0"/>
          <c:showSerName val="0"/>
          <c:showPercent val="0"/>
          <c:showBubbleSize val="0"/>
        </c:dLbls>
        <c:marker val="1"/>
        <c:smooth val="0"/>
        <c:axId val="1015264607"/>
        <c:axId val="2075703248"/>
      </c:lineChart>
      <c:catAx>
        <c:axId val="1015264607"/>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075703248"/>
        <c:crosses val="autoZero"/>
        <c:auto val="1"/>
        <c:lblAlgn val="ctr"/>
        <c:lblOffset val="100"/>
        <c:noMultiLvlLbl val="0"/>
      </c:catAx>
      <c:valAx>
        <c:axId val="207570324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015264607"/>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Net operating</a:t>
            </a:r>
            <a:r>
              <a:rPr lang="en-GB" baseline="0"/>
              <a:t> profit</a:t>
            </a:r>
            <a:endParaRPr lang="ro-RO"/>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M&amp;S</c:v>
                </c:pt>
              </c:strCache>
            </c:strRef>
          </c:tx>
          <c:spPr>
            <a:ln w="28575" cap="rnd">
              <a:solidFill>
                <a:schemeClr val="accent1"/>
              </a:solidFill>
              <a:round/>
            </a:ln>
            <a:effectLst/>
          </c:spPr>
          <c:marker>
            <c:symbol val="none"/>
          </c:marker>
          <c:cat>
            <c:numRef>
              <c:f>Sheet1!$A$2:$A$6</c:f>
              <c:numCache>
                <c:formatCode>General</c:formatCode>
                <c:ptCount val="5"/>
                <c:pt idx="0">
                  <c:v>2019</c:v>
                </c:pt>
                <c:pt idx="1">
                  <c:v>2020</c:v>
                </c:pt>
                <c:pt idx="2">
                  <c:v>2021</c:v>
                </c:pt>
                <c:pt idx="3">
                  <c:v>2022</c:v>
                </c:pt>
                <c:pt idx="4">
                  <c:v>2023</c:v>
                </c:pt>
              </c:numCache>
            </c:numRef>
          </c:cat>
          <c:val>
            <c:numRef>
              <c:f>Sheet1!$B$2:$B$6</c:f>
              <c:numCache>
                <c:formatCode>General</c:formatCode>
                <c:ptCount val="5"/>
                <c:pt idx="0">
                  <c:v>3.99</c:v>
                </c:pt>
                <c:pt idx="1">
                  <c:v>3.6</c:v>
                </c:pt>
                <c:pt idx="2">
                  <c:v>-2.29</c:v>
                </c:pt>
                <c:pt idx="3">
                  <c:v>0.66</c:v>
                </c:pt>
                <c:pt idx="4">
                  <c:v>0.82</c:v>
                </c:pt>
              </c:numCache>
            </c:numRef>
          </c:val>
          <c:smooth val="0"/>
          <c:extLst>
            <c:ext xmlns:c16="http://schemas.microsoft.com/office/drawing/2014/chart" uri="{C3380CC4-5D6E-409C-BE32-E72D297353CC}">
              <c16:uniqueId val="{00000000-063B-438F-ADEF-D9D23968799A}"/>
            </c:ext>
          </c:extLst>
        </c:ser>
        <c:ser>
          <c:idx val="1"/>
          <c:order val="1"/>
          <c:tx>
            <c:strRef>
              <c:f>Sheet1!$C$1</c:f>
              <c:strCache>
                <c:ptCount val="1"/>
              </c:strCache>
            </c:strRef>
          </c:tx>
          <c:spPr>
            <a:ln w="28575" cap="rnd">
              <a:solidFill>
                <a:schemeClr val="accent2"/>
              </a:solidFill>
              <a:round/>
            </a:ln>
            <a:effectLst/>
          </c:spPr>
          <c:marker>
            <c:symbol val="none"/>
          </c:marker>
          <c:cat>
            <c:numRef>
              <c:f>Sheet1!$A$2:$A$6</c:f>
              <c:numCache>
                <c:formatCode>General</c:formatCode>
                <c:ptCount val="5"/>
                <c:pt idx="0">
                  <c:v>2019</c:v>
                </c:pt>
                <c:pt idx="1">
                  <c:v>2020</c:v>
                </c:pt>
                <c:pt idx="2">
                  <c:v>2021</c:v>
                </c:pt>
                <c:pt idx="3">
                  <c:v>2022</c:v>
                </c:pt>
                <c:pt idx="4">
                  <c:v>2023</c:v>
                </c:pt>
              </c:numCache>
            </c:numRef>
          </c:cat>
          <c:val>
            <c:numRef>
              <c:f>Sheet1!$C$2:$C$6</c:f>
              <c:numCache>
                <c:formatCode>General</c:formatCode>
                <c:ptCount val="5"/>
              </c:numCache>
            </c:numRef>
          </c:val>
          <c:smooth val="0"/>
          <c:extLst>
            <c:ext xmlns:c16="http://schemas.microsoft.com/office/drawing/2014/chart" uri="{C3380CC4-5D6E-409C-BE32-E72D297353CC}">
              <c16:uniqueId val="{00000001-063B-438F-ADEF-D9D23968799A}"/>
            </c:ext>
          </c:extLst>
        </c:ser>
        <c:dLbls>
          <c:showLegendKey val="0"/>
          <c:showVal val="0"/>
          <c:showCatName val="0"/>
          <c:showSerName val="0"/>
          <c:showPercent val="0"/>
          <c:showBubbleSize val="0"/>
        </c:dLbls>
        <c:smooth val="0"/>
        <c:axId val="1854779519"/>
        <c:axId val="1855583375"/>
      </c:lineChart>
      <c:catAx>
        <c:axId val="18547795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5583375"/>
        <c:crosses val="autoZero"/>
        <c:auto val="1"/>
        <c:lblAlgn val="ctr"/>
        <c:lblOffset val="100"/>
        <c:noMultiLvlLbl val="0"/>
      </c:catAx>
      <c:valAx>
        <c:axId val="18555833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47795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Current ratio</a:t>
            </a:r>
            <a:endParaRPr lang="ro-RO"/>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M&amp;S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Sheet1!$A$2:$A$6</c:f>
              <c:numCache>
                <c:formatCode>General</c:formatCode>
                <c:ptCount val="5"/>
                <c:pt idx="0">
                  <c:v>2023</c:v>
                </c:pt>
                <c:pt idx="1">
                  <c:v>2022</c:v>
                </c:pt>
                <c:pt idx="2">
                  <c:v>2021</c:v>
                </c:pt>
                <c:pt idx="3">
                  <c:v>2020</c:v>
                </c:pt>
                <c:pt idx="4">
                  <c:v>2019</c:v>
                </c:pt>
              </c:numCache>
            </c:numRef>
          </c:cat>
          <c:val>
            <c:numRef>
              <c:f>Sheet1!$B$2:$B$6</c:f>
              <c:numCache>
                <c:formatCode>General</c:formatCode>
                <c:ptCount val="5"/>
                <c:pt idx="0">
                  <c:v>0.8</c:v>
                </c:pt>
                <c:pt idx="1">
                  <c:v>0.92</c:v>
                </c:pt>
                <c:pt idx="2">
                  <c:v>0.69</c:v>
                </c:pt>
                <c:pt idx="3">
                  <c:v>0.66</c:v>
                </c:pt>
                <c:pt idx="4">
                  <c:v>0.67</c:v>
                </c:pt>
              </c:numCache>
            </c:numRef>
          </c:val>
          <c:smooth val="0"/>
          <c:extLst>
            <c:ext xmlns:c16="http://schemas.microsoft.com/office/drawing/2014/chart" uri="{C3380CC4-5D6E-409C-BE32-E72D297353CC}">
              <c16:uniqueId val="{00000000-200D-44B0-BAAC-216CAD4DA322}"/>
            </c:ext>
          </c:extLst>
        </c:ser>
        <c:dLbls>
          <c:showLegendKey val="0"/>
          <c:showVal val="0"/>
          <c:showCatName val="0"/>
          <c:showSerName val="0"/>
          <c:showPercent val="0"/>
          <c:showBubbleSize val="0"/>
        </c:dLbls>
        <c:marker val="1"/>
        <c:smooth val="0"/>
        <c:axId val="1959905951"/>
        <c:axId val="991170048"/>
      </c:lineChart>
      <c:catAx>
        <c:axId val="19599059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1170048"/>
        <c:crosses val="autoZero"/>
        <c:auto val="1"/>
        <c:lblAlgn val="ctr"/>
        <c:lblOffset val="100"/>
        <c:noMultiLvlLbl val="0"/>
      </c:catAx>
      <c:valAx>
        <c:axId val="991170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9905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Quick</a:t>
            </a:r>
            <a:r>
              <a:rPr lang="en-GB" baseline="0"/>
              <a:t> ratio</a:t>
            </a:r>
            <a:endParaRPr lang="ro-RO"/>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M&amp;S</c:v>
                </c:pt>
              </c:strCache>
            </c:strRef>
          </c:tx>
          <c:spPr>
            <a:ln w="28575" cap="rnd">
              <a:solidFill>
                <a:schemeClr val="accent1"/>
              </a:solidFill>
              <a:round/>
            </a:ln>
            <a:effectLst/>
          </c:spPr>
          <c:marker>
            <c:symbol val="none"/>
          </c:marker>
          <c:cat>
            <c:numRef>
              <c:f>Sheet1!$A$2:$A$6</c:f>
              <c:numCache>
                <c:formatCode>General</c:formatCode>
                <c:ptCount val="5"/>
                <c:pt idx="0">
                  <c:v>2023</c:v>
                </c:pt>
                <c:pt idx="1">
                  <c:v>2022</c:v>
                </c:pt>
                <c:pt idx="2">
                  <c:v>2021</c:v>
                </c:pt>
                <c:pt idx="3">
                  <c:v>2020</c:v>
                </c:pt>
                <c:pt idx="4">
                  <c:v>2019</c:v>
                </c:pt>
              </c:numCache>
            </c:numRef>
          </c:cat>
          <c:val>
            <c:numRef>
              <c:f>Sheet1!$B$2:$B$6</c:f>
              <c:numCache>
                <c:formatCode>General</c:formatCode>
                <c:ptCount val="5"/>
                <c:pt idx="0">
                  <c:v>0.51</c:v>
                </c:pt>
                <c:pt idx="1">
                  <c:v>0.62</c:v>
                </c:pt>
                <c:pt idx="2">
                  <c:v>0.42</c:v>
                </c:pt>
                <c:pt idx="3">
                  <c:v>0.35</c:v>
                </c:pt>
                <c:pt idx="4">
                  <c:v>0.35</c:v>
                </c:pt>
              </c:numCache>
            </c:numRef>
          </c:val>
          <c:smooth val="0"/>
          <c:extLst>
            <c:ext xmlns:c16="http://schemas.microsoft.com/office/drawing/2014/chart" uri="{C3380CC4-5D6E-409C-BE32-E72D297353CC}">
              <c16:uniqueId val="{00000000-9C5D-4199-9D2D-E09A576F2EBF}"/>
            </c:ext>
          </c:extLst>
        </c:ser>
        <c:dLbls>
          <c:showLegendKey val="0"/>
          <c:showVal val="0"/>
          <c:showCatName val="0"/>
          <c:showSerName val="0"/>
          <c:showPercent val="0"/>
          <c:showBubbleSize val="0"/>
        </c:dLbls>
        <c:smooth val="0"/>
        <c:axId val="2063365695"/>
        <c:axId val="2061860335"/>
      </c:lineChart>
      <c:catAx>
        <c:axId val="20633656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1860335"/>
        <c:crosses val="autoZero"/>
        <c:auto val="1"/>
        <c:lblAlgn val="ctr"/>
        <c:lblOffset val="100"/>
        <c:noMultiLvlLbl val="0"/>
      </c:catAx>
      <c:valAx>
        <c:axId val="20618603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33656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849C3A-80A3-4BB0-839F-A011E488FD8B}"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ro-RO"/>
        </a:p>
      </dgm:t>
    </dgm:pt>
    <dgm:pt modelId="{85E93581-B0CA-484F-BDDD-901DFB4B6D14}">
      <dgm:prSet phldrT="[Text]"/>
      <dgm:spPr/>
      <dgm:t>
        <a:bodyPr/>
        <a:lstStyle/>
        <a:p>
          <a:r>
            <a:rPr lang="en-GB"/>
            <a:t>Founded in 1884 by Michael Mark and Tomas Spencer, headquartered in London.</a:t>
          </a:r>
          <a:endParaRPr lang="ro-RO" b="1"/>
        </a:p>
      </dgm:t>
    </dgm:pt>
    <dgm:pt modelId="{C03976DE-9F06-4E28-BDB6-4ECE106986C2}" type="parTrans" cxnId="{A497FBE3-F628-4B74-9B76-47C9096D0DDF}">
      <dgm:prSet/>
      <dgm:spPr/>
      <dgm:t>
        <a:bodyPr/>
        <a:lstStyle/>
        <a:p>
          <a:endParaRPr lang="ro-RO"/>
        </a:p>
      </dgm:t>
    </dgm:pt>
    <dgm:pt modelId="{AED9DE69-FB59-4708-8F8E-FF5ABA4AEE7E}" type="sibTrans" cxnId="{A497FBE3-F628-4B74-9B76-47C9096D0DDF}">
      <dgm:prSet/>
      <dgm:spPr/>
      <dgm:t>
        <a:bodyPr/>
        <a:lstStyle/>
        <a:p>
          <a:endParaRPr lang="ro-RO"/>
        </a:p>
      </dgm:t>
    </dgm:pt>
    <dgm:pt modelId="{03238192-5E2C-45E1-877D-CB81C90080CA}">
      <dgm:prSet phldrT="[Text]"/>
      <dgm:spPr/>
      <dgm:t>
        <a:bodyPr/>
        <a:lstStyle/>
        <a:p>
          <a:r>
            <a:rPr lang="en-GB"/>
            <a:t>150 location owned or partially owned. </a:t>
          </a:r>
          <a:endParaRPr lang="ro-RO"/>
        </a:p>
      </dgm:t>
    </dgm:pt>
    <dgm:pt modelId="{88105D42-1CFC-4EF4-A871-8173EDAC2D20}" type="parTrans" cxnId="{F5C10E5B-9401-42C8-BA38-C9EFF652B962}">
      <dgm:prSet/>
      <dgm:spPr/>
      <dgm:t>
        <a:bodyPr/>
        <a:lstStyle/>
        <a:p>
          <a:endParaRPr lang="ro-RO"/>
        </a:p>
      </dgm:t>
    </dgm:pt>
    <dgm:pt modelId="{C4DC9558-59D2-4B0A-83FD-BE4A45D1355B}" type="sibTrans" cxnId="{F5C10E5B-9401-42C8-BA38-C9EFF652B962}">
      <dgm:prSet/>
      <dgm:spPr/>
      <dgm:t>
        <a:bodyPr/>
        <a:lstStyle/>
        <a:p>
          <a:endParaRPr lang="ro-RO"/>
        </a:p>
      </dgm:t>
    </dgm:pt>
    <dgm:pt modelId="{30BFFB74-9E2C-4921-89FD-D86B7982DD4D}">
      <dgm:prSet phldrT="[Text]"/>
      <dgm:spPr/>
      <dgm:t>
        <a:bodyPr/>
        <a:lstStyle/>
        <a:p>
          <a:r>
            <a:rPr lang="en-GB"/>
            <a:t>Net Profit £364.500</a:t>
          </a:r>
          <a:endParaRPr lang="ro-RO"/>
        </a:p>
      </dgm:t>
    </dgm:pt>
    <dgm:pt modelId="{A5916184-F491-4587-A61B-E1477388FAC4}" type="parTrans" cxnId="{2C206D8D-FD00-4CA1-8E3F-754EF85964A4}">
      <dgm:prSet/>
      <dgm:spPr/>
      <dgm:t>
        <a:bodyPr/>
        <a:lstStyle/>
        <a:p>
          <a:endParaRPr lang="ro-RO"/>
        </a:p>
      </dgm:t>
    </dgm:pt>
    <dgm:pt modelId="{005983D5-23A6-455D-8190-BB3C4045CA9C}" type="sibTrans" cxnId="{2C206D8D-FD00-4CA1-8E3F-754EF85964A4}">
      <dgm:prSet/>
      <dgm:spPr/>
      <dgm:t>
        <a:bodyPr/>
        <a:lstStyle/>
        <a:p>
          <a:endParaRPr lang="ro-RO"/>
        </a:p>
      </dgm:t>
    </dgm:pt>
    <dgm:pt modelId="{FA98C41A-85F7-4379-A3BD-7FD1C29D906B}">
      <dgm:prSet phldrT="[Text]"/>
      <dgm:spPr/>
      <dgm:t>
        <a:bodyPr/>
        <a:lstStyle/>
        <a:p>
          <a:r>
            <a:rPr lang="en-GB"/>
            <a:t>Group revenue £10.9 bn</a:t>
          </a:r>
          <a:endParaRPr lang="ro-RO"/>
        </a:p>
      </dgm:t>
    </dgm:pt>
    <dgm:pt modelId="{CEF0A81C-B838-4488-84DD-C5A504F49141}" type="parTrans" cxnId="{976A96C5-68D8-4F70-820D-F5101F7038D0}">
      <dgm:prSet/>
      <dgm:spPr/>
      <dgm:t>
        <a:bodyPr/>
        <a:lstStyle/>
        <a:p>
          <a:endParaRPr lang="ro-RO"/>
        </a:p>
      </dgm:t>
    </dgm:pt>
    <dgm:pt modelId="{B3E390D1-8F1C-4A23-94CF-4676C8AA8682}" type="sibTrans" cxnId="{976A96C5-68D8-4F70-820D-F5101F7038D0}">
      <dgm:prSet/>
      <dgm:spPr/>
      <dgm:t>
        <a:bodyPr/>
        <a:lstStyle/>
        <a:p>
          <a:endParaRPr lang="ro-RO"/>
        </a:p>
      </dgm:t>
    </dgm:pt>
    <dgm:pt modelId="{690A90AE-0FF0-4ED5-8123-0E3760CD814A}">
      <dgm:prSet phldrT="[Text]"/>
      <dgm:spPr/>
      <dgm:t>
        <a:bodyPr/>
        <a:lstStyle/>
        <a:p>
          <a:r>
            <a:rPr lang="en-GB"/>
            <a:t>M&amp;S operates in the retail sector:clothing and fashion, food and grocery, home and furniture.</a:t>
          </a:r>
          <a:endParaRPr lang="ro-RO"/>
        </a:p>
      </dgm:t>
    </dgm:pt>
    <dgm:pt modelId="{34E4ACA7-EA87-4EE5-A43C-D307A22BCEC9}" type="parTrans" cxnId="{5A4D2DBA-E017-4802-AF16-8FA67B04D958}">
      <dgm:prSet/>
      <dgm:spPr/>
      <dgm:t>
        <a:bodyPr/>
        <a:lstStyle/>
        <a:p>
          <a:endParaRPr lang="ro-RO"/>
        </a:p>
      </dgm:t>
    </dgm:pt>
    <dgm:pt modelId="{B414A4DB-9DD9-47DF-B52C-8D5D0B90F8F9}" type="sibTrans" cxnId="{5A4D2DBA-E017-4802-AF16-8FA67B04D958}">
      <dgm:prSet/>
      <dgm:spPr/>
      <dgm:t>
        <a:bodyPr/>
        <a:lstStyle/>
        <a:p>
          <a:endParaRPr lang="ro-RO"/>
        </a:p>
      </dgm:t>
    </dgm:pt>
    <dgm:pt modelId="{5772701F-FC8A-4EBE-8DE6-DE9BFE447CEA}">
      <dgm:prSet phldrT="[Text]"/>
      <dgm:spPr/>
      <dgm:t>
        <a:bodyPr/>
        <a:lstStyle/>
        <a:p>
          <a:r>
            <a:rPr lang="en-GB"/>
            <a:t>More than 200 franchisees across Europe, Middle East and Asia.</a:t>
          </a:r>
          <a:endParaRPr lang="ro-RO"/>
        </a:p>
      </dgm:t>
    </dgm:pt>
    <dgm:pt modelId="{29CF5914-B68C-479B-B78B-24AFB282E5D8}" type="parTrans" cxnId="{C0E3F66C-84DA-4C74-97B9-D56505BD30C9}">
      <dgm:prSet/>
      <dgm:spPr/>
      <dgm:t>
        <a:bodyPr/>
        <a:lstStyle/>
        <a:p>
          <a:endParaRPr lang="ro-RO"/>
        </a:p>
      </dgm:t>
    </dgm:pt>
    <dgm:pt modelId="{FB3B36F4-D5CC-4D1B-B620-D4FE85C389B2}" type="sibTrans" cxnId="{C0E3F66C-84DA-4C74-97B9-D56505BD30C9}">
      <dgm:prSet/>
      <dgm:spPr/>
      <dgm:t>
        <a:bodyPr/>
        <a:lstStyle/>
        <a:p>
          <a:endParaRPr lang="ro-RO"/>
        </a:p>
      </dgm:t>
    </dgm:pt>
    <dgm:pt modelId="{0CB7EC0E-8464-487C-A538-339ABD1D5268}">
      <dgm:prSet phldrT="[Text]"/>
      <dgm:spPr/>
      <dgm:t>
        <a:bodyPr/>
        <a:lstStyle/>
        <a:p>
          <a:r>
            <a:rPr lang="en-GB"/>
            <a:t>Main competitors- John Lewis.</a:t>
          </a:r>
          <a:endParaRPr lang="ro-RO"/>
        </a:p>
      </dgm:t>
    </dgm:pt>
    <dgm:pt modelId="{8615D60F-2C51-4A09-8415-4BFD7C590FC5}" type="parTrans" cxnId="{9100F9E8-CD30-4BDE-8FBF-F8B1ED4EAB6A}">
      <dgm:prSet/>
      <dgm:spPr/>
      <dgm:t>
        <a:bodyPr/>
        <a:lstStyle/>
        <a:p>
          <a:endParaRPr lang="ro-RO"/>
        </a:p>
      </dgm:t>
    </dgm:pt>
    <dgm:pt modelId="{CF3BE3D1-F55E-4368-AC45-7FC1F5666584}" type="sibTrans" cxnId="{9100F9E8-CD30-4BDE-8FBF-F8B1ED4EAB6A}">
      <dgm:prSet/>
      <dgm:spPr/>
      <dgm:t>
        <a:bodyPr/>
        <a:lstStyle/>
        <a:p>
          <a:endParaRPr lang="ro-RO"/>
        </a:p>
      </dgm:t>
    </dgm:pt>
    <dgm:pt modelId="{EDD3DA08-BC50-4161-9877-A37638363863}" type="pres">
      <dgm:prSet presAssocID="{DE849C3A-80A3-4BB0-839F-A011E488FD8B}" presName="Name0" presStyleCnt="0">
        <dgm:presLayoutVars>
          <dgm:chMax val="1"/>
          <dgm:chPref val="1"/>
          <dgm:dir/>
          <dgm:animOne val="branch"/>
          <dgm:animLvl val="lvl"/>
        </dgm:presLayoutVars>
      </dgm:prSet>
      <dgm:spPr/>
    </dgm:pt>
    <dgm:pt modelId="{47BA4A03-06F2-42CA-996C-3949F36DE3F9}" type="pres">
      <dgm:prSet presAssocID="{85E93581-B0CA-484F-BDDD-901DFB4B6D14}" presName="Parent" presStyleLbl="node0" presStyleIdx="0" presStyleCnt="1">
        <dgm:presLayoutVars>
          <dgm:chMax val="6"/>
          <dgm:chPref val="6"/>
        </dgm:presLayoutVars>
      </dgm:prSet>
      <dgm:spPr/>
    </dgm:pt>
    <dgm:pt modelId="{22DDE93B-15B1-44CA-861D-F5A98415A8E2}" type="pres">
      <dgm:prSet presAssocID="{03238192-5E2C-45E1-877D-CB81C90080CA}" presName="Accent1" presStyleCnt="0"/>
      <dgm:spPr/>
    </dgm:pt>
    <dgm:pt modelId="{EEE83643-5064-42A4-9EF1-B025B047FC48}" type="pres">
      <dgm:prSet presAssocID="{03238192-5E2C-45E1-877D-CB81C90080CA}" presName="Accent" presStyleLbl="bgShp" presStyleIdx="0" presStyleCnt="6"/>
      <dgm:spPr/>
    </dgm:pt>
    <dgm:pt modelId="{25F12FEE-EDD7-4BEB-AF0B-046042D7C864}" type="pres">
      <dgm:prSet presAssocID="{03238192-5E2C-45E1-877D-CB81C90080CA}" presName="Child1" presStyleLbl="node1" presStyleIdx="0" presStyleCnt="6">
        <dgm:presLayoutVars>
          <dgm:chMax val="0"/>
          <dgm:chPref val="0"/>
          <dgm:bulletEnabled val="1"/>
        </dgm:presLayoutVars>
      </dgm:prSet>
      <dgm:spPr/>
    </dgm:pt>
    <dgm:pt modelId="{A1F2F9A3-59BE-4A39-A077-851622108BAB}" type="pres">
      <dgm:prSet presAssocID="{30BFFB74-9E2C-4921-89FD-D86B7982DD4D}" presName="Accent2" presStyleCnt="0"/>
      <dgm:spPr/>
    </dgm:pt>
    <dgm:pt modelId="{201D01C5-398A-4110-988A-87712ADFCCAF}" type="pres">
      <dgm:prSet presAssocID="{30BFFB74-9E2C-4921-89FD-D86B7982DD4D}" presName="Accent" presStyleLbl="bgShp" presStyleIdx="1" presStyleCnt="6"/>
      <dgm:spPr/>
    </dgm:pt>
    <dgm:pt modelId="{BC1CB600-5B6B-4EE5-86BB-F96D25178997}" type="pres">
      <dgm:prSet presAssocID="{30BFFB74-9E2C-4921-89FD-D86B7982DD4D}" presName="Child2" presStyleLbl="node1" presStyleIdx="1" presStyleCnt="6">
        <dgm:presLayoutVars>
          <dgm:chMax val="0"/>
          <dgm:chPref val="0"/>
          <dgm:bulletEnabled val="1"/>
        </dgm:presLayoutVars>
      </dgm:prSet>
      <dgm:spPr/>
    </dgm:pt>
    <dgm:pt modelId="{630E4AC0-2178-4E5E-ACD8-C054F0D96B32}" type="pres">
      <dgm:prSet presAssocID="{FA98C41A-85F7-4379-A3BD-7FD1C29D906B}" presName="Accent3" presStyleCnt="0"/>
      <dgm:spPr/>
    </dgm:pt>
    <dgm:pt modelId="{AECC0D25-B3D6-47E4-B802-D4440A4203EA}" type="pres">
      <dgm:prSet presAssocID="{FA98C41A-85F7-4379-A3BD-7FD1C29D906B}" presName="Accent" presStyleLbl="bgShp" presStyleIdx="2" presStyleCnt="6"/>
      <dgm:spPr/>
    </dgm:pt>
    <dgm:pt modelId="{62872638-AEA3-4591-8516-1EE3D6BA55DC}" type="pres">
      <dgm:prSet presAssocID="{FA98C41A-85F7-4379-A3BD-7FD1C29D906B}" presName="Child3" presStyleLbl="node1" presStyleIdx="2" presStyleCnt="6" custScaleX="109299">
        <dgm:presLayoutVars>
          <dgm:chMax val="0"/>
          <dgm:chPref val="0"/>
          <dgm:bulletEnabled val="1"/>
        </dgm:presLayoutVars>
      </dgm:prSet>
      <dgm:spPr/>
    </dgm:pt>
    <dgm:pt modelId="{BF79D995-1543-4167-9E49-A75397B789E2}" type="pres">
      <dgm:prSet presAssocID="{690A90AE-0FF0-4ED5-8123-0E3760CD814A}" presName="Accent4" presStyleCnt="0"/>
      <dgm:spPr/>
    </dgm:pt>
    <dgm:pt modelId="{1E3B7C28-5277-4C15-8AF7-18B0BB418421}" type="pres">
      <dgm:prSet presAssocID="{690A90AE-0FF0-4ED5-8123-0E3760CD814A}" presName="Accent" presStyleLbl="bgShp" presStyleIdx="3" presStyleCnt="6"/>
      <dgm:spPr/>
    </dgm:pt>
    <dgm:pt modelId="{98DE2FE1-29BE-48E6-BAFB-FAB0CAD5AF8D}" type="pres">
      <dgm:prSet presAssocID="{690A90AE-0FF0-4ED5-8123-0E3760CD814A}" presName="Child4" presStyleLbl="node1" presStyleIdx="3" presStyleCnt="6">
        <dgm:presLayoutVars>
          <dgm:chMax val="0"/>
          <dgm:chPref val="0"/>
          <dgm:bulletEnabled val="1"/>
        </dgm:presLayoutVars>
      </dgm:prSet>
      <dgm:spPr/>
    </dgm:pt>
    <dgm:pt modelId="{8D931D9A-E51A-4E6A-9A84-C0B25787538C}" type="pres">
      <dgm:prSet presAssocID="{5772701F-FC8A-4EBE-8DE6-DE9BFE447CEA}" presName="Accent5" presStyleCnt="0"/>
      <dgm:spPr/>
    </dgm:pt>
    <dgm:pt modelId="{721CDC00-30D8-45F7-B10B-9EDAF891345B}" type="pres">
      <dgm:prSet presAssocID="{5772701F-FC8A-4EBE-8DE6-DE9BFE447CEA}" presName="Accent" presStyleLbl="bgShp" presStyleIdx="4" presStyleCnt="6"/>
      <dgm:spPr/>
    </dgm:pt>
    <dgm:pt modelId="{EDD4ED28-A626-4FCE-AE8C-47CD0B6DFBFE}" type="pres">
      <dgm:prSet presAssocID="{5772701F-FC8A-4EBE-8DE6-DE9BFE447CEA}" presName="Child5" presStyleLbl="node1" presStyleIdx="4" presStyleCnt="6">
        <dgm:presLayoutVars>
          <dgm:chMax val="0"/>
          <dgm:chPref val="0"/>
          <dgm:bulletEnabled val="1"/>
        </dgm:presLayoutVars>
      </dgm:prSet>
      <dgm:spPr/>
    </dgm:pt>
    <dgm:pt modelId="{6502E546-E9DF-4B91-BF28-B5DF7EB618D1}" type="pres">
      <dgm:prSet presAssocID="{0CB7EC0E-8464-487C-A538-339ABD1D5268}" presName="Accent6" presStyleCnt="0"/>
      <dgm:spPr/>
    </dgm:pt>
    <dgm:pt modelId="{7A5A4355-72AF-4B18-A7D5-506F3EE9ECA8}" type="pres">
      <dgm:prSet presAssocID="{0CB7EC0E-8464-487C-A538-339ABD1D5268}" presName="Accent" presStyleLbl="bgShp" presStyleIdx="5" presStyleCnt="6"/>
      <dgm:spPr/>
    </dgm:pt>
    <dgm:pt modelId="{89618C83-FC1C-49AA-AE3C-DF7B1B8C3D8B}" type="pres">
      <dgm:prSet presAssocID="{0CB7EC0E-8464-487C-A538-339ABD1D5268}" presName="Child6" presStyleLbl="node1" presStyleIdx="5" presStyleCnt="6">
        <dgm:presLayoutVars>
          <dgm:chMax val="0"/>
          <dgm:chPref val="0"/>
          <dgm:bulletEnabled val="1"/>
        </dgm:presLayoutVars>
      </dgm:prSet>
      <dgm:spPr/>
    </dgm:pt>
  </dgm:ptLst>
  <dgm:cxnLst>
    <dgm:cxn modelId="{C71FC516-69B6-4115-AF4C-F811DE6D1729}" type="presOf" srcId="{5772701F-FC8A-4EBE-8DE6-DE9BFE447CEA}" destId="{EDD4ED28-A626-4FCE-AE8C-47CD0B6DFBFE}" srcOrd="0" destOrd="0" presId="urn:microsoft.com/office/officeart/2011/layout/HexagonRadial"/>
    <dgm:cxn modelId="{F5C10E5B-9401-42C8-BA38-C9EFF652B962}" srcId="{85E93581-B0CA-484F-BDDD-901DFB4B6D14}" destId="{03238192-5E2C-45E1-877D-CB81C90080CA}" srcOrd="0" destOrd="0" parTransId="{88105D42-1CFC-4EF4-A871-8173EDAC2D20}" sibTransId="{C4DC9558-59D2-4B0A-83FD-BE4A45D1355B}"/>
    <dgm:cxn modelId="{F148C260-285B-4A22-A8C9-C8669C4B1E88}" type="presOf" srcId="{DE849C3A-80A3-4BB0-839F-A011E488FD8B}" destId="{EDD3DA08-BC50-4161-9877-A37638363863}" srcOrd="0" destOrd="0" presId="urn:microsoft.com/office/officeart/2011/layout/HexagonRadial"/>
    <dgm:cxn modelId="{C0E3F66C-84DA-4C74-97B9-D56505BD30C9}" srcId="{85E93581-B0CA-484F-BDDD-901DFB4B6D14}" destId="{5772701F-FC8A-4EBE-8DE6-DE9BFE447CEA}" srcOrd="4" destOrd="0" parTransId="{29CF5914-B68C-479B-B78B-24AFB282E5D8}" sibTransId="{FB3B36F4-D5CC-4D1B-B620-D4FE85C389B2}"/>
    <dgm:cxn modelId="{3E4DD46D-BE97-4EEB-804E-B2FC9F0ABEDB}" type="presOf" srcId="{FA98C41A-85F7-4379-A3BD-7FD1C29D906B}" destId="{62872638-AEA3-4591-8516-1EE3D6BA55DC}" srcOrd="0" destOrd="0" presId="urn:microsoft.com/office/officeart/2011/layout/HexagonRadial"/>
    <dgm:cxn modelId="{6D823553-8EBD-404D-8583-9EA77DB40FF8}" type="presOf" srcId="{03238192-5E2C-45E1-877D-CB81C90080CA}" destId="{25F12FEE-EDD7-4BEB-AF0B-046042D7C864}" srcOrd="0" destOrd="0" presId="urn:microsoft.com/office/officeart/2011/layout/HexagonRadial"/>
    <dgm:cxn modelId="{68D17C56-5082-4BC4-ABF0-8774DD65758B}" type="presOf" srcId="{690A90AE-0FF0-4ED5-8123-0E3760CD814A}" destId="{98DE2FE1-29BE-48E6-BAFB-FAB0CAD5AF8D}" srcOrd="0" destOrd="0" presId="urn:microsoft.com/office/officeart/2011/layout/HexagonRadial"/>
    <dgm:cxn modelId="{2C206D8D-FD00-4CA1-8E3F-754EF85964A4}" srcId="{85E93581-B0CA-484F-BDDD-901DFB4B6D14}" destId="{30BFFB74-9E2C-4921-89FD-D86B7982DD4D}" srcOrd="1" destOrd="0" parTransId="{A5916184-F491-4587-A61B-E1477388FAC4}" sibTransId="{005983D5-23A6-455D-8190-BB3C4045CA9C}"/>
    <dgm:cxn modelId="{F840CC99-2332-4C11-8D7B-69D1AD513B88}" type="presOf" srcId="{30BFFB74-9E2C-4921-89FD-D86B7982DD4D}" destId="{BC1CB600-5B6B-4EE5-86BB-F96D25178997}" srcOrd="0" destOrd="0" presId="urn:microsoft.com/office/officeart/2011/layout/HexagonRadial"/>
    <dgm:cxn modelId="{B80ECBB0-6E5E-4D21-B052-E91592166119}" type="presOf" srcId="{0CB7EC0E-8464-487C-A538-339ABD1D5268}" destId="{89618C83-FC1C-49AA-AE3C-DF7B1B8C3D8B}" srcOrd="0" destOrd="0" presId="urn:microsoft.com/office/officeart/2011/layout/HexagonRadial"/>
    <dgm:cxn modelId="{2CF11FB2-A146-4333-9F84-3C55C5229925}" type="presOf" srcId="{85E93581-B0CA-484F-BDDD-901DFB4B6D14}" destId="{47BA4A03-06F2-42CA-996C-3949F36DE3F9}" srcOrd="0" destOrd="0" presId="urn:microsoft.com/office/officeart/2011/layout/HexagonRadial"/>
    <dgm:cxn modelId="{5A4D2DBA-E017-4802-AF16-8FA67B04D958}" srcId="{85E93581-B0CA-484F-BDDD-901DFB4B6D14}" destId="{690A90AE-0FF0-4ED5-8123-0E3760CD814A}" srcOrd="3" destOrd="0" parTransId="{34E4ACA7-EA87-4EE5-A43C-D307A22BCEC9}" sibTransId="{B414A4DB-9DD9-47DF-B52C-8D5D0B90F8F9}"/>
    <dgm:cxn modelId="{976A96C5-68D8-4F70-820D-F5101F7038D0}" srcId="{85E93581-B0CA-484F-BDDD-901DFB4B6D14}" destId="{FA98C41A-85F7-4379-A3BD-7FD1C29D906B}" srcOrd="2" destOrd="0" parTransId="{CEF0A81C-B838-4488-84DD-C5A504F49141}" sibTransId="{B3E390D1-8F1C-4A23-94CF-4676C8AA8682}"/>
    <dgm:cxn modelId="{A497FBE3-F628-4B74-9B76-47C9096D0DDF}" srcId="{DE849C3A-80A3-4BB0-839F-A011E488FD8B}" destId="{85E93581-B0CA-484F-BDDD-901DFB4B6D14}" srcOrd="0" destOrd="0" parTransId="{C03976DE-9F06-4E28-BDB6-4ECE106986C2}" sibTransId="{AED9DE69-FB59-4708-8F8E-FF5ABA4AEE7E}"/>
    <dgm:cxn modelId="{9100F9E8-CD30-4BDE-8FBF-F8B1ED4EAB6A}" srcId="{85E93581-B0CA-484F-BDDD-901DFB4B6D14}" destId="{0CB7EC0E-8464-487C-A538-339ABD1D5268}" srcOrd="5" destOrd="0" parTransId="{8615D60F-2C51-4A09-8415-4BFD7C590FC5}" sibTransId="{CF3BE3D1-F55E-4368-AC45-7FC1F5666584}"/>
    <dgm:cxn modelId="{889A9A22-DB19-4668-8EF3-FD2C62B79AFA}" type="presParOf" srcId="{EDD3DA08-BC50-4161-9877-A37638363863}" destId="{47BA4A03-06F2-42CA-996C-3949F36DE3F9}" srcOrd="0" destOrd="0" presId="urn:microsoft.com/office/officeart/2011/layout/HexagonRadial"/>
    <dgm:cxn modelId="{15B71979-386F-4C67-AA45-A16B6FAE9DB8}" type="presParOf" srcId="{EDD3DA08-BC50-4161-9877-A37638363863}" destId="{22DDE93B-15B1-44CA-861D-F5A98415A8E2}" srcOrd="1" destOrd="0" presId="urn:microsoft.com/office/officeart/2011/layout/HexagonRadial"/>
    <dgm:cxn modelId="{874FB97A-0EE6-42CA-98B8-24488A48A58C}" type="presParOf" srcId="{22DDE93B-15B1-44CA-861D-F5A98415A8E2}" destId="{EEE83643-5064-42A4-9EF1-B025B047FC48}" srcOrd="0" destOrd="0" presId="urn:microsoft.com/office/officeart/2011/layout/HexagonRadial"/>
    <dgm:cxn modelId="{9DDA4A46-DF61-4AA1-AAE3-57F3AE9E6BC6}" type="presParOf" srcId="{EDD3DA08-BC50-4161-9877-A37638363863}" destId="{25F12FEE-EDD7-4BEB-AF0B-046042D7C864}" srcOrd="2" destOrd="0" presId="urn:microsoft.com/office/officeart/2011/layout/HexagonRadial"/>
    <dgm:cxn modelId="{8F32263B-C070-4144-985D-F55F7C36420F}" type="presParOf" srcId="{EDD3DA08-BC50-4161-9877-A37638363863}" destId="{A1F2F9A3-59BE-4A39-A077-851622108BAB}" srcOrd="3" destOrd="0" presId="urn:microsoft.com/office/officeart/2011/layout/HexagonRadial"/>
    <dgm:cxn modelId="{8B78AA07-D495-4F9D-8F20-A82EF23EC436}" type="presParOf" srcId="{A1F2F9A3-59BE-4A39-A077-851622108BAB}" destId="{201D01C5-398A-4110-988A-87712ADFCCAF}" srcOrd="0" destOrd="0" presId="urn:microsoft.com/office/officeart/2011/layout/HexagonRadial"/>
    <dgm:cxn modelId="{AA56759E-B17E-4B78-96C6-5BE91E50D038}" type="presParOf" srcId="{EDD3DA08-BC50-4161-9877-A37638363863}" destId="{BC1CB600-5B6B-4EE5-86BB-F96D25178997}" srcOrd="4" destOrd="0" presId="urn:microsoft.com/office/officeart/2011/layout/HexagonRadial"/>
    <dgm:cxn modelId="{0BFC4638-299A-4803-A627-4A9B1BB8E1BF}" type="presParOf" srcId="{EDD3DA08-BC50-4161-9877-A37638363863}" destId="{630E4AC0-2178-4E5E-ACD8-C054F0D96B32}" srcOrd="5" destOrd="0" presId="urn:microsoft.com/office/officeart/2011/layout/HexagonRadial"/>
    <dgm:cxn modelId="{EBEF3C3C-6681-4D9D-BBE8-B776F429CA0E}" type="presParOf" srcId="{630E4AC0-2178-4E5E-ACD8-C054F0D96B32}" destId="{AECC0D25-B3D6-47E4-B802-D4440A4203EA}" srcOrd="0" destOrd="0" presId="urn:microsoft.com/office/officeart/2011/layout/HexagonRadial"/>
    <dgm:cxn modelId="{26E684F0-448C-4F7A-B4DD-1CF846813DED}" type="presParOf" srcId="{EDD3DA08-BC50-4161-9877-A37638363863}" destId="{62872638-AEA3-4591-8516-1EE3D6BA55DC}" srcOrd="6" destOrd="0" presId="urn:microsoft.com/office/officeart/2011/layout/HexagonRadial"/>
    <dgm:cxn modelId="{90110AD7-3F17-402C-A966-05C2BCCA8791}" type="presParOf" srcId="{EDD3DA08-BC50-4161-9877-A37638363863}" destId="{BF79D995-1543-4167-9E49-A75397B789E2}" srcOrd="7" destOrd="0" presId="urn:microsoft.com/office/officeart/2011/layout/HexagonRadial"/>
    <dgm:cxn modelId="{158DEAC5-1CD5-48F8-A156-E0E4DEF8483D}" type="presParOf" srcId="{BF79D995-1543-4167-9E49-A75397B789E2}" destId="{1E3B7C28-5277-4C15-8AF7-18B0BB418421}" srcOrd="0" destOrd="0" presId="urn:microsoft.com/office/officeart/2011/layout/HexagonRadial"/>
    <dgm:cxn modelId="{C4B5A37C-A9D9-407A-8C11-9F3640E52424}" type="presParOf" srcId="{EDD3DA08-BC50-4161-9877-A37638363863}" destId="{98DE2FE1-29BE-48E6-BAFB-FAB0CAD5AF8D}" srcOrd="8" destOrd="0" presId="urn:microsoft.com/office/officeart/2011/layout/HexagonRadial"/>
    <dgm:cxn modelId="{AECCF0F2-E7B2-4157-9658-854B7EE4B3A2}" type="presParOf" srcId="{EDD3DA08-BC50-4161-9877-A37638363863}" destId="{8D931D9A-E51A-4E6A-9A84-C0B25787538C}" srcOrd="9" destOrd="0" presId="urn:microsoft.com/office/officeart/2011/layout/HexagonRadial"/>
    <dgm:cxn modelId="{A9B1A3F4-9DA7-4158-BDE0-9892A5D7D380}" type="presParOf" srcId="{8D931D9A-E51A-4E6A-9A84-C0B25787538C}" destId="{721CDC00-30D8-45F7-B10B-9EDAF891345B}" srcOrd="0" destOrd="0" presId="urn:microsoft.com/office/officeart/2011/layout/HexagonRadial"/>
    <dgm:cxn modelId="{82ED0C1A-B50C-4B5C-8C52-6C3E75C98864}" type="presParOf" srcId="{EDD3DA08-BC50-4161-9877-A37638363863}" destId="{EDD4ED28-A626-4FCE-AE8C-47CD0B6DFBFE}" srcOrd="10" destOrd="0" presId="urn:microsoft.com/office/officeart/2011/layout/HexagonRadial"/>
    <dgm:cxn modelId="{B46E724E-53BE-4947-86B2-F61E55E2F1FD}" type="presParOf" srcId="{EDD3DA08-BC50-4161-9877-A37638363863}" destId="{6502E546-E9DF-4B91-BF28-B5DF7EB618D1}" srcOrd="11" destOrd="0" presId="urn:microsoft.com/office/officeart/2011/layout/HexagonRadial"/>
    <dgm:cxn modelId="{A8B10F4F-2033-4001-A22A-DAD6C64091D0}" type="presParOf" srcId="{6502E546-E9DF-4B91-BF28-B5DF7EB618D1}" destId="{7A5A4355-72AF-4B18-A7D5-506F3EE9ECA8}" srcOrd="0" destOrd="0" presId="urn:microsoft.com/office/officeart/2011/layout/HexagonRadial"/>
    <dgm:cxn modelId="{A8DB75F0-9BCC-470D-BF9E-0DB7F698A8B8}" type="presParOf" srcId="{EDD3DA08-BC50-4161-9877-A37638363863}" destId="{89618C83-FC1C-49AA-AE3C-DF7B1B8C3D8B}"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8E1A5E4-389F-4179-9C45-7613A69632F2}" type="doc">
      <dgm:prSet loTypeId="urn:microsoft.com/office/officeart/2005/8/layout/lProcess1" loCatId="process" qsTypeId="urn:microsoft.com/office/officeart/2005/8/quickstyle/simple1" qsCatId="simple" csTypeId="urn:microsoft.com/office/officeart/2005/8/colors/accent1_2" csCatId="accent1" phldr="1"/>
      <dgm:spPr/>
      <dgm:t>
        <a:bodyPr/>
        <a:lstStyle/>
        <a:p>
          <a:endParaRPr lang="ro-RO"/>
        </a:p>
      </dgm:t>
    </dgm:pt>
    <dgm:pt modelId="{B20C4C52-462C-439C-8648-81AE87980F8A}">
      <dgm:prSet phldrT="[Text]"/>
      <dgm:spPr/>
      <dgm:t>
        <a:bodyPr/>
        <a:lstStyle/>
        <a:p>
          <a:r>
            <a:rPr lang="en-GB"/>
            <a:t>Revenue £10.9 bn</a:t>
          </a:r>
          <a:endParaRPr lang="ro-RO"/>
        </a:p>
      </dgm:t>
    </dgm:pt>
    <dgm:pt modelId="{0F470D3F-D8DF-4BC4-9A7D-271C22190ECB}" type="parTrans" cxnId="{737B2D52-986D-44BC-BA3E-BE2F141B1F0A}">
      <dgm:prSet/>
      <dgm:spPr/>
      <dgm:t>
        <a:bodyPr/>
        <a:lstStyle/>
        <a:p>
          <a:endParaRPr lang="ro-RO"/>
        </a:p>
      </dgm:t>
    </dgm:pt>
    <dgm:pt modelId="{9C1A5AB0-F875-42E7-8341-A897A34F95F4}" type="sibTrans" cxnId="{737B2D52-986D-44BC-BA3E-BE2F141B1F0A}">
      <dgm:prSet/>
      <dgm:spPr/>
      <dgm:t>
        <a:bodyPr/>
        <a:lstStyle/>
        <a:p>
          <a:endParaRPr lang="ro-RO"/>
        </a:p>
      </dgm:t>
    </dgm:pt>
    <dgm:pt modelId="{D7E37383-A542-4462-B494-0F9829ED6810}">
      <dgm:prSet phldrT="[Text]"/>
      <dgm:spPr/>
      <dgm:t>
        <a:bodyPr/>
        <a:lstStyle/>
        <a:p>
          <a:r>
            <a:rPr lang="en-GB"/>
            <a:t>Return on capital employed (ROCE) 12.2%</a:t>
          </a:r>
          <a:endParaRPr lang="ro-RO"/>
        </a:p>
      </dgm:t>
    </dgm:pt>
    <dgm:pt modelId="{43284AA5-A0AB-44BD-B4B8-2963A8448AD8}" type="parTrans" cxnId="{8ABF64C3-DF3D-429A-8293-3C73C60ECBC8}">
      <dgm:prSet/>
      <dgm:spPr/>
      <dgm:t>
        <a:bodyPr/>
        <a:lstStyle/>
        <a:p>
          <a:endParaRPr lang="ro-RO"/>
        </a:p>
      </dgm:t>
    </dgm:pt>
    <dgm:pt modelId="{FC73476A-D00D-40AC-9828-212C6F3BC4BF}" type="sibTrans" cxnId="{8ABF64C3-DF3D-429A-8293-3C73C60ECBC8}">
      <dgm:prSet/>
      <dgm:spPr/>
      <dgm:t>
        <a:bodyPr/>
        <a:lstStyle/>
        <a:p>
          <a:endParaRPr lang="ro-RO"/>
        </a:p>
      </dgm:t>
    </dgm:pt>
    <dgm:pt modelId="{B3223A71-EA62-4C7D-9DD1-1224E39CEEF0}">
      <dgm:prSet phldrT="[Text]"/>
      <dgm:spPr/>
      <dgm:t>
        <a:bodyPr/>
        <a:lstStyle/>
        <a:p>
          <a:r>
            <a:rPr lang="en-GB"/>
            <a:t>Dividend per share: NIL</a:t>
          </a:r>
          <a:endParaRPr lang="ro-RO"/>
        </a:p>
      </dgm:t>
    </dgm:pt>
    <dgm:pt modelId="{B6C1DFFB-B40F-4DFF-98C9-F909DD2F231F}" type="parTrans" cxnId="{615210B6-1C00-422C-8ACF-5138A088FBCA}">
      <dgm:prSet/>
      <dgm:spPr/>
      <dgm:t>
        <a:bodyPr/>
        <a:lstStyle/>
        <a:p>
          <a:endParaRPr lang="ro-RO"/>
        </a:p>
      </dgm:t>
    </dgm:pt>
    <dgm:pt modelId="{3D9E48E5-ADCC-471F-91D3-71A49F7AE47A}" type="sibTrans" cxnId="{615210B6-1C00-422C-8ACF-5138A088FBCA}">
      <dgm:prSet/>
      <dgm:spPr/>
      <dgm:t>
        <a:bodyPr/>
        <a:lstStyle/>
        <a:p>
          <a:endParaRPr lang="ro-RO"/>
        </a:p>
      </dgm:t>
    </dgm:pt>
    <dgm:pt modelId="{B0AB3A7E-0D6C-47AB-A7DF-2C5B8CEDEF56}">
      <dgm:prSet phldrT="[Text]"/>
      <dgm:spPr/>
      <dgm:t>
        <a:bodyPr/>
        <a:lstStyle/>
        <a:p>
          <a:r>
            <a:rPr lang="en-GB"/>
            <a:t>Profit before tax £522.9m</a:t>
          </a:r>
          <a:endParaRPr lang="ro-RO"/>
        </a:p>
      </dgm:t>
    </dgm:pt>
    <dgm:pt modelId="{DA261AAF-EB79-499E-9889-C9303301205D}" type="parTrans" cxnId="{311A9243-E5BC-4616-A7F1-0D08339E881A}">
      <dgm:prSet/>
      <dgm:spPr/>
      <dgm:t>
        <a:bodyPr/>
        <a:lstStyle/>
        <a:p>
          <a:endParaRPr lang="ro-RO"/>
        </a:p>
      </dgm:t>
    </dgm:pt>
    <dgm:pt modelId="{4442BD17-77BD-44BB-BD88-810149BA79FE}" type="sibTrans" cxnId="{311A9243-E5BC-4616-A7F1-0D08339E881A}">
      <dgm:prSet/>
      <dgm:spPr/>
      <dgm:t>
        <a:bodyPr/>
        <a:lstStyle/>
        <a:p>
          <a:endParaRPr lang="ro-RO"/>
        </a:p>
      </dgm:t>
    </dgm:pt>
    <dgm:pt modelId="{99B67BBB-5CBB-42BD-8314-E674E92F572A}">
      <dgm:prSet phldrT="[Text]"/>
      <dgm:spPr/>
      <dgm:t>
        <a:bodyPr/>
        <a:lstStyle/>
        <a:p>
          <a:r>
            <a:rPr lang="en-GB"/>
            <a:t>Adjusted earnings per share 21.7 p</a:t>
          </a:r>
          <a:endParaRPr lang="ro-RO"/>
        </a:p>
      </dgm:t>
    </dgm:pt>
    <dgm:pt modelId="{B340E1B7-60F0-4010-9695-106FA19472C5}" type="parTrans" cxnId="{040D37F5-1807-476B-B858-03173CD038DB}">
      <dgm:prSet/>
      <dgm:spPr/>
      <dgm:t>
        <a:bodyPr/>
        <a:lstStyle/>
        <a:p>
          <a:endParaRPr lang="ro-RO"/>
        </a:p>
      </dgm:t>
    </dgm:pt>
    <dgm:pt modelId="{CEBB8DD2-FCDE-4EB2-AA08-A2D95BB1DF57}" type="sibTrans" cxnId="{040D37F5-1807-476B-B858-03173CD038DB}">
      <dgm:prSet/>
      <dgm:spPr/>
      <dgm:t>
        <a:bodyPr/>
        <a:lstStyle/>
        <a:p>
          <a:endParaRPr lang="ro-RO"/>
        </a:p>
      </dgm:t>
    </dgm:pt>
    <dgm:pt modelId="{D80B4D24-9708-4E74-B9C3-DCEB0D898452}">
      <dgm:prSet phldrT="[Text]"/>
      <dgm:spPr/>
      <dgm:t>
        <a:bodyPr/>
        <a:lstStyle/>
        <a:p>
          <a:r>
            <a:rPr lang="en-GB"/>
            <a:t>Free cash flow £699.2m</a:t>
          </a:r>
          <a:endParaRPr lang="ro-RO"/>
        </a:p>
      </dgm:t>
    </dgm:pt>
    <dgm:pt modelId="{8C49A371-78EA-4FEF-9687-933ADA584DE0}" type="parTrans" cxnId="{2D38DD0C-3C81-45E4-95C5-264853F78DB4}">
      <dgm:prSet/>
      <dgm:spPr/>
      <dgm:t>
        <a:bodyPr/>
        <a:lstStyle/>
        <a:p>
          <a:endParaRPr lang="ro-RO"/>
        </a:p>
      </dgm:t>
    </dgm:pt>
    <dgm:pt modelId="{472D4477-D4DF-4A1D-B7E5-B8627C8ABC05}" type="sibTrans" cxnId="{2D38DD0C-3C81-45E4-95C5-264853F78DB4}">
      <dgm:prSet/>
      <dgm:spPr/>
      <dgm:t>
        <a:bodyPr/>
        <a:lstStyle/>
        <a:p>
          <a:endParaRPr lang="ro-RO"/>
        </a:p>
      </dgm:t>
    </dgm:pt>
    <dgm:pt modelId="{56F85F8D-41D3-46AB-AD0F-CC1FEF4377A5}" type="pres">
      <dgm:prSet presAssocID="{F8E1A5E4-389F-4179-9C45-7613A69632F2}" presName="Name0" presStyleCnt="0">
        <dgm:presLayoutVars>
          <dgm:dir/>
          <dgm:animLvl val="lvl"/>
          <dgm:resizeHandles val="exact"/>
        </dgm:presLayoutVars>
      </dgm:prSet>
      <dgm:spPr/>
    </dgm:pt>
    <dgm:pt modelId="{8A4A0F31-EE43-4B3A-9119-00747800F95E}" type="pres">
      <dgm:prSet presAssocID="{B20C4C52-462C-439C-8648-81AE87980F8A}" presName="vertFlow" presStyleCnt="0"/>
      <dgm:spPr/>
    </dgm:pt>
    <dgm:pt modelId="{228E8D82-EC32-4134-B430-4D66658C5256}" type="pres">
      <dgm:prSet presAssocID="{B20C4C52-462C-439C-8648-81AE87980F8A}" presName="header" presStyleLbl="node1" presStyleIdx="0" presStyleCnt="2"/>
      <dgm:spPr/>
    </dgm:pt>
    <dgm:pt modelId="{72F0A928-4D23-4E88-A59F-38B4B62BEF5F}" type="pres">
      <dgm:prSet presAssocID="{43284AA5-A0AB-44BD-B4B8-2963A8448AD8}" presName="parTrans" presStyleLbl="sibTrans2D1" presStyleIdx="0" presStyleCnt="4"/>
      <dgm:spPr/>
    </dgm:pt>
    <dgm:pt modelId="{ED71DA91-EE8E-4450-BAE6-86478495B6F4}" type="pres">
      <dgm:prSet presAssocID="{D7E37383-A542-4462-B494-0F9829ED6810}" presName="child" presStyleLbl="alignAccFollowNode1" presStyleIdx="0" presStyleCnt="4">
        <dgm:presLayoutVars>
          <dgm:chMax val="0"/>
          <dgm:bulletEnabled val="1"/>
        </dgm:presLayoutVars>
      </dgm:prSet>
      <dgm:spPr/>
    </dgm:pt>
    <dgm:pt modelId="{C9C5E5A5-1C17-4FEA-A567-6238D9061592}" type="pres">
      <dgm:prSet presAssocID="{FC73476A-D00D-40AC-9828-212C6F3BC4BF}" presName="sibTrans" presStyleLbl="sibTrans2D1" presStyleIdx="1" presStyleCnt="4"/>
      <dgm:spPr/>
    </dgm:pt>
    <dgm:pt modelId="{82A7177F-C00A-4DBF-B13C-0CE32A9D127E}" type="pres">
      <dgm:prSet presAssocID="{B3223A71-EA62-4C7D-9DD1-1224E39CEEF0}" presName="child" presStyleLbl="alignAccFollowNode1" presStyleIdx="1" presStyleCnt="4">
        <dgm:presLayoutVars>
          <dgm:chMax val="0"/>
          <dgm:bulletEnabled val="1"/>
        </dgm:presLayoutVars>
      </dgm:prSet>
      <dgm:spPr/>
    </dgm:pt>
    <dgm:pt modelId="{BD032561-FE8A-4BEC-9FC2-E8AE832504A8}" type="pres">
      <dgm:prSet presAssocID="{B20C4C52-462C-439C-8648-81AE87980F8A}" presName="hSp" presStyleCnt="0"/>
      <dgm:spPr/>
    </dgm:pt>
    <dgm:pt modelId="{3D0876BF-90DE-4F72-8330-F1647B781900}" type="pres">
      <dgm:prSet presAssocID="{B0AB3A7E-0D6C-47AB-A7DF-2C5B8CEDEF56}" presName="vertFlow" presStyleCnt="0"/>
      <dgm:spPr/>
    </dgm:pt>
    <dgm:pt modelId="{51022180-C715-49E3-893D-C18C1EABFD49}" type="pres">
      <dgm:prSet presAssocID="{B0AB3A7E-0D6C-47AB-A7DF-2C5B8CEDEF56}" presName="header" presStyleLbl="node1" presStyleIdx="1" presStyleCnt="2"/>
      <dgm:spPr/>
    </dgm:pt>
    <dgm:pt modelId="{B7D4C732-7003-4CAB-AD28-F791525019C9}" type="pres">
      <dgm:prSet presAssocID="{B340E1B7-60F0-4010-9695-106FA19472C5}" presName="parTrans" presStyleLbl="sibTrans2D1" presStyleIdx="2" presStyleCnt="4"/>
      <dgm:spPr/>
    </dgm:pt>
    <dgm:pt modelId="{3F46D782-3D1F-4EC7-8350-48088F682B56}" type="pres">
      <dgm:prSet presAssocID="{99B67BBB-5CBB-42BD-8314-E674E92F572A}" presName="child" presStyleLbl="alignAccFollowNode1" presStyleIdx="2" presStyleCnt="4">
        <dgm:presLayoutVars>
          <dgm:chMax val="0"/>
          <dgm:bulletEnabled val="1"/>
        </dgm:presLayoutVars>
      </dgm:prSet>
      <dgm:spPr/>
    </dgm:pt>
    <dgm:pt modelId="{AF282416-81C0-4948-90D9-B08F20D5E945}" type="pres">
      <dgm:prSet presAssocID="{CEBB8DD2-FCDE-4EB2-AA08-A2D95BB1DF57}" presName="sibTrans" presStyleLbl="sibTrans2D1" presStyleIdx="3" presStyleCnt="4"/>
      <dgm:spPr/>
    </dgm:pt>
    <dgm:pt modelId="{1D99CAE4-2862-467D-BFD5-BBF08CB6347E}" type="pres">
      <dgm:prSet presAssocID="{D80B4D24-9708-4E74-B9C3-DCEB0D898452}" presName="child" presStyleLbl="alignAccFollowNode1" presStyleIdx="3" presStyleCnt="4">
        <dgm:presLayoutVars>
          <dgm:chMax val="0"/>
          <dgm:bulletEnabled val="1"/>
        </dgm:presLayoutVars>
      </dgm:prSet>
      <dgm:spPr/>
    </dgm:pt>
  </dgm:ptLst>
  <dgm:cxnLst>
    <dgm:cxn modelId="{2D38DD0C-3C81-45E4-95C5-264853F78DB4}" srcId="{B0AB3A7E-0D6C-47AB-A7DF-2C5B8CEDEF56}" destId="{D80B4D24-9708-4E74-B9C3-DCEB0D898452}" srcOrd="1" destOrd="0" parTransId="{8C49A371-78EA-4FEF-9687-933ADA584DE0}" sibTransId="{472D4477-D4DF-4A1D-B7E5-B8627C8ABC05}"/>
    <dgm:cxn modelId="{311A9243-E5BC-4616-A7F1-0D08339E881A}" srcId="{F8E1A5E4-389F-4179-9C45-7613A69632F2}" destId="{B0AB3A7E-0D6C-47AB-A7DF-2C5B8CEDEF56}" srcOrd="1" destOrd="0" parTransId="{DA261AAF-EB79-499E-9889-C9303301205D}" sibTransId="{4442BD17-77BD-44BB-BD88-810149BA79FE}"/>
    <dgm:cxn modelId="{8246874F-03BA-4854-B98E-A5A54594B611}" type="presOf" srcId="{B20C4C52-462C-439C-8648-81AE87980F8A}" destId="{228E8D82-EC32-4134-B430-4D66658C5256}" srcOrd="0" destOrd="0" presId="urn:microsoft.com/office/officeart/2005/8/layout/lProcess1"/>
    <dgm:cxn modelId="{FF8A8A6F-8FEF-46ED-99CF-FC82E2F99A21}" type="presOf" srcId="{B3223A71-EA62-4C7D-9DD1-1224E39CEEF0}" destId="{82A7177F-C00A-4DBF-B13C-0CE32A9D127E}" srcOrd="0" destOrd="0" presId="urn:microsoft.com/office/officeart/2005/8/layout/lProcess1"/>
    <dgm:cxn modelId="{737B2D52-986D-44BC-BA3E-BE2F141B1F0A}" srcId="{F8E1A5E4-389F-4179-9C45-7613A69632F2}" destId="{B20C4C52-462C-439C-8648-81AE87980F8A}" srcOrd="0" destOrd="0" parTransId="{0F470D3F-D8DF-4BC4-9A7D-271C22190ECB}" sibTransId="{9C1A5AB0-F875-42E7-8341-A897A34F95F4}"/>
    <dgm:cxn modelId="{12E7AF56-1BC2-4385-AAC0-296D50BD50C1}" type="presOf" srcId="{B340E1B7-60F0-4010-9695-106FA19472C5}" destId="{B7D4C732-7003-4CAB-AD28-F791525019C9}" srcOrd="0" destOrd="0" presId="urn:microsoft.com/office/officeart/2005/8/layout/lProcess1"/>
    <dgm:cxn modelId="{F480EB7B-91AA-4727-BA86-52821B414338}" type="presOf" srcId="{99B67BBB-5CBB-42BD-8314-E674E92F572A}" destId="{3F46D782-3D1F-4EC7-8350-48088F682B56}" srcOrd="0" destOrd="0" presId="urn:microsoft.com/office/officeart/2005/8/layout/lProcess1"/>
    <dgm:cxn modelId="{8C95E19B-64DE-4E2A-BFAA-67D8F196542E}" type="presOf" srcId="{CEBB8DD2-FCDE-4EB2-AA08-A2D95BB1DF57}" destId="{AF282416-81C0-4948-90D9-B08F20D5E945}" srcOrd="0" destOrd="0" presId="urn:microsoft.com/office/officeart/2005/8/layout/lProcess1"/>
    <dgm:cxn modelId="{09BFA99E-30BD-48DA-A91B-406DEBB8B0A5}" type="presOf" srcId="{F8E1A5E4-389F-4179-9C45-7613A69632F2}" destId="{56F85F8D-41D3-46AB-AD0F-CC1FEF4377A5}" srcOrd="0" destOrd="0" presId="urn:microsoft.com/office/officeart/2005/8/layout/lProcess1"/>
    <dgm:cxn modelId="{91F9E1A1-215E-4CA4-A5B8-9B71F04FB0B7}" type="presOf" srcId="{D80B4D24-9708-4E74-B9C3-DCEB0D898452}" destId="{1D99CAE4-2862-467D-BFD5-BBF08CB6347E}" srcOrd="0" destOrd="0" presId="urn:microsoft.com/office/officeart/2005/8/layout/lProcess1"/>
    <dgm:cxn modelId="{734DE0A5-427C-45A3-AFD4-21921C9BB84F}" type="presOf" srcId="{43284AA5-A0AB-44BD-B4B8-2963A8448AD8}" destId="{72F0A928-4D23-4E88-A59F-38B4B62BEF5F}" srcOrd="0" destOrd="0" presId="urn:microsoft.com/office/officeart/2005/8/layout/lProcess1"/>
    <dgm:cxn modelId="{615210B6-1C00-422C-8ACF-5138A088FBCA}" srcId="{B20C4C52-462C-439C-8648-81AE87980F8A}" destId="{B3223A71-EA62-4C7D-9DD1-1224E39CEEF0}" srcOrd="1" destOrd="0" parTransId="{B6C1DFFB-B40F-4DFF-98C9-F909DD2F231F}" sibTransId="{3D9E48E5-ADCC-471F-91D3-71A49F7AE47A}"/>
    <dgm:cxn modelId="{4EF9B8BA-C5F4-4CB2-8B15-DD10E8567D35}" type="presOf" srcId="{FC73476A-D00D-40AC-9828-212C6F3BC4BF}" destId="{C9C5E5A5-1C17-4FEA-A567-6238D9061592}" srcOrd="0" destOrd="0" presId="urn:microsoft.com/office/officeart/2005/8/layout/lProcess1"/>
    <dgm:cxn modelId="{8ABF64C3-DF3D-429A-8293-3C73C60ECBC8}" srcId="{B20C4C52-462C-439C-8648-81AE87980F8A}" destId="{D7E37383-A542-4462-B494-0F9829ED6810}" srcOrd="0" destOrd="0" parTransId="{43284AA5-A0AB-44BD-B4B8-2963A8448AD8}" sibTransId="{FC73476A-D00D-40AC-9828-212C6F3BC4BF}"/>
    <dgm:cxn modelId="{65B14CC5-192E-426F-8BBF-07666AC8AB9B}" type="presOf" srcId="{B0AB3A7E-0D6C-47AB-A7DF-2C5B8CEDEF56}" destId="{51022180-C715-49E3-893D-C18C1EABFD49}" srcOrd="0" destOrd="0" presId="urn:microsoft.com/office/officeart/2005/8/layout/lProcess1"/>
    <dgm:cxn modelId="{040D37F5-1807-476B-B858-03173CD038DB}" srcId="{B0AB3A7E-0D6C-47AB-A7DF-2C5B8CEDEF56}" destId="{99B67BBB-5CBB-42BD-8314-E674E92F572A}" srcOrd="0" destOrd="0" parTransId="{B340E1B7-60F0-4010-9695-106FA19472C5}" sibTransId="{CEBB8DD2-FCDE-4EB2-AA08-A2D95BB1DF57}"/>
    <dgm:cxn modelId="{534EFAFF-79EF-4A8D-ABF5-6DB2F556D8CF}" type="presOf" srcId="{D7E37383-A542-4462-B494-0F9829ED6810}" destId="{ED71DA91-EE8E-4450-BAE6-86478495B6F4}" srcOrd="0" destOrd="0" presId="urn:microsoft.com/office/officeart/2005/8/layout/lProcess1"/>
    <dgm:cxn modelId="{4FC7B3BF-6A1B-4A12-8DBC-C1C9EB860F52}" type="presParOf" srcId="{56F85F8D-41D3-46AB-AD0F-CC1FEF4377A5}" destId="{8A4A0F31-EE43-4B3A-9119-00747800F95E}" srcOrd="0" destOrd="0" presId="urn:microsoft.com/office/officeart/2005/8/layout/lProcess1"/>
    <dgm:cxn modelId="{A54D6979-E5A6-4483-8332-201616D0571F}" type="presParOf" srcId="{8A4A0F31-EE43-4B3A-9119-00747800F95E}" destId="{228E8D82-EC32-4134-B430-4D66658C5256}" srcOrd="0" destOrd="0" presId="urn:microsoft.com/office/officeart/2005/8/layout/lProcess1"/>
    <dgm:cxn modelId="{C3B11FA4-79B7-4407-83B4-35E0A53FFE11}" type="presParOf" srcId="{8A4A0F31-EE43-4B3A-9119-00747800F95E}" destId="{72F0A928-4D23-4E88-A59F-38B4B62BEF5F}" srcOrd="1" destOrd="0" presId="urn:microsoft.com/office/officeart/2005/8/layout/lProcess1"/>
    <dgm:cxn modelId="{9BE654FF-F2D0-4AA4-B99F-56A4F9AEB0DE}" type="presParOf" srcId="{8A4A0F31-EE43-4B3A-9119-00747800F95E}" destId="{ED71DA91-EE8E-4450-BAE6-86478495B6F4}" srcOrd="2" destOrd="0" presId="urn:microsoft.com/office/officeart/2005/8/layout/lProcess1"/>
    <dgm:cxn modelId="{58B8B251-2358-4D65-8AB6-2FDEBBE6E599}" type="presParOf" srcId="{8A4A0F31-EE43-4B3A-9119-00747800F95E}" destId="{C9C5E5A5-1C17-4FEA-A567-6238D9061592}" srcOrd="3" destOrd="0" presId="urn:microsoft.com/office/officeart/2005/8/layout/lProcess1"/>
    <dgm:cxn modelId="{ADE12DEE-3B8C-4D4C-BF6D-E43E9B3D34DB}" type="presParOf" srcId="{8A4A0F31-EE43-4B3A-9119-00747800F95E}" destId="{82A7177F-C00A-4DBF-B13C-0CE32A9D127E}" srcOrd="4" destOrd="0" presId="urn:microsoft.com/office/officeart/2005/8/layout/lProcess1"/>
    <dgm:cxn modelId="{9AD5E3F0-50DA-4BAC-BDF6-C99137479B77}" type="presParOf" srcId="{56F85F8D-41D3-46AB-AD0F-CC1FEF4377A5}" destId="{BD032561-FE8A-4BEC-9FC2-E8AE832504A8}" srcOrd="1" destOrd="0" presId="urn:microsoft.com/office/officeart/2005/8/layout/lProcess1"/>
    <dgm:cxn modelId="{8923976B-64B1-4EA4-A644-0E384877D5CF}" type="presParOf" srcId="{56F85F8D-41D3-46AB-AD0F-CC1FEF4377A5}" destId="{3D0876BF-90DE-4F72-8330-F1647B781900}" srcOrd="2" destOrd="0" presId="urn:microsoft.com/office/officeart/2005/8/layout/lProcess1"/>
    <dgm:cxn modelId="{148E6612-58F2-4291-8A1B-3FDE5802BA3F}" type="presParOf" srcId="{3D0876BF-90DE-4F72-8330-F1647B781900}" destId="{51022180-C715-49E3-893D-C18C1EABFD49}" srcOrd="0" destOrd="0" presId="urn:microsoft.com/office/officeart/2005/8/layout/lProcess1"/>
    <dgm:cxn modelId="{8A049148-F774-4D9D-BA61-4D8821F67E63}" type="presParOf" srcId="{3D0876BF-90DE-4F72-8330-F1647B781900}" destId="{B7D4C732-7003-4CAB-AD28-F791525019C9}" srcOrd="1" destOrd="0" presId="urn:microsoft.com/office/officeart/2005/8/layout/lProcess1"/>
    <dgm:cxn modelId="{97B12A15-E60B-49CD-9838-878B7EBC624D}" type="presParOf" srcId="{3D0876BF-90DE-4F72-8330-F1647B781900}" destId="{3F46D782-3D1F-4EC7-8350-48088F682B56}" srcOrd="2" destOrd="0" presId="urn:microsoft.com/office/officeart/2005/8/layout/lProcess1"/>
    <dgm:cxn modelId="{5DE723BA-F968-496F-B4F7-E02BFDF2CB8C}" type="presParOf" srcId="{3D0876BF-90DE-4F72-8330-F1647B781900}" destId="{AF282416-81C0-4948-90D9-B08F20D5E945}" srcOrd="3" destOrd="0" presId="urn:microsoft.com/office/officeart/2005/8/layout/lProcess1"/>
    <dgm:cxn modelId="{572B6815-8E7D-426F-B2D8-3A07CF60AF91}" type="presParOf" srcId="{3D0876BF-90DE-4F72-8330-F1647B781900}" destId="{1D99CAE4-2862-467D-BFD5-BBF08CB6347E}" srcOrd="4" destOrd="0" presId="urn:microsoft.com/office/officeart/2005/8/layout/lProcess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BA4A03-06F2-42CA-996C-3949F36DE3F9}">
      <dsp:nvSpPr>
        <dsp:cNvPr id="0" name=""/>
        <dsp:cNvSpPr/>
      </dsp:nvSpPr>
      <dsp:spPr>
        <a:xfrm>
          <a:off x="2076753" y="1161505"/>
          <a:ext cx="1476323" cy="1277079"/>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Founded in 1884 by Michael Mark and Tomas Spencer, headquartered in London.</a:t>
          </a:r>
          <a:endParaRPr lang="ro-RO" sz="800" b="1" kern="1200"/>
        </a:p>
      </dsp:txBody>
      <dsp:txXfrm>
        <a:off x="2321400" y="1373135"/>
        <a:ext cx="987029" cy="853819"/>
      </dsp:txXfrm>
    </dsp:sp>
    <dsp:sp modelId="{201D01C5-398A-4110-988A-87712ADFCCAF}">
      <dsp:nvSpPr>
        <dsp:cNvPr id="0" name=""/>
        <dsp:cNvSpPr/>
      </dsp:nvSpPr>
      <dsp:spPr>
        <a:xfrm>
          <a:off x="3001215" y="550508"/>
          <a:ext cx="557012" cy="47993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5F12FEE-EDD7-4BEB-AF0B-046042D7C864}">
      <dsp:nvSpPr>
        <dsp:cNvPr id="0" name=""/>
        <dsp:cNvSpPr/>
      </dsp:nvSpPr>
      <dsp:spPr>
        <a:xfrm>
          <a:off x="2212744" y="0"/>
          <a:ext cx="1209836" cy="104665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150 location owned or partially owned. </a:t>
          </a:r>
          <a:endParaRPr lang="ro-RO" sz="800" kern="1200"/>
        </a:p>
      </dsp:txBody>
      <dsp:txXfrm>
        <a:off x="2413240" y="173452"/>
        <a:ext cx="808844" cy="699746"/>
      </dsp:txXfrm>
    </dsp:sp>
    <dsp:sp modelId="{AECC0D25-B3D6-47E4-B802-D4440A4203EA}">
      <dsp:nvSpPr>
        <dsp:cNvPr id="0" name=""/>
        <dsp:cNvSpPr/>
      </dsp:nvSpPr>
      <dsp:spPr>
        <a:xfrm>
          <a:off x="3651292" y="1447740"/>
          <a:ext cx="557012" cy="47993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C1CB600-5B6B-4EE5-86BB-F96D25178997}">
      <dsp:nvSpPr>
        <dsp:cNvPr id="0" name=""/>
        <dsp:cNvSpPr/>
      </dsp:nvSpPr>
      <dsp:spPr>
        <a:xfrm>
          <a:off x="3322304" y="643760"/>
          <a:ext cx="1209836" cy="104665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Net Profit £364.500</a:t>
          </a:r>
          <a:endParaRPr lang="ro-RO" sz="800" kern="1200"/>
        </a:p>
      </dsp:txBody>
      <dsp:txXfrm>
        <a:off x="3522800" y="817212"/>
        <a:ext cx="808844" cy="699746"/>
      </dsp:txXfrm>
    </dsp:sp>
    <dsp:sp modelId="{1E3B7C28-5277-4C15-8AF7-18B0BB418421}">
      <dsp:nvSpPr>
        <dsp:cNvPr id="0" name=""/>
        <dsp:cNvSpPr/>
      </dsp:nvSpPr>
      <dsp:spPr>
        <a:xfrm>
          <a:off x="3199707" y="2460547"/>
          <a:ext cx="557012" cy="47993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2872638-AEA3-4591-8516-1EE3D6BA55DC}">
      <dsp:nvSpPr>
        <dsp:cNvPr id="0" name=""/>
        <dsp:cNvSpPr/>
      </dsp:nvSpPr>
      <dsp:spPr>
        <a:xfrm>
          <a:off x="3266053" y="1909318"/>
          <a:ext cx="1322339" cy="104665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Group revenue £10.9 bn</a:t>
          </a:r>
          <a:endParaRPr lang="ro-RO" sz="800" kern="1200"/>
        </a:p>
      </dsp:txBody>
      <dsp:txXfrm>
        <a:off x="3475924" y="2075434"/>
        <a:ext cx="902597" cy="714418"/>
      </dsp:txXfrm>
    </dsp:sp>
    <dsp:sp modelId="{721CDC00-30D8-45F7-B10B-9EDAF891345B}">
      <dsp:nvSpPr>
        <dsp:cNvPr id="0" name=""/>
        <dsp:cNvSpPr/>
      </dsp:nvSpPr>
      <dsp:spPr>
        <a:xfrm>
          <a:off x="2079500" y="2565680"/>
          <a:ext cx="557012" cy="47993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8DE2FE1-29BE-48E6-BAFB-FAB0CAD5AF8D}">
      <dsp:nvSpPr>
        <dsp:cNvPr id="0" name=""/>
        <dsp:cNvSpPr/>
      </dsp:nvSpPr>
      <dsp:spPr>
        <a:xfrm>
          <a:off x="2212744" y="2553799"/>
          <a:ext cx="1209836" cy="104665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M&amp;S operates in the retail sector:clothing and fashion, food and grocery, home and furniture.</a:t>
          </a:r>
          <a:endParaRPr lang="ro-RO" sz="800" kern="1200"/>
        </a:p>
      </dsp:txBody>
      <dsp:txXfrm>
        <a:off x="2413240" y="2727251"/>
        <a:ext cx="808844" cy="699746"/>
      </dsp:txXfrm>
    </dsp:sp>
    <dsp:sp modelId="{7A5A4355-72AF-4B18-A7D5-506F3EE9ECA8}">
      <dsp:nvSpPr>
        <dsp:cNvPr id="0" name=""/>
        <dsp:cNvSpPr/>
      </dsp:nvSpPr>
      <dsp:spPr>
        <a:xfrm>
          <a:off x="1418778" y="1668808"/>
          <a:ext cx="557012" cy="47993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DD4ED28-A626-4FCE-AE8C-47CD0B6DFBFE}">
      <dsp:nvSpPr>
        <dsp:cNvPr id="0" name=""/>
        <dsp:cNvSpPr/>
      </dsp:nvSpPr>
      <dsp:spPr>
        <a:xfrm>
          <a:off x="1098032" y="1910038"/>
          <a:ext cx="1209836" cy="104665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More than 200 franchisees across Europe, Middle East and Asia.</a:t>
          </a:r>
          <a:endParaRPr lang="ro-RO" sz="800" kern="1200"/>
        </a:p>
      </dsp:txBody>
      <dsp:txXfrm>
        <a:off x="1298528" y="2083490"/>
        <a:ext cx="808844" cy="699746"/>
      </dsp:txXfrm>
    </dsp:sp>
    <dsp:sp modelId="{89618C83-FC1C-49AA-AE3C-DF7B1B8C3D8B}">
      <dsp:nvSpPr>
        <dsp:cNvPr id="0" name=""/>
        <dsp:cNvSpPr/>
      </dsp:nvSpPr>
      <dsp:spPr>
        <a:xfrm>
          <a:off x="1098032" y="642320"/>
          <a:ext cx="1209836" cy="104665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Main competitors- John Lewis.</a:t>
          </a:r>
          <a:endParaRPr lang="ro-RO" sz="800" kern="1200"/>
        </a:p>
      </dsp:txBody>
      <dsp:txXfrm>
        <a:off x="1298528" y="815772"/>
        <a:ext cx="808844" cy="69974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8E8D82-EC32-4134-B430-4D66658C5256}">
      <dsp:nvSpPr>
        <dsp:cNvPr id="0" name=""/>
        <dsp:cNvSpPr/>
      </dsp:nvSpPr>
      <dsp:spPr>
        <a:xfrm>
          <a:off x="68283" y="1073"/>
          <a:ext cx="2499921" cy="6249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GB" sz="1900" kern="1200"/>
            <a:t>Revenue £10.9 bn</a:t>
          </a:r>
          <a:endParaRPr lang="ro-RO" sz="1900" kern="1200"/>
        </a:p>
      </dsp:txBody>
      <dsp:txXfrm>
        <a:off x="86588" y="19378"/>
        <a:ext cx="2463311" cy="588370"/>
      </dsp:txXfrm>
    </dsp:sp>
    <dsp:sp modelId="{72F0A928-4D23-4E88-A59F-38B4B62BEF5F}">
      <dsp:nvSpPr>
        <dsp:cNvPr id="0" name=""/>
        <dsp:cNvSpPr/>
      </dsp:nvSpPr>
      <dsp:spPr>
        <a:xfrm rot="5400000">
          <a:off x="1263558" y="680739"/>
          <a:ext cx="109371" cy="109371"/>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D71DA91-EE8E-4450-BAE6-86478495B6F4}">
      <dsp:nvSpPr>
        <dsp:cNvPr id="0" name=""/>
        <dsp:cNvSpPr/>
      </dsp:nvSpPr>
      <dsp:spPr>
        <a:xfrm>
          <a:off x="68283" y="844797"/>
          <a:ext cx="2499921" cy="624980"/>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GB" sz="1900" kern="1200"/>
            <a:t>Return on capital employed (ROCE) 12.2%</a:t>
          </a:r>
          <a:endParaRPr lang="ro-RO" sz="1900" kern="1200"/>
        </a:p>
      </dsp:txBody>
      <dsp:txXfrm>
        <a:off x="86588" y="863102"/>
        <a:ext cx="2463311" cy="588370"/>
      </dsp:txXfrm>
    </dsp:sp>
    <dsp:sp modelId="{C9C5E5A5-1C17-4FEA-A567-6238D9061592}">
      <dsp:nvSpPr>
        <dsp:cNvPr id="0" name=""/>
        <dsp:cNvSpPr/>
      </dsp:nvSpPr>
      <dsp:spPr>
        <a:xfrm rot="5400000">
          <a:off x="1263558" y="1524463"/>
          <a:ext cx="109371" cy="109371"/>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A7177F-C00A-4DBF-B13C-0CE32A9D127E}">
      <dsp:nvSpPr>
        <dsp:cNvPr id="0" name=""/>
        <dsp:cNvSpPr/>
      </dsp:nvSpPr>
      <dsp:spPr>
        <a:xfrm>
          <a:off x="68283" y="1688520"/>
          <a:ext cx="2499921" cy="624980"/>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GB" sz="1900" kern="1200"/>
            <a:t>Dividend per share: NIL</a:t>
          </a:r>
          <a:endParaRPr lang="ro-RO" sz="1900" kern="1200"/>
        </a:p>
      </dsp:txBody>
      <dsp:txXfrm>
        <a:off x="86588" y="1706825"/>
        <a:ext cx="2463311" cy="588370"/>
      </dsp:txXfrm>
    </dsp:sp>
    <dsp:sp modelId="{51022180-C715-49E3-893D-C18C1EABFD49}">
      <dsp:nvSpPr>
        <dsp:cNvPr id="0" name=""/>
        <dsp:cNvSpPr/>
      </dsp:nvSpPr>
      <dsp:spPr>
        <a:xfrm>
          <a:off x="2918194" y="1073"/>
          <a:ext cx="2499921" cy="62498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GB" sz="1900" kern="1200"/>
            <a:t>Profit before tax £522.9m</a:t>
          </a:r>
          <a:endParaRPr lang="ro-RO" sz="1900" kern="1200"/>
        </a:p>
      </dsp:txBody>
      <dsp:txXfrm>
        <a:off x="2936499" y="19378"/>
        <a:ext cx="2463311" cy="588370"/>
      </dsp:txXfrm>
    </dsp:sp>
    <dsp:sp modelId="{B7D4C732-7003-4CAB-AD28-F791525019C9}">
      <dsp:nvSpPr>
        <dsp:cNvPr id="0" name=""/>
        <dsp:cNvSpPr/>
      </dsp:nvSpPr>
      <dsp:spPr>
        <a:xfrm rot="5400000">
          <a:off x="4113469" y="680739"/>
          <a:ext cx="109371" cy="109371"/>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F46D782-3D1F-4EC7-8350-48088F682B56}">
      <dsp:nvSpPr>
        <dsp:cNvPr id="0" name=""/>
        <dsp:cNvSpPr/>
      </dsp:nvSpPr>
      <dsp:spPr>
        <a:xfrm>
          <a:off x="2918194" y="844797"/>
          <a:ext cx="2499921" cy="624980"/>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GB" sz="1900" kern="1200"/>
            <a:t>Adjusted earnings per share 21.7 p</a:t>
          </a:r>
          <a:endParaRPr lang="ro-RO" sz="1900" kern="1200"/>
        </a:p>
      </dsp:txBody>
      <dsp:txXfrm>
        <a:off x="2936499" y="863102"/>
        <a:ext cx="2463311" cy="588370"/>
      </dsp:txXfrm>
    </dsp:sp>
    <dsp:sp modelId="{AF282416-81C0-4948-90D9-B08F20D5E945}">
      <dsp:nvSpPr>
        <dsp:cNvPr id="0" name=""/>
        <dsp:cNvSpPr/>
      </dsp:nvSpPr>
      <dsp:spPr>
        <a:xfrm rot="5400000">
          <a:off x="4113469" y="1524463"/>
          <a:ext cx="109371" cy="109371"/>
        </a:xfrm>
        <a:prstGeom prst="rightArrow">
          <a:avLst>
            <a:gd name="adj1" fmla="val 667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D99CAE4-2862-467D-BFD5-BBF08CB6347E}">
      <dsp:nvSpPr>
        <dsp:cNvPr id="0" name=""/>
        <dsp:cNvSpPr/>
      </dsp:nvSpPr>
      <dsp:spPr>
        <a:xfrm>
          <a:off x="2918194" y="1688520"/>
          <a:ext cx="2499921" cy="624980"/>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GB" sz="1900" kern="1200"/>
            <a:t>Free cash flow £699.2m</a:t>
          </a:r>
          <a:endParaRPr lang="ro-RO" sz="1900" kern="1200"/>
        </a:p>
      </dsp:txBody>
      <dsp:txXfrm>
        <a:off x="2936499" y="1706825"/>
        <a:ext cx="2463311" cy="58837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8" ma:contentTypeDescription="Create a new document." ma:contentTypeScope="" ma:versionID="db03e4a3fe5cb50d58c5e4ce04384814">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d341ea3c5c669dcd6065d44f9f4807da"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78B623-02FF-42DC-9370-8ACB63B11AC0}">
  <ds:schemaRefs>
    <ds:schemaRef ds:uri="http://schemas.microsoft.com/sharepoint/v3/contenttype/forms"/>
  </ds:schemaRefs>
</ds:datastoreItem>
</file>

<file path=customXml/itemProps2.xml><?xml version="1.0" encoding="utf-8"?>
<ds:datastoreItem xmlns:ds="http://schemas.openxmlformats.org/officeDocument/2006/customXml" ds:itemID="{FD44C797-1C6A-4564-A82B-47B27FC93841}">
  <ds:schemaRefs>
    <ds:schemaRef ds:uri="http://schemas.openxmlformats.org/officeDocument/2006/bibliography"/>
  </ds:schemaRefs>
</ds:datastoreItem>
</file>

<file path=customXml/itemProps3.xml><?xml version="1.0" encoding="utf-8"?>
<ds:datastoreItem xmlns:ds="http://schemas.openxmlformats.org/officeDocument/2006/customXml" ds:itemID="{12C442E8-2764-4B89-80A1-CB7EF5A0D6A0}">
  <ds:schemaRefs>
    <ds:schemaRef ds:uri="http://schemas.microsoft.com/office/2006/metadata/properties"/>
    <ds:schemaRef ds:uri="http://schemas.microsoft.com/office/infopath/2007/PartnerControls"/>
    <ds:schemaRef ds:uri="e9586b6e-d655-4ea8-9b46-aa323587a11f"/>
  </ds:schemaRefs>
</ds:datastoreItem>
</file>

<file path=customXml/itemProps4.xml><?xml version="1.0" encoding="utf-8"?>
<ds:datastoreItem xmlns:ds="http://schemas.openxmlformats.org/officeDocument/2006/customXml" ds:itemID="{B390CDDF-E804-4130-B56A-ED1C35E0D0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8375</Words>
  <Characters>47742</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2023-11-20T11:44:00Z</dcterms:created>
  <dcterms:modified xsi:type="dcterms:W3CDTF">2023-11-20T11:44:00Z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y fmtid="{D5CDD505-2E9C-101B-9397-08002B2CF9AE}" pid="3" name="MSIP_Label_defa4170-0d19-0005-0004-bc88714345d2_Enabled">
    <vt:lpwstr>true</vt:lpwstr>
  </property>
  <property fmtid="{D5CDD505-2E9C-101B-9397-08002B2CF9AE}" pid="4" name="MSIP_Label_defa4170-0d19-0005-0004-bc88714345d2_SetDate">
    <vt:lpwstr>2023-11-20T08:15:47Z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123500e2-810b-4ed2-a69c-bbc6a68643fd</vt:lpwstr>
  </property>
  <property fmtid="{D5CDD505-2E9C-101B-9397-08002B2CF9AE}" pid="8" name="MSIP_Label_defa4170-0d19-0005-0004-bc88714345d2_ActionId">
    <vt:lpwstr>99c4c247-ddde-4309-bb60-29ff8d36f314</vt:lpwstr>
  </property>
  <property fmtid="{D5CDD505-2E9C-101B-9397-08002B2CF9AE}" pid="9" name="MSIP_Label_defa4170-0d19-0005-0004-bc88714345d2_ContentBits">
    <vt:lpwstr>0</vt:lpwstr>
  </property>
</Properties>
</file>