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0E79D67" w14:textId="79014123" w:rsidR="00833470" w:rsidRPr="00074402" w:rsidRDefault="00C90812" w:rsidP="00833470">
      <w:pPr>
        <w:spacing w:line="360" w:lineRule="auto"/>
        <w:rPr>
          <w:rFonts w:ascii="Arial" w:hAnsi="Arial" w:cs="Arial"/>
          <w:szCs w:val="24"/>
        </w:rPr>
      </w:pPr>
      <w:r>
        <w:rPr>
          <w:rFonts w:ascii="Arial" w:hAnsi="Arial" w:cs="Arial"/>
          <w:noProof/>
          <w:szCs w:val="24"/>
          <w:lang w:eastAsia="en-GB"/>
        </w:rPr>
        <w:drawing>
          <wp:inline distT="0" distB="0" distL="0" distR="0" wp14:anchorId="402CC909" wp14:editId="0947B5D9">
            <wp:extent cx="5731510" cy="1958340"/>
            <wp:effectExtent l="0" t="0" r="254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 ultra 2.png"/>
                    <pic:cNvPicPr/>
                  </pic:nvPicPr>
                  <pic:blipFill>
                    <a:blip r:embed="rId8">
                      <a:extLst>
                        <a:ext uri="{28A0092B-C50C-407E-A947-70E740481C1C}">
                          <a14:useLocalDpi xmlns:a14="http://schemas.microsoft.com/office/drawing/2010/main" val="0"/>
                        </a:ext>
                      </a:extLst>
                    </a:blip>
                    <a:stretch>
                      <a:fillRect/>
                    </a:stretch>
                  </pic:blipFill>
                  <pic:spPr>
                    <a:xfrm>
                      <a:off x="0" y="0"/>
                      <a:ext cx="5731510" cy="1958340"/>
                    </a:xfrm>
                    <a:prstGeom prst="rect">
                      <a:avLst/>
                    </a:prstGeom>
                  </pic:spPr>
                </pic:pic>
              </a:graphicData>
            </a:graphic>
          </wp:inline>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217088C2"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proofErr w:type="spellStart"/>
      <w:r w:rsidR="00584AD4">
        <w:rPr>
          <w:rFonts w:ascii="Arial" w:hAnsi="Arial" w:cs="Arial"/>
          <w:sz w:val="28"/>
          <w:szCs w:val="28"/>
        </w:rPr>
        <w:t>Uttam</w:t>
      </w:r>
      <w:proofErr w:type="spellEnd"/>
      <w:r w:rsidR="00584AD4">
        <w:rPr>
          <w:rFonts w:ascii="Arial" w:hAnsi="Arial" w:cs="Arial"/>
          <w:sz w:val="28"/>
          <w:szCs w:val="28"/>
        </w:rPr>
        <w:t xml:space="preserve"> </w:t>
      </w:r>
      <w:proofErr w:type="spellStart"/>
      <w:r w:rsidR="00584AD4">
        <w:rPr>
          <w:rFonts w:ascii="Arial" w:hAnsi="Arial" w:cs="Arial"/>
          <w:sz w:val="28"/>
          <w:szCs w:val="28"/>
        </w:rPr>
        <w:t>Mony</w:t>
      </w:r>
      <w:proofErr w:type="spellEnd"/>
      <w:r w:rsidR="00584AD4">
        <w:rPr>
          <w:rFonts w:ascii="Arial" w:hAnsi="Arial" w:cs="Arial"/>
          <w:sz w:val="28"/>
          <w:szCs w:val="28"/>
        </w:rPr>
        <w:t xml:space="preserve"> </w:t>
      </w:r>
      <w:proofErr w:type="spellStart"/>
      <w:r w:rsidR="00584AD4">
        <w:rPr>
          <w:rFonts w:ascii="Arial" w:hAnsi="Arial" w:cs="Arial"/>
          <w:sz w:val="28"/>
          <w:szCs w:val="28"/>
        </w:rPr>
        <w:t>Sarker</w:t>
      </w:r>
      <w:proofErr w:type="spellEnd"/>
    </w:p>
    <w:p w14:paraId="476C763A" w14:textId="5110D37E"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C572DA">
        <w:rPr>
          <w:rFonts w:ascii="Arial" w:hAnsi="Arial" w:cs="Arial"/>
          <w:sz w:val="28"/>
          <w:szCs w:val="28"/>
          <w:lang w:val="nl-NL"/>
        </w:rPr>
        <w:t xml:space="preserve"> </w:t>
      </w:r>
      <w:r w:rsidR="00584AD4">
        <w:rPr>
          <w:rFonts w:ascii="Arial" w:hAnsi="Arial" w:cs="Arial"/>
          <w:sz w:val="28"/>
          <w:szCs w:val="28"/>
          <w:lang w:val="nl-NL"/>
        </w:rPr>
        <w:t>2530820</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41278561"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C572DA" w:rsidRPr="00C572DA">
        <w:rPr>
          <w:rFonts w:ascii="Arial" w:hAnsi="Arial" w:cs="Arial"/>
          <w:sz w:val="28"/>
          <w:szCs w:val="28"/>
          <w:lang w:val="nl-NL"/>
        </w:rPr>
        <w:t>Introduction to Health and Social Care</w:t>
      </w:r>
    </w:p>
    <w:p w14:paraId="0009AFB0" w14:textId="088FA5EA"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C572DA">
        <w:rPr>
          <w:rFonts w:ascii="Arial" w:hAnsi="Arial" w:cs="Arial"/>
          <w:sz w:val="28"/>
          <w:szCs w:val="28"/>
        </w:rPr>
        <w:t xml:space="preserve"> </w:t>
      </w:r>
      <w:r w:rsidR="00C572DA" w:rsidRPr="00C572DA">
        <w:rPr>
          <w:rFonts w:ascii="Arial" w:hAnsi="Arial" w:cs="Arial"/>
          <w:sz w:val="28"/>
          <w:szCs w:val="28"/>
        </w:rPr>
        <w:t>LCHS4003</w:t>
      </w:r>
    </w:p>
    <w:p w14:paraId="0EA5B494" w14:textId="1EBE9F32" w:rsidR="00833470" w:rsidRDefault="00833470" w:rsidP="00C572DA">
      <w:pPr>
        <w:rPr>
          <w:rFonts w:ascii="Arial" w:hAnsi="Arial" w:cs="Arial"/>
          <w:sz w:val="28"/>
          <w:szCs w:val="28"/>
        </w:rPr>
      </w:pPr>
      <w:r w:rsidRPr="0020413D">
        <w:rPr>
          <w:rFonts w:ascii="Arial" w:hAnsi="Arial" w:cs="Arial"/>
          <w:b/>
          <w:bCs/>
          <w:sz w:val="28"/>
          <w:szCs w:val="28"/>
        </w:rPr>
        <w:t>Lecturer name</w:t>
      </w:r>
      <w:r w:rsidR="00C572DA">
        <w:t xml:space="preserve">: </w:t>
      </w:r>
      <w:r w:rsidR="00695278" w:rsidRPr="00695278">
        <w:rPr>
          <w:rFonts w:ascii="Helvetica" w:hAnsi="Helvetica"/>
          <w:b/>
          <w:color w:val="242130"/>
          <w:sz w:val="28"/>
          <w:szCs w:val="28"/>
          <w:shd w:val="clear" w:color="auto" w:fill="FFFFFF"/>
        </w:rPr>
        <w:t>Sam Parker</w:t>
      </w:r>
      <w:r w:rsidR="00695278" w:rsidRPr="00C572DA">
        <w:rPr>
          <w:rFonts w:ascii="Arial" w:hAnsi="Arial" w:cs="Arial"/>
          <w:sz w:val="28"/>
          <w:szCs w:val="28"/>
        </w:rPr>
        <w:t xml:space="preserve"> </w:t>
      </w:r>
      <w:r w:rsidR="00C572DA" w:rsidRPr="00C572DA">
        <w:rPr>
          <w:rFonts w:ascii="Arial" w:hAnsi="Arial" w:cs="Arial"/>
          <w:sz w:val="28"/>
          <w:szCs w:val="28"/>
        </w:rPr>
        <w:t>(Module Leader)</w:t>
      </w:r>
    </w:p>
    <w:p w14:paraId="4F05591F" w14:textId="77777777" w:rsidR="00E50D06" w:rsidRDefault="00E50D06" w:rsidP="00C572DA">
      <w:pPr>
        <w:rPr>
          <w:rFonts w:ascii="Arial" w:hAnsi="Arial" w:cs="Arial"/>
          <w:sz w:val="28"/>
          <w:szCs w:val="28"/>
        </w:rPr>
      </w:pPr>
    </w:p>
    <w:p w14:paraId="7778394A" w14:textId="77777777" w:rsidR="00E50D06" w:rsidRPr="00E50D06" w:rsidRDefault="00E50D06" w:rsidP="00C572DA">
      <w:pPr>
        <w:rPr>
          <w:rFonts w:ascii="Arial" w:hAnsi="Arial" w:cs="Arial"/>
          <w:sz w:val="28"/>
          <w:szCs w:val="28"/>
        </w:rPr>
      </w:pPr>
    </w:p>
    <w:p w14:paraId="7E15138F" w14:textId="77777777" w:rsidR="00E50D06" w:rsidRPr="00E50D06" w:rsidRDefault="00E50D06" w:rsidP="00E50D06">
      <w:pPr>
        <w:spacing w:after="200" w:line="360" w:lineRule="auto"/>
        <w:rPr>
          <w:rFonts w:ascii="Arial" w:hAnsi="Arial" w:cs="Arial"/>
          <w:bCs/>
          <w:sz w:val="30"/>
          <w:szCs w:val="30"/>
        </w:rPr>
      </w:pPr>
      <w:r w:rsidRPr="00E50D06">
        <w:rPr>
          <w:rFonts w:ascii="Arial" w:hAnsi="Arial" w:cs="Arial"/>
          <w:b/>
          <w:bCs/>
          <w:sz w:val="30"/>
          <w:szCs w:val="30"/>
        </w:rPr>
        <w:t xml:space="preserve">Task 1: </w:t>
      </w:r>
      <w:r w:rsidRPr="00E50D06">
        <w:rPr>
          <w:rFonts w:ascii="Arial" w:hAnsi="Arial" w:cs="Arial"/>
          <w:bCs/>
          <w:sz w:val="30"/>
          <w:szCs w:val="30"/>
        </w:rPr>
        <w:t>Ambulance</w:t>
      </w:r>
      <w:r w:rsidRPr="00E50D06">
        <w:rPr>
          <w:rFonts w:ascii="Arial" w:hAnsi="Arial" w:cs="Arial"/>
          <w:b/>
          <w:bCs/>
          <w:sz w:val="30"/>
          <w:szCs w:val="30"/>
        </w:rPr>
        <w:t xml:space="preserve"> </w:t>
      </w:r>
      <w:r w:rsidRPr="00E50D06">
        <w:rPr>
          <w:rFonts w:ascii="Arial" w:hAnsi="Arial" w:cs="Arial"/>
          <w:bCs/>
          <w:sz w:val="30"/>
          <w:szCs w:val="30"/>
        </w:rPr>
        <w:t>Services in the UK: Roles, Development and Current Challenges</w:t>
      </w:r>
    </w:p>
    <w:p w14:paraId="099C5F6C" w14:textId="77777777" w:rsidR="00E50D06" w:rsidRPr="00E50D06" w:rsidRDefault="00E50D06" w:rsidP="00E50D06">
      <w:pPr>
        <w:spacing w:after="200" w:line="360" w:lineRule="auto"/>
        <w:rPr>
          <w:rFonts w:ascii="Arial" w:hAnsi="Arial" w:cs="Arial"/>
          <w:bCs/>
          <w:sz w:val="30"/>
          <w:szCs w:val="30"/>
        </w:rPr>
      </w:pPr>
      <w:r w:rsidRPr="00E50D06">
        <w:rPr>
          <w:rFonts w:ascii="Arial" w:hAnsi="Arial" w:cs="Arial"/>
          <w:b/>
          <w:bCs/>
          <w:sz w:val="30"/>
          <w:szCs w:val="30"/>
        </w:rPr>
        <w:t xml:space="preserve">Task 2: </w:t>
      </w:r>
      <w:r w:rsidRPr="00E50D06">
        <w:rPr>
          <w:rFonts w:ascii="Arial" w:hAnsi="Arial" w:cs="Arial"/>
          <w:bCs/>
          <w:sz w:val="30"/>
          <w:szCs w:val="30"/>
        </w:rPr>
        <w:t>Community Disability Services in the UK: Development, Functioning and Importance</w:t>
      </w:r>
    </w:p>
    <w:p w14:paraId="12C6076B" w14:textId="77777777" w:rsidR="00E50D06" w:rsidRPr="00E50D06" w:rsidRDefault="00E50D06" w:rsidP="00C572DA"/>
    <w:bookmarkEnd w:id="0"/>
    <w:p w14:paraId="30C9ECF0" w14:textId="1B8A855A" w:rsidR="004C44BA" w:rsidRDefault="004C44BA">
      <w:r>
        <w:br w:type="page"/>
      </w:r>
    </w:p>
    <w:sdt>
      <w:sdtPr>
        <w:rPr>
          <w:rFonts w:asciiTheme="minorHAnsi" w:eastAsiaTheme="minorEastAsia" w:hAnsiTheme="minorHAnsi" w:cstheme="minorBidi"/>
          <w:color w:val="auto"/>
          <w:sz w:val="22"/>
          <w:szCs w:val="22"/>
          <w:lang w:val="en-GB" w:eastAsia="zh-CN"/>
        </w:rPr>
        <w:id w:val="505327682"/>
        <w:docPartObj>
          <w:docPartGallery w:val="Table of Contents"/>
          <w:docPartUnique/>
        </w:docPartObj>
      </w:sdtPr>
      <w:sdtEndPr>
        <w:rPr>
          <w:b/>
          <w:bCs/>
          <w:noProof/>
        </w:rPr>
      </w:sdtEndPr>
      <w:sdtContent>
        <w:p w14:paraId="4D939378" w14:textId="2F87FD5B" w:rsidR="004C44BA" w:rsidRPr="00D22470" w:rsidRDefault="004C44BA" w:rsidP="00D22470">
          <w:pPr>
            <w:pStyle w:val="TOCHeading"/>
            <w:spacing w:line="360" w:lineRule="auto"/>
            <w:jc w:val="center"/>
            <w:rPr>
              <w:rFonts w:ascii="Arial" w:hAnsi="Arial" w:cs="Arial"/>
              <w:b/>
              <w:bCs/>
              <w:color w:val="000000" w:themeColor="text1"/>
              <w:sz w:val="28"/>
              <w:szCs w:val="28"/>
            </w:rPr>
          </w:pPr>
          <w:r w:rsidRPr="00D22470">
            <w:rPr>
              <w:rFonts w:ascii="Arial" w:hAnsi="Arial" w:cs="Arial"/>
              <w:b/>
              <w:bCs/>
              <w:color w:val="000000" w:themeColor="text1"/>
              <w:sz w:val="28"/>
              <w:szCs w:val="28"/>
            </w:rPr>
            <w:t>Table of Contents</w:t>
          </w:r>
        </w:p>
        <w:p w14:paraId="68FAB199" w14:textId="7FE1F594" w:rsidR="00D22470" w:rsidRPr="00D22470" w:rsidRDefault="004C44BA" w:rsidP="00D22470">
          <w:pPr>
            <w:pStyle w:val="TOC1"/>
            <w:tabs>
              <w:tab w:val="right" w:leader="dot" w:pos="9016"/>
            </w:tabs>
            <w:spacing w:line="360" w:lineRule="auto"/>
            <w:rPr>
              <w:rFonts w:ascii="Arial" w:hAnsi="Arial" w:cs="Arial"/>
              <w:noProof/>
              <w:kern w:val="2"/>
              <w:sz w:val="24"/>
              <w:szCs w:val="24"/>
              <w:lang w:val="en-IN" w:eastAsia="en-IN"/>
              <w14:ligatures w14:val="standardContextual"/>
            </w:rPr>
          </w:pPr>
          <w:r w:rsidRPr="00D22470">
            <w:rPr>
              <w:rFonts w:ascii="Arial" w:hAnsi="Arial" w:cs="Arial"/>
              <w:sz w:val="24"/>
              <w:szCs w:val="24"/>
            </w:rPr>
            <w:fldChar w:fldCharType="begin"/>
          </w:r>
          <w:r w:rsidRPr="00D22470">
            <w:rPr>
              <w:rFonts w:ascii="Arial" w:hAnsi="Arial" w:cs="Arial"/>
              <w:sz w:val="24"/>
              <w:szCs w:val="24"/>
            </w:rPr>
            <w:instrText xml:space="preserve"> TOC \o "1-3" \h \z \u </w:instrText>
          </w:r>
          <w:r w:rsidRPr="00D22470">
            <w:rPr>
              <w:rFonts w:ascii="Arial" w:hAnsi="Arial" w:cs="Arial"/>
              <w:sz w:val="24"/>
              <w:szCs w:val="24"/>
            </w:rPr>
            <w:fldChar w:fldCharType="separate"/>
          </w:r>
          <w:hyperlink w:anchor="_Toc234603144" w:history="1">
            <w:r w:rsidR="00D22470" w:rsidRPr="00D22470">
              <w:rPr>
                <w:rStyle w:val="Hyperlink"/>
                <w:rFonts w:ascii="Arial" w:hAnsi="Arial" w:cs="Arial"/>
                <w:noProof/>
                <w:sz w:val="24"/>
                <w:szCs w:val="24"/>
                <w:lang w:val="en-IN"/>
              </w:rPr>
              <w:t>Task 1: Poster</w:t>
            </w:r>
            <w:r w:rsidR="00344319">
              <w:rPr>
                <w:rFonts w:ascii="Arial" w:hAnsi="Arial" w:cs="Arial"/>
                <w:noProof/>
                <w:webHidden/>
                <w:sz w:val="24"/>
                <w:szCs w:val="24"/>
              </w:rPr>
              <w:t xml:space="preserve">                                                                                                             </w:t>
            </w:r>
            <w:r w:rsidR="00D22470" w:rsidRPr="00D22470">
              <w:rPr>
                <w:rFonts w:ascii="Arial" w:hAnsi="Arial" w:cs="Arial"/>
                <w:noProof/>
                <w:webHidden/>
                <w:sz w:val="24"/>
                <w:szCs w:val="24"/>
              </w:rPr>
              <w:fldChar w:fldCharType="begin"/>
            </w:r>
            <w:r w:rsidR="00D22470" w:rsidRPr="00D22470">
              <w:rPr>
                <w:rFonts w:ascii="Arial" w:hAnsi="Arial" w:cs="Arial"/>
                <w:noProof/>
                <w:webHidden/>
                <w:sz w:val="24"/>
                <w:szCs w:val="24"/>
              </w:rPr>
              <w:instrText xml:space="preserve"> PAGEREF _Toc234603144 \h </w:instrText>
            </w:r>
            <w:r w:rsidR="00D22470" w:rsidRPr="00D22470">
              <w:rPr>
                <w:rFonts w:ascii="Arial" w:hAnsi="Arial" w:cs="Arial"/>
                <w:noProof/>
                <w:webHidden/>
                <w:sz w:val="24"/>
                <w:szCs w:val="24"/>
              </w:rPr>
            </w:r>
            <w:r w:rsidR="00D22470" w:rsidRPr="00D22470">
              <w:rPr>
                <w:rFonts w:ascii="Arial" w:hAnsi="Arial" w:cs="Arial"/>
                <w:noProof/>
                <w:webHidden/>
                <w:sz w:val="24"/>
                <w:szCs w:val="24"/>
              </w:rPr>
              <w:fldChar w:fldCharType="separate"/>
            </w:r>
            <w:r w:rsidR="00D22470" w:rsidRPr="00D22470">
              <w:rPr>
                <w:rFonts w:ascii="Arial" w:hAnsi="Arial" w:cs="Arial"/>
                <w:noProof/>
                <w:webHidden/>
                <w:sz w:val="24"/>
                <w:szCs w:val="24"/>
              </w:rPr>
              <w:t>3</w:t>
            </w:r>
            <w:r w:rsidR="00D22470" w:rsidRPr="00D22470">
              <w:rPr>
                <w:rFonts w:ascii="Arial" w:hAnsi="Arial" w:cs="Arial"/>
                <w:noProof/>
                <w:webHidden/>
                <w:sz w:val="24"/>
                <w:szCs w:val="24"/>
              </w:rPr>
              <w:fldChar w:fldCharType="end"/>
            </w:r>
          </w:hyperlink>
        </w:p>
        <w:p w14:paraId="747C2D72" w14:textId="5D0633A5" w:rsidR="00D22470" w:rsidRPr="00D22470" w:rsidRDefault="006D3BCF" w:rsidP="00D22470">
          <w:pPr>
            <w:pStyle w:val="TOC1"/>
            <w:tabs>
              <w:tab w:val="right" w:leader="dot" w:pos="9016"/>
            </w:tabs>
            <w:spacing w:line="360" w:lineRule="auto"/>
            <w:rPr>
              <w:rFonts w:ascii="Arial" w:hAnsi="Arial" w:cs="Arial"/>
              <w:noProof/>
              <w:kern w:val="2"/>
              <w:sz w:val="24"/>
              <w:szCs w:val="24"/>
              <w:lang w:val="en-IN" w:eastAsia="en-IN"/>
              <w14:ligatures w14:val="standardContextual"/>
            </w:rPr>
          </w:pPr>
          <w:hyperlink w:anchor="_Toc234603145" w:history="1">
            <w:r w:rsidR="00D22470" w:rsidRPr="00D22470">
              <w:rPr>
                <w:rStyle w:val="Hyperlink"/>
                <w:rFonts w:ascii="Arial" w:hAnsi="Arial" w:cs="Arial"/>
                <w:noProof/>
                <w:sz w:val="24"/>
                <w:szCs w:val="24"/>
              </w:rPr>
              <w:t>Task 2: A 600-word Essay: Residential care home</w:t>
            </w:r>
            <w:r w:rsidR="00344319">
              <w:rPr>
                <w:rFonts w:ascii="Arial" w:hAnsi="Arial" w:cs="Arial"/>
                <w:noProof/>
                <w:webHidden/>
                <w:sz w:val="24"/>
                <w:szCs w:val="24"/>
              </w:rPr>
              <w:t xml:space="preserve">                                                     </w:t>
            </w:r>
            <w:r w:rsidR="00D22470" w:rsidRPr="00D22470">
              <w:rPr>
                <w:rFonts w:ascii="Arial" w:hAnsi="Arial" w:cs="Arial"/>
                <w:noProof/>
                <w:webHidden/>
                <w:sz w:val="24"/>
                <w:szCs w:val="24"/>
              </w:rPr>
              <w:fldChar w:fldCharType="begin"/>
            </w:r>
            <w:r w:rsidR="00D22470" w:rsidRPr="00D22470">
              <w:rPr>
                <w:rFonts w:ascii="Arial" w:hAnsi="Arial" w:cs="Arial"/>
                <w:noProof/>
                <w:webHidden/>
                <w:sz w:val="24"/>
                <w:szCs w:val="24"/>
              </w:rPr>
              <w:instrText xml:space="preserve"> PAGEREF _Toc234603145 \h </w:instrText>
            </w:r>
            <w:r w:rsidR="00D22470" w:rsidRPr="00D22470">
              <w:rPr>
                <w:rFonts w:ascii="Arial" w:hAnsi="Arial" w:cs="Arial"/>
                <w:noProof/>
                <w:webHidden/>
                <w:sz w:val="24"/>
                <w:szCs w:val="24"/>
              </w:rPr>
            </w:r>
            <w:r w:rsidR="00D22470" w:rsidRPr="00D22470">
              <w:rPr>
                <w:rFonts w:ascii="Arial" w:hAnsi="Arial" w:cs="Arial"/>
                <w:noProof/>
                <w:webHidden/>
                <w:sz w:val="24"/>
                <w:szCs w:val="24"/>
              </w:rPr>
              <w:fldChar w:fldCharType="separate"/>
            </w:r>
            <w:r w:rsidR="00D22470" w:rsidRPr="00D22470">
              <w:rPr>
                <w:rFonts w:ascii="Arial" w:hAnsi="Arial" w:cs="Arial"/>
                <w:noProof/>
                <w:webHidden/>
                <w:sz w:val="24"/>
                <w:szCs w:val="24"/>
              </w:rPr>
              <w:t>6</w:t>
            </w:r>
            <w:r w:rsidR="00D22470" w:rsidRPr="00D22470">
              <w:rPr>
                <w:rFonts w:ascii="Arial" w:hAnsi="Arial" w:cs="Arial"/>
                <w:noProof/>
                <w:webHidden/>
                <w:sz w:val="24"/>
                <w:szCs w:val="24"/>
              </w:rPr>
              <w:fldChar w:fldCharType="end"/>
            </w:r>
          </w:hyperlink>
        </w:p>
        <w:p w14:paraId="5AE859B6" w14:textId="5A2B4D7E" w:rsidR="00D22470" w:rsidRPr="00D22470" w:rsidRDefault="006D3BCF" w:rsidP="00D22470">
          <w:pPr>
            <w:pStyle w:val="TOC1"/>
            <w:tabs>
              <w:tab w:val="right" w:leader="dot" w:pos="9016"/>
            </w:tabs>
            <w:spacing w:line="360" w:lineRule="auto"/>
            <w:rPr>
              <w:rFonts w:ascii="Arial" w:hAnsi="Arial" w:cs="Arial"/>
              <w:noProof/>
              <w:kern w:val="2"/>
              <w:sz w:val="24"/>
              <w:szCs w:val="24"/>
              <w:lang w:val="en-IN" w:eastAsia="en-IN"/>
              <w14:ligatures w14:val="standardContextual"/>
            </w:rPr>
          </w:pPr>
          <w:hyperlink w:anchor="_Toc234603146" w:history="1">
            <w:r w:rsidR="00D22470" w:rsidRPr="00D22470">
              <w:rPr>
                <w:rStyle w:val="Hyperlink"/>
                <w:rFonts w:ascii="Arial" w:hAnsi="Arial" w:cs="Arial"/>
                <w:noProof/>
                <w:sz w:val="24"/>
                <w:szCs w:val="24"/>
              </w:rPr>
              <w:t>References</w:t>
            </w:r>
            <w:r w:rsidR="00344319">
              <w:rPr>
                <w:rFonts w:ascii="Arial" w:hAnsi="Arial" w:cs="Arial"/>
                <w:noProof/>
                <w:webHidden/>
                <w:sz w:val="24"/>
                <w:szCs w:val="24"/>
              </w:rPr>
              <w:t xml:space="preserve">                                                                                                                  </w:t>
            </w:r>
            <w:r w:rsidR="00D22470" w:rsidRPr="00D22470">
              <w:rPr>
                <w:rFonts w:ascii="Arial" w:hAnsi="Arial" w:cs="Arial"/>
                <w:noProof/>
                <w:webHidden/>
                <w:sz w:val="24"/>
                <w:szCs w:val="24"/>
              </w:rPr>
              <w:fldChar w:fldCharType="begin"/>
            </w:r>
            <w:r w:rsidR="00D22470" w:rsidRPr="00D22470">
              <w:rPr>
                <w:rFonts w:ascii="Arial" w:hAnsi="Arial" w:cs="Arial"/>
                <w:noProof/>
                <w:webHidden/>
                <w:sz w:val="24"/>
                <w:szCs w:val="24"/>
              </w:rPr>
              <w:instrText xml:space="preserve"> PAGEREF _Toc234603146 \h </w:instrText>
            </w:r>
            <w:r w:rsidR="00D22470" w:rsidRPr="00D22470">
              <w:rPr>
                <w:rFonts w:ascii="Arial" w:hAnsi="Arial" w:cs="Arial"/>
                <w:noProof/>
                <w:webHidden/>
                <w:sz w:val="24"/>
                <w:szCs w:val="24"/>
              </w:rPr>
            </w:r>
            <w:r w:rsidR="00D22470" w:rsidRPr="00D22470">
              <w:rPr>
                <w:rFonts w:ascii="Arial" w:hAnsi="Arial" w:cs="Arial"/>
                <w:noProof/>
                <w:webHidden/>
                <w:sz w:val="24"/>
                <w:szCs w:val="24"/>
              </w:rPr>
              <w:fldChar w:fldCharType="separate"/>
            </w:r>
            <w:r w:rsidR="00D22470" w:rsidRPr="00D22470">
              <w:rPr>
                <w:rFonts w:ascii="Arial" w:hAnsi="Arial" w:cs="Arial"/>
                <w:noProof/>
                <w:webHidden/>
                <w:sz w:val="24"/>
                <w:szCs w:val="24"/>
              </w:rPr>
              <w:t>8</w:t>
            </w:r>
            <w:r w:rsidR="00D22470" w:rsidRPr="00D22470">
              <w:rPr>
                <w:rFonts w:ascii="Arial" w:hAnsi="Arial" w:cs="Arial"/>
                <w:noProof/>
                <w:webHidden/>
                <w:sz w:val="24"/>
                <w:szCs w:val="24"/>
              </w:rPr>
              <w:fldChar w:fldCharType="end"/>
            </w:r>
          </w:hyperlink>
        </w:p>
        <w:p w14:paraId="318D4C18" w14:textId="1EC67928" w:rsidR="004C44BA" w:rsidRDefault="004C44BA" w:rsidP="00D22470">
          <w:pPr>
            <w:spacing w:line="360" w:lineRule="auto"/>
          </w:pPr>
          <w:r w:rsidRPr="00D22470">
            <w:rPr>
              <w:rFonts w:ascii="Arial" w:hAnsi="Arial" w:cs="Arial"/>
              <w:b/>
              <w:bCs/>
              <w:noProof/>
              <w:sz w:val="24"/>
              <w:szCs w:val="24"/>
            </w:rPr>
            <w:fldChar w:fldCharType="end"/>
          </w:r>
        </w:p>
      </w:sdtContent>
    </w:sdt>
    <w:p w14:paraId="6C78B641" w14:textId="345B61F6" w:rsidR="00925D5E" w:rsidRDefault="00925D5E">
      <w:pPr>
        <w:sectPr w:rsidR="00925D5E" w:rsidSect="00C572DA">
          <w:footerReference w:type="default" r:id="rId9"/>
          <w:pgSz w:w="11906" w:h="16838"/>
          <w:pgMar w:top="1440" w:right="1440" w:bottom="1440" w:left="1440" w:header="708" w:footer="708" w:gutter="0"/>
          <w:cols w:space="708"/>
          <w:titlePg/>
          <w:docGrid w:linePitch="360"/>
        </w:sectPr>
      </w:pPr>
    </w:p>
    <w:p w14:paraId="5AFFC33B" w14:textId="256FA720" w:rsidR="003A000F" w:rsidRDefault="00344319" w:rsidP="0033339C">
      <w:pPr>
        <w:spacing w:line="240" w:lineRule="auto"/>
        <w:sectPr w:rsidR="003A000F" w:rsidSect="003A000F">
          <w:pgSz w:w="16838" w:h="11906" w:orient="landscape"/>
          <w:pgMar w:top="1440" w:right="1440" w:bottom="1440" w:left="1440" w:header="708" w:footer="708" w:gutter="0"/>
          <w:cols w:space="708"/>
          <w:docGrid w:linePitch="360"/>
        </w:sectPr>
      </w:pPr>
      <w:r>
        <w:rPr>
          <w:noProof/>
          <w:lang w:eastAsia="en-GB"/>
        </w:rPr>
        <w:lastRenderedPageBreak/>
        <mc:AlternateContent>
          <mc:Choice Requires="wps">
            <w:drawing>
              <wp:anchor distT="45720" distB="45720" distL="114300" distR="114300" simplePos="0" relativeHeight="251699200" behindDoc="0" locked="0" layoutInCell="1" allowOverlap="1" wp14:anchorId="0FC062D6" wp14:editId="7F324003">
                <wp:simplePos x="0" y="0"/>
                <wp:positionH relativeFrom="column">
                  <wp:posOffset>-360680</wp:posOffset>
                </wp:positionH>
                <wp:positionV relativeFrom="paragraph">
                  <wp:posOffset>3550285</wp:posOffset>
                </wp:positionV>
                <wp:extent cx="4462780" cy="2150110"/>
                <wp:effectExtent l="0" t="0" r="13970"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62780" cy="2150110"/>
                        </a:xfrm>
                        <a:prstGeom prst="rect">
                          <a:avLst/>
                        </a:prstGeom>
                        <a:solidFill>
                          <a:srgbClr val="FFFFFF"/>
                        </a:solidFill>
                        <a:ln w="9525">
                          <a:solidFill>
                            <a:srgbClr val="000000"/>
                          </a:solidFill>
                          <a:miter lim="800000"/>
                          <a:headEnd/>
                          <a:tailEnd/>
                        </a:ln>
                      </wps:spPr>
                      <wps:txbx>
                        <w:txbxContent>
                          <w:p w14:paraId="06B356C5" w14:textId="3F93FFB9" w:rsidR="00927F88" w:rsidRDefault="00927F88" w:rsidP="00927F88">
                            <w:pPr>
                              <w:jc w:val="center"/>
                            </w:pPr>
                            <w:r>
                              <w:rPr>
                                <w:noProof/>
                                <w:lang w:eastAsia="en-GB"/>
                              </w:rPr>
                              <w:drawing>
                                <wp:inline distT="0" distB="0" distL="0" distR="0" wp14:anchorId="34D0AFB3" wp14:editId="4A84F1D8">
                                  <wp:extent cx="4247518" cy="1904044"/>
                                  <wp:effectExtent l="0" t="0" r="635"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igure.png"/>
                                          <pic:cNvPicPr/>
                                        </pic:nvPicPr>
                                        <pic:blipFill>
                                          <a:blip r:embed="rId10">
                                            <a:extLst>
                                              <a:ext uri="{28A0092B-C50C-407E-A947-70E740481C1C}">
                                                <a14:useLocalDpi xmlns:a14="http://schemas.microsoft.com/office/drawing/2010/main" val="0"/>
                                              </a:ext>
                                            </a:extLst>
                                          </a:blip>
                                          <a:stretch>
                                            <a:fillRect/>
                                          </a:stretch>
                                        </pic:blipFill>
                                        <pic:spPr>
                                          <a:xfrm>
                                            <a:off x="0" y="0"/>
                                            <a:ext cx="4456950" cy="1997926"/>
                                          </a:xfrm>
                                          <a:prstGeom prst="rect">
                                            <a:avLst/>
                                          </a:prstGeom>
                                        </pic:spPr>
                                      </pic:pic>
                                    </a:graphicData>
                                  </a:graphic>
                                </wp:inline>
                              </w:drawing>
                            </w:r>
                            <w:r>
                              <w:t>NNS England – Ambulance Quality Indication (AQI)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FC062D6" id="_x0000_t202" coordsize="21600,21600" o:spt="202" path="m,l,21600r21600,l21600,xe">
                <v:stroke joinstyle="miter"/>
                <v:path gradientshapeok="t" o:connecttype="rect"/>
              </v:shapetype>
              <v:shape id="Text Box 2" o:spid="_x0000_s1026" type="#_x0000_t202" style="position:absolute;margin-left:-28.4pt;margin-top:279.55pt;width:351.4pt;height:169.3pt;z-index:251699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vXhJAIAAEcEAAAOAAAAZHJzL2Uyb0RvYy54bWysU9tuGyEQfa/Uf0C813uRHTurrKPUqatK&#10;6UVK+gEsy3pRgaGAvet+fQfWca20fanKA2KY4TBzzszN7agVOQjnJZiaFrOcEmE4tNLsavr1aftm&#10;RYkPzLRMgRE1PQpPb9evX90MthIl9KBa4QiCGF8NtqZ9CLbKMs97oZmfgRUGnR04zQKabpe1jg2I&#10;rlVW5vlVNoBrrQMuvMfb+8lJ1wm/6wQPn7vOi0BUTTG3kHaX9ibu2fqGVTvHbC/5KQ32D1loJg1+&#10;eoa6Z4GRvZO/QWnJHXjowoyDzqDrJBepBqymyF9U89gzK1ItSI63Z5r8/4Plnw5fHJFtTctiSYlh&#10;GkV6EmMgb2EkZeRnsL7CsEeLgWHEa9Q51ertA/BvnhjY9MzsxJ1zMPSCtZhfEV9mF08nHB9BmuEj&#10;tPgN2wdIQGPndCQP6SCIjjodz9rEVDhezudX5XKFLo6+sljkRZHUy1j1/Nw6H94L0CQeaupQ/ATP&#10;Dg8+xHRY9RwSf/OgZLuVSiXD7ZqNcuTAsFG2aaUKXoQpQ4aaXi/KxcTAXyHytP4EoWXAjldS13R1&#10;DmJV5O2daVM/BibVdMaUlTkRGbmbWAxjM56EaaA9IqUOps7GScRDD+4HJQN2dU399z1zghL1waAs&#10;18V8HscgGfPFskTDXXqaSw8zHKFqGiiZjpuQRicSZuAO5etkIjbqPGVyyhW7NfF9mqw4Dpd2ivo1&#10;/+ufAAAA//8DAFBLAwQUAAYACAAAACEAELY8huEAAAALAQAADwAAAGRycy9kb3ducmV2LnhtbEyP&#10;wU7DMBBE70j8g7VIXFDrFBqnCXEqhASiN2gruLrxNomI7WC7afh7lhMcVzt686ZcT6ZnI/rQOSth&#10;MU+Aoa2d7mwjYb97mq2AhaisVr2zKOEbA6yry4tSFdqd7RuO29gwgthQKAltjEPBeahbNCrM3YCW&#10;fkfnjYp0+oZrr84ENz2/TRLBjeosNbRqwMcW68/tyUhYLV/Gj7C5e32vxbHP4002Pn95Ka+vpod7&#10;YBGn+BeGX31Sh4qcDu5kdWC9hFkqSD1KSNN8AYwSYilo3YHweZYBr0r+f0P1AwAA//8DAFBLAQIt&#10;ABQABgAIAAAAIQC2gziS/gAAAOEBAAATAAAAAAAAAAAAAAAAAAAAAABbQ29udGVudF9UeXBlc10u&#10;eG1sUEsBAi0AFAAGAAgAAAAhADj9If/WAAAAlAEAAAsAAAAAAAAAAAAAAAAALwEAAF9yZWxzLy5y&#10;ZWxzUEsBAi0AFAAGAAgAAAAhAAqq9eEkAgAARwQAAA4AAAAAAAAAAAAAAAAALgIAAGRycy9lMm9E&#10;b2MueG1sUEsBAi0AFAAGAAgAAAAhABC2PIbhAAAACwEAAA8AAAAAAAAAAAAAAAAAfgQAAGRycy9k&#10;b3ducmV2LnhtbFBLBQYAAAAABAAEAPMAAACMBQAAAAA=&#10;">
                <v:textbox>
                  <w:txbxContent>
                    <w:p w14:paraId="06B356C5" w14:textId="3F93FFB9" w:rsidR="00927F88" w:rsidRDefault="00927F88" w:rsidP="00927F88">
                      <w:pPr>
                        <w:jc w:val="center"/>
                      </w:pPr>
                      <w:r>
                        <w:rPr>
                          <w:noProof/>
                          <w:lang w:eastAsia="en-GB"/>
                        </w:rPr>
                        <w:drawing>
                          <wp:inline distT="0" distB="0" distL="0" distR="0" wp14:anchorId="34D0AFB3" wp14:editId="4A84F1D8">
                            <wp:extent cx="4247518" cy="1904044"/>
                            <wp:effectExtent l="0" t="0" r="635"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igure.png"/>
                                    <pic:cNvPicPr/>
                                  </pic:nvPicPr>
                                  <pic:blipFill>
                                    <a:blip r:embed="rId10">
                                      <a:extLst>
                                        <a:ext uri="{28A0092B-C50C-407E-A947-70E740481C1C}">
                                          <a14:useLocalDpi xmlns:a14="http://schemas.microsoft.com/office/drawing/2010/main" val="0"/>
                                        </a:ext>
                                      </a:extLst>
                                    </a:blip>
                                    <a:stretch>
                                      <a:fillRect/>
                                    </a:stretch>
                                  </pic:blipFill>
                                  <pic:spPr>
                                    <a:xfrm>
                                      <a:off x="0" y="0"/>
                                      <a:ext cx="4456950" cy="1997926"/>
                                    </a:xfrm>
                                    <a:prstGeom prst="rect">
                                      <a:avLst/>
                                    </a:prstGeom>
                                  </pic:spPr>
                                </pic:pic>
                              </a:graphicData>
                            </a:graphic>
                          </wp:inline>
                        </w:drawing>
                      </w:r>
                      <w:r>
                        <w:t>NNS England – Ambulance Quality Indication (AQI) 2024</w:t>
                      </w:r>
                    </w:p>
                  </w:txbxContent>
                </v:textbox>
                <w10:wrap type="square"/>
              </v:shape>
            </w:pict>
          </mc:Fallback>
        </mc:AlternateContent>
      </w:r>
      <w:r>
        <w:rPr>
          <w:noProof/>
          <w:lang w:eastAsia="en-GB"/>
        </w:rPr>
        <mc:AlternateContent>
          <mc:Choice Requires="wps">
            <w:drawing>
              <wp:anchor distT="45720" distB="45720" distL="114300" distR="114300" simplePos="0" relativeHeight="251663360" behindDoc="0" locked="0" layoutInCell="1" allowOverlap="1" wp14:anchorId="04CAE92E" wp14:editId="3DA951F1">
                <wp:simplePos x="0" y="0"/>
                <wp:positionH relativeFrom="page">
                  <wp:posOffset>533400</wp:posOffset>
                </wp:positionH>
                <wp:positionV relativeFrom="paragraph">
                  <wp:posOffset>1354455</wp:posOffset>
                </wp:positionV>
                <wp:extent cx="4483100" cy="2061845"/>
                <wp:effectExtent l="19050" t="19050" r="31750" b="33655"/>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3100" cy="2061845"/>
                        </a:xfrm>
                        <a:prstGeom prst="rect">
                          <a:avLst/>
                        </a:prstGeom>
                        <a:solidFill>
                          <a:srgbClr val="FFFFFF"/>
                        </a:solidFill>
                        <a:ln w="47625">
                          <a:solidFill>
                            <a:schemeClr val="accent2"/>
                          </a:solidFill>
                          <a:miter lim="800000"/>
                          <a:headEnd/>
                          <a:tailEnd/>
                        </a:ln>
                        <a:effectLst>
                          <a:softEdge rad="25400"/>
                        </a:effectLst>
                      </wps:spPr>
                      <wps:txbx>
                        <w:txbxContent>
                          <w:p w14:paraId="026D1929" w14:textId="229C3A35" w:rsidR="00AF06F6" w:rsidRPr="001C7A20" w:rsidRDefault="00344319" w:rsidP="00AF06F6">
                            <w:pPr>
                              <w:jc w:val="center"/>
                              <w:rPr>
                                <w:rFonts w:ascii="Arial" w:hAnsi="Arial" w:cs="Arial"/>
                                <w:b/>
                              </w:rPr>
                            </w:pPr>
                            <w:r w:rsidRPr="001C7A20">
                              <w:rPr>
                                <w:rFonts w:ascii="Arial" w:hAnsi="Arial" w:cs="Arial"/>
                                <w:b/>
                              </w:rPr>
                              <w:t>Introduction</w:t>
                            </w:r>
                          </w:p>
                          <w:p w14:paraId="48EE1868" w14:textId="3FD96729" w:rsidR="009C27B0" w:rsidRPr="00230E8E" w:rsidRDefault="00344319" w:rsidP="00344319">
                            <w:pPr>
                              <w:spacing w:line="360" w:lineRule="auto"/>
                              <w:jc w:val="both"/>
                              <w:rPr>
                                <w:rFonts w:ascii="Arial" w:hAnsi="Arial" w:cs="Arial"/>
                              </w:rPr>
                            </w:pPr>
                            <w:r w:rsidRPr="00344319">
                              <w:rPr>
                                <w:rFonts w:ascii="Arial" w:hAnsi="Arial" w:cs="Arial"/>
                              </w:rPr>
                              <w:t xml:space="preserve">According to </w:t>
                            </w:r>
                            <w:proofErr w:type="spellStart"/>
                            <w:r w:rsidRPr="00344319">
                              <w:rPr>
                                <w:rFonts w:ascii="Arial" w:hAnsi="Arial" w:cs="Arial"/>
                              </w:rPr>
                              <w:t>Fernandes</w:t>
                            </w:r>
                            <w:proofErr w:type="spellEnd"/>
                            <w:r w:rsidRPr="00344319">
                              <w:rPr>
                                <w:rFonts w:ascii="Arial" w:hAnsi="Arial" w:cs="Arial"/>
                              </w:rPr>
                              <w:t xml:space="preserve"> and Ray (2023), ambulance services are an essential component of the healthcare system in the United Kingdom, including emergency care for accidents, injuries, and acute sickness. Trained personnel may be reached by dialling 999, assessing crises, treating patients right away, and transporting or referring them to the proper medical services. Approximately 6,000 ambulances are in use throughout the United Kingdom (NHS Alliance,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7" type="#_x0000_t202" style="position:absolute;margin-left:42pt;margin-top:106.65pt;width:353pt;height:162.3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c7/RgIAAIQEAAAOAAAAZHJzL2Uyb0RvYy54bWysVNtu2zAMfR+wfxD0vtjxnDQz4hRd2gwD&#10;ugvQ7gMYWY6FyaInKbGzrx8lp2m67WmYHwRRpI4OeUgvr4dWs4O0TqEp+XSSciaNwEqZXcm/PW7e&#10;LDhzHkwFGo0s+VE6fr16/WrZd4XMsEFdScsIxLii70reeN8VSeJEI1twE+ykIWeNtgVPpt0llYWe&#10;0FudZGk6T3q0VWdRSOfo9HZ08lXEr2sp/Je6dtIzXXLi5uNq47oNa7JaQrGz0DVKnGjAP7BoQRl6&#10;9Ax1Cx7Y3qo/oFolLDqs/URgm2BdKyFjDpTNNP0tm4cGOhlzoeK47lwm9/9gxefDV8tUVfKcMwMt&#10;SfQoB8/e48DyUJ2+cwUFPXQU5gc6JpVjpq67R/HdMYPrBsxO3liLfSOhInbTcDO5uDriuACy7T9h&#10;Rc/A3mMEGmrbhtJRMRihk0rHszKBiqDDPF+8nabkEuTL0vl0kc/iG1A8Xe+s8x8ktixsSm5J+ggP&#10;h3vnAx0onkLCaw61qjZK62jY3XatLTsAtckmfif0F2HasJ64XM2z2ViCFxihZeUZBYSQxmd/g2mV&#10;p57Xqi35Ig1fCIIi1O7OVHHvQelxT7S1CW4Zu5lyGdnX/q7aSWaBpMtm+QhCwRdhUYBQ87H6ftgO&#10;UemoThBni9WRFLE4jgWNMW0atD8562kkSu5+7MFKzvRHQ6q+m+Z5mKFo5LOrjAx76dleesAIgiq5&#10;52zcrn2cu0Df4A2pX6uoyzOTU89Qq0e5TmMZZunSjlHPP4/VLwAAAP//AwBQSwMEFAAGAAgAAAAh&#10;ACKE8hLgAAAACgEAAA8AAABkcnMvZG93bnJldi54bWxMj81OwzAQhO9IvIO1SNyonaZACHGqChWJ&#10;QyRI4QHc2PkR9jqK3SZ9e5YTHGdnNPtNsV2cZWczhcGjhGQlgBlsvB6wk/D1+XqXAQtRoVbWo5Fw&#10;MQG25fVVoXLtZ6zN+RA7RiUYciWhj3HMOQ9Nb5wKKz8aJK/1k1OR5NRxPamZyp3layEeuFMD0ode&#10;jealN8334eQkvC31/rL5mLGybVX7dlftk/dMytubZfcMLJol/oXhF5/QoSSmoz+hDsxKyDY0JUpY&#10;J2kKjAKPT4IuRwn3aSaAlwX/P6H8AQAA//8DAFBLAQItABQABgAIAAAAIQC2gziS/gAAAOEBAAAT&#10;AAAAAAAAAAAAAAAAAAAAAABbQ29udGVudF9UeXBlc10ueG1sUEsBAi0AFAAGAAgAAAAhADj9If/W&#10;AAAAlAEAAAsAAAAAAAAAAAAAAAAALwEAAF9yZWxzLy5yZWxzUEsBAi0AFAAGAAgAAAAhAO91zv9G&#10;AgAAhAQAAA4AAAAAAAAAAAAAAAAALgIAAGRycy9lMm9Eb2MueG1sUEsBAi0AFAAGAAgAAAAhACKE&#10;8hLgAAAACgEAAA8AAAAAAAAAAAAAAAAAoAQAAGRycy9kb3ducmV2LnhtbFBLBQYAAAAABAAEAPMA&#10;AACtBQAAAAA=&#10;" strokecolor="#ed7d31 [3205]" strokeweight="3.75pt">
                <v:textbox>
                  <w:txbxContent>
                    <w:p w14:paraId="026D1929" w14:textId="229C3A35" w:rsidR="00AF06F6" w:rsidRPr="001C7A20" w:rsidRDefault="00344319" w:rsidP="00AF06F6">
                      <w:pPr>
                        <w:jc w:val="center"/>
                        <w:rPr>
                          <w:rFonts w:ascii="Arial" w:hAnsi="Arial" w:cs="Arial"/>
                          <w:b/>
                        </w:rPr>
                      </w:pPr>
                      <w:r w:rsidRPr="001C7A20">
                        <w:rPr>
                          <w:rFonts w:ascii="Arial" w:hAnsi="Arial" w:cs="Arial"/>
                          <w:b/>
                        </w:rPr>
                        <w:t>Introduction</w:t>
                      </w:r>
                    </w:p>
                    <w:p w14:paraId="48EE1868" w14:textId="3FD96729" w:rsidR="009C27B0" w:rsidRPr="00230E8E" w:rsidRDefault="00344319" w:rsidP="00344319">
                      <w:pPr>
                        <w:spacing w:line="360" w:lineRule="auto"/>
                        <w:jc w:val="both"/>
                        <w:rPr>
                          <w:rFonts w:ascii="Arial" w:hAnsi="Arial" w:cs="Arial"/>
                        </w:rPr>
                      </w:pPr>
                      <w:r w:rsidRPr="00344319">
                        <w:rPr>
                          <w:rFonts w:ascii="Arial" w:hAnsi="Arial" w:cs="Arial"/>
                        </w:rPr>
                        <w:t xml:space="preserve">According to </w:t>
                      </w:r>
                      <w:proofErr w:type="spellStart"/>
                      <w:r w:rsidRPr="00344319">
                        <w:rPr>
                          <w:rFonts w:ascii="Arial" w:hAnsi="Arial" w:cs="Arial"/>
                        </w:rPr>
                        <w:t>Fernandes</w:t>
                      </w:r>
                      <w:proofErr w:type="spellEnd"/>
                      <w:r w:rsidRPr="00344319">
                        <w:rPr>
                          <w:rFonts w:ascii="Arial" w:hAnsi="Arial" w:cs="Arial"/>
                        </w:rPr>
                        <w:t xml:space="preserve"> and Ray (2023), ambulance services are an essential component of the healthcare system in the United Kingdom, including emergency care for accidents, injuries, and acute sickness. Trained personnel may be reached by dialling 999, assessing crises, treating patients right away, and transporting or referring them to the proper medical services. Approximately 6,000 ambulances are in use throughout the United Kingdom (NHS Alliance, 2024).</w:t>
                      </w:r>
                    </w:p>
                  </w:txbxContent>
                </v:textbox>
                <w10:wrap type="square" anchorx="page"/>
              </v:shape>
            </w:pict>
          </mc:Fallback>
        </mc:AlternateContent>
      </w:r>
      <w:r w:rsidR="00230E8E">
        <w:rPr>
          <w:noProof/>
          <w:lang w:eastAsia="en-GB"/>
        </w:rPr>
        <mc:AlternateContent>
          <mc:Choice Requires="wps">
            <w:drawing>
              <wp:anchor distT="45720" distB="45720" distL="114300" distR="114300" simplePos="0" relativeHeight="251701248" behindDoc="0" locked="0" layoutInCell="1" allowOverlap="1" wp14:anchorId="519664B3" wp14:editId="45717B61">
                <wp:simplePos x="0" y="0"/>
                <wp:positionH relativeFrom="column">
                  <wp:posOffset>4237990</wp:posOffset>
                </wp:positionH>
                <wp:positionV relativeFrom="paragraph">
                  <wp:posOffset>3757295</wp:posOffset>
                </wp:positionV>
                <wp:extent cx="4638040" cy="1943735"/>
                <wp:effectExtent l="0" t="0" r="10160" b="1841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38040" cy="1943735"/>
                        </a:xfrm>
                        <a:prstGeom prst="rect">
                          <a:avLst/>
                        </a:prstGeom>
                        <a:solidFill>
                          <a:srgbClr val="FFFFFF"/>
                        </a:solidFill>
                        <a:ln w="9525">
                          <a:solidFill>
                            <a:srgbClr val="000000"/>
                          </a:solidFill>
                          <a:miter lim="800000"/>
                          <a:headEnd/>
                          <a:tailEnd/>
                        </a:ln>
                      </wps:spPr>
                      <wps:txbx>
                        <w:txbxContent>
                          <w:p w14:paraId="25AC2498" w14:textId="39C9A30C" w:rsidR="001C7A20" w:rsidRPr="001C7A20" w:rsidRDefault="001C7A20" w:rsidP="001C7A20">
                            <w:pPr>
                              <w:spacing w:before="100" w:beforeAutospacing="1" w:after="100" w:afterAutospacing="1" w:line="240" w:lineRule="auto"/>
                              <w:outlineLvl w:val="2"/>
                              <w:rPr>
                                <w:rFonts w:ascii="Arial" w:eastAsia="Times New Roman" w:hAnsi="Arial" w:cs="Arial"/>
                                <w:b/>
                                <w:bCs/>
                                <w:lang w:eastAsia="en-GB"/>
                              </w:rPr>
                            </w:pPr>
                            <w:r w:rsidRPr="001C7A20">
                              <w:rPr>
                                <w:rFonts w:ascii="Arial" w:eastAsia="Times New Roman" w:hAnsi="Arial" w:cs="Arial"/>
                                <w:b/>
                                <w:bCs/>
                                <w:lang w:eastAsia="en-GB"/>
                              </w:rPr>
                              <w:t xml:space="preserve">Key Roles and Partnership Working </w:t>
                            </w:r>
                          </w:p>
                          <w:p w14:paraId="13821C0A" w14:textId="15F6918D" w:rsidR="001C7A20" w:rsidRPr="00230E8E" w:rsidRDefault="00230E8E" w:rsidP="00230E8E">
                            <w:pPr>
                              <w:spacing w:line="360" w:lineRule="auto"/>
                              <w:rPr>
                                <w:rFonts w:ascii="Arial" w:hAnsi="Arial" w:cs="Arial"/>
                              </w:rPr>
                            </w:pPr>
                            <w:r w:rsidRPr="00230E8E">
                              <w:rPr>
                                <w:rFonts w:ascii="Arial" w:hAnsi="Arial" w:cs="Arial"/>
                              </w:rPr>
                              <w:t>Ambulance services depend on teamwork. Call handlers assess emergencies, paramedics and support staff provide treatment and transport, while control operators coordinate responses. They also work with hospitals, GPs, NHS 111, police, fire services, and social care teams to deliver effective patient care.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9664B3" id="_x0000_s1028" type="#_x0000_t202" style="position:absolute;margin-left:333.7pt;margin-top:295.85pt;width:365.2pt;height:153.05pt;z-index:251701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1gaMJQIAAE0EAAAOAAAAZHJzL2Uyb0RvYy54bWysVNtu2zAMfR+wfxD0vjjXNjHiFF26DAO6&#10;C9DuA2hZjoVJoicpsbuvHyWnWXZ7GeYHQRSpo8ND0uub3mh2lM4rtAWfjMacSSuwUnZf8M+Pu1dL&#10;znwAW4FGKwv+JD2/2bx8se7aXE6xQV1JxwjE+rxrC96E0OZZ5kUjDfgRttKSs0ZnIJDp9lnloCN0&#10;o7PpeHyVdeiq1qGQ3tPp3eDkm4Rf11KEj3XtZWC64MQtpNWltYxrtllDvnfQNkqcaMA/sDCgLD16&#10;hrqDAOzg1G9QRgmHHuswEmgyrGslZMqBspmMf8nmoYFWplxIHN+eZfL/D1Z8OH5yTFVUO5LHgqEa&#10;Pco+sNfYs2mUp2t9TlEPLcWFno4pNKXq23sUXzyzuG3A7uWtc9g1EiqiN4k3s4urA46PIGX3Hit6&#10;Bg4BE1BfOxO1IzUYoROPp3NpIhVBh/Or2XI8J5cg32Q1n13PFukNyJ+vt86HtxINi5uCO6p9gofj&#10;vQ+RDuTPIfE1j1pVO6V1Mty+3GrHjkB9skvfCf2nMG1ZV/DVYroYFPgrxDh9f4IwKlDDa2UKvjwH&#10;QR51e2Or1I4BlB72RFnbk5BRu0HF0Jd9Ktm5PiVWT6Ssw6G/aR5p06D7xllHvV1w//UATnKm31mq&#10;zmoyj1KGZMwX11My3KWnvPSAFQRV8MDZsN2GNEBRN4u3VMVaJX1juQcmJ8rUs0n203zFobi0U9SP&#10;v8DmOwAAAP//AwBQSwMEFAAGAAgAAAAhAAPDpxDhAAAADAEAAA8AAABkcnMvZG93bnJldi54bWxM&#10;j8FOwzAMhu9IvENkJC5oS8dGu5amE0ICsRtsCK5Zk7UViVOSrCtvj3uCmy3/+vz95Wa0hg3ah86h&#10;gMU8AaaxdqrDRsD7/mm2BhaiRCWNQy3gRwfYVJcXpSyUO+ObHnaxYQTBUEgBbYx9wXmoW21lmLte&#10;I92OzlsZafUNV16eCW4Nv02SlFvZIX1oZa8fW11/7U5WwHr1MnyG7fL1o06PJo832fD87YW4vhof&#10;7oFFPca/MEz6pA4VOR3cCVVgRkCaZiuKCrjLFxmwKbHMM2pzIP408Krk/0tUvwAAAP//AwBQSwEC&#10;LQAUAAYACAAAACEAtoM4kv4AAADhAQAAEwAAAAAAAAAAAAAAAAAAAAAAW0NvbnRlbnRfVHlwZXNd&#10;LnhtbFBLAQItABQABgAIAAAAIQA4/SH/1gAAAJQBAAALAAAAAAAAAAAAAAAAAC8BAABfcmVscy8u&#10;cmVsc1BLAQItABQABgAIAAAAIQBW1gaMJQIAAE0EAAAOAAAAAAAAAAAAAAAAAC4CAABkcnMvZTJv&#10;RG9jLnhtbFBLAQItABQABgAIAAAAIQADw6cQ4QAAAAwBAAAPAAAAAAAAAAAAAAAAAH8EAABkcnMv&#10;ZG93bnJldi54bWxQSwUGAAAAAAQABADzAAAAjQUAAAAA&#10;">
                <v:textbox>
                  <w:txbxContent>
                    <w:p w14:paraId="25AC2498" w14:textId="39C9A30C" w:rsidR="001C7A20" w:rsidRPr="001C7A20" w:rsidRDefault="001C7A20" w:rsidP="001C7A20">
                      <w:pPr>
                        <w:spacing w:before="100" w:beforeAutospacing="1" w:after="100" w:afterAutospacing="1" w:line="240" w:lineRule="auto"/>
                        <w:outlineLvl w:val="2"/>
                        <w:rPr>
                          <w:rFonts w:ascii="Arial" w:eastAsia="Times New Roman" w:hAnsi="Arial" w:cs="Arial"/>
                          <w:b/>
                          <w:bCs/>
                          <w:lang w:eastAsia="en-GB"/>
                        </w:rPr>
                      </w:pPr>
                      <w:r w:rsidRPr="001C7A20">
                        <w:rPr>
                          <w:rFonts w:ascii="Arial" w:eastAsia="Times New Roman" w:hAnsi="Arial" w:cs="Arial"/>
                          <w:b/>
                          <w:bCs/>
                          <w:lang w:eastAsia="en-GB"/>
                        </w:rPr>
                        <w:t xml:space="preserve">Key Roles and Partnership Working </w:t>
                      </w:r>
                    </w:p>
                    <w:p w14:paraId="13821C0A" w14:textId="15F6918D" w:rsidR="001C7A20" w:rsidRPr="00230E8E" w:rsidRDefault="00230E8E" w:rsidP="00230E8E">
                      <w:pPr>
                        <w:spacing w:line="360" w:lineRule="auto"/>
                        <w:rPr>
                          <w:rFonts w:ascii="Arial" w:hAnsi="Arial" w:cs="Arial"/>
                        </w:rPr>
                      </w:pPr>
                      <w:r w:rsidRPr="00230E8E">
                        <w:rPr>
                          <w:rFonts w:ascii="Arial" w:hAnsi="Arial" w:cs="Arial"/>
                        </w:rPr>
                        <w:t>Ambulance services depend on teamwork. Call handlers assess emergencies, paramedics and support staff provide treatment and transport, while control operators coordinate responses. They also work with hospitals, GPs, NHS 111, police, fire services, and social care teams to deliver effective patient care.</w:t>
                      </w:r>
                    </w:p>
                  </w:txbxContent>
                </v:textbox>
                <w10:wrap type="square"/>
              </v:shape>
            </w:pict>
          </mc:Fallback>
        </mc:AlternateContent>
      </w:r>
      <w:r w:rsidR="00230E8E">
        <w:rPr>
          <w:noProof/>
          <w:lang w:eastAsia="en-GB"/>
        </w:rPr>
        <mc:AlternateContent>
          <mc:Choice Requires="wps">
            <w:drawing>
              <wp:anchor distT="45720" distB="45720" distL="114300" distR="114300" simplePos="0" relativeHeight="251713536" behindDoc="0" locked="0" layoutInCell="1" allowOverlap="1" wp14:anchorId="298766ED" wp14:editId="476B30FE">
                <wp:simplePos x="0" y="0"/>
                <wp:positionH relativeFrom="margin">
                  <wp:align>right</wp:align>
                </wp:positionH>
                <wp:positionV relativeFrom="paragraph">
                  <wp:posOffset>1374775</wp:posOffset>
                </wp:positionV>
                <wp:extent cx="4605020" cy="2175510"/>
                <wp:effectExtent l="19050" t="19050" r="24130" b="1524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05020" cy="2175872"/>
                        </a:xfrm>
                        <a:prstGeom prst="rect">
                          <a:avLst/>
                        </a:prstGeom>
                        <a:solidFill>
                          <a:srgbClr val="FFFFFF"/>
                        </a:solidFill>
                        <a:ln w="44450">
                          <a:solidFill>
                            <a:srgbClr val="000000"/>
                          </a:solidFill>
                          <a:miter lim="800000"/>
                          <a:headEnd/>
                          <a:tailEnd/>
                        </a:ln>
                        <a:effectLst>
                          <a:softEdge rad="25400"/>
                        </a:effectLst>
                      </wps:spPr>
                      <wps:txbx>
                        <w:txbxContent>
                          <w:p w14:paraId="2589E46B" w14:textId="77777777" w:rsidR="009C27B0" w:rsidRPr="001C7A20" w:rsidRDefault="009C27B0" w:rsidP="009C27B0">
                            <w:pPr>
                              <w:jc w:val="both"/>
                              <w:rPr>
                                <w:rFonts w:ascii="Arial" w:hAnsi="Arial" w:cs="Arial"/>
                                <w:b/>
                                <w:bCs/>
                                <w:color w:val="000000" w:themeColor="text1"/>
                              </w:rPr>
                            </w:pPr>
                            <w:r w:rsidRPr="001C7A20">
                              <w:rPr>
                                <w:rFonts w:ascii="Arial" w:hAnsi="Arial" w:cs="Arial"/>
                                <w:b/>
                                <w:bCs/>
                                <w:color w:val="000000" w:themeColor="text1"/>
                              </w:rPr>
                              <w:t>Brief History of the service</w:t>
                            </w:r>
                          </w:p>
                          <w:p w14:paraId="2A269795" w14:textId="77777777" w:rsidR="00230E8E" w:rsidRPr="00230E8E" w:rsidRDefault="00230E8E" w:rsidP="00230E8E">
                            <w:pPr>
                              <w:pStyle w:val="pdq2pgselectionanchorcontainer"/>
                              <w:spacing w:line="360" w:lineRule="auto"/>
                              <w:rPr>
                                <w:rFonts w:ascii="Arial" w:hAnsi="Arial" w:cs="Arial"/>
                                <w:sz w:val="22"/>
                                <w:szCs w:val="22"/>
                              </w:rPr>
                            </w:pPr>
                            <w:r w:rsidRPr="00230E8E">
                              <w:rPr>
                                <w:rFonts w:ascii="Arial" w:hAnsi="Arial" w:cs="Arial"/>
                                <w:sz w:val="22"/>
                                <w:szCs w:val="22"/>
                              </w:rPr>
                              <w:t xml:space="preserve">Community pharmacy began with local chemists in the </w:t>
                            </w:r>
                            <w:r w:rsidRPr="00230E8E">
                              <w:rPr>
                                <w:rStyle w:val="Strong"/>
                                <w:rFonts w:ascii="Arial" w:hAnsi="Arial" w:cs="Arial"/>
                                <w:sz w:val="22"/>
                                <w:szCs w:val="22"/>
                              </w:rPr>
                              <w:t>19th century</w:t>
                            </w:r>
                            <w:r w:rsidRPr="00230E8E">
                              <w:rPr>
                                <w:rFonts w:ascii="Arial" w:hAnsi="Arial" w:cs="Arial"/>
                                <w:sz w:val="22"/>
                                <w:szCs w:val="22"/>
                              </w:rPr>
                              <w:t xml:space="preserve">. After the </w:t>
                            </w:r>
                            <w:r w:rsidRPr="00230E8E">
                              <w:rPr>
                                <w:rStyle w:val="Strong"/>
                                <w:rFonts w:ascii="Arial" w:hAnsi="Arial" w:cs="Arial"/>
                                <w:sz w:val="22"/>
                                <w:szCs w:val="22"/>
                              </w:rPr>
                              <w:t>NHS</w:t>
                            </w:r>
                            <w:r w:rsidRPr="00230E8E">
                              <w:rPr>
                                <w:rFonts w:ascii="Arial" w:hAnsi="Arial" w:cs="Arial"/>
                                <w:sz w:val="22"/>
                                <w:szCs w:val="22"/>
                              </w:rPr>
                              <w:t xml:space="preserve"> was established in </w:t>
                            </w:r>
                            <w:r w:rsidRPr="00230E8E">
                              <w:rPr>
                                <w:rStyle w:val="Strong"/>
                                <w:rFonts w:ascii="Arial" w:hAnsi="Arial" w:cs="Arial"/>
                                <w:sz w:val="22"/>
                                <w:szCs w:val="22"/>
                              </w:rPr>
                              <w:t>1948</w:t>
                            </w:r>
                            <w:r w:rsidRPr="00230E8E">
                              <w:rPr>
                                <w:rFonts w:ascii="Arial" w:hAnsi="Arial" w:cs="Arial"/>
                                <w:sz w:val="22"/>
                                <w:szCs w:val="22"/>
                              </w:rPr>
                              <w:t xml:space="preserve">, pharmacies became part of NHS healthcare by dispensing medicines and providing health advice (Your Health Your Pharmacy, 2023). Their role later expanded to include vaccinations, medicine reviews, and independent prescribing. In </w:t>
                            </w:r>
                            <w:r w:rsidRPr="00230E8E">
                              <w:rPr>
                                <w:rStyle w:val="Strong"/>
                                <w:rFonts w:ascii="Arial" w:hAnsi="Arial" w:cs="Arial"/>
                                <w:sz w:val="22"/>
                                <w:szCs w:val="22"/>
                              </w:rPr>
                              <w:t>2024</w:t>
                            </w:r>
                            <w:r w:rsidRPr="00230E8E">
                              <w:rPr>
                                <w:rFonts w:ascii="Arial" w:hAnsi="Arial" w:cs="Arial"/>
                                <w:sz w:val="22"/>
                                <w:szCs w:val="22"/>
                              </w:rPr>
                              <w:t xml:space="preserve">, </w:t>
                            </w:r>
                            <w:r w:rsidRPr="00230E8E">
                              <w:rPr>
                                <w:rStyle w:val="Strong"/>
                                <w:rFonts w:ascii="Arial" w:hAnsi="Arial" w:cs="Arial"/>
                                <w:sz w:val="22"/>
                                <w:szCs w:val="22"/>
                              </w:rPr>
                              <w:t>Pharmacy First</w:t>
                            </w:r>
                            <w:r w:rsidRPr="00230E8E">
                              <w:rPr>
                                <w:rFonts w:ascii="Arial" w:hAnsi="Arial" w:cs="Arial"/>
                                <w:sz w:val="22"/>
                                <w:szCs w:val="22"/>
                              </w:rPr>
                              <w:t xml:space="preserve"> enabled pharmacists to treat common conditions without a GP referral (NHS England, 2024).</w:t>
                            </w:r>
                          </w:p>
                          <w:p w14:paraId="2F2C6041" w14:textId="23EBDA68" w:rsidR="00BE6BE0" w:rsidRPr="001C7A20" w:rsidRDefault="00BE6BE0" w:rsidP="00230E8E">
                            <w:pPr>
                              <w:jc w:val="both"/>
                              <w:rPr>
                                <w:rFonts w:ascii="Arial" w:hAnsi="Arial" w:cs="Arial"/>
                                <w:color w:val="000000" w:themeColor="text1"/>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9" type="#_x0000_t202" style="position:absolute;margin-left:311.4pt;margin-top:108.25pt;width:362.6pt;height:171.3pt;z-index:2517135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86MQAIAAIEEAAAOAAAAZHJzL2Uyb0RvYy54bWysVNtu2zAMfR+wfxD0vtjJnDQz4hRd2gwD&#10;ugvQ7gNoWY6FyaInKbGzrx8lp2l2exnmB0ESqcNDHtKr66HV7CCtU2gKPp2knEkjsFJmV/Avj9tX&#10;S86cB1OBRiMLfpSOX69fvlj1XS5n2KCupGUEYlzedwVvvO/yJHGikS24CXbSkLFG24Kno90llYWe&#10;0FudzNJ0kfRoq86ikM7R7e1o5OuIX9dS+E917aRnuuDEzcfVxrUMa7JeQb6z0DVKnGjAP7BoQRkK&#10;eoa6BQ9sb9VvUK0SFh3WfiKwTbCulZAxB8pmmv6SzUMDnYy5UHFcdy6T+3+w4uPhs2WqKviCMwMt&#10;SfQoB8/e4sAWoTp953JyeujIzQ90TSrHTF13j+KrYwY3DZidvLEW+0ZCReym4WVy8XTEcQGk7D9g&#10;RWFg7zECDbVtQ+moGIzQSaXjWZlARdBltkjn6YxMgmyz6dV8eTWLMSB/et5Z599JbFnYFNyS9BEe&#10;DvfOBzqQP7mEaA61qrZK63iwu3KjLTsAtck2fif0n9y0YT1xybJ5Opbgrxhp/P6E0SpPDa9VW/Dl&#10;2QnyULg7U8V29KD0uCfO2gSCMrYyJTJSr/1dtZPMAuk2m2dp7GNyvnCL1Q8FH0vvh3KIMr8OpIIy&#10;JVZHksPiOBM0w7Rp0H7nrKd5KLj7tgcrOdPvDUn6ZpplYYDiIZtfBTHspaW8tIARBFVwz9m43fg4&#10;dIG+wRuSvlZRlGcmp4ahPo9anWYyDNLlOXo9/znWPwAAAP//AwBQSwMEFAAGAAgAAAAhAIm3MEre&#10;AAAACAEAAA8AAABkcnMvZG93bnJldi54bWxMj0FLxDAUhO+C/yE8wZubtpBVa18XEQRRFrG74jXb&#10;PJti89Jtsrv13xtPehxmmPmmWs1uEEeaQu8ZIV9kIIhbb3ruELabx6sbECFqNnrwTAjfFGBVn59V&#10;ujT+xG90bGInUgmHUiPYGMdSytBacjos/EicvE8/OR2TnDppJn1K5W6QRZYtpdM9pwWrR3qw1H41&#10;B4fQ+NePkdeb53m/fvF7u31XTzpHvLyY7+9ARJrjXxh+8RM61Ilp5w9sghgQ0pGIUORLBSLZ14Uq&#10;QOwQlLrNQdaV/H+g/gEAAP//AwBQSwECLQAUAAYACAAAACEAtoM4kv4AAADhAQAAEwAAAAAAAAAA&#10;AAAAAAAAAAAAW0NvbnRlbnRfVHlwZXNdLnhtbFBLAQItABQABgAIAAAAIQA4/SH/1gAAAJQBAAAL&#10;AAAAAAAAAAAAAAAAAC8BAABfcmVscy8ucmVsc1BLAQItABQABgAIAAAAIQAtW86MQAIAAIEEAAAO&#10;AAAAAAAAAAAAAAAAAC4CAABkcnMvZTJvRG9jLnhtbFBLAQItABQABgAIAAAAIQCJtzBK3gAAAAgB&#10;AAAPAAAAAAAAAAAAAAAAAJoEAABkcnMvZG93bnJldi54bWxQSwUGAAAAAAQABADzAAAApQUAAAAA&#10;" strokeweight="3.5pt">
                <v:textbox>
                  <w:txbxContent>
                    <w:p w14:paraId="2589E46B" w14:textId="77777777" w:rsidR="009C27B0" w:rsidRPr="001C7A20" w:rsidRDefault="009C27B0" w:rsidP="009C27B0">
                      <w:pPr>
                        <w:jc w:val="both"/>
                        <w:rPr>
                          <w:rFonts w:ascii="Arial" w:hAnsi="Arial" w:cs="Arial"/>
                          <w:b/>
                          <w:bCs/>
                          <w:color w:val="000000" w:themeColor="text1"/>
                        </w:rPr>
                      </w:pPr>
                      <w:r w:rsidRPr="001C7A20">
                        <w:rPr>
                          <w:rFonts w:ascii="Arial" w:hAnsi="Arial" w:cs="Arial"/>
                          <w:b/>
                          <w:bCs/>
                          <w:color w:val="000000" w:themeColor="text1"/>
                        </w:rPr>
                        <w:t>Brief History of the service</w:t>
                      </w:r>
                    </w:p>
                    <w:p w14:paraId="2A269795" w14:textId="77777777" w:rsidR="00230E8E" w:rsidRPr="00230E8E" w:rsidRDefault="00230E8E" w:rsidP="00230E8E">
                      <w:pPr>
                        <w:pStyle w:val="pdq2pgselectionanchorcontainer"/>
                        <w:spacing w:line="360" w:lineRule="auto"/>
                        <w:rPr>
                          <w:rFonts w:ascii="Arial" w:hAnsi="Arial" w:cs="Arial"/>
                          <w:sz w:val="22"/>
                          <w:szCs w:val="22"/>
                        </w:rPr>
                      </w:pPr>
                      <w:r w:rsidRPr="00230E8E">
                        <w:rPr>
                          <w:rFonts w:ascii="Arial" w:hAnsi="Arial" w:cs="Arial"/>
                          <w:sz w:val="22"/>
                          <w:szCs w:val="22"/>
                        </w:rPr>
                        <w:t xml:space="preserve">Community pharmacy began with local chemists in the </w:t>
                      </w:r>
                      <w:r w:rsidRPr="00230E8E">
                        <w:rPr>
                          <w:rStyle w:val="Strong"/>
                          <w:rFonts w:ascii="Arial" w:hAnsi="Arial" w:cs="Arial"/>
                          <w:sz w:val="22"/>
                          <w:szCs w:val="22"/>
                        </w:rPr>
                        <w:t>19th century</w:t>
                      </w:r>
                      <w:r w:rsidRPr="00230E8E">
                        <w:rPr>
                          <w:rFonts w:ascii="Arial" w:hAnsi="Arial" w:cs="Arial"/>
                          <w:sz w:val="22"/>
                          <w:szCs w:val="22"/>
                        </w:rPr>
                        <w:t xml:space="preserve">. After the </w:t>
                      </w:r>
                      <w:r w:rsidRPr="00230E8E">
                        <w:rPr>
                          <w:rStyle w:val="Strong"/>
                          <w:rFonts w:ascii="Arial" w:hAnsi="Arial" w:cs="Arial"/>
                          <w:sz w:val="22"/>
                          <w:szCs w:val="22"/>
                        </w:rPr>
                        <w:t>NHS</w:t>
                      </w:r>
                      <w:r w:rsidRPr="00230E8E">
                        <w:rPr>
                          <w:rFonts w:ascii="Arial" w:hAnsi="Arial" w:cs="Arial"/>
                          <w:sz w:val="22"/>
                          <w:szCs w:val="22"/>
                        </w:rPr>
                        <w:t xml:space="preserve"> was established in </w:t>
                      </w:r>
                      <w:r w:rsidRPr="00230E8E">
                        <w:rPr>
                          <w:rStyle w:val="Strong"/>
                          <w:rFonts w:ascii="Arial" w:hAnsi="Arial" w:cs="Arial"/>
                          <w:sz w:val="22"/>
                          <w:szCs w:val="22"/>
                        </w:rPr>
                        <w:t>1948</w:t>
                      </w:r>
                      <w:r w:rsidRPr="00230E8E">
                        <w:rPr>
                          <w:rFonts w:ascii="Arial" w:hAnsi="Arial" w:cs="Arial"/>
                          <w:sz w:val="22"/>
                          <w:szCs w:val="22"/>
                        </w:rPr>
                        <w:t xml:space="preserve">, pharmacies became part of NHS healthcare by dispensing medicines and providing health advice (Your Health Your Pharmacy, 2023). Their role later expanded to include vaccinations, medicine reviews, and independent prescribing. In </w:t>
                      </w:r>
                      <w:r w:rsidRPr="00230E8E">
                        <w:rPr>
                          <w:rStyle w:val="Strong"/>
                          <w:rFonts w:ascii="Arial" w:hAnsi="Arial" w:cs="Arial"/>
                          <w:sz w:val="22"/>
                          <w:szCs w:val="22"/>
                        </w:rPr>
                        <w:t>2024</w:t>
                      </w:r>
                      <w:r w:rsidRPr="00230E8E">
                        <w:rPr>
                          <w:rFonts w:ascii="Arial" w:hAnsi="Arial" w:cs="Arial"/>
                          <w:sz w:val="22"/>
                          <w:szCs w:val="22"/>
                        </w:rPr>
                        <w:t xml:space="preserve">, </w:t>
                      </w:r>
                      <w:r w:rsidRPr="00230E8E">
                        <w:rPr>
                          <w:rStyle w:val="Strong"/>
                          <w:rFonts w:ascii="Arial" w:hAnsi="Arial" w:cs="Arial"/>
                          <w:sz w:val="22"/>
                          <w:szCs w:val="22"/>
                        </w:rPr>
                        <w:t>Pharmacy First</w:t>
                      </w:r>
                      <w:r w:rsidRPr="00230E8E">
                        <w:rPr>
                          <w:rFonts w:ascii="Arial" w:hAnsi="Arial" w:cs="Arial"/>
                          <w:sz w:val="22"/>
                          <w:szCs w:val="22"/>
                        </w:rPr>
                        <w:t xml:space="preserve"> enabled pharmacists to treat common conditions without a GP referral (NHS England, 2024).</w:t>
                      </w:r>
                    </w:p>
                    <w:p w14:paraId="2F2C6041" w14:textId="23EBDA68" w:rsidR="00BE6BE0" w:rsidRPr="001C7A20" w:rsidRDefault="00BE6BE0" w:rsidP="00230E8E">
                      <w:pPr>
                        <w:jc w:val="both"/>
                        <w:rPr>
                          <w:rFonts w:ascii="Arial" w:hAnsi="Arial" w:cs="Arial"/>
                          <w:color w:val="000000" w:themeColor="text1"/>
                          <w:sz w:val="20"/>
                          <w:szCs w:val="20"/>
                        </w:rPr>
                      </w:pPr>
                    </w:p>
                  </w:txbxContent>
                </v:textbox>
                <w10:wrap type="square" anchorx="margin"/>
              </v:shape>
            </w:pict>
          </mc:Fallback>
        </mc:AlternateContent>
      </w:r>
      <w:r w:rsidR="0011621F">
        <w:rPr>
          <w:noProof/>
          <w:lang w:eastAsia="en-GB"/>
        </w:rPr>
        <mc:AlternateContent>
          <mc:Choice Requires="wps">
            <w:drawing>
              <wp:anchor distT="0" distB="0" distL="114300" distR="114300" simplePos="0" relativeHeight="251697152" behindDoc="0" locked="0" layoutInCell="1" allowOverlap="1" wp14:anchorId="75D65049" wp14:editId="3EC2A83E">
                <wp:simplePos x="0" y="0"/>
                <wp:positionH relativeFrom="column">
                  <wp:posOffset>-298450</wp:posOffset>
                </wp:positionH>
                <wp:positionV relativeFrom="paragraph">
                  <wp:posOffset>-723899</wp:posOffset>
                </wp:positionV>
                <wp:extent cx="869950" cy="336550"/>
                <wp:effectExtent l="0" t="0" r="6350" b="6350"/>
                <wp:wrapNone/>
                <wp:docPr id="1833022194" name="Text Box 19"/>
                <wp:cNvGraphicFramePr/>
                <a:graphic xmlns:a="http://schemas.openxmlformats.org/drawingml/2006/main">
                  <a:graphicData uri="http://schemas.microsoft.com/office/word/2010/wordprocessingShape">
                    <wps:wsp>
                      <wps:cNvSpPr txBox="1"/>
                      <wps:spPr>
                        <a:xfrm>
                          <a:off x="0" y="0"/>
                          <a:ext cx="869950" cy="336550"/>
                        </a:xfrm>
                        <a:prstGeom prst="rect">
                          <a:avLst/>
                        </a:prstGeom>
                        <a:solidFill>
                          <a:schemeClr val="bg1">
                            <a:lumMod val="75000"/>
                          </a:schemeClr>
                        </a:solidFill>
                        <a:ln w="6350">
                          <a:noFill/>
                        </a:ln>
                      </wps:spPr>
                      <wps:txbx>
                        <w:txbxContent>
                          <w:p w14:paraId="1BFD6F78" w14:textId="233006BA" w:rsidR="00D22470" w:rsidRPr="00D22470" w:rsidRDefault="00D22470" w:rsidP="00D22470">
                            <w:pPr>
                              <w:pStyle w:val="Heading1"/>
                              <w:rPr>
                                <w:lang w:val="en-IN"/>
                              </w:rPr>
                            </w:pPr>
                            <w:bookmarkStart w:id="1" w:name="_Toc234603144"/>
                            <w:r>
                              <w:rPr>
                                <w:lang w:val="en-IN"/>
                              </w:rPr>
                              <w:t>Poster</w:t>
                            </w:r>
                            <w:bookmarkEnd w:id="1"/>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D65049" id="Text Box 19" o:spid="_x0000_s1030" type="#_x0000_t202" style="position:absolute;margin-left:-23.5pt;margin-top:-57pt;width:68.5pt;height:26.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xdoWgIAAK0EAAAOAAAAZHJzL2Uyb0RvYy54bWysVEuP2jAQvlfqf7B8L0l4LSDCirKiqrTd&#10;XQmqPRvHgUi2x7UNCf31HTuEpdueql6cefkbzzczmd83SpKTsK4CndOsl1IiNIei0vucft+uP00o&#10;cZ7pgknQIqdn4ej94uOHeW1mog8HkIWwBEG0m9UmpwfvzSxJHD8IxVwPjNDoLMEq5lG1+6SwrEZ0&#10;JZN+mo6TGmxhLHDhHFofWiddRPyyFNw/l6UTnsic4tt8PG08d+FMFnM221tmDhW/PIP9wysUqzQm&#10;vUI9MM/I0VZ/QKmKW3BQ+h4HlUBZVlzEGrCaLH1XzebAjIi1IDnOXGly/w+WP51eLKkK7N1kMEj7&#10;/Ww6pEQzhb3aisaTz9CQbBp4qo2bYfjG4AXfoB3vdHaHxlB+U1oVvlgYQT8yfr6yHNA4Gifj6XSE&#10;Ho6uwWA8QhnRk7fLxjr/RYAiQcipxSZGbtnp0fk2tAsJuRzIqlhXUkYlDI5YSUtODFu+22fxqjyq&#10;b1C0trtRmnYp45yF8PiA35CkJnVOxwN8XgDWEFK02aXG8EBHW3aQfLNrIo3DjpIdFGdkykI7c87w&#10;dYX1PDLnX5jFIUMKcHH8Mx6lBMwFF4mSA9iff7OHeOw9eimpcWhz6n4cmRWUyK8ap2KaDYdhyqMy&#10;HN31UbG3nt2tRx/VCpCkDFfU8CiGeC87sbSgXnG/liErupjmmDunvhNXvl0l3E8ulssYhHNtmH/U&#10;G8MDdOAudGvbvDJrLi31OAtP0I03m73rbBvbsr48eiir2PbAc8vqhX7cidi3y/6GpbvVY9TbX2bx&#10;CwAA//8DAFBLAwQUAAYACAAAACEAVfIn3eAAAAALAQAADwAAAGRycy9kb3ducmV2LnhtbExPTUsD&#10;MRC9C/6HMIIXaZOVtuq62VIKFhQK29aLt+km7gbzsSRpu/57x5Oe5s3M431Uy9FZdtYxmeAlFFMB&#10;TPs2KOM7Ce+Hl8kjsJTRK7TBawnfOsGyvr6qsFTh4nf6vM8dIxGfSpTQ5zyUnKe21w7TNAza0+8z&#10;RIeZ1thxFfFC4s7yeyEW3KHx5NDjoNe9br/2Jyehwc1hHtGs38y2+Xi92zR2N19JeXszrp6BZT3m&#10;PzL8xqfoUFOmYzh5lZiVMJk9UJdMoChmhIjyJGge6bIoBPC64v871D8AAAD//wMAUEsBAi0AFAAG&#10;AAgAAAAhALaDOJL+AAAA4QEAABMAAAAAAAAAAAAAAAAAAAAAAFtDb250ZW50X1R5cGVzXS54bWxQ&#10;SwECLQAUAAYACAAAACEAOP0h/9YAAACUAQAACwAAAAAAAAAAAAAAAAAvAQAAX3JlbHMvLnJlbHNQ&#10;SwECLQAUAAYACAAAACEAftMXaFoCAACtBAAADgAAAAAAAAAAAAAAAAAuAgAAZHJzL2Uyb0RvYy54&#10;bWxQSwECLQAUAAYACAAAACEAVfIn3eAAAAALAQAADwAAAAAAAAAAAAAAAAC0BAAAZHJzL2Rvd25y&#10;ZXYueG1sUEsFBgAAAAAEAAQA8wAAAMEFAAAAAA==&#10;" fillcolor="#bfbfbf [2412]" stroked="f" strokeweight=".5pt">
                <v:textbox>
                  <w:txbxContent>
                    <w:p w14:paraId="1BFD6F78" w14:textId="233006BA" w:rsidR="00D22470" w:rsidRPr="00D22470" w:rsidRDefault="00D22470" w:rsidP="00D22470">
                      <w:pPr>
                        <w:pStyle w:val="Heading1"/>
                        <w:rPr>
                          <w:lang w:val="en-IN"/>
                        </w:rPr>
                      </w:pPr>
                      <w:bookmarkStart w:id="2" w:name="_Toc234603144"/>
                      <w:r>
                        <w:rPr>
                          <w:lang w:val="en-IN"/>
                        </w:rPr>
                        <w:t>Poster</w:t>
                      </w:r>
                      <w:bookmarkEnd w:id="2"/>
                    </w:p>
                  </w:txbxContent>
                </v:textbox>
              </v:shape>
            </w:pict>
          </mc:Fallback>
        </mc:AlternateContent>
      </w:r>
      <w:r w:rsidR="00C66A29">
        <w:rPr>
          <w:noProof/>
          <w:lang w:eastAsia="en-GB"/>
        </w:rPr>
        <mc:AlternateContent>
          <mc:Choice Requires="wps">
            <w:drawing>
              <wp:anchor distT="45720" distB="45720" distL="114300" distR="114300" simplePos="0" relativeHeight="251661312" behindDoc="0" locked="0" layoutInCell="1" allowOverlap="1" wp14:anchorId="3E780AA8" wp14:editId="6CD70E64">
                <wp:simplePos x="0" y="0"/>
                <wp:positionH relativeFrom="margin">
                  <wp:posOffset>-431800</wp:posOffset>
                </wp:positionH>
                <wp:positionV relativeFrom="paragraph">
                  <wp:posOffset>0</wp:posOffset>
                </wp:positionV>
                <wp:extent cx="10045700" cy="6305550"/>
                <wp:effectExtent l="0" t="0" r="1270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45700" cy="6305550"/>
                        </a:xfrm>
                        <a:prstGeom prst="rect">
                          <a:avLst/>
                        </a:prstGeom>
                        <a:solidFill>
                          <a:srgbClr val="FFFFFF"/>
                        </a:solidFill>
                        <a:ln w="9525">
                          <a:solidFill>
                            <a:srgbClr val="000000"/>
                          </a:solidFill>
                          <a:miter lim="800000"/>
                          <a:headEnd/>
                          <a:tailEnd/>
                        </a:ln>
                        <a:effectLst>
                          <a:softEdge rad="50800"/>
                        </a:effectLst>
                      </wps:spPr>
                      <wps:txbx>
                        <w:txbxContent>
                          <w:p w14:paraId="4F1C0E8F" w14:textId="0ED8B777" w:rsidR="009C27B0" w:rsidRPr="0054045B" w:rsidRDefault="00E50D06" w:rsidP="00BE6BE0">
                            <w:pPr>
                              <w:shd w:val="clear" w:color="auto" w:fill="F4B083" w:themeFill="accent2" w:themeFillTint="99"/>
                              <w:jc w:val="center"/>
                              <w:rPr>
                                <w:b/>
                                <w:bCs/>
                                <w:i/>
                                <w:iCs/>
                                <w:color w:val="385623" w:themeColor="accent6" w:themeShade="80"/>
                                <w:sz w:val="36"/>
                                <w:szCs w:val="36"/>
                              </w:rPr>
                            </w:pPr>
                            <w:r w:rsidRPr="0054045B">
                              <w:rPr>
                                <w:rFonts w:ascii="Arial" w:hAnsi="Arial" w:cs="Arial"/>
                                <w:b/>
                                <w:bCs/>
                                <w:color w:val="385623" w:themeColor="accent6" w:themeShade="80"/>
                                <w:sz w:val="30"/>
                                <w:szCs w:val="30"/>
                              </w:rPr>
                              <w:t>Ambulance Services</w:t>
                            </w:r>
                          </w:p>
                          <w:p w14:paraId="5E960B08" w14:textId="5F314395" w:rsidR="00C572DA" w:rsidRPr="008D2421" w:rsidRDefault="00BE6BE0" w:rsidP="008D2421">
                            <w:pPr>
                              <w:shd w:val="clear" w:color="auto" w:fill="F4B083" w:themeFill="accent2" w:themeFillTint="99"/>
                              <w:spacing w:line="240" w:lineRule="auto"/>
                              <w:jc w:val="center"/>
                            </w:pPr>
                            <w:r w:rsidRPr="008D2421">
                              <w:t>Student Name</w:t>
                            </w:r>
                            <w:r w:rsidR="0031545E" w:rsidRPr="008D2421">
                              <w:t>:</w:t>
                            </w:r>
                            <w:r w:rsidR="00C572DA" w:rsidRPr="008D2421">
                              <w:t xml:space="preserve"> </w:t>
                            </w:r>
                            <w:proofErr w:type="spellStart"/>
                            <w:r w:rsidR="0054045B">
                              <w:t>Uttam</w:t>
                            </w:r>
                            <w:proofErr w:type="spellEnd"/>
                            <w:r w:rsidR="0054045B">
                              <w:t xml:space="preserve"> </w:t>
                            </w:r>
                            <w:proofErr w:type="spellStart"/>
                            <w:r w:rsidR="0054045B">
                              <w:t>Mony</w:t>
                            </w:r>
                            <w:proofErr w:type="spellEnd"/>
                            <w:r w:rsidR="0054045B">
                              <w:t xml:space="preserve"> </w:t>
                            </w:r>
                            <w:proofErr w:type="spellStart"/>
                            <w:r w:rsidR="0054045B">
                              <w:t>Sarker</w:t>
                            </w:r>
                            <w:proofErr w:type="spellEnd"/>
                          </w:p>
                          <w:p w14:paraId="011B2DEE" w14:textId="77777777" w:rsidR="008D2421" w:rsidRPr="008D2421" w:rsidRDefault="00BE6BE0" w:rsidP="008D2421">
                            <w:pPr>
                              <w:shd w:val="clear" w:color="auto" w:fill="F4B083" w:themeFill="accent2" w:themeFillTint="99"/>
                              <w:spacing w:line="240" w:lineRule="auto"/>
                              <w:jc w:val="center"/>
                            </w:pPr>
                            <w:r w:rsidRPr="008D2421">
                              <w:t>Course Name</w:t>
                            </w:r>
                            <w:r w:rsidR="0031545E" w:rsidRPr="008D2421">
                              <w:t xml:space="preserve">: </w:t>
                            </w:r>
                            <w:r w:rsidR="00C572DA" w:rsidRPr="008D2421">
                              <w:t>Certificate of Higher Education Skills for the Workplace (Health &amp; Social Care)</w:t>
                            </w:r>
                          </w:p>
                          <w:p w14:paraId="4B29F551" w14:textId="61D821A3" w:rsidR="00BE6BE0" w:rsidRPr="008D2421" w:rsidRDefault="00BE6BE0" w:rsidP="008D2421">
                            <w:pPr>
                              <w:shd w:val="clear" w:color="auto" w:fill="F4B083" w:themeFill="accent2" w:themeFillTint="99"/>
                              <w:spacing w:line="240" w:lineRule="auto"/>
                              <w:jc w:val="center"/>
                            </w:pPr>
                            <w:r w:rsidRPr="008D2421">
                              <w:t>Email Details</w:t>
                            </w:r>
                            <w:r w:rsidR="0031545E" w:rsidRPr="008D2421">
                              <w:t xml:space="preserve">: </w:t>
                            </w:r>
                            <w:r w:rsidR="005711F6">
                              <w:t>sam.parker@uwtsd.ac.uk</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1" type="#_x0000_t202" style="position:absolute;margin-left:-34pt;margin-top:0;width:791pt;height:496.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eS5KPQIAAIEEAAAOAAAAZHJzL2Uyb0RvYy54bWysVNtu2zAMfR+wfxD0vthJ46414hRd2gwD&#10;ugvQ7gNoWbaFyaInKbG7ry8lp2nQbS/D/CBIInV4yEN6dTV2mu2ldQpNweezlDNpBFbKNAX//rB9&#10;d8GZ82Aq0GhkwR+l41frt29WQ5/LBbaoK2kZgRiXD33BW+/7PEmcaGUHboa9NGSs0Xbg6WibpLIw&#10;EHqnk0WanicD2qq3KKRzdHszGfk64te1FP5rXTvpmS44cfNxtXEtw5qsV5A3FvpWiQMN+AcWHShD&#10;QY9QN+CB7az6DapTwqLD2s8EdgnWtRIy5kDZzNNX2dy30MuYCxXH9ccyuf8HK77sv1mmqoKfcWag&#10;I4ke5OjZBxzZIlRn6F1OTvc9ufmRrknlmKnr71D8cMzgpgXTyGtrcWglVMRuHl4mJ08nHBdAyuEz&#10;VhQGdh4j0FjbLpSOisEInVR6PCoTqIgQMk2X2fuUbIKM52dplmVRvATy5/e9df6jxI6FTcEtaR/x&#10;YX/nfOAD+bNLCOdQq2qrtI4H25QbbdkeqE+28YspvHLThg0Fv8wW2VSCv0Kk8fsTRKc8NbxWXcEv&#10;jk6Qh8Ldmiq2owelpz1R1ibwk7GVKY+Jee1vq0YyC6RblhLOIdKJW6x+KPhUej+WY5Q5C65BmRKr&#10;R5LD4jQTNMO0adH+4mygeSi4+7kDKznTnwxJejlfLsMAxQNpsaCDPbWUpxYwgqAK7jmbthsfhy7Q&#10;N3hN0tcqavLC5NAw1OdRqsNMhkE6PUevlz/H+gkAAP//AwBQSwMEFAAGAAgAAAAhAMhEOKvgAAAA&#10;CQEAAA8AAABkcnMvZG93bnJldi54bWxMj0FPwzAMhe9I/IfISFzQlo6N0pa6E0ICsRsMBNes8dqK&#10;xClN1pV/T3aCi2XrPT1/r1xP1oiRBt85RljMExDEtdMdNwjvb4+zDIQPirUyjgnhhzysq/OzUhXa&#10;HfmVxm1oRAxhXyiENoS+kNLXLVnl564njtreDVaFeA6N1IM6xnBr5HWSpNKqjuOHVvX00FL9tT1Y&#10;hGz1PH76zfLlo073Jg9Xt+PT94B4eTHd34EINIU/M5zwIzpUkWnnDqy9MAizNItdAkKcJ/lmsYrb&#10;DiHPlwnIqpT/G1S/AAAA//8DAFBLAQItABQABgAIAAAAIQC2gziS/gAAAOEBAAATAAAAAAAAAAAA&#10;AAAAAAAAAABbQ29udGVudF9UeXBlc10ueG1sUEsBAi0AFAAGAAgAAAAhADj9If/WAAAAlAEAAAsA&#10;AAAAAAAAAAAAAAAALwEAAF9yZWxzLy5yZWxzUEsBAi0AFAAGAAgAAAAhAEx5Lko9AgAAgQQAAA4A&#10;AAAAAAAAAAAAAAAALgIAAGRycy9lMm9Eb2MueG1sUEsBAi0AFAAGAAgAAAAhAMhEOKvgAAAACQEA&#10;AA8AAAAAAAAAAAAAAAAAlwQAAGRycy9kb3ducmV2LnhtbFBLBQYAAAAABAAEAPMAAACkBQAAAAA=&#10;">
                <v:textbox>
                  <w:txbxContent>
                    <w:p w14:paraId="4F1C0E8F" w14:textId="0ED8B777" w:rsidR="009C27B0" w:rsidRPr="0054045B" w:rsidRDefault="00E50D06" w:rsidP="00BE6BE0">
                      <w:pPr>
                        <w:shd w:val="clear" w:color="auto" w:fill="F4B083" w:themeFill="accent2" w:themeFillTint="99"/>
                        <w:jc w:val="center"/>
                        <w:rPr>
                          <w:b/>
                          <w:bCs/>
                          <w:i/>
                          <w:iCs/>
                          <w:color w:val="385623" w:themeColor="accent6" w:themeShade="80"/>
                          <w:sz w:val="36"/>
                          <w:szCs w:val="36"/>
                        </w:rPr>
                      </w:pPr>
                      <w:r w:rsidRPr="0054045B">
                        <w:rPr>
                          <w:rFonts w:ascii="Arial" w:hAnsi="Arial" w:cs="Arial"/>
                          <w:b/>
                          <w:bCs/>
                          <w:color w:val="385623" w:themeColor="accent6" w:themeShade="80"/>
                          <w:sz w:val="30"/>
                          <w:szCs w:val="30"/>
                        </w:rPr>
                        <w:t>Ambulance Services</w:t>
                      </w:r>
                    </w:p>
                    <w:p w14:paraId="5E960B08" w14:textId="5F314395" w:rsidR="00C572DA" w:rsidRPr="008D2421" w:rsidRDefault="00BE6BE0" w:rsidP="008D2421">
                      <w:pPr>
                        <w:shd w:val="clear" w:color="auto" w:fill="F4B083" w:themeFill="accent2" w:themeFillTint="99"/>
                        <w:spacing w:line="240" w:lineRule="auto"/>
                        <w:jc w:val="center"/>
                      </w:pPr>
                      <w:r w:rsidRPr="008D2421">
                        <w:t>Student Name</w:t>
                      </w:r>
                      <w:r w:rsidR="0031545E" w:rsidRPr="008D2421">
                        <w:t>:</w:t>
                      </w:r>
                      <w:r w:rsidR="00C572DA" w:rsidRPr="008D2421">
                        <w:t xml:space="preserve"> </w:t>
                      </w:r>
                      <w:proofErr w:type="spellStart"/>
                      <w:r w:rsidR="0054045B">
                        <w:t>Uttam</w:t>
                      </w:r>
                      <w:proofErr w:type="spellEnd"/>
                      <w:r w:rsidR="0054045B">
                        <w:t xml:space="preserve"> </w:t>
                      </w:r>
                      <w:proofErr w:type="spellStart"/>
                      <w:r w:rsidR="0054045B">
                        <w:t>Mony</w:t>
                      </w:r>
                      <w:proofErr w:type="spellEnd"/>
                      <w:r w:rsidR="0054045B">
                        <w:t xml:space="preserve"> </w:t>
                      </w:r>
                      <w:proofErr w:type="spellStart"/>
                      <w:r w:rsidR="0054045B">
                        <w:t>Sarker</w:t>
                      </w:r>
                      <w:proofErr w:type="spellEnd"/>
                    </w:p>
                    <w:p w14:paraId="011B2DEE" w14:textId="77777777" w:rsidR="008D2421" w:rsidRPr="008D2421" w:rsidRDefault="00BE6BE0" w:rsidP="008D2421">
                      <w:pPr>
                        <w:shd w:val="clear" w:color="auto" w:fill="F4B083" w:themeFill="accent2" w:themeFillTint="99"/>
                        <w:spacing w:line="240" w:lineRule="auto"/>
                        <w:jc w:val="center"/>
                      </w:pPr>
                      <w:r w:rsidRPr="008D2421">
                        <w:t>Course Name</w:t>
                      </w:r>
                      <w:r w:rsidR="0031545E" w:rsidRPr="008D2421">
                        <w:t xml:space="preserve">: </w:t>
                      </w:r>
                      <w:r w:rsidR="00C572DA" w:rsidRPr="008D2421">
                        <w:t>Certificate of Higher Education Skills for the Workplace (Health &amp; Social Care)</w:t>
                      </w:r>
                    </w:p>
                    <w:p w14:paraId="4B29F551" w14:textId="61D821A3" w:rsidR="00BE6BE0" w:rsidRPr="008D2421" w:rsidRDefault="00BE6BE0" w:rsidP="008D2421">
                      <w:pPr>
                        <w:shd w:val="clear" w:color="auto" w:fill="F4B083" w:themeFill="accent2" w:themeFillTint="99"/>
                        <w:spacing w:line="240" w:lineRule="auto"/>
                        <w:jc w:val="center"/>
                      </w:pPr>
                      <w:r w:rsidRPr="008D2421">
                        <w:t>Email Details</w:t>
                      </w:r>
                      <w:r w:rsidR="0031545E" w:rsidRPr="008D2421">
                        <w:t xml:space="preserve">: </w:t>
                      </w:r>
                      <w:r w:rsidR="005711F6">
                        <w:t>sam.parker@uwtsd.ac.uk</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r w:rsidR="000F5E2F">
        <w:rPr>
          <w:noProof/>
          <w:lang w:eastAsia="en-GB"/>
        </w:rPr>
        <mc:AlternateContent>
          <mc:Choice Requires="wps">
            <w:drawing>
              <wp:anchor distT="0" distB="0" distL="114300" distR="114300" simplePos="0" relativeHeight="251659264" behindDoc="1" locked="0" layoutInCell="1" allowOverlap="1" wp14:anchorId="777A8668" wp14:editId="137BFE32">
                <wp:simplePos x="0" y="0"/>
                <wp:positionH relativeFrom="page">
                  <wp:posOffset>342900</wp:posOffset>
                </wp:positionH>
                <wp:positionV relativeFrom="paragraph">
                  <wp:posOffset>-895350</wp:posOffset>
                </wp:positionV>
                <wp:extent cx="10675620" cy="7181850"/>
                <wp:effectExtent l="0" t="0" r="0" b="0"/>
                <wp:wrapNone/>
                <wp:docPr id="1" name="Rectangle 1"/>
                <wp:cNvGraphicFramePr/>
                <a:graphic xmlns:a="http://schemas.openxmlformats.org/drawingml/2006/main">
                  <a:graphicData uri="http://schemas.microsoft.com/office/word/2010/wordprocessingShape">
                    <wps:wsp>
                      <wps:cNvSpPr/>
                      <wps:spPr>
                        <a:xfrm>
                          <a:off x="0" y="0"/>
                          <a:ext cx="10675620" cy="7181850"/>
                        </a:xfrm>
                        <a:prstGeom prst="rect">
                          <a:avLst/>
                        </a:prstGeom>
                        <a:solidFill>
                          <a:schemeClr val="tx1">
                            <a:lumMod val="50000"/>
                            <a:lumOff val="50000"/>
                            <a:alpha val="46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83768B" id="Rectangle 1" o:spid="_x0000_s1026" style="position:absolute;margin-left:27pt;margin-top:-70.5pt;width:840.6pt;height:565.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wu7lrQIAANcFAAAOAAAAZHJzL2Uyb0RvYy54bWysVEtv2zAMvg/YfxB0X20HSdoFdYqgRYcB&#10;XVu0HXpWZSk2IImapMTJfv0oyXGf2GFYDorEx0fyM8nTs51WZCuc78DUtDoqKRGGQ9OZdU1/Plx+&#10;OaHEB2YapsCImu6Fp2fLz59Oe7sQE2hBNcIRBDF+0duatiHYRVF43grN/BFYYVApwWkW8OnWReNY&#10;j+haFZOynBc9uMY64MJ7lF5kJV0mfCkFDzdSehGIqinmFtLp0vkUz2J5yhZrx2zb8SEN9g9ZaNYZ&#10;DDpCXbDAyMZ176B0xx14kOGIgy5Ayo6LVANWU5VvqrlvmRWpFiTH25Em//9g+fX21pGuwW9HiWEa&#10;P9EdksbMWglSRXp66xdodW9v3fDyeI217qTT8R+rILtE6X6kVOwC4SisyvnxbD5B6jkqj6uT6mSW&#10;WC+e/a3z4ZsATeKlpg7jJy7Z9soHjImmB5MYzoPqmstOqfSIjSLOlSNbhp847Krkqjb6BzRZNivx&#10;lz80irEd3omZsi3L0ul8MMagqQkjdkrhVVhlYnADMY2cYZQUkavMTrqFvRLRTpk7IZFk5GOS0huR&#10;c1DGuTAhZ+5b1og3Gb7LJQFGZInxR+wB4DUjB+yc5WAfXUWajtG5/Fti2Xn0SJHBhNFZdwbcRwAK&#10;qxoiZ/sDSZmayNITNHtsQQd5Nr3llx32wRXz4ZY5HEbsHVww4QYPqaCvKQw3Slpwvz+SR3ucEdRS&#10;0uNw19T/2jAnKFHfDU7P12o6jdsgPaaz49if7qXm6aXGbPQ5YHPhhGB26RrtgzpcpQP9iHtoFaOi&#10;ihmOsWvKgzs8zkNeOrjJuFitkhluAMvClbm3PIJHVmOfP+wembPDMAQcpGs4LAK2eDMT2TZ6Glht&#10;AsguDcwzrwPfuD1SEw+bLq6nl+9k9byPl38AAAD//wMAUEsDBBQABgAIAAAAIQDL40hg4wAAAAwB&#10;AAAPAAAAZHJzL2Rvd25yZXYueG1sTI/BTsMwEETvSPyDtUhcqtZOaUkbsqlQJLiQC6Xi7MRLEjW2&#10;o9htQr8e91Rus5rR7Jt0N+mOnWlwrTUI0UIAI1NZ1Zoa4fD1Nt8Ac14aJTtrCOGXHOyy+7tUJsqO&#10;5pPOe1+zUGJcIhEa7/uEc1c1pKVb2J5M8H7soKUP51BzNcgxlOuOL4V45lq2JnxoZE95Q9Vxf9II&#10;cV6NcXG55B/fRX+c6XJzmL0XiI8P0+sLME+Tv4Xhih/QIQtMpT0Z5ViHsF6FKR5hHq2ioK6J+Gm9&#10;BFYibLdCAM9S/n9E9gcAAP//AwBQSwECLQAUAAYACAAAACEAtoM4kv4AAADhAQAAEwAAAAAAAAAA&#10;AAAAAAAAAAAAW0NvbnRlbnRfVHlwZXNdLnhtbFBLAQItABQABgAIAAAAIQA4/SH/1gAAAJQBAAAL&#10;AAAAAAAAAAAAAAAAAC8BAABfcmVscy8ucmVsc1BLAQItABQABgAIAAAAIQCkwu7lrQIAANcFAAAO&#10;AAAAAAAAAAAAAAAAAC4CAABkcnMvZTJvRG9jLnhtbFBLAQItABQABgAIAAAAIQDL40hg4wAAAAwB&#10;AAAPAAAAAAAAAAAAAAAAAAcFAABkcnMvZG93bnJldi54bWxQSwUGAAAAAAQABADzAAAAFwYAAAAA&#10;" fillcolor="gray [1629]" stroked="f" strokeweight="1pt">
                <v:fill opacity="30069f"/>
                <w10:wrap anchorx="page"/>
              </v:rect>
            </w:pict>
          </mc:Fallback>
        </mc:AlternateContent>
      </w:r>
    </w:p>
    <w:p w14:paraId="6D40FC12" w14:textId="76399A05" w:rsidR="009C27B0" w:rsidRDefault="00344319">
      <w:pPr>
        <w:rPr>
          <w:rFonts w:ascii="Arial" w:hAnsi="Arial" w:cs="Arial"/>
          <w:b/>
          <w:bCs/>
          <w:sz w:val="28"/>
          <w:szCs w:val="28"/>
        </w:rPr>
      </w:pPr>
      <w:r w:rsidRPr="00375508">
        <w:rPr>
          <w:rFonts w:ascii="Arial" w:hAnsi="Arial" w:cs="Arial"/>
          <w:b/>
          <w:bCs/>
          <w:noProof/>
          <w:sz w:val="28"/>
          <w:szCs w:val="28"/>
          <w:lang w:eastAsia="en-GB"/>
        </w:rPr>
        <w:lastRenderedPageBreak/>
        <mc:AlternateContent>
          <mc:Choice Requires="wpg">
            <w:drawing>
              <wp:anchor distT="0" distB="0" distL="228600" distR="228600" simplePos="0" relativeHeight="251705344" behindDoc="1" locked="0" layoutInCell="1" allowOverlap="1" wp14:anchorId="47327F75" wp14:editId="14CFCF20">
                <wp:simplePos x="0" y="0"/>
                <wp:positionH relativeFrom="margin">
                  <wp:posOffset>173355</wp:posOffset>
                </wp:positionH>
                <wp:positionV relativeFrom="margin">
                  <wp:posOffset>2635885</wp:posOffset>
                </wp:positionV>
                <wp:extent cx="4698365" cy="1835150"/>
                <wp:effectExtent l="0" t="0" r="6985" b="0"/>
                <wp:wrapSquare wrapText="bothSides"/>
                <wp:docPr id="14" name="Group 14"/>
                <wp:cNvGraphicFramePr/>
                <a:graphic xmlns:a="http://schemas.openxmlformats.org/drawingml/2006/main">
                  <a:graphicData uri="http://schemas.microsoft.com/office/word/2010/wordprocessingGroup">
                    <wpg:wgp>
                      <wpg:cNvGrpSpPr/>
                      <wpg:grpSpPr>
                        <a:xfrm>
                          <a:off x="0" y="0"/>
                          <a:ext cx="4698365" cy="1835150"/>
                          <a:chOff x="-13587" y="-806639"/>
                          <a:chExt cx="2008147" cy="8756225"/>
                        </a:xfrm>
                      </wpg:grpSpPr>
                      <wps:wsp>
                        <wps:cNvPr id="15" name="Rectangle 15"/>
                        <wps:cNvSpPr/>
                        <wps:spPr>
                          <a:xfrm>
                            <a:off x="-13587" y="-806639"/>
                            <a:ext cx="2008147" cy="133755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96B0B4F" w14:textId="55A2DBFD" w:rsidR="0014792D" w:rsidRPr="0014792D" w:rsidRDefault="0014792D" w:rsidP="0014792D">
                              <w:pPr>
                                <w:jc w:val="center"/>
                                <w:rPr>
                                  <w:rFonts w:ascii="Arial" w:hAnsi="Arial" w:cs="Arial"/>
                                  <w:b/>
                                  <w:sz w:val="24"/>
                                  <w:szCs w:val="24"/>
                                </w:rPr>
                              </w:pPr>
                              <w:r w:rsidRPr="0014792D">
                                <w:rPr>
                                  <w:rFonts w:ascii="Arial" w:hAnsi="Arial" w:cs="Arial"/>
                                  <w:b/>
                                  <w:sz w:val="24"/>
                                  <w:szCs w:val="24"/>
                                </w:rPr>
                                <w:t>CHALLANGES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Rectangle 16"/>
                        <wps:cNvSpPr/>
                        <wps:spPr>
                          <a:xfrm>
                            <a:off x="-10871" y="273802"/>
                            <a:ext cx="2005430" cy="7675784"/>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DB21AEF" w14:textId="39ECD0EA" w:rsidR="00375508" w:rsidRDefault="00375508" w:rsidP="00375508">
                              <w:pPr>
                                <w:rPr>
                                  <w:color w:val="FFFFFF" w:themeColor="background1"/>
                                </w:rPr>
                              </w:pPr>
                            </w:p>
                            <w:p w14:paraId="69B2EFD6" w14:textId="6F780149" w:rsidR="0014792D" w:rsidRDefault="00230E8E" w:rsidP="00230E8E">
                              <w:pPr>
                                <w:spacing w:line="360" w:lineRule="auto"/>
                                <w:rPr>
                                  <w:color w:val="FFFFFF" w:themeColor="background1"/>
                                </w:rPr>
                              </w:pPr>
                              <w:r>
                                <w:t>Rising demand and delayed hospital handovers reduce ambulance availability, increasing response times and staff pressure (Gregory, 2025). Improving hospital capacity and community services can help reduce delays and improve patient care.</w:t>
                              </w: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17" name="Text Box 17"/>
                        <wps:cNvSpPr txBox="1"/>
                        <wps:spPr>
                          <a:xfrm>
                            <a:off x="-13587" y="371680"/>
                            <a:ext cx="2000266" cy="1656012"/>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4C035FE" w14:textId="4B1D6FB0" w:rsidR="00375508" w:rsidRPr="0014792D" w:rsidRDefault="0014792D">
                              <w:pPr>
                                <w:pStyle w:val="NoSpacing"/>
                                <w:jc w:val="center"/>
                                <w:rPr>
                                  <w:rFonts w:ascii="Arial" w:eastAsiaTheme="majorEastAsia" w:hAnsi="Arial" w:cs="Arial"/>
                                  <w:b/>
                                  <w:caps/>
                                  <w:color w:val="4472C4" w:themeColor="accent1"/>
                                  <w:sz w:val="28"/>
                                  <w:szCs w:val="28"/>
                                </w:rPr>
                              </w:pPr>
                              <w:r w:rsidRPr="0014792D">
                                <w:rPr>
                                  <w:rFonts w:ascii="Arial" w:hAnsi="Arial" w:cs="Arial"/>
                                  <w:b/>
                                </w:rPr>
                                <w:t>Challenge 1: Delays and Demand Pressure</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7327F75" id="Group 14" o:spid="_x0000_s1032" style="position:absolute;margin-left:13.65pt;margin-top:207.55pt;width:369.95pt;height:144.5pt;z-index:-251611136;mso-wrap-distance-left:18pt;mso-wrap-distance-right:18pt;mso-position-horizontal-relative:margin;mso-position-vertical-relative:margin;mso-width-relative:margin;mso-height-relative:margin" coordorigin="-135,-8066" coordsize="20081,875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Zej4wMAAA0PAAAOAAAAZHJzL2Uyb0RvYy54bWzsV1lv3DYQfi/Q/0Dw3da1OixYDlynNgoY&#10;iRG7yDOXog5UIlmSa8n59R1Sh49sYsNB2hTtPmh5DOf4ZvhpdPxm7Dt0y5RuBS9wcOhjxDgVZcvr&#10;Av9+c36QYaQN4SXpBGcFvmMavzn5+afjQeYsFI3oSqYQKOE6H2SBG2Nk7nmaNqwn+lBIxmGzEqon&#10;Bqaq9kpFBtDed17o+4k3CFVKJSjTGlbfTpv4xOmvKkbN+6rSzKCuwOCbcU/lnlv79E6OSV4rIpuW&#10;zm6QV3jRk5aD0VXVW2II2qn2M1V9S5XQojKHVPSeqKqWMhcDRBP4T6K5UGInXSx1PtRyhQmgfYLT&#10;q9XSd7dXCrUl5G6DESc95MiZRTAHcAZZ5yBzoeS1vFLzQj3NbLxjpXr7D5Gg0cF6t8LKRoMoLG6S&#10;oyxKYowo7AVZFAfxDDxtIDv23EEQxVmKEQgcZH6SREdTZmjz66wEkp0FGxCxSrI0TsIwtjLe4oNn&#10;XV09GyTUk76HTH8bZNcNkcxlQls4FsggpgmyD1BohNcdQ4HzypoHuRUznWuAbw9gXwp8we5R2EEU&#10;pfGE3Ro2yaXS5oKJHtlBgRW44kqR3F5qMyG0iFgHtOja8rztOjex94yddQrdErghhFLGTTDj+kiy&#10;41aeC3tyUmpXAPQlNDcydx2zch3/wCooK0ht6JxxF/pzQ86HhpRssh/78FusL665HDuFVroC+6vu&#10;4Gu6Jy9neXuUOT5YD/vPH15POMuCm/Vw33Kh9inoVviqSX4BaYLGomTG7eiuXGJDtStbUd5BTSkx&#10;8ZOW9LyFZF4Sba6IAkIC6gKSNe/hUXViKLCYRxg1Qn3at27loehhF6MBCK7A+s8dUQyj7jcO1+Eo&#10;2GwsI7rJJk5DmKiHO9uHO3zXnwmokADoXFI3tPKmW4aVEv1H4OJTaxW2CKdgu8DUqGVyZibiBTan&#10;7PTUiQELSmIu+bWkVrnF2RbrzfiRKDlXtIHL8E4sV5DkTwp7krUnuTjdGVG1rurvcZ0zAHQwof39&#10;eSHZwwtrsl/IC36WAthAdmEaZX5oSwVK+J4N400EMFs2TJM0TjNH1//TgqWcfzktpD8MLQRZmGUr&#10;LwT+URpCPzcRQxhmCZA1ejUzmP8eL0D7MvULN/Yi/yJGFKzJnmkBmRHWbQ3P74bnG4coDRLI0lOC&#10;8MMEeMj1XEmc+IGjkO9DENv6Cz0DgldVEkHLMtHz4+ZheSPPbYprIFyX5EZ7WokXvLH39wkvOPh3&#10;9wnlHwtkz/cJ2VIL/3ifMDcNe/qEeefVbPCD9QnuawK+uVzzOX8f2o+6h3PXV9x/xZ78BQAA//8D&#10;AFBLAwQUAAYACAAAACEAc2CzduEAAAAKAQAADwAAAGRycy9kb3ducmV2LnhtbEyPTUvDQBCG74L/&#10;YRnBm91s+hGJ2ZRS1FMRbAXxtk2mSWh2NmS3SfrvHU/2NsM8vPO82XqyrRiw940jDWoWgUAqXNlQ&#10;peHr8Pb0DMIHQ6VpHaGGK3pY5/d3mUlLN9InDvtQCQ4hnxoNdQhdKqUvarTGz1yHxLeT660JvPaV&#10;LHszcrhtZRxFK2lNQ/yhNh1uayzO+4vV8D6acTNXr8PufNpefw7Lj++dQq0fH6bNC4iAU/iH4U+f&#10;1SFnp6O7UOlFqyFO5kxqWKilAsFAskpiEEceooUCmWfytkL+CwAA//8DAFBLAQItABQABgAIAAAA&#10;IQC2gziS/gAAAOEBAAATAAAAAAAAAAAAAAAAAAAAAABbQ29udGVudF9UeXBlc10ueG1sUEsBAi0A&#10;FAAGAAgAAAAhADj9If/WAAAAlAEAAAsAAAAAAAAAAAAAAAAALwEAAF9yZWxzLy5yZWxzUEsBAi0A&#10;FAAGAAgAAAAhAOG5l6PjAwAADQ8AAA4AAAAAAAAAAAAAAAAALgIAAGRycy9lMm9Eb2MueG1sUEsB&#10;Ai0AFAAGAAgAAAAhAHNgs3bhAAAACgEAAA8AAAAAAAAAAAAAAAAAPQYAAGRycy9kb3ducmV2Lnht&#10;bFBLBQYAAAAABAAEAPMAAABLBwAAAAA=&#10;">
                <v:rect id="Rectangle 15" o:spid="_x0000_s1033" style="position:absolute;left:-135;top:-8066;width:20080;height:1337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Lrex8IA&#10;AADbAAAADwAAAGRycy9kb3ducmV2LnhtbERPTWvCQBC9F/wPywje6kbFKtFVRBCKFKGpHrwN2TEb&#10;zc6G7Dam/nq3UOhtHu9zluvOVqKlxpeOFYyGCQji3OmSCwXHr93rHIQPyBorx6TghzysV72XJaba&#10;3fmT2iwUIoawT1GBCaFOpfS5IYt+6GriyF1cYzFE2BRSN3iP4baS4yR5kxZLjg0Ga9oaym/Zt1Ww&#10;v84mmWk37WNyoJNxp4/zbuuVGvS7zQJEoC78i//c7zrOn8LvL/EAuXo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out7HwgAAANsAAAAPAAAAAAAAAAAAAAAAAJgCAABkcnMvZG93&#10;bnJldi54bWxQSwUGAAAAAAQABAD1AAAAhwMAAAAA&#10;" fillcolor="#4472c4 [3204]" stroked="f" strokeweight="1pt">
                  <v:textbox>
                    <w:txbxContent>
                      <w:p w14:paraId="196B0B4F" w14:textId="55A2DBFD" w:rsidR="0014792D" w:rsidRPr="0014792D" w:rsidRDefault="0014792D" w:rsidP="0014792D">
                        <w:pPr>
                          <w:jc w:val="center"/>
                          <w:rPr>
                            <w:rFonts w:ascii="Arial" w:hAnsi="Arial" w:cs="Arial"/>
                            <w:b/>
                            <w:sz w:val="24"/>
                            <w:szCs w:val="24"/>
                          </w:rPr>
                        </w:pPr>
                        <w:r w:rsidRPr="0014792D">
                          <w:rPr>
                            <w:rFonts w:ascii="Arial" w:hAnsi="Arial" w:cs="Arial"/>
                            <w:b/>
                            <w:sz w:val="24"/>
                            <w:szCs w:val="24"/>
                          </w:rPr>
                          <w:t>CHALLANGES</w:t>
                        </w:r>
                      </w:p>
                    </w:txbxContent>
                  </v:textbox>
                </v:rect>
                <v:rect id="Rectangle 16" o:spid="_x0000_s1034" style="position:absolute;left:-108;top:2738;width:20053;height:7675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NeQ2MQA&#10;AADbAAAADwAAAGRycy9kb3ducmV2LnhtbERPS2vCQBC+C/6HZQq9SN3UQ9DUVUJEkOYQH6X0OGSn&#10;SWh2NmS3Me2v7xYEb/PxPWe9HU0rBupdY1nB8zwCQVxa3XCl4O2yf1qCcB5ZY2uZFPyQg+1mOllj&#10;ou2VTzScfSVCCLsEFdTed4mUrqzJoJvbjjhwn7Y36APsK6l7vIZw08pFFMXSYMOhocaOsprKr/O3&#10;UTArsn2x+8iHd3Nxv0W3OubDa6rU48OYvoDwNPq7+OY+6DA/hv9fwgFy8w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TXkNjEAAAA2wAAAA8AAAAAAAAAAAAAAAAAmAIAAGRycy9k&#10;b3ducmV2LnhtbFBLBQYAAAAABAAEAPUAAACJAwAAAAA=&#10;" fillcolor="#4472c4 [3204]" stroked="f" strokeweight="1pt">
                  <v:textbox inset=",14.4pt,8.64pt,18pt">
                    <w:txbxContent>
                      <w:p w14:paraId="5DB21AEF" w14:textId="39ECD0EA" w:rsidR="00375508" w:rsidRDefault="00375508" w:rsidP="00375508">
                        <w:pPr>
                          <w:rPr>
                            <w:color w:val="FFFFFF" w:themeColor="background1"/>
                          </w:rPr>
                        </w:pPr>
                      </w:p>
                      <w:p w14:paraId="69B2EFD6" w14:textId="6F780149" w:rsidR="0014792D" w:rsidRDefault="00230E8E" w:rsidP="00230E8E">
                        <w:pPr>
                          <w:spacing w:line="360" w:lineRule="auto"/>
                          <w:rPr>
                            <w:color w:val="FFFFFF" w:themeColor="background1"/>
                          </w:rPr>
                        </w:pPr>
                        <w:r>
                          <w:t>Rising demand and delayed hospital handovers reduce ambulance availability, increasing response times and staff pressure (Gregory, 2025). Improving hospital capacity and community services can help reduce delays and improve patient care.</w:t>
                        </w:r>
                      </w:p>
                    </w:txbxContent>
                  </v:textbox>
                </v:rect>
                <v:shape id="Text Box 17" o:spid="_x0000_s1035" type="#_x0000_t202" style="position:absolute;left:-135;top:3716;width:20001;height:1656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WcwMr4A&#10;AADbAAAADwAAAGRycy9kb3ducmV2LnhtbERPTWvCQBC9F/wPywje6sZCtERXEYvWq6kXb0N2TILZ&#10;2bA7avrvu4VCb/N4n7PaDK5TDwqx9WxgNs1AEVfetlwbOH/tX99BRUG22HkmA98UYbMevaywsP7J&#10;J3qUUqsUwrFAA41IX2gdq4YcxqnviRN39cGhJBhqbQM+U7jr9FuWzbXDllNDgz3tGqpu5d0ZkEOc&#10;HfOzfM7DJf/IbakpkDZmMh62S1BCg/yL/9xHm+Yv4PeXdIBe/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PFnMDK+AAAA2wAAAA8AAAAAAAAAAAAAAAAAmAIAAGRycy9kb3ducmV2&#10;LnhtbFBLBQYAAAAABAAEAPUAAACDAwAAAAA=&#10;" fillcolor="white [3212]" stroked="f" strokeweight=".5pt">
                  <v:textbox inset=",7.2pt,,7.2pt">
                    <w:txbxContent>
                      <w:p w14:paraId="14C035FE" w14:textId="4B1D6FB0" w:rsidR="00375508" w:rsidRPr="0014792D" w:rsidRDefault="0014792D">
                        <w:pPr>
                          <w:pStyle w:val="NoSpacing"/>
                          <w:jc w:val="center"/>
                          <w:rPr>
                            <w:rFonts w:ascii="Arial" w:eastAsiaTheme="majorEastAsia" w:hAnsi="Arial" w:cs="Arial"/>
                            <w:b/>
                            <w:caps/>
                            <w:color w:val="4472C4" w:themeColor="accent1"/>
                            <w:sz w:val="28"/>
                            <w:szCs w:val="28"/>
                          </w:rPr>
                        </w:pPr>
                        <w:r w:rsidRPr="0014792D">
                          <w:rPr>
                            <w:rFonts w:ascii="Arial" w:hAnsi="Arial" w:cs="Arial"/>
                            <w:b/>
                          </w:rPr>
                          <w:t>Challenge 1: Delays and Demand Pressure</w:t>
                        </w:r>
                      </w:p>
                    </w:txbxContent>
                  </v:textbox>
                </v:shape>
                <w10:wrap type="square" anchorx="margin" anchory="margin"/>
              </v:group>
            </w:pict>
          </mc:Fallback>
        </mc:AlternateContent>
      </w:r>
      <w:r w:rsidRPr="001C7A20">
        <w:rPr>
          <w:rFonts w:ascii="Arial" w:hAnsi="Arial" w:cs="Arial"/>
          <w:b/>
          <w:bCs/>
          <w:noProof/>
          <w:sz w:val="28"/>
          <w:szCs w:val="28"/>
          <w:lang w:eastAsia="en-GB"/>
        </w:rPr>
        <mc:AlternateContent>
          <mc:Choice Requires="wpg">
            <w:drawing>
              <wp:anchor distT="0" distB="0" distL="228600" distR="228600" simplePos="0" relativeHeight="251703296" behindDoc="1" locked="0" layoutInCell="1" allowOverlap="1" wp14:anchorId="4D2D7FDD" wp14:editId="1AD698D8">
                <wp:simplePos x="0" y="0"/>
                <wp:positionH relativeFrom="margin">
                  <wp:posOffset>173355</wp:posOffset>
                </wp:positionH>
                <wp:positionV relativeFrom="margin">
                  <wp:posOffset>206375</wp:posOffset>
                </wp:positionV>
                <wp:extent cx="4699000" cy="2369185"/>
                <wp:effectExtent l="0" t="0" r="6350" b="0"/>
                <wp:wrapSquare wrapText="bothSides"/>
                <wp:docPr id="201" name="Group 201"/>
                <wp:cNvGraphicFramePr/>
                <a:graphic xmlns:a="http://schemas.openxmlformats.org/drawingml/2006/main">
                  <a:graphicData uri="http://schemas.microsoft.com/office/word/2010/wordprocessingGroup">
                    <wpg:wgp>
                      <wpg:cNvGrpSpPr/>
                      <wpg:grpSpPr>
                        <a:xfrm>
                          <a:off x="0" y="0"/>
                          <a:ext cx="4699000" cy="2369185"/>
                          <a:chOff x="45929" y="745522"/>
                          <a:chExt cx="1828800" cy="3853987"/>
                        </a:xfrm>
                      </wpg:grpSpPr>
                      <wps:wsp>
                        <wps:cNvPr id="203" name="Rectangle 203"/>
                        <wps:cNvSpPr/>
                        <wps:spPr>
                          <a:xfrm>
                            <a:off x="45929" y="745522"/>
                            <a:ext cx="1828800" cy="385398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631A709" w14:textId="77777777" w:rsidR="00375508" w:rsidRDefault="00375508" w:rsidP="00230E8E">
                              <w:pPr>
                                <w:spacing w:line="360" w:lineRule="auto"/>
                                <w:rPr>
                                  <w:color w:val="FFFFFF" w:themeColor="background1"/>
                                </w:rPr>
                              </w:pPr>
                            </w:p>
                            <w:p w14:paraId="69E20093" w14:textId="23C6B383" w:rsidR="00375508" w:rsidRPr="00344319" w:rsidRDefault="00344319" w:rsidP="00344319">
                              <w:pPr>
                                <w:spacing w:line="360" w:lineRule="auto"/>
                                <w:rPr>
                                  <w:rFonts w:ascii="Arial" w:hAnsi="Arial" w:cs="Arial"/>
                                  <w:color w:val="FFFFFF" w:themeColor="background1"/>
                                </w:rPr>
                              </w:pPr>
                              <w:r w:rsidRPr="00344319">
                                <w:rPr>
                                  <w:rFonts w:ascii="Arial" w:hAnsi="Arial" w:cs="Arial"/>
                                </w:rPr>
                                <w:t>The NHS's urgent and emergency care system now heavil</w:t>
                              </w:r>
                              <w:r>
                                <w:rPr>
                                  <w:rFonts w:ascii="Arial" w:hAnsi="Arial" w:cs="Arial"/>
                                </w:rPr>
                                <w:t xml:space="preserve">y relies on ambulance services. </w:t>
                              </w:r>
                              <w:r w:rsidRPr="00344319">
                                <w:rPr>
                                  <w:rFonts w:ascii="Arial" w:hAnsi="Arial" w:cs="Arial"/>
                                </w:rPr>
                                <w:t>Trained call handlers evaluate the circumstances and rank cases according to urgency when someone</w:t>
                              </w:r>
                              <w:r>
                                <w:rPr>
                                  <w:rFonts w:ascii="Arial" w:hAnsi="Arial" w:cs="Arial"/>
                                </w:rPr>
                                <w:t xml:space="preserve"> dials 999 (</w:t>
                              </w:r>
                              <w:proofErr w:type="spellStart"/>
                              <w:r>
                                <w:rPr>
                                  <w:rFonts w:ascii="Arial" w:hAnsi="Arial" w:cs="Arial"/>
                                </w:rPr>
                                <w:t>Spek</w:t>
                              </w:r>
                              <w:proofErr w:type="spellEnd"/>
                              <w:r>
                                <w:rPr>
                                  <w:rFonts w:ascii="Arial" w:hAnsi="Arial" w:cs="Arial"/>
                                </w:rPr>
                                <w:t xml:space="preserve"> et al., 2025). </w:t>
                              </w:r>
                              <w:r w:rsidRPr="00344319">
                                <w:rPr>
                                  <w:rFonts w:ascii="Arial" w:hAnsi="Arial" w:cs="Arial"/>
                                </w:rPr>
                                <w:t>Before transferring patients or directing them to the most suitable medical facility, paramedics administer emergency care, such as CPR, oxygen therapy, defibrillation, pain management, and wound care.</w:t>
                              </w: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45929" y="875161"/>
                            <a:ext cx="1828800" cy="66824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6C7DCA4" w14:textId="1D2545B7" w:rsidR="001C7A20" w:rsidRPr="001C7A20" w:rsidRDefault="00344319">
                              <w:pPr>
                                <w:pStyle w:val="NoSpacing"/>
                                <w:jc w:val="center"/>
                                <w:rPr>
                                  <w:rFonts w:ascii="Arial" w:eastAsiaTheme="majorEastAsia" w:hAnsi="Arial" w:cs="Arial"/>
                                  <w:b/>
                                  <w:caps/>
                                  <w:color w:val="4472C4" w:themeColor="accent1"/>
                                  <w:sz w:val="28"/>
                                  <w:szCs w:val="28"/>
                                </w:rPr>
                              </w:pPr>
                              <w:r>
                                <w:rPr>
                                  <w:rFonts w:ascii="Arial" w:hAnsi="Arial" w:cs="Arial"/>
                                  <w:b/>
                                </w:rPr>
                                <w:t>The</w:t>
                              </w:r>
                              <w:r w:rsidR="001C7A20" w:rsidRPr="001C7A20">
                                <w:rPr>
                                  <w:rFonts w:ascii="Arial" w:hAnsi="Arial" w:cs="Arial"/>
                                  <w:b/>
                                </w:rPr>
                                <w:t xml:space="preserve"> Functions</w:t>
                              </w:r>
                              <w:r>
                                <w:rPr>
                                  <w:rFonts w:ascii="Arial" w:hAnsi="Arial" w:cs="Arial"/>
                                  <w:b/>
                                </w:rPr>
                                <w:t xml:space="preserve"> of Ambulance Service</w:t>
                              </w:r>
                              <w:r w:rsidR="001C7A20" w:rsidRPr="001C7A20">
                                <w:rPr>
                                  <w:rFonts w:ascii="Arial" w:hAnsi="Arial" w:cs="Arial"/>
                                  <w:b/>
                                </w:rPr>
                                <w:t xml:space="preserve"> Today</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D2D7FDD" id="Group 201" o:spid="_x0000_s1036" style="position:absolute;margin-left:13.65pt;margin-top:16.25pt;width:370pt;height:186.55pt;z-index:-251613184;mso-wrap-distance-left:18pt;mso-wrap-distance-right:18pt;mso-position-horizontal-relative:margin;mso-position-vertical-relative:margin;mso-width-relative:margin;mso-height-relative:margin" coordorigin="459,7455" coordsize="18288,385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1XKiwMAAPcKAAAOAAAAZHJzL2Uyb0RvYy54bWzMVttu2zgQfV+g/0DwvZEtXyIJUYpsugkW&#10;CNqgSZFnmqJkYSmSS9KR0q/vkBSVNnXrIC26+yLzMtczM8c8eTN0HN0zbVopSjw/mmHEBJVVK5oS&#10;f7y9eJ1hZCwRFeFSsBI/MIPfnL7646RXBUvlVvKKaQRGhCl6VeKttapIEkO3rCPmSCom4LKWuiMW&#10;trpJKk16sN7xJJ3N1kkvdaW0pMwYOH0bLvGpt1/XjNr3dW2YRbzEEJv1X+2/G/dNTk9I0Wiiti0d&#10;wyAviKIjrQCnk6m3xBK00+03prqWamlkbY+o7BJZ1y1lPgfIZj57ks2lljvlc2mKvlETTADtE5xe&#10;bJa+u7/WqK1KDP4xEqSDInm/yB0APL1qCpC61OpGXevxoAk7l/FQ6879Qi5o8MA+TMCywSIKh8t1&#10;ns9mgD+Fu3SxzufZKkBPt1Afp7dc5WmOEdwfL1erNI3Xf40m5lmaZdHEIlst8uzYySQxgsQFOsXV&#10;K+gn8wiZ+TnIbrZEMV8J48CYIFtEyD5ApxHRcAawLVxcLgCQnDAzhQH49gC2P/GI3MG0SaG0sZdM&#10;dsgtSqwhEt+K5P7K2IBQFHHujeRtddFy7jduztg51+iewIQQSpmwvuyA61eSXDh5IZ1mMOpOAPSY&#10;mF/ZB86cHBcfWA1tBYVNfTB+oL915GPYkooF/ytoEj+TznsMzdfYG3TSNfifbM9/ZDtEOco7Veb5&#10;YFKeHVaeNLxnKeyk3LVC6n0G+ARfHeQjSAEah5IdNoMfuTw2ykZWD9BTWgZ+MopetFDMK2LsNdFA&#10;SDA6QLL2PXxqLvsSy3GF0VbqT/vOnTw0Pdxi1APBldj8uyOaYcT/FjAO+Xy5dIzoN6HNMNJhN8uP&#10;UyDujd+labZ2gyd23bmEJgGagAD9Ek615XFZa9ndAR2fOcdwRQQF9yW2cXluA/MCnVN2duaFgAYV&#10;sVfiRlFn2gHtuvV2uCNajS1tYRreyTiDpHjS2UHWaQp5trOybn3bO6gDsGMJgA/CXP4GYlhGYrh1&#10;k/ynHIAXlrHcIy8gO8CFy3rki4MMkR2v5msvDt28jxjX6yyFqobWj8wcp/8XEMSm+Q45IOjJ9WIV&#10;ZuopS8TRG/noMGc8YzT3E8IzFH83IVT/RMgOE8Lcl+6xcf9DRhjpIRDCuAl8MG5eTAfU6v8TIfh3&#10;A7yu/N/M+BJ0z7cv955AHt+rp58BAAD//wMAUEsDBBQABgAIAAAAIQDshoSV4AAAAAkBAAAPAAAA&#10;ZHJzL2Rvd25yZXYueG1sTI9PS8NAEMXvgt9hGcGb3fwxqcRsSinqqQi2gnibJtMkNDsbstsk/fZu&#10;T/b45j3e+02+mnUnRhpsa1hBuAhAEJemarlW8L1/f3oBYR1yhZ1hUnAhC6vi/i7HrDITf9G4c7Xw&#10;JWwzVNA412dS2rIhjXZhemLvHc2g0Xk51LIacPLlupNREKRSY8t+ocGeNg2Vp91ZK/iYcFrH4du4&#10;PR03l9998vmzDUmpx4d5/QrC0ez+w3DF9+hQeKaDOXNlRacgWsY+qSCOEhDeX6bXw0HBc5CkIItc&#10;3n5Q/AEAAP//AwBQSwECLQAUAAYACAAAACEAtoM4kv4AAADhAQAAEwAAAAAAAAAAAAAAAAAAAAAA&#10;W0NvbnRlbnRfVHlwZXNdLnhtbFBLAQItABQABgAIAAAAIQA4/SH/1gAAAJQBAAALAAAAAAAAAAAA&#10;AAAAAC8BAABfcmVscy8ucmVsc1BLAQItABQABgAIAAAAIQDBt1XKiwMAAPcKAAAOAAAAAAAAAAAA&#10;AAAAAC4CAABkcnMvZTJvRG9jLnhtbFBLAQItABQABgAIAAAAIQDshoSV4AAAAAkBAAAPAAAAAAAA&#10;AAAAAAAAAOUFAABkcnMvZG93bnJldi54bWxQSwUGAAAAAAQABADzAAAA8gYAAAAA&#10;">
                <v:rect id="Rectangle 203" o:spid="_x0000_s1037" style="position:absolute;left:459;top:7455;width:18288;height:385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xYpk8YA&#10;AADcAAAADwAAAGRycy9kb3ducmV2LnhtbESPT2vCQBTE74LfYXmCl6IbLRSNriKKUOoh/kM8PrLP&#10;JJh9G7JrTPvpu4WCx2FmfsPMl60pRUO1KywrGA0jEMSp1QVnCs6n7WACwnlkjaVlUvBNDpaLbmeO&#10;sbZPPlBz9JkIEHYxKsi9r2IpXZqTQTe0FXHwbrY26IOsM6lrfAa4KeU4ij6kwYLDQo4VrXNK78eH&#10;UfCWrLfJ5rprLubkfpJqut81Xyul+r12NQPhqfWv8H/7UysYR+/wdyYcAbn4B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lxYpk8YAAADcAAAADwAAAAAAAAAAAAAAAACYAgAAZHJz&#10;L2Rvd25yZXYueG1sUEsFBgAAAAAEAAQA9QAAAIsDAAAAAA==&#10;" fillcolor="#4472c4 [3204]" stroked="f" strokeweight="1pt">
                  <v:textbox inset=",14.4pt,8.64pt,18pt">
                    <w:txbxContent>
                      <w:p w14:paraId="7631A709" w14:textId="77777777" w:rsidR="00375508" w:rsidRDefault="00375508" w:rsidP="00230E8E">
                        <w:pPr>
                          <w:spacing w:line="360" w:lineRule="auto"/>
                          <w:rPr>
                            <w:color w:val="FFFFFF" w:themeColor="background1"/>
                          </w:rPr>
                        </w:pPr>
                      </w:p>
                      <w:p w14:paraId="69E20093" w14:textId="23C6B383" w:rsidR="00375508" w:rsidRPr="00344319" w:rsidRDefault="00344319" w:rsidP="00344319">
                        <w:pPr>
                          <w:spacing w:line="360" w:lineRule="auto"/>
                          <w:rPr>
                            <w:rFonts w:ascii="Arial" w:hAnsi="Arial" w:cs="Arial"/>
                            <w:color w:val="FFFFFF" w:themeColor="background1"/>
                          </w:rPr>
                        </w:pPr>
                        <w:r w:rsidRPr="00344319">
                          <w:rPr>
                            <w:rFonts w:ascii="Arial" w:hAnsi="Arial" w:cs="Arial"/>
                          </w:rPr>
                          <w:t>The NHS's urgent and emergency care system now heavil</w:t>
                        </w:r>
                        <w:r>
                          <w:rPr>
                            <w:rFonts w:ascii="Arial" w:hAnsi="Arial" w:cs="Arial"/>
                          </w:rPr>
                          <w:t xml:space="preserve">y relies on ambulance services. </w:t>
                        </w:r>
                        <w:r w:rsidRPr="00344319">
                          <w:rPr>
                            <w:rFonts w:ascii="Arial" w:hAnsi="Arial" w:cs="Arial"/>
                          </w:rPr>
                          <w:t>Trained call handlers evaluate the circumstances and rank cases according to urgency when someone</w:t>
                        </w:r>
                        <w:r>
                          <w:rPr>
                            <w:rFonts w:ascii="Arial" w:hAnsi="Arial" w:cs="Arial"/>
                          </w:rPr>
                          <w:t xml:space="preserve"> dials 999 (</w:t>
                        </w:r>
                        <w:proofErr w:type="spellStart"/>
                        <w:r>
                          <w:rPr>
                            <w:rFonts w:ascii="Arial" w:hAnsi="Arial" w:cs="Arial"/>
                          </w:rPr>
                          <w:t>Spek</w:t>
                        </w:r>
                        <w:proofErr w:type="spellEnd"/>
                        <w:r>
                          <w:rPr>
                            <w:rFonts w:ascii="Arial" w:hAnsi="Arial" w:cs="Arial"/>
                          </w:rPr>
                          <w:t xml:space="preserve"> et al., 2025). </w:t>
                        </w:r>
                        <w:r w:rsidRPr="00344319">
                          <w:rPr>
                            <w:rFonts w:ascii="Arial" w:hAnsi="Arial" w:cs="Arial"/>
                          </w:rPr>
                          <w:t>Before transferring patients or directing them to the most suitable medical facility, paramedics administer emergency care, such as CPR, oxygen therapy, defibrillation, pain management, and wound care.</w:t>
                        </w:r>
                      </w:p>
                    </w:txbxContent>
                  </v:textbox>
                </v:rect>
                <v:shape id="Text Box 204" o:spid="_x0000_s1038" type="#_x0000_t202" style="position:absolute;left:459;top:8751;width:18288;height:6683;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nKnSsIA&#10;AADcAAAADwAAAGRycy9kb3ducmV2LnhtbESPQWvCQBSE7wX/w/IEb3UTaaRE1yAtbb02euntkX0m&#10;wezbsPuq8d93C4Ueh5n5htlWkxvUlULsPRvIlxko4sbbnlsDp+Pb4zOoKMgWB89k4E4Rqt3sYYul&#10;9Tf+pGstrUoQjiUa6ETGUuvYdOQwLv1InLyzDw4lydBqG/CW4G7Qqyxba4c9p4UOR3rpqLnU386A&#10;vMf8UJzkYx2+itfC1poCaWMW82m/ASU0yX/4r32wBlbZE/yeSUdA73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icqdKwgAAANwAAAAPAAAAAAAAAAAAAAAAAJgCAABkcnMvZG93&#10;bnJldi54bWxQSwUGAAAAAAQABAD1AAAAhwMAAAAA&#10;" fillcolor="white [3212]" stroked="f" strokeweight=".5pt">
                  <v:textbox inset=",7.2pt,,7.2pt">
                    <w:txbxContent>
                      <w:p w14:paraId="16C7DCA4" w14:textId="1D2545B7" w:rsidR="001C7A20" w:rsidRPr="001C7A20" w:rsidRDefault="00344319">
                        <w:pPr>
                          <w:pStyle w:val="NoSpacing"/>
                          <w:jc w:val="center"/>
                          <w:rPr>
                            <w:rFonts w:ascii="Arial" w:eastAsiaTheme="majorEastAsia" w:hAnsi="Arial" w:cs="Arial"/>
                            <w:b/>
                            <w:caps/>
                            <w:color w:val="4472C4" w:themeColor="accent1"/>
                            <w:sz w:val="28"/>
                            <w:szCs w:val="28"/>
                          </w:rPr>
                        </w:pPr>
                        <w:r>
                          <w:rPr>
                            <w:rFonts w:ascii="Arial" w:hAnsi="Arial" w:cs="Arial"/>
                            <w:b/>
                          </w:rPr>
                          <w:t>The</w:t>
                        </w:r>
                        <w:r w:rsidR="001C7A20" w:rsidRPr="001C7A20">
                          <w:rPr>
                            <w:rFonts w:ascii="Arial" w:hAnsi="Arial" w:cs="Arial"/>
                            <w:b/>
                          </w:rPr>
                          <w:t xml:space="preserve"> Functions</w:t>
                        </w:r>
                        <w:r>
                          <w:rPr>
                            <w:rFonts w:ascii="Arial" w:hAnsi="Arial" w:cs="Arial"/>
                            <w:b/>
                          </w:rPr>
                          <w:t xml:space="preserve"> of Ambulance Service</w:t>
                        </w:r>
                        <w:r w:rsidR="001C7A20" w:rsidRPr="001C7A20">
                          <w:rPr>
                            <w:rFonts w:ascii="Arial" w:hAnsi="Arial" w:cs="Arial"/>
                            <w:b/>
                          </w:rPr>
                          <w:t xml:space="preserve"> Today</w:t>
                        </w:r>
                      </w:p>
                    </w:txbxContent>
                  </v:textbox>
                </v:shape>
                <w10:wrap type="square" anchorx="margin" anchory="margin"/>
              </v:group>
            </w:pict>
          </mc:Fallback>
        </mc:AlternateContent>
      </w:r>
      <w:r>
        <w:rPr>
          <w:rFonts w:ascii="Arial" w:hAnsi="Arial" w:cs="Arial"/>
          <w:b/>
          <w:bCs/>
          <w:noProof/>
          <w:sz w:val="28"/>
          <w:szCs w:val="28"/>
          <w:lang w:eastAsia="en-GB"/>
        </w:rPr>
        <mc:AlternateContent>
          <mc:Choice Requires="wps">
            <w:drawing>
              <wp:anchor distT="0" distB="0" distL="114300" distR="114300" simplePos="0" relativeHeight="251706368" behindDoc="0" locked="0" layoutInCell="1" allowOverlap="1" wp14:anchorId="5261EC86" wp14:editId="7813DE6F">
                <wp:simplePos x="0" y="0"/>
                <wp:positionH relativeFrom="margin">
                  <wp:posOffset>180210</wp:posOffset>
                </wp:positionH>
                <wp:positionV relativeFrom="paragraph">
                  <wp:posOffset>4511929</wp:posOffset>
                </wp:positionV>
                <wp:extent cx="4692015" cy="1785833"/>
                <wp:effectExtent l="0" t="0" r="13335" b="24130"/>
                <wp:wrapNone/>
                <wp:docPr id="18" name="Text Box 18"/>
                <wp:cNvGraphicFramePr/>
                <a:graphic xmlns:a="http://schemas.openxmlformats.org/drawingml/2006/main">
                  <a:graphicData uri="http://schemas.microsoft.com/office/word/2010/wordprocessingShape">
                    <wps:wsp>
                      <wps:cNvSpPr txBox="1"/>
                      <wps:spPr>
                        <a:xfrm>
                          <a:off x="0" y="0"/>
                          <a:ext cx="4692015" cy="1785833"/>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D9AAB22" w14:textId="77777777" w:rsidR="0014792D" w:rsidRPr="0014792D" w:rsidRDefault="0014792D" w:rsidP="0014792D">
                            <w:pPr>
                              <w:spacing w:before="100" w:beforeAutospacing="1" w:after="100" w:afterAutospacing="1" w:line="240" w:lineRule="auto"/>
                              <w:jc w:val="center"/>
                              <w:outlineLvl w:val="2"/>
                              <w:rPr>
                                <w:rFonts w:ascii="Arial" w:eastAsia="Times New Roman" w:hAnsi="Arial" w:cs="Arial"/>
                                <w:b/>
                                <w:bCs/>
                                <w:lang w:eastAsia="en-GB"/>
                              </w:rPr>
                            </w:pPr>
                            <w:r w:rsidRPr="0014792D">
                              <w:rPr>
                                <w:rFonts w:ascii="Arial" w:eastAsia="Times New Roman" w:hAnsi="Arial" w:cs="Arial"/>
                                <w:b/>
                                <w:bCs/>
                                <w:lang w:eastAsia="en-GB"/>
                              </w:rPr>
                              <w:t>Challenge 2: Workforce Pressure and Staff Wellbeing</w:t>
                            </w:r>
                          </w:p>
                          <w:p w14:paraId="41A40786" w14:textId="77777777" w:rsidR="0014792D" w:rsidRPr="0014792D" w:rsidRDefault="0014792D" w:rsidP="00230E8E">
                            <w:pPr>
                              <w:spacing w:before="100" w:beforeAutospacing="1" w:after="100" w:afterAutospacing="1" w:line="360" w:lineRule="auto"/>
                              <w:jc w:val="both"/>
                              <w:rPr>
                                <w:rFonts w:ascii="Arial" w:eastAsia="Times New Roman" w:hAnsi="Arial" w:cs="Arial"/>
                                <w:lang w:eastAsia="en-GB"/>
                              </w:rPr>
                            </w:pPr>
                            <w:r w:rsidRPr="0014792D">
                              <w:rPr>
                                <w:rFonts w:ascii="Arial" w:eastAsia="Times New Roman" w:hAnsi="Arial" w:cs="Arial"/>
                                <w:lang w:eastAsia="en-GB"/>
                              </w:rPr>
                              <w:t>Ambulance staff work in stressful environments, dealing with emergencies, trauma, and mental health crises. Long hours, high workloads, staff shortages, and delayed hospital handovers can affect their wellbeing and the quality of patient care (</w:t>
                            </w:r>
                            <w:proofErr w:type="spellStart"/>
                            <w:r w:rsidRPr="0014792D">
                              <w:rPr>
                                <w:rFonts w:ascii="Arial" w:eastAsia="Times New Roman" w:hAnsi="Arial" w:cs="Arial"/>
                                <w:lang w:eastAsia="en-GB"/>
                              </w:rPr>
                              <w:t>Alacahan</w:t>
                            </w:r>
                            <w:proofErr w:type="spellEnd"/>
                            <w:r w:rsidRPr="0014792D">
                              <w:rPr>
                                <w:rFonts w:ascii="Arial" w:eastAsia="Times New Roman" w:hAnsi="Arial" w:cs="Arial"/>
                                <w:lang w:eastAsia="en-GB"/>
                              </w:rPr>
                              <w:t>, 2025). Providing mental health support, safe staffing levels, and ongoing training can improve staff wellbeing and service quality.</w:t>
                            </w:r>
                          </w:p>
                          <w:p w14:paraId="69808B5B" w14:textId="77777777" w:rsidR="0014792D" w:rsidRDefault="0014792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61EC86" id="Text Box 18" o:spid="_x0000_s1039" type="#_x0000_t202" style="position:absolute;margin-left:14.2pt;margin-top:355.25pt;width:369.45pt;height:140.6pt;z-index:251706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3ITlwIAAL0FAAAOAAAAZHJzL2Uyb0RvYy54bWysVE1PGzEQvVfqf7B8L5tAwkfEBqUgqkoI&#10;UKHi7HhtssLrcW0nWfrr++zdhEC5UPWya8+8Gc+8+Tg9axvDVsqHmmzJh3sDzpSVVNX2seQ/7y+/&#10;HHMWorCVMGRVyZ9V4GfTz59O126i9mlBplKewYkNk7Ur+SJGNymKIBeqEWGPnLJQavKNiLj6x6Ly&#10;Yg3vjSn2B4PDYk2+cp6kCgHSi07Jp9m/1krGG62DisyUHLHF/PX5O0/fYnoqJo9euEUt+zDEP0TR&#10;iNri0a2rCxEFW/r6L1dNLT0F0nFPUlOQ1rVUOQdkMxy8yeZuIZzKuYCc4LY0hf/nVl6vbj2rK9QO&#10;lbKiQY3uVRvZV2oZROBn7cIEsDsHYGwhB3YjDxCmtFvtm/RHQgx6MP28ZTd5kxCODk+Q45gzCd3w&#10;6Hh8fHCQ/BQv5s6H+E1Rw9Kh5B7ly6yK1VWIHXQDSa8FMnV1WRuTL6ll1LnxbCVQbBNzkHD+CmUs&#10;W5f88GA8yI5f6ZLrrf3cCPnUh7eDgj9j03MqN1cfVqKooyKf4rNRCWPsD6VBbmbknRiFlMpu48zo&#10;hNLI6COGPf4lqo8Yd3nAIr9MNm6Nm9qS71h6TW31tKFWd3jUcCfvdIztvO26atsqc6qe0UGeuhkM&#10;Tl7WIPxKhHgrPIYOTYNFEm/w0YZQJepPnC3I/35PnvCYBWg5W2OISx5+LYVXnJnvFlNyMhyN0tTn&#10;y2h8tI+L39XMdzV22ZwTWmeIleVkPiZ8NJuj9tQ8YN/M0qtQCSvxdsnj5ngeu9WCfSXVbJZBmHMn&#10;4pW9czK5TjSnRrtvH4R3faNHzMg1bcZdTN70e4dNlpZmy0i6zsOQiO5Y7QuAHZHHqd9naQnt3jPq&#10;ZetO/wAAAP//AwBQSwMEFAAGAAgAAAAhAA6dn3bfAAAACgEAAA8AAABkcnMvZG93bnJldi54bWxM&#10;j8tOwzAQRfdI/IM1SOyokwLNo3EqQIVNVxTE2o2nttV4HMVuGv4es4Ll6B7de6bZzK5nE47BehKQ&#10;LzJgSJ1XlrSAz4/XuxJYiJKU7D2hgG8MsGmvrxpZK3+hd5z2UbNUQqGWAkyMQ8156Aw6GRZ+QErZ&#10;0Y9OxnSOmqtRXlK56/kyy1bcSUtpwcgBXwx2p/3ZCdg+60p3pRzNtlTWTvPXcaffhLi9mZ/WwCLO&#10;8Q+GX/2kDm1yOvgzqcB6AcvyIZECijx7BJaAYlXcAzsIqKq8AN42/P8L7Q8AAAD//wMAUEsBAi0A&#10;FAAGAAgAAAAhALaDOJL+AAAA4QEAABMAAAAAAAAAAAAAAAAAAAAAAFtDb250ZW50X1R5cGVzXS54&#10;bWxQSwECLQAUAAYACAAAACEAOP0h/9YAAACUAQAACwAAAAAAAAAAAAAAAAAvAQAAX3JlbHMvLnJl&#10;bHNQSwECLQAUAAYACAAAACEABktyE5cCAAC9BQAADgAAAAAAAAAAAAAAAAAuAgAAZHJzL2Uyb0Rv&#10;Yy54bWxQSwECLQAUAAYACAAAACEADp2fdt8AAAAKAQAADwAAAAAAAAAAAAAAAADxBAAAZHJzL2Rv&#10;d25yZXYueG1sUEsFBgAAAAAEAAQA8wAAAP0FAAAAAA==&#10;" fillcolor="white [3201]" strokeweight=".5pt">
                <v:textbox>
                  <w:txbxContent>
                    <w:p w14:paraId="4D9AAB22" w14:textId="77777777" w:rsidR="0014792D" w:rsidRPr="0014792D" w:rsidRDefault="0014792D" w:rsidP="0014792D">
                      <w:pPr>
                        <w:spacing w:before="100" w:beforeAutospacing="1" w:after="100" w:afterAutospacing="1" w:line="240" w:lineRule="auto"/>
                        <w:jc w:val="center"/>
                        <w:outlineLvl w:val="2"/>
                        <w:rPr>
                          <w:rFonts w:ascii="Arial" w:eastAsia="Times New Roman" w:hAnsi="Arial" w:cs="Arial"/>
                          <w:b/>
                          <w:bCs/>
                          <w:lang w:eastAsia="en-GB"/>
                        </w:rPr>
                      </w:pPr>
                      <w:r w:rsidRPr="0014792D">
                        <w:rPr>
                          <w:rFonts w:ascii="Arial" w:eastAsia="Times New Roman" w:hAnsi="Arial" w:cs="Arial"/>
                          <w:b/>
                          <w:bCs/>
                          <w:lang w:eastAsia="en-GB"/>
                        </w:rPr>
                        <w:t>Challenge 2: Workforce Pressure and Staff Wellbeing</w:t>
                      </w:r>
                    </w:p>
                    <w:p w14:paraId="41A40786" w14:textId="77777777" w:rsidR="0014792D" w:rsidRPr="0014792D" w:rsidRDefault="0014792D" w:rsidP="00230E8E">
                      <w:pPr>
                        <w:spacing w:before="100" w:beforeAutospacing="1" w:after="100" w:afterAutospacing="1" w:line="360" w:lineRule="auto"/>
                        <w:jc w:val="both"/>
                        <w:rPr>
                          <w:rFonts w:ascii="Arial" w:eastAsia="Times New Roman" w:hAnsi="Arial" w:cs="Arial"/>
                          <w:lang w:eastAsia="en-GB"/>
                        </w:rPr>
                      </w:pPr>
                      <w:r w:rsidRPr="0014792D">
                        <w:rPr>
                          <w:rFonts w:ascii="Arial" w:eastAsia="Times New Roman" w:hAnsi="Arial" w:cs="Arial"/>
                          <w:lang w:eastAsia="en-GB"/>
                        </w:rPr>
                        <w:t>Ambulance staff work in stressful environments, dealing with emergencies, trauma, and mental health crises. Long hours, high workloads, staff shortages, and delayed hospital handovers can affect their wellbeing and the quality of patient care (</w:t>
                      </w:r>
                      <w:proofErr w:type="spellStart"/>
                      <w:r w:rsidRPr="0014792D">
                        <w:rPr>
                          <w:rFonts w:ascii="Arial" w:eastAsia="Times New Roman" w:hAnsi="Arial" w:cs="Arial"/>
                          <w:lang w:eastAsia="en-GB"/>
                        </w:rPr>
                        <w:t>Alacahan</w:t>
                      </w:r>
                      <w:proofErr w:type="spellEnd"/>
                      <w:r w:rsidRPr="0014792D">
                        <w:rPr>
                          <w:rFonts w:ascii="Arial" w:eastAsia="Times New Roman" w:hAnsi="Arial" w:cs="Arial"/>
                          <w:lang w:eastAsia="en-GB"/>
                        </w:rPr>
                        <w:t>, 2025). Providing mental health support, safe staffing levels, and ongoing training can improve staff wellbeing and service quality.</w:t>
                      </w:r>
                    </w:p>
                    <w:p w14:paraId="69808B5B" w14:textId="77777777" w:rsidR="0014792D" w:rsidRDefault="0014792D"/>
                  </w:txbxContent>
                </v:textbox>
                <w10:wrap anchorx="margin"/>
              </v:shape>
            </w:pict>
          </mc:Fallback>
        </mc:AlternateContent>
      </w:r>
      <w:r w:rsidR="0011621F">
        <w:rPr>
          <w:noProof/>
          <w:lang w:eastAsia="en-GB"/>
        </w:rPr>
        <mc:AlternateContent>
          <mc:Choice Requires="wps">
            <w:drawing>
              <wp:anchor distT="0" distB="0" distL="114300" distR="114300" simplePos="0" relativeHeight="251711488" behindDoc="0" locked="0" layoutInCell="1" allowOverlap="1" wp14:anchorId="7C6958CA" wp14:editId="6BB6B930">
                <wp:simplePos x="0" y="0"/>
                <wp:positionH relativeFrom="column">
                  <wp:posOffset>4991100</wp:posOffset>
                </wp:positionH>
                <wp:positionV relativeFrom="paragraph">
                  <wp:posOffset>3892550</wp:posOffset>
                </wp:positionV>
                <wp:extent cx="4648200" cy="2406650"/>
                <wp:effectExtent l="0" t="0" r="19050" b="12700"/>
                <wp:wrapNone/>
                <wp:docPr id="26" name="Text Box 26"/>
                <wp:cNvGraphicFramePr/>
                <a:graphic xmlns:a="http://schemas.openxmlformats.org/drawingml/2006/main">
                  <a:graphicData uri="http://schemas.microsoft.com/office/word/2010/wordprocessingShape">
                    <wps:wsp>
                      <wps:cNvSpPr txBox="1"/>
                      <wps:spPr>
                        <a:xfrm>
                          <a:off x="0" y="0"/>
                          <a:ext cx="4648200" cy="24066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5F450B09" w14:textId="0BB47BE1" w:rsidR="00C66A29" w:rsidRPr="00C66A29" w:rsidRDefault="00C66A29" w:rsidP="00C66A29">
                            <w:pPr>
                              <w:spacing w:before="100" w:beforeAutospacing="1" w:after="100" w:afterAutospacing="1" w:line="240" w:lineRule="auto"/>
                              <w:jc w:val="center"/>
                              <w:outlineLvl w:val="2"/>
                              <w:rPr>
                                <w:rFonts w:ascii="Arial" w:eastAsia="Times New Roman" w:hAnsi="Arial" w:cs="Arial"/>
                                <w:b/>
                                <w:bCs/>
                                <w:lang w:eastAsia="en-GB"/>
                              </w:rPr>
                            </w:pPr>
                            <w:r>
                              <w:rPr>
                                <w:rFonts w:ascii="Arial" w:eastAsia="Times New Roman" w:hAnsi="Arial" w:cs="Arial"/>
                                <w:b/>
                                <w:bCs/>
                                <w:lang w:eastAsia="en-GB"/>
                              </w:rPr>
                              <w:t xml:space="preserve">Conclusion </w:t>
                            </w:r>
                          </w:p>
                          <w:p w14:paraId="76C54CC8" w14:textId="77777777" w:rsidR="00C66A29" w:rsidRPr="00C66A29" w:rsidRDefault="00C66A29" w:rsidP="00230E8E">
                            <w:pPr>
                              <w:spacing w:before="100" w:beforeAutospacing="1" w:after="100" w:afterAutospacing="1" w:line="360" w:lineRule="auto"/>
                              <w:jc w:val="both"/>
                              <w:rPr>
                                <w:rFonts w:ascii="Times New Roman" w:eastAsia="Times New Roman" w:hAnsi="Times New Roman" w:cs="Times New Roman"/>
                                <w:sz w:val="24"/>
                                <w:szCs w:val="24"/>
                                <w:lang w:eastAsia="en-GB"/>
                              </w:rPr>
                            </w:pPr>
                            <w:r w:rsidRPr="00C66A29">
                              <w:rPr>
                                <w:rFonts w:ascii="Arial" w:eastAsia="Times New Roman" w:hAnsi="Arial" w:cs="Arial"/>
                                <w:lang w:eastAsia="en-GB"/>
                              </w:rPr>
                              <w:t>Ambulance services are a vital part of the NHS, providing rapid emergency care and access to further treatment. They work closely with hospitals, GPs, police, and community services to meet patients' needs. However, increasing demand, delayed hospital handovers, and workforce pressures continue to affect response times and staff</w:t>
                            </w:r>
                            <w:r w:rsidRPr="00C66A29">
                              <w:rPr>
                                <w:rFonts w:ascii="Times New Roman" w:eastAsia="Times New Roman" w:hAnsi="Times New Roman" w:cs="Times New Roman"/>
                                <w:sz w:val="24"/>
                                <w:szCs w:val="24"/>
                                <w:lang w:eastAsia="en-GB"/>
                              </w:rPr>
                              <w:t xml:space="preserve"> wellbeing.</w:t>
                            </w:r>
                          </w:p>
                          <w:p w14:paraId="1EF8CDB2" w14:textId="77777777" w:rsidR="00C66A29" w:rsidRDefault="00C66A2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6958CA" id="Text Box 26" o:spid="_x0000_s1040" type="#_x0000_t202" style="position:absolute;margin-left:393pt;margin-top:306.5pt;width:366pt;height:189.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uGNEmAIAAL0FAAAOAAAAZHJzL2Uyb0RvYy54bWysVE1PGzEQvVfqf7B8L5ukIaURG5SCqCoh&#10;QA0VZ8drkxVej2s7yaa/vs/eJISPC1Uvu/bMm/HMm4/Ts7YxbKV8qMmWvH/U40xZSVVtH0r+6+7y&#10;0wlnIQpbCUNWlXyjAj+bfPxwunZjNaAFmUp5Bic2jNeu5IsY3bgoglyoRoQjcspCqck3IuLqH4rK&#10;izW8N6YY9HqjYk2+cp6kCgHSi07JJ9m/1krGG62DisyUHLHF/PX5O0/fYnIqxg9euEUtt2GIf4ii&#10;EbXFo3tXFyIKtvT1K1dNLT0F0vFIUlOQ1rVUOQdk0++9yGa2EE7lXEBOcHuawv9zK69Xt57VVckH&#10;I86saFCjO9VG9o1aBhH4WbswBmzmAIwt5KjzTh4gTGm32jfpj4QY9GB6s2c3eZMQDkfDE5SMMwnd&#10;YNgbjY4z/8WTufMhflfUsHQouUf5MqtidRUiQgF0B0mvBTJ1dVkbky+pZdS58WwlUGwTc5CweIYy&#10;lq1LPvqMp195SK739nMj5GNK87kH3IxNlio31zasRFFHRT7FjVEJY+xPpUFuZuSNGIWUyu7jzOiE&#10;0sjoPYZb/FNU7zHu8oBFfpls3Bs3tSXfsfSc2upxR63u8CDpIO90jO28zV3VH+xaZU7VBh3kqZvB&#10;4ORlDcKvRIi3wmPo0BlYJPEGH20IVaLtibMF+T9vyRMeswAtZ2sMccnD76XwijPzw2JKvvaHwzT1&#10;+TI8/jLAxR9q5ocau2zOCa3Tx8pyMh8TPprdUXtq7rFvpulVqISVeLvkcXc8j91qwb6SajrNIMy5&#10;E/HKzpxMrhPNqdHu2nvh3bbRI2bkmnbjLsYv+r3DJktL02UkXedhSER3rG4LgB2R+3W7z9ISOrxn&#10;1NPWnfwFAAD//wMAUEsDBBQABgAIAAAAIQAoGhIT3gAAAAwBAAAPAAAAZHJzL2Rvd25yZXYueG1s&#10;TI/BTsMwEETvSPyDtUjcqJMighOyqQAVLpwoiPM2dm2L2I5iNw1/j3uC24x2NPum3SxuYLOaog0e&#10;oVwVwJTvg7ReI3x+vNwIYDGRlzQErxB+VIRNd3nRUiPDyb+reZc0yyU+NoRgUhobzmNvlKO4CqPy&#10;+XYIk6OU7aS5nOiUy93A10VRcUfW5w+GRvVsVP+9OzqE7ZOudS9oMlshrZ2Xr8ObfkW8vloeH4Al&#10;taS/MJzxMzp0mWkfjl5GNiDciypvSQhVeZvFOXFXiqz2CHW9LoB3Lf8/ovsFAAD//wMAUEsBAi0A&#10;FAAGAAgAAAAhALaDOJL+AAAA4QEAABMAAAAAAAAAAAAAAAAAAAAAAFtDb250ZW50X1R5cGVzXS54&#10;bWxQSwECLQAUAAYACAAAACEAOP0h/9YAAACUAQAACwAAAAAAAAAAAAAAAAAvAQAAX3JlbHMvLnJl&#10;bHNQSwECLQAUAAYACAAAACEAQbhjRJgCAAC9BQAADgAAAAAAAAAAAAAAAAAuAgAAZHJzL2Uyb0Rv&#10;Yy54bWxQSwECLQAUAAYACAAAACEAKBoSE94AAAAMAQAADwAAAAAAAAAAAAAAAADyBAAAZHJzL2Rv&#10;d25yZXYueG1sUEsFBgAAAAAEAAQA8wAAAP0FAAAAAA==&#10;" fillcolor="white [3201]" strokeweight=".5pt">
                <v:textbox>
                  <w:txbxContent>
                    <w:p w14:paraId="5F450B09" w14:textId="0BB47BE1" w:rsidR="00C66A29" w:rsidRPr="00C66A29" w:rsidRDefault="00C66A29" w:rsidP="00C66A29">
                      <w:pPr>
                        <w:spacing w:before="100" w:beforeAutospacing="1" w:after="100" w:afterAutospacing="1" w:line="240" w:lineRule="auto"/>
                        <w:jc w:val="center"/>
                        <w:outlineLvl w:val="2"/>
                        <w:rPr>
                          <w:rFonts w:ascii="Arial" w:eastAsia="Times New Roman" w:hAnsi="Arial" w:cs="Arial"/>
                          <w:b/>
                          <w:bCs/>
                          <w:lang w:eastAsia="en-GB"/>
                        </w:rPr>
                      </w:pPr>
                      <w:r>
                        <w:rPr>
                          <w:rFonts w:ascii="Arial" w:eastAsia="Times New Roman" w:hAnsi="Arial" w:cs="Arial"/>
                          <w:b/>
                          <w:bCs/>
                          <w:lang w:eastAsia="en-GB"/>
                        </w:rPr>
                        <w:t xml:space="preserve">Conclusion </w:t>
                      </w:r>
                    </w:p>
                    <w:p w14:paraId="76C54CC8" w14:textId="77777777" w:rsidR="00C66A29" w:rsidRPr="00C66A29" w:rsidRDefault="00C66A29" w:rsidP="00230E8E">
                      <w:pPr>
                        <w:spacing w:before="100" w:beforeAutospacing="1" w:after="100" w:afterAutospacing="1" w:line="360" w:lineRule="auto"/>
                        <w:jc w:val="both"/>
                        <w:rPr>
                          <w:rFonts w:ascii="Times New Roman" w:eastAsia="Times New Roman" w:hAnsi="Times New Roman" w:cs="Times New Roman"/>
                          <w:sz w:val="24"/>
                          <w:szCs w:val="24"/>
                          <w:lang w:eastAsia="en-GB"/>
                        </w:rPr>
                      </w:pPr>
                      <w:r w:rsidRPr="00C66A29">
                        <w:rPr>
                          <w:rFonts w:ascii="Arial" w:eastAsia="Times New Roman" w:hAnsi="Arial" w:cs="Arial"/>
                          <w:lang w:eastAsia="en-GB"/>
                        </w:rPr>
                        <w:t>Ambulance services are a vital part of the NHS, providing rapid emergency care and access to further treatment. They work closely with hospitals, GPs, police, and community services to meet patients' needs. However, increasing demand, delayed hospital handovers, and workforce pressures continue to affect response times and staff</w:t>
                      </w:r>
                      <w:r w:rsidRPr="00C66A29">
                        <w:rPr>
                          <w:rFonts w:ascii="Times New Roman" w:eastAsia="Times New Roman" w:hAnsi="Times New Roman" w:cs="Times New Roman"/>
                          <w:sz w:val="24"/>
                          <w:szCs w:val="24"/>
                          <w:lang w:eastAsia="en-GB"/>
                        </w:rPr>
                        <w:t xml:space="preserve"> wellbeing.</w:t>
                      </w:r>
                    </w:p>
                    <w:p w14:paraId="1EF8CDB2" w14:textId="77777777" w:rsidR="00C66A29" w:rsidRDefault="00C66A29"/>
                  </w:txbxContent>
                </v:textbox>
              </v:shape>
            </w:pict>
          </mc:Fallback>
        </mc:AlternateContent>
      </w:r>
      <w:r w:rsidR="00584AD4">
        <w:rPr>
          <w:noProof/>
          <w:lang w:eastAsia="en-GB"/>
        </w:rPr>
        <mc:AlternateContent>
          <mc:Choice Requires="wps">
            <w:drawing>
              <wp:anchor distT="0" distB="0" distL="114300" distR="114300" simplePos="0" relativeHeight="251709440" behindDoc="0" locked="0" layoutInCell="1" allowOverlap="1" wp14:anchorId="58E271ED" wp14:editId="16456BE3">
                <wp:simplePos x="0" y="0"/>
                <wp:positionH relativeFrom="column">
                  <wp:posOffset>4965700</wp:posOffset>
                </wp:positionH>
                <wp:positionV relativeFrom="paragraph">
                  <wp:posOffset>215900</wp:posOffset>
                </wp:positionV>
                <wp:extent cx="4756150" cy="3524250"/>
                <wp:effectExtent l="0" t="0" r="25400" b="19050"/>
                <wp:wrapNone/>
                <wp:docPr id="22" name="Text Box 22"/>
                <wp:cNvGraphicFramePr/>
                <a:graphic xmlns:a="http://schemas.openxmlformats.org/drawingml/2006/main">
                  <a:graphicData uri="http://schemas.microsoft.com/office/word/2010/wordprocessingShape">
                    <wps:wsp>
                      <wps:cNvSpPr txBox="1"/>
                      <wps:spPr>
                        <a:xfrm>
                          <a:off x="0" y="0"/>
                          <a:ext cx="4756150" cy="35242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ED35999" w14:textId="164AE2DE" w:rsidR="00023583" w:rsidRDefault="00023583">
                            <w:pPr>
                              <w:rPr>
                                <w:rStyle w:val="Strong"/>
                                <w:rFonts w:ascii="Arial" w:hAnsi="Arial" w:cs="Arial"/>
                              </w:rPr>
                            </w:pPr>
                            <w:r>
                              <w:rPr>
                                <w:rFonts w:ascii="Arial" w:hAnsi="Arial" w:cs="Arial"/>
                                <w:b/>
                                <w:bCs/>
                                <w:noProof/>
                                <w:lang w:eastAsia="en-GB"/>
                              </w:rPr>
                              <w:drawing>
                                <wp:inline distT="0" distB="0" distL="0" distR="0" wp14:anchorId="3C72894E" wp14:editId="3355F2B5">
                                  <wp:extent cx="4667250" cy="28257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ambulance.png"/>
                                          <pic:cNvPicPr/>
                                        </pic:nvPicPr>
                                        <pic:blipFill>
                                          <a:blip r:embed="rId11">
                                            <a:extLst>
                                              <a:ext uri="{28A0092B-C50C-407E-A947-70E740481C1C}">
                                                <a14:useLocalDpi xmlns:a14="http://schemas.microsoft.com/office/drawing/2010/main" val="0"/>
                                              </a:ext>
                                            </a:extLst>
                                          </a:blip>
                                          <a:stretch>
                                            <a:fillRect/>
                                          </a:stretch>
                                        </pic:blipFill>
                                        <pic:spPr>
                                          <a:xfrm>
                                            <a:off x="0" y="0"/>
                                            <a:ext cx="4685253" cy="2836650"/>
                                          </a:xfrm>
                                          <a:prstGeom prst="rect">
                                            <a:avLst/>
                                          </a:prstGeom>
                                        </pic:spPr>
                                      </pic:pic>
                                    </a:graphicData>
                                  </a:graphic>
                                </wp:inline>
                              </w:drawing>
                            </w:r>
                          </w:p>
                          <w:p w14:paraId="73E45B86" w14:textId="2A45940C" w:rsidR="00023583" w:rsidRPr="00023583" w:rsidRDefault="00023583">
                            <w:pPr>
                              <w:rPr>
                                <w:rFonts w:cstheme="minorHAnsi"/>
                              </w:rPr>
                            </w:pPr>
                            <w:r w:rsidRPr="00023583">
                              <w:rPr>
                                <w:rStyle w:val="Strong"/>
                                <w:rFonts w:cstheme="minorHAnsi"/>
                              </w:rPr>
                              <w:t>Figure:</w:t>
                            </w:r>
                            <w:r w:rsidRPr="00023583">
                              <w:rPr>
                                <w:rFonts w:cstheme="minorHAnsi"/>
                              </w:rPr>
                              <w:t xml:space="preserve"> Community health services total reported waiting list in England (December 2022–June 2024). </w:t>
                            </w:r>
                            <w:r w:rsidRPr="00023583">
                              <w:rPr>
                                <w:rStyle w:val="Emphasis"/>
                                <w:rFonts w:cstheme="minorHAnsi"/>
                              </w:rPr>
                              <w:t>Source: NHS England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E271ED" id="Text Box 22" o:spid="_x0000_s1041" type="#_x0000_t202" style="position:absolute;margin-left:391pt;margin-top:17pt;width:374.5pt;height:277.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o9iymAIAAL0FAAAOAAAAZHJzL2Uyb0RvYy54bWysVF1P2zAUfZ+0/2D5faQNLWwVKepATJMQ&#10;oMHEs+vYNMKxPdtt0v16jp2klI8Xpr0k9r3nXt977sfJaVsrshHOV0YXdHwwokRobspKPxT0993F&#10;l6+U+MB0yZTRoqBb4enp/POnk8bORG5WRpXCETjRftbYgq5CsLMs83wlauYPjBUaSmlczQKu7iEr&#10;HWvgvVZZPhodZY1xpXWGC+8hPe+UdJ78Syl4uJbSi0BUQRFbSF+Xvsv4zeYnbPbgmF1VvA+D/UMU&#10;Nas0Ht25OmeBkbWr3riqK+6MNzIccFNnRsqKi5QDshmPXmVzu2JWpFxAjrc7mvz/c8uvNjeOVGVB&#10;85wSzWrU6E60gXw3LYEI/DTWzwC7tQCGFnLUeZB7CGParXR1/CMhAj2Y3u7Yjd44hJPj6dF4ChWH&#10;7nCaT3Jc4D97NrfOhx/C1CQeCupQvsQq21z60EEHSHzNG1WVF5VS6RJbRpwpRzYMxVYhBQnnL1BK&#10;k6agR4d4+o2H6Hpnv1SMP/bh7XmAP6WjpUjN1YcVKeqoSKewVSJilP4lJMhNjLwTI+Nc6F2cCR1R&#10;Ehl9xLDHP0f1EeMuD1ikl40OO+O60sZ1LL2ktnwcqJUdHjXcyzseQ7tsU1eND4dWWZpyiw5ypptB&#10;b/lFBcIvmQ83zGHo0BlYJOEaH6kMqmT6EyUr4/6+J494zAK0lDQY4oL6P2vmBCXqp8aUfBtPJnHq&#10;02UyPc5xcfua5b5Gr+szg9YZY2VZno4RH9RwlM7U99g3i/gqVExzvF3QMBzPQrdasK+4WCwSCHNu&#10;WbjUt5ZH15Hm2Gh37T1ztm/0gBm5MsO4s9mrfu+w0VKbxToYWaVhiER3rPYFwI5I49Tvs7iE9u8J&#10;9bx1508AAAD//wMAUEsDBBQABgAIAAAAIQCH809M3gAAAAsBAAAPAAAAZHJzL2Rvd25yZXYueG1s&#10;TI/BTsMwEETvSPyDtUjcqNOWghuyqQAVLpwoiPM2dm2L2I5sNw1/j3uC0+5qRrNvms3kejaqmGzw&#10;CPNZBUz5LkjrNcLnx8uNAJYyeUl98ArhRyXYtJcXDdUynPy7GndZsxLiU00IJueh5jx1RjlKszAo&#10;X7RDiI5yOaPmMtKphLueL6rqjjuyvnwwNKhno7rv3dEhbJ/0WneCotkKae04fR3e9Cvi9dX0+AAs&#10;qyn/meGMX9ChLUz7cPQysR7hXixKl4ywvC3zbFgt52XbI6zEugLeNvx/h/YXAAD//wMAUEsBAi0A&#10;FAAGAAgAAAAhALaDOJL+AAAA4QEAABMAAAAAAAAAAAAAAAAAAAAAAFtDb250ZW50X1R5cGVzXS54&#10;bWxQSwECLQAUAAYACAAAACEAOP0h/9YAAACUAQAACwAAAAAAAAAAAAAAAAAvAQAAX3JlbHMvLnJl&#10;bHNQSwECLQAUAAYACAAAACEAzKPYspgCAAC9BQAADgAAAAAAAAAAAAAAAAAuAgAAZHJzL2Uyb0Rv&#10;Yy54bWxQSwECLQAUAAYACAAAACEAh/NPTN4AAAALAQAADwAAAAAAAAAAAAAAAADyBAAAZHJzL2Rv&#10;d25yZXYueG1sUEsFBgAAAAAEAAQA8wAAAP0FAAAAAA==&#10;" fillcolor="white [3201]" strokeweight=".5pt">
                <v:textbox>
                  <w:txbxContent>
                    <w:p w14:paraId="4ED35999" w14:textId="164AE2DE" w:rsidR="00023583" w:rsidRDefault="00023583">
                      <w:pPr>
                        <w:rPr>
                          <w:rStyle w:val="Strong"/>
                          <w:rFonts w:ascii="Arial" w:hAnsi="Arial" w:cs="Arial"/>
                        </w:rPr>
                      </w:pPr>
                      <w:r>
                        <w:rPr>
                          <w:rFonts w:ascii="Arial" w:hAnsi="Arial" w:cs="Arial"/>
                          <w:b/>
                          <w:bCs/>
                          <w:noProof/>
                          <w:lang w:eastAsia="en-GB"/>
                        </w:rPr>
                        <w:drawing>
                          <wp:inline distT="0" distB="0" distL="0" distR="0" wp14:anchorId="3C72894E" wp14:editId="3355F2B5">
                            <wp:extent cx="4667250" cy="28257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ambulance.png"/>
                                    <pic:cNvPicPr/>
                                  </pic:nvPicPr>
                                  <pic:blipFill>
                                    <a:blip r:embed="rId11">
                                      <a:extLst>
                                        <a:ext uri="{28A0092B-C50C-407E-A947-70E740481C1C}">
                                          <a14:useLocalDpi xmlns:a14="http://schemas.microsoft.com/office/drawing/2010/main" val="0"/>
                                        </a:ext>
                                      </a:extLst>
                                    </a:blip>
                                    <a:stretch>
                                      <a:fillRect/>
                                    </a:stretch>
                                  </pic:blipFill>
                                  <pic:spPr>
                                    <a:xfrm>
                                      <a:off x="0" y="0"/>
                                      <a:ext cx="4685253" cy="2836650"/>
                                    </a:xfrm>
                                    <a:prstGeom prst="rect">
                                      <a:avLst/>
                                    </a:prstGeom>
                                  </pic:spPr>
                                </pic:pic>
                              </a:graphicData>
                            </a:graphic>
                          </wp:inline>
                        </w:drawing>
                      </w:r>
                    </w:p>
                    <w:p w14:paraId="73E45B86" w14:textId="2A45940C" w:rsidR="00023583" w:rsidRPr="00023583" w:rsidRDefault="00023583">
                      <w:pPr>
                        <w:rPr>
                          <w:rFonts w:cstheme="minorHAnsi"/>
                        </w:rPr>
                      </w:pPr>
                      <w:r w:rsidRPr="00023583">
                        <w:rPr>
                          <w:rStyle w:val="Strong"/>
                          <w:rFonts w:cstheme="minorHAnsi"/>
                        </w:rPr>
                        <w:t>Figure:</w:t>
                      </w:r>
                      <w:r w:rsidRPr="00023583">
                        <w:rPr>
                          <w:rFonts w:cstheme="minorHAnsi"/>
                        </w:rPr>
                        <w:t xml:space="preserve"> Community health services total reported waiting list in England (December 2022–June 2024). </w:t>
                      </w:r>
                      <w:r w:rsidRPr="00023583">
                        <w:rPr>
                          <w:rStyle w:val="Emphasis"/>
                          <w:rFonts w:cstheme="minorHAnsi"/>
                        </w:rPr>
                        <w:t>Source: NHS England (2024)</w:t>
                      </w:r>
                    </w:p>
                  </w:txbxContent>
                </v:textbox>
              </v:shape>
            </w:pict>
          </mc:Fallback>
        </mc:AlternateContent>
      </w:r>
      <w:r w:rsidR="00C66A29">
        <w:rPr>
          <w:noProof/>
          <w:lang w:eastAsia="en-GB"/>
        </w:rPr>
        <mc:AlternateContent>
          <mc:Choice Requires="wps">
            <w:drawing>
              <wp:anchor distT="0" distB="0" distL="114300" distR="114300" simplePos="0" relativeHeight="251679744" behindDoc="1" locked="0" layoutInCell="1" allowOverlap="1" wp14:anchorId="4BBE6966" wp14:editId="2C196B75">
                <wp:simplePos x="0" y="0"/>
                <wp:positionH relativeFrom="margin">
                  <wp:align>left</wp:align>
                </wp:positionH>
                <wp:positionV relativeFrom="paragraph">
                  <wp:posOffset>6350</wp:posOffset>
                </wp:positionV>
                <wp:extent cx="10675620" cy="6851650"/>
                <wp:effectExtent l="0" t="0" r="11430" b="25400"/>
                <wp:wrapNone/>
                <wp:docPr id="427371795" name="Rectangle 427371795"/>
                <wp:cNvGraphicFramePr/>
                <a:graphic xmlns:a="http://schemas.openxmlformats.org/drawingml/2006/main">
                  <a:graphicData uri="http://schemas.microsoft.com/office/word/2010/wordprocessingShape">
                    <wps:wsp>
                      <wps:cNvSpPr/>
                      <wps:spPr>
                        <a:xfrm>
                          <a:off x="0" y="0"/>
                          <a:ext cx="10675620" cy="685165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9270A9B" w14:textId="69A59B39" w:rsidR="00310143" w:rsidRDefault="00310143" w:rsidP="0031014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BE6966" id="Rectangle 427371795" o:spid="_x0000_s1042" style="position:absolute;margin-left:0;margin-top:.5pt;width:840.6pt;height:539.5pt;z-index:-2516367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X6LyywIAACMGAAAOAAAAZHJzL2Uyb0RvYy54bWysVEtv2zAMvg/YfxB0X21nebRBnSJo0WFA&#10;1xZth54VWYoN6DVJiZ39+lGS46RNscOwHByJj4/kJ5KXV50UaMusa7QqcXGWY8QU1VWj1iX++XL7&#10;5Rwj54mqiNCKlXjHHL5afP502Zo5G+lai4pZBCDKzVtT4tp7M88yR2smiTvThilQcm0l8XC166yy&#10;pAV0KbJRnk+zVtvKWE2ZcyC9SUq8iPicM+ofOHfMI1FiyM3Hr43fVfhmi0syX1ti6ob2aZB/yEKS&#10;RkHQAeqGeII2tjmBkg212mnuz6iWmea8oSzWANUU+btqnmtiWKwFyHFmoMn9P1h6v320qKlKPB7N&#10;vs6K2cUEI0UkPNUTkEfUWjB0UAFdrXFz8Ho2j7a/OTiG2jtuZfiHqlAXKd4NFLPOIwrCIp/OJtMR&#10;PAUF5fR8Ukwn8RWyg7+xzn9jWqJwKLGFPCK3ZHvnPMQE071JCOe0aKrbRoh4CY3DroVFWwJP7rsi&#10;uoqN/KGrJJvk8EsPD2JojxMxEaYmSTqe9sYQNDZlwI4pvAkr1Gkmdr0a8rgY3eRDnUeegBpcs0Bq&#10;ojGe/E6wACjUE+PwOkDcKNYxpJCyI5Qy5VOJriYVe1fKSdIRMCBz4GvA7gHeUrfHToT39sGVxbEa&#10;nPO/JZacB48YWSs/OMtGafsRgICq+sjJfk9Soiaw5LtVFzu3GAfTIFrpagftbHWac2fobQM9dEec&#10;fyQWBhv6DpaVf4APF7otse5PGNXa/v5IHuxh3kCLUQuLosTu14ZYhpH4rmASL4rxOGyWeBlPZqG3&#10;7bFmdaxRG3mtoTELWIuGxmOw92J/5FbLV9hpyxAVVERRiF1i6u3+cu3TAoOtSNlyGc1gmxji79Sz&#10;oQE8EB1m5KV7Jdb0g+RhCO/1fqmQ+bt5SrbBU+nlxmvexGE78No/AWyiOAD91gyr7vgerQ67ffEH&#10;AAD//wMAUEsDBBQABgAIAAAAIQA6y3rh3QAAAAgBAAAPAAAAZHJzL2Rvd25yZXYueG1sTI9BS8NA&#10;EIXvgv9hGcGb3U2FGtNsigiBgl5sVXrcZsckNDsbsps2/nsnJ3sa5r3hzffyzeQ6ccYhtJ40JAsF&#10;AqnytqVaw+e+fEhBhGjIms4TavjFAJvi9iY3mfUX+sDzLtaCQyhkRkMTY59JGaoGnQkL3yOx9+MH&#10;ZyKvQy3tYC4c7jq5VGolnWmJPzSmx9cGq9NudBrKQ7q3p+3XU//9LMv3MdJbsn3U+v5uelmDiDjF&#10;/2OY8RkdCmY6+pFsEJ0GLhJZ5TGbqzRZgjjOQqoUyCKX1wWKPwAAAP//AwBQSwECLQAUAAYACAAA&#10;ACEAtoM4kv4AAADhAQAAEwAAAAAAAAAAAAAAAAAAAAAAW0NvbnRlbnRfVHlwZXNdLnhtbFBLAQIt&#10;ABQABgAIAAAAIQA4/SH/1gAAAJQBAAALAAAAAAAAAAAAAAAAAC8BAABfcmVscy8ucmVsc1BLAQIt&#10;ABQABgAIAAAAIQC8X6LyywIAACMGAAAOAAAAAAAAAAAAAAAAAC4CAABkcnMvZTJvRG9jLnhtbFBL&#10;AQItABQABgAIAAAAIQA6y3rh3QAAAAgBAAAPAAAAAAAAAAAAAAAAACUFAABkcnMvZG93bnJldi54&#10;bWxQSwUGAAAAAAQABADzAAAALwYAAAAA&#10;" fillcolor="gray [1629]" strokecolor="#92d050" strokeweight="1pt">
                <v:fill opacity="30069f"/>
                <v:textbox>
                  <w:txbxContent>
                    <w:p w14:paraId="79270A9B" w14:textId="69A59B39" w:rsidR="00310143" w:rsidRDefault="00310143" w:rsidP="00310143">
                      <w:pPr>
                        <w:jc w:val="center"/>
                      </w:pPr>
                    </w:p>
                  </w:txbxContent>
                </v:textbox>
                <w10:wrap anchorx="margin"/>
              </v:rect>
            </w:pict>
          </mc:Fallback>
        </mc:AlternateContent>
      </w:r>
      <w:r w:rsidR="00C66A29">
        <w:rPr>
          <w:noProof/>
          <w:lang w:eastAsia="en-GB"/>
        </w:rPr>
        <mc:AlternateContent>
          <mc:Choice Requires="wps">
            <w:drawing>
              <wp:anchor distT="0" distB="0" distL="114300" distR="114300" simplePos="0" relativeHeight="251710464" behindDoc="0" locked="0" layoutInCell="1" allowOverlap="1" wp14:anchorId="1EFECBB1" wp14:editId="37367E9E">
                <wp:simplePos x="0" y="0"/>
                <wp:positionH relativeFrom="column">
                  <wp:posOffset>-58419</wp:posOffset>
                </wp:positionH>
                <wp:positionV relativeFrom="paragraph">
                  <wp:posOffset>-52069</wp:posOffset>
                </wp:positionV>
                <wp:extent cx="45719" cy="45719"/>
                <wp:effectExtent l="0" t="0" r="12065" b="12065"/>
                <wp:wrapNone/>
                <wp:docPr id="25" name="Text Box 25"/>
                <wp:cNvGraphicFramePr/>
                <a:graphic xmlns:a="http://schemas.openxmlformats.org/drawingml/2006/main">
                  <a:graphicData uri="http://schemas.microsoft.com/office/word/2010/wordprocessingShape">
                    <wps:wsp>
                      <wps:cNvSpPr txBox="1"/>
                      <wps:spPr>
                        <a:xfrm>
                          <a:off x="0" y="0"/>
                          <a:ext cx="45719" cy="45719"/>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36086B36" w14:textId="77777777" w:rsidR="00C66A29" w:rsidRDefault="00C66A2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EFECBB1" id="Text Box 25" o:spid="_x0000_s1043" type="#_x0000_t202" style="position:absolute;margin-left:-4.6pt;margin-top:-4.1pt;width:3.6pt;height:3.6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J6ckgIAALkFAAAOAAAAZHJzL2Uyb0RvYy54bWysVFFPGzEMfp+0/xDlfVzbARsVV9SBmCYh&#10;QIOJ5zSX0BO5OEvS9rpfz5fctbSMF6a93Dn2Z8f+Yvv0rG0MWyofarIlHx4MOFNWUlXbx5L/ur/8&#10;9JWzEIWthCGrSr5WgZ9NPn44XbmxGtGcTKU8QxAbxitX8nmMblwUQc5VI8IBOWVh1OQbEXH0j0Xl&#10;xQrRG1OMBoPjYkW+cp6kCgHai87IJzm+1krGG62DisyUHLnF/PX5O0vfYnIqxo9euHkt+zTEP2TR&#10;iNri0m2oCxEFW/j6r1BNLT0F0vFAUlOQ1rVUuQZUMxy8quZuLpzKtYCc4LY0hf8XVl4vbz2rq5KP&#10;jjizosEb3as2sm/UMqjAz8qFMWB3DsDYQo933ugDlKnsVvsm/VEQgx1Mr7fspmgSysOjL8MTziQs&#10;nYjYxYur8yF+V9SwJJTc4+kyo2J5FWIH3UDSTYFMXV3WxuRDahd1bjxbCjy0iTlBBN9DGctWJT/+&#10;fDTIgfdsKfTWf2aEfEol7kfAydh0ncqN1aeV6OloyFJcG5Uwxv5UGsRmNt7IUUip7DbPjE4ojYre&#10;49jjX7J6j3NXBzzyzWTj1rmpLfmOpX1qq6cNtbrDg6SdupMY21mbO2q4bZ8ZVWt0j6du/oKTlzUI&#10;vxIh3gqPgUPDYInEG3y0IbwS9RJnc/J/3tInPOYAVs5WGOCSh98L4RVn5ofFhJwMDw/TxOcDGm6E&#10;g9+1zHYtdtGcE1pniHXlZBYTPpqNqD01D9g103QrTMJK3F3yuBHPY7dWsKukmk4zCDPuRLyyd06m&#10;0Inm1Gj37YPwrm/0iPm4ps2oi/Grfu+wydPSdBFJ13kYEtEdq/0DYD/kfu13WVpAu+eMetm4k2cA&#10;AAD//wMAUEsDBBQABgAIAAAAIQD5xD3Y2QAAAAcBAAAPAAAAZHJzL2Rvd25yZXYueG1sTI/BTsMw&#10;EETvSPyDtUjcUqc5oDTEqVpUuHCiIM5uvLUt4nUUu2n4e5YTnEarGc2+abdLGMSMU/KRFKxXJQik&#10;PhpPVsHH+3NRg0hZk9FDJFTwjQm23e1NqxsTr/SG8zFbwSWUGq3A5Tw2UqbeYdBpFUck9s5xCjrz&#10;OVlpJn3l8jDIqiwfZNCe+IPTIz457L+Ol6DgsLcb29d6cofaeD8vn+dX+6LU/d2yewSRccl/YfjF&#10;Z3TomOkUL2SSGBQUm4qTrDUr+0XF006s6xJk18r//N0PAAAA//8DAFBLAQItABQABgAIAAAAIQC2&#10;gziS/gAAAOEBAAATAAAAAAAAAAAAAAAAAAAAAABbQ29udGVudF9UeXBlc10ueG1sUEsBAi0AFAAG&#10;AAgAAAAhADj9If/WAAAAlAEAAAsAAAAAAAAAAAAAAAAALwEAAF9yZWxzLy5yZWxzUEsBAi0AFAAG&#10;AAgAAAAhAJJgnpySAgAAuQUAAA4AAAAAAAAAAAAAAAAALgIAAGRycy9lMm9Eb2MueG1sUEsBAi0A&#10;FAAGAAgAAAAhAPnEPdjZAAAABwEAAA8AAAAAAAAAAAAAAAAA7AQAAGRycy9kb3ducmV2LnhtbFBL&#10;BQYAAAAABAAEAPMAAADyBQAAAAA=&#10;" fillcolor="white [3201]" strokeweight=".5pt">
                <v:textbox>
                  <w:txbxContent>
                    <w:p w14:paraId="36086B36" w14:textId="77777777" w:rsidR="00C66A29" w:rsidRDefault="00C66A29"/>
                  </w:txbxContent>
                </v:textbox>
              </v:shape>
            </w:pict>
          </mc:Fallback>
        </mc:AlternateContent>
      </w:r>
      <w:r w:rsidR="009C27B0">
        <w:rPr>
          <w:rFonts w:ascii="Arial" w:hAnsi="Arial" w:cs="Arial"/>
          <w:b/>
          <w:bCs/>
          <w:sz w:val="28"/>
          <w:szCs w:val="28"/>
        </w:rPr>
        <w:br w:type="page"/>
      </w:r>
    </w:p>
    <w:p w14:paraId="4A6F457C" w14:textId="19DC57BF" w:rsidR="00135D14" w:rsidRDefault="00695278">
      <w:pPr>
        <w:rPr>
          <w:rFonts w:ascii="Arial" w:hAnsi="Arial" w:cs="Arial"/>
          <w:b/>
          <w:bCs/>
          <w:sz w:val="28"/>
          <w:szCs w:val="28"/>
        </w:rPr>
      </w:pPr>
      <w:r>
        <w:rPr>
          <w:noProof/>
          <w:lang w:eastAsia="en-GB"/>
        </w:rPr>
        <w:lastRenderedPageBreak/>
        <mc:AlternateContent>
          <mc:Choice Requires="wps">
            <w:drawing>
              <wp:anchor distT="0" distB="0" distL="114300" distR="114300" simplePos="0" relativeHeight="251689984" behindDoc="1" locked="0" layoutInCell="1" allowOverlap="1" wp14:anchorId="3002D2BF" wp14:editId="7D1A6E5F">
                <wp:simplePos x="0" y="0"/>
                <wp:positionH relativeFrom="margin">
                  <wp:align>left</wp:align>
                </wp:positionH>
                <wp:positionV relativeFrom="paragraph">
                  <wp:posOffset>0</wp:posOffset>
                </wp:positionV>
                <wp:extent cx="10675620" cy="6857365"/>
                <wp:effectExtent l="0" t="0" r="11430" b="19685"/>
                <wp:wrapNone/>
                <wp:docPr id="1597471626" name="Rectangle 1597471626"/>
                <wp:cNvGraphicFramePr/>
                <a:graphic xmlns:a="http://schemas.openxmlformats.org/drawingml/2006/main">
                  <a:graphicData uri="http://schemas.microsoft.com/office/word/2010/wordprocessingShape">
                    <wps:wsp>
                      <wps:cNvSpPr/>
                      <wps:spPr>
                        <a:xfrm>
                          <a:off x="0" y="0"/>
                          <a:ext cx="10675620" cy="6857365"/>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D07E14" id="Rectangle 1597471626" o:spid="_x0000_s1026" style="position:absolute;margin-left:0;margin-top:0;width:840.6pt;height:539.95pt;z-index:-2516264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AQTGxAIAABIGAAAOAAAAZHJzL2Uyb0RvYy54bWysVEtv2zAMvg/YfxB0X21nsdMGdYqgRYcB&#10;XVu0HXpWZCk2oNck5bVfP0pynLQpdhiWgyOK5EfyE8nLq60UaM2s67SqcXGWY8QU1U2nljX++XL7&#10;5Rwj54lqiNCK1XjHHL6aff50uTFTNtKtFg2zCECUm25MjVvvzTTLHG2ZJO5MG6ZAybWVxINol1lj&#10;yQbQpchGeV5lG20bYzVlzsHtTVLiWcTnnFH/wLljHokaQ24+fm38LsI3m12S6dIS03a0T4P8QxaS&#10;dAqCDlA3xBO0st0JlOyo1U5zf0a1zDTnHWWxBqimyN9V89wSw2ItQI4zA03u/8HS+/WjRV0Db1de&#10;TMaTohpVGCki4a2egD2iloKhIx0QtjFuCn7P5tH2koNjqH7LrQz/UBfaRpJ3A8ls6xGFyyKvJmU1&#10;gsegoKzOy8nXqgzvkB38jXX+G9MShUONLSQS2SXrO+eT6d4khHNadM1tJ0QUQuuwa2HRmsCj+20R&#10;XcVK/tBNuitz+KWnh2tokJNrIkxL0u246o0hv9iWATtm+yasUKeZ2OViyONidJOXMWjAOSQMUnDN&#10;AqmJxnjyO8ECoFBPjMP7AHGjWMeQQsqOUMqUTyW6ljTsXSknSUfAgMyBrwG7B3hL3R47Ed7bB1cW&#10;B2twzv+WWHIePGJkrfzgLDul7UcAAqrqIyf7PUmJmsDSQjc76F6r01g7Q287aJg74vwjsTDH0GSw&#10;m/wDfLjQmxrr/oRRq+3vj+6DPYwXaDHawF6osfu1IpZhJL4rGLyLYjwOiyQK43ISGtkeaxbHGrWS&#10;1xq6sIAtaGg8Bnsv9kdutXyFFTYPUUFFFIXYNabe7oVrn/YVLEHK5vNoBsvDEH+nng0N4IHVMBAv&#10;21diTT81HibuXu93CJm+G55kGzyVnq+85l2crAOvPd+weGK390sybLZjOVodVvnsDwAAAP//AwBQ&#10;SwMEFAAGAAgAAAAhAE3dWKTdAAAABwEAAA8AAABkcnMvZG93bnJldi54bWxMj0FLw0AQhe+C/2EZ&#10;oTe7SYU2idkUEQKF9mKr4nGaHZPQ7GzIbtr037v1opfhDW9475t8PZlOnGlwrWUF8TwCQVxZ3XKt&#10;4P1QPiYgnEfW2FkmBVdysC7u73LMtL3wG533vhYhhF2GChrv+0xKVzVk0M1tTxy8bzsY9GEdaqkH&#10;vIRw08lFFC2lwZZDQ4M9vTZUnfajUVB+JQd92nys+s9UlrvR8zbePCk1e5henkF4mvzfMdzwAzoU&#10;geloR9ZOdArCI/533rxlEi9AHIOKVmkKssjlf/7iBwAA//8DAFBLAQItABQABgAIAAAAIQC2gziS&#10;/gAAAOEBAAATAAAAAAAAAAAAAAAAAAAAAABbQ29udGVudF9UeXBlc10ueG1sUEsBAi0AFAAGAAgA&#10;AAAhADj9If/WAAAAlAEAAAsAAAAAAAAAAAAAAAAALwEAAF9yZWxzLy5yZWxzUEsBAi0AFAAGAAgA&#10;AAAhANkBBMbEAgAAEgYAAA4AAAAAAAAAAAAAAAAALgIAAGRycy9lMm9Eb2MueG1sUEsBAi0AFAAG&#10;AAgAAAAhAE3dWKTdAAAABwEAAA8AAAAAAAAAAAAAAAAAHgUAAGRycy9kb3ducmV2LnhtbFBLBQYA&#10;AAAABAAEAPMAAAAoBgAAAAA=&#10;" fillcolor="gray [1629]" strokecolor="#92d050" strokeweight="1pt">
                <v:fill opacity="30069f"/>
                <w10:wrap anchorx="margin"/>
              </v:rect>
            </w:pict>
          </mc:Fallback>
        </mc:AlternateContent>
      </w:r>
      <w:r w:rsidR="00D564B7">
        <w:rPr>
          <w:noProof/>
          <w:lang w:eastAsia="en-GB"/>
        </w:rPr>
        <mc:AlternateContent>
          <mc:Choice Requires="wps">
            <w:drawing>
              <wp:anchor distT="0" distB="0" distL="114300" distR="114300" simplePos="0" relativeHeight="251695104" behindDoc="0" locked="0" layoutInCell="1" allowOverlap="1" wp14:anchorId="1F186459" wp14:editId="351EF954">
                <wp:simplePos x="0" y="0"/>
                <wp:positionH relativeFrom="column">
                  <wp:posOffset>95250</wp:posOffset>
                </wp:positionH>
                <wp:positionV relativeFrom="paragraph">
                  <wp:posOffset>95250</wp:posOffset>
                </wp:positionV>
                <wp:extent cx="9505950" cy="3095625"/>
                <wp:effectExtent l="0" t="0" r="19050" b="28575"/>
                <wp:wrapNone/>
                <wp:docPr id="933991933" name="Text Box 16"/>
                <wp:cNvGraphicFramePr/>
                <a:graphic xmlns:a="http://schemas.openxmlformats.org/drawingml/2006/main">
                  <a:graphicData uri="http://schemas.microsoft.com/office/word/2010/wordprocessingShape">
                    <wps:wsp>
                      <wps:cNvSpPr txBox="1"/>
                      <wps:spPr>
                        <a:xfrm>
                          <a:off x="0" y="0"/>
                          <a:ext cx="9505950" cy="3095625"/>
                        </a:xfrm>
                        <a:prstGeom prst="rect">
                          <a:avLst/>
                        </a:prstGeom>
                        <a:solidFill>
                          <a:schemeClr val="lt1"/>
                        </a:solidFill>
                        <a:ln w="6350">
                          <a:solidFill>
                            <a:prstClr val="black"/>
                          </a:solidFill>
                        </a:ln>
                      </wps:spPr>
                      <wps:txbx>
                        <w:txbxContent>
                          <w:p w14:paraId="36B1133F" w14:textId="77777777" w:rsidR="00D564B7" w:rsidRPr="00D564B7" w:rsidRDefault="00D564B7" w:rsidP="00D564B7">
                            <w:pPr>
                              <w:spacing w:line="240" w:lineRule="auto"/>
                              <w:jc w:val="both"/>
                              <w:rPr>
                                <w:b/>
                                <w:bCs/>
                                <w:color w:val="385623" w:themeColor="accent6" w:themeShade="80"/>
                              </w:rPr>
                            </w:pPr>
                            <w:r w:rsidRPr="00D564B7">
                              <w:rPr>
                                <w:b/>
                                <w:bCs/>
                                <w:color w:val="385623" w:themeColor="accent6" w:themeShade="80"/>
                              </w:rPr>
                              <w:t>References</w:t>
                            </w:r>
                          </w:p>
                          <w:p w14:paraId="423C2E6E" w14:textId="77777777" w:rsidR="00D564B7" w:rsidRPr="00D564B7" w:rsidRDefault="00D564B7" w:rsidP="00D564B7">
                            <w:pPr>
                              <w:spacing w:line="276" w:lineRule="auto"/>
                              <w:jc w:val="both"/>
                              <w:rPr>
                                <w:rFonts w:ascii="Calibri" w:hAnsi="Calibri" w:cs="Calibri"/>
                                <w:sz w:val="20"/>
                                <w:szCs w:val="20"/>
                              </w:rPr>
                            </w:pPr>
                            <w:r w:rsidRPr="00D564B7">
                              <w:rPr>
                                <w:rFonts w:ascii="Calibri" w:hAnsi="Calibri" w:cs="Calibri"/>
                                <w:sz w:val="20"/>
                                <w:szCs w:val="20"/>
                              </w:rPr>
                              <w:t xml:space="preserve">Community Pharmacy England, (2025). </w:t>
                            </w:r>
                            <w:r w:rsidRPr="00D564B7">
                              <w:rPr>
                                <w:rFonts w:ascii="Calibri" w:hAnsi="Calibri" w:cs="Calibri"/>
                                <w:i/>
                                <w:iCs/>
                                <w:sz w:val="20"/>
                                <w:szCs w:val="20"/>
                              </w:rPr>
                              <w:t>Economic Analysis of NHS Pharmaceutical Services (Independent Economic Review).</w:t>
                            </w:r>
                            <w:r w:rsidRPr="00D564B7">
                              <w:rPr>
                                <w:rFonts w:ascii="Calibri" w:hAnsi="Calibri" w:cs="Calibri"/>
                                <w:sz w:val="20"/>
                                <w:szCs w:val="20"/>
                              </w:rPr>
                              <w:t xml:space="preserve"> [online] Available at:</w:t>
                            </w:r>
                            <w:hyperlink r:id="rId12">
                              <w:r w:rsidRPr="00D564B7">
                                <w:rPr>
                                  <w:rFonts w:ascii="Calibri" w:hAnsi="Calibri" w:cs="Calibri"/>
                                  <w:sz w:val="20"/>
                                  <w:szCs w:val="20"/>
                                </w:rPr>
                                <w:t xml:space="preserve"> </w:t>
                              </w:r>
                            </w:hyperlink>
                            <w:hyperlink r:id="rId13">
                              <w:r w:rsidRPr="00D564B7">
                                <w:rPr>
                                  <w:rFonts w:ascii="Calibri" w:hAnsi="Calibri" w:cs="Calibri"/>
                                  <w:color w:val="1155CC"/>
                                  <w:sz w:val="20"/>
                                  <w:szCs w:val="20"/>
                                  <w:u w:val="single"/>
                                </w:rPr>
                                <w:t>https://cpe.org.uk/funding-and-reimbursement/pharmacy-funding/independent-economic-review/</w:t>
                              </w:r>
                            </w:hyperlink>
                            <w:r w:rsidRPr="00D564B7">
                              <w:rPr>
                                <w:rFonts w:ascii="Calibri" w:hAnsi="Calibri" w:cs="Calibri"/>
                                <w:sz w:val="20"/>
                                <w:szCs w:val="20"/>
                              </w:rPr>
                              <w:t xml:space="preserve"> (Accessed on: 2 July 2026)</w:t>
                            </w:r>
                          </w:p>
                          <w:p w14:paraId="19CE03EF" w14:textId="77777777" w:rsidR="00D564B7" w:rsidRPr="00D564B7" w:rsidRDefault="00D564B7" w:rsidP="00D564B7">
                            <w:pPr>
                              <w:spacing w:line="276" w:lineRule="auto"/>
                              <w:jc w:val="both"/>
                              <w:rPr>
                                <w:rFonts w:ascii="Calibri" w:hAnsi="Calibri" w:cs="Calibri"/>
                                <w:sz w:val="20"/>
                                <w:szCs w:val="20"/>
                              </w:rPr>
                            </w:pPr>
                            <w:r w:rsidRPr="00D564B7">
                              <w:rPr>
                                <w:rFonts w:ascii="Calibri" w:hAnsi="Calibri" w:cs="Calibri"/>
                                <w:sz w:val="20"/>
                                <w:szCs w:val="20"/>
                              </w:rPr>
                              <w:t xml:space="preserve">Minhas, A., (2026). </w:t>
                            </w:r>
                            <w:r w:rsidRPr="00D564B7">
                              <w:rPr>
                                <w:rFonts w:ascii="Calibri" w:hAnsi="Calibri" w:cs="Calibri"/>
                                <w:i/>
                                <w:iCs/>
                                <w:sz w:val="20"/>
                                <w:szCs w:val="20"/>
                              </w:rPr>
                              <w:t>Number of Community Pharmacies in England from 2006/07 to 2024/25</w:t>
                            </w:r>
                            <w:r w:rsidRPr="00D564B7">
                              <w:rPr>
                                <w:rFonts w:ascii="Calibri" w:hAnsi="Calibri" w:cs="Calibri"/>
                                <w:sz w:val="20"/>
                                <w:szCs w:val="20"/>
                              </w:rPr>
                              <w:t>. [online] Available at:</w:t>
                            </w:r>
                            <w:hyperlink r:id="rId14">
                              <w:r w:rsidRPr="00D564B7">
                                <w:rPr>
                                  <w:rFonts w:ascii="Calibri" w:hAnsi="Calibri" w:cs="Calibri"/>
                                  <w:sz w:val="20"/>
                                  <w:szCs w:val="20"/>
                                </w:rPr>
                                <w:t xml:space="preserve"> </w:t>
                              </w:r>
                            </w:hyperlink>
                            <w:hyperlink r:id="rId15">
                              <w:r w:rsidRPr="00D564B7">
                                <w:rPr>
                                  <w:rFonts w:ascii="Calibri" w:hAnsi="Calibri" w:cs="Calibri"/>
                                  <w:color w:val="1155CC"/>
                                  <w:sz w:val="20"/>
                                  <w:szCs w:val="20"/>
                                  <w:u w:val="single"/>
                                </w:rPr>
                                <w:t>https://www.statista.com/statistics/418071/community-pharmacies-in-england/</w:t>
                              </w:r>
                            </w:hyperlink>
                            <w:r w:rsidRPr="00D564B7">
                              <w:rPr>
                                <w:rFonts w:ascii="Calibri" w:hAnsi="Calibri" w:cs="Calibri"/>
                                <w:sz w:val="20"/>
                                <w:szCs w:val="20"/>
                              </w:rPr>
                              <w:t xml:space="preserve"> (Accessed on: 2 July 2026)</w:t>
                            </w:r>
                          </w:p>
                          <w:p w14:paraId="0F79B6BA" w14:textId="77777777" w:rsidR="00D564B7" w:rsidRPr="00D564B7" w:rsidRDefault="00D564B7" w:rsidP="00D564B7">
                            <w:pPr>
                              <w:spacing w:line="276" w:lineRule="auto"/>
                              <w:jc w:val="both"/>
                              <w:rPr>
                                <w:rFonts w:ascii="Calibri" w:hAnsi="Calibri" w:cs="Calibri"/>
                                <w:sz w:val="20"/>
                                <w:szCs w:val="20"/>
                              </w:rPr>
                            </w:pPr>
                            <w:r w:rsidRPr="00D564B7">
                              <w:rPr>
                                <w:rFonts w:ascii="Calibri" w:hAnsi="Calibri" w:cs="Calibri"/>
                                <w:sz w:val="20"/>
                                <w:szCs w:val="20"/>
                              </w:rPr>
                              <w:t xml:space="preserve">NHS England, (2024). </w:t>
                            </w:r>
                            <w:r w:rsidRPr="00D564B7">
                              <w:rPr>
                                <w:rFonts w:ascii="Calibri" w:hAnsi="Calibri" w:cs="Calibri"/>
                                <w:i/>
                                <w:iCs/>
                                <w:sz w:val="20"/>
                                <w:szCs w:val="20"/>
                              </w:rPr>
                              <w:t>Pharmacy First</w:t>
                            </w:r>
                            <w:r w:rsidRPr="00D564B7">
                              <w:rPr>
                                <w:rFonts w:ascii="Calibri" w:hAnsi="Calibri" w:cs="Calibri"/>
                                <w:sz w:val="20"/>
                                <w:szCs w:val="20"/>
                              </w:rPr>
                              <w:t>. [online] Available at:</w:t>
                            </w:r>
                            <w:hyperlink r:id="rId16">
                              <w:r w:rsidRPr="00D564B7">
                                <w:rPr>
                                  <w:rFonts w:ascii="Calibri" w:hAnsi="Calibri" w:cs="Calibri"/>
                                  <w:sz w:val="20"/>
                                  <w:szCs w:val="20"/>
                                </w:rPr>
                                <w:t xml:space="preserve"> </w:t>
                              </w:r>
                            </w:hyperlink>
                            <w:hyperlink r:id="rId17">
                              <w:r w:rsidRPr="00D564B7">
                                <w:rPr>
                                  <w:rFonts w:ascii="Calibri" w:hAnsi="Calibri" w:cs="Calibri"/>
                                  <w:color w:val="1155CC"/>
                                  <w:sz w:val="20"/>
                                  <w:szCs w:val="20"/>
                                  <w:u w:val="single"/>
                                </w:rPr>
                                <w:t>https://www.england.nhs.uk/primary-care/pharmacy/pharmacy-services/pharmacy-first/</w:t>
                              </w:r>
                            </w:hyperlink>
                            <w:r w:rsidRPr="00D564B7">
                              <w:rPr>
                                <w:rFonts w:ascii="Calibri" w:hAnsi="Calibri" w:cs="Calibri"/>
                                <w:sz w:val="20"/>
                                <w:szCs w:val="20"/>
                              </w:rPr>
                              <w:t xml:space="preserve"> (Accessed on: 2 July 2026)</w:t>
                            </w:r>
                          </w:p>
                          <w:p w14:paraId="4B63BB50" w14:textId="77777777" w:rsidR="00D564B7" w:rsidRPr="00D564B7" w:rsidRDefault="00D564B7" w:rsidP="00D564B7">
                            <w:pPr>
                              <w:spacing w:line="276" w:lineRule="auto"/>
                              <w:jc w:val="both"/>
                              <w:rPr>
                                <w:rFonts w:ascii="Calibri" w:hAnsi="Calibri" w:cs="Calibri"/>
                                <w:sz w:val="20"/>
                                <w:szCs w:val="20"/>
                              </w:rPr>
                            </w:pPr>
                            <w:r w:rsidRPr="00D564B7">
                              <w:rPr>
                                <w:rFonts w:ascii="Calibri" w:hAnsi="Calibri" w:cs="Calibri"/>
                                <w:sz w:val="20"/>
                                <w:szCs w:val="20"/>
                              </w:rPr>
                              <w:t xml:space="preserve">Robertson, J., (2026). </w:t>
                            </w:r>
                            <w:r w:rsidRPr="00D564B7">
                              <w:rPr>
                                <w:rFonts w:ascii="Calibri" w:hAnsi="Calibri" w:cs="Calibri"/>
                                <w:i/>
                                <w:iCs/>
                                <w:sz w:val="20"/>
                                <w:szCs w:val="20"/>
                              </w:rPr>
                              <w:t>Growth in Pharmacy First Consultations ‘Not Sustainable’</w:t>
                            </w:r>
                            <w:r w:rsidRPr="00D564B7">
                              <w:rPr>
                                <w:rFonts w:ascii="Calibri" w:hAnsi="Calibri" w:cs="Calibri"/>
                                <w:sz w:val="20"/>
                                <w:szCs w:val="20"/>
                              </w:rPr>
                              <w:t xml:space="preserve">. </w:t>
                            </w:r>
                            <w:r w:rsidRPr="00D564B7">
                              <w:rPr>
                                <w:rFonts w:ascii="Calibri" w:hAnsi="Calibri" w:cs="Calibri"/>
                                <w:i/>
                                <w:iCs/>
                                <w:sz w:val="20"/>
                                <w:szCs w:val="20"/>
                              </w:rPr>
                              <w:t>The Pharmaceutical Journal</w:t>
                            </w:r>
                            <w:r w:rsidRPr="00D564B7">
                              <w:rPr>
                                <w:rFonts w:ascii="Calibri" w:hAnsi="Calibri" w:cs="Calibri"/>
                                <w:sz w:val="20"/>
                                <w:szCs w:val="20"/>
                              </w:rPr>
                              <w:t>. [online] Available at:</w:t>
                            </w:r>
                            <w:hyperlink r:id="rId18">
                              <w:r w:rsidRPr="00D564B7">
                                <w:rPr>
                                  <w:rFonts w:ascii="Calibri" w:hAnsi="Calibri" w:cs="Calibri"/>
                                  <w:sz w:val="20"/>
                                  <w:szCs w:val="20"/>
                                </w:rPr>
                                <w:t xml:space="preserve"> </w:t>
                              </w:r>
                            </w:hyperlink>
                            <w:hyperlink r:id="rId19">
                              <w:r w:rsidRPr="00D564B7">
                                <w:rPr>
                                  <w:rFonts w:ascii="Calibri" w:hAnsi="Calibri" w:cs="Calibri"/>
                                  <w:color w:val="1155CC"/>
                                  <w:sz w:val="20"/>
                                  <w:szCs w:val="20"/>
                                  <w:u w:val="single"/>
                                </w:rPr>
                                <w:t>https://pharmaceutical-journal.com/article/news/growth-in-pharmacy-first-consultations-not-sustainable</w:t>
                              </w:r>
                            </w:hyperlink>
                            <w:r w:rsidRPr="00D564B7">
                              <w:rPr>
                                <w:rFonts w:ascii="Calibri" w:hAnsi="Calibri" w:cs="Calibri"/>
                                <w:sz w:val="20"/>
                                <w:szCs w:val="20"/>
                              </w:rPr>
                              <w:t xml:space="preserve"> (Accessed on: 2 July 2026)</w:t>
                            </w:r>
                          </w:p>
                          <w:p w14:paraId="4C15B950" w14:textId="77777777" w:rsidR="00D564B7" w:rsidRPr="00D564B7" w:rsidRDefault="00D564B7" w:rsidP="00D564B7">
                            <w:pPr>
                              <w:spacing w:line="276" w:lineRule="auto"/>
                              <w:jc w:val="both"/>
                              <w:rPr>
                                <w:rFonts w:ascii="Calibri" w:hAnsi="Calibri" w:cs="Calibri"/>
                                <w:color w:val="1155CC"/>
                                <w:sz w:val="20"/>
                                <w:szCs w:val="20"/>
                                <w:u w:val="single"/>
                              </w:rPr>
                            </w:pPr>
                            <w:r w:rsidRPr="00D564B7">
                              <w:rPr>
                                <w:rFonts w:ascii="Calibri" w:hAnsi="Calibri" w:cs="Calibri"/>
                                <w:sz w:val="20"/>
                                <w:szCs w:val="20"/>
                              </w:rPr>
                              <w:t xml:space="preserve">Rutter, P. and Barnes, N., 2024. Facilitating self-care through community pharmacy in England. </w:t>
                            </w:r>
                            <w:r w:rsidRPr="00D564B7">
                              <w:rPr>
                                <w:rFonts w:ascii="Calibri" w:hAnsi="Calibri" w:cs="Calibri"/>
                                <w:i/>
                                <w:iCs/>
                                <w:sz w:val="20"/>
                                <w:szCs w:val="20"/>
                              </w:rPr>
                              <w:t>Exploratory Research in Clinical and Social Pharmacy</w:t>
                            </w:r>
                            <w:r w:rsidRPr="00D564B7">
                              <w:rPr>
                                <w:rFonts w:ascii="Calibri" w:hAnsi="Calibri" w:cs="Calibri"/>
                                <w:sz w:val="20"/>
                                <w:szCs w:val="20"/>
                              </w:rPr>
                              <w:t xml:space="preserve">, </w:t>
                            </w:r>
                            <w:r w:rsidRPr="00D564B7">
                              <w:rPr>
                                <w:rFonts w:ascii="Calibri" w:hAnsi="Calibri" w:cs="Calibri"/>
                                <w:i/>
                                <w:iCs/>
                                <w:sz w:val="20"/>
                                <w:szCs w:val="20"/>
                              </w:rPr>
                              <w:t>13</w:t>
                            </w:r>
                            <w:r w:rsidRPr="00D564B7">
                              <w:rPr>
                                <w:rFonts w:ascii="Calibri" w:hAnsi="Calibri" w:cs="Calibri"/>
                                <w:sz w:val="20"/>
                                <w:szCs w:val="20"/>
                              </w:rPr>
                              <w:t>, p.100404.</w:t>
                            </w:r>
                            <w:hyperlink r:id="rId20">
                              <w:r w:rsidRPr="00D564B7">
                                <w:rPr>
                                  <w:rFonts w:ascii="Calibri" w:hAnsi="Calibri" w:cs="Calibri"/>
                                  <w:sz w:val="20"/>
                                  <w:szCs w:val="20"/>
                                </w:rPr>
                                <w:t xml:space="preserve"> </w:t>
                              </w:r>
                            </w:hyperlink>
                            <w:hyperlink r:id="rId21">
                              <w:r w:rsidRPr="00D564B7">
                                <w:rPr>
                                  <w:rFonts w:ascii="Calibri" w:hAnsi="Calibri" w:cs="Calibri"/>
                                  <w:color w:val="1155CC"/>
                                  <w:sz w:val="20"/>
                                  <w:szCs w:val="20"/>
                                  <w:u w:val="single"/>
                                </w:rPr>
                                <w:t>https://www.sciencedirect.com/science/article/pii/S2667276623001853</w:t>
                              </w:r>
                            </w:hyperlink>
                          </w:p>
                          <w:p w14:paraId="1F09D7AC" w14:textId="3A63DA43" w:rsidR="00D564B7" w:rsidRPr="00D564B7" w:rsidRDefault="00D564B7" w:rsidP="00D564B7">
                            <w:pPr>
                              <w:spacing w:line="276" w:lineRule="auto"/>
                              <w:jc w:val="both"/>
                              <w:rPr>
                                <w:rFonts w:ascii="Calibri" w:hAnsi="Calibri" w:cs="Calibri"/>
                                <w:sz w:val="20"/>
                                <w:szCs w:val="20"/>
                              </w:rPr>
                            </w:pPr>
                            <w:r w:rsidRPr="00D564B7">
                              <w:rPr>
                                <w:rFonts w:ascii="Calibri" w:hAnsi="Calibri" w:cs="Calibri"/>
                                <w:sz w:val="20"/>
                                <w:szCs w:val="20"/>
                              </w:rPr>
                              <w:t xml:space="preserve">Your Health Your Pharmacy, (2023). </w:t>
                            </w:r>
                            <w:r w:rsidRPr="00D564B7">
                              <w:rPr>
                                <w:rFonts w:ascii="Calibri" w:hAnsi="Calibri" w:cs="Calibri"/>
                                <w:i/>
                                <w:iCs/>
                                <w:sz w:val="20"/>
                                <w:szCs w:val="20"/>
                              </w:rPr>
                              <w:t>Community Pharmacy – Past, Present and Future</w:t>
                            </w:r>
                            <w:r w:rsidRPr="00D564B7">
                              <w:rPr>
                                <w:rFonts w:ascii="Calibri" w:hAnsi="Calibri" w:cs="Calibri"/>
                                <w:sz w:val="20"/>
                                <w:szCs w:val="20"/>
                              </w:rPr>
                              <w:t>. [online] Available at:</w:t>
                            </w:r>
                            <w:hyperlink r:id="rId22">
                              <w:r w:rsidRPr="00D564B7">
                                <w:rPr>
                                  <w:rFonts w:ascii="Calibri" w:hAnsi="Calibri" w:cs="Calibri"/>
                                  <w:sz w:val="20"/>
                                  <w:szCs w:val="20"/>
                                </w:rPr>
                                <w:t xml:space="preserve"> </w:t>
                              </w:r>
                            </w:hyperlink>
                            <w:hyperlink r:id="rId23">
                              <w:r w:rsidRPr="00D564B7">
                                <w:rPr>
                                  <w:rFonts w:ascii="Calibri" w:hAnsi="Calibri" w:cs="Calibri"/>
                                  <w:color w:val="1155CC"/>
                                  <w:sz w:val="20"/>
                                  <w:szCs w:val="20"/>
                                  <w:u w:val="single"/>
                                </w:rPr>
                                <w:t>https://www.yourhealthyourpharmacy.co.uk/community-pharmacy-past-present-and-future-3/</w:t>
                              </w:r>
                            </w:hyperlink>
                            <w:r w:rsidRPr="00D564B7">
                              <w:rPr>
                                <w:rFonts w:ascii="Calibri" w:hAnsi="Calibri" w:cs="Calibri"/>
                                <w:sz w:val="20"/>
                                <w:szCs w:val="20"/>
                              </w:rPr>
                              <w:t xml:space="preserve"> (Accessed on: 1 July 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F186459" id="Text Box 16" o:spid="_x0000_s1044" type="#_x0000_t202" style="position:absolute;margin-left:7.5pt;margin-top:7.5pt;width:748.5pt;height:243.7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EE2VQIAALMEAAAOAAAAZHJzL2Uyb0RvYy54bWysVE1v2zAMvQ/YfxB0X5yPJmuCOkWWIsOA&#10;oi3QDj0rstwYk0VNUmJnv35PcpJm7U7DDmEoknoiH0lfXbe1ZjvlfEUm54NenzNlJBWVecn596fV&#10;p0vOfBCmEJqMyvleeX49//jhqrEzNaQN6UI5BhDjZ43N+SYEO8syLzeqFr5HVhk4S3K1CDi6l6xw&#10;ogF6rbNhvz/JGnKFdSSV97DedE4+T/hlqWS4L0uvAtM5R24hSZfkOspsfiVmL07YTSUPaYh/yKIW&#10;lcGjJ6gbEQTbuuodVF1JR57K0JNUZ1SWlVSpBlQz6L+p5nEjrEq1gBxvTzT5/wcr73YPjlVFzqej&#10;0XQ6gOTMiBqtelJtYF+oZYNJpKmxfoboR4v40MKOdh/tHsZYfVu6Ov6jLgY/CN+fSI5oEsbpuD/G&#10;jzMJ36g/HU+G44iTvV63zoevimoWlZw7dDGRK3a3PnShx5D4middFatK63SIk6OW2rGdQM91SEkC&#10;/I8obViT88kIebxDiNCn+2st5I9DemcIwNMGOUdSuuKjFtp1m7h8ZWxNxR6EOeomz1u5qoB/K3x4&#10;EA6jBiKwPuEeotSEpOigcbYh9+tv9hiPCYCXswajm3P/cyuc4kx/M5iN6eDiIs56OlyMPw9xcOee&#10;9bnHbOslgakBFtXKpMb4oI9q6ah+xpYt4qtwCSPxds7DUV2GbqGwpVItFikI021FuDWPVkboSHLk&#10;9al9Fs4e+howEnd0HHIxe9PeLjbeNLTYBiqr1PtIdMfqgX9sRpqewxbH1Ts/p6jXb838NwAAAP//&#10;AwBQSwMEFAAGAAgAAAAhAPbmTW/aAAAACgEAAA8AAABkcnMvZG93bnJldi54bWxMj0FLxDAQhe+C&#10;/yGM4M1Nt1Cptemisnrx5CqeZ5vZJNgkpcl26793FgQ9DW/e8OZ77Wbxg5hpSi4GBetVAYJCH7UL&#10;RsHH+/NNDSJlDBqHGEjBNyXYdJcXLTY6nsIbzbtsBIeE1KACm/PYSJl6Sx7TKo4U2DvEyWNmORmp&#10;JzxxuB9kWRS30qML/MHiSE+W+q/d0SvYPpo709c42W2tnZuXz8OreVHq+mp5uAeRacl/x3DGZ3To&#10;mGkfj0EnMbCuuEr+nWe/Wpe82SuoirIC2bXyf4XuBwAA//8DAFBLAQItABQABgAIAAAAIQC2gziS&#10;/gAAAOEBAAATAAAAAAAAAAAAAAAAAAAAAABbQ29udGVudF9UeXBlc10ueG1sUEsBAi0AFAAGAAgA&#10;AAAhADj9If/WAAAAlAEAAAsAAAAAAAAAAAAAAAAALwEAAF9yZWxzLy5yZWxzUEsBAi0AFAAGAAgA&#10;AAAhAHIMQTZVAgAAswQAAA4AAAAAAAAAAAAAAAAALgIAAGRycy9lMm9Eb2MueG1sUEsBAi0AFAAG&#10;AAgAAAAhAPbmTW/aAAAACgEAAA8AAAAAAAAAAAAAAAAArwQAAGRycy9kb3ducmV2LnhtbFBLBQYA&#10;AAAABAAEAPMAAAC2BQAAAAA=&#10;" fillcolor="white [3201]" strokeweight=".5pt">
                <v:textbox>
                  <w:txbxContent>
                    <w:p w14:paraId="36B1133F" w14:textId="77777777" w:rsidR="00D564B7" w:rsidRPr="00D564B7" w:rsidRDefault="00D564B7" w:rsidP="00D564B7">
                      <w:pPr>
                        <w:spacing w:line="240" w:lineRule="auto"/>
                        <w:jc w:val="both"/>
                        <w:rPr>
                          <w:b/>
                          <w:bCs/>
                          <w:color w:val="385623" w:themeColor="accent6" w:themeShade="80"/>
                        </w:rPr>
                      </w:pPr>
                      <w:r w:rsidRPr="00D564B7">
                        <w:rPr>
                          <w:b/>
                          <w:bCs/>
                          <w:color w:val="385623" w:themeColor="accent6" w:themeShade="80"/>
                        </w:rPr>
                        <w:t>References</w:t>
                      </w:r>
                    </w:p>
                    <w:p w14:paraId="423C2E6E" w14:textId="77777777" w:rsidR="00D564B7" w:rsidRPr="00D564B7" w:rsidRDefault="00D564B7" w:rsidP="00D564B7">
                      <w:pPr>
                        <w:spacing w:line="276" w:lineRule="auto"/>
                        <w:jc w:val="both"/>
                        <w:rPr>
                          <w:rFonts w:ascii="Calibri" w:hAnsi="Calibri" w:cs="Calibri"/>
                          <w:sz w:val="20"/>
                          <w:szCs w:val="20"/>
                        </w:rPr>
                      </w:pPr>
                      <w:r w:rsidRPr="00D564B7">
                        <w:rPr>
                          <w:rFonts w:ascii="Calibri" w:hAnsi="Calibri" w:cs="Calibri"/>
                          <w:sz w:val="20"/>
                          <w:szCs w:val="20"/>
                        </w:rPr>
                        <w:t xml:space="preserve">Community Pharmacy England, (2025). </w:t>
                      </w:r>
                      <w:r w:rsidRPr="00D564B7">
                        <w:rPr>
                          <w:rFonts w:ascii="Calibri" w:hAnsi="Calibri" w:cs="Calibri"/>
                          <w:i/>
                          <w:iCs/>
                          <w:sz w:val="20"/>
                          <w:szCs w:val="20"/>
                        </w:rPr>
                        <w:t>Economic Analysis of NHS Pharmaceutical Services (Independent Economic Review).</w:t>
                      </w:r>
                      <w:r w:rsidRPr="00D564B7">
                        <w:rPr>
                          <w:rFonts w:ascii="Calibri" w:hAnsi="Calibri" w:cs="Calibri"/>
                          <w:sz w:val="20"/>
                          <w:szCs w:val="20"/>
                        </w:rPr>
                        <w:t xml:space="preserve"> [online] Available at:</w:t>
                      </w:r>
                      <w:hyperlink r:id="rId24">
                        <w:r w:rsidRPr="00D564B7">
                          <w:rPr>
                            <w:rFonts w:ascii="Calibri" w:hAnsi="Calibri" w:cs="Calibri"/>
                            <w:sz w:val="20"/>
                            <w:szCs w:val="20"/>
                          </w:rPr>
                          <w:t xml:space="preserve"> </w:t>
                        </w:r>
                      </w:hyperlink>
                      <w:hyperlink r:id="rId25">
                        <w:r w:rsidRPr="00D564B7">
                          <w:rPr>
                            <w:rFonts w:ascii="Calibri" w:hAnsi="Calibri" w:cs="Calibri"/>
                            <w:color w:val="1155CC"/>
                            <w:sz w:val="20"/>
                            <w:szCs w:val="20"/>
                            <w:u w:val="single"/>
                          </w:rPr>
                          <w:t>https://cpe.org.uk/funding-and-reimbursement/pharmacy-funding/independent-economic-review/</w:t>
                        </w:r>
                      </w:hyperlink>
                      <w:r w:rsidRPr="00D564B7">
                        <w:rPr>
                          <w:rFonts w:ascii="Calibri" w:hAnsi="Calibri" w:cs="Calibri"/>
                          <w:sz w:val="20"/>
                          <w:szCs w:val="20"/>
                        </w:rPr>
                        <w:t xml:space="preserve"> (Accessed on: 2 July 2026)</w:t>
                      </w:r>
                    </w:p>
                    <w:p w14:paraId="19CE03EF" w14:textId="77777777" w:rsidR="00D564B7" w:rsidRPr="00D564B7" w:rsidRDefault="00D564B7" w:rsidP="00D564B7">
                      <w:pPr>
                        <w:spacing w:line="276" w:lineRule="auto"/>
                        <w:jc w:val="both"/>
                        <w:rPr>
                          <w:rFonts w:ascii="Calibri" w:hAnsi="Calibri" w:cs="Calibri"/>
                          <w:sz w:val="20"/>
                          <w:szCs w:val="20"/>
                        </w:rPr>
                      </w:pPr>
                      <w:r w:rsidRPr="00D564B7">
                        <w:rPr>
                          <w:rFonts w:ascii="Calibri" w:hAnsi="Calibri" w:cs="Calibri"/>
                          <w:sz w:val="20"/>
                          <w:szCs w:val="20"/>
                        </w:rPr>
                        <w:t xml:space="preserve">Minhas, A., (2026). </w:t>
                      </w:r>
                      <w:r w:rsidRPr="00D564B7">
                        <w:rPr>
                          <w:rFonts w:ascii="Calibri" w:hAnsi="Calibri" w:cs="Calibri"/>
                          <w:i/>
                          <w:iCs/>
                          <w:sz w:val="20"/>
                          <w:szCs w:val="20"/>
                        </w:rPr>
                        <w:t>Number of Community Pharmacies in England from 2006/07 to 2024/25</w:t>
                      </w:r>
                      <w:r w:rsidRPr="00D564B7">
                        <w:rPr>
                          <w:rFonts w:ascii="Calibri" w:hAnsi="Calibri" w:cs="Calibri"/>
                          <w:sz w:val="20"/>
                          <w:szCs w:val="20"/>
                        </w:rPr>
                        <w:t>. [online] Available at:</w:t>
                      </w:r>
                      <w:hyperlink r:id="rId26">
                        <w:r w:rsidRPr="00D564B7">
                          <w:rPr>
                            <w:rFonts w:ascii="Calibri" w:hAnsi="Calibri" w:cs="Calibri"/>
                            <w:sz w:val="20"/>
                            <w:szCs w:val="20"/>
                          </w:rPr>
                          <w:t xml:space="preserve"> </w:t>
                        </w:r>
                      </w:hyperlink>
                      <w:hyperlink r:id="rId27">
                        <w:r w:rsidRPr="00D564B7">
                          <w:rPr>
                            <w:rFonts w:ascii="Calibri" w:hAnsi="Calibri" w:cs="Calibri"/>
                            <w:color w:val="1155CC"/>
                            <w:sz w:val="20"/>
                            <w:szCs w:val="20"/>
                            <w:u w:val="single"/>
                          </w:rPr>
                          <w:t>https://www.statista.com/statistics/418071/community-pharmacies-in-england/</w:t>
                        </w:r>
                      </w:hyperlink>
                      <w:r w:rsidRPr="00D564B7">
                        <w:rPr>
                          <w:rFonts w:ascii="Calibri" w:hAnsi="Calibri" w:cs="Calibri"/>
                          <w:sz w:val="20"/>
                          <w:szCs w:val="20"/>
                        </w:rPr>
                        <w:t xml:space="preserve"> (Accessed on: 2 July 2026)</w:t>
                      </w:r>
                    </w:p>
                    <w:p w14:paraId="0F79B6BA" w14:textId="77777777" w:rsidR="00D564B7" w:rsidRPr="00D564B7" w:rsidRDefault="00D564B7" w:rsidP="00D564B7">
                      <w:pPr>
                        <w:spacing w:line="276" w:lineRule="auto"/>
                        <w:jc w:val="both"/>
                        <w:rPr>
                          <w:rFonts w:ascii="Calibri" w:hAnsi="Calibri" w:cs="Calibri"/>
                          <w:sz w:val="20"/>
                          <w:szCs w:val="20"/>
                        </w:rPr>
                      </w:pPr>
                      <w:r w:rsidRPr="00D564B7">
                        <w:rPr>
                          <w:rFonts w:ascii="Calibri" w:hAnsi="Calibri" w:cs="Calibri"/>
                          <w:sz w:val="20"/>
                          <w:szCs w:val="20"/>
                        </w:rPr>
                        <w:t xml:space="preserve">NHS England, (2024). </w:t>
                      </w:r>
                      <w:r w:rsidRPr="00D564B7">
                        <w:rPr>
                          <w:rFonts w:ascii="Calibri" w:hAnsi="Calibri" w:cs="Calibri"/>
                          <w:i/>
                          <w:iCs/>
                          <w:sz w:val="20"/>
                          <w:szCs w:val="20"/>
                        </w:rPr>
                        <w:t>Pharmacy First</w:t>
                      </w:r>
                      <w:r w:rsidRPr="00D564B7">
                        <w:rPr>
                          <w:rFonts w:ascii="Calibri" w:hAnsi="Calibri" w:cs="Calibri"/>
                          <w:sz w:val="20"/>
                          <w:szCs w:val="20"/>
                        </w:rPr>
                        <w:t>. [online] Available at:</w:t>
                      </w:r>
                      <w:hyperlink r:id="rId28">
                        <w:r w:rsidRPr="00D564B7">
                          <w:rPr>
                            <w:rFonts w:ascii="Calibri" w:hAnsi="Calibri" w:cs="Calibri"/>
                            <w:sz w:val="20"/>
                            <w:szCs w:val="20"/>
                          </w:rPr>
                          <w:t xml:space="preserve"> </w:t>
                        </w:r>
                      </w:hyperlink>
                      <w:hyperlink r:id="rId29">
                        <w:r w:rsidRPr="00D564B7">
                          <w:rPr>
                            <w:rFonts w:ascii="Calibri" w:hAnsi="Calibri" w:cs="Calibri"/>
                            <w:color w:val="1155CC"/>
                            <w:sz w:val="20"/>
                            <w:szCs w:val="20"/>
                            <w:u w:val="single"/>
                          </w:rPr>
                          <w:t>https://www.england.nhs.uk/primary-care/pharmacy/pharmacy-services/pharmacy-first/</w:t>
                        </w:r>
                      </w:hyperlink>
                      <w:r w:rsidRPr="00D564B7">
                        <w:rPr>
                          <w:rFonts w:ascii="Calibri" w:hAnsi="Calibri" w:cs="Calibri"/>
                          <w:sz w:val="20"/>
                          <w:szCs w:val="20"/>
                        </w:rPr>
                        <w:t xml:space="preserve"> (Accessed on: 2 July 2026)</w:t>
                      </w:r>
                    </w:p>
                    <w:p w14:paraId="4B63BB50" w14:textId="77777777" w:rsidR="00D564B7" w:rsidRPr="00D564B7" w:rsidRDefault="00D564B7" w:rsidP="00D564B7">
                      <w:pPr>
                        <w:spacing w:line="276" w:lineRule="auto"/>
                        <w:jc w:val="both"/>
                        <w:rPr>
                          <w:rFonts w:ascii="Calibri" w:hAnsi="Calibri" w:cs="Calibri"/>
                          <w:sz w:val="20"/>
                          <w:szCs w:val="20"/>
                        </w:rPr>
                      </w:pPr>
                      <w:r w:rsidRPr="00D564B7">
                        <w:rPr>
                          <w:rFonts w:ascii="Calibri" w:hAnsi="Calibri" w:cs="Calibri"/>
                          <w:sz w:val="20"/>
                          <w:szCs w:val="20"/>
                        </w:rPr>
                        <w:t xml:space="preserve">Robertson, J., (2026). </w:t>
                      </w:r>
                      <w:r w:rsidRPr="00D564B7">
                        <w:rPr>
                          <w:rFonts w:ascii="Calibri" w:hAnsi="Calibri" w:cs="Calibri"/>
                          <w:i/>
                          <w:iCs/>
                          <w:sz w:val="20"/>
                          <w:szCs w:val="20"/>
                        </w:rPr>
                        <w:t>Growth in Pharmacy First Consultations ‘Not Sustainable’</w:t>
                      </w:r>
                      <w:r w:rsidRPr="00D564B7">
                        <w:rPr>
                          <w:rFonts w:ascii="Calibri" w:hAnsi="Calibri" w:cs="Calibri"/>
                          <w:sz w:val="20"/>
                          <w:szCs w:val="20"/>
                        </w:rPr>
                        <w:t xml:space="preserve">. </w:t>
                      </w:r>
                      <w:r w:rsidRPr="00D564B7">
                        <w:rPr>
                          <w:rFonts w:ascii="Calibri" w:hAnsi="Calibri" w:cs="Calibri"/>
                          <w:i/>
                          <w:iCs/>
                          <w:sz w:val="20"/>
                          <w:szCs w:val="20"/>
                        </w:rPr>
                        <w:t>The Pharmaceutical Journal</w:t>
                      </w:r>
                      <w:r w:rsidRPr="00D564B7">
                        <w:rPr>
                          <w:rFonts w:ascii="Calibri" w:hAnsi="Calibri" w:cs="Calibri"/>
                          <w:sz w:val="20"/>
                          <w:szCs w:val="20"/>
                        </w:rPr>
                        <w:t>. [online] Available at:</w:t>
                      </w:r>
                      <w:hyperlink r:id="rId30">
                        <w:r w:rsidRPr="00D564B7">
                          <w:rPr>
                            <w:rFonts w:ascii="Calibri" w:hAnsi="Calibri" w:cs="Calibri"/>
                            <w:sz w:val="20"/>
                            <w:szCs w:val="20"/>
                          </w:rPr>
                          <w:t xml:space="preserve"> </w:t>
                        </w:r>
                      </w:hyperlink>
                      <w:hyperlink r:id="rId31">
                        <w:r w:rsidRPr="00D564B7">
                          <w:rPr>
                            <w:rFonts w:ascii="Calibri" w:hAnsi="Calibri" w:cs="Calibri"/>
                            <w:color w:val="1155CC"/>
                            <w:sz w:val="20"/>
                            <w:szCs w:val="20"/>
                            <w:u w:val="single"/>
                          </w:rPr>
                          <w:t>https://pharmaceutical-journal.com/article/news/growth-in-pharmacy-first-consultations-not-sustainable</w:t>
                        </w:r>
                      </w:hyperlink>
                      <w:r w:rsidRPr="00D564B7">
                        <w:rPr>
                          <w:rFonts w:ascii="Calibri" w:hAnsi="Calibri" w:cs="Calibri"/>
                          <w:sz w:val="20"/>
                          <w:szCs w:val="20"/>
                        </w:rPr>
                        <w:t xml:space="preserve"> (Accessed on: 2 July 2026)</w:t>
                      </w:r>
                    </w:p>
                    <w:p w14:paraId="4C15B950" w14:textId="77777777" w:rsidR="00D564B7" w:rsidRPr="00D564B7" w:rsidRDefault="00D564B7" w:rsidP="00D564B7">
                      <w:pPr>
                        <w:spacing w:line="276" w:lineRule="auto"/>
                        <w:jc w:val="both"/>
                        <w:rPr>
                          <w:rFonts w:ascii="Calibri" w:hAnsi="Calibri" w:cs="Calibri"/>
                          <w:color w:val="1155CC"/>
                          <w:sz w:val="20"/>
                          <w:szCs w:val="20"/>
                          <w:u w:val="single"/>
                        </w:rPr>
                      </w:pPr>
                      <w:r w:rsidRPr="00D564B7">
                        <w:rPr>
                          <w:rFonts w:ascii="Calibri" w:hAnsi="Calibri" w:cs="Calibri"/>
                          <w:sz w:val="20"/>
                          <w:szCs w:val="20"/>
                        </w:rPr>
                        <w:t xml:space="preserve">Rutter, P. and Barnes, N., 2024. Facilitating self-care through community pharmacy in England. </w:t>
                      </w:r>
                      <w:r w:rsidRPr="00D564B7">
                        <w:rPr>
                          <w:rFonts w:ascii="Calibri" w:hAnsi="Calibri" w:cs="Calibri"/>
                          <w:i/>
                          <w:iCs/>
                          <w:sz w:val="20"/>
                          <w:szCs w:val="20"/>
                        </w:rPr>
                        <w:t>Exploratory Research in Clinical and Social Pharmacy</w:t>
                      </w:r>
                      <w:r w:rsidRPr="00D564B7">
                        <w:rPr>
                          <w:rFonts w:ascii="Calibri" w:hAnsi="Calibri" w:cs="Calibri"/>
                          <w:sz w:val="20"/>
                          <w:szCs w:val="20"/>
                        </w:rPr>
                        <w:t xml:space="preserve">, </w:t>
                      </w:r>
                      <w:r w:rsidRPr="00D564B7">
                        <w:rPr>
                          <w:rFonts w:ascii="Calibri" w:hAnsi="Calibri" w:cs="Calibri"/>
                          <w:i/>
                          <w:iCs/>
                          <w:sz w:val="20"/>
                          <w:szCs w:val="20"/>
                        </w:rPr>
                        <w:t>13</w:t>
                      </w:r>
                      <w:r w:rsidRPr="00D564B7">
                        <w:rPr>
                          <w:rFonts w:ascii="Calibri" w:hAnsi="Calibri" w:cs="Calibri"/>
                          <w:sz w:val="20"/>
                          <w:szCs w:val="20"/>
                        </w:rPr>
                        <w:t>, p.100404.</w:t>
                      </w:r>
                      <w:hyperlink r:id="rId32">
                        <w:r w:rsidRPr="00D564B7">
                          <w:rPr>
                            <w:rFonts w:ascii="Calibri" w:hAnsi="Calibri" w:cs="Calibri"/>
                            <w:sz w:val="20"/>
                            <w:szCs w:val="20"/>
                          </w:rPr>
                          <w:t xml:space="preserve"> </w:t>
                        </w:r>
                      </w:hyperlink>
                      <w:hyperlink r:id="rId33">
                        <w:r w:rsidRPr="00D564B7">
                          <w:rPr>
                            <w:rFonts w:ascii="Calibri" w:hAnsi="Calibri" w:cs="Calibri"/>
                            <w:color w:val="1155CC"/>
                            <w:sz w:val="20"/>
                            <w:szCs w:val="20"/>
                            <w:u w:val="single"/>
                          </w:rPr>
                          <w:t>https://www.sciencedirect.com/science/article/pii/S2667276623001853</w:t>
                        </w:r>
                      </w:hyperlink>
                    </w:p>
                    <w:p w14:paraId="1F09D7AC" w14:textId="3A63DA43" w:rsidR="00D564B7" w:rsidRPr="00D564B7" w:rsidRDefault="00D564B7" w:rsidP="00D564B7">
                      <w:pPr>
                        <w:spacing w:line="276" w:lineRule="auto"/>
                        <w:jc w:val="both"/>
                        <w:rPr>
                          <w:rFonts w:ascii="Calibri" w:hAnsi="Calibri" w:cs="Calibri"/>
                          <w:sz w:val="20"/>
                          <w:szCs w:val="20"/>
                        </w:rPr>
                      </w:pPr>
                      <w:r w:rsidRPr="00D564B7">
                        <w:rPr>
                          <w:rFonts w:ascii="Calibri" w:hAnsi="Calibri" w:cs="Calibri"/>
                          <w:sz w:val="20"/>
                          <w:szCs w:val="20"/>
                        </w:rPr>
                        <w:t xml:space="preserve">Your Health Your Pharmacy, (2023). </w:t>
                      </w:r>
                      <w:r w:rsidRPr="00D564B7">
                        <w:rPr>
                          <w:rFonts w:ascii="Calibri" w:hAnsi="Calibri" w:cs="Calibri"/>
                          <w:i/>
                          <w:iCs/>
                          <w:sz w:val="20"/>
                          <w:szCs w:val="20"/>
                        </w:rPr>
                        <w:t>Community Pharmacy – Past, Present and Future</w:t>
                      </w:r>
                      <w:r w:rsidRPr="00D564B7">
                        <w:rPr>
                          <w:rFonts w:ascii="Calibri" w:hAnsi="Calibri" w:cs="Calibri"/>
                          <w:sz w:val="20"/>
                          <w:szCs w:val="20"/>
                        </w:rPr>
                        <w:t>. [online] Available at:</w:t>
                      </w:r>
                      <w:hyperlink r:id="rId34">
                        <w:r w:rsidRPr="00D564B7">
                          <w:rPr>
                            <w:rFonts w:ascii="Calibri" w:hAnsi="Calibri" w:cs="Calibri"/>
                            <w:sz w:val="20"/>
                            <w:szCs w:val="20"/>
                          </w:rPr>
                          <w:t xml:space="preserve"> </w:t>
                        </w:r>
                      </w:hyperlink>
                      <w:hyperlink r:id="rId35">
                        <w:r w:rsidRPr="00D564B7">
                          <w:rPr>
                            <w:rFonts w:ascii="Calibri" w:hAnsi="Calibri" w:cs="Calibri"/>
                            <w:color w:val="1155CC"/>
                            <w:sz w:val="20"/>
                            <w:szCs w:val="20"/>
                            <w:u w:val="single"/>
                          </w:rPr>
                          <w:t>https://www.yourhealthyourpharmacy.co.uk/community-pharmacy-past-present-and-future-3/</w:t>
                        </w:r>
                      </w:hyperlink>
                      <w:r w:rsidRPr="00D564B7">
                        <w:rPr>
                          <w:rFonts w:ascii="Calibri" w:hAnsi="Calibri" w:cs="Calibri"/>
                          <w:sz w:val="20"/>
                          <w:szCs w:val="20"/>
                        </w:rPr>
                        <w:t xml:space="preserve"> (Accessed on: 1 July 2026)</w:t>
                      </w:r>
                    </w:p>
                  </w:txbxContent>
                </v:textbox>
              </v:shape>
            </w:pict>
          </mc:Fallback>
        </mc:AlternateContent>
      </w:r>
      <w:r w:rsidR="00135D14">
        <w:rPr>
          <w:rFonts w:ascii="Arial" w:hAnsi="Arial" w:cs="Arial"/>
          <w:b/>
          <w:bCs/>
          <w:sz w:val="28"/>
          <w:szCs w:val="28"/>
        </w:rPr>
        <w:br w:type="page"/>
      </w:r>
    </w:p>
    <w:p w14:paraId="20F1A3B3" w14:textId="3A5FE367" w:rsidR="003A000F" w:rsidRPr="00A6165E" w:rsidRDefault="003A000F">
      <w:pPr>
        <w:rPr>
          <w:rFonts w:ascii="Arial" w:hAnsi="Arial" w:cs="Arial"/>
          <w:b/>
          <w:bCs/>
          <w:sz w:val="28"/>
          <w:szCs w:val="28"/>
        </w:rPr>
        <w:sectPr w:rsidR="003A000F" w:rsidRPr="00A6165E" w:rsidSect="001F5CC5">
          <w:pgSz w:w="16838" w:h="11906" w:orient="landscape"/>
          <w:pgMar w:top="1440" w:right="1440" w:bottom="568" w:left="1440" w:header="708" w:footer="708" w:gutter="0"/>
          <w:cols w:space="708"/>
          <w:docGrid w:linePitch="360"/>
        </w:sectPr>
      </w:pPr>
    </w:p>
    <w:p w14:paraId="5C9470D1" w14:textId="650B4E7B" w:rsidR="00584AD4" w:rsidRDefault="00584AD4" w:rsidP="00584AD4">
      <w:pPr>
        <w:pStyle w:val="Heading1"/>
      </w:pPr>
      <w:r w:rsidRPr="00584AD4">
        <w:lastRenderedPageBreak/>
        <w:t>Essay</w:t>
      </w:r>
    </w:p>
    <w:p w14:paraId="7DCEA20A" w14:textId="77777777" w:rsidR="0011621F" w:rsidRPr="0011621F" w:rsidRDefault="0011621F" w:rsidP="00230E8E">
      <w:pPr>
        <w:spacing w:line="360" w:lineRule="auto"/>
        <w:rPr>
          <w:lang w:eastAsia="en-IN"/>
        </w:rPr>
      </w:pPr>
    </w:p>
    <w:p w14:paraId="1CC01491" w14:textId="77777777" w:rsidR="00344319" w:rsidRPr="00344319" w:rsidRDefault="00344319" w:rsidP="00344319">
      <w:pPr>
        <w:spacing w:after="200" w:line="360" w:lineRule="auto"/>
        <w:jc w:val="both"/>
        <w:rPr>
          <w:rFonts w:ascii="Arial" w:hAnsi="Arial" w:cs="Arial"/>
          <w:b/>
          <w:bCs/>
          <w:sz w:val="30"/>
          <w:szCs w:val="30"/>
        </w:rPr>
      </w:pPr>
      <w:r w:rsidRPr="00344319">
        <w:rPr>
          <w:rFonts w:ascii="Arial" w:hAnsi="Arial" w:cs="Arial"/>
          <w:b/>
          <w:bCs/>
          <w:sz w:val="30"/>
          <w:szCs w:val="30"/>
        </w:rPr>
        <w:t xml:space="preserve">Community Disability Services in the United </w:t>
      </w:r>
      <w:bookmarkStart w:id="3" w:name="_GoBack"/>
      <w:bookmarkEnd w:id="3"/>
      <w:r w:rsidRPr="00344319">
        <w:rPr>
          <w:rFonts w:ascii="Arial" w:hAnsi="Arial" w:cs="Arial"/>
          <w:b/>
          <w:bCs/>
          <w:sz w:val="30"/>
          <w:szCs w:val="30"/>
        </w:rPr>
        <w:t>Kingdom: Development, Operation, and Significance</w:t>
      </w:r>
    </w:p>
    <w:p w14:paraId="31B4224E" w14:textId="77777777" w:rsidR="00344319" w:rsidRDefault="00344319" w:rsidP="00344319">
      <w:pPr>
        <w:spacing w:after="200" w:line="360" w:lineRule="auto"/>
        <w:jc w:val="both"/>
        <w:rPr>
          <w:rFonts w:ascii="Arial" w:hAnsi="Arial" w:cs="Arial"/>
          <w:b/>
          <w:bCs/>
          <w:sz w:val="30"/>
          <w:szCs w:val="30"/>
        </w:rPr>
      </w:pPr>
      <w:r w:rsidRPr="00344319">
        <w:rPr>
          <w:rFonts w:ascii="Arial" w:hAnsi="Arial" w:cs="Arial"/>
          <w:b/>
          <w:bCs/>
          <w:sz w:val="30"/>
          <w:szCs w:val="30"/>
        </w:rPr>
        <w:t>Introducing</w:t>
      </w:r>
    </w:p>
    <w:p w14:paraId="451FBE81" w14:textId="77777777" w:rsidR="009335B1" w:rsidRDefault="009335B1" w:rsidP="00230E8E">
      <w:pPr>
        <w:spacing w:after="200" w:line="360" w:lineRule="auto"/>
        <w:jc w:val="both"/>
        <w:rPr>
          <w:rFonts w:ascii="Arial" w:hAnsi="Arial" w:cs="Arial"/>
        </w:rPr>
      </w:pPr>
      <w:r w:rsidRPr="009335B1">
        <w:rPr>
          <w:rFonts w:ascii="Arial" w:hAnsi="Arial" w:cs="Arial"/>
        </w:rPr>
        <w:t xml:space="preserve">According to Lindsay et al. (2024), community disability services help people with physical disabilities, learning disabilities, sensory impairments, and complex requirements live safely and independently in their local communities. These programs would promote inclusion, decency, and equitable access to daily opportunities. Support may be offered by private care providers, the NHS, local governments, and </w:t>
      </w:r>
      <w:proofErr w:type="spellStart"/>
      <w:r w:rsidRPr="009335B1">
        <w:rPr>
          <w:rFonts w:ascii="Arial" w:hAnsi="Arial" w:cs="Arial"/>
        </w:rPr>
        <w:t>nonprofits</w:t>
      </w:r>
      <w:proofErr w:type="spellEnd"/>
      <w:r w:rsidRPr="009335B1">
        <w:rPr>
          <w:rFonts w:ascii="Arial" w:hAnsi="Arial" w:cs="Arial"/>
        </w:rPr>
        <w:t>. This article will go over how community disability services have changed over time, how they now function, and how important they are to improving service users' quality of life.</w:t>
      </w:r>
    </w:p>
    <w:p w14:paraId="48073B84" w14:textId="6DDC3885" w:rsidR="00584AD4" w:rsidRPr="009335B1" w:rsidRDefault="00584AD4" w:rsidP="00230E8E">
      <w:pPr>
        <w:spacing w:after="200" w:line="360" w:lineRule="auto"/>
        <w:jc w:val="both"/>
        <w:rPr>
          <w:rFonts w:ascii="Arial" w:hAnsi="Arial" w:cs="Arial"/>
          <w:b/>
          <w:bCs/>
          <w:iCs/>
          <w:sz w:val="24"/>
          <w:szCs w:val="24"/>
        </w:rPr>
      </w:pPr>
      <w:r w:rsidRPr="009335B1">
        <w:rPr>
          <w:rFonts w:ascii="Arial" w:hAnsi="Arial" w:cs="Arial"/>
          <w:b/>
          <w:bCs/>
          <w:iCs/>
          <w:sz w:val="24"/>
          <w:szCs w:val="24"/>
        </w:rPr>
        <w:t>Main Body</w:t>
      </w:r>
    </w:p>
    <w:p w14:paraId="58831416" w14:textId="77777777" w:rsidR="00584AD4" w:rsidRPr="00584AD4" w:rsidRDefault="00584AD4" w:rsidP="00230E8E">
      <w:pPr>
        <w:spacing w:after="200" w:line="360" w:lineRule="auto"/>
        <w:jc w:val="both"/>
        <w:rPr>
          <w:rFonts w:ascii="Arial" w:hAnsi="Arial" w:cs="Arial"/>
        </w:rPr>
      </w:pPr>
      <w:r w:rsidRPr="00584AD4">
        <w:rPr>
          <w:rFonts w:ascii="Arial" w:hAnsi="Arial" w:cs="Arial"/>
        </w:rPr>
        <w:t>Traditionally, numerous disabled individuals in the UK were accommodated in huge institutions, hospitals or residential homes (</w:t>
      </w:r>
      <w:proofErr w:type="spellStart"/>
      <w:r w:rsidRPr="00584AD4">
        <w:rPr>
          <w:rFonts w:ascii="Arial" w:hAnsi="Arial" w:cs="Arial"/>
        </w:rPr>
        <w:t>Ince</w:t>
      </w:r>
      <w:proofErr w:type="spellEnd"/>
      <w:r w:rsidRPr="00584AD4">
        <w:rPr>
          <w:rFonts w:ascii="Arial" w:hAnsi="Arial" w:cs="Arial"/>
        </w:rPr>
        <w:t xml:space="preserve"> et al. 2022). This usually isolated them from their families and communities and curtailed their autonomy and individual decision-making. In the twentieth century, the opinion of the population was starting to shift because attempts to make disabled individuals equal in rights and opportunities were put forward by disability rights movements. Community care was an alternative to institutional care, to assist individuals in their homes and local communities. The NHS and Community Care Act 1990 further enhanced the role of local authorities in evaluating the needs and in organising appropriate assistance (</w:t>
      </w:r>
      <w:proofErr w:type="spellStart"/>
      <w:r w:rsidRPr="00584AD4">
        <w:rPr>
          <w:rFonts w:ascii="Arial" w:hAnsi="Arial" w:cs="Arial"/>
        </w:rPr>
        <w:t>Filinson</w:t>
      </w:r>
      <w:proofErr w:type="spellEnd"/>
      <w:r w:rsidRPr="00584AD4">
        <w:rPr>
          <w:rFonts w:ascii="Arial" w:hAnsi="Arial" w:cs="Arial"/>
        </w:rPr>
        <w:t>, 1998). Subsequently, the Equality Act 2010 enhanced anti-discrimination protection, and the Care Act 2014 focused on wellbeing, prevention, personal choice and carer support. These developments aided in developing a more humanistic approach to disability care.</w:t>
      </w:r>
    </w:p>
    <w:p w14:paraId="37A687BA" w14:textId="77777777" w:rsidR="00584AD4" w:rsidRPr="00584AD4" w:rsidRDefault="00584AD4" w:rsidP="00230E8E">
      <w:pPr>
        <w:spacing w:after="200" w:line="360" w:lineRule="auto"/>
        <w:jc w:val="both"/>
        <w:rPr>
          <w:rFonts w:ascii="Arial" w:hAnsi="Arial" w:cs="Arial"/>
        </w:rPr>
      </w:pPr>
      <w:r w:rsidRPr="00584AD4">
        <w:rPr>
          <w:rFonts w:ascii="Arial" w:hAnsi="Arial" w:cs="Arial"/>
        </w:rPr>
        <w:t xml:space="preserve">The contemporary community disability services operate under the assessment, care planning, direct support and partnership working. The needs, strengths, risks and personal goals of an individual are normally evaluated by a social worker or other healthcare professional. After this evaluation, a care and support plan is established with the service user and, where necessary, family or carer. The plan recognises the assistance needed and the results that the person desires to attain. An example is that an individual might require assistance with personal care, cooking, travelling, </w:t>
      </w:r>
      <w:proofErr w:type="gramStart"/>
      <w:r w:rsidRPr="00584AD4">
        <w:rPr>
          <w:rFonts w:ascii="Arial" w:hAnsi="Arial" w:cs="Arial"/>
        </w:rPr>
        <w:t>communication</w:t>
      </w:r>
      <w:proofErr w:type="gramEnd"/>
      <w:r w:rsidRPr="00584AD4">
        <w:rPr>
          <w:rFonts w:ascii="Arial" w:hAnsi="Arial" w:cs="Arial"/>
        </w:rPr>
        <w:t>, intake of medicine or daily activities.</w:t>
      </w:r>
    </w:p>
    <w:p w14:paraId="342F0DE3" w14:textId="77777777" w:rsidR="00584AD4" w:rsidRPr="00584AD4" w:rsidRDefault="00584AD4" w:rsidP="00230E8E">
      <w:pPr>
        <w:spacing w:after="200" w:line="360" w:lineRule="auto"/>
        <w:jc w:val="both"/>
        <w:rPr>
          <w:rFonts w:ascii="Arial" w:hAnsi="Arial" w:cs="Arial"/>
        </w:rPr>
      </w:pPr>
      <w:r w:rsidRPr="00584AD4">
        <w:rPr>
          <w:rFonts w:ascii="Arial" w:hAnsi="Arial" w:cs="Arial"/>
        </w:rPr>
        <w:lastRenderedPageBreak/>
        <w:t>They may be community disability services, such as home-care, occupational therapy, physiotherapy, community nursing, day activities, supported employment, short breaks and independent-living support (</w:t>
      </w:r>
      <w:proofErr w:type="spellStart"/>
      <w:r w:rsidRPr="00584AD4">
        <w:rPr>
          <w:rFonts w:ascii="Arial" w:hAnsi="Arial" w:cs="Arial"/>
        </w:rPr>
        <w:t>Ostrowska</w:t>
      </w:r>
      <w:proofErr w:type="spellEnd"/>
      <w:r w:rsidRPr="00584AD4">
        <w:rPr>
          <w:rFonts w:ascii="Arial" w:hAnsi="Arial" w:cs="Arial"/>
        </w:rPr>
        <w:t xml:space="preserve">, </w:t>
      </w:r>
      <w:proofErr w:type="spellStart"/>
      <w:r w:rsidRPr="00584AD4">
        <w:rPr>
          <w:rFonts w:ascii="Arial" w:hAnsi="Arial" w:cs="Arial"/>
        </w:rPr>
        <w:t>Kozłowski</w:t>
      </w:r>
      <w:proofErr w:type="spellEnd"/>
      <w:r w:rsidRPr="00584AD4">
        <w:rPr>
          <w:rFonts w:ascii="Arial" w:hAnsi="Arial" w:cs="Arial"/>
        </w:rPr>
        <w:t xml:space="preserve"> and </w:t>
      </w:r>
      <w:proofErr w:type="spellStart"/>
      <w:r w:rsidRPr="00584AD4">
        <w:rPr>
          <w:rFonts w:ascii="Arial" w:hAnsi="Arial" w:cs="Arial"/>
        </w:rPr>
        <w:t>Zawadzka</w:t>
      </w:r>
      <w:proofErr w:type="spellEnd"/>
      <w:r w:rsidRPr="00584AD4">
        <w:rPr>
          <w:rFonts w:ascii="Arial" w:hAnsi="Arial" w:cs="Arial"/>
        </w:rPr>
        <w:t>, 2023). Direct payments are provided to some service users, enabling them to plan and select their own support. This may make things more controlled and flexible, but others might require instruction on how to use budgets and hire personal assistants. It also requires partnership working. Social workers, GPs, nurses, therapists, support workers, housing providers, schools and voluntary organisations can collaborate in order to address the needs of a person. Care is safe, coordinated and appropriate with the help of clear communication, consent, confidentiality and proper record-keeping.</w:t>
      </w:r>
    </w:p>
    <w:p w14:paraId="0C349655" w14:textId="77777777" w:rsidR="00584AD4" w:rsidRPr="00584AD4" w:rsidRDefault="00584AD4" w:rsidP="00230E8E">
      <w:pPr>
        <w:spacing w:after="200" w:line="360" w:lineRule="auto"/>
        <w:jc w:val="both"/>
        <w:rPr>
          <w:rFonts w:ascii="Arial" w:hAnsi="Arial" w:cs="Arial"/>
        </w:rPr>
      </w:pPr>
      <w:r w:rsidRPr="00584AD4">
        <w:rPr>
          <w:rFonts w:ascii="Arial" w:hAnsi="Arial" w:cs="Arial"/>
        </w:rPr>
        <w:t>Community disability services have significance since they enhance the quality of life in various aspects. They also encourage independence as they assist individuals in gaining skills and doing everyday chores at home. This can build up confidence and lessen the unwarranted dependence on family members or residential care. They also facilitate social inclusion by facilitating access to education, employment, leisure activities and friendships (Saran et al. 2023). Participating in community life may make people feel less lonely and make them feel appreciated.</w:t>
      </w:r>
    </w:p>
    <w:p w14:paraId="5877FEB0" w14:textId="77777777" w:rsidR="00584AD4" w:rsidRPr="00584AD4" w:rsidRDefault="00584AD4" w:rsidP="00230E8E">
      <w:pPr>
        <w:spacing w:after="200" w:line="360" w:lineRule="auto"/>
        <w:jc w:val="both"/>
        <w:rPr>
          <w:rFonts w:ascii="Arial" w:hAnsi="Arial" w:cs="Arial"/>
        </w:rPr>
      </w:pPr>
      <w:r w:rsidRPr="00584AD4">
        <w:rPr>
          <w:rFonts w:ascii="Arial" w:hAnsi="Arial" w:cs="Arial"/>
        </w:rPr>
        <w:t>The challenges that may be encountered by the community disability services, however, include lack of funds, staffing, waiting times and disparities in provision between the local regions. These may lower the quality and quantity of the assistance. Thus, further investment, professional staff and efficient collaboration should be made to ensure services are person-centred and responsive.</w:t>
      </w:r>
    </w:p>
    <w:p w14:paraId="0E728E8A" w14:textId="77777777" w:rsidR="00584AD4" w:rsidRPr="00584AD4" w:rsidRDefault="00584AD4" w:rsidP="00230E8E">
      <w:pPr>
        <w:spacing w:after="200" w:line="360" w:lineRule="auto"/>
        <w:jc w:val="both"/>
        <w:rPr>
          <w:rFonts w:ascii="Arial" w:hAnsi="Arial" w:cs="Arial"/>
          <w:b/>
          <w:bCs/>
          <w:i/>
          <w:iCs/>
          <w:sz w:val="24"/>
          <w:szCs w:val="24"/>
        </w:rPr>
      </w:pPr>
      <w:r w:rsidRPr="00584AD4">
        <w:rPr>
          <w:rFonts w:ascii="Arial" w:hAnsi="Arial" w:cs="Arial"/>
          <w:b/>
          <w:bCs/>
          <w:i/>
          <w:iCs/>
          <w:sz w:val="24"/>
          <w:szCs w:val="24"/>
        </w:rPr>
        <w:t xml:space="preserve">Conclusion </w:t>
      </w:r>
    </w:p>
    <w:p w14:paraId="5BD30D7C" w14:textId="77777777" w:rsidR="00584AD4" w:rsidRPr="00584AD4" w:rsidRDefault="00584AD4" w:rsidP="00230E8E">
      <w:pPr>
        <w:spacing w:after="200" w:line="360" w:lineRule="auto"/>
        <w:jc w:val="both"/>
        <w:rPr>
          <w:rFonts w:ascii="Arial" w:hAnsi="Arial" w:cs="Arial"/>
        </w:rPr>
      </w:pPr>
      <w:r w:rsidRPr="00584AD4">
        <w:rPr>
          <w:rFonts w:ascii="Arial" w:hAnsi="Arial" w:cs="Arial"/>
        </w:rPr>
        <w:t>In conclusion, community disability services have developed from institutional care towards inclusive, community-based support. They are essential for promoting independence, dignity, inclusion and wellbeing for disabled people.</w:t>
      </w:r>
      <w:r w:rsidRPr="00584AD4">
        <w:rPr>
          <w:rFonts w:ascii="Arial" w:hAnsi="Arial" w:cs="Arial"/>
        </w:rPr>
        <w:br w:type="page"/>
      </w:r>
    </w:p>
    <w:p w14:paraId="0D99EBF0" w14:textId="77777777" w:rsidR="00584AD4" w:rsidRPr="00584AD4" w:rsidRDefault="00584AD4" w:rsidP="00584AD4">
      <w:pPr>
        <w:pStyle w:val="Heading1"/>
      </w:pPr>
      <w:r w:rsidRPr="00584AD4">
        <w:lastRenderedPageBreak/>
        <w:t xml:space="preserve">Reference List </w:t>
      </w:r>
    </w:p>
    <w:p w14:paraId="64FD1799" w14:textId="77777777" w:rsidR="00584AD4" w:rsidRPr="00584AD4" w:rsidRDefault="00584AD4" w:rsidP="00584AD4">
      <w:pPr>
        <w:spacing w:after="240" w:line="360" w:lineRule="auto"/>
        <w:jc w:val="both"/>
        <w:rPr>
          <w:rFonts w:ascii="Arial" w:hAnsi="Arial" w:cs="Arial"/>
        </w:rPr>
      </w:pPr>
      <w:proofErr w:type="spellStart"/>
      <w:r w:rsidRPr="00584AD4">
        <w:rPr>
          <w:rFonts w:ascii="Arial" w:hAnsi="Arial" w:cs="Arial"/>
          <w:color w:val="222222"/>
          <w:highlight w:val="white"/>
        </w:rPr>
        <w:t>Alacahan</w:t>
      </w:r>
      <w:proofErr w:type="spellEnd"/>
      <w:r w:rsidRPr="00584AD4">
        <w:rPr>
          <w:rFonts w:ascii="Arial" w:hAnsi="Arial" w:cs="Arial"/>
          <w:color w:val="222222"/>
          <w:highlight w:val="white"/>
        </w:rPr>
        <w:t xml:space="preserve">, Ö.F., (2025). Ambulance Services in the Context of Occupational Health and Safety and Risks Faced by Ambulance Attendants. </w:t>
      </w:r>
      <w:r w:rsidRPr="00584AD4">
        <w:rPr>
          <w:rFonts w:ascii="Arial" w:hAnsi="Arial" w:cs="Arial"/>
          <w:i/>
          <w:iCs/>
          <w:color w:val="222222"/>
          <w:highlight w:val="white"/>
        </w:rPr>
        <w:t>Social Science Studies Journal</w:t>
      </w:r>
      <w:r w:rsidRPr="00584AD4">
        <w:rPr>
          <w:rFonts w:ascii="Arial" w:hAnsi="Arial" w:cs="Arial"/>
          <w:color w:val="222222"/>
          <w:highlight w:val="white"/>
        </w:rPr>
        <w:t xml:space="preserve">, </w:t>
      </w:r>
      <w:r w:rsidRPr="00584AD4">
        <w:rPr>
          <w:rFonts w:ascii="Arial" w:hAnsi="Arial" w:cs="Arial"/>
          <w:i/>
          <w:iCs/>
          <w:color w:val="222222"/>
          <w:highlight w:val="white"/>
        </w:rPr>
        <w:t>11</w:t>
      </w:r>
      <w:r w:rsidRPr="00584AD4">
        <w:rPr>
          <w:rFonts w:ascii="Arial" w:hAnsi="Arial" w:cs="Arial"/>
          <w:color w:val="222222"/>
          <w:highlight w:val="white"/>
        </w:rPr>
        <w:t>(2).</w:t>
      </w:r>
      <w:r w:rsidRPr="00584AD4">
        <w:rPr>
          <w:rFonts w:ascii="Arial" w:hAnsi="Arial" w:cs="Arial"/>
        </w:rPr>
        <w:t xml:space="preserve"> Available at:  </w:t>
      </w:r>
      <w:hyperlink r:id="rId36">
        <w:r w:rsidRPr="00584AD4">
          <w:rPr>
            <w:rFonts w:ascii="Arial" w:hAnsi="Arial" w:cs="Arial"/>
            <w:color w:val="1155CC"/>
            <w:u w:val="single"/>
          </w:rPr>
          <w:t>https://www.researchgate.net/profile/Oemer-Faruk-Alacahan/publication/389484736_Ambulance_Services_in_the_Context_of_Occupational_Health_and_Safety_and_Risks_Faced_by_Ambulance_Attendants/links/67c3724796e7fb48b9d5593d/Ambulance-Services-in-the-Context-of-Occupational-Health-and-Safety-and-Risks-Faced-by-Ambulance-Attendants.pdf</w:t>
        </w:r>
      </w:hyperlink>
      <w:r w:rsidRPr="00584AD4">
        <w:rPr>
          <w:rFonts w:ascii="Arial" w:hAnsi="Arial" w:cs="Arial"/>
        </w:rPr>
        <w:t xml:space="preserve"> </w:t>
      </w:r>
    </w:p>
    <w:p w14:paraId="5C7F3860" w14:textId="77777777" w:rsidR="00584AD4" w:rsidRPr="00584AD4" w:rsidRDefault="00584AD4" w:rsidP="00584AD4">
      <w:pPr>
        <w:spacing w:after="240" w:line="360" w:lineRule="auto"/>
        <w:jc w:val="both"/>
        <w:rPr>
          <w:rFonts w:ascii="Arial" w:hAnsi="Arial" w:cs="Arial"/>
        </w:rPr>
      </w:pPr>
      <w:r w:rsidRPr="00584AD4">
        <w:rPr>
          <w:rFonts w:ascii="Arial" w:hAnsi="Arial" w:cs="Arial"/>
        </w:rPr>
        <w:t xml:space="preserve">Clement, M. (2023). </w:t>
      </w:r>
      <w:r w:rsidRPr="00584AD4">
        <w:rPr>
          <w:rFonts w:ascii="Arial" w:hAnsi="Arial" w:cs="Arial"/>
          <w:i/>
          <w:iCs/>
        </w:rPr>
        <w:t>The founding of the NHS: 75 years on - History of government</w:t>
      </w:r>
      <w:r w:rsidRPr="00584AD4">
        <w:rPr>
          <w:rFonts w:ascii="Arial" w:hAnsi="Arial" w:cs="Arial"/>
        </w:rPr>
        <w:t>. [</w:t>
      </w:r>
      <w:proofErr w:type="gramStart"/>
      <w:r w:rsidRPr="00584AD4">
        <w:rPr>
          <w:rFonts w:ascii="Arial" w:hAnsi="Arial" w:cs="Arial"/>
        </w:rPr>
        <w:t>online</w:t>
      </w:r>
      <w:proofErr w:type="gramEnd"/>
      <w:r w:rsidRPr="00584AD4">
        <w:rPr>
          <w:rFonts w:ascii="Arial" w:hAnsi="Arial" w:cs="Arial"/>
        </w:rPr>
        <w:t xml:space="preserve">] history.blog.gov.uk. Available at: </w:t>
      </w:r>
      <w:hyperlink r:id="rId37">
        <w:r w:rsidRPr="00584AD4">
          <w:rPr>
            <w:rFonts w:ascii="Arial" w:hAnsi="Arial" w:cs="Arial"/>
            <w:color w:val="1155CC"/>
            <w:u w:val="single"/>
          </w:rPr>
          <w:t>https://history.blog.gov.uk/2023/07/13/the-founding-of-the-nhs-75-years-on/</w:t>
        </w:r>
      </w:hyperlink>
      <w:r w:rsidRPr="00584AD4">
        <w:rPr>
          <w:rFonts w:ascii="Arial" w:hAnsi="Arial" w:cs="Arial"/>
        </w:rPr>
        <w:t xml:space="preserve"> [Accessed 2 Jul. 2026].</w:t>
      </w:r>
    </w:p>
    <w:p w14:paraId="17A29504" w14:textId="77777777" w:rsidR="00584AD4" w:rsidRPr="00584AD4" w:rsidRDefault="00584AD4" w:rsidP="00584AD4">
      <w:pPr>
        <w:spacing w:after="200" w:line="360" w:lineRule="auto"/>
        <w:jc w:val="both"/>
        <w:rPr>
          <w:rFonts w:ascii="Arial" w:hAnsi="Arial" w:cs="Arial"/>
        </w:rPr>
      </w:pPr>
      <w:proofErr w:type="spellStart"/>
      <w:r w:rsidRPr="00584AD4">
        <w:rPr>
          <w:rFonts w:ascii="Arial" w:hAnsi="Arial" w:cs="Arial"/>
          <w:color w:val="222222"/>
          <w:highlight w:val="white"/>
        </w:rPr>
        <w:t>Fernandes</w:t>
      </w:r>
      <w:proofErr w:type="spellEnd"/>
      <w:r w:rsidRPr="00584AD4">
        <w:rPr>
          <w:rFonts w:ascii="Arial" w:hAnsi="Arial" w:cs="Arial"/>
          <w:color w:val="222222"/>
          <w:highlight w:val="white"/>
        </w:rPr>
        <w:t xml:space="preserve">, A. and Ray, J., (2023). Improving the safety and effectiveness of urgent and emergency care. </w:t>
      </w:r>
      <w:r w:rsidRPr="00584AD4">
        <w:rPr>
          <w:rFonts w:ascii="Arial" w:hAnsi="Arial" w:cs="Arial"/>
          <w:i/>
          <w:iCs/>
          <w:color w:val="222222"/>
          <w:highlight w:val="white"/>
        </w:rPr>
        <w:t>Future Healthcare Journal</w:t>
      </w:r>
      <w:r w:rsidRPr="00584AD4">
        <w:rPr>
          <w:rFonts w:ascii="Arial" w:hAnsi="Arial" w:cs="Arial"/>
          <w:color w:val="222222"/>
          <w:highlight w:val="white"/>
        </w:rPr>
        <w:t xml:space="preserve">, </w:t>
      </w:r>
      <w:r w:rsidRPr="00584AD4">
        <w:rPr>
          <w:rFonts w:ascii="Arial" w:hAnsi="Arial" w:cs="Arial"/>
          <w:i/>
          <w:iCs/>
          <w:color w:val="222222"/>
          <w:highlight w:val="white"/>
        </w:rPr>
        <w:t>10</w:t>
      </w:r>
      <w:r w:rsidRPr="00584AD4">
        <w:rPr>
          <w:rFonts w:ascii="Arial" w:hAnsi="Arial" w:cs="Arial"/>
          <w:color w:val="222222"/>
          <w:highlight w:val="white"/>
        </w:rPr>
        <w:t>(3), pp.195-204.</w:t>
      </w:r>
      <w:r w:rsidRPr="00584AD4">
        <w:rPr>
          <w:rFonts w:ascii="Arial" w:hAnsi="Arial" w:cs="Arial"/>
        </w:rPr>
        <w:t xml:space="preserve"> Available at: </w:t>
      </w:r>
      <w:hyperlink r:id="rId38">
        <w:r w:rsidRPr="00584AD4">
          <w:rPr>
            <w:rFonts w:ascii="Arial" w:hAnsi="Arial" w:cs="Arial"/>
            <w:color w:val="1155CC"/>
            <w:u w:val="single"/>
          </w:rPr>
          <w:t>https://www.sciencedirect.com/science/article/pii/S251466452400331X</w:t>
        </w:r>
      </w:hyperlink>
      <w:r w:rsidRPr="00584AD4">
        <w:rPr>
          <w:rFonts w:ascii="Arial" w:hAnsi="Arial" w:cs="Arial"/>
        </w:rPr>
        <w:t xml:space="preserve"> </w:t>
      </w:r>
    </w:p>
    <w:p w14:paraId="533B81A2" w14:textId="77777777" w:rsidR="00584AD4" w:rsidRPr="00584AD4" w:rsidRDefault="00584AD4" w:rsidP="00584AD4">
      <w:pPr>
        <w:spacing w:after="200" w:line="360" w:lineRule="auto"/>
        <w:jc w:val="both"/>
        <w:rPr>
          <w:rFonts w:ascii="Arial" w:hAnsi="Arial" w:cs="Arial"/>
        </w:rPr>
      </w:pPr>
      <w:proofErr w:type="spellStart"/>
      <w:r w:rsidRPr="00584AD4">
        <w:rPr>
          <w:rFonts w:ascii="Arial" w:hAnsi="Arial" w:cs="Arial"/>
          <w:color w:val="222222"/>
          <w:highlight w:val="white"/>
        </w:rPr>
        <w:t>Filinson</w:t>
      </w:r>
      <w:proofErr w:type="spellEnd"/>
      <w:r w:rsidRPr="00584AD4">
        <w:rPr>
          <w:rFonts w:ascii="Arial" w:hAnsi="Arial" w:cs="Arial"/>
          <w:color w:val="222222"/>
          <w:highlight w:val="white"/>
        </w:rPr>
        <w:t xml:space="preserve">, R., (1998). The impact of the Community Care Act: views from the independent sector. </w:t>
      </w:r>
      <w:r w:rsidRPr="00584AD4">
        <w:rPr>
          <w:rFonts w:ascii="Arial" w:hAnsi="Arial" w:cs="Arial"/>
          <w:i/>
          <w:iCs/>
          <w:color w:val="222222"/>
          <w:highlight w:val="white"/>
        </w:rPr>
        <w:t>Health &amp; Social Care in the Community</w:t>
      </w:r>
      <w:r w:rsidRPr="00584AD4">
        <w:rPr>
          <w:rFonts w:ascii="Arial" w:hAnsi="Arial" w:cs="Arial"/>
          <w:color w:val="222222"/>
          <w:highlight w:val="white"/>
        </w:rPr>
        <w:t xml:space="preserve">, </w:t>
      </w:r>
      <w:r w:rsidRPr="00584AD4">
        <w:rPr>
          <w:rFonts w:ascii="Arial" w:hAnsi="Arial" w:cs="Arial"/>
          <w:i/>
          <w:iCs/>
          <w:color w:val="222222"/>
          <w:highlight w:val="white"/>
        </w:rPr>
        <w:t>6</w:t>
      </w:r>
      <w:r w:rsidRPr="00584AD4">
        <w:rPr>
          <w:rFonts w:ascii="Arial" w:hAnsi="Arial" w:cs="Arial"/>
          <w:color w:val="222222"/>
          <w:highlight w:val="white"/>
        </w:rPr>
        <w:t>(4), pp.241-250.</w:t>
      </w:r>
      <w:r w:rsidRPr="00584AD4">
        <w:rPr>
          <w:rFonts w:ascii="Arial" w:hAnsi="Arial" w:cs="Arial"/>
        </w:rPr>
        <w:t xml:space="preserve"> Available at: </w:t>
      </w:r>
      <w:hyperlink r:id="rId39">
        <w:r w:rsidRPr="00584AD4">
          <w:rPr>
            <w:rFonts w:ascii="Arial" w:hAnsi="Arial" w:cs="Arial"/>
            <w:color w:val="1155CC"/>
            <w:u w:val="single"/>
          </w:rPr>
          <w:t>https://doi.org/10.1046/j.1365-2524.1998.00126.x</w:t>
        </w:r>
      </w:hyperlink>
      <w:r w:rsidRPr="00584AD4">
        <w:rPr>
          <w:rFonts w:ascii="Arial" w:hAnsi="Arial" w:cs="Arial"/>
        </w:rPr>
        <w:t xml:space="preserve"> </w:t>
      </w:r>
    </w:p>
    <w:p w14:paraId="2CE9131F" w14:textId="77777777" w:rsidR="00584AD4" w:rsidRPr="00584AD4" w:rsidRDefault="00584AD4" w:rsidP="00584AD4">
      <w:pPr>
        <w:spacing w:after="240" w:line="360" w:lineRule="auto"/>
        <w:jc w:val="both"/>
        <w:rPr>
          <w:rFonts w:ascii="Arial" w:hAnsi="Arial" w:cs="Arial"/>
        </w:rPr>
      </w:pPr>
      <w:r w:rsidRPr="00584AD4">
        <w:rPr>
          <w:rFonts w:ascii="Arial" w:hAnsi="Arial" w:cs="Arial"/>
        </w:rPr>
        <w:t xml:space="preserve">Gregory, A. (2025). </w:t>
      </w:r>
      <w:r w:rsidRPr="00584AD4">
        <w:rPr>
          <w:rFonts w:ascii="Arial" w:hAnsi="Arial" w:cs="Arial"/>
          <w:i/>
          <w:iCs/>
        </w:rPr>
        <w:t>Ambulance crews stuck at A&amp;E miss thousands of 999 calls a day in England</w:t>
      </w:r>
      <w:r w:rsidRPr="00584AD4">
        <w:rPr>
          <w:rFonts w:ascii="Arial" w:hAnsi="Arial" w:cs="Arial"/>
        </w:rPr>
        <w:t>. [</w:t>
      </w:r>
      <w:proofErr w:type="gramStart"/>
      <w:r w:rsidRPr="00584AD4">
        <w:rPr>
          <w:rFonts w:ascii="Arial" w:hAnsi="Arial" w:cs="Arial"/>
        </w:rPr>
        <w:t>online</w:t>
      </w:r>
      <w:proofErr w:type="gramEnd"/>
      <w:r w:rsidRPr="00584AD4">
        <w:rPr>
          <w:rFonts w:ascii="Arial" w:hAnsi="Arial" w:cs="Arial"/>
        </w:rPr>
        <w:t xml:space="preserve">] the Guardian. Available at: </w:t>
      </w:r>
      <w:hyperlink r:id="rId40">
        <w:r w:rsidRPr="00584AD4">
          <w:rPr>
            <w:rFonts w:ascii="Arial" w:hAnsi="Arial" w:cs="Arial"/>
            <w:color w:val="1155CC"/>
            <w:u w:val="single"/>
          </w:rPr>
          <w:t>https://www.theguardian.com/society/2025/jan/12/ambulance-crews-stuck-at-ae-miss-thousands-of-999-calls-a-day-in-england</w:t>
        </w:r>
      </w:hyperlink>
      <w:r w:rsidRPr="00584AD4">
        <w:rPr>
          <w:rFonts w:ascii="Arial" w:hAnsi="Arial" w:cs="Arial"/>
        </w:rPr>
        <w:t xml:space="preserve"> [Accessed 2 Jul. 2026].</w:t>
      </w:r>
    </w:p>
    <w:p w14:paraId="048F5BFD" w14:textId="77777777" w:rsidR="00584AD4" w:rsidRPr="00584AD4" w:rsidRDefault="00584AD4" w:rsidP="00584AD4">
      <w:pPr>
        <w:spacing w:after="200" w:line="360" w:lineRule="auto"/>
        <w:jc w:val="both"/>
        <w:rPr>
          <w:rFonts w:ascii="Arial" w:hAnsi="Arial" w:cs="Arial"/>
        </w:rPr>
      </w:pPr>
      <w:proofErr w:type="spellStart"/>
      <w:r w:rsidRPr="00584AD4">
        <w:rPr>
          <w:rFonts w:ascii="Arial" w:hAnsi="Arial" w:cs="Arial"/>
          <w:color w:val="222222"/>
          <w:highlight w:val="white"/>
        </w:rPr>
        <w:t>Ince</w:t>
      </w:r>
      <w:proofErr w:type="spellEnd"/>
      <w:r w:rsidRPr="00584AD4">
        <w:rPr>
          <w:rFonts w:ascii="Arial" w:hAnsi="Arial" w:cs="Arial"/>
          <w:color w:val="222222"/>
          <w:highlight w:val="white"/>
        </w:rPr>
        <w:t xml:space="preserve">, R., </w:t>
      </w:r>
      <w:proofErr w:type="spellStart"/>
      <w:r w:rsidRPr="00584AD4">
        <w:rPr>
          <w:rFonts w:ascii="Arial" w:hAnsi="Arial" w:cs="Arial"/>
          <w:color w:val="222222"/>
          <w:highlight w:val="white"/>
        </w:rPr>
        <w:t>Glasby</w:t>
      </w:r>
      <w:proofErr w:type="spellEnd"/>
      <w:r w:rsidRPr="00584AD4">
        <w:rPr>
          <w:rFonts w:ascii="Arial" w:hAnsi="Arial" w:cs="Arial"/>
          <w:color w:val="222222"/>
          <w:highlight w:val="white"/>
        </w:rPr>
        <w:t xml:space="preserve">, J., Miller, R. and </w:t>
      </w:r>
      <w:proofErr w:type="spellStart"/>
      <w:r w:rsidRPr="00584AD4">
        <w:rPr>
          <w:rFonts w:ascii="Arial" w:hAnsi="Arial" w:cs="Arial"/>
          <w:color w:val="222222"/>
          <w:highlight w:val="white"/>
        </w:rPr>
        <w:t>Glasby</w:t>
      </w:r>
      <w:proofErr w:type="spellEnd"/>
      <w:r w:rsidRPr="00584AD4">
        <w:rPr>
          <w:rFonts w:ascii="Arial" w:hAnsi="Arial" w:cs="Arial"/>
          <w:color w:val="222222"/>
          <w:highlight w:val="white"/>
        </w:rPr>
        <w:t xml:space="preserve">, A.M., (2022). ‘Why are we stuck in </w:t>
      </w:r>
      <w:proofErr w:type="spellStart"/>
      <w:r w:rsidRPr="00584AD4">
        <w:rPr>
          <w:rFonts w:ascii="Arial" w:hAnsi="Arial" w:cs="Arial"/>
          <w:color w:val="222222"/>
          <w:highlight w:val="white"/>
        </w:rPr>
        <w:t>hospital?’Understanding</w:t>
      </w:r>
      <w:proofErr w:type="spellEnd"/>
      <w:r w:rsidRPr="00584AD4">
        <w:rPr>
          <w:rFonts w:ascii="Arial" w:hAnsi="Arial" w:cs="Arial"/>
          <w:color w:val="222222"/>
          <w:highlight w:val="white"/>
        </w:rPr>
        <w:t xml:space="preserve"> delayed hospital discharges for people with learning disabilities and/or autistic people in long</w:t>
      </w:r>
      <w:r w:rsidRPr="00584AD4">
        <w:rPr>
          <w:rFonts w:ascii="Cambria Math" w:hAnsi="Cambria Math" w:cs="Cambria Math"/>
          <w:color w:val="222222"/>
          <w:highlight w:val="white"/>
        </w:rPr>
        <w:t>‐</w:t>
      </w:r>
      <w:r w:rsidRPr="00584AD4">
        <w:rPr>
          <w:rFonts w:ascii="Arial" w:hAnsi="Arial" w:cs="Arial"/>
          <w:color w:val="222222"/>
          <w:highlight w:val="white"/>
        </w:rPr>
        <w:t xml:space="preserve">stay hospitals in the UK. </w:t>
      </w:r>
      <w:r w:rsidRPr="00584AD4">
        <w:rPr>
          <w:rFonts w:ascii="Arial" w:hAnsi="Arial" w:cs="Arial"/>
          <w:i/>
          <w:iCs/>
          <w:color w:val="222222"/>
          <w:highlight w:val="white"/>
        </w:rPr>
        <w:t>Health &amp; Social Care in the Community</w:t>
      </w:r>
      <w:r w:rsidRPr="00584AD4">
        <w:rPr>
          <w:rFonts w:ascii="Arial" w:hAnsi="Arial" w:cs="Arial"/>
          <w:color w:val="222222"/>
          <w:highlight w:val="white"/>
        </w:rPr>
        <w:t xml:space="preserve">, </w:t>
      </w:r>
      <w:r w:rsidRPr="00584AD4">
        <w:rPr>
          <w:rFonts w:ascii="Arial" w:hAnsi="Arial" w:cs="Arial"/>
          <w:i/>
          <w:iCs/>
          <w:color w:val="222222"/>
          <w:highlight w:val="white"/>
        </w:rPr>
        <w:t>30</w:t>
      </w:r>
      <w:r w:rsidRPr="00584AD4">
        <w:rPr>
          <w:rFonts w:ascii="Arial" w:hAnsi="Arial" w:cs="Arial"/>
          <w:color w:val="222222"/>
          <w:highlight w:val="white"/>
        </w:rPr>
        <w:t>(6), pp.e3477-e3492.</w:t>
      </w:r>
      <w:r w:rsidRPr="00584AD4">
        <w:rPr>
          <w:rFonts w:ascii="Arial" w:hAnsi="Arial" w:cs="Arial"/>
        </w:rPr>
        <w:t xml:space="preserve"> Available at: </w:t>
      </w:r>
      <w:hyperlink r:id="rId41">
        <w:r w:rsidRPr="00584AD4">
          <w:rPr>
            <w:rFonts w:ascii="Arial" w:hAnsi="Arial" w:cs="Arial"/>
            <w:color w:val="1155CC"/>
            <w:u w:val="single"/>
          </w:rPr>
          <w:t>https://onlinelibrary.wiley.com/doi/pdf/10.1111/hsc.13964</w:t>
        </w:r>
      </w:hyperlink>
      <w:r w:rsidRPr="00584AD4">
        <w:rPr>
          <w:rFonts w:ascii="Arial" w:hAnsi="Arial" w:cs="Arial"/>
        </w:rPr>
        <w:t xml:space="preserve"> </w:t>
      </w:r>
    </w:p>
    <w:p w14:paraId="0AC8B694" w14:textId="77777777" w:rsidR="00584AD4" w:rsidRPr="00584AD4" w:rsidRDefault="00584AD4" w:rsidP="00584AD4">
      <w:pPr>
        <w:spacing w:after="200" w:line="360" w:lineRule="auto"/>
        <w:jc w:val="both"/>
        <w:rPr>
          <w:rFonts w:ascii="Arial" w:hAnsi="Arial" w:cs="Arial"/>
        </w:rPr>
      </w:pPr>
      <w:r w:rsidRPr="00584AD4">
        <w:rPr>
          <w:rFonts w:ascii="Arial" w:hAnsi="Arial" w:cs="Arial"/>
          <w:color w:val="222222"/>
          <w:highlight w:val="white"/>
        </w:rPr>
        <w:t xml:space="preserve">Lindsay, S., Fuentes, K., </w:t>
      </w:r>
      <w:proofErr w:type="spellStart"/>
      <w:r w:rsidRPr="00584AD4">
        <w:rPr>
          <w:rFonts w:ascii="Arial" w:hAnsi="Arial" w:cs="Arial"/>
          <w:color w:val="222222"/>
          <w:highlight w:val="white"/>
        </w:rPr>
        <w:t>Ragunathan</w:t>
      </w:r>
      <w:proofErr w:type="spellEnd"/>
      <w:r w:rsidRPr="00584AD4">
        <w:rPr>
          <w:rFonts w:ascii="Arial" w:hAnsi="Arial" w:cs="Arial"/>
          <w:color w:val="222222"/>
          <w:highlight w:val="white"/>
        </w:rPr>
        <w:t xml:space="preserve">, S., Li, Y. and Ross, T., (2024). Accessible independent housing for people with disabilities: A scoping review of promising practices, policies and interventions. </w:t>
      </w:r>
      <w:proofErr w:type="spellStart"/>
      <w:r w:rsidRPr="00584AD4">
        <w:rPr>
          <w:rFonts w:ascii="Arial" w:hAnsi="Arial" w:cs="Arial"/>
          <w:i/>
          <w:iCs/>
          <w:color w:val="222222"/>
          <w:highlight w:val="white"/>
        </w:rPr>
        <w:t>PLoS</w:t>
      </w:r>
      <w:proofErr w:type="spellEnd"/>
      <w:r w:rsidRPr="00584AD4">
        <w:rPr>
          <w:rFonts w:ascii="Arial" w:hAnsi="Arial" w:cs="Arial"/>
          <w:i/>
          <w:iCs/>
          <w:color w:val="222222"/>
          <w:highlight w:val="white"/>
        </w:rPr>
        <w:t xml:space="preserve"> One</w:t>
      </w:r>
      <w:r w:rsidRPr="00584AD4">
        <w:rPr>
          <w:rFonts w:ascii="Arial" w:hAnsi="Arial" w:cs="Arial"/>
          <w:color w:val="222222"/>
          <w:highlight w:val="white"/>
        </w:rPr>
        <w:t xml:space="preserve">, </w:t>
      </w:r>
      <w:r w:rsidRPr="00584AD4">
        <w:rPr>
          <w:rFonts w:ascii="Arial" w:hAnsi="Arial" w:cs="Arial"/>
          <w:i/>
          <w:iCs/>
          <w:color w:val="222222"/>
          <w:highlight w:val="white"/>
        </w:rPr>
        <w:t>19</w:t>
      </w:r>
      <w:r w:rsidRPr="00584AD4">
        <w:rPr>
          <w:rFonts w:ascii="Arial" w:hAnsi="Arial" w:cs="Arial"/>
          <w:color w:val="222222"/>
          <w:highlight w:val="white"/>
        </w:rPr>
        <w:t>(1), p.e0291228.</w:t>
      </w:r>
      <w:r w:rsidRPr="00584AD4">
        <w:rPr>
          <w:rFonts w:ascii="Arial" w:hAnsi="Arial" w:cs="Arial"/>
        </w:rPr>
        <w:t xml:space="preserve"> Available at:  </w:t>
      </w:r>
      <w:hyperlink r:id="rId42">
        <w:r w:rsidRPr="00584AD4">
          <w:rPr>
            <w:rFonts w:ascii="Arial" w:hAnsi="Arial" w:cs="Arial"/>
            <w:color w:val="1155CC"/>
            <w:u w:val="single"/>
          </w:rPr>
          <w:t>https://journals.plos.org/plosone/article/file?id=10.1371/journal.pone.0291228&amp;type=printable</w:t>
        </w:r>
      </w:hyperlink>
      <w:r w:rsidRPr="00584AD4">
        <w:rPr>
          <w:rFonts w:ascii="Arial" w:hAnsi="Arial" w:cs="Arial"/>
        </w:rPr>
        <w:t xml:space="preserve"> </w:t>
      </w:r>
    </w:p>
    <w:p w14:paraId="5111120C" w14:textId="77777777" w:rsidR="00584AD4" w:rsidRPr="00584AD4" w:rsidRDefault="00584AD4" w:rsidP="00584AD4">
      <w:pPr>
        <w:spacing w:after="240" w:line="360" w:lineRule="auto"/>
        <w:jc w:val="both"/>
        <w:rPr>
          <w:rFonts w:ascii="Arial" w:hAnsi="Arial" w:cs="Arial"/>
        </w:rPr>
      </w:pPr>
      <w:r w:rsidRPr="00584AD4">
        <w:rPr>
          <w:rFonts w:ascii="Arial" w:hAnsi="Arial" w:cs="Arial"/>
        </w:rPr>
        <w:lastRenderedPageBreak/>
        <w:t xml:space="preserve">NHS Alliance (2024). </w:t>
      </w:r>
      <w:r w:rsidRPr="00584AD4">
        <w:rPr>
          <w:rFonts w:ascii="Arial" w:hAnsi="Arial" w:cs="Arial"/>
          <w:i/>
          <w:iCs/>
        </w:rPr>
        <w:t>Ambulance sector</w:t>
      </w:r>
      <w:r w:rsidRPr="00584AD4">
        <w:rPr>
          <w:rFonts w:ascii="Arial" w:hAnsi="Arial" w:cs="Arial"/>
        </w:rPr>
        <w:t>. [</w:t>
      </w:r>
      <w:proofErr w:type="gramStart"/>
      <w:r w:rsidRPr="00584AD4">
        <w:rPr>
          <w:rFonts w:ascii="Arial" w:hAnsi="Arial" w:cs="Arial"/>
        </w:rPr>
        <w:t>online</w:t>
      </w:r>
      <w:proofErr w:type="gramEnd"/>
      <w:r w:rsidRPr="00584AD4">
        <w:rPr>
          <w:rFonts w:ascii="Arial" w:hAnsi="Arial" w:cs="Arial"/>
        </w:rPr>
        <w:t xml:space="preserve">] Thenhsalliance.org. Available at: </w:t>
      </w:r>
      <w:hyperlink r:id="rId43">
        <w:r w:rsidRPr="00584AD4">
          <w:rPr>
            <w:rFonts w:ascii="Arial" w:hAnsi="Arial" w:cs="Arial"/>
            <w:color w:val="1155CC"/>
            <w:u w:val="single"/>
          </w:rPr>
          <w:t>https://thenhsalliance.org/resources/nhs-activity-tracker-202425/august-2024/ambulance-sector</w:t>
        </w:r>
      </w:hyperlink>
      <w:r w:rsidRPr="00584AD4">
        <w:rPr>
          <w:rFonts w:ascii="Arial" w:hAnsi="Arial" w:cs="Arial"/>
        </w:rPr>
        <w:t xml:space="preserve"> [Accessed 2 Jul. 2026].</w:t>
      </w:r>
    </w:p>
    <w:p w14:paraId="16EE3EBD" w14:textId="77777777" w:rsidR="00584AD4" w:rsidRPr="00584AD4" w:rsidRDefault="00584AD4" w:rsidP="00584AD4">
      <w:pPr>
        <w:spacing w:after="200" w:line="360" w:lineRule="auto"/>
        <w:jc w:val="both"/>
        <w:rPr>
          <w:rFonts w:ascii="Arial" w:hAnsi="Arial" w:cs="Arial"/>
        </w:rPr>
      </w:pPr>
      <w:proofErr w:type="spellStart"/>
      <w:r w:rsidRPr="00584AD4">
        <w:rPr>
          <w:rFonts w:ascii="Arial" w:hAnsi="Arial" w:cs="Arial"/>
          <w:color w:val="222222"/>
          <w:highlight w:val="white"/>
        </w:rPr>
        <w:t>Ostrowska</w:t>
      </w:r>
      <w:proofErr w:type="spellEnd"/>
      <w:r w:rsidRPr="00584AD4">
        <w:rPr>
          <w:rFonts w:ascii="Arial" w:hAnsi="Arial" w:cs="Arial"/>
          <w:color w:val="222222"/>
          <w:highlight w:val="white"/>
        </w:rPr>
        <w:t xml:space="preserve">, B., </w:t>
      </w:r>
      <w:proofErr w:type="spellStart"/>
      <w:r w:rsidRPr="00584AD4">
        <w:rPr>
          <w:rFonts w:ascii="Arial" w:hAnsi="Arial" w:cs="Arial"/>
          <w:color w:val="222222"/>
          <w:highlight w:val="white"/>
        </w:rPr>
        <w:t>Kozłowski</w:t>
      </w:r>
      <w:proofErr w:type="spellEnd"/>
      <w:r w:rsidRPr="00584AD4">
        <w:rPr>
          <w:rFonts w:ascii="Arial" w:hAnsi="Arial" w:cs="Arial"/>
          <w:color w:val="222222"/>
          <w:highlight w:val="white"/>
        </w:rPr>
        <w:t xml:space="preserve">, P. and </w:t>
      </w:r>
      <w:proofErr w:type="spellStart"/>
      <w:r w:rsidRPr="00584AD4">
        <w:rPr>
          <w:rFonts w:ascii="Arial" w:hAnsi="Arial" w:cs="Arial"/>
          <w:color w:val="222222"/>
          <w:highlight w:val="white"/>
        </w:rPr>
        <w:t>Zawadzka</w:t>
      </w:r>
      <w:proofErr w:type="spellEnd"/>
      <w:r w:rsidRPr="00584AD4">
        <w:rPr>
          <w:rFonts w:ascii="Arial" w:hAnsi="Arial" w:cs="Arial"/>
          <w:color w:val="222222"/>
          <w:highlight w:val="white"/>
        </w:rPr>
        <w:t xml:space="preserve">, D., (2023). A new perspective on the role of the occupational therapist in the home rehabilitation of people with physical disabilities rehabilitation of people with physical disabilities. </w:t>
      </w:r>
      <w:r w:rsidRPr="00584AD4">
        <w:rPr>
          <w:rFonts w:ascii="Arial" w:hAnsi="Arial" w:cs="Arial"/>
          <w:i/>
          <w:iCs/>
          <w:color w:val="222222"/>
          <w:highlight w:val="white"/>
        </w:rPr>
        <w:t>Physiotherapy Quarterly</w:t>
      </w:r>
      <w:r w:rsidRPr="00584AD4">
        <w:rPr>
          <w:rFonts w:ascii="Arial" w:hAnsi="Arial" w:cs="Arial"/>
          <w:color w:val="222222"/>
          <w:highlight w:val="white"/>
        </w:rPr>
        <w:t xml:space="preserve">, </w:t>
      </w:r>
      <w:r w:rsidRPr="00584AD4">
        <w:rPr>
          <w:rFonts w:ascii="Arial" w:hAnsi="Arial" w:cs="Arial"/>
          <w:i/>
          <w:iCs/>
          <w:color w:val="222222"/>
          <w:highlight w:val="white"/>
        </w:rPr>
        <w:t>31</w:t>
      </w:r>
      <w:r w:rsidRPr="00584AD4">
        <w:rPr>
          <w:rFonts w:ascii="Arial" w:hAnsi="Arial" w:cs="Arial"/>
          <w:color w:val="222222"/>
          <w:highlight w:val="white"/>
        </w:rPr>
        <w:t>(3), pp.30-35.</w:t>
      </w:r>
      <w:r w:rsidRPr="00584AD4">
        <w:rPr>
          <w:rFonts w:ascii="Arial" w:hAnsi="Arial" w:cs="Arial"/>
        </w:rPr>
        <w:t xml:space="preserve"> Available at: </w:t>
      </w:r>
      <w:hyperlink r:id="rId44">
        <w:r w:rsidRPr="00584AD4">
          <w:rPr>
            <w:rFonts w:ascii="Arial" w:hAnsi="Arial" w:cs="Arial"/>
            <w:color w:val="1155CC"/>
            <w:u w:val="single"/>
          </w:rPr>
          <w:t>https://www.termedia.pl/Journal/-128/pdf-50822-10?filename=587_117447.pdf</w:t>
        </w:r>
      </w:hyperlink>
      <w:r w:rsidRPr="00584AD4">
        <w:rPr>
          <w:rFonts w:ascii="Arial" w:hAnsi="Arial" w:cs="Arial"/>
        </w:rPr>
        <w:t xml:space="preserve"> </w:t>
      </w:r>
    </w:p>
    <w:p w14:paraId="4CE98D1C" w14:textId="77777777" w:rsidR="00584AD4" w:rsidRPr="00584AD4" w:rsidRDefault="00584AD4" w:rsidP="00584AD4">
      <w:pPr>
        <w:spacing w:after="200" w:line="360" w:lineRule="auto"/>
        <w:jc w:val="both"/>
        <w:rPr>
          <w:rFonts w:ascii="Arial" w:hAnsi="Arial" w:cs="Arial"/>
        </w:rPr>
      </w:pPr>
      <w:r w:rsidRPr="00584AD4">
        <w:rPr>
          <w:rFonts w:ascii="Arial" w:hAnsi="Arial" w:cs="Arial"/>
          <w:color w:val="222222"/>
          <w:highlight w:val="white"/>
        </w:rPr>
        <w:t xml:space="preserve">Saran, A., Hunt, X., White, H. and </w:t>
      </w:r>
      <w:proofErr w:type="spellStart"/>
      <w:r w:rsidRPr="00584AD4">
        <w:rPr>
          <w:rFonts w:ascii="Arial" w:hAnsi="Arial" w:cs="Arial"/>
          <w:color w:val="222222"/>
          <w:highlight w:val="white"/>
        </w:rPr>
        <w:t>Kuper</w:t>
      </w:r>
      <w:proofErr w:type="spellEnd"/>
      <w:r w:rsidRPr="00584AD4">
        <w:rPr>
          <w:rFonts w:ascii="Arial" w:hAnsi="Arial" w:cs="Arial"/>
          <w:color w:val="222222"/>
          <w:highlight w:val="white"/>
        </w:rPr>
        <w:t>, H., (2023). Effectiveness of interventions for improving social inclusion outcomes for people with disabilities in low</w:t>
      </w:r>
      <w:r w:rsidRPr="00584AD4">
        <w:rPr>
          <w:rFonts w:ascii="Cambria Math" w:hAnsi="Cambria Math" w:cs="Cambria Math"/>
          <w:color w:val="222222"/>
          <w:highlight w:val="white"/>
        </w:rPr>
        <w:t>‐</w:t>
      </w:r>
      <w:r w:rsidRPr="00584AD4">
        <w:rPr>
          <w:rFonts w:ascii="Arial" w:hAnsi="Arial" w:cs="Arial"/>
          <w:color w:val="222222"/>
          <w:highlight w:val="white"/>
        </w:rPr>
        <w:t>and middle</w:t>
      </w:r>
      <w:r w:rsidRPr="00584AD4">
        <w:rPr>
          <w:rFonts w:ascii="Cambria Math" w:hAnsi="Cambria Math" w:cs="Cambria Math"/>
          <w:color w:val="222222"/>
          <w:highlight w:val="white"/>
        </w:rPr>
        <w:t>‐</w:t>
      </w:r>
      <w:r w:rsidRPr="00584AD4">
        <w:rPr>
          <w:rFonts w:ascii="Arial" w:hAnsi="Arial" w:cs="Arial"/>
          <w:color w:val="222222"/>
          <w:highlight w:val="white"/>
        </w:rPr>
        <w:t xml:space="preserve">income countries: A systematic review. </w:t>
      </w:r>
      <w:r w:rsidRPr="00584AD4">
        <w:rPr>
          <w:rFonts w:ascii="Arial" w:hAnsi="Arial" w:cs="Arial"/>
          <w:i/>
          <w:iCs/>
          <w:color w:val="222222"/>
          <w:highlight w:val="white"/>
        </w:rPr>
        <w:t>Campbell systematic reviews</w:t>
      </w:r>
      <w:r w:rsidRPr="00584AD4">
        <w:rPr>
          <w:rFonts w:ascii="Arial" w:hAnsi="Arial" w:cs="Arial"/>
          <w:color w:val="222222"/>
          <w:highlight w:val="white"/>
        </w:rPr>
        <w:t xml:space="preserve">, </w:t>
      </w:r>
      <w:r w:rsidRPr="00584AD4">
        <w:rPr>
          <w:rFonts w:ascii="Arial" w:hAnsi="Arial" w:cs="Arial"/>
          <w:i/>
          <w:iCs/>
          <w:color w:val="222222"/>
          <w:highlight w:val="white"/>
        </w:rPr>
        <w:t>19</w:t>
      </w:r>
      <w:r w:rsidRPr="00584AD4">
        <w:rPr>
          <w:rFonts w:ascii="Arial" w:hAnsi="Arial" w:cs="Arial"/>
          <w:color w:val="222222"/>
          <w:highlight w:val="white"/>
        </w:rPr>
        <w:t>(1), p.e1316.</w:t>
      </w:r>
      <w:r w:rsidRPr="00584AD4">
        <w:rPr>
          <w:rFonts w:ascii="Arial" w:hAnsi="Arial" w:cs="Arial"/>
        </w:rPr>
        <w:t xml:space="preserve"> Available at: </w:t>
      </w:r>
      <w:hyperlink r:id="rId45">
        <w:r w:rsidRPr="00584AD4">
          <w:rPr>
            <w:rFonts w:ascii="Arial" w:hAnsi="Arial" w:cs="Arial"/>
            <w:color w:val="1155CC"/>
            <w:u w:val="single"/>
          </w:rPr>
          <w:t>https://onlinelibrary.wiley.com/doi/pdfdirect/10.1002/cl2.1316</w:t>
        </w:r>
      </w:hyperlink>
      <w:r w:rsidRPr="00584AD4">
        <w:rPr>
          <w:rFonts w:ascii="Arial" w:hAnsi="Arial" w:cs="Arial"/>
        </w:rPr>
        <w:t xml:space="preserve"> </w:t>
      </w:r>
    </w:p>
    <w:p w14:paraId="36D74AB5" w14:textId="77777777" w:rsidR="00584AD4" w:rsidRPr="00584AD4" w:rsidRDefault="00584AD4" w:rsidP="00584AD4">
      <w:pPr>
        <w:spacing w:after="240" w:line="360" w:lineRule="auto"/>
        <w:jc w:val="both"/>
        <w:rPr>
          <w:rFonts w:ascii="Arial" w:hAnsi="Arial" w:cs="Arial"/>
        </w:rPr>
      </w:pPr>
      <w:proofErr w:type="spellStart"/>
      <w:r w:rsidRPr="00584AD4">
        <w:rPr>
          <w:rFonts w:ascii="Arial" w:hAnsi="Arial" w:cs="Arial"/>
          <w:color w:val="222222"/>
          <w:highlight w:val="white"/>
        </w:rPr>
        <w:t>Spek</w:t>
      </w:r>
      <w:proofErr w:type="spellEnd"/>
      <w:r w:rsidRPr="00584AD4">
        <w:rPr>
          <w:rFonts w:ascii="Arial" w:hAnsi="Arial" w:cs="Arial"/>
          <w:color w:val="222222"/>
          <w:highlight w:val="white"/>
        </w:rPr>
        <w:t xml:space="preserve">, M., van </w:t>
      </w:r>
      <w:proofErr w:type="spellStart"/>
      <w:r w:rsidRPr="00584AD4">
        <w:rPr>
          <w:rFonts w:ascii="Arial" w:hAnsi="Arial" w:cs="Arial"/>
          <w:color w:val="222222"/>
          <w:highlight w:val="white"/>
        </w:rPr>
        <w:t>Braak</w:t>
      </w:r>
      <w:proofErr w:type="spellEnd"/>
      <w:r w:rsidRPr="00584AD4">
        <w:rPr>
          <w:rFonts w:ascii="Arial" w:hAnsi="Arial" w:cs="Arial"/>
          <w:color w:val="222222"/>
          <w:highlight w:val="white"/>
        </w:rPr>
        <w:t xml:space="preserve">, M., </w:t>
      </w:r>
      <w:proofErr w:type="spellStart"/>
      <w:r w:rsidRPr="00584AD4">
        <w:rPr>
          <w:rFonts w:ascii="Arial" w:hAnsi="Arial" w:cs="Arial"/>
          <w:color w:val="222222"/>
          <w:highlight w:val="white"/>
        </w:rPr>
        <w:t>Erkelens</w:t>
      </w:r>
      <w:proofErr w:type="spellEnd"/>
      <w:r w:rsidRPr="00584AD4">
        <w:rPr>
          <w:rFonts w:ascii="Arial" w:hAnsi="Arial" w:cs="Arial"/>
          <w:color w:val="222222"/>
          <w:highlight w:val="white"/>
        </w:rPr>
        <w:t xml:space="preserve">, D.C., </w:t>
      </w:r>
      <w:proofErr w:type="spellStart"/>
      <w:r w:rsidRPr="00584AD4">
        <w:rPr>
          <w:rFonts w:ascii="Arial" w:hAnsi="Arial" w:cs="Arial"/>
          <w:color w:val="222222"/>
          <w:highlight w:val="white"/>
        </w:rPr>
        <w:t>Rutten</w:t>
      </w:r>
      <w:proofErr w:type="spellEnd"/>
      <w:r w:rsidRPr="00584AD4">
        <w:rPr>
          <w:rFonts w:ascii="Arial" w:hAnsi="Arial" w:cs="Arial"/>
          <w:color w:val="222222"/>
          <w:highlight w:val="white"/>
        </w:rPr>
        <w:t xml:space="preserve">, F.H., </w:t>
      </w:r>
      <w:proofErr w:type="spellStart"/>
      <w:r w:rsidRPr="00584AD4">
        <w:rPr>
          <w:rFonts w:ascii="Arial" w:hAnsi="Arial" w:cs="Arial"/>
          <w:color w:val="222222"/>
          <w:highlight w:val="white"/>
        </w:rPr>
        <w:t>Venekamp</w:t>
      </w:r>
      <w:proofErr w:type="spellEnd"/>
      <w:r w:rsidRPr="00584AD4">
        <w:rPr>
          <w:rFonts w:ascii="Arial" w:hAnsi="Arial" w:cs="Arial"/>
          <w:color w:val="222222"/>
          <w:highlight w:val="white"/>
        </w:rPr>
        <w:t xml:space="preserve">, R.P., </w:t>
      </w:r>
      <w:proofErr w:type="spellStart"/>
      <w:r w:rsidRPr="00584AD4">
        <w:rPr>
          <w:rFonts w:ascii="Arial" w:hAnsi="Arial" w:cs="Arial"/>
          <w:color w:val="222222"/>
          <w:highlight w:val="white"/>
        </w:rPr>
        <w:t>Zwart</w:t>
      </w:r>
      <w:proofErr w:type="spellEnd"/>
      <w:r w:rsidRPr="00584AD4">
        <w:rPr>
          <w:rFonts w:ascii="Arial" w:hAnsi="Arial" w:cs="Arial"/>
          <w:color w:val="222222"/>
          <w:highlight w:val="white"/>
        </w:rPr>
        <w:t>, D.L. and de Groot, E., (2025). The Role of Language in Remote Healthcare Triage: A Meta</w:t>
      </w:r>
      <w:r w:rsidRPr="00584AD4">
        <w:rPr>
          <w:rFonts w:ascii="Cambria Math" w:hAnsi="Cambria Math" w:cs="Cambria Math"/>
          <w:color w:val="222222"/>
          <w:highlight w:val="white"/>
        </w:rPr>
        <w:t>‐</w:t>
      </w:r>
      <w:r w:rsidRPr="00584AD4">
        <w:rPr>
          <w:rFonts w:ascii="Arial" w:hAnsi="Arial" w:cs="Arial"/>
          <w:color w:val="222222"/>
          <w:highlight w:val="white"/>
        </w:rPr>
        <w:t xml:space="preserve">Aggregative Review. </w:t>
      </w:r>
      <w:r w:rsidRPr="00584AD4">
        <w:rPr>
          <w:rFonts w:ascii="Arial" w:hAnsi="Arial" w:cs="Arial"/>
          <w:i/>
          <w:iCs/>
          <w:color w:val="222222"/>
          <w:highlight w:val="white"/>
        </w:rPr>
        <w:t>Journal of Advanced Nursing</w:t>
      </w:r>
      <w:r w:rsidRPr="00584AD4">
        <w:rPr>
          <w:rFonts w:ascii="Arial" w:hAnsi="Arial" w:cs="Arial"/>
          <w:color w:val="222222"/>
          <w:highlight w:val="white"/>
        </w:rPr>
        <w:t xml:space="preserve">, </w:t>
      </w:r>
      <w:r w:rsidRPr="00584AD4">
        <w:rPr>
          <w:rFonts w:ascii="Arial" w:hAnsi="Arial" w:cs="Arial"/>
          <w:i/>
          <w:iCs/>
          <w:color w:val="222222"/>
          <w:highlight w:val="white"/>
        </w:rPr>
        <w:t>81</w:t>
      </w:r>
      <w:r w:rsidRPr="00584AD4">
        <w:rPr>
          <w:rFonts w:ascii="Arial" w:hAnsi="Arial" w:cs="Arial"/>
          <w:color w:val="222222"/>
          <w:highlight w:val="white"/>
        </w:rPr>
        <w:t>(4), pp.1639-1662.</w:t>
      </w:r>
      <w:r w:rsidRPr="00584AD4">
        <w:rPr>
          <w:rFonts w:ascii="Arial" w:hAnsi="Arial" w:cs="Arial"/>
        </w:rPr>
        <w:t xml:space="preserve"> Available at: </w:t>
      </w:r>
      <w:hyperlink r:id="rId46">
        <w:r w:rsidRPr="00584AD4">
          <w:rPr>
            <w:rFonts w:ascii="Arial" w:hAnsi="Arial" w:cs="Arial"/>
            <w:color w:val="1155CC"/>
            <w:u w:val="single"/>
          </w:rPr>
          <w:t>https://onlinelibrary.wiley.com/doi/pdf/10.1111/jan.16528</w:t>
        </w:r>
      </w:hyperlink>
      <w:r w:rsidRPr="00584AD4">
        <w:rPr>
          <w:rFonts w:ascii="Arial" w:hAnsi="Arial" w:cs="Arial"/>
        </w:rPr>
        <w:t xml:space="preserve"> </w:t>
      </w:r>
    </w:p>
    <w:p w14:paraId="7C59CBEE" w14:textId="77777777" w:rsidR="00584AD4" w:rsidRPr="00584AD4" w:rsidRDefault="00584AD4" w:rsidP="00584AD4">
      <w:pPr>
        <w:spacing w:after="240" w:line="360" w:lineRule="auto"/>
        <w:jc w:val="both"/>
        <w:rPr>
          <w:rFonts w:ascii="Arial" w:hAnsi="Arial" w:cs="Arial"/>
        </w:rPr>
      </w:pPr>
    </w:p>
    <w:p w14:paraId="1BF162EC" w14:textId="77777777" w:rsidR="00584AD4" w:rsidRPr="00584AD4" w:rsidRDefault="00584AD4" w:rsidP="00584AD4">
      <w:pPr>
        <w:spacing w:after="200" w:line="360" w:lineRule="auto"/>
        <w:jc w:val="both"/>
        <w:rPr>
          <w:rFonts w:ascii="Arial" w:hAnsi="Arial" w:cs="Arial"/>
        </w:rPr>
      </w:pPr>
    </w:p>
    <w:p w14:paraId="22336B3F" w14:textId="166CBC26" w:rsidR="001F5CC5" w:rsidRPr="00584AD4" w:rsidRDefault="001F5CC5" w:rsidP="004C44BA">
      <w:pPr>
        <w:spacing w:line="360" w:lineRule="auto"/>
        <w:jc w:val="both"/>
        <w:rPr>
          <w:rFonts w:ascii="Arial" w:hAnsi="Arial" w:cs="Arial"/>
          <w:b/>
          <w:bCs/>
          <w:sz w:val="28"/>
          <w:szCs w:val="28"/>
        </w:rPr>
      </w:pPr>
    </w:p>
    <w:sectPr w:rsidR="001F5CC5" w:rsidRPr="00584AD4"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A052F22" w14:textId="77777777" w:rsidR="006D3BCF" w:rsidRDefault="006D3BCF" w:rsidP="00BE6BE0">
      <w:pPr>
        <w:spacing w:after="0" w:line="240" w:lineRule="auto"/>
      </w:pPr>
      <w:r>
        <w:separator/>
      </w:r>
    </w:p>
  </w:endnote>
  <w:endnote w:type="continuationSeparator" w:id="0">
    <w:p w14:paraId="53FE0D44" w14:textId="77777777" w:rsidR="006D3BCF" w:rsidRDefault="006D3BCF"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等线">
    <w:altName w:val="MS Gothic"/>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等线 Light">
    <w:panose1 w:val="00000000000000000000"/>
    <w:charset w:val="80"/>
    <w:family w:val="roman"/>
    <w:notTrueType/>
    <w:pitch w:val="default"/>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04977449"/>
      <w:docPartObj>
        <w:docPartGallery w:val="Page Numbers (Bottom of Page)"/>
        <w:docPartUnique/>
      </w:docPartObj>
    </w:sdtPr>
    <w:sdtEndPr>
      <w:rPr>
        <w:rFonts w:ascii="Arial" w:hAnsi="Arial" w:cs="Arial"/>
        <w:noProof/>
        <w:sz w:val="20"/>
        <w:szCs w:val="20"/>
      </w:rPr>
    </w:sdtEndPr>
    <w:sdtContent>
      <w:p w14:paraId="767246AA" w14:textId="4C5DD82A" w:rsidR="00C572DA" w:rsidRPr="00C572DA" w:rsidRDefault="00C572DA" w:rsidP="00C572DA">
        <w:pPr>
          <w:pStyle w:val="Footer"/>
          <w:spacing w:line="360" w:lineRule="auto"/>
          <w:jc w:val="right"/>
          <w:rPr>
            <w:rFonts w:ascii="Arial" w:hAnsi="Arial" w:cs="Arial"/>
            <w:sz w:val="20"/>
            <w:szCs w:val="20"/>
          </w:rPr>
        </w:pPr>
        <w:r w:rsidRPr="00C572DA">
          <w:rPr>
            <w:rFonts w:ascii="Arial" w:hAnsi="Arial" w:cs="Arial"/>
            <w:sz w:val="20"/>
            <w:szCs w:val="20"/>
          </w:rPr>
          <w:fldChar w:fldCharType="begin"/>
        </w:r>
        <w:r w:rsidRPr="00C572DA">
          <w:rPr>
            <w:rFonts w:ascii="Arial" w:hAnsi="Arial" w:cs="Arial"/>
            <w:sz w:val="20"/>
            <w:szCs w:val="20"/>
          </w:rPr>
          <w:instrText xml:space="preserve"> PAGE   \* MERGEFORMAT </w:instrText>
        </w:r>
        <w:r w:rsidRPr="00C572DA">
          <w:rPr>
            <w:rFonts w:ascii="Arial" w:hAnsi="Arial" w:cs="Arial"/>
            <w:sz w:val="20"/>
            <w:szCs w:val="20"/>
          </w:rPr>
          <w:fldChar w:fldCharType="separate"/>
        </w:r>
        <w:r w:rsidR="009335B1">
          <w:rPr>
            <w:rFonts w:ascii="Arial" w:hAnsi="Arial" w:cs="Arial"/>
            <w:noProof/>
            <w:sz w:val="20"/>
            <w:szCs w:val="20"/>
          </w:rPr>
          <w:t>2</w:t>
        </w:r>
        <w:r w:rsidRPr="00C572DA">
          <w:rPr>
            <w:rFonts w:ascii="Arial" w:hAnsi="Arial" w:cs="Arial"/>
            <w:noProof/>
            <w:sz w:val="20"/>
            <w:szCs w:val="20"/>
          </w:rPr>
          <w:fldChar w:fldCharType="end"/>
        </w:r>
      </w:p>
    </w:sdtContent>
  </w:sdt>
  <w:p w14:paraId="4F3AE87D" w14:textId="77777777" w:rsidR="009E257B" w:rsidRDefault="009E257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2B72541" w14:textId="77777777" w:rsidR="006D3BCF" w:rsidRDefault="006D3BCF" w:rsidP="00BE6BE0">
      <w:pPr>
        <w:spacing w:after="0" w:line="240" w:lineRule="auto"/>
      </w:pPr>
      <w:r>
        <w:separator/>
      </w:r>
    </w:p>
  </w:footnote>
  <w:footnote w:type="continuationSeparator" w:id="0">
    <w:p w14:paraId="5DB51483" w14:textId="77777777" w:rsidR="006D3BCF" w:rsidRDefault="006D3BCF" w:rsidP="00BE6BE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6140E0"/>
    <w:multiLevelType w:val="hybridMultilevel"/>
    <w:tmpl w:val="1728C15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5"/>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000F"/>
    <w:rsid w:val="00023583"/>
    <w:rsid w:val="000464A0"/>
    <w:rsid w:val="00056EB1"/>
    <w:rsid w:val="00076C3B"/>
    <w:rsid w:val="000F5E2F"/>
    <w:rsid w:val="0011621F"/>
    <w:rsid w:val="00135D14"/>
    <w:rsid w:val="0014792D"/>
    <w:rsid w:val="001C7A20"/>
    <w:rsid w:val="001F5CC5"/>
    <w:rsid w:val="00230E8E"/>
    <w:rsid w:val="002767BF"/>
    <w:rsid w:val="00276D5A"/>
    <w:rsid w:val="002B76F4"/>
    <w:rsid w:val="00310143"/>
    <w:rsid w:val="0031545E"/>
    <w:rsid w:val="00324544"/>
    <w:rsid w:val="0033339C"/>
    <w:rsid w:val="00344319"/>
    <w:rsid w:val="00375508"/>
    <w:rsid w:val="003A000F"/>
    <w:rsid w:val="004C44BA"/>
    <w:rsid w:val="0054045B"/>
    <w:rsid w:val="005711F6"/>
    <w:rsid w:val="005849BA"/>
    <w:rsid w:val="00584AD4"/>
    <w:rsid w:val="00641884"/>
    <w:rsid w:val="00695278"/>
    <w:rsid w:val="006A6816"/>
    <w:rsid w:val="006D3BCF"/>
    <w:rsid w:val="00804A7F"/>
    <w:rsid w:val="00833470"/>
    <w:rsid w:val="008D2421"/>
    <w:rsid w:val="00925D5E"/>
    <w:rsid w:val="00927F88"/>
    <w:rsid w:val="009335B1"/>
    <w:rsid w:val="009C27B0"/>
    <w:rsid w:val="009E257B"/>
    <w:rsid w:val="00A126B3"/>
    <w:rsid w:val="00A6165E"/>
    <w:rsid w:val="00A82690"/>
    <w:rsid w:val="00AA7266"/>
    <w:rsid w:val="00AF06F6"/>
    <w:rsid w:val="00B43258"/>
    <w:rsid w:val="00B642EF"/>
    <w:rsid w:val="00BE6BE0"/>
    <w:rsid w:val="00C572DA"/>
    <w:rsid w:val="00C66A29"/>
    <w:rsid w:val="00C83A82"/>
    <w:rsid w:val="00C90812"/>
    <w:rsid w:val="00CF5FAF"/>
    <w:rsid w:val="00D22470"/>
    <w:rsid w:val="00D564B7"/>
    <w:rsid w:val="00D65664"/>
    <w:rsid w:val="00E24DB5"/>
    <w:rsid w:val="00E50D06"/>
    <w:rsid w:val="00EA6D24"/>
    <w:rsid w:val="00ED0D33"/>
    <w:rsid w:val="00EF3E35"/>
    <w:rsid w:val="00F34263"/>
    <w:rsid w:val="00F36D02"/>
    <w:rsid w:val="00F64F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C44BA"/>
    <w:pPr>
      <w:spacing w:after="0" w:line="360" w:lineRule="auto"/>
      <w:jc w:val="both"/>
      <w:outlineLvl w:val="0"/>
    </w:pPr>
    <w:rPr>
      <w:rFonts w:ascii="Arial" w:eastAsia="Arial" w:hAnsi="Arial" w:cs="Arial"/>
      <w:b/>
      <w:bCs/>
      <w:sz w:val="28"/>
      <w:szCs w:val="28"/>
      <w:lang w:eastAsia="en-IN"/>
    </w:rPr>
  </w:style>
  <w:style w:type="paragraph" w:styleId="Heading3">
    <w:name w:val="heading 3"/>
    <w:basedOn w:val="Normal"/>
    <w:next w:val="Normal"/>
    <w:link w:val="Heading3Char"/>
    <w:uiPriority w:val="9"/>
    <w:semiHidden/>
    <w:unhideWhenUsed/>
    <w:qFormat/>
    <w:rsid w:val="001C7A2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ListParagraph">
    <w:name w:val="List Paragraph"/>
    <w:basedOn w:val="Normal"/>
    <w:uiPriority w:val="34"/>
    <w:qFormat/>
    <w:rsid w:val="00641884"/>
    <w:pPr>
      <w:ind w:left="720"/>
      <w:contextualSpacing/>
    </w:pPr>
  </w:style>
  <w:style w:type="character" w:customStyle="1" w:styleId="Heading1Char">
    <w:name w:val="Heading 1 Char"/>
    <w:basedOn w:val="DefaultParagraphFont"/>
    <w:link w:val="Heading1"/>
    <w:uiPriority w:val="9"/>
    <w:rsid w:val="004C44BA"/>
    <w:rPr>
      <w:rFonts w:ascii="Arial" w:eastAsia="Arial" w:hAnsi="Arial" w:cs="Arial"/>
      <w:b/>
      <w:bCs/>
      <w:sz w:val="28"/>
      <w:szCs w:val="28"/>
      <w:lang w:eastAsia="en-IN"/>
    </w:rPr>
  </w:style>
  <w:style w:type="character" w:styleId="Hyperlink">
    <w:name w:val="Hyperlink"/>
    <w:basedOn w:val="DefaultParagraphFont"/>
    <w:uiPriority w:val="99"/>
    <w:unhideWhenUsed/>
    <w:rsid w:val="004C44BA"/>
    <w:rPr>
      <w:color w:val="0563C1" w:themeColor="hyperlink"/>
      <w:u w:val="single"/>
    </w:rPr>
  </w:style>
  <w:style w:type="paragraph" w:styleId="TOCHeading">
    <w:name w:val="TOC Heading"/>
    <w:basedOn w:val="Heading1"/>
    <w:next w:val="Normal"/>
    <w:uiPriority w:val="39"/>
    <w:unhideWhenUsed/>
    <w:qFormat/>
    <w:rsid w:val="004C44BA"/>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4C44BA"/>
    <w:pPr>
      <w:spacing w:after="100"/>
    </w:pPr>
  </w:style>
  <w:style w:type="character" w:customStyle="1" w:styleId="Heading3Char">
    <w:name w:val="Heading 3 Char"/>
    <w:basedOn w:val="DefaultParagraphFont"/>
    <w:link w:val="Heading3"/>
    <w:uiPriority w:val="9"/>
    <w:semiHidden/>
    <w:rsid w:val="001C7A20"/>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1C7A20"/>
    <w:pPr>
      <w:spacing w:after="0" w:line="240" w:lineRule="auto"/>
    </w:pPr>
    <w:rPr>
      <w:lang w:val="en-US" w:eastAsia="en-US"/>
    </w:rPr>
  </w:style>
  <w:style w:type="character" w:customStyle="1" w:styleId="NoSpacingChar">
    <w:name w:val="No Spacing Char"/>
    <w:basedOn w:val="DefaultParagraphFont"/>
    <w:link w:val="NoSpacing"/>
    <w:uiPriority w:val="1"/>
    <w:rsid w:val="001C7A20"/>
    <w:rPr>
      <w:lang w:val="en-US" w:eastAsia="en-US"/>
    </w:rPr>
  </w:style>
  <w:style w:type="character" w:styleId="Strong">
    <w:name w:val="Strong"/>
    <w:basedOn w:val="DefaultParagraphFont"/>
    <w:uiPriority w:val="22"/>
    <w:qFormat/>
    <w:rsid w:val="00375508"/>
    <w:rPr>
      <w:b/>
      <w:bCs/>
    </w:rPr>
  </w:style>
  <w:style w:type="character" w:styleId="Emphasis">
    <w:name w:val="Emphasis"/>
    <w:basedOn w:val="DefaultParagraphFont"/>
    <w:uiPriority w:val="20"/>
    <w:qFormat/>
    <w:rsid w:val="00023583"/>
    <w:rPr>
      <w:i/>
      <w:iCs/>
    </w:rPr>
  </w:style>
  <w:style w:type="paragraph" w:customStyle="1" w:styleId="pdq2pgselectionanchorcontainer">
    <w:name w:val="pdq2pg_selectionanchorcontainer"/>
    <w:basedOn w:val="Normal"/>
    <w:rsid w:val="00230E8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34078484">
      <w:bodyDiv w:val="1"/>
      <w:marLeft w:val="0"/>
      <w:marRight w:val="0"/>
      <w:marTop w:val="0"/>
      <w:marBottom w:val="0"/>
      <w:divBdr>
        <w:top w:val="none" w:sz="0" w:space="0" w:color="auto"/>
        <w:left w:val="none" w:sz="0" w:space="0" w:color="auto"/>
        <w:bottom w:val="none" w:sz="0" w:space="0" w:color="auto"/>
        <w:right w:val="none" w:sz="0" w:space="0" w:color="auto"/>
      </w:divBdr>
      <w:divsChild>
        <w:div w:id="1649552494">
          <w:marLeft w:val="0"/>
          <w:marRight w:val="0"/>
          <w:marTop w:val="0"/>
          <w:marBottom w:val="0"/>
          <w:divBdr>
            <w:top w:val="none" w:sz="0" w:space="0" w:color="auto"/>
            <w:left w:val="none" w:sz="0" w:space="0" w:color="auto"/>
            <w:bottom w:val="none" w:sz="0" w:space="0" w:color="auto"/>
            <w:right w:val="none" w:sz="0" w:space="0" w:color="auto"/>
          </w:divBdr>
          <w:divsChild>
            <w:div w:id="1046880768">
              <w:marLeft w:val="0"/>
              <w:marRight w:val="0"/>
              <w:marTop w:val="0"/>
              <w:marBottom w:val="0"/>
              <w:divBdr>
                <w:top w:val="none" w:sz="0" w:space="0" w:color="auto"/>
                <w:left w:val="none" w:sz="0" w:space="0" w:color="auto"/>
                <w:bottom w:val="none" w:sz="0" w:space="0" w:color="auto"/>
                <w:right w:val="none" w:sz="0" w:space="0" w:color="auto"/>
              </w:divBdr>
              <w:divsChild>
                <w:div w:id="2003662221">
                  <w:marLeft w:val="0"/>
                  <w:marRight w:val="0"/>
                  <w:marTop w:val="0"/>
                  <w:marBottom w:val="0"/>
                  <w:divBdr>
                    <w:top w:val="none" w:sz="0" w:space="0" w:color="auto"/>
                    <w:left w:val="none" w:sz="0" w:space="0" w:color="auto"/>
                    <w:bottom w:val="none" w:sz="0" w:space="0" w:color="auto"/>
                    <w:right w:val="none" w:sz="0" w:space="0" w:color="auto"/>
                  </w:divBdr>
                  <w:divsChild>
                    <w:div w:id="1768649492">
                      <w:marLeft w:val="0"/>
                      <w:marRight w:val="0"/>
                      <w:marTop w:val="0"/>
                      <w:marBottom w:val="0"/>
                      <w:divBdr>
                        <w:top w:val="none" w:sz="0" w:space="0" w:color="auto"/>
                        <w:left w:val="none" w:sz="0" w:space="0" w:color="auto"/>
                        <w:bottom w:val="none" w:sz="0" w:space="0" w:color="auto"/>
                        <w:right w:val="none" w:sz="0" w:space="0" w:color="auto"/>
                      </w:divBdr>
                      <w:divsChild>
                        <w:div w:id="1175265488">
                          <w:marLeft w:val="0"/>
                          <w:marRight w:val="0"/>
                          <w:marTop w:val="0"/>
                          <w:marBottom w:val="0"/>
                          <w:divBdr>
                            <w:top w:val="none" w:sz="0" w:space="0" w:color="auto"/>
                            <w:left w:val="none" w:sz="0" w:space="0" w:color="auto"/>
                            <w:bottom w:val="none" w:sz="0" w:space="0" w:color="auto"/>
                            <w:right w:val="none" w:sz="0" w:space="0" w:color="auto"/>
                          </w:divBdr>
                          <w:divsChild>
                            <w:div w:id="1567063494">
                              <w:marLeft w:val="0"/>
                              <w:marRight w:val="0"/>
                              <w:marTop w:val="0"/>
                              <w:marBottom w:val="0"/>
                              <w:divBdr>
                                <w:top w:val="none" w:sz="0" w:space="0" w:color="auto"/>
                                <w:left w:val="none" w:sz="0" w:space="0" w:color="auto"/>
                                <w:bottom w:val="none" w:sz="0" w:space="0" w:color="auto"/>
                                <w:right w:val="none" w:sz="0" w:space="0" w:color="auto"/>
                              </w:divBdr>
                              <w:divsChild>
                                <w:div w:id="1726876642">
                                  <w:marLeft w:val="0"/>
                                  <w:marRight w:val="0"/>
                                  <w:marTop w:val="0"/>
                                  <w:marBottom w:val="0"/>
                                  <w:divBdr>
                                    <w:top w:val="none" w:sz="0" w:space="0" w:color="auto"/>
                                    <w:left w:val="none" w:sz="0" w:space="0" w:color="auto"/>
                                    <w:bottom w:val="none" w:sz="0" w:space="0" w:color="auto"/>
                                    <w:right w:val="none" w:sz="0" w:space="0" w:color="auto"/>
                                  </w:divBdr>
                                  <w:divsChild>
                                    <w:div w:id="996230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21756607">
      <w:bodyDiv w:val="1"/>
      <w:marLeft w:val="0"/>
      <w:marRight w:val="0"/>
      <w:marTop w:val="0"/>
      <w:marBottom w:val="0"/>
      <w:divBdr>
        <w:top w:val="none" w:sz="0" w:space="0" w:color="auto"/>
        <w:left w:val="none" w:sz="0" w:space="0" w:color="auto"/>
        <w:bottom w:val="none" w:sz="0" w:space="0" w:color="auto"/>
        <w:right w:val="none" w:sz="0" w:space="0" w:color="auto"/>
      </w:divBdr>
    </w:div>
    <w:div w:id="998465743">
      <w:bodyDiv w:val="1"/>
      <w:marLeft w:val="0"/>
      <w:marRight w:val="0"/>
      <w:marTop w:val="0"/>
      <w:marBottom w:val="0"/>
      <w:divBdr>
        <w:top w:val="none" w:sz="0" w:space="0" w:color="auto"/>
        <w:left w:val="none" w:sz="0" w:space="0" w:color="auto"/>
        <w:bottom w:val="none" w:sz="0" w:space="0" w:color="auto"/>
        <w:right w:val="none" w:sz="0" w:space="0" w:color="auto"/>
      </w:divBdr>
    </w:div>
    <w:div w:id="1220358194">
      <w:bodyDiv w:val="1"/>
      <w:marLeft w:val="0"/>
      <w:marRight w:val="0"/>
      <w:marTop w:val="0"/>
      <w:marBottom w:val="0"/>
      <w:divBdr>
        <w:top w:val="none" w:sz="0" w:space="0" w:color="auto"/>
        <w:left w:val="none" w:sz="0" w:space="0" w:color="auto"/>
        <w:bottom w:val="none" w:sz="0" w:space="0" w:color="auto"/>
        <w:right w:val="none" w:sz="0" w:space="0" w:color="auto"/>
      </w:divBdr>
      <w:divsChild>
        <w:div w:id="2118254647">
          <w:marLeft w:val="0"/>
          <w:marRight w:val="0"/>
          <w:marTop w:val="0"/>
          <w:marBottom w:val="0"/>
          <w:divBdr>
            <w:top w:val="none" w:sz="0" w:space="0" w:color="auto"/>
            <w:left w:val="none" w:sz="0" w:space="0" w:color="auto"/>
            <w:bottom w:val="none" w:sz="0" w:space="0" w:color="auto"/>
            <w:right w:val="none" w:sz="0" w:space="0" w:color="auto"/>
          </w:divBdr>
          <w:divsChild>
            <w:div w:id="1913468031">
              <w:marLeft w:val="0"/>
              <w:marRight w:val="0"/>
              <w:marTop w:val="0"/>
              <w:marBottom w:val="0"/>
              <w:divBdr>
                <w:top w:val="none" w:sz="0" w:space="0" w:color="auto"/>
                <w:left w:val="none" w:sz="0" w:space="0" w:color="auto"/>
                <w:bottom w:val="none" w:sz="0" w:space="0" w:color="auto"/>
                <w:right w:val="none" w:sz="0" w:space="0" w:color="auto"/>
              </w:divBdr>
              <w:divsChild>
                <w:div w:id="558709303">
                  <w:marLeft w:val="0"/>
                  <w:marRight w:val="0"/>
                  <w:marTop w:val="0"/>
                  <w:marBottom w:val="0"/>
                  <w:divBdr>
                    <w:top w:val="none" w:sz="0" w:space="0" w:color="auto"/>
                    <w:left w:val="none" w:sz="0" w:space="0" w:color="auto"/>
                    <w:bottom w:val="none" w:sz="0" w:space="0" w:color="auto"/>
                    <w:right w:val="none" w:sz="0" w:space="0" w:color="auto"/>
                  </w:divBdr>
                  <w:divsChild>
                    <w:div w:id="500044345">
                      <w:marLeft w:val="0"/>
                      <w:marRight w:val="0"/>
                      <w:marTop w:val="0"/>
                      <w:marBottom w:val="0"/>
                      <w:divBdr>
                        <w:top w:val="none" w:sz="0" w:space="0" w:color="auto"/>
                        <w:left w:val="none" w:sz="0" w:space="0" w:color="auto"/>
                        <w:bottom w:val="none" w:sz="0" w:space="0" w:color="auto"/>
                        <w:right w:val="none" w:sz="0" w:space="0" w:color="auto"/>
                      </w:divBdr>
                      <w:divsChild>
                        <w:div w:id="333647056">
                          <w:marLeft w:val="0"/>
                          <w:marRight w:val="0"/>
                          <w:marTop w:val="0"/>
                          <w:marBottom w:val="0"/>
                          <w:divBdr>
                            <w:top w:val="none" w:sz="0" w:space="0" w:color="auto"/>
                            <w:left w:val="none" w:sz="0" w:space="0" w:color="auto"/>
                            <w:bottom w:val="none" w:sz="0" w:space="0" w:color="auto"/>
                            <w:right w:val="none" w:sz="0" w:space="0" w:color="auto"/>
                          </w:divBdr>
                          <w:divsChild>
                            <w:div w:id="955865074">
                              <w:marLeft w:val="0"/>
                              <w:marRight w:val="0"/>
                              <w:marTop w:val="0"/>
                              <w:marBottom w:val="0"/>
                              <w:divBdr>
                                <w:top w:val="none" w:sz="0" w:space="0" w:color="auto"/>
                                <w:left w:val="none" w:sz="0" w:space="0" w:color="auto"/>
                                <w:bottom w:val="none" w:sz="0" w:space="0" w:color="auto"/>
                                <w:right w:val="none" w:sz="0" w:space="0" w:color="auto"/>
                              </w:divBdr>
                              <w:divsChild>
                                <w:div w:id="1194080074">
                                  <w:marLeft w:val="0"/>
                                  <w:marRight w:val="0"/>
                                  <w:marTop w:val="0"/>
                                  <w:marBottom w:val="0"/>
                                  <w:divBdr>
                                    <w:top w:val="none" w:sz="0" w:space="0" w:color="auto"/>
                                    <w:left w:val="none" w:sz="0" w:space="0" w:color="auto"/>
                                    <w:bottom w:val="none" w:sz="0" w:space="0" w:color="auto"/>
                                    <w:right w:val="none" w:sz="0" w:space="0" w:color="auto"/>
                                  </w:divBdr>
                                  <w:divsChild>
                                    <w:div w:id="540943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pe.org.uk/funding-and-reimbursement/pharmacy-funding/independent-economic-review/?utm_source=chatgpt.com" TargetMode="External"/><Relationship Id="rId18" Type="http://schemas.openxmlformats.org/officeDocument/2006/relationships/hyperlink" Target="https://pharmaceutical-journal.com/article/news/growth-in-pharmacy-first-consultations-not-sustainable" TargetMode="External"/><Relationship Id="rId26" Type="http://schemas.openxmlformats.org/officeDocument/2006/relationships/hyperlink" Target="https://www.statista.com/statistics/418071/community-pharmacies-in-england/" TargetMode="External"/><Relationship Id="rId39" Type="http://schemas.openxmlformats.org/officeDocument/2006/relationships/hyperlink" Target="https://doi.org/10.1046/j.1365-2524.1998.00126.x" TargetMode="External"/><Relationship Id="rId21" Type="http://schemas.openxmlformats.org/officeDocument/2006/relationships/hyperlink" Target="https://www.sciencedirect.com/science/article/pii/S2667276623001853" TargetMode="External"/><Relationship Id="rId34" Type="http://schemas.openxmlformats.org/officeDocument/2006/relationships/hyperlink" Target="https://www.yourhealthyourpharmacy.co.uk/community-pharmacy-past-present-and-future-3/" TargetMode="External"/><Relationship Id="rId42" Type="http://schemas.openxmlformats.org/officeDocument/2006/relationships/hyperlink" Target="https://journals.plos.org/plosone/article/file?id=10.1371/journal.pone.0291228&amp;type=printable"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ngland.nhs.uk/primary-care/pharmacy/pharmacy-services/pharmacy-first/" TargetMode="External"/><Relationship Id="rId29" Type="http://schemas.openxmlformats.org/officeDocument/2006/relationships/hyperlink" Target="https://www.england.nhs.uk/primary-care/pharmacy/pharmacy-services/pharmacy-firs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cpe.org.uk/funding-and-reimbursement/pharmacy-funding/independent-economic-review/?utm_source=chatgpt.com" TargetMode="External"/><Relationship Id="rId32" Type="http://schemas.openxmlformats.org/officeDocument/2006/relationships/hyperlink" Target="https://www.sciencedirect.com/science/article/pii/S2667276623001853" TargetMode="External"/><Relationship Id="rId37" Type="http://schemas.openxmlformats.org/officeDocument/2006/relationships/hyperlink" Target="https://history.blog.gov.uk/2023/07/13/the-founding-of-the-nhs-75-years-on/" TargetMode="External"/><Relationship Id="rId40" Type="http://schemas.openxmlformats.org/officeDocument/2006/relationships/hyperlink" Target="https://www.theguardian.com/society/2025/jan/12/ambulance-crews-stuck-at-ae-miss-thousands-of-999-calls-a-day-in-england" TargetMode="External"/><Relationship Id="rId45" Type="http://schemas.openxmlformats.org/officeDocument/2006/relationships/hyperlink" Target="https://onlinelibrary.wiley.com/doi/pdfdirect/10.1002/cl2.1316" TargetMode="External"/><Relationship Id="rId5" Type="http://schemas.openxmlformats.org/officeDocument/2006/relationships/webSettings" Target="webSettings.xml"/><Relationship Id="rId15" Type="http://schemas.openxmlformats.org/officeDocument/2006/relationships/hyperlink" Target="https://www.statista.com/statistics/418071/community-pharmacies-in-england/" TargetMode="External"/><Relationship Id="rId23" Type="http://schemas.openxmlformats.org/officeDocument/2006/relationships/hyperlink" Target="https://www.yourhealthyourpharmacy.co.uk/community-pharmacy-past-present-and-future-3/" TargetMode="External"/><Relationship Id="rId28" Type="http://schemas.openxmlformats.org/officeDocument/2006/relationships/hyperlink" Target="https://www.england.nhs.uk/primary-care/pharmacy/pharmacy-services/pharmacy-first/" TargetMode="External"/><Relationship Id="rId36" Type="http://schemas.openxmlformats.org/officeDocument/2006/relationships/hyperlink" Target="https://www.researchgate.net/profile/Oemer-Faruk-Alacahan/publication/389484736_Ambulance_Services_in_the_Context_of_Occupational_Health_and_Safety_and_Risks_Faced_by_Ambulance_Attendants/links/67c3724796e7fb48b9d5593d/Ambulance-Services-in-the-Context-of-Occupational-Health-and-Safety-and-Risks-Faced-by-Ambulance-Attendants.pdf" TargetMode="External"/><Relationship Id="rId10" Type="http://schemas.openxmlformats.org/officeDocument/2006/relationships/image" Target="media/image2.png"/><Relationship Id="rId19" Type="http://schemas.openxmlformats.org/officeDocument/2006/relationships/hyperlink" Target="https://pharmaceutical-journal.com/article/news/growth-in-pharmacy-first-consultations-not-sustainable" TargetMode="External"/><Relationship Id="rId31" Type="http://schemas.openxmlformats.org/officeDocument/2006/relationships/hyperlink" Target="https://pharmaceutical-journal.com/article/news/growth-in-pharmacy-first-consultations-not-sustainable" TargetMode="External"/><Relationship Id="rId44" Type="http://schemas.openxmlformats.org/officeDocument/2006/relationships/hyperlink" Target="https://www.termedia.pl/Journal/-128/pdf-50822-10?filename=587_117447.pdf"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statista.com/statistics/418071/community-pharmacies-in-england/" TargetMode="External"/><Relationship Id="rId22" Type="http://schemas.openxmlformats.org/officeDocument/2006/relationships/hyperlink" Target="https://www.yourhealthyourpharmacy.co.uk/community-pharmacy-past-present-and-future-3/" TargetMode="External"/><Relationship Id="rId27" Type="http://schemas.openxmlformats.org/officeDocument/2006/relationships/hyperlink" Target="https://www.statista.com/statistics/418071/community-pharmacies-in-england/" TargetMode="External"/><Relationship Id="rId30" Type="http://schemas.openxmlformats.org/officeDocument/2006/relationships/hyperlink" Target="https://pharmaceutical-journal.com/article/news/growth-in-pharmacy-first-consultations-not-sustainable" TargetMode="External"/><Relationship Id="rId35" Type="http://schemas.openxmlformats.org/officeDocument/2006/relationships/hyperlink" Target="https://www.yourhealthyourpharmacy.co.uk/community-pharmacy-past-present-and-future-3/" TargetMode="External"/><Relationship Id="rId43" Type="http://schemas.openxmlformats.org/officeDocument/2006/relationships/hyperlink" Target="https://thenhsalliance.org/resources/nhs-activity-tracker-202425/august-2024/ambulance-sector" TargetMode="Externa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cpe.org.uk/funding-and-reimbursement/pharmacy-funding/independent-economic-review/?utm_source=chatgpt.com" TargetMode="External"/><Relationship Id="rId17" Type="http://schemas.openxmlformats.org/officeDocument/2006/relationships/hyperlink" Target="https://www.england.nhs.uk/primary-care/pharmacy/pharmacy-services/pharmacy-first/" TargetMode="External"/><Relationship Id="rId25" Type="http://schemas.openxmlformats.org/officeDocument/2006/relationships/hyperlink" Target="https://cpe.org.uk/funding-and-reimbursement/pharmacy-funding/independent-economic-review/?utm_source=chatgpt.com" TargetMode="External"/><Relationship Id="rId33" Type="http://schemas.openxmlformats.org/officeDocument/2006/relationships/hyperlink" Target="https://www.sciencedirect.com/science/article/pii/S2667276623001853" TargetMode="External"/><Relationship Id="rId38" Type="http://schemas.openxmlformats.org/officeDocument/2006/relationships/hyperlink" Target="https://www.sciencedirect.com/science/article/pii/S251466452400331X" TargetMode="External"/><Relationship Id="rId46" Type="http://schemas.openxmlformats.org/officeDocument/2006/relationships/hyperlink" Target="https://onlinelibrary.wiley.com/doi/pdf/10.1111/jan.16528" TargetMode="External"/><Relationship Id="rId20" Type="http://schemas.openxmlformats.org/officeDocument/2006/relationships/hyperlink" Target="https://www.sciencedirect.com/science/article/pii/S2667276623001853" TargetMode="External"/><Relationship Id="rId41" Type="http://schemas.openxmlformats.org/officeDocument/2006/relationships/hyperlink" Target="https://onlinelibrary.wiley.com/doi/pdf/10.1111/hsc.139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F148D8E-BF72-4F09-B233-5E199B6F9D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2525</TotalTime>
  <Pages>9</Pages>
  <Words>1501</Words>
  <Characters>8560</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7</cp:revision>
  <dcterms:created xsi:type="dcterms:W3CDTF">2026-07-17T17:29:00Z</dcterms:created>
  <dcterms:modified xsi:type="dcterms:W3CDTF">2026-07-19T14:05:00Z</dcterms:modified>
</cp:coreProperties>
</file>