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356083575"/>
        <w:docPartObj>
          <w:docPartGallery w:val="Cover Pages"/>
          <w:docPartUnique/>
        </w:docPartObj>
      </w:sdtPr>
      <w:sdtEndPr>
        <w:rPr>
          <w:b/>
          <w:bCs/>
          <w:color w:val="auto"/>
          <w:sz w:val="28"/>
          <w:szCs w:val="28"/>
          <w:u w:val="single"/>
        </w:rPr>
      </w:sdtEndPr>
      <w:sdtContent>
        <w:p w14:paraId="0BA32FEB" w14:textId="39A35DCB" w:rsidR="009C7623" w:rsidRPr="00A456A6" w:rsidRDefault="00A456A6" w:rsidP="00A456A6">
          <w:pPr>
            <w:pStyle w:val="NoSpacing"/>
            <w:spacing w:before="1540" w:after="240"/>
            <w:jc w:val="center"/>
            <w:rPr>
              <w:color w:val="4472C4" w:themeColor="accent1"/>
            </w:rPr>
          </w:pPr>
          <w:r w:rsidRPr="00A456A6">
            <w:rPr>
              <w:noProof/>
              <w:color w:val="4472C4" w:themeColor="accent1"/>
            </w:rPr>
            <mc:AlternateContent>
              <mc:Choice Requires="wps">
                <w:drawing>
                  <wp:anchor distT="45720" distB="45720" distL="114300" distR="114300" simplePos="0" relativeHeight="251748352" behindDoc="0" locked="0" layoutInCell="1" allowOverlap="1" wp14:anchorId="646132C2" wp14:editId="1EC6F82E">
                    <wp:simplePos x="0" y="0"/>
                    <wp:positionH relativeFrom="column">
                      <wp:posOffset>0</wp:posOffset>
                    </wp:positionH>
                    <wp:positionV relativeFrom="paragraph">
                      <wp:posOffset>1838325</wp:posOffset>
                    </wp:positionV>
                    <wp:extent cx="5838825" cy="1404620"/>
                    <wp:effectExtent l="0" t="0" r="9525" b="31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8825" cy="1404620"/>
                            </a:xfrm>
                            <a:prstGeom prst="rect">
                              <a:avLst/>
                            </a:prstGeom>
                            <a:solidFill>
                              <a:srgbClr val="FFFFFF"/>
                            </a:solidFill>
                            <a:ln w="9525">
                              <a:noFill/>
                              <a:miter lim="800000"/>
                              <a:headEnd/>
                              <a:tailEnd/>
                            </a:ln>
                          </wps:spPr>
                          <wps:txbx>
                            <w:txbxContent>
                              <w:p w14:paraId="7451529A" w14:textId="759D3B29" w:rsidR="00536485" w:rsidRPr="00A456A6" w:rsidRDefault="00536485" w:rsidP="00A456A6">
                                <w:pPr>
                                  <w:jc w:val="center"/>
                                  <w:rPr>
                                    <w:sz w:val="72"/>
                                    <w:szCs w:val="72"/>
                                  </w:rPr>
                                </w:pPr>
                                <w:r w:rsidRPr="00A456A6">
                                  <w:rPr>
                                    <w:sz w:val="72"/>
                                    <w:szCs w:val="72"/>
                                  </w:rPr>
                                  <w:t>TUTANKHAMU</w:t>
                                </w:r>
                                <w:r>
                                  <w:rPr>
                                    <w:sz w:val="72"/>
                                    <w:szCs w:val="72"/>
                                  </w:rPr>
                                  <w:t>N</w:t>
                                </w:r>
                                <w:r w:rsidRPr="00A456A6">
                                  <w:rPr>
                                    <w:sz w:val="72"/>
                                    <w:szCs w:val="72"/>
                                  </w:rPr>
                                  <w:t xml:space="preserve"> THE GOLDEN JACKPOT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46132C2" id="_x0000_t202" coordsize="21600,21600" o:spt="202" path="m,l,21600r21600,l21600,xe">
                    <v:stroke joinstyle="miter"/>
                    <v:path gradientshapeok="t" o:connecttype="rect"/>
                  </v:shapetype>
                  <v:shape id="Text Box 2" o:spid="_x0000_s1026" type="#_x0000_t202" style="position:absolute;left:0;text-align:left;margin-left:0;margin-top:144.75pt;width:459.75pt;height:110.6pt;z-index:2517483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" stroked="f">
                    <v:textbox style="mso-fit-shape-to-text:t">
                      <w:txbxContent>
                        <w:p w14:paraId="7451529A" w14:textId="759D3B29" w:rsidR="00536485" w:rsidRPr="00A456A6" w:rsidRDefault="00536485" w:rsidP="00A456A6">
                          <w:pPr>
                            <w:jc w:val="center"/>
                            <w:rPr>
                              <w:sz w:val="72"/>
                              <w:szCs w:val="72"/>
                            </w:rPr>
                          </w:pPr>
                          <w:r w:rsidRPr="00A456A6">
                            <w:rPr>
                              <w:sz w:val="72"/>
                              <w:szCs w:val="72"/>
                            </w:rPr>
                            <w:t>TUTANKHAMU</w:t>
                          </w:r>
                          <w:r>
                            <w:rPr>
                              <w:sz w:val="72"/>
                              <w:szCs w:val="72"/>
                            </w:rPr>
                            <w:t>N</w:t>
                          </w:r>
                          <w:r w:rsidRPr="00A456A6">
                            <w:rPr>
                              <w:sz w:val="72"/>
                              <w:szCs w:val="72"/>
                            </w:rPr>
                            <w:t xml:space="preserve"> THE GOLDEN JACKPOT</w:t>
                          </w:r>
                        </w:p>
                      </w:txbxContent>
                    </v:textbox>
                    <w10:wrap type="square"/>
                  </v:shape>
                </w:pict>
              </mc:Fallback>
            </mc:AlternateContent>
          </w:r>
          <w:r w:rsidR="009C7623">
            <w:rPr>
              <w:noProof/>
              <w:color w:val="4472C4" w:themeColor="accent1"/>
            </w:rPr>
            <w:drawing>
              <wp:inline distT="0" distB="0" distL="0" distR="0" wp14:anchorId="4DC28A33" wp14:editId="3846C07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w:hAnsi="Calibri" w:cs="Calibri"/>
              <w:color w:val="000000"/>
              <w:shd w:val="clear" w:color="auto" w:fill="FFFFFF"/>
            </w:rPr>
            <w:alias w:val="Subtitle"/>
            <w:tag w:val=""/>
            <w:id w:val="328029620"/>
            <w:placeholder>
              <w:docPart w:val="F6192B83C55D405E985E9D0A087E15A0"/>
            </w:placeholder>
            <w:dataBinding w:prefixMappings="xmlns:ns0='http://purl.org/dc/elements/1.1/' xmlns:ns1='http://schemas.openxmlformats.org/package/2006/metadata/core-properties' " w:xpath="/ns1:coreProperties[1]/ns0:subject[1]" w:storeItemID="{6C3C8BC8-F283-45AE-878A-BAB7291924A1}"/>
            <w:text/>
          </w:sdtPr>
          <w:sdtEndPr/>
          <w:sdtContent>
            <w:p w14:paraId="0E721321" w14:textId="45A94A18" w:rsidR="009C7623" w:rsidRDefault="00A456A6">
              <w:pPr>
                <w:pStyle w:val="NoSpacing"/>
                <w:jc w:val="center"/>
                <w:rPr>
                  <w:color w:val="4472C4" w:themeColor="accent1"/>
                  <w:sz w:val="28"/>
                  <w:szCs w:val="28"/>
                </w:rPr>
              </w:pPr>
              <w:r>
                <w:rPr>
                  <w:rFonts w:ascii="Calibri" w:hAnsi="Calibri" w:cs="Calibri"/>
                  <w:color w:val="000000"/>
                  <w:shd w:val="clear" w:color="auto" w:fill="FFFFFF"/>
                </w:rPr>
                <w:t>T</w:t>
              </w:r>
              <w:r w:rsidRPr="00A456A6">
                <w:rPr>
                  <w:rFonts w:ascii="Calibri" w:hAnsi="Calibri" w:cs="Calibri"/>
                  <w:color w:val="000000"/>
                  <w:shd w:val="clear" w:color="auto" w:fill="FFFFFF"/>
                </w:rPr>
                <w:t xml:space="preserve">he exploitation of Tutankhamun </w:t>
              </w:r>
              <w:r>
                <w:rPr>
                  <w:rFonts w:ascii="Calibri" w:hAnsi="Calibri" w:cs="Calibri"/>
                  <w:color w:val="000000"/>
                  <w:shd w:val="clear" w:color="auto" w:fill="FFFFFF"/>
                </w:rPr>
                <w:t xml:space="preserve">which </w:t>
              </w:r>
              <w:r w:rsidRPr="00A456A6">
                <w:rPr>
                  <w:rFonts w:ascii="Calibri" w:hAnsi="Calibri" w:cs="Calibri"/>
                  <w:color w:val="000000"/>
                  <w:shd w:val="clear" w:color="auto" w:fill="FFFFFF"/>
                </w:rPr>
                <w:t xml:space="preserve">lead him </w:t>
              </w:r>
              <w:r>
                <w:rPr>
                  <w:rFonts w:ascii="Calibri" w:hAnsi="Calibri" w:cs="Calibri"/>
                  <w:color w:val="000000"/>
                  <w:shd w:val="clear" w:color="auto" w:fill="FFFFFF"/>
                </w:rPr>
                <w:t xml:space="preserve">to </w:t>
              </w:r>
              <w:r w:rsidRPr="00A456A6">
                <w:rPr>
                  <w:rFonts w:ascii="Calibri" w:hAnsi="Calibri" w:cs="Calibri"/>
                  <w:color w:val="000000"/>
                  <w:shd w:val="clear" w:color="auto" w:fill="FFFFFF"/>
                </w:rPr>
                <w:t>becom</w:t>
              </w:r>
              <w:r>
                <w:rPr>
                  <w:rFonts w:ascii="Calibri" w:hAnsi="Calibri" w:cs="Calibri"/>
                  <w:color w:val="000000"/>
                  <w:shd w:val="clear" w:color="auto" w:fill="FFFFFF"/>
                </w:rPr>
                <w:t>e</w:t>
              </w:r>
              <w:r w:rsidRPr="00A456A6">
                <w:rPr>
                  <w:rFonts w:ascii="Calibri" w:hAnsi="Calibri" w:cs="Calibri"/>
                  <w:color w:val="000000"/>
                  <w:shd w:val="clear" w:color="auto" w:fill="FFFFFF"/>
                </w:rPr>
                <w:t xml:space="preserve"> a western commodity and a source of income</w:t>
              </w:r>
              <w:r>
                <w:rPr>
                  <w:rFonts w:ascii="Calibri" w:hAnsi="Calibri" w:cs="Calibri"/>
                  <w:color w:val="000000"/>
                  <w:shd w:val="clear" w:color="auto" w:fill="FFFFFF"/>
                </w:rPr>
                <w:t>.</w:t>
              </w:r>
            </w:p>
          </w:sdtContent>
        </w:sdt>
        <w:p w14:paraId="49549AC6" w14:textId="1B80DCCD" w:rsidR="009C7623" w:rsidRDefault="009C7623">
          <w:pPr>
            <w:pStyle w:val="NoSpacing"/>
            <w:spacing w:before="480"/>
            <w:jc w:val="center"/>
            <w:rPr>
              <w:color w:val="4472C4" w:themeColor="accent1"/>
            </w:rPr>
          </w:pPr>
          <w:r>
            <w:rPr>
              <w:noProof/>
              <w:color w:val="4472C4" w:themeColor="accent1"/>
            </w:rPr>
            <w:drawing>
              <wp:inline distT="0" distB="0" distL="0" distR="0" wp14:anchorId="0BF74E4E" wp14:editId="1C087A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a:noFill/>
                        <a:ln>
                          <a:noFill/>
                        </a:ln>
                      </pic:spPr>
                    </pic:pic>
                  </a:graphicData>
                </a:graphic>
              </wp:inline>
            </w:drawing>
          </w:r>
        </w:p>
        <w:p w14:paraId="7F0B58AC" w14:textId="5E3EFECB" w:rsidR="009C7623" w:rsidRDefault="009C7623">
          <w:pPr>
            <w:rPr>
              <w:b/>
              <w:bCs/>
              <w:sz w:val="28"/>
              <w:szCs w:val="28"/>
              <w:u w:val="single"/>
            </w:rPr>
          </w:pPr>
          <w:r>
            <w:rPr>
              <w:noProof/>
              <w:color w:val="4472C4" w:themeColor="accent1"/>
            </w:rPr>
            <mc:AlternateContent>
              <mc:Choice Requires="wps">
                <w:drawing>
                  <wp:anchor distT="0" distB="0" distL="114300" distR="114300" simplePos="0" relativeHeight="251746304" behindDoc="0" locked="0" layoutInCell="1" allowOverlap="1" wp14:anchorId="2295C8A8" wp14:editId="7D42D8E2">
                    <wp:simplePos x="0" y="0"/>
                    <wp:positionH relativeFrom="margin">
                      <wp:posOffset>0</wp:posOffset>
                    </wp:positionH>
                    <wp:positionV relativeFrom="page">
                      <wp:posOffset>5695950</wp:posOffset>
                    </wp:positionV>
                    <wp:extent cx="6553200" cy="3838575"/>
                    <wp:effectExtent l="0" t="0" r="2540" b="9525"/>
                    <wp:wrapNone/>
                    <wp:docPr id="142" name="Text Box 142"/>
                    <wp:cNvGraphicFramePr/>
                    <a:graphic xmlns:a="http://schemas.openxmlformats.org/drawingml/2006/main">
                      <a:graphicData uri="http://schemas.microsoft.com/office/word/2010/wordprocessingShape">
                        <wps:wsp>
                          <wps:cNvSpPr txBox="1"/>
                          <wps:spPr>
                            <a:xfrm>
                              <a:off x="0" y="0"/>
                              <a:ext cx="6553200" cy="3838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DE0984" w14:textId="77777777" w:rsidR="00536485" w:rsidRPr="009C7623" w:rsidRDefault="00536485">
                                <w:pPr>
                                  <w:pStyle w:val="NoSpacing"/>
                                  <w:jc w:val="center"/>
                                  <w:rPr>
                                    <w:caps/>
                                    <w:color w:val="000000" w:themeColor="text1"/>
                                    <w:sz w:val="28"/>
                                    <w:szCs w:val="28"/>
                                  </w:rPr>
                                </w:pPr>
                                <w:r w:rsidRPr="009C7623">
                                  <w:rPr>
                                    <w:caps/>
                                    <w:color w:val="000000" w:themeColor="text1"/>
                                    <w:sz w:val="28"/>
                                    <w:szCs w:val="28"/>
                                  </w:rPr>
                                  <w:t>Melisa pak</w:t>
                                </w:r>
                              </w:p>
                              <w:p w14:paraId="661F6E4F" w14:textId="31C1AD3B" w:rsidR="00536485" w:rsidRPr="009C7623" w:rsidRDefault="00536485">
                                <w:pPr>
                                  <w:pStyle w:val="NoSpacing"/>
                                  <w:jc w:val="center"/>
                                  <w:rPr>
                                    <w:caps/>
                                    <w:color w:val="000000" w:themeColor="text1"/>
                                    <w:sz w:val="28"/>
                                    <w:szCs w:val="28"/>
                                  </w:rPr>
                                </w:pPr>
                                <w:r w:rsidRPr="009C7623">
                                  <w:rPr>
                                    <w:caps/>
                                    <w:color w:val="000000" w:themeColor="text1"/>
                                    <w:sz w:val="28"/>
                                    <w:szCs w:val="28"/>
                                  </w:rPr>
                                  <w:t>1701689</w:t>
                                </w:r>
                              </w:p>
                              <w:p w14:paraId="58B86D14" w14:textId="363D7FE4" w:rsidR="00536485" w:rsidRDefault="00536485">
                                <w:pPr>
                                  <w:pStyle w:val="NoSpacing"/>
                                  <w:jc w:val="center"/>
                                  <w:rPr>
                                    <w:caps/>
                                    <w:color w:val="4472C4" w:themeColor="accent1"/>
                                    <w:sz w:val="28"/>
                                    <w:szCs w:val="28"/>
                                  </w:rPr>
                                </w:pPr>
                              </w:p>
                              <w:p w14:paraId="70602FAF" w14:textId="35122EF5" w:rsidR="00536485" w:rsidRDefault="00536485">
                                <w:pPr>
                                  <w:pStyle w:val="NoSpacing"/>
                                  <w:jc w:val="center"/>
                                  <w:rPr>
                                    <w:caps/>
                                    <w:color w:val="4472C4" w:themeColor="accent1"/>
                                    <w:sz w:val="28"/>
                                    <w:szCs w:val="28"/>
                                  </w:rPr>
                                </w:pPr>
                              </w:p>
                              <w:p w14:paraId="15A03384" w14:textId="3DE4FF82" w:rsidR="00536485" w:rsidRDefault="00536485">
                                <w:pPr>
                                  <w:pStyle w:val="NoSpacing"/>
                                  <w:jc w:val="center"/>
                                  <w:rPr>
                                    <w:caps/>
                                    <w:color w:val="4472C4" w:themeColor="accent1"/>
                                    <w:sz w:val="28"/>
                                    <w:szCs w:val="28"/>
                                  </w:rPr>
                                </w:pPr>
                              </w:p>
                              <w:p w14:paraId="152AECAE" w14:textId="2AC68982" w:rsidR="00536485" w:rsidRDefault="00536485">
                                <w:pPr>
                                  <w:pStyle w:val="NoSpacing"/>
                                  <w:jc w:val="center"/>
                                  <w:rPr>
                                    <w:caps/>
                                    <w:color w:val="4472C4" w:themeColor="accent1"/>
                                    <w:sz w:val="28"/>
                                    <w:szCs w:val="28"/>
                                  </w:rPr>
                                </w:pPr>
                              </w:p>
                              <w:p w14:paraId="1D95FFD8" w14:textId="1E84BD1D" w:rsidR="00536485" w:rsidRDefault="00536485">
                                <w:pPr>
                                  <w:pStyle w:val="NoSpacing"/>
                                  <w:jc w:val="center"/>
                                  <w:rPr>
                                    <w:caps/>
                                    <w:color w:val="4472C4" w:themeColor="accent1"/>
                                    <w:sz w:val="28"/>
                                    <w:szCs w:val="28"/>
                                  </w:rPr>
                                </w:pPr>
                              </w:p>
                              <w:p w14:paraId="6557CB7D" w14:textId="74265EF6" w:rsidR="00536485" w:rsidRDefault="00536485">
                                <w:pPr>
                                  <w:pStyle w:val="NoSpacing"/>
                                  <w:jc w:val="center"/>
                                  <w:rPr>
                                    <w:caps/>
                                    <w:color w:val="4472C4" w:themeColor="accent1"/>
                                    <w:sz w:val="28"/>
                                    <w:szCs w:val="28"/>
                                  </w:rPr>
                                </w:pPr>
                              </w:p>
                              <w:p w14:paraId="7F15FA6D" w14:textId="09351991" w:rsidR="00536485" w:rsidRDefault="00536485">
                                <w:pPr>
                                  <w:pStyle w:val="NoSpacing"/>
                                  <w:jc w:val="center"/>
                                  <w:rPr>
                                    <w:caps/>
                                    <w:color w:val="4472C4" w:themeColor="accent1"/>
                                    <w:sz w:val="28"/>
                                    <w:szCs w:val="28"/>
                                  </w:rPr>
                                </w:pPr>
                              </w:p>
                              <w:p w14:paraId="55228DCA" w14:textId="29A66E7A" w:rsidR="00536485" w:rsidRDefault="00536485">
                                <w:pPr>
                                  <w:pStyle w:val="NoSpacing"/>
                                  <w:jc w:val="center"/>
                                  <w:rPr>
                                    <w:caps/>
                                    <w:color w:val="4472C4" w:themeColor="accent1"/>
                                    <w:sz w:val="28"/>
                                    <w:szCs w:val="28"/>
                                  </w:rPr>
                                </w:pPr>
                              </w:p>
                              <w:p w14:paraId="70E90DF7" w14:textId="77777777" w:rsidR="00536485" w:rsidRPr="009C7623" w:rsidRDefault="00536485">
                                <w:pPr>
                                  <w:pStyle w:val="NoSpacing"/>
                                  <w:jc w:val="center"/>
                                  <w:rPr>
                                    <w:caps/>
                                    <w:color w:val="000000" w:themeColor="text1"/>
                                    <w:sz w:val="28"/>
                                    <w:szCs w:val="28"/>
                                  </w:rPr>
                                </w:pPr>
                              </w:p>
                              <w:p w14:paraId="5E97E904" w14:textId="672734BF" w:rsidR="00536485" w:rsidRPr="009C7623" w:rsidRDefault="00536485">
                                <w:pPr>
                                  <w:pStyle w:val="NoSpacing"/>
                                  <w:jc w:val="center"/>
                                  <w:rPr>
                                    <w:caps/>
                                    <w:color w:val="000000" w:themeColor="text1"/>
                                    <w:sz w:val="28"/>
                                    <w:szCs w:val="28"/>
                                  </w:rPr>
                                </w:pPr>
                                <w:r w:rsidRPr="009C7623">
                                  <w:rPr>
                                    <w:caps/>
                                    <w:color w:val="000000" w:themeColor="text1"/>
                                    <w:sz w:val="28"/>
                                    <w:szCs w:val="28"/>
                                  </w:rPr>
                                  <w:t>Dissertation submitted in partial fulfilment of a B.A. (hons) in Archaeology of Egypt, AEGEAN, and the Near East</w:t>
                                </w:r>
                              </w:p>
                              <w:p w14:paraId="349C4149" w14:textId="77777777" w:rsidR="00536485" w:rsidRPr="009C7623" w:rsidRDefault="00536485">
                                <w:pPr>
                                  <w:pStyle w:val="NoSpacing"/>
                                  <w:jc w:val="center"/>
                                  <w:rPr>
                                    <w:caps/>
                                    <w:color w:val="000000" w:themeColor="text1"/>
                                    <w:sz w:val="28"/>
                                    <w:szCs w:val="28"/>
                                  </w:rPr>
                                </w:pPr>
                              </w:p>
                              <w:p w14:paraId="013451D2" w14:textId="7F898B67" w:rsidR="00536485" w:rsidRPr="009C7623" w:rsidRDefault="00536485">
                                <w:pPr>
                                  <w:pStyle w:val="NoSpacing"/>
                                  <w:jc w:val="center"/>
                                  <w:rPr>
                                    <w:caps/>
                                    <w:color w:val="000000" w:themeColor="text1"/>
                                    <w:sz w:val="28"/>
                                    <w:szCs w:val="28"/>
                                  </w:rPr>
                                </w:pPr>
                                <w:r w:rsidRPr="009C7623">
                                  <w:rPr>
                                    <w:caps/>
                                    <w:color w:val="000000" w:themeColor="text1"/>
                                    <w:sz w:val="28"/>
                                    <w:szCs w:val="28"/>
                                  </w:rPr>
                                  <w:t>University of Wales Trinity Saint David</w:t>
                                </w:r>
                              </w:p>
                              <w:p w14:paraId="5AB5EB8C" w14:textId="61574A4C" w:rsidR="00536485" w:rsidRPr="009C7623" w:rsidRDefault="00536485">
                                <w:pPr>
                                  <w:pStyle w:val="NoSpacing"/>
                                  <w:jc w:val="center"/>
                                  <w:rPr>
                                    <w:color w:val="000000" w:themeColor="text1"/>
                                  </w:rPr>
                                </w:pPr>
                                <w:r w:rsidRPr="009C7623">
                                  <w:rPr>
                                    <w:caps/>
                                    <w:color w:val="000000" w:themeColor="text1"/>
                                    <w:sz w:val="28"/>
                                    <w:szCs w:val="28"/>
                                  </w:rPr>
                                  <w:t>May 2020</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2295C8A8" id="Text Box 142" o:spid="_x0000_s1027" type="#_x0000_t202" style="position:absolute;margin-left:0;margin-top:448.5pt;width:516pt;height:302.25pt;z-index:25174630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" filled="f" stroked="f" strokeweight=".5pt">
                    <v:textbox inset="0,0,0,0">
                      <w:txbxContent>
                        <w:p w14:paraId="47DE0984" w14:textId="77777777" w:rsidR="00536485" w:rsidRPr="009C7623" w:rsidRDefault="00536485">
                          <w:pPr>
                            <w:pStyle w:val="NoSpacing"/>
                            <w:jc w:val="center"/>
                            <w:rPr>
                              <w:caps/>
                              <w:color w:val="000000" w:themeColor="text1"/>
                              <w:sz w:val="28"/>
                              <w:szCs w:val="28"/>
                            </w:rPr>
                          </w:pPr>
                          <w:r w:rsidRPr="009C7623">
                            <w:rPr>
                              <w:caps/>
                              <w:color w:val="000000" w:themeColor="text1"/>
                              <w:sz w:val="28"/>
                              <w:szCs w:val="28"/>
                            </w:rPr>
                            <w:t>Melisa pak</w:t>
                          </w:r>
                        </w:p>
                        <w:p w14:paraId="661F6E4F" w14:textId="31C1AD3B" w:rsidR="00536485" w:rsidRPr="009C7623" w:rsidRDefault="00536485">
                          <w:pPr>
                            <w:pStyle w:val="NoSpacing"/>
                            <w:jc w:val="center"/>
                            <w:rPr>
                              <w:caps/>
                              <w:color w:val="000000" w:themeColor="text1"/>
                              <w:sz w:val="28"/>
                              <w:szCs w:val="28"/>
                            </w:rPr>
                          </w:pPr>
                          <w:r w:rsidRPr="009C7623">
                            <w:rPr>
                              <w:caps/>
                              <w:color w:val="000000" w:themeColor="text1"/>
                              <w:sz w:val="28"/>
                              <w:szCs w:val="28"/>
                            </w:rPr>
                            <w:t>1701689</w:t>
                          </w:r>
                        </w:p>
                        <w:p w14:paraId="58B86D14" w14:textId="363D7FE4" w:rsidR="00536485" w:rsidRDefault="00536485">
                          <w:pPr>
                            <w:pStyle w:val="NoSpacing"/>
                            <w:jc w:val="center"/>
                            <w:rPr>
                              <w:caps/>
                              <w:color w:val="4472C4" w:themeColor="accent1"/>
                              <w:sz w:val="28"/>
                              <w:szCs w:val="28"/>
                            </w:rPr>
                          </w:pPr>
                        </w:p>
                        <w:p w14:paraId="70602FAF" w14:textId="35122EF5" w:rsidR="00536485" w:rsidRDefault="00536485">
                          <w:pPr>
                            <w:pStyle w:val="NoSpacing"/>
                            <w:jc w:val="center"/>
                            <w:rPr>
                              <w:caps/>
                              <w:color w:val="4472C4" w:themeColor="accent1"/>
                              <w:sz w:val="28"/>
                              <w:szCs w:val="28"/>
                            </w:rPr>
                          </w:pPr>
                        </w:p>
                        <w:p w14:paraId="15A03384" w14:textId="3DE4FF82" w:rsidR="00536485" w:rsidRDefault="00536485">
                          <w:pPr>
                            <w:pStyle w:val="NoSpacing"/>
                            <w:jc w:val="center"/>
                            <w:rPr>
                              <w:caps/>
                              <w:color w:val="4472C4" w:themeColor="accent1"/>
                              <w:sz w:val="28"/>
                              <w:szCs w:val="28"/>
                            </w:rPr>
                          </w:pPr>
                        </w:p>
                        <w:p w14:paraId="152AECAE" w14:textId="2AC68982" w:rsidR="00536485" w:rsidRDefault="00536485">
                          <w:pPr>
                            <w:pStyle w:val="NoSpacing"/>
                            <w:jc w:val="center"/>
                            <w:rPr>
                              <w:caps/>
                              <w:color w:val="4472C4" w:themeColor="accent1"/>
                              <w:sz w:val="28"/>
                              <w:szCs w:val="28"/>
                            </w:rPr>
                          </w:pPr>
                        </w:p>
                        <w:p w14:paraId="1D95FFD8" w14:textId="1E84BD1D" w:rsidR="00536485" w:rsidRDefault="00536485">
                          <w:pPr>
                            <w:pStyle w:val="NoSpacing"/>
                            <w:jc w:val="center"/>
                            <w:rPr>
                              <w:caps/>
                              <w:color w:val="4472C4" w:themeColor="accent1"/>
                              <w:sz w:val="28"/>
                              <w:szCs w:val="28"/>
                            </w:rPr>
                          </w:pPr>
                        </w:p>
                        <w:p w14:paraId="6557CB7D" w14:textId="74265EF6" w:rsidR="00536485" w:rsidRDefault="00536485">
                          <w:pPr>
                            <w:pStyle w:val="NoSpacing"/>
                            <w:jc w:val="center"/>
                            <w:rPr>
                              <w:caps/>
                              <w:color w:val="4472C4" w:themeColor="accent1"/>
                              <w:sz w:val="28"/>
                              <w:szCs w:val="28"/>
                            </w:rPr>
                          </w:pPr>
                        </w:p>
                        <w:p w14:paraId="7F15FA6D" w14:textId="09351991" w:rsidR="00536485" w:rsidRDefault="00536485">
                          <w:pPr>
                            <w:pStyle w:val="NoSpacing"/>
                            <w:jc w:val="center"/>
                            <w:rPr>
                              <w:caps/>
                              <w:color w:val="4472C4" w:themeColor="accent1"/>
                              <w:sz w:val="28"/>
                              <w:szCs w:val="28"/>
                            </w:rPr>
                          </w:pPr>
                        </w:p>
                        <w:p w14:paraId="55228DCA" w14:textId="29A66E7A" w:rsidR="00536485" w:rsidRDefault="00536485">
                          <w:pPr>
                            <w:pStyle w:val="NoSpacing"/>
                            <w:jc w:val="center"/>
                            <w:rPr>
                              <w:caps/>
                              <w:color w:val="4472C4" w:themeColor="accent1"/>
                              <w:sz w:val="28"/>
                              <w:szCs w:val="28"/>
                            </w:rPr>
                          </w:pPr>
                        </w:p>
                        <w:p w14:paraId="70E90DF7" w14:textId="77777777" w:rsidR="00536485" w:rsidRPr="009C7623" w:rsidRDefault="00536485">
                          <w:pPr>
                            <w:pStyle w:val="NoSpacing"/>
                            <w:jc w:val="center"/>
                            <w:rPr>
                              <w:caps/>
                              <w:color w:val="000000" w:themeColor="text1"/>
                              <w:sz w:val="28"/>
                              <w:szCs w:val="28"/>
                            </w:rPr>
                          </w:pPr>
                        </w:p>
                        <w:p w14:paraId="5E97E904" w14:textId="672734BF" w:rsidR="00536485" w:rsidRPr="009C7623" w:rsidRDefault="00536485">
                          <w:pPr>
                            <w:pStyle w:val="NoSpacing"/>
                            <w:jc w:val="center"/>
                            <w:rPr>
                              <w:caps/>
                              <w:color w:val="000000" w:themeColor="text1"/>
                              <w:sz w:val="28"/>
                              <w:szCs w:val="28"/>
                            </w:rPr>
                          </w:pPr>
                          <w:r w:rsidRPr="009C7623">
                            <w:rPr>
                              <w:caps/>
                              <w:color w:val="000000" w:themeColor="text1"/>
                              <w:sz w:val="28"/>
                              <w:szCs w:val="28"/>
                            </w:rPr>
                            <w:t>Dissertation submitted in partial fulfilment of a B.A. (hons) in Archaeology of Egypt, AEGEAN, and the Near East</w:t>
                          </w:r>
                        </w:p>
                        <w:p w14:paraId="349C4149" w14:textId="77777777" w:rsidR="00536485" w:rsidRPr="009C7623" w:rsidRDefault="00536485">
                          <w:pPr>
                            <w:pStyle w:val="NoSpacing"/>
                            <w:jc w:val="center"/>
                            <w:rPr>
                              <w:caps/>
                              <w:color w:val="000000" w:themeColor="text1"/>
                              <w:sz w:val="28"/>
                              <w:szCs w:val="28"/>
                            </w:rPr>
                          </w:pPr>
                        </w:p>
                        <w:p w14:paraId="013451D2" w14:textId="7F898B67" w:rsidR="00536485" w:rsidRPr="009C7623" w:rsidRDefault="00536485">
                          <w:pPr>
                            <w:pStyle w:val="NoSpacing"/>
                            <w:jc w:val="center"/>
                            <w:rPr>
                              <w:caps/>
                              <w:color w:val="000000" w:themeColor="text1"/>
                              <w:sz w:val="28"/>
                              <w:szCs w:val="28"/>
                            </w:rPr>
                          </w:pPr>
                          <w:r w:rsidRPr="009C7623">
                            <w:rPr>
                              <w:caps/>
                              <w:color w:val="000000" w:themeColor="text1"/>
                              <w:sz w:val="28"/>
                              <w:szCs w:val="28"/>
                            </w:rPr>
                            <w:t>University of Wales Trinity Saint David</w:t>
                          </w:r>
                        </w:p>
                        <w:p w14:paraId="5AB5EB8C" w14:textId="61574A4C" w:rsidR="00536485" w:rsidRPr="009C7623" w:rsidRDefault="00536485">
                          <w:pPr>
                            <w:pStyle w:val="NoSpacing"/>
                            <w:jc w:val="center"/>
                            <w:rPr>
                              <w:color w:val="000000" w:themeColor="text1"/>
                            </w:rPr>
                          </w:pPr>
                          <w:r w:rsidRPr="009C7623">
                            <w:rPr>
                              <w:caps/>
                              <w:color w:val="000000" w:themeColor="text1"/>
                              <w:sz w:val="28"/>
                              <w:szCs w:val="28"/>
                            </w:rPr>
                            <w:t>May 2020</w:t>
                          </w:r>
                        </w:p>
                      </w:txbxContent>
                    </v:textbox>
                    <w10:wrap anchorx="margin" anchory="page"/>
                  </v:shape>
                </w:pict>
              </mc:Fallback>
            </mc:AlternateContent>
          </w:r>
          <w:r>
            <w:rPr>
              <w:b/>
              <w:bCs/>
              <w:sz w:val="28"/>
              <w:szCs w:val="28"/>
              <w:u w:val="single"/>
            </w:rPr>
            <w:br w:type="page"/>
          </w:r>
        </w:p>
      </w:sdtContent>
    </w:sdt>
    <w:p w14:paraId="6C54BF48" w14:textId="6B05814E" w:rsidR="003733E9" w:rsidRDefault="003733E9" w:rsidP="004E77F5">
      <w:pPr>
        <w:jc w:val="center"/>
        <w:rPr>
          <w:b/>
          <w:bCs/>
          <w:sz w:val="28"/>
          <w:szCs w:val="28"/>
          <w:u w:val="single"/>
        </w:rPr>
      </w:pPr>
      <w:r>
        <w:rPr>
          <w:b/>
          <w:bCs/>
          <w:sz w:val="28"/>
          <w:szCs w:val="28"/>
          <w:u w:val="single"/>
        </w:rPr>
        <w:lastRenderedPageBreak/>
        <w:t>Acknowledgements</w:t>
      </w:r>
    </w:p>
    <w:p w14:paraId="533C7DA7" w14:textId="77777777" w:rsidR="00F16AEB" w:rsidRDefault="00F16AEB" w:rsidP="00F16AEB">
      <w:pPr>
        <w:jc w:val="center"/>
        <w:rPr>
          <w:b/>
          <w:bCs/>
          <w:sz w:val="28"/>
          <w:szCs w:val="28"/>
          <w:u w:val="single"/>
        </w:rPr>
      </w:pPr>
    </w:p>
    <w:p w14:paraId="1976491F" w14:textId="7D1EC8B2" w:rsidR="003733E9" w:rsidRDefault="00C272CC" w:rsidP="00C272CC">
      <w:r w:rsidRPr="00C272CC">
        <w:t xml:space="preserve">I would </w:t>
      </w:r>
      <w:r>
        <w:t>like to thank my supervisor Katharina Zinn for support</w:t>
      </w:r>
      <w:r w:rsidR="00F16AEB">
        <w:t xml:space="preserve"> and guidance</w:t>
      </w:r>
      <w:r>
        <w:t xml:space="preserve"> throughout my dissertation. I would also like to thank Nicola Mason for </w:t>
      </w:r>
      <w:r w:rsidR="00F16AEB">
        <w:t>help and support</w:t>
      </w:r>
      <w:r>
        <w:t xml:space="preserve"> throughout my undergraduate degree. </w:t>
      </w:r>
    </w:p>
    <w:p w14:paraId="52FE58C0" w14:textId="029F9F89" w:rsidR="00C272CC" w:rsidRDefault="00C272CC" w:rsidP="00C272CC"/>
    <w:p w14:paraId="40B7FFD2" w14:textId="5C5957EB" w:rsidR="00C272CC" w:rsidRPr="00C272CC" w:rsidRDefault="00C272CC" w:rsidP="00C272CC">
      <w:r>
        <w:t>I would also like to say a massive thank you to my mother for all her support on my journey to and thr</w:t>
      </w:r>
      <w:r w:rsidR="00B005BD">
        <w:t xml:space="preserve">ough </w:t>
      </w:r>
      <w:r>
        <w:t xml:space="preserve">university. </w:t>
      </w:r>
    </w:p>
    <w:p w14:paraId="4F94A770" w14:textId="14E8613C" w:rsidR="003733E9" w:rsidRDefault="003733E9" w:rsidP="00105905">
      <w:pPr>
        <w:jc w:val="center"/>
        <w:rPr>
          <w:b/>
          <w:bCs/>
          <w:sz w:val="28"/>
          <w:szCs w:val="28"/>
          <w:u w:val="single"/>
        </w:rPr>
      </w:pPr>
    </w:p>
    <w:p w14:paraId="31E703B4" w14:textId="0685E01E" w:rsidR="003733E9" w:rsidRDefault="003733E9" w:rsidP="00105905">
      <w:pPr>
        <w:jc w:val="center"/>
        <w:rPr>
          <w:b/>
          <w:bCs/>
          <w:sz w:val="28"/>
          <w:szCs w:val="28"/>
          <w:u w:val="single"/>
        </w:rPr>
      </w:pPr>
    </w:p>
    <w:p w14:paraId="58F39C90" w14:textId="14CA2CF6" w:rsidR="003733E9" w:rsidRDefault="003733E9" w:rsidP="00105905">
      <w:pPr>
        <w:jc w:val="center"/>
        <w:rPr>
          <w:b/>
          <w:bCs/>
          <w:sz w:val="28"/>
          <w:szCs w:val="28"/>
          <w:u w:val="single"/>
        </w:rPr>
      </w:pPr>
    </w:p>
    <w:p w14:paraId="2B2B9B61" w14:textId="42F4B30D" w:rsidR="003733E9" w:rsidRDefault="003733E9" w:rsidP="00105905">
      <w:pPr>
        <w:jc w:val="center"/>
        <w:rPr>
          <w:b/>
          <w:bCs/>
          <w:sz w:val="28"/>
          <w:szCs w:val="28"/>
          <w:u w:val="single"/>
        </w:rPr>
      </w:pPr>
    </w:p>
    <w:p w14:paraId="4085D942" w14:textId="69EC8327" w:rsidR="003733E9" w:rsidRDefault="003733E9" w:rsidP="00105905">
      <w:pPr>
        <w:jc w:val="center"/>
        <w:rPr>
          <w:b/>
          <w:bCs/>
          <w:sz w:val="28"/>
          <w:szCs w:val="28"/>
          <w:u w:val="single"/>
        </w:rPr>
      </w:pPr>
    </w:p>
    <w:p w14:paraId="317068A1" w14:textId="406AACD3" w:rsidR="003733E9" w:rsidRDefault="003733E9" w:rsidP="00105905">
      <w:pPr>
        <w:jc w:val="center"/>
        <w:rPr>
          <w:b/>
          <w:bCs/>
          <w:sz w:val="28"/>
          <w:szCs w:val="28"/>
          <w:u w:val="single"/>
        </w:rPr>
      </w:pPr>
    </w:p>
    <w:p w14:paraId="5774E74E" w14:textId="3ADA6E35" w:rsidR="003733E9" w:rsidRDefault="003733E9" w:rsidP="00105905">
      <w:pPr>
        <w:jc w:val="center"/>
        <w:rPr>
          <w:b/>
          <w:bCs/>
          <w:sz w:val="28"/>
          <w:szCs w:val="28"/>
          <w:u w:val="single"/>
        </w:rPr>
      </w:pPr>
    </w:p>
    <w:p w14:paraId="68C2BD0B" w14:textId="11DB4E61" w:rsidR="003733E9" w:rsidRDefault="003733E9" w:rsidP="00105905">
      <w:pPr>
        <w:jc w:val="center"/>
        <w:rPr>
          <w:b/>
          <w:bCs/>
          <w:sz w:val="28"/>
          <w:szCs w:val="28"/>
          <w:u w:val="single"/>
        </w:rPr>
      </w:pPr>
    </w:p>
    <w:p w14:paraId="255A8AA0" w14:textId="1D84D61F" w:rsidR="003733E9" w:rsidRDefault="003733E9" w:rsidP="00105905">
      <w:pPr>
        <w:jc w:val="center"/>
        <w:rPr>
          <w:b/>
          <w:bCs/>
          <w:sz w:val="28"/>
          <w:szCs w:val="28"/>
          <w:u w:val="single"/>
        </w:rPr>
      </w:pPr>
    </w:p>
    <w:p w14:paraId="0C172D5F" w14:textId="70343B46" w:rsidR="003733E9" w:rsidRDefault="003733E9" w:rsidP="00105905">
      <w:pPr>
        <w:jc w:val="center"/>
        <w:rPr>
          <w:b/>
          <w:bCs/>
          <w:sz w:val="28"/>
          <w:szCs w:val="28"/>
          <w:u w:val="single"/>
        </w:rPr>
      </w:pPr>
    </w:p>
    <w:p w14:paraId="1ED2DB40" w14:textId="1A31F29B" w:rsidR="003733E9" w:rsidRDefault="003733E9" w:rsidP="00105905">
      <w:pPr>
        <w:jc w:val="center"/>
        <w:rPr>
          <w:b/>
          <w:bCs/>
          <w:sz w:val="28"/>
          <w:szCs w:val="28"/>
          <w:u w:val="single"/>
        </w:rPr>
      </w:pPr>
    </w:p>
    <w:p w14:paraId="0934DB4F" w14:textId="4BCE259D" w:rsidR="003733E9" w:rsidRDefault="003733E9" w:rsidP="00105905">
      <w:pPr>
        <w:jc w:val="center"/>
        <w:rPr>
          <w:b/>
          <w:bCs/>
          <w:sz w:val="28"/>
          <w:szCs w:val="28"/>
          <w:u w:val="single"/>
        </w:rPr>
      </w:pPr>
    </w:p>
    <w:p w14:paraId="3E85CF8D" w14:textId="2E78340F" w:rsidR="003733E9" w:rsidRDefault="003733E9" w:rsidP="00105905">
      <w:pPr>
        <w:jc w:val="center"/>
        <w:rPr>
          <w:b/>
          <w:bCs/>
          <w:sz w:val="28"/>
          <w:szCs w:val="28"/>
          <w:u w:val="single"/>
        </w:rPr>
      </w:pPr>
    </w:p>
    <w:p w14:paraId="5471E323" w14:textId="30239EB1" w:rsidR="003733E9" w:rsidRDefault="003733E9" w:rsidP="00105905">
      <w:pPr>
        <w:jc w:val="center"/>
        <w:rPr>
          <w:b/>
          <w:bCs/>
          <w:sz w:val="28"/>
          <w:szCs w:val="28"/>
          <w:u w:val="single"/>
        </w:rPr>
      </w:pPr>
    </w:p>
    <w:p w14:paraId="618BB222" w14:textId="473DA748" w:rsidR="003733E9" w:rsidRDefault="003733E9" w:rsidP="00105905">
      <w:pPr>
        <w:jc w:val="center"/>
        <w:rPr>
          <w:b/>
          <w:bCs/>
          <w:sz w:val="28"/>
          <w:szCs w:val="28"/>
          <w:u w:val="single"/>
        </w:rPr>
      </w:pPr>
    </w:p>
    <w:p w14:paraId="23474256" w14:textId="7FC89429" w:rsidR="003733E9" w:rsidRDefault="003733E9" w:rsidP="00105905">
      <w:pPr>
        <w:jc w:val="center"/>
        <w:rPr>
          <w:b/>
          <w:bCs/>
          <w:sz w:val="28"/>
          <w:szCs w:val="28"/>
          <w:u w:val="single"/>
        </w:rPr>
      </w:pPr>
    </w:p>
    <w:p w14:paraId="4CE8EE91" w14:textId="1F150C51" w:rsidR="003733E9" w:rsidRDefault="003733E9" w:rsidP="00105905">
      <w:pPr>
        <w:jc w:val="center"/>
        <w:rPr>
          <w:b/>
          <w:bCs/>
          <w:sz w:val="28"/>
          <w:szCs w:val="28"/>
          <w:u w:val="single"/>
        </w:rPr>
      </w:pPr>
    </w:p>
    <w:p w14:paraId="05863886" w14:textId="4D3E7470" w:rsidR="003733E9" w:rsidRDefault="003733E9" w:rsidP="00105905">
      <w:pPr>
        <w:jc w:val="center"/>
        <w:rPr>
          <w:b/>
          <w:bCs/>
          <w:sz w:val="28"/>
          <w:szCs w:val="28"/>
          <w:u w:val="single"/>
        </w:rPr>
      </w:pPr>
    </w:p>
    <w:p w14:paraId="7005C420" w14:textId="77777777" w:rsidR="004E77F5" w:rsidRDefault="004E77F5" w:rsidP="00105905">
      <w:pPr>
        <w:jc w:val="center"/>
        <w:rPr>
          <w:b/>
          <w:bCs/>
          <w:sz w:val="28"/>
          <w:szCs w:val="28"/>
          <w:u w:val="single"/>
        </w:rPr>
      </w:pPr>
    </w:p>
    <w:p w14:paraId="3B752778" w14:textId="77777777" w:rsidR="00C272CC" w:rsidRDefault="00C272CC" w:rsidP="00C272CC">
      <w:pPr>
        <w:rPr>
          <w:b/>
          <w:bCs/>
          <w:sz w:val="28"/>
          <w:szCs w:val="28"/>
          <w:u w:val="single"/>
        </w:rPr>
      </w:pPr>
    </w:p>
    <w:p w14:paraId="730D0D38" w14:textId="1405BECB" w:rsidR="00FF6C10" w:rsidRDefault="00FF6C10" w:rsidP="00C272CC">
      <w:pPr>
        <w:jc w:val="center"/>
        <w:rPr>
          <w:b/>
          <w:bCs/>
          <w:sz w:val="28"/>
          <w:szCs w:val="28"/>
          <w:u w:val="single"/>
        </w:rPr>
      </w:pPr>
      <w:r>
        <w:rPr>
          <w:b/>
          <w:bCs/>
          <w:sz w:val="28"/>
          <w:szCs w:val="28"/>
          <w:u w:val="single"/>
        </w:rPr>
        <w:lastRenderedPageBreak/>
        <w:t>Contents Page</w:t>
      </w:r>
    </w:p>
    <w:p w14:paraId="4376F07F" w14:textId="35E128DE" w:rsidR="003733E9" w:rsidRDefault="003733E9" w:rsidP="003238D4">
      <w:pPr>
        <w:rPr>
          <w:sz w:val="28"/>
          <w:szCs w:val="28"/>
        </w:rPr>
      </w:pPr>
      <w:r>
        <w:rPr>
          <w:sz w:val="28"/>
          <w:szCs w:val="28"/>
        </w:rPr>
        <w:t xml:space="preserve">Abstract </w:t>
      </w:r>
      <w:r w:rsidR="00BC0AFC">
        <w:rPr>
          <w:sz w:val="28"/>
          <w:szCs w:val="28"/>
        </w:rPr>
        <w:t xml:space="preserve">                                                                                                                           iii</w:t>
      </w:r>
    </w:p>
    <w:p w14:paraId="15352245" w14:textId="312C7789" w:rsidR="00A1263C" w:rsidRDefault="006414CC" w:rsidP="003238D4">
      <w:pPr>
        <w:rPr>
          <w:sz w:val="28"/>
          <w:szCs w:val="28"/>
        </w:rPr>
      </w:pPr>
      <w:r>
        <w:rPr>
          <w:sz w:val="28"/>
          <w:szCs w:val="28"/>
        </w:rPr>
        <w:t>Introduction</w:t>
      </w:r>
      <w:r w:rsidR="00B4296D">
        <w:rPr>
          <w:sz w:val="28"/>
          <w:szCs w:val="28"/>
        </w:rPr>
        <w:t xml:space="preserve">                                                                                                                     </w:t>
      </w:r>
      <w:r w:rsidR="00BC0AFC">
        <w:rPr>
          <w:sz w:val="28"/>
          <w:szCs w:val="28"/>
        </w:rPr>
        <w:t>1</w:t>
      </w:r>
    </w:p>
    <w:p w14:paraId="3EB751FF" w14:textId="2141376F" w:rsidR="006414CC" w:rsidRDefault="006414CC" w:rsidP="003238D4">
      <w:pPr>
        <w:rPr>
          <w:sz w:val="28"/>
          <w:szCs w:val="28"/>
        </w:rPr>
      </w:pPr>
      <w:r>
        <w:rPr>
          <w:sz w:val="28"/>
          <w:szCs w:val="28"/>
        </w:rPr>
        <w:t xml:space="preserve">Chapter 1 – Context </w:t>
      </w:r>
      <w:r w:rsidR="00A1263C">
        <w:rPr>
          <w:sz w:val="28"/>
          <w:szCs w:val="28"/>
        </w:rPr>
        <w:t xml:space="preserve">                                                                                                       </w:t>
      </w:r>
      <w:r w:rsidR="00BC0AFC">
        <w:rPr>
          <w:sz w:val="28"/>
          <w:szCs w:val="28"/>
        </w:rPr>
        <w:t>3</w:t>
      </w:r>
    </w:p>
    <w:p w14:paraId="551742FD" w14:textId="1F036350" w:rsidR="00E84FF8" w:rsidRDefault="00987ECD" w:rsidP="00E84FF8">
      <w:pPr>
        <w:pStyle w:val="ListParagraph"/>
        <w:numPr>
          <w:ilvl w:val="0"/>
          <w:numId w:val="5"/>
        </w:numPr>
        <w:rPr>
          <w:sz w:val="28"/>
          <w:szCs w:val="28"/>
        </w:rPr>
      </w:pPr>
      <w:r>
        <w:rPr>
          <w:sz w:val="28"/>
          <w:szCs w:val="28"/>
        </w:rPr>
        <w:t>Westerners</w:t>
      </w:r>
      <w:r w:rsidR="00A1263C">
        <w:rPr>
          <w:sz w:val="28"/>
          <w:szCs w:val="28"/>
        </w:rPr>
        <w:t xml:space="preserve">                                                                                                </w:t>
      </w:r>
      <w:r w:rsidR="00BC0AFC">
        <w:rPr>
          <w:sz w:val="28"/>
          <w:szCs w:val="28"/>
        </w:rPr>
        <w:t>3</w:t>
      </w:r>
    </w:p>
    <w:p w14:paraId="4F5F907C" w14:textId="5F8C05D0" w:rsidR="00987ECD" w:rsidRPr="00E84FF8" w:rsidRDefault="00987ECD" w:rsidP="00E84FF8">
      <w:pPr>
        <w:pStyle w:val="ListParagraph"/>
        <w:numPr>
          <w:ilvl w:val="0"/>
          <w:numId w:val="5"/>
        </w:numPr>
        <w:rPr>
          <w:sz w:val="28"/>
          <w:szCs w:val="28"/>
        </w:rPr>
      </w:pPr>
      <w:r>
        <w:rPr>
          <w:sz w:val="28"/>
          <w:szCs w:val="28"/>
        </w:rPr>
        <w:t>Tutankhamun</w:t>
      </w:r>
      <w:r w:rsidR="00A1263C">
        <w:rPr>
          <w:sz w:val="28"/>
          <w:szCs w:val="28"/>
        </w:rPr>
        <w:t xml:space="preserve">                                                                       </w:t>
      </w:r>
      <w:r w:rsidR="001815B4">
        <w:rPr>
          <w:sz w:val="28"/>
          <w:szCs w:val="28"/>
        </w:rPr>
        <w:t xml:space="preserve">                  </w:t>
      </w:r>
      <w:r w:rsidR="00A1263C">
        <w:rPr>
          <w:sz w:val="28"/>
          <w:szCs w:val="28"/>
        </w:rPr>
        <w:t xml:space="preserve">   </w:t>
      </w:r>
      <w:r w:rsidR="001815B4">
        <w:rPr>
          <w:sz w:val="28"/>
          <w:szCs w:val="28"/>
        </w:rPr>
        <w:t>7</w:t>
      </w:r>
    </w:p>
    <w:p w14:paraId="13157686" w14:textId="26922FE3" w:rsidR="006414CC" w:rsidRDefault="006414CC" w:rsidP="003238D4">
      <w:pPr>
        <w:rPr>
          <w:sz w:val="28"/>
          <w:szCs w:val="28"/>
        </w:rPr>
      </w:pPr>
      <w:r>
        <w:rPr>
          <w:sz w:val="28"/>
          <w:szCs w:val="28"/>
        </w:rPr>
        <w:t xml:space="preserve">Chapter 2 – Theory, </w:t>
      </w:r>
      <w:proofErr w:type="gramStart"/>
      <w:r>
        <w:rPr>
          <w:sz w:val="28"/>
          <w:szCs w:val="28"/>
        </w:rPr>
        <w:t>Discovery</w:t>
      </w:r>
      <w:proofErr w:type="gramEnd"/>
      <w:r>
        <w:rPr>
          <w:sz w:val="28"/>
          <w:szCs w:val="28"/>
        </w:rPr>
        <w:t xml:space="preserve"> and Politics </w:t>
      </w:r>
      <w:r w:rsidR="00E33EDC">
        <w:rPr>
          <w:sz w:val="28"/>
          <w:szCs w:val="28"/>
        </w:rPr>
        <w:t xml:space="preserve">                                                             1</w:t>
      </w:r>
      <w:r w:rsidR="001815B4">
        <w:rPr>
          <w:sz w:val="28"/>
          <w:szCs w:val="28"/>
        </w:rPr>
        <w:t>2</w:t>
      </w:r>
    </w:p>
    <w:p w14:paraId="1A39131E" w14:textId="35483D9F" w:rsidR="00987ECD" w:rsidRDefault="00987ECD" w:rsidP="00987ECD">
      <w:pPr>
        <w:pStyle w:val="ListParagraph"/>
        <w:numPr>
          <w:ilvl w:val="0"/>
          <w:numId w:val="6"/>
        </w:numPr>
        <w:rPr>
          <w:sz w:val="28"/>
          <w:szCs w:val="28"/>
        </w:rPr>
      </w:pPr>
      <w:proofErr w:type="spellStart"/>
      <w:r>
        <w:rPr>
          <w:sz w:val="28"/>
          <w:szCs w:val="28"/>
        </w:rPr>
        <w:t>Pharaonism</w:t>
      </w:r>
      <w:proofErr w:type="spellEnd"/>
      <w:r w:rsidR="00E33EDC">
        <w:rPr>
          <w:sz w:val="28"/>
          <w:szCs w:val="28"/>
        </w:rPr>
        <w:t xml:space="preserve">                                                                                                   1</w:t>
      </w:r>
      <w:r w:rsidR="001815B4">
        <w:rPr>
          <w:sz w:val="28"/>
          <w:szCs w:val="28"/>
        </w:rPr>
        <w:t>2</w:t>
      </w:r>
    </w:p>
    <w:p w14:paraId="598ADD2C" w14:textId="17A07B37" w:rsidR="00987ECD" w:rsidRDefault="00987ECD" w:rsidP="00987ECD">
      <w:pPr>
        <w:pStyle w:val="ListParagraph"/>
        <w:numPr>
          <w:ilvl w:val="0"/>
          <w:numId w:val="6"/>
        </w:numPr>
        <w:rPr>
          <w:sz w:val="28"/>
          <w:szCs w:val="28"/>
        </w:rPr>
      </w:pPr>
      <w:r>
        <w:rPr>
          <w:sz w:val="28"/>
          <w:szCs w:val="28"/>
        </w:rPr>
        <w:t>Discovery</w:t>
      </w:r>
      <w:r w:rsidR="00BC05C0">
        <w:rPr>
          <w:sz w:val="28"/>
          <w:szCs w:val="28"/>
        </w:rPr>
        <w:t xml:space="preserve">                                                                                                       1</w:t>
      </w:r>
      <w:r w:rsidR="001815B4">
        <w:rPr>
          <w:sz w:val="28"/>
          <w:szCs w:val="28"/>
        </w:rPr>
        <w:t>3</w:t>
      </w:r>
    </w:p>
    <w:p w14:paraId="36C72B77" w14:textId="7F0ECD7E" w:rsidR="00987ECD" w:rsidRPr="00987ECD" w:rsidRDefault="00987ECD" w:rsidP="00987ECD">
      <w:pPr>
        <w:pStyle w:val="ListParagraph"/>
        <w:numPr>
          <w:ilvl w:val="0"/>
          <w:numId w:val="6"/>
        </w:numPr>
        <w:rPr>
          <w:sz w:val="28"/>
          <w:szCs w:val="28"/>
        </w:rPr>
      </w:pPr>
      <w:r>
        <w:rPr>
          <w:sz w:val="28"/>
          <w:szCs w:val="28"/>
        </w:rPr>
        <w:t>Politics</w:t>
      </w:r>
      <w:r w:rsidR="00BC05C0">
        <w:rPr>
          <w:sz w:val="28"/>
          <w:szCs w:val="28"/>
        </w:rPr>
        <w:t xml:space="preserve">                                                                                                            </w:t>
      </w:r>
      <w:r w:rsidR="001815B4">
        <w:rPr>
          <w:sz w:val="28"/>
          <w:szCs w:val="28"/>
        </w:rPr>
        <w:t>19</w:t>
      </w:r>
    </w:p>
    <w:p w14:paraId="252625D8" w14:textId="54D73E16" w:rsidR="006414CC" w:rsidRDefault="006414CC" w:rsidP="003238D4">
      <w:pPr>
        <w:rPr>
          <w:sz w:val="28"/>
          <w:szCs w:val="28"/>
        </w:rPr>
      </w:pPr>
      <w:r>
        <w:rPr>
          <w:sz w:val="28"/>
          <w:szCs w:val="28"/>
        </w:rPr>
        <w:t xml:space="preserve">Chapter 3 – Modern and Global Presence </w:t>
      </w:r>
      <w:r w:rsidR="004003CF">
        <w:rPr>
          <w:sz w:val="28"/>
          <w:szCs w:val="28"/>
        </w:rPr>
        <w:t xml:space="preserve">                                                               2</w:t>
      </w:r>
      <w:r w:rsidR="001815B4">
        <w:rPr>
          <w:sz w:val="28"/>
          <w:szCs w:val="28"/>
        </w:rPr>
        <w:t>3</w:t>
      </w:r>
    </w:p>
    <w:p w14:paraId="3FCC27BD" w14:textId="2016BBFB" w:rsidR="00B816E7" w:rsidRDefault="00B816E7" w:rsidP="00B816E7">
      <w:pPr>
        <w:pStyle w:val="ListParagraph"/>
        <w:numPr>
          <w:ilvl w:val="0"/>
          <w:numId w:val="7"/>
        </w:numPr>
        <w:rPr>
          <w:sz w:val="28"/>
          <w:szCs w:val="28"/>
        </w:rPr>
      </w:pPr>
      <w:r>
        <w:rPr>
          <w:sz w:val="28"/>
          <w:szCs w:val="28"/>
        </w:rPr>
        <w:t>Treasures of Tutankhamun Tour (1967 – 1981)</w:t>
      </w:r>
      <w:r w:rsidR="004003CF">
        <w:rPr>
          <w:sz w:val="28"/>
          <w:szCs w:val="28"/>
        </w:rPr>
        <w:t xml:space="preserve">                                     2</w:t>
      </w:r>
      <w:r w:rsidR="001815B4">
        <w:rPr>
          <w:sz w:val="28"/>
          <w:szCs w:val="28"/>
        </w:rPr>
        <w:t>4</w:t>
      </w:r>
    </w:p>
    <w:p w14:paraId="5542B654" w14:textId="7534B10B" w:rsidR="00B816E7" w:rsidRDefault="00ED2EC3" w:rsidP="00B816E7">
      <w:pPr>
        <w:pStyle w:val="ListParagraph"/>
        <w:numPr>
          <w:ilvl w:val="0"/>
          <w:numId w:val="7"/>
        </w:numPr>
        <w:rPr>
          <w:sz w:val="28"/>
          <w:szCs w:val="28"/>
        </w:rPr>
      </w:pPr>
      <w:r>
        <w:rPr>
          <w:sz w:val="28"/>
          <w:szCs w:val="28"/>
        </w:rPr>
        <w:t>Tutankhamun and Golden Pharaohs Tour (2004 – 2007)</w:t>
      </w:r>
      <w:r w:rsidR="004003CF">
        <w:rPr>
          <w:sz w:val="28"/>
          <w:szCs w:val="28"/>
        </w:rPr>
        <w:t xml:space="preserve">                     2</w:t>
      </w:r>
      <w:r w:rsidR="001815B4">
        <w:rPr>
          <w:sz w:val="28"/>
          <w:szCs w:val="28"/>
        </w:rPr>
        <w:t>6</w:t>
      </w:r>
    </w:p>
    <w:p w14:paraId="792906A9" w14:textId="17534612" w:rsidR="00ED2EC3" w:rsidRPr="00B816E7" w:rsidRDefault="00A87EF5" w:rsidP="00B816E7">
      <w:pPr>
        <w:pStyle w:val="ListParagraph"/>
        <w:numPr>
          <w:ilvl w:val="0"/>
          <w:numId w:val="7"/>
        </w:numPr>
        <w:rPr>
          <w:sz w:val="28"/>
          <w:szCs w:val="28"/>
        </w:rPr>
      </w:pPr>
      <w:r>
        <w:rPr>
          <w:sz w:val="28"/>
          <w:szCs w:val="28"/>
        </w:rPr>
        <w:t xml:space="preserve">Tutankhamun: Treasures of the Golden Pharaoh (2019 – </w:t>
      </w:r>
      <w:proofErr w:type="gramStart"/>
      <w:r>
        <w:rPr>
          <w:sz w:val="28"/>
          <w:szCs w:val="28"/>
        </w:rPr>
        <w:t xml:space="preserve">Present) </w:t>
      </w:r>
      <w:r w:rsidR="004003CF">
        <w:rPr>
          <w:sz w:val="28"/>
          <w:szCs w:val="28"/>
        </w:rPr>
        <w:t xml:space="preserve">  </w:t>
      </w:r>
      <w:proofErr w:type="gramEnd"/>
      <w:r w:rsidR="004003CF">
        <w:rPr>
          <w:sz w:val="28"/>
          <w:szCs w:val="28"/>
        </w:rPr>
        <w:t>2</w:t>
      </w:r>
      <w:r w:rsidR="001815B4">
        <w:rPr>
          <w:sz w:val="28"/>
          <w:szCs w:val="28"/>
        </w:rPr>
        <w:t>7</w:t>
      </w:r>
    </w:p>
    <w:p w14:paraId="105720E7" w14:textId="374C6EF9" w:rsidR="006414CC" w:rsidRDefault="006414CC" w:rsidP="003238D4">
      <w:pPr>
        <w:rPr>
          <w:sz w:val="28"/>
          <w:szCs w:val="28"/>
        </w:rPr>
      </w:pPr>
      <w:r>
        <w:rPr>
          <w:sz w:val="28"/>
          <w:szCs w:val="28"/>
        </w:rPr>
        <w:t xml:space="preserve">Conclusion </w:t>
      </w:r>
      <w:r w:rsidR="007321D7">
        <w:rPr>
          <w:sz w:val="28"/>
          <w:szCs w:val="28"/>
        </w:rPr>
        <w:t xml:space="preserve">                                                                                                                     </w:t>
      </w:r>
      <w:r w:rsidR="001815B4">
        <w:rPr>
          <w:sz w:val="28"/>
          <w:szCs w:val="28"/>
        </w:rPr>
        <w:t>29</w:t>
      </w:r>
    </w:p>
    <w:p w14:paraId="21A234A3" w14:textId="36898E1E" w:rsidR="006414CC" w:rsidRDefault="006414CC" w:rsidP="003238D4">
      <w:pPr>
        <w:rPr>
          <w:sz w:val="28"/>
          <w:szCs w:val="28"/>
        </w:rPr>
      </w:pPr>
      <w:r>
        <w:rPr>
          <w:sz w:val="28"/>
          <w:szCs w:val="28"/>
        </w:rPr>
        <w:t>Appendix</w:t>
      </w:r>
      <w:r w:rsidR="007321D7">
        <w:rPr>
          <w:sz w:val="28"/>
          <w:szCs w:val="28"/>
        </w:rPr>
        <w:t xml:space="preserve">                                                                                                                         3</w:t>
      </w:r>
      <w:r w:rsidR="001815B4">
        <w:rPr>
          <w:sz w:val="28"/>
          <w:szCs w:val="28"/>
        </w:rPr>
        <w:t>2</w:t>
      </w:r>
    </w:p>
    <w:p w14:paraId="643316D4" w14:textId="54E99F81" w:rsidR="006414CC" w:rsidRDefault="00956072" w:rsidP="003238D4">
      <w:pPr>
        <w:rPr>
          <w:sz w:val="28"/>
          <w:szCs w:val="28"/>
        </w:rPr>
      </w:pPr>
      <w:r>
        <w:rPr>
          <w:sz w:val="28"/>
          <w:szCs w:val="28"/>
        </w:rPr>
        <w:t xml:space="preserve">References </w:t>
      </w:r>
      <w:r w:rsidR="007321D7">
        <w:rPr>
          <w:sz w:val="28"/>
          <w:szCs w:val="28"/>
        </w:rPr>
        <w:t xml:space="preserve">                                                                                                                     3</w:t>
      </w:r>
      <w:r w:rsidR="001815B4">
        <w:rPr>
          <w:sz w:val="28"/>
          <w:szCs w:val="28"/>
        </w:rPr>
        <w:t>7</w:t>
      </w:r>
    </w:p>
    <w:p w14:paraId="316B6D5A" w14:textId="0521052F" w:rsidR="00956072" w:rsidRDefault="00956072" w:rsidP="003238D4">
      <w:pPr>
        <w:rPr>
          <w:sz w:val="28"/>
          <w:szCs w:val="28"/>
        </w:rPr>
      </w:pPr>
      <w:r>
        <w:rPr>
          <w:sz w:val="28"/>
          <w:szCs w:val="28"/>
        </w:rPr>
        <w:t xml:space="preserve">Bibliography </w:t>
      </w:r>
      <w:r w:rsidR="007321D7">
        <w:rPr>
          <w:sz w:val="28"/>
          <w:szCs w:val="28"/>
        </w:rPr>
        <w:t xml:space="preserve">                                                                                                                  </w:t>
      </w:r>
      <w:r w:rsidR="00BC0AFC">
        <w:rPr>
          <w:sz w:val="28"/>
          <w:szCs w:val="28"/>
        </w:rPr>
        <w:t>4</w:t>
      </w:r>
      <w:r w:rsidR="001815B4">
        <w:rPr>
          <w:sz w:val="28"/>
          <w:szCs w:val="28"/>
        </w:rPr>
        <w:t>2</w:t>
      </w:r>
    </w:p>
    <w:p w14:paraId="7B0C365A" w14:textId="77777777" w:rsidR="00956072" w:rsidRPr="003238D4" w:rsidRDefault="00956072" w:rsidP="003238D4">
      <w:pPr>
        <w:rPr>
          <w:sz w:val="28"/>
          <w:szCs w:val="28"/>
        </w:rPr>
      </w:pPr>
    </w:p>
    <w:p w14:paraId="4AC24828" w14:textId="77777777" w:rsidR="00FF6C10" w:rsidRDefault="00FF6C10">
      <w:pPr>
        <w:rPr>
          <w:b/>
          <w:bCs/>
          <w:sz w:val="28"/>
          <w:szCs w:val="28"/>
          <w:u w:val="single"/>
        </w:rPr>
      </w:pPr>
      <w:r>
        <w:rPr>
          <w:b/>
          <w:bCs/>
          <w:sz w:val="28"/>
          <w:szCs w:val="28"/>
          <w:u w:val="single"/>
        </w:rPr>
        <w:br w:type="page"/>
      </w:r>
    </w:p>
    <w:p w14:paraId="11DA2B06" w14:textId="43D9F883" w:rsidR="00932A70" w:rsidRDefault="004C7F12" w:rsidP="00536485">
      <w:pPr>
        <w:jc w:val="center"/>
        <w:rPr>
          <w:b/>
          <w:bCs/>
          <w:sz w:val="28"/>
          <w:szCs w:val="28"/>
          <w:u w:val="single"/>
        </w:rPr>
      </w:pPr>
      <w:r>
        <w:rPr>
          <w:b/>
          <w:bCs/>
          <w:sz w:val="28"/>
          <w:szCs w:val="28"/>
          <w:u w:val="single"/>
        </w:rPr>
        <w:lastRenderedPageBreak/>
        <w:t xml:space="preserve">Abstract </w:t>
      </w:r>
    </w:p>
    <w:p w14:paraId="1C1F9B73" w14:textId="77777777" w:rsidR="00536485" w:rsidRPr="00536485" w:rsidRDefault="00536485" w:rsidP="00536485">
      <w:pPr>
        <w:jc w:val="center"/>
        <w:rPr>
          <w:b/>
          <w:bCs/>
          <w:sz w:val="28"/>
          <w:szCs w:val="28"/>
          <w:u w:val="single"/>
        </w:rPr>
      </w:pPr>
    </w:p>
    <w:p w14:paraId="79B130DC" w14:textId="6A8EB772" w:rsidR="00932A70" w:rsidRPr="00090156" w:rsidRDefault="00932A70" w:rsidP="00932A70">
      <w:r w:rsidRPr="00090156">
        <w:t xml:space="preserve">The study of the exploitation of the Egyptian pharaoh Tutankhamun and the pharaoh becoming a westernised commodity and a source of income is widely sourced, however the information has not been brought together to provide a conclusion. Studying Tutankhamun is interesting because he is not a historical figure from his time but from the time of the discovery of his tomb. There are not necessarily gaps within the research, the problem is the amount of research and the questions that are left unanswered. This dissertation will provide a concise summary regarding the exploitation of the discovery of Tutankhamun’s tomb and how it has led to him becoming a westernised commodity and a source of income. </w:t>
      </w:r>
    </w:p>
    <w:p w14:paraId="1DAC6428" w14:textId="77777777" w:rsidR="00932A70" w:rsidRPr="00090156" w:rsidRDefault="00932A70" w:rsidP="00932A70">
      <w:r w:rsidRPr="00090156">
        <w:t xml:space="preserve">Firstly, to approach this topic, the author assessed a variety of secondary sources about the pharaoh, the use of Howard Carter’s diary entries and used their own personal experience of the recent Tutankhamun tour; </w:t>
      </w:r>
      <w:r w:rsidRPr="00090156">
        <w:rPr>
          <w:i/>
          <w:iCs/>
        </w:rPr>
        <w:t xml:space="preserve">Tutankhamun: The Golden Pharaoh. </w:t>
      </w:r>
      <w:r w:rsidRPr="00090156">
        <w:t xml:space="preserve">This information was then analysed threw a pharaonism lens. </w:t>
      </w:r>
    </w:p>
    <w:p w14:paraId="798B0C4C" w14:textId="039B46CD" w:rsidR="00932A70" w:rsidRPr="00090156" w:rsidRDefault="00932A70" w:rsidP="00932A70">
      <w:r w:rsidRPr="00090156">
        <w:t>The results showed that the exploitation of Egyptian artefacts by westerns was not a new concept, and could be traced back to 1798, when Napoleon led his expedition to Egypt. The aims for the westerners was</w:t>
      </w:r>
      <w:r w:rsidR="00B005BD" w:rsidRPr="00090156">
        <w:t xml:space="preserve"> for political </w:t>
      </w:r>
      <w:r w:rsidRPr="00090156">
        <w:t xml:space="preserve">prestige, until the 1920’s when the Egyptians began to fight for their nationalism. The discovery of Tutankhamun’s tomb came at a time when nationalism was beginning, resulting in conflict </w:t>
      </w:r>
      <w:r w:rsidR="00B005BD" w:rsidRPr="00090156">
        <w:t xml:space="preserve">between the </w:t>
      </w:r>
      <w:r w:rsidRPr="00090156">
        <w:t>Egyptian government and British archaeologist Howard Carter. Even to present day, tours of Tutankhamun have drawn a worldwide interest</w:t>
      </w:r>
      <w:r w:rsidR="00B005BD" w:rsidRPr="00090156">
        <w:t xml:space="preserve"> with t</w:t>
      </w:r>
      <w:r w:rsidRPr="00090156">
        <w:t xml:space="preserve">he design of the exhibition was presented in a modern way to attract the modern visitor. </w:t>
      </w:r>
    </w:p>
    <w:p w14:paraId="7C9D31D1" w14:textId="571619F2" w:rsidR="00090156" w:rsidRDefault="00536485" w:rsidP="00932A70">
      <w:r w:rsidRPr="00090156">
        <w:t>The westernised commodity of Tutankhamun began at the time of the discovery in 1922</w:t>
      </w:r>
      <w:r w:rsidR="00090156" w:rsidRPr="00090156">
        <w:t xml:space="preserve">, but modern-day visitors at tours of Tutankhamun expected aspects of the commodity such as the golden death mask. Minimal limitations made aspects of the dissertation difficult to explore and provided a possibility to divert of dissertation topic, however the dissertation was still able to provide an understanding of the western </w:t>
      </w:r>
      <w:r w:rsidR="00090156" w:rsidRPr="00090156">
        <w:rPr>
          <w:color w:val="000000" w:themeColor="text1"/>
        </w:rPr>
        <w:t xml:space="preserve">motives and purposes of the exploitation of Tutankhamun and the westernised commodity. </w:t>
      </w:r>
    </w:p>
    <w:p w14:paraId="3C387A03" w14:textId="77777777" w:rsidR="004C7F12" w:rsidRDefault="004C7F12" w:rsidP="00932A70">
      <w:pPr>
        <w:rPr>
          <w:b/>
          <w:bCs/>
          <w:sz w:val="28"/>
          <w:szCs w:val="28"/>
          <w:u w:val="single"/>
        </w:rPr>
      </w:pPr>
    </w:p>
    <w:p w14:paraId="66AE998A" w14:textId="77777777" w:rsidR="004C7F12" w:rsidRDefault="004C7F12" w:rsidP="00105905">
      <w:pPr>
        <w:jc w:val="center"/>
        <w:rPr>
          <w:b/>
          <w:bCs/>
          <w:sz w:val="28"/>
          <w:szCs w:val="28"/>
          <w:u w:val="single"/>
        </w:rPr>
      </w:pPr>
    </w:p>
    <w:p w14:paraId="1FF0918D" w14:textId="77777777" w:rsidR="004C7F12" w:rsidRDefault="004C7F12" w:rsidP="00105905">
      <w:pPr>
        <w:jc w:val="center"/>
        <w:rPr>
          <w:b/>
          <w:bCs/>
          <w:sz w:val="28"/>
          <w:szCs w:val="28"/>
          <w:u w:val="single"/>
        </w:rPr>
      </w:pPr>
    </w:p>
    <w:p w14:paraId="5B459146" w14:textId="77777777" w:rsidR="004C7F12" w:rsidRDefault="004C7F12" w:rsidP="00105905">
      <w:pPr>
        <w:jc w:val="center"/>
        <w:rPr>
          <w:b/>
          <w:bCs/>
          <w:sz w:val="28"/>
          <w:szCs w:val="28"/>
          <w:u w:val="single"/>
        </w:rPr>
      </w:pPr>
    </w:p>
    <w:p w14:paraId="202745B8" w14:textId="77777777" w:rsidR="004C7F12" w:rsidRDefault="004C7F12" w:rsidP="00105905">
      <w:pPr>
        <w:jc w:val="center"/>
        <w:rPr>
          <w:b/>
          <w:bCs/>
          <w:sz w:val="28"/>
          <w:szCs w:val="28"/>
          <w:u w:val="single"/>
        </w:rPr>
      </w:pPr>
    </w:p>
    <w:p w14:paraId="2FE0FD0B" w14:textId="77777777" w:rsidR="004C7F12" w:rsidRDefault="004C7F12" w:rsidP="00105905">
      <w:pPr>
        <w:jc w:val="center"/>
        <w:rPr>
          <w:b/>
          <w:bCs/>
          <w:sz w:val="28"/>
          <w:szCs w:val="28"/>
          <w:u w:val="single"/>
        </w:rPr>
      </w:pPr>
    </w:p>
    <w:p w14:paraId="07AA1A3C" w14:textId="77777777" w:rsidR="004C7F12" w:rsidRDefault="004C7F12" w:rsidP="00105905">
      <w:pPr>
        <w:jc w:val="center"/>
        <w:rPr>
          <w:b/>
          <w:bCs/>
          <w:sz w:val="28"/>
          <w:szCs w:val="28"/>
          <w:u w:val="single"/>
        </w:rPr>
      </w:pPr>
    </w:p>
    <w:p w14:paraId="2C5B7889" w14:textId="6663C188" w:rsidR="00327351" w:rsidRPr="00327351" w:rsidRDefault="00327351" w:rsidP="00327351">
      <w:pPr>
        <w:tabs>
          <w:tab w:val="left" w:pos="5580"/>
        </w:tabs>
        <w:rPr>
          <w:sz w:val="28"/>
          <w:szCs w:val="28"/>
        </w:rPr>
        <w:sectPr w:rsidR="00327351" w:rsidRPr="00327351" w:rsidSect="004E77F5">
          <w:headerReference w:type="default" r:id="rId13"/>
          <w:footerReference w:type="default" r:id="rId14"/>
          <w:footerReference w:type="first" r:id="rId15"/>
          <w:pgSz w:w="11906" w:h="16838"/>
          <w:pgMar w:top="1440" w:right="1440" w:bottom="1440" w:left="1440" w:header="708" w:footer="708" w:gutter="0"/>
          <w:pgNumType w:fmt="lowerRoman" w:start="0"/>
          <w:cols w:space="708"/>
          <w:titlePg/>
          <w:docGrid w:linePitch="360"/>
        </w:sectPr>
      </w:pPr>
    </w:p>
    <w:p w14:paraId="62ACEA1E" w14:textId="34EE12FE" w:rsidR="00105905" w:rsidRPr="00105905" w:rsidRDefault="00105905" w:rsidP="00105905">
      <w:pPr>
        <w:jc w:val="center"/>
        <w:rPr>
          <w:b/>
          <w:bCs/>
          <w:sz w:val="28"/>
          <w:szCs w:val="28"/>
          <w:u w:val="single"/>
        </w:rPr>
      </w:pPr>
      <w:r w:rsidRPr="00105905">
        <w:rPr>
          <w:b/>
          <w:bCs/>
          <w:sz w:val="28"/>
          <w:szCs w:val="28"/>
          <w:u w:val="single"/>
        </w:rPr>
        <w:lastRenderedPageBreak/>
        <w:t>Introduction</w:t>
      </w:r>
    </w:p>
    <w:p w14:paraId="2EA4C8E9" w14:textId="5D12F3B8" w:rsidR="00105905" w:rsidRPr="001E13E7" w:rsidRDefault="00105905" w:rsidP="00105905">
      <w:pPr>
        <w:spacing w:line="360" w:lineRule="auto"/>
      </w:pPr>
      <w:r w:rsidRPr="001E13E7">
        <w:t xml:space="preserve">This dissertation </w:t>
      </w:r>
      <w:r w:rsidR="000320D4" w:rsidRPr="001E13E7">
        <w:t xml:space="preserve">explores the </w:t>
      </w:r>
      <w:r w:rsidR="009438D2" w:rsidRPr="001E13E7">
        <w:t xml:space="preserve">extent, </w:t>
      </w:r>
      <w:r w:rsidR="00C35CA9" w:rsidRPr="001E13E7">
        <w:t>motives,</w:t>
      </w:r>
      <w:r w:rsidR="009438D2" w:rsidRPr="001E13E7">
        <w:t xml:space="preserve"> and purpose of the</w:t>
      </w:r>
      <w:r w:rsidRPr="001E13E7">
        <w:t xml:space="preserve"> exploitation of </w:t>
      </w:r>
      <w:r w:rsidR="00BD0095" w:rsidRPr="001E13E7">
        <w:t xml:space="preserve">the </w:t>
      </w:r>
      <w:r w:rsidRPr="001E13E7">
        <w:t>Egyptian Pharaoh Tutankhamun and how</w:t>
      </w:r>
      <w:r w:rsidR="00686065" w:rsidRPr="001E13E7">
        <w:t xml:space="preserve"> this historical figure’s mummy</w:t>
      </w:r>
      <w:r w:rsidRPr="001E13E7">
        <w:t xml:space="preserve"> has been turned into a </w:t>
      </w:r>
      <w:r w:rsidR="008951D2">
        <w:t xml:space="preserve">western </w:t>
      </w:r>
      <w:r w:rsidRPr="001E13E7">
        <w:t>commodity. This</w:t>
      </w:r>
      <w:r w:rsidR="008951D2">
        <w:t xml:space="preserve"> topic</w:t>
      </w:r>
      <w:r w:rsidRPr="001E13E7">
        <w:t xml:space="preserve"> is worth looking at because whil</w:t>
      </w:r>
      <w:r w:rsidR="00BD0095" w:rsidRPr="001E13E7">
        <w:t>st</w:t>
      </w:r>
      <w:r w:rsidRPr="001E13E7">
        <w:t xml:space="preserve"> Tutankhamun </w:t>
      </w:r>
      <w:r w:rsidR="00BD0095" w:rsidRPr="001E13E7">
        <w:t>was</w:t>
      </w:r>
      <w:r w:rsidRPr="001E13E7">
        <w:t xml:space="preserve"> an Egyptian and represents much of Egypt’s ancient royal past</w:t>
      </w:r>
      <w:r w:rsidR="0020758E" w:rsidRPr="001E13E7">
        <w:t xml:space="preserve">, he is frequently represented in a westernised </w:t>
      </w:r>
      <w:r w:rsidR="0020758E" w:rsidRPr="001530B0">
        <w:t>manner. T</w:t>
      </w:r>
      <w:r w:rsidRPr="001530B0">
        <w:t>he discovery of Tutankhamun’s tomb led to political conflict between Egypt and Britain</w:t>
      </w:r>
      <w:r w:rsidR="002B6BFB" w:rsidRPr="001530B0">
        <w:rPr>
          <w:rStyle w:val="FootnoteReference"/>
        </w:rPr>
        <w:footnoteReference w:id="1"/>
      </w:r>
      <w:r w:rsidR="000320D4" w:rsidRPr="001530B0">
        <w:t xml:space="preserve">, resulting in </w:t>
      </w:r>
      <w:r w:rsidR="008951D2" w:rsidRPr="001530B0">
        <w:t xml:space="preserve">the </w:t>
      </w:r>
      <w:r w:rsidR="000320D4" w:rsidRPr="001530B0">
        <w:t>exploitation of the artefacts</w:t>
      </w:r>
      <w:r w:rsidRPr="001530B0">
        <w:t xml:space="preserve">. The worldwide exhibitions of Tutankhamun and his tomb artefacts are presented in a </w:t>
      </w:r>
      <w:proofErr w:type="gramStart"/>
      <w:r w:rsidRPr="001530B0">
        <w:t>particular way</w:t>
      </w:r>
      <w:proofErr w:type="gramEnd"/>
      <w:r w:rsidRPr="001530B0">
        <w:t xml:space="preserve"> to attract all members of the </w:t>
      </w:r>
      <w:r w:rsidR="000320D4" w:rsidRPr="001530B0">
        <w:t xml:space="preserve">public, </w:t>
      </w:r>
      <w:r w:rsidR="008951D2" w:rsidRPr="001530B0">
        <w:t xml:space="preserve">the </w:t>
      </w:r>
      <w:r w:rsidR="000320D4" w:rsidRPr="001530B0">
        <w:t>display of objects and the structure of the exhibition.</w:t>
      </w:r>
      <w:r w:rsidR="000320D4" w:rsidRPr="001E13E7">
        <w:t xml:space="preserve"> </w:t>
      </w:r>
    </w:p>
    <w:p w14:paraId="4077A0A8" w14:textId="4FAB68F6" w:rsidR="00105905" w:rsidRPr="001E13E7" w:rsidRDefault="00105905" w:rsidP="00105905">
      <w:pPr>
        <w:spacing w:line="360" w:lineRule="auto"/>
        <w:rPr>
          <w:b/>
          <w:bCs/>
          <w:sz w:val="28"/>
          <w:szCs w:val="28"/>
          <w:u w:val="single"/>
        </w:rPr>
      </w:pPr>
      <w:r w:rsidRPr="001E13E7">
        <w:t>The type of methodology chosen to achieve the aims stated above is mainly based on secondary sources such as journals, books and websites</w:t>
      </w:r>
      <w:r w:rsidR="005F2E82" w:rsidRPr="001E13E7">
        <w:t>. Examples to be singled out here are</w:t>
      </w:r>
      <w:r w:rsidRPr="001E13E7">
        <w:t xml:space="preserve"> the book by R.H. Fritze ‘</w:t>
      </w:r>
      <w:r w:rsidRPr="001E13E7">
        <w:rPr>
          <w:i/>
          <w:iCs/>
        </w:rPr>
        <w:t>Egyptomania: a history of fascination, obsession and fantasy’</w:t>
      </w:r>
      <w:r w:rsidRPr="001E13E7">
        <w:t xml:space="preserve"> and</w:t>
      </w:r>
      <w:r w:rsidRPr="001E13E7">
        <w:rPr>
          <w:i/>
          <w:iCs/>
        </w:rPr>
        <w:t xml:space="preserve"> </w:t>
      </w:r>
      <w:r w:rsidRPr="001E13E7">
        <w:t>The Saatchi Gallery website ‘</w:t>
      </w:r>
      <w:r w:rsidRPr="001E13E7">
        <w:rPr>
          <w:i/>
          <w:iCs/>
        </w:rPr>
        <w:t>Tutankhamun Treasures of the Golden Pharaoh’.</w:t>
      </w:r>
      <w:r w:rsidRPr="001E13E7">
        <w:t xml:space="preserve"> This</w:t>
      </w:r>
      <w:r w:rsidR="00A75266" w:rsidRPr="001E13E7">
        <w:t xml:space="preserve"> chosen</w:t>
      </w:r>
      <w:r w:rsidRPr="001E13E7">
        <w:t xml:space="preserve"> method provide</w:t>
      </w:r>
      <w:r w:rsidR="005A050C" w:rsidRPr="001E13E7">
        <w:t>s</w:t>
      </w:r>
      <w:r w:rsidRPr="001E13E7">
        <w:t xml:space="preserve"> a wide range of </w:t>
      </w:r>
      <w:r w:rsidR="005A050C" w:rsidRPr="001E13E7">
        <w:t xml:space="preserve">ideas, facts and </w:t>
      </w:r>
      <w:r w:rsidR="00A40582" w:rsidRPr="001E13E7">
        <w:t>arguments</w:t>
      </w:r>
      <w:r w:rsidRPr="001E13E7">
        <w:t xml:space="preserve"> by different scholars</w:t>
      </w:r>
      <w:r w:rsidR="005A050C" w:rsidRPr="001E13E7">
        <w:t>,</w:t>
      </w:r>
      <w:r w:rsidRPr="001E13E7">
        <w:t xml:space="preserve"> including </w:t>
      </w:r>
      <w:r w:rsidR="000320D4" w:rsidRPr="001E13E7">
        <w:t xml:space="preserve">academics </w:t>
      </w:r>
      <w:r w:rsidRPr="001E13E7">
        <w:t xml:space="preserve">who have studied Egypt to classical figures who ventured to Egypt. Having a wide range of sources meant it was easier to find out what information was </w:t>
      </w:r>
      <w:r w:rsidR="008951D2">
        <w:t xml:space="preserve">most </w:t>
      </w:r>
      <w:r w:rsidRPr="001E13E7">
        <w:t xml:space="preserve">likely to be </w:t>
      </w:r>
      <w:r w:rsidR="00BD0095" w:rsidRPr="001E13E7">
        <w:t xml:space="preserve">reliable </w:t>
      </w:r>
      <w:r w:rsidRPr="001E13E7">
        <w:t xml:space="preserve">and to correlate with dates or to fill in any gaps within </w:t>
      </w:r>
      <w:r w:rsidR="00BD0095" w:rsidRPr="001E13E7">
        <w:t>the</w:t>
      </w:r>
      <w:r w:rsidRPr="001E13E7">
        <w:t xml:space="preserve"> </w:t>
      </w:r>
      <w:r w:rsidR="00BD0095" w:rsidRPr="001E13E7">
        <w:t>re</w:t>
      </w:r>
      <w:r w:rsidRPr="001E13E7">
        <w:t>search. Howard Carter</w:t>
      </w:r>
      <w:r w:rsidR="00A40582" w:rsidRPr="001E13E7">
        <w:t>’</w:t>
      </w:r>
      <w:r w:rsidRPr="001E13E7">
        <w:t>s diary entries on the discovery of Tutankhamun were also used</w:t>
      </w:r>
      <w:r w:rsidR="00616ED4" w:rsidRPr="001E13E7">
        <w:t xml:space="preserve"> as a primary </w:t>
      </w:r>
      <w:r w:rsidR="00F673DE" w:rsidRPr="001E13E7">
        <w:t>source because</w:t>
      </w:r>
      <w:r w:rsidRPr="001E13E7">
        <w:t xml:space="preserve"> only Carter himself c</w:t>
      </w:r>
      <w:r w:rsidR="00BD0095" w:rsidRPr="001E13E7">
        <w:t>ould</w:t>
      </w:r>
      <w:r w:rsidRPr="001E13E7">
        <w:t xml:space="preserve"> tell about the impressions and experience of the discovery of the tomb. The first-hand experience of </w:t>
      </w:r>
      <w:r w:rsidR="00F673DE" w:rsidRPr="001E13E7">
        <w:t xml:space="preserve">the author of this dissertation of </w:t>
      </w:r>
      <w:r w:rsidRPr="001E13E7">
        <w:t xml:space="preserve">attending the </w:t>
      </w:r>
      <w:r w:rsidRPr="001E13E7">
        <w:rPr>
          <w:i/>
          <w:iCs/>
        </w:rPr>
        <w:t>Tutankhamun: The Golden Pharaoh</w:t>
      </w:r>
      <w:r w:rsidRPr="001E13E7">
        <w:t xml:space="preserve"> exhibition tour in 2019 </w:t>
      </w:r>
      <w:r w:rsidR="00BD0095" w:rsidRPr="001E13E7">
        <w:t>forms</w:t>
      </w:r>
      <w:r w:rsidR="00A2549D" w:rsidRPr="001E13E7">
        <w:t xml:space="preserve"> part of the discussion</w:t>
      </w:r>
      <w:r w:rsidRPr="001E13E7">
        <w:t xml:space="preserve">. </w:t>
      </w:r>
    </w:p>
    <w:p w14:paraId="485B2CB7" w14:textId="5300705E" w:rsidR="00105905" w:rsidRDefault="001668C1" w:rsidP="00105905">
      <w:pPr>
        <w:spacing w:line="360" w:lineRule="auto"/>
      </w:pPr>
      <w:r w:rsidRPr="001E13E7">
        <w:t xml:space="preserve">For the purpose of this dissertation, the author focussed on accessible sources in English language. </w:t>
      </w:r>
      <w:r w:rsidR="00105905" w:rsidRPr="001E13E7">
        <w:t xml:space="preserve"> Fortunately, there has been a wide range of literature on the subject that has been published from the date of the discovery of Tutankhamun in 1922 up to the present day. To help narrow down the search for sources key words and phrases were used such as ‘Egyptomania’ and ‘antiquities’ because they were to be used throughout this dissertation. Once a source was found that fitted the above criteria, the date of publication and the credentials of the author were checked. The contents page, the indices and chapter headings were explored using key words and phrases to decide if this source contained information that would be relevant to the research</w:t>
      </w:r>
      <w:r w:rsidR="001E13E7">
        <w:t xml:space="preserve">, a full list of this criteria can </w:t>
      </w:r>
      <w:r w:rsidR="00FC4121">
        <w:t>be</w:t>
      </w:r>
      <w:r w:rsidR="001E13E7">
        <w:t xml:space="preserve"> seen in </w:t>
      </w:r>
      <w:r w:rsidR="00441FA5" w:rsidRPr="001E13E7">
        <w:t>a</w:t>
      </w:r>
      <w:r w:rsidR="00105905" w:rsidRPr="001E13E7">
        <w:t xml:space="preserve">ppendix A. </w:t>
      </w:r>
      <w:r w:rsidR="00105905" w:rsidRPr="00150B34">
        <w:t>This i</w:t>
      </w:r>
      <w:r w:rsidR="00105905">
        <w:t xml:space="preserve">nclusive and exclusive approach produced a large range of sources (approximately </w:t>
      </w:r>
      <w:r w:rsidR="00367AA8">
        <w:t>85</w:t>
      </w:r>
      <w:r w:rsidR="00105905">
        <w:t>) which although time consuming to analyse</w:t>
      </w:r>
      <w:r w:rsidR="00FC4121">
        <w:t xml:space="preserve">, </w:t>
      </w:r>
      <w:proofErr w:type="gramStart"/>
      <w:r w:rsidR="007C4C89">
        <w:t>it</w:t>
      </w:r>
      <w:proofErr w:type="gramEnd"/>
      <w:r w:rsidR="007C4C89">
        <w:t xml:space="preserve"> </w:t>
      </w:r>
      <w:r w:rsidR="00105905">
        <w:t xml:space="preserve">improved accuracy, reliability and objectivity of the information. </w:t>
      </w:r>
    </w:p>
    <w:p w14:paraId="58AC3AA9" w14:textId="200289A8" w:rsidR="004A00C1" w:rsidRPr="00150B34" w:rsidRDefault="00105905" w:rsidP="004A00C1">
      <w:pPr>
        <w:spacing w:line="360" w:lineRule="auto"/>
      </w:pPr>
      <w:r w:rsidRPr="00150B34">
        <w:lastRenderedPageBreak/>
        <w:t xml:space="preserve">Themes that emerged </w:t>
      </w:r>
      <w:r w:rsidR="00326959" w:rsidRPr="00150B34">
        <w:t>were the complex context of</w:t>
      </w:r>
      <w:r w:rsidRPr="00150B34">
        <w:t xml:space="preserve"> the discovery of Tutankhamun’s tomb, political ramifications and global presentation of Tutankhamun</w:t>
      </w:r>
      <w:r w:rsidR="002558C1" w:rsidRPr="00150B34">
        <w:t>.</w:t>
      </w:r>
      <w:r w:rsidRPr="00150B34">
        <w:t xml:space="preserve"> </w:t>
      </w:r>
      <w:r w:rsidR="002558C1" w:rsidRPr="00150B34">
        <w:t xml:space="preserve">These </w:t>
      </w:r>
      <w:r w:rsidRPr="00150B34">
        <w:t xml:space="preserve">were identified and charted </w:t>
      </w:r>
      <w:proofErr w:type="gramStart"/>
      <w:r w:rsidRPr="00150B34">
        <w:t xml:space="preserve">in order </w:t>
      </w:r>
      <w:r w:rsidRPr="001530B0">
        <w:t>to</w:t>
      </w:r>
      <w:proofErr w:type="gramEnd"/>
      <w:r w:rsidRPr="001530B0">
        <w:t xml:space="preserve"> cross reference, compare and contrast the material and findings along with pharaonism theory. </w:t>
      </w:r>
      <w:r w:rsidR="000320D4" w:rsidRPr="001530B0">
        <w:t xml:space="preserve">The next section covers </w:t>
      </w:r>
      <w:r w:rsidR="00150B34" w:rsidRPr="001530B0">
        <w:t xml:space="preserve">the </w:t>
      </w:r>
      <w:r w:rsidR="000320D4" w:rsidRPr="001530B0">
        <w:t xml:space="preserve">background and context of </w:t>
      </w:r>
      <w:r w:rsidR="00FC4121" w:rsidRPr="001530B0">
        <w:t>European</w:t>
      </w:r>
      <w:r w:rsidR="000320D4" w:rsidRPr="001530B0">
        <w:t>s and classical figures in Egypt.</w:t>
      </w:r>
      <w:r w:rsidR="000320D4" w:rsidRPr="00150B34">
        <w:t xml:space="preserve"> </w:t>
      </w:r>
    </w:p>
    <w:p w14:paraId="42F5F901" w14:textId="77777777" w:rsidR="000320D4" w:rsidRPr="00150B34" w:rsidRDefault="000320D4" w:rsidP="00105905">
      <w:pPr>
        <w:spacing w:line="360" w:lineRule="auto"/>
        <w:jc w:val="center"/>
        <w:rPr>
          <w:b/>
          <w:bCs/>
          <w:sz w:val="28"/>
          <w:szCs w:val="28"/>
          <w:u w:val="single"/>
        </w:rPr>
      </w:pPr>
    </w:p>
    <w:p w14:paraId="50AED2F5" w14:textId="77777777" w:rsidR="000320D4" w:rsidRPr="00150B34" w:rsidRDefault="000320D4" w:rsidP="00105905">
      <w:pPr>
        <w:spacing w:line="360" w:lineRule="auto"/>
        <w:jc w:val="center"/>
        <w:rPr>
          <w:b/>
          <w:bCs/>
          <w:sz w:val="28"/>
          <w:szCs w:val="28"/>
          <w:u w:val="single"/>
        </w:rPr>
      </w:pPr>
    </w:p>
    <w:p w14:paraId="70E3D63D" w14:textId="77777777" w:rsidR="000320D4" w:rsidRPr="00150B34" w:rsidRDefault="000320D4" w:rsidP="00105905">
      <w:pPr>
        <w:spacing w:line="360" w:lineRule="auto"/>
        <w:jc w:val="center"/>
        <w:rPr>
          <w:b/>
          <w:bCs/>
          <w:sz w:val="28"/>
          <w:szCs w:val="28"/>
          <w:u w:val="single"/>
        </w:rPr>
      </w:pPr>
    </w:p>
    <w:p w14:paraId="3DFA148C" w14:textId="77777777" w:rsidR="000320D4" w:rsidRPr="00150B34" w:rsidRDefault="000320D4" w:rsidP="00105905">
      <w:pPr>
        <w:spacing w:line="360" w:lineRule="auto"/>
        <w:jc w:val="center"/>
        <w:rPr>
          <w:b/>
          <w:bCs/>
          <w:sz w:val="28"/>
          <w:szCs w:val="28"/>
          <w:u w:val="single"/>
        </w:rPr>
      </w:pPr>
    </w:p>
    <w:p w14:paraId="34298421" w14:textId="77777777" w:rsidR="000320D4" w:rsidRPr="00150B34" w:rsidRDefault="000320D4" w:rsidP="00105905">
      <w:pPr>
        <w:spacing w:line="360" w:lineRule="auto"/>
        <w:jc w:val="center"/>
        <w:rPr>
          <w:b/>
          <w:bCs/>
          <w:sz w:val="28"/>
          <w:szCs w:val="28"/>
          <w:u w:val="single"/>
        </w:rPr>
      </w:pPr>
    </w:p>
    <w:p w14:paraId="296515A0" w14:textId="77777777" w:rsidR="000320D4" w:rsidRPr="00150B34" w:rsidRDefault="000320D4" w:rsidP="00105905">
      <w:pPr>
        <w:spacing w:line="360" w:lineRule="auto"/>
        <w:jc w:val="center"/>
        <w:rPr>
          <w:b/>
          <w:bCs/>
          <w:sz w:val="28"/>
          <w:szCs w:val="28"/>
          <w:u w:val="single"/>
        </w:rPr>
      </w:pPr>
    </w:p>
    <w:p w14:paraId="361CEEF2" w14:textId="77777777" w:rsidR="000320D4" w:rsidRPr="00150B34" w:rsidRDefault="000320D4" w:rsidP="00105905">
      <w:pPr>
        <w:spacing w:line="360" w:lineRule="auto"/>
        <w:jc w:val="center"/>
        <w:rPr>
          <w:b/>
          <w:bCs/>
          <w:sz w:val="28"/>
          <w:szCs w:val="28"/>
          <w:u w:val="single"/>
        </w:rPr>
      </w:pPr>
    </w:p>
    <w:p w14:paraId="2DA2C87B" w14:textId="77777777" w:rsidR="000320D4" w:rsidRPr="00150B34" w:rsidRDefault="000320D4" w:rsidP="00105905">
      <w:pPr>
        <w:spacing w:line="360" w:lineRule="auto"/>
        <w:jc w:val="center"/>
        <w:rPr>
          <w:b/>
          <w:bCs/>
          <w:sz w:val="28"/>
          <w:szCs w:val="28"/>
          <w:u w:val="single"/>
        </w:rPr>
      </w:pPr>
    </w:p>
    <w:p w14:paraId="528E6E68" w14:textId="77777777" w:rsidR="000320D4" w:rsidRPr="00150B34" w:rsidRDefault="000320D4" w:rsidP="00105905">
      <w:pPr>
        <w:spacing w:line="360" w:lineRule="auto"/>
        <w:jc w:val="center"/>
        <w:rPr>
          <w:b/>
          <w:bCs/>
          <w:sz w:val="28"/>
          <w:szCs w:val="28"/>
          <w:u w:val="single"/>
        </w:rPr>
      </w:pPr>
    </w:p>
    <w:p w14:paraId="37CF5881" w14:textId="77777777" w:rsidR="000320D4" w:rsidRPr="00150B34" w:rsidRDefault="000320D4" w:rsidP="00105905">
      <w:pPr>
        <w:spacing w:line="360" w:lineRule="auto"/>
        <w:jc w:val="center"/>
        <w:rPr>
          <w:b/>
          <w:bCs/>
          <w:sz w:val="28"/>
          <w:szCs w:val="28"/>
          <w:u w:val="single"/>
        </w:rPr>
      </w:pPr>
    </w:p>
    <w:p w14:paraId="48C16C76" w14:textId="77777777" w:rsidR="000320D4" w:rsidRPr="00150B34" w:rsidRDefault="000320D4" w:rsidP="00105905">
      <w:pPr>
        <w:spacing w:line="360" w:lineRule="auto"/>
        <w:jc w:val="center"/>
        <w:rPr>
          <w:b/>
          <w:bCs/>
          <w:sz w:val="28"/>
          <w:szCs w:val="28"/>
          <w:u w:val="single"/>
        </w:rPr>
      </w:pPr>
    </w:p>
    <w:p w14:paraId="7E9E9EB3" w14:textId="77777777" w:rsidR="000320D4" w:rsidRPr="00150B34" w:rsidRDefault="000320D4" w:rsidP="00105905">
      <w:pPr>
        <w:spacing w:line="360" w:lineRule="auto"/>
        <w:jc w:val="center"/>
        <w:rPr>
          <w:b/>
          <w:bCs/>
          <w:sz w:val="28"/>
          <w:szCs w:val="28"/>
          <w:u w:val="single"/>
        </w:rPr>
      </w:pPr>
    </w:p>
    <w:p w14:paraId="459FC5C1" w14:textId="77777777" w:rsidR="000320D4" w:rsidRPr="00150B34" w:rsidRDefault="000320D4" w:rsidP="00105905">
      <w:pPr>
        <w:spacing w:line="360" w:lineRule="auto"/>
        <w:jc w:val="center"/>
        <w:rPr>
          <w:b/>
          <w:bCs/>
          <w:sz w:val="28"/>
          <w:szCs w:val="28"/>
          <w:u w:val="single"/>
        </w:rPr>
      </w:pPr>
    </w:p>
    <w:p w14:paraId="46BAFD99" w14:textId="77777777" w:rsidR="000320D4" w:rsidRPr="00150B34" w:rsidRDefault="000320D4" w:rsidP="00105905">
      <w:pPr>
        <w:spacing w:line="360" w:lineRule="auto"/>
        <w:jc w:val="center"/>
        <w:rPr>
          <w:b/>
          <w:bCs/>
          <w:sz w:val="28"/>
          <w:szCs w:val="28"/>
          <w:u w:val="single"/>
        </w:rPr>
      </w:pPr>
    </w:p>
    <w:p w14:paraId="1DB622A0" w14:textId="77777777" w:rsidR="000320D4" w:rsidRPr="00150B34" w:rsidRDefault="000320D4" w:rsidP="00105905">
      <w:pPr>
        <w:spacing w:line="360" w:lineRule="auto"/>
        <w:jc w:val="center"/>
        <w:rPr>
          <w:b/>
          <w:bCs/>
          <w:sz w:val="28"/>
          <w:szCs w:val="28"/>
          <w:u w:val="single"/>
        </w:rPr>
      </w:pPr>
    </w:p>
    <w:p w14:paraId="164D21EF" w14:textId="77777777" w:rsidR="000320D4" w:rsidRPr="00150B34" w:rsidRDefault="000320D4" w:rsidP="00105905">
      <w:pPr>
        <w:spacing w:line="360" w:lineRule="auto"/>
        <w:jc w:val="center"/>
        <w:rPr>
          <w:b/>
          <w:bCs/>
          <w:sz w:val="28"/>
          <w:szCs w:val="28"/>
          <w:u w:val="single"/>
        </w:rPr>
      </w:pPr>
    </w:p>
    <w:p w14:paraId="4372AAAD" w14:textId="77777777" w:rsidR="000320D4" w:rsidRPr="00150B34" w:rsidRDefault="000320D4" w:rsidP="00105905">
      <w:pPr>
        <w:spacing w:line="360" w:lineRule="auto"/>
        <w:jc w:val="center"/>
        <w:rPr>
          <w:b/>
          <w:bCs/>
          <w:sz w:val="28"/>
          <w:szCs w:val="28"/>
          <w:u w:val="single"/>
        </w:rPr>
      </w:pPr>
    </w:p>
    <w:p w14:paraId="16D677A4" w14:textId="77777777" w:rsidR="009438D2" w:rsidRPr="00150B34" w:rsidRDefault="009438D2" w:rsidP="009438D2">
      <w:pPr>
        <w:spacing w:line="360" w:lineRule="auto"/>
        <w:rPr>
          <w:b/>
          <w:bCs/>
          <w:sz w:val="28"/>
          <w:szCs w:val="28"/>
          <w:u w:val="single"/>
        </w:rPr>
      </w:pPr>
    </w:p>
    <w:p w14:paraId="6D4C4C04" w14:textId="17CC61F3" w:rsidR="00105905" w:rsidRPr="00150B34" w:rsidRDefault="00105905" w:rsidP="009438D2">
      <w:pPr>
        <w:spacing w:line="360" w:lineRule="auto"/>
        <w:jc w:val="center"/>
      </w:pPr>
      <w:r w:rsidRPr="00150B34">
        <w:rPr>
          <w:b/>
          <w:bCs/>
          <w:sz w:val="28"/>
          <w:szCs w:val="28"/>
          <w:u w:val="single"/>
        </w:rPr>
        <w:lastRenderedPageBreak/>
        <w:t>Chapter 1 – Context</w:t>
      </w:r>
    </w:p>
    <w:p w14:paraId="4559518E" w14:textId="18ED05F5" w:rsidR="00105905" w:rsidRPr="00150B34" w:rsidRDefault="007448D2" w:rsidP="00105905">
      <w:pPr>
        <w:pStyle w:val="ListParagraph"/>
        <w:numPr>
          <w:ilvl w:val="0"/>
          <w:numId w:val="2"/>
        </w:numPr>
        <w:rPr>
          <w:b/>
          <w:bCs/>
          <w:sz w:val="24"/>
          <w:szCs w:val="24"/>
        </w:rPr>
      </w:pPr>
      <w:r w:rsidRPr="00150B34">
        <w:rPr>
          <w:b/>
          <w:bCs/>
          <w:sz w:val="24"/>
          <w:szCs w:val="24"/>
        </w:rPr>
        <w:t>Westerners</w:t>
      </w:r>
    </w:p>
    <w:p w14:paraId="5EE529E1" w14:textId="121B5A5A" w:rsidR="009D2E03" w:rsidRPr="00150B34" w:rsidRDefault="00105905" w:rsidP="009D2E03">
      <w:pPr>
        <w:spacing w:line="360" w:lineRule="auto"/>
      </w:pPr>
      <w:r w:rsidRPr="00150B34">
        <w:t>This chapter considers what Westerners were doing in Egypt, looking at the classical world such as Rome and Greece and modern Europe (France, Britain, Germany and Italy). The word Westerner means ‘a native or inhabitant of the West, especially of Western Europe or North America’</w:t>
      </w:r>
      <w:r w:rsidRPr="00150B34">
        <w:rPr>
          <w:rStyle w:val="FootnoteReference"/>
        </w:rPr>
        <w:footnoteReference w:id="2"/>
      </w:r>
      <w:r w:rsidRPr="00150B34">
        <w:t xml:space="preserve">. The classical world and modern Europe are located </w:t>
      </w:r>
      <w:r w:rsidR="000144B4" w:rsidRPr="00150B34">
        <w:t xml:space="preserve">to the </w:t>
      </w:r>
      <w:r w:rsidRPr="00150B34">
        <w:t>West of Egypt</w:t>
      </w:r>
      <w:r w:rsidR="00150B34" w:rsidRPr="00150B34">
        <w:t xml:space="preserve"> and can be seen in map 1</w:t>
      </w:r>
      <w:r w:rsidRPr="00150B34">
        <w:t>. This chapter</w:t>
      </w:r>
      <w:r w:rsidR="00D1653E" w:rsidRPr="00150B34">
        <w:t xml:space="preserve"> </w:t>
      </w:r>
      <w:r w:rsidR="002558C1" w:rsidRPr="00150B34">
        <w:t>looks</w:t>
      </w:r>
      <w:r w:rsidR="00D1653E" w:rsidRPr="00150B34">
        <w:t xml:space="preserve"> at</w:t>
      </w:r>
      <w:r w:rsidRPr="00150B34">
        <w:t xml:space="preserve"> years before the discovery of Tutankhamun to establish that there has been an obsession with Egypt since at least the fifth century and that there has been a conflict of exploit</w:t>
      </w:r>
      <w:r w:rsidR="003C646C">
        <w:t xml:space="preserve">ation of </w:t>
      </w:r>
      <w:r w:rsidRPr="00150B34">
        <w:t xml:space="preserve">Egyptian artefacts for political prestige for at least a hundred years from Napoleon’s expedition. </w:t>
      </w:r>
    </w:p>
    <w:p w14:paraId="2E60EAF2" w14:textId="3E6FD149" w:rsidR="009D2E03" w:rsidRPr="00150B34" w:rsidRDefault="00FE2253" w:rsidP="009D2E03">
      <w:pPr>
        <w:spacing w:line="360" w:lineRule="auto"/>
      </w:pPr>
      <w:r w:rsidRPr="00150B34">
        <w:rPr>
          <w:noProof/>
        </w:rPr>
        <mc:AlternateContent>
          <mc:Choice Requires="wps">
            <w:drawing>
              <wp:anchor distT="0" distB="0" distL="114300" distR="114300" simplePos="0" relativeHeight="251729920" behindDoc="0" locked="0" layoutInCell="1" allowOverlap="1" wp14:anchorId="0C66E671" wp14:editId="54FC9029">
                <wp:simplePos x="0" y="0"/>
                <wp:positionH relativeFrom="column">
                  <wp:posOffset>325843</wp:posOffset>
                </wp:positionH>
                <wp:positionV relativeFrom="paragraph">
                  <wp:posOffset>2531405</wp:posOffset>
                </wp:positionV>
                <wp:extent cx="552450" cy="30480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552450" cy="304800"/>
                        </a:xfrm>
                        <a:prstGeom prst="rect">
                          <a:avLst/>
                        </a:prstGeom>
                        <a:solidFill>
                          <a:schemeClr val="lt1"/>
                        </a:solidFill>
                        <a:ln w="6350">
                          <a:noFill/>
                        </a:ln>
                      </wps:spPr>
                      <wps:txbx>
                        <w:txbxContent>
                          <w:p w14:paraId="286A09A6" w14:textId="5DAD452B" w:rsidR="00536485" w:rsidRPr="00F3273C" w:rsidRDefault="00536485">
                            <w:pPr>
                              <w:rPr>
                                <w:b/>
                                <w:bCs/>
                                <w:u w:val="single"/>
                              </w:rPr>
                            </w:pPr>
                            <w:r w:rsidRPr="00F3273C">
                              <w:rPr>
                                <w:b/>
                                <w:bCs/>
                                <w:u w:val="single"/>
                              </w:rPr>
                              <w:t>Key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66E671" id="Text Box 38" o:spid="_x0000_s1028" type="#_x0000_t202" style="position:absolute;margin-left:25.65pt;margin-top:199.3pt;width:43.5pt;height:24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" fillcolor="white [3201]" stroked="f" strokeweight=".5pt">
                <v:textbox>
                  <w:txbxContent>
                    <w:p w14:paraId="286A09A6" w14:textId="5DAD452B" w:rsidR="00536485" w:rsidRPr="00F3273C" w:rsidRDefault="00536485">
                      <w:pPr>
                        <w:rPr>
                          <w:b/>
                          <w:bCs/>
                          <w:u w:val="single"/>
                        </w:rPr>
                      </w:pPr>
                      <w:r w:rsidRPr="00F3273C">
                        <w:rPr>
                          <w:b/>
                          <w:bCs/>
                          <w:u w:val="single"/>
                        </w:rPr>
                        <w:t>Key</w:t>
                      </w:r>
                    </w:p>
                  </w:txbxContent>
                </v:textbox>
              </v:shape>
            </w:pict>
          </mc:Fallback>
        </mc:AlternateContent>
      </w:r>
      <w:r w:rsidRPr="00150B34">
        <w:rPr>
          <w:noProof/>
        </w:rPr>
        <mc:AlternateContent>
          <mc:Choice Requires="wps">
            <w:drawing>
              <wp:anchor distT="0" distB="0" distL="114300" distR="114300" simplePos="0" relativeHeight="251658239" behindDoc="0" locked="0" layoutInCell="1" allowOverlap="1" wp14:anchorId="41607B70" wp14:editId="63A3E535">
                <wp:simplePos x="0" y="0"/>
                <wp:positionH relativeFrom="column">
                  <wp:posOffset>159385</wp:posOffset>
                </wp:positionH>
                <wp:positionV relativeFrom="paragraph">
                  <wp:posOffset>2761983</wp:posOffset>
                </wp:positionV>
                <wp:extent cx="857250" cy="1034681"/>
                <wp:effectExtent l="0" t="0" r="0" b="0"/>
                <wp:wrapNone/>
                <wp:docPr id="37" name="Text Box 37"/>
                <wp:cNvGraphicFramePr/>
                <a:graphic xmlns:a="http://schemas.openxmlformats.org/drawingml/2006/main">
                  <a:graphicData uri="http://schemas.microsoft.com/office/word/2010/wordprocessingShape">
                    <wps:wsp>
                      <wps:cNvSpPr txBox="1"/>
                      <wps:spPr>
                        <a:xfrm>
                          <a:off x="0" y="0"/>
                          <a:ext cx="857250" cy="1034681"/>
                        </a:xfrm>
                        <a:prstGeom prst="rect">
                          <a:avLst/>
                        </a:prstGeom>
                        <a:solidFill>
                          <a:schemeClr val="lt1"/>
                        </a:solidFill>
                        <a:ln w="6350">
                          <a:noFill/>
                        </a:ln>
                      </wps:spPr>
                      <wps:txbx>
                        <w:txbxContent>
                          <w:p w14:paraId="4AE9BAAD" w14:textId="4C4231A1" w:rsidR="00536485" w:rsidRDefault="00536485" w:rsidP="00F75521">
                            <w:pPr>
                              <w:pStyle w:val="NoSpacing"/>
                              <w:spacing w:line="276" w:lineRule="auto"/>
                              <w:rPr>
                                <w:sz w:val="20"/>
                                <w:szCs w:val="20"/>
                              </w:rPr>
                            </w:pPr>
                            <w:r>
                              <w:rPr>
                                <w:sz w:val="20"/>
                                <w:szCs w:val="20"/>
                              </w:rPr>
                              <w:t>Italy</w:t>
                            </w:r>
                          </w:p>
                          <w:p w14:paraId="2DEB2BF4" w14:textId="2482D9C9" w:rsidR="00536485" w:rsidRPr="00F3273C" w:rsidRDefault="00536485" w:rsidP="00F75521">
                            <w:pPr>
                              <w:pStyle w:val="NoSpacing"/>
                              <w:spacing w:line="276" w:lineRule="auto"/>
                              <w:rPr>
                                <w:sz w:val="20"/>
                                <w:szCs w:val="20"/>
                              </w:rPr>
                            </w:pPr>
                            <w:r w:rsidRPr="00F3273C">
                              <w:rPr>
                                <w:sz w:val="20"/>
                                <w:szCs w:val="20"/>
                              </w:rPr>
                              <w:t xml:space="preserve">Germany </w:t>
                            </w:r>
                          </w:p>
                          <w:p w14:paraId="361DFFA9" w14:textId="35EABC62" w:rsidR="00536485" w:rsidRPr="00F3273C" w:rsidRDefault="00536485" w:rsidP="00F75521">
                            <w:pPr>
                              <w:pStyle w:val="NoSpacing"/>
                              <w:spacing w:line="276" w:lineRule="auto"/>
                              <w:rPr>
                                <w:sz w:val="20"/>
                                <w:szCs w:val="20"/>
                              </w:rPr>
                            </w:pPr>
                            <w:r w:rsidRPr="00F3273C">
                              <w:rPr>
                                <w:sz w:val="20"/>
                                <w:szCs w:val="20"/>
                              </w:rPr>
                              <w:t>France</w:t>
                            </w:r>
                          </w:p>
                          <w:p w14:paraId="3DF59053" w14:textId="09F0958E" w:rsidR="00536485" w:rsidRPr="00F3273C" w:rsidRDefault="00536485" w:rsidP="00F75521">
                            <w:pPr>
                              <w:pStyle w:val="NoSpacing"/>
                              <w:spacing w:line="276" w:lineRule="auto"/>
                              <w:rPr>
                                <w:sz w:val="20"/>
                                <w:szCs w:val="20"/>
                              </w:rPr>
                            </w:pPr>
                            <w:r w:rsidRPr="00F3273C">
                              <w:rPr>
                                <w:sz w:val="20"/>
                                <w:szCs w:val="20"/>
                              </w:rPr>
                              <w:t xml:space="preserve">England </w:t>
                            </w:r>
                          </w:p>
                          <w:p w14:paraId="6DA631B7" w14:textId="3E5D87FB" w:rsidR="00536485" w:rsidRPr="00F3273C" w:rsidRDefault="00536485" w:rsidP="00F75521">
                            <w:pPr>
                              <w:pStyle w:val="NoSpacing"/>
                              <w:spacing w:line="276" w:lineRule="auto"/>
                              <w:rPr>
                                <w:sz w:val="20"/>
                                <w:szCs w:val="20"/>
                              </w:rPr>
                            </w:pPr>
                            <w:r w:rsidRPr="00F3273C">
                              <w:rPr>
                                <w:sz w:val="20"/>
                                <w:szCs w:val="20"/>
                              </w:rPr>
                              <w:t>Egypt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607B70" id="Text Box 37" o:spid="_x0000_s1029" type="#_x0000_t202" style="position:absolute;margin-left:12.55pt;margin-top:217.5pt;width:67.5pt;height:81.45pt;z-index:25165823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" fillcolor="white [3201]" stroked="f" strokeweight=".5pt">
                <v:textbox>
                  <w:txbxContent>
                    <w:p w14:paraId="4AE9BAAD" w14:textId="4C4231A1" w:rsidR="00536485" w:rsidRDefault="00536485" w:rsidP="00F75521">
                      <w:pPr>
                        <w:pStyle w:val="NoSpacing"/>
                        <w:spacing w:line="276" w:lineRule="auto"/>
                        <w:rPr>
                          <w:sz w:val="20"/>
                          <w:szCs w:val="20"/>
                        </w:rPr>
                      </w:pPr>
                      <w:r>
                        <w:rPr>
                          <w:sz w:val="20"/>
                          <w:szCs w:val="20"/>
                        </w:rPr>
                        <w:t>Italy</w:t>
                      </w:r>
                    </w:p>
                    <w:p w14:paraId="2DEB2BF4" w14:textId="2482D9C9" w:rsidR="00536485" w:rsidRPr="00F3273C" w:rsidRDefault="00536485" w:rsidP="00F75521">
                      <w:pPr>
                        <w:pStyle w:val="NoSpacing"/>
                        <w:spacing w:line="276" w:lineRule="auto"/>
                        <w:rPr>
                          <w:sz w:val="20"/>
                          <w:szCs w:val="20"/>
                        </w:rPr>
                      </w:pPr>
                      <w:r w:rsidRPr="00F3273C">
                        <w:rPr>
                          <w:sz w:val="20"/>
                          <w:szCs w:val="20"/>
                        </w:rPr>
                        <w:t xml:space="preserve">Germany </w:t>
                      </w:r>
                    </w:p>
                    <w:p w14:paraId="361DFFA9" w14:textId="35EABC62" w:rsidR="00536485" w:rsidRPr="00F3273C" w:rsidRDefault="00536485" w:rsidP="00F75521">
                      <w:pPr>
                        <w:pStyle w:val="NoSpacing"/>
                        <w:spacing w:line="276" w:lineRule="auto"/>
                        <w:rPr>
                          <w:sz w:val="20"/>
                          <w:szCs w:val="20"/>
                        </w:rPr>
                      </w:pPr>
                      <w:r w:rsidRPr="00F3273C">
                        <w:rPr>
                          <w:sz w:val="20"/>
                          <w:szCs w:val="20"/>
                        </w:rPr>
                        <w:t>France</w:t>
                      </w:r>
                    </w:p>
                    <w:p w14:paraId="3DF59053" w14:textId="09F0958E" w:rsidR="00536485" w:rsidRPr="00F3273C" w:rsidRDefault="00536485" w:rsidP="00F75521">
                      <w:pPr>
                        <w:pStyle w:val="NoSpacing"/>
                        <w:spacing w:line="276" w:lineRule="auto"/>
                        <w:rPr>
                          <w:sz w:val="20"/>
                          <w:szCs w:val="20"/>
                        </w:rPr>
                      </w:pPr>
                      <w:r w:rsidRPr="00F3273C">
                        <w:rPr>
                          <w:sz w:val="20"/>
                          <w:szCs w:val="20"/>
                        </w:rPr>
                        <w:t xml:space="preserve">England </w:t>
                      </w:r>
                    </w:p>
                    <w:p w14:paraId="6DA631B7" w14:textId="3E5D87FB" w:rsidR="00536485" w:rsidRPr="00F3273C" w:rsidRDefault="00536485" w:rsidP="00F75521">
                      <w:pPr>
                        <w:pStyle w:val="NoSpacing"/>
                        <w:spacing w:line="276" w:lineRule="auto"/>
                        <w:rPr>
                          <w:sz w:val="20"/>
                          <w:szCs w:val="20"/>
                        </w:rPr>
                      </w:pPr>
                      <w:r w:rsidRPr="00F3273C">
                        <w:rPr>
                          <w:sz w:val="20"/>
                          <w:szCs w:val="20"/>
                        </w:rPr>
                        <w:t>Egypt</w:t>
                      </w:r>
                    </w:p>
                  </w:txbxContent>
                </v:textbox>
              </v:shape>
            </w:pict>
          </mc:Fallback>
        </mc:AlternateContent>
      </w:r>
      <w:r w:rsidRPr="00150B34">
        <w:rPr>
          <w:noProof/>
        </w:rPr>
        <mc:AlternateContent>
          <mc:Choice Requires="wps">
            <w:drawing>
              <wp:anchor distT="0" distB="0" distL="114300" distR="114300" simplePos="0" relativeHeight="251744256" behindDoc="0" locked="0" layoutInCell="1" allowOverlap="1" wp14:anchorId="274BEC36" wp14:editId="16767DBE">
                <wp:simplePos x="0" y="0"/>
                <wp:positionH relativeFrom="column">
                  <wp:posOffset>45188</wp:posOffset>
                </wp:positionH>
                <wp:positionV relativeFrom="paragraph">
                  <wp:posOffset>2764953</wp:posOffset>
                </wp:positionV>
                <wp:extent cx="114300" cy="152400"/>
                <wp:effectExtent l="0" t="0" r="19050" b="19050"/>
                <wp:wrapNone/>
                <wp:docPr id="9" name="Oval 9"/>
                <wp:cNvGraphicFramePr/>
                <a:graphic xmlns:a="http://schemas.openxmlformats.org/drawingml/2006/main">
                  <a:graphicData uri="http://schemas.microsoft.com/office/word/2010/wordprocessingShape">
                    <wps:wsp>
                      <wps:cNvSpPr/>
                      <wps:spPr>
                        <a:xfrm flipH="1" flipV="1">
                          <a:off x="0" y="0"/>
                          <a:ext cx="114300" cy="152400"/>
                        </a:xfrm>
                        <a:prstGeom prst="ellipse">
                          <a:avLst/>
                        </a:prstGeom>
                        <a:solidFill>
                          <a:srgbClr val="EC7804"/>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A014FB" id="Oval 9" o:spid="_x0000_s1026" style="position:absolute;margin-left:3.55pt;margin-top:217.7pt;width:9pt;height:12pt;flip:x y;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" fillcolor="#ec7804" strokecolor="#1f3763 [1604]" strokeweight="1pt">
                <v:stroke joinstyle="miter"/>
              </v:oval>
            </w:pict>
          </mc:Fallback>
        </mc:AlternateContent>
      </w:r>
      <w:r w:rsidRPr="00150B34">
        <w:rPr>
          <w:noProof/>
        </w:rPr>
        <mc:AlternateContent>
          <mc:Choice Requires="wps">
            <w:drawing>
              <wp:anchor distT="0" distB="0" distL="114300" distR="114300" simplePos="0" relativeHeight="251657214" behindDoc="0" locked="0" layoutInCell="1" allowOverlap="1" wp14:anchorId="7A07D903" wp14:editId="65422BD3">
                <wp:simplePos x="0" y="0"/>
                <wp:positionH relativeFrom="column">
                  <wp:posOffset>0</wp:posOffset>
                </wp:positionH>
                <wp:positionV relativeFrom="paragraph">
                  <wp:posOffset>2471080</wp:posOffset>
                </wp:positionV>
                <wp:extent cx="1133475" cy="1329321"/>
                <wp:effectExtent l="0" t="0" r="28575" b="23495"/>
                <wp:wrapNone/>
                <wp:docPr id="32" name="Rectangle 32"/>
                <wp:cNvGraphicFramePr/>
                <a:graphic xmlns:a="http://schemas.openxmlformats.org/drawingml/2006/main">
                  <a:graphicData uri="http://schemas.microsoft.com/office/word/2010/wordprocessingShape">
                    <wps:wsp>
                      <wps:cNvSpPr/>
                      <wps:spPr>
                        <a:xfrm>
                          <a:off x="0" y="0"/>
                          <a:ext cx="1133475" cy="1329321"/>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68ACA5" id="Rectangle 32" o:spid="_x0000_s1026" style="position:absolute;margin-left:0;margin-top:194.55pt;width:89.25pt;height:104.65pt;z-index:2516572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" fillcolor="white [3212]" strokecolor="black [3213]" strokeweight="1pt"/>
            </w:pict>
          </mc:Fallback>
        </mc:AlternateContent>
      </w:r>
      <w:r w:rsidR="000320D4" w:rsidRPr="00150B34">
        <w:rPr>
          <w:noProof/>
        </w:rPr>
        <mc:AlternateContent>
          <mc:Choice Requires="wps">
            <w:drawing>
              <wp:anchor distT="0" distB="0" distL="114300" distR="114300" simplePos="0" relativeHeight="251742208" behindDoc="0" locked="0" layoutInCell="1" allowOverlap="1" wp14:anchorId="5C284255" wp14:editId="7C4DAFAE">
                <wp:simplePos x="0" y="0"/>
                <wp:positionH relativeFrom="column">
                  <wp:posOffset>1829022</wp:posOffset>
                </wp:positionH>
                <wp:positionV relativeFrom="paragraph">
                  <wp:posOffset>1588135</wp:posOffset>
                </wp:positionV>
                <wp:extent cx="114300" cy="152400"/>
                <wp:effectExtent l="0" t="0" r="19050" b="19050"/>
                <wp:wrapNone/>
                <wp:docPr id="8" name="Oval 8"/>
                <wp:cNvGraphicFramePr/>
                <a:graphic xmlns:a="http://schemas.openxmlformats.org/drawingml/2006/main">
                  <a:graphicData uri="http://schemas.microsoft.com/office/word/2010/wordprocessingShape">
                    <wps:wsp>
                      <wps:cNvSpPr/>
                      <wps:spPr>
                        <a:xfrm flipH="1" flipV="1">
                          <a:off x="0" y="0"/>
                          <a:ext cx="114300" cy="152400"/>
                        </a:xfrm>
                        <a:prstGeom prst="ellipse">
                          <a:avLst/>
                        </a:prstGeom>
                        <a:solidFill>
                          <a:srgbClr val="EC7804"/>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5FF00E" id="Oval 8" o:spid="_x0000_s1026" style="position:absolute;margin-left:2in;margin-top:125.05pt;width:9pt;height:12pt;flip:x y;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" fillcolor="#ec7804" strokecolor="#1f3763 [1604]" strokeweight="1pt">
                <v:stroke joinstyle="miter"/>
              </v:oval>
            </w:pict>
          </mc:Fallback>
        </mc:AlternateContent>
      </w:r>
      <w:r w:rsidR="00F75521" w:rsidRPr="00150B34">
        <w:rPr>
          <w:noProof/>
        </w:rPr>
        <mc:AlternateContent>
          <mc:Choice Requires="wps">
            <w:drawing>
              <wp:anchor distT="0" distB="0" distL="114300" distR="114300" simplePos="0" relativeHeight="251724800" behindDoc="0" locked="0" layoutInCell="1" allowOverlap="1" wp14:anchorId="73780871" wp14:editId="657DC1F6">
                <wp:simplePos x="0" y="0"/>
                <wp:positionH relativeFrom="column">
                  <wp:posOffset>47625</wp:posOffset>
                </wp:positionH>
                <wp:positionV relativeFrom="paragraph">
                  <wp:posOffset>2961005</wp:posOffset>
                </wp:positionV>
                <wp:extent cx="114300" cy="152400"/>
                <wp:effectExtent l="0" t="0" r="19050" b="19050"/>
                <wp:wrapNone/>
                <wp:docPr id="34" name="Oval 34"/>
                <wp:cNvGraphicFramePr/>
                <a:graphic xmlns:a="http://schemas.openxmlformats.org/drawingml/2006/main">
                  <a:graphicData uri="http://schemas.microsoft.com/office/word/2010/wordprocessingShape">
                    <wps:wsp>
                      <wps:cNvSpPr/>
                      <wps:spPr>
                        <a:xfrm flipH="1" flipV="1">
                          <a:off x="0" y="0"/>
                          <a:ext cx="114300" cy="152400"/>
                        </a:xfrm>
                        <a:prstGeom prst="ellipse">
                          <a:avLst/>
                        </a:prstGeom>
                        <a:solidFill>
                          <a:srgbClr val="18FC23"/>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C6F952" id="Oval 34" o:spid="_x0000_s1026" style="position:absolute;margin-left:3.75pt;margin-top:233.15pt;width:9pt;height:12pt;flip:x 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" fillcolor="#18fc23" strokecolor="#1f3763 [1604]" strokeweight="1pt">
                <v:stroke joinstyle="miter"/>
              </v:oval>
            </w:pict>
          </mc:Fallback>
        </mc:AlternateContent>
      </w:r>
      <w:r w:rsidR="00F75521" w:rsidRPr="00150B34">
        <w:rPr>
          <w:noProof/>
        </w:rPr>
        <mc:AlternateContent>
          <mc:Choice Requires="wps">
            <w:drawing>
              <wp:anchor distT="0" distB="0" distL="114300" distR="114300" simplePos="0" relativeHeight="251726848" behindDoc="0" locked="0" layoutInCell="1" allowOverlap="1" wp14:anchorId="4C161D4C" wp14:editId="6B423803">
                <wp:simplePos x="0" y="0"/>
                <wp:positionH relativeFrom="column">
                  <wp:posOffset>47625</wp:posOffset>
                </wp:positionH>
                <wp:positionV relativeFrom="paragraph">
                  <wp:posOffset>3151505</wp:posOffset>
                </wp:positionV>
                <wp:extent cx="114300" cy="152400"/>
                <wp:effectExtent l="0" t="0" r="19050" b="19050"/>
                <wp:wrapNone/>
                <wp:docPr id="35" name="Oval 35"/>
                <wp:cNvGraphicFramePr/>
                <a:graphic xmlns:a="http://schemas.openxmlformats.org/drawingml/2006/main">
                  <a:graphicData uri="http://schemas.microsoft.com/office/word/2010/wordprocessingShape">
                    <wps:wsp>
                      <wps:cNvSpPr/>
                      <wps:spPr>
                        <a:xfrm flipH="1" flipV="1">
                          <a:off x="0" y="0"/>
                          <a:ext cx="114300" cy="152400"/>
                        </a:xfrm>
                        <a:prstGeom prst="ellips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B0125A" id="Oval 35" o:spid="_x0000_s1026" style="position:absolute;margin-left:3.75pt;margin-top:248.15pt;width:9pt;height:12pt;flip:x y;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" fillcolor="#00b0f0" strokecolor="#1f3763 [1604]" strokeweight="1pt">
                <v:stroke joinstyle="miter"/>
              </v:oval>
            </w:pict>
          </mc:Fallback>
        </mc:AlternateContent>
      </w:r>
      <w:r w:rsidR="00F75521" w:rsidRPr="00150B34">
        <w:rPr>
          <w:noProof/>
        </w:rPr>
        <mc:AlternateContent>
          <mc:Choice Requires="wps">
            <w:drawing>
              <wp:anchor distT="0" distB="0" distL="114300" distR="114300" simplePos="0" relativeHeight="251722752" behindDoc="0" locked="0" layoutInCell="1" allowOverlap="1" wp14:anchorId="30B55B9D" wp14:editId="7B2840DC">
                <wp:simplePos x="0" y="0"/>
                <wp:positionH relativeFrom="column">
                  <wp:posOffset>47625</wp:posOffset>
                </wp:positionH>
                <wp:positionV relativeFrom="paragraph">
                  <wp:posOffset>3351530</wp:posOffset>
                </wp:positionV>
                <wp:extent cx="114300" cy="152400"/>
                <wp:effectExtent l="0" t="0" r="19050" b="19050"/>
                <wp:wrapNone/>
                <wp:docPr id="33" name="Oval 33"/>
                <wp:cNvGraphicFramePr/>
                <a:graphic xmlns:a="http://schemas.openxmlformats.org/drawingml/2006/main">
                  <a:graphicData uri="http://schemas.microsoft.com/office/word/2010/wordprocessingShape">
                    <wps:wsp>
                      <wps:cNvSpPr/>
                      <wps:spPr>
                        <a:xfrm flipH="1" flipV="1">
                          <a:off x="0" y="0"/>
                          <a:ext cx="114300" cy="152400"/>
                        </a:xfrm>
                        <a:prstGeom prst="ellips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83DD2A" id="Oval 33" o:spid="_x0000_s1026" style="position:absolute;margin-left:3.75pt;margin-top:263.9pt;width:9pt;height:12pt;flip:x y;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" fillcolor="yellow" strokecolor="#1f3763 [1604]" strokeweight="1pt">
                <v:stroke joinstyle="miter"/>
              </v:oval>
            </w:pict>
          </mc:Fallback>
        </mc:AlternateContent>
      </w:r>
      <w:r w:rsidR="00F75521" w:rsidRPr="00150B34">
        <w:rPr>
          <w:noProof/>
        </w:rPr>
        <mc:AlternateContent>
          <mc:Choice Requires="wps">
            <w:drawing>
              <wp:anchor distT="0" distB="0" distL="114300" distR="114300" simplePos="0" relativeHeight="251728896" behindDoc="0" locked="0" layoutInCell="1" allowOverlap="1" wp14:anchorId="1764D046" wp14:editId="7F27AFD8">
                <wp:simplePos x="0" y="0"/>
                <wp:positionH relativeFrom="column">
                  <wp:posOffset>47625</wp:posOffset>
                </wp:positionH>
                <wp:positionV relativeFrom="paragraph">
                  <wp:posOffset>3522980</wp:posOffset>
                </wp:positionV>
                <wp:extent cx="114300" cy="152400"/>
                <wp:effectExtent l="0" t="0" r="19050" b="19050"/>
                <wp:wrapNone/>
                <wp:docPr id="36" name="Oval 36"/>
                <wp:cNvGraphicFramePr/>
                <a:graphic xmlns:a="http://schemas.openxmlformats.org/drawingml/2006/main">
                  <a:graphicData uri="http://schemas.microsoft.com/office/word/2010/wordprocessingShape">
                    <wps:wsp>
                      <wps:cNvSpPr/>
                      <wps:spPr>
                        <a:xfrm flipH="1" flipV="1">
                          <a:off x="0" y="0"/>
                          <a:ext cx="114300" cy="152400"/>
                        </a:xfrm>
                        <a:prstGeom prst="ellipse">
                          <a:avLst/>
                        </a:prstGeom>
                        <a:solidFill>
                          <a:srgbClr val="0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BEBC73" id="Oval 36" o:spid="_x0000_s1026" style="position:absolute;margin-left:3.75pt;margin-top:277.4pt;width:9pt;height:12pt;flip:x y;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" fillcolor="black" strokecolor="#1f3763 [1604]" strokeweight="1pt">
                <v:stroke joinstyle="miter"/>
              </v:oval>
            </w:pict>
          </mc:Fallback>
        </mc:AlternateContent>
      </w:r>
      <w:r w:rsidR="001F1E4C" w:rsidRPr="00150B34">
        <w:rPr>
          <w:noProof/>
        </w:rPr>
        <mc:AlternateContent>
          <mc:Choice Requires="wps">
            <w:drawing>
              <wp:anchor distT="0" distB="0" distL="114300" distR="114300" simplePos="0" relativeHeight="251719680" behindDoc="0" locked="0" layoutInCell="1" allowOverlap="1" wp14:anchorId="141C7E3B" wp14:editId="2F6EC4AF">
                <wp:simplePos x="0" y="0"/>
                <wp:positionH relativeFrom="column">
                  <wp:posOffset>2962275</wp:posOffset>
                </wp:positionH>
                <wp:positionV relativeFrom="paragraph">
                  <wp:posOffset>3113405</wp:posOffset>
                </wp:positionV>
                <wp:extent cx="114300" cy="152400"/>
                <wp:effectExtent l="0" t="0" r="19050" b="19050"/>
                <wp:wrapNone/>
                <wp:docPr id="30" name="Oval 30"/>
                <wp:cNvGraphicFramePr/>
                <a:graphic xmlns:a="http://schemas.openxmlformats.org/drawingml/2006/main">
                  <a:graphicData uri="http://schemas.microsoft.com/office/word/2010/wordprocessingShape">
                    <wps:wsp>
                      <wps:cNvSpPr/>
                      <wps:spPr>
                        <a:xfrm flipH="1" flipV="1">
                          <a:off x="0" y="0"/>
                          <a:ext cx="114300" cy="152400"/>
                        </a:xfrm>
                        <a:prstGeom prst="ellipse">
                          <a:avLst/>
                        </a:prstGeom>
                        <a:solidFill>
                          <a:srgbClr val="0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035EDB" id="Oval 30" o:spid="_x0000_s1026" style="position:absolute;margin-left:233.25pt;margin-top:245.15pt;width:9pt;height:12pt;flip:x y;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" fillcolor="black" strokecolor="#1f3763 [1604]" strokeweight="1pt">
                <v:stroke joinstyle="miter"/>
              </v:oval>
            </w:pict>
          </mc:Fallback>
        </mc:AlternateContent>
      </w:r>
      <w:r w:rsidR="001F1E4C" w:rsidRPr="00150B34">
        <w:rPr>
          <w:noProof/>
        </w:rPr>
        <mc:AlternateContent>
          <mc:Choice Requires="wps">
            <w:drawing>
              <wp:anchor distT="0" distB="0" distL="114300" distR="114300" simplePos="0" relativeHeight="251717632" behindDoc="0" locked="0" layoutInCell="1" allowOverlap="1" wp14:anchorId="11B65540" wp14:editId="53822065">
                <wp:simplePos x="0" y="0"/>
                <wp:positionH relativeFrom="column">
                  <wp:posOffset>1209675</wp:posOffset>
                </wp:positionH>
                <wp:positionV relativeFrom="paragraph">
                  <wp:posOffset>1351280</wp:posOffset>
                </wp:positionV>
                <wp:extent cx="114300" cy="152400"/>
                <wp:effectExtent l="0" t="0" r="19050" b="19050"/>
                <wp:wrapNone/>
                <wp:docPr id="29" name="Oval 29"/>
                <wp:cNvGraphicFramePr/>
                <a:graphic xmlns:a="http://schemas.openxmlformats.org/drawingml/2006/main">
                  <a:graphicData uri="http://schemas.microsoft.com/office/word/2010/wordprocessingShape">
                    <wps:wsp>
                      <wps:cNvSpPr/>
                      <wps:spPr>
                        <a:xfrm flipH="1" flipV="1">
                          <a:off x="0" y="0"/>
                          <a:ext cx="114300" cy="152400"/>
                        </a:xfrm>
                        <a:prstGeom prst="ellips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8FA90C" id="Oval 29" o:spid="_x0000_s1026" style="position:absolute;margin-left:95.25pt;margin-top:106.4pt;width:9pt;height:12pt;flip:x 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" fillcolor="#00b0f0" strokecolor="#1f3763 [1604]" strokeweight="1pt">
                <v:stroke joinstyle="miter"/>
              </v:oval>
            </w:pict>
          </mc:Fallback>
        </mc:AlternateContent>
      </w:r>
      <w:r w:rsidR="003E2602" w:rsidRPr="00150B34">
        <w:rPr>
          <w:noProof/>
        </w:rPr>
        <mc:AlternateContent>
          <mc:Choice Requires="wps">
            <w:drawing>
              <wp:anchor distT="0" distB="0" distL="114300" distR="114300" simplePos="0" relativeHeight="251715584" behindDoc="0" locked="0" layoutInCell="1" allowOverlap="1" wp14:anchorId="2BF759AC" wp14:editId="5A94C703">
                <wp:simplePos x="0" y="0"/>
                <wp:positionH relativeFrom="column">
                  <wp:posOffset>1714500</wp:posOffset>
                </wp:positionH>
                <wp:positionV relativeFrom="paragraph">
                  <wp:posOffset>913765</wp:posOffset>
                </wp:positionV>
                <wp:extent cx="114300" cy="152400"/>
                <wp:effectExtent l="0" t="0" r="19050" b="19050"/>
                <wp:wrapNone/>
                <wp:docPr id="27" name="Oval 27"/>
                <wp:cNvGraphicFramePr/>
                <a:graphic xmlns:a="http://schemas.openxmlformats.org/drawingml/2006/main">
                  <a:graphicData uri="http://schemas.microsoft.com/office/word/2010/wordprocessingShape">
                    <wps:wsp>
                      <wps:cNvSpPr/>
                      <wps:spPr>
                        <a:xfrm flipH="1" flipV="1">
                          <a:off x="0" y="0"/>
                          <a:ext cx="114300" cy="152400"/>
                        </a:xfrm>
                        <a:prstGeom prst="ellipse">
                          <a:avLst/>
                        </a:prstGeom>
                        <a:solidFill>
                          <a:srgbClr val="18FC23"/>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D72A58" id="Oval 27" o:spid="_x0000_s1026" style="position:absolute;margin-left:135pt;margin-top:71.95pt;width:9pt;height:12pt;flip:x 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" fillcolor="#18fc23" strokecolor="#1f3763 [1604]" strokeweight="1pt">
                <v:stroke joinstyle="miter"/>
              </v:oval>
            </w:pict>
          </mc:Fallback>
        </mc:AlternateContent>
      </w:r>
      <w:r w:rsidR="003E2602" w:rsidRPr="00150B34">
        <w:rPr>
          <w:noProof/>
        </w:rPr>
        <mc:AlternateContent>
          <mc:Choice Requires="wps">
            <w:drawing>
              <wp:anchor distT="0" distB="0" distL="114300" distR="114300" simplePos="0" relativeHeight="251713536" behindDoc="0" locked="0" layoutInCell="1" allowOverlap="1" wp14:anchorId="48CFD40C" wp14:editId="08C4C46D">
                <wp:simplePos x="0" y="0"/>
                <wp:positionH relativeFrom="column">
                  <wp:posOffset>885825</wp:posOffset>
                </wp:positionH>
                <wp:positionV relativeFrom="paragraph">
                  <wp:posOffset>655955</wp:posOffset>
                </wp:positionV>
                <wp:extent cx="114300" cy="152400"/>
                <wp:effectExtent l="0" t="0" r="19050" b="19050"/>
                <wp:wrapNone/>
                <wp:docPr id="26" name="Oval 26"/>
                <wp:cNvGraphicFramePr/>
                <a:graphic xmlns:a="http://schemas.openxmlformats.org/drawingml/2006/main">
                  <a:graphicData uri="http://schemas.microsoft.com/office/word/2010/wordprocessingShape">
                    <wps:wsp>
                      <wps:cNvSpPr/>
                      <wps:spPr>
                        <a:xfrm flipH="1" flipV="1">
                          <a:off x="0" y="0"/>
                          <a:ext cx="114300" cy="152400"/>
                        </a:xfrm>
                        <a:prstGeom prst="ellips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96B6D5" id="Oval 26" o:spid="_x0000_s1026" style="position:absolute;margin-left:69.75pt;margin-top:51.65pt;width:9pt;height:12pt;flip:x 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" fillcolor="yellow" strokecolor="#1f3763 [1604]" strokeweight="1pt">
                <v:stroke joinstyle="miter"/>
              </v:oval>
            </w:pict>
          </mc:Fallback>
        </mc:AlternateContent>
      </w:r>
      <w:r w:rsidR="00822FFA" w:rsidRPr="00150B34">
        <w:rPr>
          <w:noProof/>
        </w:rPr>
        <w:drawing>
          <wp:inline distT="0" distB="0" distL="0" distR="0" wp14:anchorId="472BCFF9" wp14:editId="428A7CF1">
            <wp:extent cx="4019550" cy="379990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036350" cy="3815785"/>
                    </a:xfrm>
                    <a:prstGeom prst="rect">
                      <a:avLst/>
                    </a:prstGeom>
                  </pic:spPr>
                </pic:pic>
              </a:graphicData>
            </a:graphic>
          </wp:inline>
        </w:drawing>
      </w:r>
    </w:p>
    <w:p w14:paraId="5103F97C" w14:textId="6D4A2993" w:rsidR="009D2E03" w:rsidRPr="00150B34" w:rsidRDefault="007A6A6F" w:rsidP="009D2E03">
      <w:pPr>
        <w:spacing w:line="360" w:lineRule="auto"/>
        <w:rPr>
          <w:sz w:val="18"/>
          <w:szCs w:val="18"/>
        </w:rPr>
      </w:pPr>
      <w:r w:rsidRPr="00150B34">
        <w:rPr>
          <w:sz w:val="18"/>
          <w:szCs w:val="18"/>
        </w:rPr>
        <w:t>Map 1. Map of Europe and North Africa, showing selected countries by key</w:t>
      </w:r>
      <w:r w:rsidR="0095780D" w:rsidRPr="00150B34">
        <w:rPr>
          <w:rStyle w:val="FootnoteReference"/>
          <w:sz w:val="18"/>
          <w:szCs w:val="18"/>
        </w:rPr>
        <w:footnoteReference w:id="3"/>
      </w:r>
      <w:r w:rsidRPr="00150B34">
        <w:rPr>
          <w:sz w:val="18"/>
          <w:szCs w:val="18"/>
        </w:rPr>
        <w:t xml:space="preserve">. </w:t>
      </w:r>
    </w:p>
    <w:p w14:paraId="5129D261" w14:textId="77777777" w:rsidR="0045118B" w:rsidRPr="00150B34" w:rsidRDefault="0045118B" w:rsidP="009D2E03">
      <w:pPr>
        <w:spacing w:line="360" w:lineRule="auto"/>
        <w:rPr>
          <w:sz w:val="18"/>
          <w:szCs w:val="18"/>
        </w:rPr>
      </w:pPr>
    </w:p>
    <w:p w14:paraId="0E4B5BF9" w14:textId="79441EC1" w:rsidR="00105905" w:rsidRPr="00D66B41" w:rsidRDefault="00105905" w:rsidP="009D2E03">
      <w:pPr>
        <w:spacing w:line="360" w:lineRule="auto"/>
      </w:pPr>
      <w:r w:rsidRPr="00150B34">
        <w:t xml:space="preserve">The </w:t>
      </w:r>
      <w:r w:rsidR="006D4832" w:rsidRPr="00150B34">
        <w:t>notion that Egypt is appealing to visitors and audiences</w:t>
      </w:r>
      <w:r w:rsidRPr="00150B34">
        <w:t xml:space="preserve"> is not a new concept, the fascination and curiosity can be traced back to the fifth century BC when Greek historian</w:t>
      </w:r>
      <w:r w:rsidRPr="00150B34">
        <w:rPr>
          <w:rStyle w:val="FootnoteReference"/>
        </w:rPr>
        <w:footnoteReference w:id="4"/>
      </w:r>
      <w:r w:rsidRPr="00150B34">
        <w:t>, Herodotus first visited Egypt in 450 BC</w:t>
      </w:r>
      <w:r w:rsidRPr="00150B34">
        <w:rPr>
          <w:rStyle w:val="FootnoteReference"/>
        </w:rPr>
        <w:footnoteReference w:id="5"/>
      </w:r>
      <w:r w:rsidRPr="00150B34">
        <w:t>.</w:t>
      </w:r>
      <w:r w:rsidRPr="00150B34">
        <w:rPr>
          <w:u w:val="single"/>
        </w:rPr>
        <w:t xml:space="preserve"> </w:t>
      </w:r>
      <w:r w:rsidRPr="00150B34">
        <w:t xml:space="preserve">Herodotus expressed ambivalence on his experience in Egypt, the place ‘fascinates </w:t>
      </w:r>
      <w:r w:rsidRPr="00150B34">
        <w:lastRenderedPageBreak/>
        <w:t>him and repulses him’, because he was amazed by the manmade monuments but realised these monuments existed because of slave labour</w:t>
      </w:r>
      <w:r w:rsidRPr="00150B34">
        <w:rPr>
          <w:rStyle w:val="FootnoteReference"/>
        </w:rPr>
        <w:footnoteReference w:id="6"/>
      </w:r>
      <w:r w:rsidRPr="00150B34">
        <w:t xml:space="preserve">. Herodotus was not the only scholarly Greek to be lured towards Egypt. </w:t>
      </w:r>
      <w:r w:rsidRPr="00D66B41">
        <w:t>‘From the fourth century onwards, Egypt is presented as the place where the most prestigious Greek philosophers acquired at least part of their wisdom and knowledge’</w:t>
      </w:r>
      <w:r w:rsidRPr="00D66B41">
        <w:rPr>
          <w:rStyle w:val="FootnoteReference"/>
        </w:rPr>
        <w:footnoteReference w:id="7"/>
      </w:r>
      <w:r w:rsidRPr="00D66B41">
        <w:t xml:space="preserve">; </w:t>
      </w:r>
      <w:r w:rsidR="002E7B5C" w:rsidRPr="00D66B41">
        <w:t xml:space="preserve">as evident by the account of the </w:t>
      </w:r>
      <w:r w:rsidRPr="00D66B41">
        <w:t xml:space="preserve">Greek historian </w:t>
      </w:r>
      <w:proofErr w:type="spellStart"/>
      <w:r w:rsidRPr="00D66B41">
        <w:t>Diodorus</w:t>
      </w:r>
      <w:proofErr w:type="spellEnd"/>
      <w:r w:rsidRPr="00D66B41">
        <w:t xml:space="preserve"> Siculus</w:t>
      </w:r>
      <w:r w:rsidRPr="00D66B41">
        <w:rPr>
          <w:rStyle w:val="FootnoteReference"/>
        </w:rPr>
        <w:footnoteReference w:id="8"/>
      </w:r>
      <w:r w:rsidR="002E7B5C" w:rsidRPr="00D66B41">
        <w:t>:</w:t>
      </w:r>
    </w:p>
    <w:p w14:paraId="7C1407D7" w14:textId="3FEF9167" w:rsidR="00105905" w:rsidRPr="00FC237D" w:rsidRDefault="00105905" w:rsidP="00105905">
      <w:pPr>
        <w:spacing w:line="360" w:lineRule="auto"/>
        <w:ind w:left="720"/>
        <w:rPr>
          <w:i/>
          <w:iCs/>
        </w:rPr>
      </w:pPr>
      <w:r w:rsidRPr="00FC237D">
        <w:rPr>
          <w:i/>
          <w:iCs/>
        </w:rPr>
        <w:t xml:space="preserve">“(…) we must enumerate what Greeks, who have won fame for their wisdom and learning, visited Egypt in ancient times, in order to become acquainted with its customs and learning. For the priests of Egypt recount from the records of their sacred books that they were visited in early times by Orpheus, </w:t>
      </w:r>
      <w:proofErr w:type="spellStart"/>
      <w:r w:rsidRPr="00FC237D">
        <w:rPr>
          <w:i/>
          <w:iCs/>
        </w:rPr>
        <w:t>Musaeus</w:t>
      </w:r>
      <w:proofErr w:type="spellEnd"/>
      <w:r w:rsidRPr="00FC237D">
        <w:rPr>
          <w:i/>
          <w:iCs/>
        </w:rPr>
        <w:t xml:space="preserve">, </w:t>
      </w:r>
      <w:proofErr w:type="spellStart"/>
      <w:r w:rsidRPr="00FC237D">
        <w:rPr>
          <w:i/>
          <w:iCs/>
        </w:rPr>
        <w:t>Melampus</w:t>
      </w:r>
      <w:proofErr w:type="spellEnd"/>
      <w:r w:rsidRPr="00FC237D">
        <w:rPr>
          <w:i/>
          <w:iCs/>
        </w:rPr>
        <w:t xml:space="preserve">, and Daedalus, also by the poet Homer and Lycurgus of Sparta, later by Solon of Athens and the philosopher Plato, and that there also came Pythagoras of Samos and the mathematician </w:t>
      </w:r>
      <w:proofErr w:type="spellStart"/>
      <w:r w:rsidRPr="00FC237D">
        <w:rPr>
          <w:i/>
          <w:iCs/>
        </w:rPr>
        <w:t>Eudoxus</w:t>
      </w:r>
      <w:proofErr w:type="spellEnd"/>
      <w:r w:rsidRPr="00FC237D">
        <w:rPr>
          <w:i/>
          <w:iCs/>
        </w:rPr>
        <w:t xml:space="preserve">, as well as Democritus of Abdera and </w:t>
      </w:r>
      <w:proofErr w:type="spellStart"/>
      <w:r w:rsidRPr="00FC237D">
        <w:rPr>
          <w:i/>
          <w:iCs/>
        </w:rPr>
        <w:t>Oenopides</w:t>
      </w:r>
      <w:proofErr w:type="spellEnd"/>
      <w:r w:rsidRPr="00FC237D">
        <w:rPr>
          <w:i/>
          <w:iCs/>
        </w:rPr>
        <w:t xml:space="preserve"> of Chios.’ And the Egyptian priests argue that ‘all the things for which they were admired amongst the Greeks were transferred from Egypt” (1:96,1-3)</w:t>
      </w:r>
      <w:r w:rsidRPr="00FC237D">
        <w:rPr>
          <w:rStyle w:val="FootnoteReference"/>
          <w:i/>
          <w:iCs/>
        </w:rPr>
        <w:footnoteReference w:id="9"/>
      </w:r>
      <w:r w:rsidRPr="00FC237D">
        <w:rPr>
          <w:i/>
          <w:iCs/>
        </w:rPr>
        <w:t xml:space="preserve">. </w:t>
      </w:r>
    </w:p>
    <w:p w14:paraId="277DBFA3" w14:textId="67ABE6FF" w:rsidR="00105905" w:rsidRPr="00D66B41" w:rsidRDefault="00105905" w:rsidP="00105905">
      <w:pPr>
        <w:spacing w:line="360" w:lineRule="auto"/>
      </w:pPr>
      <w:r w:rsidRPr="00D66B41">
        <w:t>To the Greeks, Egypt was ‘a land of enormous antiquity’</w:t>
      </w:r>
      <w:r w:rsidRPr="00D66B41">
        <w:rPr>
          <w:rStyle w:val="FootnoteReference"/>
        </w:rPr>
        <w:footnoteReference w:id="10"/>
      </w:r>
      <w:r w:rsidRPr="00D66B41">
        <w:t xml:space="preserve"> and ‘a land full of wonders, natural ones such as the Nile river and even more impressive, manmade ones, such as pyramids’</w:t>
      </w:r>
      <w:r w:rsidRPr="00FC237D">
        <w:rPr>
          <w:rStyle w:val="FootnoteReference"/>
        </w:rPr>
        <w:footnoteReference w:id="11"/>
      </w:r>
      <w:r w:rsidRPr="00FC237D">
        <w:t xml:space="preserve">. </w:t>
      </w:r>
      <w:r w:rsidRPr="00D66B41">
        <w:t>The Greeks were not the only ones who were inquisitive about Egypt and the Egyptians. Due to archaeological and literary evidence</w:t>
      </w:r>
      <w:r w:rsidR="009438D2" w:rsidRPr="00D66B41">
        <w:t>,</w:t>
      </w:r>
      <w:r w:rsidRPr="00D66B41">
        <w:t xml:space="preserve"> it is known that it was not just the Greeks who were captivated by Egypt, but the Romans</w:t>
      </w:r>
      <w:r w:rsidR="00ED5092">
        <w:t xml:space="preserve"> were too, but for</w:t>
      </w:r>
      <w:r w:rsidR="002E7B5C" w:rsidRPr="00D66B41">
        <w:t xml:space="preserve"> different reasons</w:t>
      </w:r>
      <w:r w:rsidRPr="00D66B41">
        <w:rPr>
          <w:rStyle w:val="FootnoteReference"/>
        </w:rPr>
        <w:footnoteReference w:id="12"/>
      </w:r>
      <w:r w:rsidRPr="00D66B41">
        <w:t>.  The Romans ‘feared not only the irrational elements of foreign cult practices but also the danger of political opposition and subversion being fomented in foreign cult associations’</w:t>
      </w:r>
      <w:r w:rsidRPr="00D66B41">
        <w:rPr>
          <w:rStyle w:val="FootnoteReference"/>
        </w:rPr>
        <w:footnoteReference w:id="13"/>
      </w:r>
      <w:r w:rsidRPr="00D66B41">
        <w:t>, perhaps the Romans were right to keep their distance from Egypt because during 30BCE to 323BCE</w:t>
      </w:r>
      <w:r w:rsidRPr="00D66B41">
        <w:rPr>
          <w:rStyle w:val="FootnoteReference"/>
        </w:rPr>
        <w:footnoteReference w:id="14"/>
      </w:r>
      <w:r w:rsidR="00085816" w:rsidRPr="00D66B41">
        <w:t xml:space="preserve">, </w:t>
      </w:r>
      <w:r w:rsidRPr="00D66B41">
        <w:t>‘Rome’s rule in Egypt was one of its most unsuccessful ventures and there was persistent mutual hostility and mistrust between Romans and Egyptians’</w:t>
      </w:r>
      <w:r w:rsidRPr="00D66B41">
        <w:rPr>
          <w:rStyle w:val="FootnoteReference"/>
        </w:rPr>
        <w:footnoteReference w:id="15"/>
      </w:r>
      <w:r w:rsidRPr="00D66B41">
        <w:t xml:space="preserve">. The difference between the Greek and Roman engrossment in Egypt </w:t>
      </w:r>
      <w:r w:rsidR="00ED5092">
        <w:t xml:space="preserve">and the Egyptians </w:t>
      </w:r>
      <w:r w:rsidRPr="00D66B41">
        <w:t>appears to be the Greeks were wanting to better themselves by interacting with another culture whereas the Romans wanted to know the Egyptians so they could be aware of</w:t>
      </w:r>
      <w:r w:rsidR="00ED5092">
        <w:t xml:space="preserve"> a</w:t>
      </w:r>
      <w:r w:rsidRPr="00D66B41">
        <w:t xml:space="preserve"> potential opponent. </w:t>
      </w:r>
    </w:p>
    <w:p w14:paraId="5840B400" w14:textId="2A4C1CB4" w:rsidR="00105905" w:rsidRPr="00D66B41" w:rsidRDefault="00105905" w:rsidP="00105905">
      <w:pPr>
        <w:spacing w:line="360" w:lineRule="auto"/>
      </w:pPr>
      <w:r w:rsidRPr="00D66B41">
        <w:lastRenderedPageBreak/>
        <w:t>European’s knowledge about ancient Egypt was based on second-hand information such as classical writers and the Bible</w:t>
      </w:r>
      <w:r w:rsidRPr="00D66B41">
        <w:rPr>
          <w:rStyle w:val="FootnoteReference"/>
        </w:rPr>
        <w:footnoteReference w:id="16"/>
      </w:r>
      <w:r w:rsidRPr="00D66B41">
        <w:t>. Europeans view on ancient Egyptian artefacts was they had a ‘right to excavate, study and export pharaonic remains however they see fit’</w:t>
      </w:r>
      <w:r w:rsidRPr="00D66B41">
        <w:rPr>
          <w:rStyle w:val="FootnoteReference"/>
        </w:rPr>
        <w:footnoteReference w:id="17"/>
      </w:r>
      <w:r w:rsidR="005924BD" w:rsidRPr="00D66B41">
        <w:t>, when</w:t>
      </w:r>
      <w:r w:rsidR="00E7669F" w:rsidRPr="00D66B41">
        <w:t xml:space="preserve"> Tutankhamun’s tomb was discovered, the concept of Europeans keeping artefacts</w:t>
      </w:r>
      <w:r w:rsidR="00161212" w:rsidRPr="00D66B41">
        <w:t>, was no longer accept</w:t>
      </w:r>
      <w:r w:rsidR="006D33F2" w:rsidRPr="00D66B41">
        <w:t>ed</w:t>
      </w:r>
      <w:r w:rsidR="00161212" w:rsidRPr="00D66B41">
        <w:t xml:space="preserve"> by</w:t>
      </w:r>
      <w:r w:rsidR="002E7B5C" w:rsidRPr="00D66B41">
        <w:t xml:space="preserve"> the</w:t>
      </w:r>
      <w:r w:rsidR="00161212" w:rsidRPr="00D66B41">
        <w:t xml:space="preserve"> Egyptian </w:t>
      </w:r>
      <w:r w:rsidR="00713AA2" w:rsidRPr="00D66B41">
        <w:t>government</w:t>
      </w:r>
      <w:r w:rsidRPr="00D66B41">
        <w:t>.</w:t>
      </w:r>
      <w:r w:rsidR="00161212" w:rsidRPr="00D66B41">
        <w:t xml:space="preserve"> </w:t>
      </w:r>
      <w:r w:rsidR="002E7B5C" w:rsidRPr="00D66B41">
        <w:t>This resulted</w:t>
      </w:r>
      <w:r w:rsidR="00161212" w:rsidRPr="00D66B41">
        <w:t xml:space="preserve"> in</w:t>
      </w:r>
      <w:r w:rsidR="00713AA2" w:rsidRPr="00D66B41">
        <w:t xml:space="preserve"> conflict between the British and </w:t>
      </w:r>
      <w:r w:rsidR="00ED5092">
        <w:t xml:space="preserve">the </w:t>
      </w:r>
      <w:r w:rsidR="00713AA2" w:rsidRPr="00D66B41">
        <w:t>Egyptians.</w:t>
      </w:r>
      <w:r w:rsidRPr="00D66B41">
        <w:t xml:space="preserve"> Even before the discovery of Tutankhamun’s tomb,</w:t>
      </w:r>
      <w:r w:rsidR="007C3A11" w:rsidRPr="00D66B41">
        <w:t xml:space="preserve"> </w:t>
      </w:r>
      <w:r w:rsidRPr="00D66B41">
        <w:t>Europeans were enthusiastic about Egypt</w:t>
      </w:r>
      <w:r w:rsidRPr="00D66B41">
        <w:rPr>
          <w:rStyle w:val="FootnoteReference"/>
        </w:rPr>
        <w:footnoteReference w:id="18"/>
      </w:r>
      <w:r w:rsidRPr="00D66B41">
        <w:t>. This can be seen through Napoleon</w:t>
      </w:r>
      <w:r w:rsidR="002E7B5C" w:rsidRPr="00D66B41">
        <w:t>’</w:t>
      </w:r>
      <w:r w:rsidRPr="00D66B41">
        <w:t xml:space="preserve">s expedition to Egypt, resulting in further imperialist and nationalist conflict in Egypt. </w:t>
      </w:r>
    </w:p>
    <w:p w14:paraId="45463DFD" w14:textId="4339FA30" w:rsidR="00105905" w:rsidRPr="00D66B41" w:rsidRDefault="00105905" w:rsidP="00105905">
      <w:pPr>
        <w:spacing w:line="360" w:lineRule="auto"/>
      </w:pPr>
      <w:r w:rsidRPr="00D66B41">
        <w:t>In 1798, Napoleon Bonaparte</w:t>
      </w:r>
      <w:r w:rsidRPr="00D66B41">
        <w:rPr>
          <w:rStyle w:val="FootnoteReference"/>
        </w:rPr>
        <w:footnoteReference w:id="19"/>
      </w:r>
      <w:r w:rsidRPr="00D66B41">
        <w:t>, led an expedition to Egypt</w:t>
      </w:r>
      <w:r w:rsidRPr="00D66B41">
        <w:rPr>
          <w:rStyle w:val="FootnoteReference"/>
        </w:rPr>
        <w:footnoteReference w:id="20"/>
      </w:r>
      <w:r w:rsidRPr="00D66B41">
        <w:t xml:space="preserve">. His </w:t>
      </w:r>
      <w:r w:rsidR="006C20D2" w:rsidRPr="00D66B41">
        <w:t xml:space="preserve">army also comprised </w:t>
      </w:r>
      <w:r w:rsidR="002E7B5C" w:rsidRPr="00D66B41">
        <w:t xml:space="preserve">of </w:t>
      </w:r>
      <w:r w:rsidRPr="00D66B41">
        <w:t xml:space="preserve">scientific experts </w:t>
      </w:r>
      <w:r w:rsidR="006C20D2" w:rsidRPr="00D66B41">
        <w:t xml:space="preserve">and scholars </w:t>
      </w:r>
      <w:r w:rsidRPr="00D66B41">
        <w:t xml:space="preserve">which included ‘students of ancient history and of </w:t>
      </w:r>
      <w:r w:rsidR="00FB293B" w:rsidRPr="00D66B41">
        <w:t>E</w:t>
      </w:r>
      <w:r w:rsidRPr="00D66B41">
        <w:t xml:space="preserve">astern languages and cultures’ </w:t>
      </w:r>
      <w:r w:rsidRPr="00D66B41">
        <w:rPr>
          <w:rStyle w:val="FootnoteReference"/>
        </w:rPr>
        <w:footnoteReference w:id="21"/>
      </w:r>
      <w:r w:rsidRPr="00D66B41">
        <w:t>. Napoleon</w:t>
      </w:r>
      <w:r w:rsidR="00944070" w:rsidRPr="00D66B41">
        <w:t xml:space="preserve"> aimed to</w:t>
      </w:r>
      <w:r w:rsidRPr="00D66B41">
        <w:t xml:space="preserve"> ‘record pharaonic monuments’</w:t>
      </w:r>
      <w:r w:rsidRPr="00D66B41">
        <w:rPr>
          <w:rStyle w:val="FootnoteReference"/>
        </w:rPr>
        <w:footnoteReference w:id="22"/>
      </w:r>
      <w:r w:rsidRPr="00D66B41">
        <w:t>. Napoleon’s expedition began the ‘European rival of pharaonic art and architecture’</w:t>
      </w:r>
      <w:r w:rsidRPr="00D66B41">
        <w:rPr>
          <w:rStyle w:val="FootnoteReference"/>
        </w:rPr>
        <w:footnoteReference w:id="23"/>
      </w:r>
      <w:r w:rsidRPr="00D66B41">
        <w:t xml:space="preserve">. The </w:t>
      </w:r>
      <w:r w:rsidR="002E7B5C" w:rsidRPr="00D66B41">
        <w:t xml:space="preserve">later </w:t>
      </w:r>
      <w:r w:rsidRPr="00D66B41">
        <w:t>discovery</w:t>
      </w:r>
      <w:r w:rsidR="002F2E96" w:rsidRPr="00D66B41">
        <w:t xml:space="preserve"> of</w:t>
      </w:r>
      <w:r w:rsidRPr="00D66B41">
        <w:t xml:space="preserve"> Tutankhamun was not the </w:t>
      </w:r>
      <w:r w:rsidR="00CF20DB" w:rsidRPr="00D66B41">
        <w:t xml:space="preserve">only </w:t>
      </w:r>
      <w:r w:rsidRPr="00D66B41">
        <w:t>exploitation of Egyptian artefacts; in 1799, Napoleon’s expedition discovered the Rosetta Stone</w:t>
      </w:r>
      <w:r w:rsidRPr="00D66B41">
        <w:rPr>
          <w:rStyle w:val="FootnoteReference"/>
        </w:rPr>
        <w:footnoteReference w:id="24"/>
      </w:r>
      <w:r w:rsidRPr="00D66B41">
        <w:t>, which led to the</w:t>
      </w:r>
      <w:r w:rsidR="00ED5092">
        <w:t xml:space="preserve"> publication of</w:t>
      </w:r>
      <w:r w:rsidRPr="00D66B41">
        <w:t xml:space="preserve"> </w:t>
      </w:r>
      <w:r w:rsidRPr="00D66B41">
        <w:rPr>
          <w:i/>
          <w:iCs/>
        </w:rPr>
        <w:t xml:space="preserve">Description de </w:t>
      </w:r>
      <w:proofErr w:type="spellStart"/>
      <w:r w:rsidRPr="00D66B41">
        <w:rPr>
          <w:i/>
          <w:iCs/>
        </w:rPr>
        <w:t>l’</w:t>
      </w:r>
      <w:r w:rsidRPr="00D66B41">
        <w:rPr>
          <w:i/>
        </w:rPr>
        <w:t>É</w:t>
      </w:r>
      <w:r w:rsidRPr="00D66B41">
        <w:rPr>
          <w:i/>
          <w:iCs/>
        </w:rPr>
        <w:t>gypt</w:t>
      </w:r>
      <w:proofErr w:type="spellEnd"/>
      <w:r w:rsidRPr="00D66B41">
        <w:rPr>
          <w:rStyle w:val="FootnoteReference"/>
        </w:rPr>
        <w:footnoteReference w:id="25"/>
      </w:r>
      <w:r w:rsidRPr="00D66B41">
        <w:t xml:space="preserve"> written by Napoleon himself</w:t>
      </w:r>
      <w:r w:rsidRPr="00D66B41">
        <w:rPr>
          <w:rStyle w:val="FootnoteReference"/>
        </w:rPr>
        <w:footnoteReference w:id="26"/>
      </w:r>
      <w:r w:rsidRPr="00D66B41">
        <w:t xml:space="preserve">, and rivalry between the Europeans continued. </w:t>
      </w:r>
      <w:r w:rsidR="005B3E80" w:rsidRPr="00D66B41">
        <w:t xml:space="preserve">The political conflict between European countries </w:t>
      </w:r>
      <w:r w:rsidR="00BC3CD0" w:rsidRPr="00D66B41">
        <w:t>was</w:t>
      </w:r>
      <w:r w:rsidR="00232146" w:rsidRPr="00D66B41">
        <w:t xml:space="preserve"> </w:t>
      </w:r>
      <w:r w:rsidR="005B3E80" w:rsidRPr="00D66B41">
        <w:t>enhanced by</w:t>
      </w:r>
      <w:r w:rsidR="00BC3CD0" w:rsidRPr="00D66B41">
        <w:t xml:space="preserve"> </w:t>
      </w:r>
      <w:r w:rsidR="00232146" w:rsidRPr="00D66B41">
        <w:t>the exploitation of</w:t>
      </w:r>
      <w:r w:rsidR="00BC3CD0" w:rsidRPr="00D66B41">
        <w:t xml:space="preserve"> Egyptian artefacts</w:t>
      </w:r>
      <w:r w:rsidR="00592433" w:rsidRPr="00D66B41">
        <w:t xml:space="preserve"> to represent who </w:t>
      </w:r>
      <w:r w:rsidR="002E7B5C" w:rsidRPr="00D66B41">
        <w:t>had</w:t>
      </w:r>
      <w:r w:rsidR="00592433" w:rsidRPr="00D66B41">
        <w:t xml:space="preserve"> the most prestige</w:t>
      </w:r>
      <w:r w:rsidR="00BC3CD0" w:rsidRPr="00D66B41">
        <w:t xml:space="preserve">. </w:t>
      </w:r>
      <w:r w:rsidRPr="00D66B41">
        <w:t>John Marlowe (pseudonym) was a member of the army who spent much time in the Middle East</w:t>
      </w:r>
      <w:r w:rsidRPr="00D66B41">
        <w:rPr>
          <w:rStyle w:val="FootnoteReference"/>
        </w:rPr>
        <w:footnoteReference w:id="27"/>
      </w:r>
      <w:r w:rsidRPr="00D66B41">
        <w:t xml:space="preserve">, he said that Napoleon’s expedition or invasion in 1798 was the start of </w:t>
      </w:r>
      <w:r w:rsidR="00AB5644" w:rsidRPr="00D66B41">
        <w:t>W</w:t>
      </w:r>
      <w:r w:rsidRPr="00D66B41">
        <w:t>estern interest in Egypt</w:t>
      </w:r>
      <w:r w:rsidRPr="00D66B41">
        <w:rPr>
          <w:rStyle w:val="FootnoteReference"/>
        </w:rPr>
        <w:footnoteReference w:id="28"/>
      </w:r>
      <w:r w:rsidRPr="00D66B41">
        <w:t xml:space="preserve">. Not long after the discovery, </w:t>
      </w:r>
      <w:r w:rsidR="009071D7" w:rsidRPr="00D66B41">
        <w:t xml:space="preserve">the </w:t>
      </w:r>
      <w:r w:rsidRPr="00D66B41">
        <w:t xml:space="preserve">British </w:t>
      </w:r>
      <w:r w:rsidR="002E7B5C" w:rsidRPr="00D66B41">
        <w:t>G</w:t>
      </w:r>
      <w:r w:rsidRPr="00D66B41">
        <w:t xml:space="preserve">eneral Hutchinson took the Rosetta Stone from the French </w:t>
      </w:r>
      <w:r w:rsidR="00F40729">
        <w:t>G</w:t>
      </w:r>
      <w:r w:rsidRPr="00D66B41">
        <w:t>eneral Menon</w:t>
      </w:r>
      <w:r w:rsidRPr="00D66B41">
        <w:rPr>
          <w:rStyle w:val="FootnoteReference"/>
        </w:rPr>
        <w:footnoteReference w:id="29"/>
      </w:r>
      <w:r w:rsidRPr="00D66B41">
        <w:t xml:space="preserve">. Due to this, the Rosetta Stone was </w:t>
      </w:r>
      <w:r w:rsidR="00F40729">
        <w:t xml:space="preserve">and still is to present day, </w:t>
      </w:r>
      <w:r w:rsidRPr="00D66B41">
        <w:t>exhibited in the British Museum</w:t>
      </w:r>
      <w:r w:rsidR="00F40729">
        <w:t xml:space="preserve"> in </w:t>
      </w:r>
      <w:r w:rsidRPr="00D66B41">
        <w:t>London and was given on loan to the Louvre</w:t>
      </w:r>
      <w:r w:rsidR="00F40729">
        <w:t xml:space="preserve"> in</w:t>
      </w:r>
      <w:r w:rsidRPr="00D66B41">
        <w:t xml:space="preserve"> Paris for an exhibition in 1973</w:t>
      </w:r>
      <w:r w:rsidRPr="00D66B41">
        <w:rPr>
          <w:rStyle w:val="FootnoteReference"/>
        </w:rPr>
        <w:footnoteReference w:id="30"/>
      </w:r>
      <w:r w:rsidRPr="00D66B41">
        <w:t xml:space="preserve">. This was not the only rivalry </w:t>
      </w:r>
      <w:r w:rsidR="00754533" w:rsidRPr="00D66B41">
        <w:t>surrounding</w:t>
      </w:r>
      <w:r w:rsidRPr="00D66B41">
        <w:t xml:space="preserve"> the Rosetta Stone; the Europeans were competing to see who could decipher the inscription first</w:t>
      </w:r>
      <w:r w:rsidRPr="00D66B41">
        <w:rPr>
          <w:rStyle w:val="FootnoteReference"/>
        </w:rPr>
        <w:footnoteReference w:id="31"/>
      </w:r>
      <w:r w:rsidRPr="00D66B41">
        <w:t xml:space="preserve">. The </w:t>
      </w:r>
      <w:r w:rsidR="00C27BD5" w:rsidRPr="00D66B41">
        <w:t xml:space="preserve">decree on the </w:t>
      </w:r>
      <w:r w:rsidRPr="00D66B41">
        <w:t xml:space="preserve">Rosetta Stone was written in </w:t>
      </w:r>
      <w:r w:rsidRPr="00D66B41">
        <w:lastRenderedPageBreak/>
        <w:t>hieroglyphs, demotic and ancient Greek</w:t>
      </w:r>
      <w:r w:rsidRPr="00D66B41">
        <w:rPr>
          <w:rStyle w:val="FootnoteReference"/>
        </w:rPr>
        <w:footnoteReference w:id="32"/>
      </w:r>
      <w:r w:rsidRPr="00D66B41">
        <w:t>.  An English physicist, Thomas Young</w:t>
      </w:r>
      <w:r w:rsidR="000E2F1C" w:rsidRPr="00D66B41">
        <w:t>, discovered at first that the hieroglyphs incorporated royal name</w:t>
      </w:r>
      <w:r w:rsidR="00AE6527" w:rsidRPr="00D66B41">
        <w:t>s</w:t>
      </w:r>
      <w:r w:rsidRPr="00D66B41">
        <w:rPr>
          <w:rStyle w:val="FootnoteReference"/>
        </w:rPr>
        <w:footnoteReference w:id="33"/>
      </w:r>
      <w:r w:rsidRPr="00D66B41">
        <w:t>.  French scholar, Jean-Francois Champollion</w:t>
      </w:r>
      <w:r w:rsidR="00AE6527" w:rsidRPr="00D66B41">
        <w:t>, then</w:t>
      </w:r>
      <w:r w:rsidRPr="00D66B41">
        <w:t xml:space="preserve"> ‘realised that hieroglyphs recorded the sound of the Egyptian language’ </w:t>
      </w:r>
      <w:r w:rsidR="001A0B3E" w:rsidRPr="00D66B41">
        <w:t>which led him</w:t>
      </w:r>
      <w:r w:rsidRPr="00D66B41">
        <w:t xml:space="preserve"> to decipher the </w:t>
      </w:r>
      <w:r w:rsidR="00F40729">
        <w:t xml:space="preserve">hieroglyphs on the </w:t>
      </w:r>
      <w:r w:rsidRPr="00D66B41">
        <w:t>Rosetta Stone</w:t>
      </w:r>
      <w:r w:rsidR="001A0B3E" w:rsidRPr="00D66B41">
        <w:t xml:space="preserve">. </w:t>
      </w:r>
      <w:r w:rsidR="00BE37C7" w:rsidRPr="00D66B41">
        <w:t>The Rosetta Stone clearly caused further disagreements between the French and British regarding ownership</w:t>
      </w:r>
      <w:r w:rsidR="00471A01" w:rsidRPr="00D66B41">
        <w:t xml:space="preserve">, </w:t>
      </w:r>
      <w:r w:rsidR="00BE37C7" w:rsidRPr="00D66B41">
        <w:t>decipherment of the decree</w:t>
      </w:r>
      <w:r w:rsidR="00471A01" w:rsidRPr="00D66B41">
        <w:t xml:space="preserve"> and again</w:t>
      </w:r>
      <w:r w:rsidR="00BF1DA9" w:rsidRPr="00D66B41">
        <w:t xml:space="preserve"> who </w:t>
      </w:r>
      <w:r w:rsidR="007451E7" w:rsidRPr="00D66B41">
        <w:t>had most</w:t>
      </w:r>
      <w:r w:rsidR="00BF1DA9" w:rsidRPr="00D66B41">
        <w:t xml:space="preserve"> </w:t>
      </w:r>
      <w:r w:rsidR="00067D0D" w:rsidRPr="00D66B41">
        <w:t>prestige</w:t>
      </w:r>
      <w:r w:rsidR="00BE37C7" w:rsidRPr="00D66B41">
        <w:t xml:space="preserve">.  </w:t>
      </w:r>
    </w:p>
    <w:p w14:paraId="51B2152B" w14:textId="5F5DD08A" w:rsidR="00A94DAF" w:rsidRPr="00D66B41" w:rsidRDefault="00105905" w:rsidP="00105905">
      <w:pPr>
        <w:spacing w:line="360" w:lineRule="auto"/>
        <w:rPr>
          <w:highlight w:val="cyan"/>
        </w:rPr>
      </w:pPr>
      <w:r w:rsidRPr="00D66B41">
        <w:t xml:space="preserve">There was European </w:t>
      </w:r>
      <w:r w:rsidR="003953BA" w:rsidRPr="00D66B41">
        <w:t>competition</w:t>
      </w:r>
      <w:r w:rsidRPr="00D66B41">
        <w:t xml:space="preserve"> to see who had the largest possession of Egyptian antiquities</w:t>
      </w:r>
      <w:r w:rsidRPr="00D66B41">
        <w:rPr>
          <w:rStyle w:val="FootnoteReference"/>
        </w:rPr>
        <w:footnoteReference w:id="34"/>
      </w:r>
      <w:r w:rsidR="00891970" w:rsidRPr="00D66B41">
        <w:t xml:space="preserve">. </w:t>
      </w:r>
      <w:r w:rsidR="0015498B" w:rsidRPr="00D66B41">
        <w:t xml:space="preserve">In 1812 the amateur Italian Egyptologist, Giovanni Belzoni gained permission from British Consul </w:t>
      </w:r>
      <w:r w:rsidR="007451E7" w:rsidRPr="00D66B41">
        <w:t>G</w:t>
      </w:r>
      <w:r w:rsidR="0015498B" w:rsidRPr="00D66B41">
        <w:t>eneral Henry Salt</w:t>
      </w:r>
      <w:r w:rsidR="0015498B" w:rsidRPr="00D66B41">
        <w:rPr>
          <w:rStyle w:val="FootnoteReference"/>
        </w:rPr>
        <w:footnoteReference w:id="35"/>
      </w:r>
      <w:r w:rsidR="0015498B" w:rsidRPr="00D66B41">
        <w:t xml:space="preserve"> to move the colossal head named ‘Young Memnon’ in 1819. This permission and success resulted in further excavation work for Belzoni</w:t>
      </w:r>
      <w:r w:rsidR="0015498B" w:rsidRPr="00D66B41">
        <w:rPr>
          <w:rStyle w:val="FootnoteReference"/>
        </w:rPr>
        <w:footnoteReference w:id="36"/>
      </w:r>
      <w:r w:rsidR="0015498B" w:rsidRPr="00D66B41">
        <w:t>. Even though Belzoni was Italian, he worked under the British excavating team in Egypt. It appears that the British were imperialists</w:t>
      </w:r>
      <w:r w:rsidR="0015498B" w:rsidRPr="00D66B41">
        <w:rPr>
          <w:rStyle w:val="FootnoteReference"/>
        </w:rPr>
        <w:footnoteReference w:id="37"/>
      </w:r>
      <w:r w:rsidR="0015498B" w:rsidRPr="00D66B41">
        <w:t xml:space="preserve"> by using their military force to ensure that they had control over many aspects of Egypt. </w:t>
      </w:r>
      <w:r w:rsidR="0046692C" w:rsidRPr="00D66B41">
        <w:t xml:space="preserve">The </w:t>
      </w:r>
      <w:r w:rsidRPr="00D66B41">
        <w:t>German archaeologist</w:t>
      </w:r>
      <w:r w:rsidR="00256A92">
        <w:t xml:space="preserve">, </w:t>
      </w:r>
      <w:r w:rsidRPr="00D66B41">
        <w:t>Ludwig Borchardt discover</w:t>
      </w:r>
      <w:r w:rsidR="009C1E5B" w:rsidRPr="00D66B41">
        <w:t>ed</w:t>
      </w:r>
      <w:r w:rsidRPr="00D66B41">
        <w:t xml:space="preserve"> Nefertiti’s bust in 1912</w:t>
      </w:r>
      <w:r w:rsidRPr="00D66B41">
        <w:rPr>
          <w:rStyle w:val="FootnoteReference"/>
        </w:rPr>
        <w:footnoteReference w:id="38"/>
      </w:r>
      <w:r w:rsidRPr="00D66B41">
        <w:t>. The French and the British were in the lead of this rivalry</w:t>
      </w:r>
      <w:r w:rsidR="00256A92">
        <w:t xml:space="preserve"> of Egyptian antiquities</w:t>
      </w:r>
      <w:r w:rsidRPr="00D66B41">
        <w:rPr>
          <w:rStyle w:val="FootnoteReference"/>
        </w:rPr>
        <w:footnoteReference w:id="39"/>
      </w:r>
      <w:r w:rsidR="007451E7" w:rsidRPr="00D66B41">
        <w:t xml:space="preserve">. The </w:t>
      </w:r>
      <w:r w:rsidRPr="00D66B41">
        <w:t xml:space="preserve">West bank of the Nile </w:t>
      </w:r>
      <w:r w:rsidR="007451E7" w:rsidRPr="00D66B41">
        <w:t xml:space="preserve">was </w:t>
      </w:r>
      <w:r w:rsidRPr="00D66B41">
        <w:t xml:space="preserve">controlled by Salt and the East bank of the Nile </w:t>
      </w:r>
      <w:r w:rsidR="00A94DAF" w:rsidRPr="00D66B41">
        <w:t xml:space="preserve">was controlled by </w:t>
      </w:r>
      <w:r w:rsidRPr="00D66B41">
        <w:t xml:space="preserve">the French </w:t>
      </w:r>
      <w:r w:rsidR="00B27975" w:rsidRPr="00D66B41">
        <w:t>C</w:t>
      </w:r>
      <w:r w:rsidRPr="00D66B41">
        <w:t xml:space="preserve">onsul </w:t>
      </w:r>
      <w:r w:rsidR="00A94DAF" w:rsidRPr="00D66B41">
        <w:t>G</w:t>
      </w:r>
      <w:r w:rsidRPr="00D66B41">
        <w:t xml:space="preserve">eneral Bernardino </w:t>
      </w:r>
      <w:proofErr w:type="spellStart"/>
      <w:r w:rsidRPr="00D66B41">
        <w:t>Drovetti</w:t>
      </w:r>
      <w:proofErr w:type="spellEnd"/>
      <w:r w:rsidRPr="00D66B41">
        <w:rPr>
          <w:rStyle w:val="FootnoteReference"/>
        </w:rPr>
        <w:footnoteReference w:id="40"/>
      </w:r>
      <w:r w:rsidRPr="00D66B41">
        <w:t xml:space="preserve">. Salt and </w:t>
      </w:r>
      <w:proofErr w:type="spellStart"/>
      <w:r w:rsidRPr="00D66B41">
        <w:t>Drovetti</w:t>
      </w:r>
      <w:proofErr w:type="spellEnd"/>
      <w:r w:rsidRPr="00D66B41">
        <w:t xml:space="preserve"> both were digging </w:t>
      </w:r>
      <w:r w:rsidR="00B65842" w:rsidRPr="00D66B41">
        <w:t>in</w:t>
      </w:r>
      <w:r w:rsidRPr="00D66B41">
        <w:t xml:space="preserve"> different locations of Egypt to see who could discover the most Egyptian artefacts. Britain was behind the French in designing an Egyptology programme as a university specialty and profession</w:t>
      </w:r>
      <w:r w:rsidRPr="00D66B41">
        <w:rPr>
          <w:rStyle w:val="FootnoteReference"/>
        </w:rPr>
        <w:footnoteReference w:id="41"/>
      </w:r>
      <w:r w:rsidRPr="00D66B41">
        <w:t xml:space="preserve">. </w:t>
      </w:r>
    </w:p>
    <w:p w14:paraId="4898A977" w14:textId="53729911" w:rsidR="00105905" w:rsidRPr="00D66B41" w:rsidRDefault="00105905" w:rsidP="00105905">
      <w:pPr>
        <w:spacing w:line="360" w:lineRule="auto"/>
        <w:rPr>
          <w:highlight w:val="cyan"/>
        </w:rPr>
      </w:pPr>
      <w:r w:rsidRPr="00D66B41">
        <w:t xml:space="preserve">This has resulted </w:t>
      </w:r>
      <w:r w:rsidR="00AE0496">
        <w:t xml:space="preserve">in </w:t>
      </w:r>
      <w:r w:rsidRPr="00D66B41">
        <w:t>many countries other than Egypt, having many of the first discovered artefacts from Egypt. Due to the rivalry between the European countries this has meant that most of our views of ancient Egypt belong to outsiders rather than the Egyptians</w:t>
      </w:r>
      <w:r w:rsidRPr="00D66B41">
        <w:rPr>
          <w:rStyle w:val="FootnoteReference"/>
        </w:rPr>
        <w:footnoteReference w:id="42"/>
      </w:r>
      <w:r w:rsidRPr="00D66B41">
        <w:t xml:space="preserve">. When looking at Egyptian artefacts it is important to remember the </w:t>
      </w:r>
      <w:r w:rsidR="003528DA" w:rsidRPr="00D66B41">
        <w:t>colonial bias and the attempt of treasure hunting,</w:t>
      </w:r>
      <w:r w:rsidRPr="00D66B41">
        <w:t xml:space="preserve"> potentially resulting in bias historical information regarding the artefact</w:t>
      </w:r>
      <w:r w:rsidR="005E6648" w:rsidRPr="00D66B41">
        <w:t>.</w:t>
      </w:r>
    </w:p>
    <w:p w14:paraId="23AA0935" w14:textId="269FAAC1" w:rsidR="00105905" w:rsidRPr="003B7D44" w:rsidRDefault="005E6648" w:rsidP="00105905">
      <w:pPr>
        <w:spacing w:line="360" w:lineRule="auto"/>
      </w:pPr>
      <w:r w:rsidRPr="003B7D44">
        <w:t>This practice was an improvement on previous practices; b</w:t>
      </w:r>
      <w:r w:rsidR="00105905" w:rsidRPr="003B7D44">
        <w:t xml:space="preserve">efore 1922, it was </w:t>
      </w:r>
      <w:r w:rsidRPr="003B7D44">
        <w:t>normal for excavators and travellers in Egypt to receive at least half of the contents</w:t>
      </w:r>
      <w:r w:rsidR="00AE0496" w:rsidRPr="003B7D44">
        <w:t xml:space="preserve"> of the discovery</w:t>
      </w:r>
      <w:r w:rsidRPr="003B7D44">
        <w:rPr>
          <w:rStyle w:val="FootnoteReference"/>
        </w:rPr>
        <w:footnoteReference w:id="43"/>
      </w:r>
      <w:r w:rsidRPr="003B7D44">
        <w:t xml:space="preserve">, which can be seen </w:t>
      </w:r>
      <w:r w:rsidR="00436E7E" w:rsidRPr="003B7D44">
        <w:t xml:space="preserve">in </w:t>
      </w:r>
      <w:r w:rsidR="00436E7E" w:rsidRPr="003B7D44">
        <w:lastRenderedPageBreak/>
        <w:t xml:space="preserve">the cases of </w:t>
      </w:r>
      <w:r w:rsidRPr="003B7D44">
        <w:t xml:space="preserve">Salt and </w:t>
      </w:r>
      <w:proofErr w:type="spellStart"/>
      <w:r w:rsidRPr="003B7D44">
        <w:t>Drovetti</w:t>
      </w:r>
      <w:proofErr w:type="spellEnd"/>
      <w:r w:rsidRPr="003B7D44">
        <w:t>.</w:t>
      </w:r>
      <w:r w:rsidR="00105905" w:rsidRPr="003B7D44">
        <w:t xml:space="preserve"> This is one reason why many Egyptian artefacts can be found in museums outside of Egypt. </w:t>
      </w:r>
      <w:r w:rsidR="00A94DAF" w:rsidRPr="003B7D44">
        <w:t>C</w:t>
      </w:r>
      <w:r w:rsidR="00105905" w:rsidRPr="003B7D44">
        <w:t>ountries</w:t>
      </w:r>
      <w:r w:rsidR="00860494" w:rsidRPr="003B7D44">
        <w:t xml:space="preserve"> that showed</w:t>
      </w:r>
      <w:r w:rsidR="00105905" w:rsidRPr="003B7D44">
        <w:t xml:space="preserve"> off Egyptian artefacts </w:t>
      </w:r>
      <w:r w:rsidR="00860494" w:rsidRPr="003B7D44">
        <w:t xml:space="preserve">also showed that </w:t>
      </w:r>
      <w:r w:rsidR="00105905" w:rsidRPr="003B7D44">
        <w:t xml:space="preserve">they </w:t>
      </w:r>
      <w:r w:rsidR="00EA4D4D" w:rsidRPr="003B7D44">
        <w:t xml:space="preserve">had </w:t>
      </w:r>
      <w:r w:rsidR="00105905" w:rsidRPr="003B7D44">
        <w:t>political power and flexed political muscle. ‘It was Europeans who pressed the Egyptians into founding an antiquities service in 1858’</w:t>
      </w:r>
      <w:r w:rsidR="00105905" w:rsidRPr="003B7D44">
        <w:rPr>
          <w:rStyle w:val="FootnoteReference"/>
        </w:rPr>
        <w:footnoteReference w:id="44"/>
      </w:r>
      <w:r w:rsidR="00CC0EF4" w:rsidRPr="003B7D44">
        <w:t xml:space="preserve">, the directors of this new </w:t>
      </w:r>
      <w:r w:rsidR="00267255" w:rsidRPr="003B7D44">
        <w:t xml:space="preserve">Egyptian </w:t>
      </w:r>
      <w:r w:rsidR="00CC0EF4" w:rsidRPr="003B7D44">
        <w:t xml:space="preserve">service </w:t>
      </w:r>
      <w:r w:rsidR="0007296B" w:rsidRPr="003B7D44">
        <w:t>were</w:t>
      </w:r>
      <w:r w:rsidR="00CC0EF4" w:rsidRPr="003B7D44">
        <w:t xml:space="preserve"> under </w:t>
      </w:r>
      <w:r w:rsidR="00267255" w:rsidRPr="003B7D44">
        <w:t xml:space="preserve">French </w:t>
      </w:r>
      <w:r w:rsidR="00CC0EF4" w:rsidRPr="003B7D44">
        <w:t>control</w:t>
      </w:r>
      <w:r w:rsidR="00337E91" w:rsidRPr="003B7D44">
        <w:t xml:space="preserve"> for 94 years</w:t>
      </w:r>
      <w:r w:rsidR="00CC0EF4" w:rsidRPr="003B7D44">
        <w:t>,</w:t>
      </w:r>
      <w:r w:rsidR="00105905" w:rsidRPr="003B7D44">
        <w:t xml:space="preserve"> this may be surprising considering the Europeans wanted the artefacts themselves. Perhaps the conflict over antiquities was </w:t>
      </w:r>
      <w:r w:rsidR="00CE4B78" w:rsidRPr="003B7D44">
        <w:t>so bad</w:t>
      </w:r>
      <w:r w:rsidR="00105905" w:rsidRPr="003B7D44">
        <w:t xml:space="preserve"> that even the Europeans wanted some sort of regulations in place, but the new legislation the Egyptians designed may have undermined European ownership of antiquities in 1858</w:t>
      </w:r>
      <w:r w:rsidR="00105905" w:rsidRPr="003B7D44">
        <w:rPr>
          <w:rStyle w:val="FootnoteReference"/>
        </w:rPr>
        <w:footnoteReference w:id="45"/>
      </w:r>
      <w:r w:rsidR="00105905" w:rsidRPr="003B7D44">
        <w:t xml:space="preserve">. </w:t>
      </w:r>
      <w:r w:rsidR="00337E91" w:rsidRPr="003B7D44">
        <w:t xml:space="preserve">Egyptologist and head of the EAS, Pierre </w:t>
      </w:r>
      <w:proofErr w:type="spellStart"/>
      <w:r w:rsidR="00337E91" w:rsidRPr="003B7D44">
        <w:t>Lacau</w:t>
      </w:r>
      <w:proofErr w:type="spellEnd"/>
      <w:r w:rsidR="00337E91" w:rsidRPr="003B7D44">
        <w:rPr>
          <w:rStyle w:val="FootnoteReference"/>
        </w:rPr>
        <w:footnoteReference w:id="46"/>
      </w:r>
      <w:r w:rsidR="00E4546B" w:rsidRPr="003B7D44">
        <w:t>,</w:t>
      </w:r>
      <w:r w:rsidR="00337E91" w:rsidRPr="003B7D44">
        <w:t xml:space="preserve"> did a variety of work regarding the possessions of discoveries in Egypt on behalf of the Egyptian government</w:t>
      </w:r>
      <w:r w:rsidR="00337E91" w:rsidRPr="003B7D44">
        <w:rPr>
          <w:rStyle w:val="FootnoteReference"/>
        </w:rPr>
        <w:footnoteReference w:id="47"/>
      </w:r>
      <w:r w:rsidR="00337E91" w:rsidRPr="003B7D44">
        <w:t>; insisting that all the findings from Tutankhamun’s tomb stayed in Egypt at the Cairo Museum</w:t>
      </w:r>
      <w:r w:rsidR="00337E91" w:rsidRPr="003B7D44">
        <w:rPr>
          <w:rStyle w:val="FootnoteReference"/>
        </w:rPr>
        <w:footnoteReference w:id="48"/>
      </w:r>
      <w:r w:rsidR="00337E91" w:rsidRPr="003B7D44">
        <w:t>.</w:t>
      </w:r>
      <w:r w:rsidR="00337E91" w:rsidRPr="003B7D44">
        <w:rPr>
          <w:i/>
          <w:iCs/>
        </w:rPr>
        <w:t xml:space="preserve"> </w:t>
      </w:r>
      <w:r w:rsidR="00105905" w:rsidRPr="003B7D44">
        <w:t>This new system along with the opening of a museum in 1863</w:t>
      </w:r>
      <w:r w:rsidR="00105905" w:rsidRPr="003B7D44">
        <w:rPr>
          <w:rStyle w:val="FootnoteReference"/>
        </w:rPr>
        <w:footnoteReference w:id="49"/>
      </w:r>
      <w:r w:rsidR="00105905" w:rsidRPr="003B7D44">
        <w:t xml:space="preserve"> meant that artefacts no longer left Egypt without the Egyptian government’s agreement</w:t>
      </w:r>
      <w:r w:rsidR="00105905" w:rsidRPr="003B7D44">
        <w:rPr>
          <w:rStyle w:val="FootnoteReference"/>
        </w:rPr>
        <w:footnoteReference w:id="50"/>
      </w:r>
      <w:r w:rsidR="00105905" w:rsidRPr="003B7D44">
        <w:t xml:space="preserve"> and it showed Egypt was beginning to take control of their own heritage. </w:t>
      </w:r>
      <w:r w:rsidR="00C16FD9" w:rsidRPr="003B7D44">
        <w:t xml:space="preserve">Despite the Egyptians </w:t>
      </w:r>
      <w:r w:rsidR="00436E7E" w:rsidRPr="003B7D44">
        <w:t xml:space="preserve">displaying aspects of </w:t>
      </w:r>
      <w:proofErr w:type="spellStart"/>
      <w:r w:rsidR="00C16FD9" w:rsidRPr="003B7D44">
        <w:t>pharaonism</w:t>
      </w:r>
      <w:proofErr w:type="spellEnd"/>
      <w:r w:rsidR="00C16FD9" w:rsidRPr="003B7D44">
        <w:t xml:space="preserve">, due to organising a system where artefacts did not leave Egypt, this system was under French control meaning the Egyptians did not have complete </w:t>
      </w:r>
      <w:r w:rsidR="00E4546B" w:rsidRPr="003B7D44">
        <w:t>and free control from the Europeans</w:t>
      </w:r>
      <w:r w:rsidR="00A86C36" w:rsidRPr="003B7D44">
        <w:t>, t</w:t>
      </w:r>
      <w:r w:rsidR="00105905" w:rsidRPr="003B7D44">
        <w:t xml:space="preserve">his is discussed further in chapter </w:t>
      </w:r>
      <w:r w:rsidR="00394D09" w:rsidRPr="003B7D44">
        <w:t>2</w:t>
      </w:r>
      <w:r w:rsidR="00495BC1" w:rsidRPr="003B7D44">
        <w:t>.</w:t>
      </w:r>
      <w:r w:rsidR="00105905" w:rsidRPr="003B7D44">
        <w:t xml:space="preserve"> Despite this rivalry, the Europeans incidentally helped the Egyptian government gain </w:t>
      </w:r>
      <w:r w:rsidR="00FA2543" w:rsidRPr="003B7D44">
        <w:t xml:space="preserve">some </w:t>
      </w:r>
      <w:r w:rsidR="00105905" w:rsidRPr="003B7D44">
        <w:t>control over their antiquities</w:t>
      </w:r>
      <w:r w:rsidR="00073415" w:rsidRPr="003B7D44">
        <w:t xml:space="preserve"> and heritage</w:t>
      </w:r>
      <w:r w:rsidR="00CE4B78" w:rsidRPr="003B7D44">
        <w:t>, which may be seen in the discovery and subsequent disposal of artefacts of Tutankhamun</w:t>
      </w:r>
      <w:r w:rsidR="00105905" w:rsidRPr="003B7D44">
        <w:t xml:space="preserve">. </w:t>
      </w:r>
    </w:p>
    <w:p w14:paraId="7094CEB3" w14:textId="77777777" w:rsidR="00105905" w:rsidRPr="00C16FD9" w:rsidRDefault="00105905">
      <w:pPr>
        <w:rPr>
          <w:highlight w:val="yellow"/>
        </w:rPr>
      </w:pPr>
    </w:p>
    <w:p w14:paraId="0CD74AD9" w14:textId="4F283E46" w:rsidR="00105905" w:rsidRPr="00296EE8" w:rsidRDefault="00105905" w:rsidP="00105905">
      <w:pPr>
        <w:pStyle w:val="ListParagraph"/>
        <w:numPr>
          <w:ilvl w:val="0"/>
          <w:numId w:val="2"/>
        </w:numPr>
        <w:rPr>
          <w:b/>
          <w:bCs/>
          <w:sz w:val="24"/>
          <w:szCs w:val="24"/>
        </w:rPr>
      </w:pPr>
      <w:r w:rsidRPr="00296EE8">
        <w:rPr>
          <w:b/>
          <w:bCs/>
          <w:sz w:val="24"/>
          <w:szCs w:val="24"/>
        </w:rPr>
        <w:t>Tutankhamun</w:t>
      </w:r>
    </w:p>
    <w:p w14:paraId="21DD54A3" w14:textId="3783823C" w:rsidR="00FA0BAE" w:rsidRPr="00E13159" w:rsidRDefault="00105905" w:rsidP="00105905">
      <w:pPr>
        <w:spacing w:line="360" w:lineRule="auto"/>
      </w:pPr>
      <w:r w:rsidRPr="00296EE8">
        <w:t>The 18</w:t>
      </w:r>
      <w:r w:rsidRPr="00296EE8">
        <w:rPr>
          <w:vertAlign w:val="superscript"/>
        </w:rPr>
        <w:t>th</w:t>
      </w:r>
      <w:r w:rsidRPr="00296EE8">
        <w:t xml:space="preserve"> dynasty (1550 to 1295</w:t>
      </w:r>
      <w:r w:rsidRPr="00C16FD9">
        <w:t xml:space="preserve"> BC)</w:t>
      </w:r>
      <w:r w:rsidRPr="00C16FD9">
        <w:rPr>
          <w:rStyle w:val="FootnoteReference"/>
        </w:rPr>
        <w:footnoteReference w:id="51"/>
      </w:r>
      <w:r w:rsidRPr="00C16FD9">
        <w:t xml:space="preserve"> has been described as the ‘golden age’ of Egypt because of its ‘political stability, great prosperity and achievements in architecture, the arts and literature’</w:t>
      </w:r>
      <w:r w:rsidRPr="00C16FD9">
        <w:rPr>
          <w:rStyle w:val="FootnoteReference"/>
        </w:rPr>
        <w:footnoteReference w:id="52"/>
      </w:r>
      <w:r w:rsidRPr="00C16FD9">
        <w:t xml:space="preserve">. There has been much debate about Tutankhamun’s ancestry and DNA (deoxyribonucleic acid) analysis has not always been reliable for mummies of this </w:t>
      </w:r>
      <w:proofErr w:type="gramStart"/>
      <w:r w:rsidRPr="00C16FD9">
        <w:t>period of time</w:t>
      </w:r>
      <w:proofErr w:type="gramEnd"/>
      <w:r w:rsidRPr="00C16FD9">
        <w:t xml:space="preserve"> because of incestuous relationships</w:t>
      </w:r>
      <w:r w:rsidR="00D814DF" w:rsidRPr="00C16FD9">
        <w:rPr>
          <w:rStyle w:val="FootnoteReference"/>
        </w:rPr>
        <w:footnoteReference w:id="53"/>
      </w:r>
      <w:r w:rsidRPr="00C16FD9">
        <w:t>. It is widely believed that pharaoh Akhenaten was the father of Tutankhamun, however the identity of his mother is unclear</w:t>
      </w:r>
      <w:r w:rsidRPr="00C16FD9">
        <w:rPr>
          <w:rStyle w:val="FootnoteReference"/>
        </w:rPr>
        <w:footnoteReference w:id="54"/>
      </w:r>
      <w:r w:rsidRPr="00C16FD9">
        <w:t>. Some scholars such as British Egyptologist T. G. H. James</w:t>
      </w:r>
      <w:r w:rsidRPr="00C16FD9">
        <w:rPr>
          <w:rStyle w:val="FootnoteReference"/>
        </w:rPr>
        <w:footnoteReference w:id="55"/>
      </w:r>
      <w:r w:rsidRPr="00C16FD9">
        <w:t xml:space="preserve">, have believed </w:t>
      </w:r>
      <w:r w:rsidRPr="00C16FD9">
        <w:lastRenderedPageBreak/>
        <w:t>that Kiya, Akhenaten’s second wife was the mother of Tutankhamun</w:t>
      </w:r>
      <w:r w:rsidRPr="00C16FD9">
        <w:rPr>
          <w:rStyle w:val="FootnoteReference"/>
        </w:rPr>
        <w:footnoteReference w:id="56"/>
      </w:r>
      <w:r w:rsidRPr="00C16FD9">
        <w:t xml:space="preserve"> perhaps supported by the fact that Kiya seems to disappear from history at the same time of Tutankhamun’s birth suggesting death in childbirth</w:t>
      </w:r>
      <w:r w:rsidRPr="00C16FD9">
        <w:rPr>
          <w:rStyle w:val="FootnoteReference"/>
        </w:rPr>
        <w:footnoteReference w:id="57"/>
      </w:r>
      <w:r w:rsidRPr="00C16FD9">
        <w:t>.</w:t>
      </w:r>
      <w:r w:rsidR="00587277" w:rsidRPr="00C16FD9">
        <w:t xml:space="preserve"> In 2007 to 2009,</w:t>
      </w:r>
      <w:r w:rsidRPr="00C16FD9">
        <w:t xml:space="preserve"> DNA testing on royal mummies</w:t>
      </w:r>
      <w:r w:rsidR="00587277" w:rsidRPr="00C16FD9">
        <w:t xml:space="preserve"> (including Tuta</w:t>
      </w:r>
      <w:r w:rsidR="005F0684" w:rsidRPr="00C16FD9">
        <w:t>nkhamun)</w:t>
      </w:r>
      <w:r w:rsidRPr="00C16FD9">
        <w:t xml:space="preserve"> of this period shows that Akhenaten married one of his full sisters (daughter of Amenhotep III and </w:t>
      </w:r>
      <w:proofErr w:type="spellStart"/>
      <w:r w:rsidRPr="00C16FD9">
        <w:t>Tiye</w:t>
      </w:r>
      <w:proofErr w:type="spellEnd"/>
      <w:r w:rsidRPr="00C16FD9">
        <w:t>)</w:t>
      </w:r>
      <w:r w:rsidR="0093237B" w:rsidRPr="00C16FD9">
        <w:t>.</w:t>
      </w:r>
      <w:r w:rsidRPr="00C16FD9">
        <w:t xml:space="preserve"> </w:t>
      </w:r>
      <w:r w:rsidR="0093237B" w:rsidRPr="00C16FD9">
        <w:t>H</w:t>
      </w:r>
      <w:r w:rsidRPr="00C16FD9">
        <w:t>er name is</w:t>
      </w:r>
      <w:r w:rsidR="0093237B" w:rsidRPr="00C16FD9">
        <w:t xml:space="preserve"> not known,</w:t>
      </w:r>
      <w:r w:rsidRPr="00C16FD9">
        <w:t xml:space="preserve"> but she is often referred to as the ‘younger lady’</w:t>
      </w:r>
      <w:r w:rsidR="00492A90" w:rsidRPr="00C16FD9">
        <w:rPr>
          <w:rStyle w:val="FootnoteReference"/>
        </w:rPr>
        <w:footnoteReference w:id="58"/>
      </w:r>
      <w:r w:rsidR="00095B37" w:rsidRPr="00C16FD9">
        <w:t xml:space="preserve"> and tomb number KV35YL</w:t>
      </w:r>
      <w:r w:rsidR="00E645FD" w:rsidRPr="00C16FD9">
        <w:rPr>
          <w:rStyle w:val="FootnoteReference"/>
        </w:rPr>
        <w:footnoteReference w:id="59"/>
      </w:r>
      <w:r w:rsidRPr="00C16FD9">
        <w:t>, and Tutankhamun could be the baby of this marriage</w:t>
      </w:r>
      <w:r w:rsidRPr="00C16FD9">
        <w:rPr>
          <w:rStyle w:val="FootnoteReference"/>
        </w:rPr>
        <w:footnoteReference w:id="60"/>
      </w:r>
      <w:r w:rsidRPr="00C16FD9">
        <w:t xml:space="preserve">. </w:t>
      </w:r>
      <w:r w:rsidR="00FA0BAE" w:rsidRPr="00E13159">
        <w:t>The results on the DNA analysis lead to</w:t>
      </w:r>
      <w:r w:rsidR="00E662CD" w:rsidRPr="00E13159">
        <w:t xml:space="preserve"> the most plausible </w:t>
      </w:r>
      <w:r w:rsidR="00160E87" w:rsidRPr="00E13159">
        <w:t>ex</w:t>
      </w:r>
      <w:r w:rsidR="00D80930" w:rsidRPr="00E13159">
        <w:t xml:space="preserve">planation of five </w:t>
      </w:r>
      <w:r w:rsidR="00C213DD" w:rsidRPr="00E13159">
        <w:t>generations</w:t>
      </w:r>
      <w:r w:rsidR="00627514" w:rsidRPr="00E13159">
        <w:t xml:space="preserve"> of Tutankhamun’s ancestry</w:t>
      </w:r>
      <w:r w:rsidR="00C213DD" w:rsidRPr="00E13159">
        <w:t xml:space="preserve"> (Diagram 1)</w:t>
      </w:r>
      <w:r w:rsidR="00627514" w:rsidRPr="00E13159">
        <w:t xml:space="preserve">. </w:t>
      </w:r>
      <w:r w:rsidR="00160E87" w:rsidRPr="00E13159">
        <w:t xml:space="preserve">In </w:t>
      </w:r>
      <w:r w:rsidR="00160E87" w:rsidRPr="00E13159">
        <w:rPr>
          <w:i/>
          <w:iCs/>
        </w:rPr>
        <w:t xml:space="preserve">Ancestry and Pathology in </w:t>
      </w:r>
      <w:r w:rsidR="00562A75" w:rsidRPr="00E13159">
        <w:rPr>
          <w:i/>
          <w:iCs/>
        </w:rPr>
        <w:t xml:space="preserve">King Tutankhamun’s Family, </w:t>
      </w:r>
      <w:r w:rsidR="00B13AFD" w:rsidRPr="00E13159">
        <w:t xml:space="preserve">Egyptian archaeologist, </w:t>
      </w:r>
      <w:proofErr w:type="spellStart"/>
      <w:r w:rsidR="00B13AFD" w:rsidRPr="00E13159">
        <w:t>Zahi</w:t>
      </w:r>
      <w:proofErr w:type="spellEnd"/>
      <w:r w:rsidR="00B13AFD" w:rsidRPr="00E13159">
        <w:t xml:space="preserve"> </w:t>
      </w:r>
      <w:proofErr w:type="spellStart"/>
      <w:r w:rsidR="00B13AFD" w:rsidRPr="00E13159">
        <w:t>Hawass</w:t>
      </w:r>
      <w:proofErr w:type="spellEnd"/>
      <w:r w:rsidR="00B13AFD" w:rsidRPr="00E13159">
        <w:t xml:space="preserve">, </w:t>
      </w:r>
      <w:r w:rsidR="00CB2821" w:rsidRPr="00E13159">
        <w:t>argued that KV35YL is likely to be Nefertiti</w:t>
      </w:r>
      <w:r w:rsidR="001E23AC" w:rsidRPr="00E13159">
        <w:rPr>
          <w:rStyle w:val="FootnoteReference"/>
        </w:rPr>
        <w:footnoteReference w:id="61"/>
      </w:r>
      <w:r w:rsidR="00CB2821" w:rsidRPr="00E13159">
        <w:t xml:space="preserve">. </w:t>
      </w:r>
      <w:r w:rsidR="004A17B6" w:rsidRPr="00E13159">
        <w:t xml:space="preserve">Tutankhamun is </w:t>
      </w:r>
      <w:r w:rsidR="00CC2729" w:rsidRPr="00E13159">
        <w:t>most plausibly the son of either Nefertiti or Kiya</w:t>
      </w:r>
      <w:r w:rsidR="00A725F4" w:rsidRPr="00E13159">
        <w:t xml:space="preserve">; </w:t>
      </w:r>
      <w:r w:rsidR="00763EF3" w:rsidRPr="00E13159">
        <w:t xml:space="preserve">difficult to identify who </w:t>
      </w:r>
      <w:r w:rsidR="009401F9" w:rsidRPr="00E13159">
        <w:t>due to conflicting information</w:t>
      </w:r>
      <w:r w:rsidR="00005E50" w:rsidRPr="00E13159">
        <w:t xml:space="preserve"> such as </w:t>
      </w:r>
      <w:r w:rsidR="00BC7370" w:rsidRPr="00E13159">
        <w:t xml:space="preserve">neither Nefertiti or Kiya appear to be Akhenaten’s sisters, </w:t>
      </w:r>
      <w:r w:rsidR="00FA2543" w:rsidRPr="00E13159">
        <w:t xml:space="preserve">through </w:t>
      </w:r>
      <w:r w:rsidR="00BC7370" w:rsidRPr="00E13159">
        <w:t xml:space="preserve">art depictions </w:t>
      </w:r>
      <w:r w:rsidR="00073415">
        <w:t>or</w:t>
      </w:r>
      <w:r w:rsidR="00BC7370" w:rsidRPr="00E13159">
        <w:t xml:space="preserve"> DNA</w:t>
      </w:r>
      <w:r w:rsidR="00913BC2" w:rsidRPr="00E13159">
        <w:t xml:space="preserve"> analysis.</w:t>
      </w:r>
    </w:p>
    <w:p w14:paraId="4787BAC6" w14:textId="4B28184E" w:rsidR="00E351E2" w:rsidRDefault="00C42821" w:rsidP="00105905">
      <w:pPr>
        <w:spacing w:line="360" w:lineRule="auto"/>
      </w:pPr>
      <w:r w:rsidRPr="00E13159">
        <w:t xml:space="preserve">However, </w:t>
      </w:r>
      <w:proofErr w:type="spellStart"/>
      <w:r w:rsidR="00105905" w:rsidRPr="00E13159">
        <w:t>Hawass</w:t>
      </w:r>
      <w:proofErr w:type="spellEnd"/>
      <w:r w:rsidR="00105905" w:rsidRPr="00E13159">
        <w:t>, discusses this</w:t>
      </w:r>
      <w:r w:rsidR="00E11014" w:rsidRPr="00E13159">
        <w:t xml:space="preserve"> </w:t>
      </w:r>
      <w:r w:rsidRPr="00E13159">
        <w:t>problem</w:t>
      </w:r>
      <w:r w:rsidR="000E156E" w:rsidRPr="00E13159">
        <w:t xml:space="preserve"> </w:t>
      </w:r>
      <w:r w:rsidR="00E11014" w:rsidRPr="00E13159">
        <w:t>further</w:t>
      </w:r>
      <w:r w:rsidR="00105905" w:rsidRPr="00E13159">
        <w:t xml:space="preserve"> in his book</w:t>
      </w:r>
      <w:r w:rsidR="00105905" w:rsidRPr="00E13159">
        <w:rPr>
          <w:rStyle w:val="FootnoteReference"/>
        </w:rPr>
        <w:footnoteReference w:id="62"/>
      </w:r>
      <w:r w:rsidR="00105905" w:rsidRPr="00E13159">
        <w:t>. He suggests that Akhenaten married one of his sisters and this marriage was the parenthood of Tutankhamun, whereas later in the book he suggests that the mother of Tutankhamun is not clear and remains a mystery.</w:t>
      </w:r>
      <w:r w:rsidR="000E156E" w:rsidRPr="00E13159">
        <w:t xml:space="preserve"> The highly conflicting information regarding the mother of Tutankhamun, </w:t>
      </w:r>
      <w:r w:rsidR="00FA2543" w:rsidRPr="00E13159">
        <w:t xml:space="preserve">adds to the mystery. </w:t>
      </w:r>
      <w:r w:rsidR="008B5197" w:rsidRPr="00E13159">
        <w:t xml:space="preserve">The family tree below surprisingly makes no reference to Kiya or Nefertiti even though they may be maternal lineage candidates. </w:t>
      </w:r>
    </w:p>
    <w:p w14:paraId="5C394060" w14:textId="1B678D20" w:rsidR="00073415" w:rsidRDefault="00073415" w:rsidP="00105905">
      <w:pPr>
        <w:spacing w:line="360" w:lineRule="auto"/>
      </w:pPr>
    </w:p>
    <w:p w14:paraId="6E9DCDD4" w14:textId="36EE299D" w:rsidR="00073415" w:rsidRDefault="00073415" w:rsidP="00105905">
      <w:pPr>
        <w:spacing w:line="360" w:lineRule="auto"/>
      </w:pPr>
    </w:p>
    <w:p w14:paraId="69BF3F94" w14:textId="68F6FEE8" w:rsidR="00073415" w:rsidRDefault="00073415" w:rsidP="00105905">
      <w:pPr>
        <w:spacing w:line="360" w:lineRule="auto"/>
      </w:pPr>
    </w:p>
    <w:p w14:paraId="669E0AEE" w14:textId="581647F1" w:rsidR="00073415" w:rsidRDefault="00073415" w:rsidP="00105905">
      <w:pPr>
        <w:spacing w:line="360" w:lineRule="auto"/>
      </w:pPr>
    </w:p>
    <w:p w14:paraId="69D2CF93" w14:textId="5772313D" w:rsidR="00073415" w:rsidRDefault="00073415" w:rsidP="00105905">
      <w:pPr>
        <w:spacing w:line="360" w:lineRule="auto"/>
      </w:pPr>
    </w:p>
    <w:p w14:paraId="52D7CE25" w14:textId="3C0C4B3E" w:rsidR="00073415" w:rsidRDefault="00073415" w:rsidP="00105905">
      <w:pPr>
        <w:spacing w:line="360" w:lineRule="auto"/>
      </w:pPr>
    </w:p>
    <w:p w14:paraId="3EAF4F48" w14:textId="66815B1D" w:rsidR="00073415" w:rsidRDefault="00073415" w:rsidP="00105905">
      <w:pPr>
        <w:spacing w:line="360" w:lineRule="auto"/>
      </w:pPr>
    </w:p>
    <w:p w14:paraId="0B915F33" w14:textId="77777777" w:rsidR="00073415" w:rsidRPr="00E13159" w:rsidRDefault="00073415" w:rsidP="00105905">
      <w:pPr>
        <w:spacing w:line="360" w:lineRule="auto"/>
      </w:pPr>
    </w:p>
    <w:p w14:paraId="45F0994C" w14:textId="693DAE82" w:rsidR="00105905" w:rsidRPr="00E13159" w:rsidRDefault="00105905" w:rsidP="00105905">
      <w:pPr>
        <w:spacing w:line="360" w:lineRule="auto"/>
      </w:pPr>
      <w:r w:rsidRPr="00E13159">
        <w:rPr>
          <w:rFonts w:ascii="Times New Roman" w:hAnsi="Times New Roman" w:cs="Times New Roman"/>
          <w:noProof/>
          <w:sz w:val="24"/>
          <w:szCs w:val="24"/>
        </w:rPr>
        <w:lastRenderedPageBreak/>
        <mc:AlternateContent>
          <mc:Choice Requires="wps">
            <w:drawing>
              <wp:anchor distT="36576" distB="36576" distL="36576" distR="36576" simplePos="0" relativeHeight="251667456" behindDoc="0" locked="0" layoutInCell="1" allowOverlap="1" wp14:anchorId="05457EA0" wp14:editId="56176E5B">
                <wp:simplePos x="0" y="0"/>
                <wp:positionH relativeFrom="column">
                  <wp:posOffset>4975860</wp:posOffset>
                </wp:positionH>
                <wp:positionV relativeFrom="paragraph">
                  <wp:posOffset>234315</wp:posOffset>
                </wp:positionV>
                <wp:extent cx="447675" cy="295275"/>
                <wp:effectExtent l="0" t="3810" r="0" b="0"/>
                <wp:wrapNone/>
                <wp:docPr id="80" name="Text Box 8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675" cy="29527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2A842AD" w14:textId="77777777" w:rsidR="00536485" w:rsidRDefault="00536485" w:rsidP="00105905">
                            <w:pPr>
                              <w:widowControl w:val="0"/>
                            </w:pPr>
                            <w:proofErr w:type="spellStart"/>
                            <w:r>
                              <w:t>Tjuya</w:t>
                            </w:r>
                            <w:proofErr w:type="spellEnd"/>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457EA0" id="Text Box 80" o:spid="_x0000_s1030" type="#_x0000_t202" style="position:absolute;margin-left:391.8pt;margin-top:18.45pt;width:35.25pt;height:23.25pt;z-index:2516674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" filled="f" fillcolor="#5b9bd5" stroked="f" strokecolor="black [0]" strokeweight="2pt">
                <v:textbox inset="2.88pt,2.88pt,2.88pt,2.88pt">
                  <w:txbxContent>
                    <w:p w14:paraId="32A842AD" w14:textId="77777777" w:rsidR="00536485" w:rsidRDefault="00536485" w:rsidP="00105905">
                      <w:pPr>
                        <w:widowControl w:val="0"/>
                      </w:pPr>
                      <w:proofErr w:type="spellStart"/>
                      <w:r>
                        <w:t>Tjuya</w:t>
                      </w:r>
                      <w:proofErr w:type="spellEnd"/>
                    </w:p>
                  </w:txbxContent>
                </v:textbox>
              </v:shape>
            </w:pict>
          </mc:Fallback>
        </mc:AlternateContent>
      </w:r>
      <w:r w:rsidRPr="00E13159">
        <w:rPr>
          <w:rFonts w:ascii="Times New Roman" w:hAnsi="Times New Roman" w:cs="Times New Roman"/>
          <w:noProof/>
          <w:sz w:val="24"/>
          <w:szCs w:val="24"/>
        </w:rPr>
        <mc:AlternateContent>
          <mc:Choice Requires="wps">
            <w:drawing>
              <wp:anchor distT="36576" distB="36576" distL="36576" distR="36576" simplePos="0" relativeHeight="251680768" behindDoc="0" locked="0" layoutInCell="1" allowOverlap="1" wp14:anchorId="5BF175AB" wp14:editId="593C0E71">
                <wp:simplePos x="0" y="0"/>
                <wp:positionH relativeFrom="column">
                  <wp:posOffset>4981575</wp:posOffset>
                </wp:positionH>
                <wp:positionV relativeFrom="paragraph">
                  <wp:posOffset>91440</wp:posOffset>
                </wp:positionV>
                <wp:extent cx="164465" cy="158115"/>
                <wp:effectExtent l="0" t="0" r="26035" b="13335"/>
                <wp:wrapNone/>
                <wp:docPr id="105" name="Oval 10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4465" cy="158115"/>
                        </a:xfrm>
                        <a:prstGeom prst="ellipse">
                          <a:avLst/>
                        </a:prstGeom>
                        <a:solidFill>
                          <a:srgbClr val="C285A3"/>
                        </a:solidFill>
                        <a:ln w="25400">
                          <a:solidFill>
                            <a:srgbClr val="C285A3"/>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8805D9F" id="Oval 105" o:spid="_x0000_s1026" style="position:absolute;margin-left:392.25pt;margin-top:7.2pt;width:12.95pt;height:12.45pt;z-index:2516807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" fillcolor="#c285a3" strokecolor="#c285a3" strokeweight="2pt">
                <v:shadow color="black [0]"/>
                <v:textbox inset="2.88pt,2.88pt,2.88pt,2.88pt"/>
              </v:oval>
            </w:pict>
          </mc:Fallback>
        </mc:AlternateContent>
      </w:r>
      <w:r w:rsidRPr="00E13159">
        <w:rPr>
          <w:rFonts w:ascii="Times New Roman" w:hAnsi="Times New Roman" w:cs="Times New Roman"/>
          <w:noProof/>
          <w:sz w:val="24"/>
          <w:szCs w:val="24"/>
        </w:rPr>
        <mc:AlternateContent>
          <mc:Choice Requires="wps">
            <w:drawing>
              <wp:anchor distT="36576" distB="36576" distL="36576" distR="36576" simplePos="0" relativeHeight="251679744" behindDoc="0" locked="0" layoutInCell="1" allowOverlap="1" wp14:anchorId="7002DF69" wp14:editId="3941C198">
                <wp:simplePos x="0" y="0"/>
                <wp:positionH relativeFrom="column">
                  <wp:posOffset>3660775</wp:posOffset>
                </wp:positionH>
                <wp:positionV relativeFrom="paragraph">
                  <wp:posOffset>76200</wp:posOffset>
                </wp:positionV>
                <wp:extent cx="181610" cy="161925"/>
                <wp:effectExtent l="0" t="0" r="27940" b="28575"/>
                <wp:wrapNone/>
                <wp:docPr id="104" name="Rectangle 10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1610" cy="161925"/>
                        </a:xfrm>
                        <a:prstGeom prst="rect">
                          <a:avLst/>
                        </a:prstGeom>
                        <a:solidFill>
                          <a:srgbClr val="063D71"/>
                        </a:solidFill>
                        <a:ln w="25400">
                          <a:solidFill>
                            <a:srgbClr val="063D71"/>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63766F" id="Rectangle 104" o:spid="_x0000_s1026" style="position:absolute;margin-left:288.25pt;margin-top:6pt;width:14.3pt;height:12.75pt;z-index:25167974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" fillcolor="#063d71" strokecolor="#063d71" strokeweight="2pt">
                <v:shadow color="black [0]"/>
                <v:textbox inset="2.88pt,2.88pt,2.88pt,2.88pt"/>
              </v:rect>
            </w:pict>
          </mc:Fallback>
        </mc:AlternateContent>
      </w:r>
      <w:r w:rsidRPr="00E13159">
        <w:rPr>
          <w:rFonts w:ascii="Times New Roman" w:hAnsi="Times New Roman" w:cs="Times New Roman"/>
          <w:noProof/>
          <w:sz w:val="24"/>
          <w:szCs w:val="24"/>
        </w:rPr>
        <mc:AlternateContent>
          <mc:Choice Requires="wps">
            <w:drawing>
              <wp:anchor distT="36576" distB="36576" distL="36576" distR="36576" simplePos="0" relativeHeight="251666432" behindDoc="0" locked="0" layoutInCell="1" allowOverlap="1" wp14:anchorId="2AACC733" wp14:editId="4162C758">
                <wp:simplePos x="0" y="0"/>
                <wp:positionH relativeFrom="column">
                  <wp:posOffset>3524250</wp:posOffset>
                </wp:positionH>
                <wp:positionV relativeFrom="paragraph">
                  <wp:posOffset>245110</wp:posOffset>
                </wp:positionV>
                <wp:extent cx="428625" cy="276225"/>
                <wp:effectExtent l="0" t="0" r="9525" b="9525"/>
                <wp:wrapNone/>
                <wp:docPr id="81" name="Text Box 8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625" cy="27622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606D6A6" w14:textId="77777777" w:rsidR="00536485" w:rsidRDefault="00536485" w:rsidP="00105905">
                            <w:pPr>
                              <w:widowControl w:val="0"/>
                            </w:pPr>
                            <w:proofErr w:type="spellStart"/>
                            <w:r>
                              <w:t>Yuya</w:t>
                            </w:r>
                            <w:proofErr w:type="spellEnd"/>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ACC733" id="Text Box 81" o:spid="_x0000_s1031" type="#_x0000_t202" style="position:absolute;margin-left:277.5pt;margin-top:19.3pt;width:33.75pt;height:21.75pt;z-index:25166643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" filled="f" fillcolor="#5b9bd5" stroked="f" strokecolor="black [0]" strokeweight="2pt">
                <v:textbox inset="2.88pt,2.88pt,2.88pt,2.88pt">
                  <w:txbxContent>
                    <w:p w14:paraId="7606D6A6" w14:textId="77777777" w:rsidR="00536485" w:rsidRDefault="00536485" w:rsidP="00105905">
                      <w:pPr>
                        <w:widowControl w:val="0"/>
                      </w:pPr>
                      <w:proofErr w:type="spellStart"/>
                      <w:r>
                        <w:t>Yuya</w:t>
                      </w:r>
                      <w:proofErr w:type="spellEnd"/>
                    </w:p>
                  </w:txbxContent>
                </v:textbox>
              </v:shape>
            </w:pict>
          </mc:Fallback>
        </mc:AlternateContent>
      </w:r>
      <w:r w:rsidRPr="00E13159">
        <w:rPr>
          <w:rFonts w:ascii="Times New Roman" w:hAnsi="Times New Roman" w:cs="Times New Roman"/>
          <w:noProof/>
          <w:sz w:val="24"/>
          <w:szCs w:val="24"/>
        </w:rPr>
        <mc:AlternateContent>
          <mc:Choice Requires="wps">
            <w:drawing>
              <wp:anchor distT="36576" distB="36576" distL="36576" distR="36576" simplePos="0" relativeHeight="251663360" behindDoc="0" locked="0" layoutInCell="1" allowOverlap="1" wp14:anchorId="05865051" wp14:editId="0CC3E2A2">
                <wp:simplePos x="0" y="0"/>
                <wp:positionH relativeFrom="column">
                  <wp:posOffset>3830320</wp:posOffset>
                </wp:positionH>
                <wp:positionV relativeFrom="paragraph">
                  <wp:posOffset>196215</wp:posOffset>
                </wp:positionV>
                <wp:extent cx="1160145" cy="0"/>
                <wp:effectExtent l="20955" t="18415" r="19050" b="19685"/>
                <wp:wrapNone/>
                <wp:docPr id="92" name="Straight Arrow Connector 9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60145" cy="0"/>
                        </a:xfrm>
                        <a:prstGeom prst="straightConnector1">
                          <a:avLst/>
                        </a:prstGeom>
                        <a:noFill/>
                        <a:ln w="25400">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3D4B78B0" id="_x0000_t32" coordsize="21600,21600" o:spt="32" o:oned="t" path="m,l21600,21600e" filled="f">
                <v:path arrowok="t" fillok="f" o:connecttype="none"/>
                <o:lock v:ext="edit" shapetype="t"/>
              </v:shapetype>
              <v:shape id="Straight Arrow Connector 92" o:spid="_x0000_s1026" type="#_x0000_t32" style="position:absolute;margin-left:301.6pt;margin-top:15.45pt;width:91.35pt;height:0;z-index:2516633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" strokecolor="black [0]" strokeweight="2pt">
                <v:shadow color="black [0]"/>
              </v:shape>
            </w:pict>
          </mc:Fallback>
        </mc:AlternateContent>
      </w:r>
      <w:r w:rsidRPr="00E13159">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51DA24F6" wp14:editId="38C8CF7A">
                <wp:simplePos x="0" y="0"/>
                <wp:positionH relativeFrom="column">
                  <wp:posOffset>4429125</wp:posOffset>
                </wp:positionH>
                <wp:positionV relativeFrom="paragraph">
                  <wp:posOffset>206375</wp:posOffset>
                </wp:positionV>
                <wp:extent cx="0" cy="304800"/>
                <wp:effectExtent l="19050" t="0" r="19050" b="19050"/>
                <wp:wrapNone/>
                <wp:docPr id="106" name="Straight Connector 106"/>
                <wp:cNvGraphicFramePr/>
                <a:graphic xmlns:a="http://schemas.openxmlformats.org/drawingml/2006/main">
                  <a:graphicData uri="http://schemas.microsoft.com/office/word/2010/wordprocessingShape">
                    <wps:wsp>
                      <wps:cNvCnPr/>
                      <wps:spPr>
                        <a:xfrm>
                          <a:off x="0" y="0"/>
                          <a:ext cx="0" cy="30480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1318EBE" id="Straight Connector 106"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348.75pt,16.25pt" to="348.75pt,4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" strokecolor="black [3213]" strokeweight="2.25pt">
                <v:stroke joinstyle="miter"/>
              </v:line>
            </w:pict>
          </mc:Fallback>
        </mc:AlternateContent>
      </w:r>
    </w:p>
    <w:p w14:paraId="3A35DF30" w14:textId="74A6CA73" w:rsidR="00105905" w:rsidRPr="00E13159" w:rsidRDefault="00105905" w:rsidP="00105905">
      <w:pPr>
        <w:spacing w:line="360" w:lineRule="auto"/>
      </w:pPr>
      <w:r w:rsidRPr="00E13159">
        <w:rPr>
          <w:rFonts w:ascii="Times New Roman" w:hAnsi="Times New Roman" w:cs="Times New Roman"/>
          <w:noProof/>
          <w:sz w:val="24"/>
          <w:szCs w:val="24"/>
        </w:rPr>
        <mc:AlternateContent>
          <mc:Choice Requires="wps">
            <w:drawing>
              <wp:anchor distT="0" distB="0" distL="114300" distR="114300" simplePos="0" relativeHeight="251685888" behindDoc="0" locked="0" layoutInCell="1" allowOverlap="1" wp14:anchorId="25112C19" wp14:editId="1ED57C1F">
                <wp:simplePos x="0" y="0"/>
                <wp:positionH relativeFrom="column">
                  <wp:posOffset>2571750</wp:posOffset>
                </wp:positionH>
                <wp:positionV relativeFrom="paragraph">
                  <wp:posOffset>237490</wp:posOffset>
                </wp:positionV>
                <wp:extent cx="0" cy="638175"/>
                <wp:effectExtent l="19050" t="0" r="19050" b="28575"/>
                <wp:wrapNone/>
                <wp:docPr id="109" name="Straight Connector 109"/>
                <wp:cNvGraphicFramePr/>
                <a:graphic xmlns:a="http://schemas.openxmlformats.org/drawingml/2006/main">
                  <a:graphicData uri="http://schemas.microsoft.com/office/word/2010/wordprocessingShape">
                    <wps:wsp>
                      <wps:cNvCnPr/>
                      <wps:spPr>
                        <a:xfrm>
                          <a:off x="0" y="0"/>
                          <a:ext cx="0" cy="638175"/>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62604628" id="Straight Connector 109" o:spid="_x0000_s1026" style="position:absolute;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02.5pt,18.7pt" to="202.5pt,6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" strokecolor="black [3213]" strokeweight="2.25pt">
                <v:stroke joinstyle="miter"/>
              </v:line>
            </w:pict>
          </mc:Fallback>
        </mc:AlternateContent>
      </w:r>
      <w:r w:rsidRPr="00E13159">
        <w:rPr>
          <w:rFonts w:ascii="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7F077E36" wp14:editId="5D81CC5C">
                <wp:simplePos x="0" y="0"/>
                <wp:positionH relativeFrom="column">
                  <wp:posOffset>848360</wp:posOffset>
                </wp:positionH>
                <wp:positionV relativeFrom="paragraph">
                  <wp:posOffset>228600</wp:posOffset>
                </wp:positionV>
                <wp:extent cx="3495040" cy="6985"/>
                <wp:effectExtent l="19050" t="19050" r="29210" b="31115"/>
                <wp:wrapNone/>
                <wp:docPr id="108" name="Straight Connector 108"/>
                <wp:cNvGraphicFramePr/>
                <a:graphic xmlns:a="http://schemas.openxmlformats.org/drawingml/2006/main">
                  <a:graphicData uri="http://schemas.microsoft.com/office/word/2010/wordprocessingShape">
                    <wps:wsp>
                      <wps:cNvCnPr/>
                      <wps:spPr>
                        <a:xfrm flipV="1">
                          <a:off x="0" y="0"/>
                          <a:ext cx="3495040" cy="6985"/>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CFD10A" id="Straight Connector 108" o:spid="_x0000_s1026" style="position:absolute;flip:y;z-index:251684864;visibility:visible;mso-wrap-style:square;mso-wrap-distance-left:9pt;mso-wrap-distance-top:0;mso-wrap-distance-right:9pt;mso-wrap-distance-bottom:0;mso-position-horizontal:absolute;mso-position-horizontal-relative:text;mso-position-vertical:absolute;mso-position-vertical-relative:text" from="66.8pt,18pt" to="342pt,1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" strokecolor="black [3213]" strokeweight="2.25pt">
                <v:stroke joinstyle="miter"/>
              </v:line>
            </w:pict>
          </mc:Fallback>
        </mc:AlternateContent>
      </w:r>
      <w:r w:rsidRPr="00E13159">
        <w:rPr>
          <w:rFonts w:ascii="Times New Roman" w:hAnsi="Times New Roman" w:cs="Times New Roman"/>
          <w:noProof/>
          <w:sz w:val="24"/>
          <w:szCs w:val="24"/>
        </w:rPr>
        <mc:AlternateContent>
          <mc:Choice Requires="wps">
            <w:drawing>
              <wp:anchor distT="36576" distB="36576" distL="36576" distR="36576" simplePos="0" relativeHeight="251682816" behindDoc="0" locked="0" layoutInCell="1" allowOverlap="1" wp14:anchorId="5789D13E" wp14:editId="5D2D1FF9">
                <wp:simplePos x="0" y="0"/>
                <wp:positionH relativeFrom="column">
                  <wp:posOffset>4354195</wp:posOffset>
                </wp:positionH>
                <wp:positionV relativeFrom="paragraph">
                  <wp:posOffset>154940</wp:posOffset>
                </wp:positionV>
                <wp:extent cx="164465" cy="158115"/>
                <wp:effectExtent l="0" t="0" r="26035" b="13335"/>
                <wp:wrapNone/>
                <wp:docPr id="107" name="Oval 10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4465" cy="158115"/>
                        </a:xfrm>
                        <a:prstGeom prst="ellipse">
                          <a:avLst/>
                        </a:prstGeom>
                        <a:solidFill>
                          <a:srgbClr val="C285A3"/>
                        </a:solidFill>
                        <a:ln w="25400">
                          <a:solidFill>
                            <a:srgbClr val="C285A3"/>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0094D0A" id="Oval 107" o:spid="_x0000_s1026" style="position:absolute;margin-left:342.85pt;margin-top:12.2pt;width:12.95pt;height:12.45pt;z-index:25168281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" fillcolor="#c285a3" strokecolor="#c285a3" strokeweight="2pt">
                <v:shadow color="black [0]"/>
                <v:textbox inset="2.88pt,2.88pt,2.88pt,2.88pt"/>
              </v:oval>
            </w:pict>
          </mc:Fallback>
        </mc:AlternateContent>
      </w:r>
      <w:r w:rsidRPr="00E13159">
        <w:rPr>
          <w:rFonts w:ascii="Times New Roman" w:hAnsi="Times New Roman" w:cs="Times New Roman"/>
          <w:noProof/>
          <w:sz w:val="24"/>
          <w:szCs w:val="24"/>
        </w:rPr>
        <mc:AlternateContent>
          <mc:Choice Requires="wps">
            <w:drawing>
              <wp:anchor distT="36576" distB="36576" distL="36576" distR="36576" simplePos="0" relativeHeight="251678720" behindDoc="0" locked="0" layoutInCell="1" allowOverlap="1" wp14:anchorId="2730753E" wp14:editId="090E8094">
                <wp:simplePos x="0" y="0"/>
                <wp:positionH relativeFrom="column">
                  <wp:posOffset>676275</wp:posOffset>
                </wp:positionH>
                <wp:positionV relativeFrom="paragraph">
                  <wp:posOffset>131445</wp:posOffset>
                </wp:positionV>
                <wp:extent cx="181610" cy="161925"/>
                <wp:effectExtent l="0" t="0" r="27940" b="28575"/>
                <wp:wrapNone/>
                <wp:docPr id="103" name="Rectangle 10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1610" cy="161925"/>
                        </a:xfrm>
                        <a:prstGeom prst="rect">
                          <a:avLst/>
                        </a:prstGeom>
                        <a:solidFill>
                          <a:srgbClr val="063D71"/>
                        </a:solidFill>
                        <a:ln w="25400">
                          <a:solidFill>
                            <a:srgbClr val="063D71"/>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8FE528" id="Rectangle 103" o:spid="_x0000_s1026" style="position:absolute;margin-left:53.25pt;margin-top:10.35pt;width:14.3pt;height:12.75pt;z-index:25167872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" fillcolor="#063d71" strokecolor="#063d71" strokeweight="2pt">
                <v:shadow color="black [0]"/>
                <v:textbox inset="2.88pt,2.88pt,2.88pt,2.88pt"/>
              </v:rect>
            </w:pict>
          </mc:Fallback>
        </mc:AlternateContent>
      </w:r>
    </w:p>
    <w:p w14:paraId="3FC00177" w14:textId="77777777" w:rsidR="00105905" w:rsidRPr="00E13159" w:rsidRDefault="00105905" w:rsidP="00105905">
      <w:pPr>
        <w:spacing w:line="360" w:lineRule="auto"/>
      </w:pPr>
      <w:r w:rsidRPr="00E13159">
        <w:rPr>
          <w:noProof/>
        </w:rPr>
        <mc:AlternateContent>
          <mc:Choice Requires="wps">
            <w:drawing>
              <wp:anchor distT="45720" distB="45720" distL="114300" distR="114300" simplePos="0" relativeHeight="251683840" behindDoc="0" locked="0" layoutInCell="1" allowOverlap="1" wp14:anchorId="48F04ADC" wp14:editId="4574A886">
                <wp:simplePos x="0" y="0"/>
                <wp:positionH relativeFrom="column">
                  <wp:posOffset>4226560</wp:posOffset>
                </wp:positionH>
                <wp:positionV relativeFrom="paragraph">
                  <wp:posOffset>76200</wp:posOffset>
                </wp:positionV>
                <wp:extent cx="523875" cy="2952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875" cy="295275"/>
                        </a:xfrm>
                        <a:prstGeom prst="rect">
                          <a:avLst/>
                        </a:prstGeom>
                        <a:solidFill>
                          <a:srgbClr val="FFFFFF"/>
                        </a:solidFill>
                        <a:ln w="9525">
                          <a:solidFill>
                            <a:schemeClr val="bg1"/>
                          </a:solidFill>
                          <a:miter lim="800000"/>
                          <a:headEnd/>
                          <a:tailEnd/>
                        </a:ln>
                      </wps:spPr>
                      <wps:txbx>
                        <w:txbxContent>
                          <w:p w14:paraId="2A26C836" w14:textId="77777777" w:rsidR="00536485" w:rsidRDefault="00536485" w:rsidP="00105905">
                            <w:proofErr w:type="spellStart"/>
                            <w:r>
                              <w:t>Tiye</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F04ADC" id="_x0000_s1032" type="#_x0000_t202" style="position:absolute;margin-left:332.8pt;margin-top:6pt;width:41.25pt;height:23.2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" strokecolor="white [3212]">
                <v:textbox>
                  <w:txbxContent>
                    <w:p w14:paraId="2A26C836" w14:textId="77777777" w:rsidR="00536485" w:rsidRDefault="00536485" w:rsidP="00105905">
                      <w:proofErr w:type="spellStart"/>
                      <w:r>
                        <w:t>Tiye</w:t>
                      </w:r>
                      <w:proofErr w:type="spellEnd"/>
                    </w:p>
                  </w:txbxContent>
                </v:textbox>
                <w10:wrap type="square"/>
              </v:shape>
            </w:pict>
          </mc:Fallback>
        </mc:AlternateContent>
      </w:r>
      <w:r w:rsidRPr="00E13159">
        <w:rPr>
          <w:rFonts w:ascii="Times New Roman" w:hAnsi="Times New Roman" w:cs="Times New Roman"/>
          <w:noProof/>
          <w:sz w:val="24"/>
          <w:szCs w:val="24"/>
        </w:rPr>
        <mc:AlternateContent>
          <mc:Choice Requires="wps">
            <w:drawing>
              <wp:anchor distT="36576" distB="36576" distL="36576" distR="36576" simplePos="0" relativeHeight="251668480" behindDoc="0" locked="0" layoutInCell="1" allowOverlap="1" wp14:anchorId="2771E4EA" wp14:editId="57679C61">
                <wp:simplePos x="0" y="0"/>
                <wp:positionH relativeFrom="column">
                  <wp:posOffset>372745</wp:posOffset>
                </wp:positionH>
                <wp:positionV relativeFrom="paragraph">
                  <wp:posOffset>15875</wp:posOffset>
                </wp:positionV>
                <wp:extent cx="828675" cy="276225"/>
                <wp:effectExtent l="0" t="0" r="3175" b="0"/>
                <wp:wrapNone/>
                <wp:docPr id="79" name="Text Box 7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8675" cy="27622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FEE4B6C" w14:textId="77777777" w:rsidR="00536485" w:rsidRDefault="00536485" w:rsidP="00105905">
                            <w:pPr>
                              <w:widowControl w:val="0"/>
                            </w:pPr>
                            <w:r>
                              <w:t>Amenhotep III</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71E4EA" id="Text Box 79" o:spid="_x0000_s1033" type="#_x0000_t202" style="position:absolute;margin-left:29.35pt;margin-top:1.25pt;width:65.25pt;height:21.75pt;z-index:25166848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" filled="f" fillcolor="#5b9bd5" stroked="f" strokecolor="black [0]" strokeweight="2pt">
                <v:textbox inset="2.88pt,2.88pt,2.88pt,2.88pt">
                  <w:txbxContent>
                    <w:p w14:paraId="7FEE4B6C" w14:textId="77777777" w:rsidR="00536485" w:rsidRDefault="00536485" w:rsidP="00105905">
                      <w:pPr>
                        <w:widowControl w:val="0"/>
                      </w:pPr>
                      <w:r>
                        <w:t>Amenhotep III</w:t>
                      </w:r>
                    </w:p>
                  </w:txbxContent>
                </v:textbox>
              </v:shape>
            </w:pict>
          </mc:Fallback>
        </mc:AlternateContent>
      </w:r>
    </w:p>
    <w:p w14:paraId="44050194" w14:textId="0B6E3852" w:rsidR="00105905" w:rsidRPr="00E13159" w:rsidRDefault="00105905" w:rsidP="00105905">
      <w:pPr>
        <w:spacing w:line="360" w:lineRule="auto"/>
      </w:pPr>
      <w:r w:rsidRPr="00E13159">
        <w:rPr>
          <w:rFonts w:ascii="Times New Roman" w:hAnsi="Times New Roman" w:cs="Times New Roman"/>
          <w:noProof/>
          <w:sz w:val="24"/>
          <w:szCs w:val="24"/>
        </w:rPr>
        <mc:AlternateContent>
          <mc:Choice Requires="wps">
            <w:drawing>
              <wp:anchor distT="0" distB="0" distL="114300" distR="114300" simplePos="0" relativeHeight="251696128" behindDoc="0" locked="0" layoutInCell="1" allowOverlap="1" wp14:anchorId="3CE717FF" wp14:editId="0D2E0262">
                <wp:simplePos x="0" y="0"/>
                <wp:positionH relativeFrom="column">
                  <wp:posOffset>2117090</wp:posOffset>
                </wp:positionH>
                <wp:positionV relativeFrom="paragraph">
                  <wp:posOffset>309880</wp:posOffset>
                </wp:positionV>
                <wp:extent cx="0" cy="552450"/>
                <wp:effectExtent l="19050" t="0" r="19050" b="19050"/>
                <wp:wrapNone/>
                <wp:docPr id="120" name="Straight Connector 120"/>
                <wp:cNvGraphicFramePr/>
                <a:graphic xmlns:a="http://schemas.openxmlformats.org/drawingml/2006/main">
                  <a:graphicData uri="http://schemas.microsoft.com/office/word/2010/wordprocessingShape">
                    <wps:wsp>
                      <wps:cNvCnPr/>
                      <wps:spPr>
                        <a:xfrm>
                          <a:off x="0" y="0"/>
                          <a:ext cx="0" cy="55245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05D9B1ED" id="Straight Connector 120" o:spid="_x0000_s1026" style="position:absolute;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66.7pt,24.4pt" to="166.7pt,6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" strokecolor="black [3213]" strokeweight="2.25pt">
                <v:stroke joinstyle="miter"/>
              </v:line>
            </w:pict>
          </mc:Fallback>
        </mc:AlternateContent>
      </w:r>
      <w:r w:rsidRPr="00E13159">
        <w:rPr>
          <w:rFonts w:ascii="Times New Roman" w:hAnsi="Times New Roman" w:cs="Times New Roman"/>
          <w:noProof/>
          <w:sz w:val="24"/>
          <w:szCs w:val="24"/>
        </w:rPr>
        <mc:AlternateContent>
          <mc:Choice Requires="wps">
            <w:drawing>
              <wp:anchor distT="0" distB="0" distL="114300" distR="114300" simplePos="0" relativeHeight="251691008" behindDoc="0" locked="0" layoutInCell="1" allowOverlap="1" wp14:anchorId="24086091" wp14:editId="706D6F1E">
                <wp:simplePos x="0" y="0"/>
                <wp:positionH relativeFrom="column">
                  <wp:posOffset>148590</wp:posOffset>
                </wp:positionH>
                <wp:positionV relativeFrom="paragraph">
                  <wp:posOffset>315595</wp:posOffset>
                </wp:positionV>
                <wp:extent cx="2312035" cy="0"/>
                <wp:effectExtent l="0" t="19050" r="31115" b="19050"/>
                <wp:wrapNone/>
                <wp:docPr id="115" name="Straight Connector 115"/>
                <wp:cNvGraphicFramePr/>
                <a:graphic xmlns:a="http://schemas.openxmlformats.org/drawingml/2006/main">
                  <a:graphicData uri="http://schemas.microsoft.com/office/word/2010/wordprocessingShape">
                    <wps:wsp>
                      <wps:cNvCnPr/>
                      <wps:spPr>
                        <a:xfrm>
                          <a:off x="0" y="0"/>
                          <a:ext cx="2312035" cy="0"/>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19C4885" id="Straight Connector 115"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11.7pt,24.85pt" to="193.75pt,2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" strokecolor="red" strokeweight="2.25pt">
                <v:stroke joinstyle="miter"/>
              </v:line>
            </w:pict>
          </mc:Fallback>
        </mc:AlternateContent>
      </w:r>
      <w:r w:rsidRPr="00E13159">
        <w:rPr>
          <w:rFonts w:ascii="Times New Roman" w:hAnsi="Times New Roman" w:cs="Times New Roman"/>
          <w:noProof/>
          <w:sz w:val="24"/>
          <w:szCs w:val="24"/>
        </w:rPr>
        <mc:AlternateContent>
          <mc:Choice Requires="wps">
            <w:drawing>
              <wp:anchor distT="0" distB="0" distL="114300" distR="114300" simplePos="0" relativeHeight="251689984" behindDoc="0" locked="0" layoutInCell="1" allowOverlap="1" wp14:anchorId="56B2D352" wp14:editId="16813278">
                <wp:simplePos x="0" y="0"/>
                <wp:positionH relativeFrom="column">
                  <wp:posOffset>173355</wp:posOffset>
                </wp:positionH>
                <wp:positionV relativeFrom="paragraph">
                  <wp:posOffset>215265</wp:posOffset>
                </wp:positionV>
                <wp:extent cx="2312035" cy="0"/>
                <wp:effectExtent l="0" t="19050" r="31115" b="19050"/>
                <wp:wrapNone/>
                <wp:docPr id="114" name="Straight Connector 114"/>
                <wp:cNvGraphicFramePr/>
                <a:graphic xmlns:a="http://schemas.openxmlformats.org/drawingml/2006/main">
                  <a:graphicData uri="http://schemas.microsoft.com/office/word/2010/wordprocessingShape">
                    <wps:wsp>
                      <wps:cNvCnPr/>
                      <wps:spPr>
                        <a:xfrm>
                          <a:off x="0" y="0"/>
                          <a:ext cx="2312035"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5B9334" id="Straight Connector 114" o:spid="_x0000_s1026" style="position:absolute;z-index:251689984;visibility:visible;mso-wrap-style:square;mso-wrap-distance-left:9pt;mso-wrap-distance-top:0;mso-wrap-distance-right:9pt;mso-wrap-distance-bottom:0;mso-position-horizontal:absolute;mso-position-horizontal-relative:text;mso-position-vertical:absolute;mso-position-vertical-relative:text" from="13.65pt,16.95pt" to="195.7pt,1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" strokecolor="black [3213]" strokeweight="2.25pt">
                <v:stroke joinstyle="miter"/>
              </v:line>
            </w:pict>
          </mc:Fallback>
        </mc:AlternateContent>
      </w:r>
      <w:r w:rsidRPr="00E13159">
        <w:rPr>
          <w:rFonts w:ascii="Times New Roman" w:hAnsi="Times New Roman" w:cs="Times New Roman"/>
          <w:noProof/>
          <w:sz w:val="24"/>
          <w:szCs w:val="24"/>
        </w:rPr>
        <mc:AlternateContent>
          <mc:Choice Requires="wps">
            <w:drawing>
              <wp:anchor distT="36576" distB="36576" distL="36576" distR="36576" simplePos="0" relativeHeight="251669504" behindDoc="0" locked="0" layoutInCell="1" allowOverlap="1" wp14:anchorId="33CF925A" wp14:editId="3D2E4CC1">
                <wp:simplePos x="0" y="0"/>
                <wp:positionH relativeFrom="column">
                  <wp:posOffset>-224155</wp:posOffset>
                </wp:positionH>
                <wp:positionV relativeFrom="paragraph">
                  <wp:posOffset>332740</wp:posOffset>
                </wp:positionV>
                <wp:extent cx="1076325" cy="304800"/>
                <wp:effectExtent l="0" t="0" r="0" b="0"/>
                <wp:wrapNone/>
                <wp:docPr id="77" name="Text Box 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6325" cy="30480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D6EB8EB" w14:textId="4EC2C707" w:rsidR="00536485" w:rsidRDefault="00536485" w:rsidP="00105905">
                            <w:pPr>
                              <w:widowControl w:val="0"/>
                            </w:pPr>
                            <w:r>
                              <w:t>KV35YL</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3CF925A" id="Text Box 77" o:spid="_x0000_s1034" type="#_x0000_t202" style="position:absolute;margin-left:-17.65pt;margin-top:26.2pt;width:84.75pt;height:24pt;z-index:25166950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" filled="f" fillcolor="#5b9bd5" stroked="f" strokecolor="black [0]" strokeweight="2pt">
                <v:textbox inset="2.88pt,2.88pt,2.88pt,2.88pt">
                  <w:txbxContent>
                    <w:p w14:paraId="1D6EB8EB" w14:textId="4EC2C707" w:rsidR="00536485" w:rsidRDefault="00536485" w:rsidP="00105905">
                      <w:pPr>
                        <w:widowControl w:val="0"/>
                      </w:pPr>
                      <w:r>
                        <w:t>KV35YL</w:t>
                      </w:r>
                    </w:p>
                  </w:txbxContent>
                </v:textbox>
              </v:shape>
            </w:pict>
          </mc:Fallback>
        </mc:AlternateContent>
      </w:r>
      <w:r w:rsidRPr="00E13159">
        <w:rPr>
          <w:rFonts w:ascii="Times New Roman" w:hAnsi="Times New Roman" w:cs="Times New Roman"/>
          <w:noProof/>
          <w:sz w:val="24"/>
          <w:szCs w:val="24"/>
        </w:rPr>
        <mc:AlternateContent>
          <mc:Choice Requires="wps">
            <w:drawing>
              <wp:anchor distT="36576" distB="36576" distL="36576" distR="36576" simplePos="0" relativeHeight="251687936" behindDoc="0" locked="0" layoutInCell="1" allowOverlap="1" wp14:anchorId="34435B96" wp14:editId="171D4A4F">
                <wp:simplePos x="0" y="0"/>
                <wp:positionH relativeFrom="column">
                  <wp:posOffset>12065</wp:posOffset>
                </wp:positionH>
                <wp:positionV relativeFrom="paragraph">
                  <wp:posOffset>167640</wp:posOffset>
                </wp:positionV>
                <wp:extent cx="164465" cy="158115"/>
                <wp:effectExtent l="0" t="0" r="26035" b="13335"/>
                <wp:wrapNone/>
                <wp:docPr id="112" name="Oval 1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4465" cy="158115"/>
                        </a:xfrm>
                        <a:prstGeom prst="ellipse">
                          <a:avLst/>
                        </a:prstGeom>
                        <a:solidFill>
                          <a:srgbClr val="C285A3"/>
                        </a:solidFill>
                        <a:ln w="25400">
                          <a:solidFill>
                            <a:srgbClr val="C285A3"/>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5DA07CD9" id="Oval 112" o:spid="_x0000_s1026" style="position:absolute;margin-left:.95pt;margin-top:13.2pt;width:12.95pt;height:12.45pt;z-index:25168793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" fillcolor="#c285a3" strokecolor="#c285a3" strokeweight="2pt">
                <v:shadow color="black [0]"/>
                <v:textbox inset="2.88pt,2.88pt,2.88pt,2.88pt"/>
              </v:oval>
            </w:pict>
          </mc:Fallback>
        </mc:AlternateContent>
      </w:r>
      <w:r w:rsidRPr="00E13159">
        <w:rPr>
          <w:rFonts w:ascii="Times New Roman" w:hAnsi="Times New Roman" w:cs="Times New Roman"/>
          <w:noProof/>
          <w:sz w:val="24"/>
          <w:szCs w:val="24"/>
        </w:rPr>
        <mc:AlternateContent>
          <mc:Choice Requires="wps">
            <w:drawing>
              <wp:anchor distT="36576" distB="36576" distL="36576" distR="36576" simplePos="0" relativeHeight="251686912" behindDoc="0" locked="0" layoutInCell="1" allowOverlap="1" wp14:anchorId="4CD8F089" wp14:editId="476F4A8B">
                <wp:simplePos x="0" y="0"/>
                <wp:positionH relativeFrom="column">
                  <wp:posOffset>2486025</wp:posOffset>
                </wp:positionH>
                <wp:positionV relativeFrom="paragraph">
                  <wp:posOffset>160020</wp:posOffset>
                </wp:positionV>
                <wp:extent cx="181610" cy="161925"/>
                <wp:effectExtent l="0" t="0" r="27940" b="28575"/>
                <wp:wrapNone/>
                <wp:docPr id="111" name="Rectangle 1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1610" cy="161925"/>
                        </a:xfrm>
                        <a:prstGeom prst="rect">
                          <a:avLst/>
                        </a:prstGeom>
                        <a:solidFill>
                          <a:srgbClr val="063D71"/>
                        </a:solidFill>
                        <a:ln w="25400">
                          <a:solidFill>
                            <a:srgbClr val="063D71"/>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868ED4" id="Rectangle 111" o:spid="_x0000_s1026" style="position:absolute;margin-left:195.75pt;margin-top:12.6pt;width:14.3pt;height:12.75pt;z-index:2516869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" fillcolor="#063d71" strokecolor="#063d71" strokeweight="2pt">
                <v:shadow color="black [0]"/>
                <v:textbox inset="2.88pt,2.88pt,2.88pt,2.88pt"/>
              </v:rect>
            </w:pict>
          </mc:Fallback>
        </mc:AlternateContent>
      </w:r>
    </w:p>
    <w:p w14:paraId="0F1A7252" w14:textId="6DAF7A14" w:rsidR="00105905" w:rsidRPr="00E13159" w:rsidRDefault="00243ABA" w:rsidP="00105905">
      <w:pPr>
        <w:spacing w:line="360" w:lineRule="auto"/>
      </w:pPr>
      <w:r w:rsidRPr="00E13159">
        <w:rPr>
          <w:rFonts w:ascii="Times New Roman" w:hAnsi="Times New Roman" w:cs="Times New Roman"/>
          <w:noProof/>
          <w:sz w:val="24"/>
          <w:szCs w:val="24"/>
        </w:rPr>
        <mc:AlternateContent>
          <mc:Choice Requires="wps">
            <w:drawing>
              <wp:anchor distT="0" distB="0" distL="114300" distR="114300" simplePos="0" relativeHeight="251730944" behindDoc="0" locked="0" layoutInCell="1" allowOverlap="1" wp14:anchorId="7E865765" wp14:editId="6B66188E">
                <wp:simplePos x="0" y="0"/>
                <wp:positionH relativeFrom="column">
                  <wp:posOffset>-38100</wp:posOffset>
                </wp:positionH>
                <wp:positionV relativeFrom="paragraph">
                  <wp:posOffset>227965</wp:posOffset>
                </wp:positionV>
                <wp:extent cx="1638300" cy="1476375"/>
                <wp:effectExtent l="0" t="0" r="19050" b="28575"/>
                <wp:wrapNone/>
                <wp:docPr id="7" name="Text Box 7"/>
                <wp:cNvGraphicFramePr/>
                <a:graphic xmlns:a="http://schemas.openxmlformats.org/drawingml/2006/main">
                  <a:graphicData uri="http://schemas.microsoft.com/office/word/2010/wordprocessingShape">
                    <wps:wsp>
                      <wps:cNvSpPr txBox="1"/>
                      <wps:spPr>
                        <a:xfrm>
                          <a:off x="0" y="0"/>
                          <a:ext cx="1638300" cy="1476375"/>
                        </a:xfrm>
                        <a:prstGeom prst="rect">
                          <a:avLst/>
                        </a:prstGeom>
                        <a:solidFill>
                          <a:schemeClr val="lt1"/>
                        </a:solidFill>
                        <a:ln w="6350">
                          <a:solidFill>
                            <a:prstClr val="black"/>
                          </a:solidFill>
                        </a:ln>
                      </wps:spPr>
                      <wps:txbx>
                        <w:txbxContent>
                          <w:p w14:paraId="0E1223FF" w14:textId="073E5C67" w:rsidR="00536485" w:rsidRPr="005B7A81" w:rsidRDefault="00536485" w:rsidP="005B7A81">
                            <w:pPr>
                              <w:pStyle w:val="NoSpacing"/>
                              <w:jc w:val="center"/>
                              <w:rPr>
                                <w:u w:val="single"/>
                              </w:rPr>
                            </w:pPr>
                            <w:r w:rsidRPr="005B7A81">
                              <w:rPr>
                                <w:u w:val="single"/>
                              </w:rPr>
                              <w:t>Key</w:t>
                            </w:r>
                          </w:p>
                          <w:p w14:paraId="6BF2419A" w14:textId="05810C72" w:rsidR="00536485" w:rsidRPr="00504B8E" w:rsidRDefault="00536485" w:rsidP="004A729C">
                            <w:pPr>
                              <w:pStyle w:val="NoSpacing"/>
                              <w:spacing w:line="360" w:lineRule="auto"/>
                              <w:rPr>
                                <w:sz w:val="20"/>
                                <w:szCs w:val="20"/>
                              </w:rPr>
                            </w:pPr>
                            <w:r w:rsidRPr="00504B8E">
                              <w:rPr>
                                <w:sz w:val="20"/>
                                <w:szCs w:val="20"/>
                              </w:rPr>
                              <w:t>Female</w:t>
                            </w:r>
                          </w:p>
                          <w:p w14:paraId="72B06B91" w14:textId="42C717B4" w:rsidR="00536485" w:rsidRPr="00504B8E" w:rsidRDefault="00536485" w:rsidP="004A729C">
                            <w:pPr>
                              <w:pStyle w:val="NoSpacing"/>
                              <w:spacing w:line="360" w:lineRule="auto"/>
                              <w:rPr>
                                <w:sz w:val="20"/>
                                <w:szCs w:val="20"/>
                              </w:rPr>
                            </w:pPr>
                            <w:r w:rsidRPr="00504B8E">
                              <w:rPr>
                                <w:sz w:val="20"/>
                                <w:szCs w:val="20"/>
                              </w:rPr>
                              <w:t>Male</w:t>
                            </w:r>
                          </w:p>
                          <w:p w14:paraId="27A3C0A8" w14:textId="6AE52742" w:rsidR="00536485" w:rsidRPr="00504B8E" w:rsidRDefault="00536485" w:rsidP="004A729C">
                            <w:pPr>
                              <w:pStyle w:val="NoSpacing"/>
                              <w:spacing w:line="360" w:lineRule="auto"/>
                              <w:rPr>
                                <w:sz w:val="20"/>
                                <w:szCs w:val="20"/>
                              </w:rPr>
                            </w:pPr>
                            <w:r w:rsidRPr="00504B8E">
                              <w:rPr>
                                <w:sz w:val="20"/>
                                <w:szCs w:val="20"/>
                              </w:rPr>
                              <w:t>Stillborn</w:t>
                            </w:r>
                          </w:p>
                          <w:p w14:paraId="043A4168" w14:textId="0C80B374" w:rsidR="00536485" w:rsidRPr="00504B8E" w:rsidRDefault="00536485" w:rsidP="004A729C">
                            <w:pPr>
                              <w:pStyle w:val="NoSpacing"/>
                              <w:spacing w:line="360" w:lineRule="auto"/>
                              <w:rPr>
                                <w:sz w:val="20"/>
                                <w:szCs w:val="20"/>
                              </w:rPr>
                            </w:pPr>
                            <w:r w:rsidRPr="00504B8E">
                              <w:rPr>
                                <w:sz w:val="20"/>
                                <w:szCs w:val="20"/>
                              </w:rPr>
                              <w:t>Siblings</w:t>
                            </w:r>
                          </w:p>
                          <w:p w14:paraId="40711499" w14:textId="34AEDD42" w:rsidR="00536485" w:rsidRPr="00504B8E" w:rsidRDefault="00536485" w:rsidP="004A729C">
                            <w:pPr>
                              <w:pStyle w:val="NoSpacing"/>
                              <w:spacing w:line="360" w:lineRule="auto"/>
                              <w:rPr>
                                <w:sz w:val="20"/>
                                <w:szCs w:val="20"/>
                              </w:rPr>
                            </w:pPr>
                            <w:r w:rsidRPr="00504B8E">
                              <w:rPr>
                                <w:sz w:val="20"/>
                                <w:szCs w:val="20"/>
                              </w:rPr>
                              <w:t>Assumed relations</w:t>
                            </w:r>
                          </w:p>
                          <w:p w14:paraId="644350D6" w14:textId="77777777" w:rsidR="00536485" w:rsidRPr="00243ABA" w:rsidRDefault="00536485" w:rsidP="005B7A81">
                            <w:pPr>
                              <w:pStyle w:val="ListParagraph"/>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865765" id="Text Box 7" o:spid="_x0000_s1035" type="#_x0000_t202" style="position:absolute;margin-left:-3pt;margin-top:17.95pt;width:129pt;height:116.2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" fillcolor="white [3201]" strokeweight=".5pt">
                <v:textbox>
                  <w:txbxContent>
                    <w:p w14:paraId="0E1223FF" w14:textId="073E5C67" w:rsidR="00536485" w:rsidRPr="005B7A81" w:rsidRDefault="00536485" w:rsidP="005B7A81">
                      <w:pPr>
                        <w:pStyle w:val="NoSpacing"/>
                        <w:jc w:val="center"/>
                        <w:rPr>
                          <w:u w:val="single"/>
                        </w:rPr>
                      </w:pPr>
                      <w:r w:rsidRPr="005B7A81">
                        <w:rPr>
                          <w:u w:val="single"/>
                        </w:rPr>
                        <w:t>Key</w:t>
                      </w:r>
                    </w:p>
                    <w:p w14:paraId="6BF2419A" w14:textId="05810C72" w:rsidR="00536485" w:rsidRPr="00504B8E" w:rsidRDefault="00536485" w:rsidP="004A729C">
                      <w:pPr>
                        <w:pStyle w:val="NoSpacing"/>
                        <w:spacing w:line="360" w:lineRule="auto"/>
                        <w:rPr>
                          <w:sz w:val="20"/>
                          <w:szCs w:val="20"/>
                        </w:rPr>
                      </w:pPr>
                      <w:r w:rsidRPr="00504B8E">
                        <w:rPr>
                          <w:sz w:val="20"/>
                          <w:szCs w:val="20"/>
                        </w:rPr>
                        <w:t>Female</w:t>
                      </w:r>
                    </w:p>
                    <w:p w14:paraId="72B06B91" w14:textId="42C717B4" w:rsidR="00536485" w:rsidRPr="00504B8E" w:rsidRDefault="00536485" w:rsidP="004A729C">
                      <w:pPr>
                        <w:pStyle w:val="NoSpacing"/>
                        <w:spacing w:line="360" w:lineRule="auto"/>
                        <w:rPr>
                          <w:sz w:val="20"/>
                          <w:szCs w:val="20"/>
                        </w:rPr>
                      </w:pPr>
                      <w:r w:rsidRPr="00504B8E">
                        <w:rPr>
                          <w:sz w:val="20"/>
                          <w:szCs w:val="20"/>
                        </w:rPr>
                        <w:t>Male</w:t>
                      </w:r>
                    </w:p>
                    <w:p w14:paraId="27A3C0A8" w14:textId="6AE52742" w:rsidR="00536485" w:rsidRPr="00504B8E" w:rsidRDefault="00536485" w:rsidP="004A729C">
                      <w:pPr>
                        <w:pStyle w:val="NoSpacing"/>
                        <w:spacing w:line="360" w:lineRule="auto"/>
                        <w:rPr>
                          <w:sz w:val="20"/>
                          <w:szCs w:val="20"/>
                        </w:rPr>
                      </w:pPr>
                      <w:r w:rsidRPr="00504B8E">
                        <w:rPr>
                          <w:sz w:val="20"/>
                          <w:szCs w:val="20"/>
                        </w:rPr>
                        <w:t>Stillborn</w:t>
                      </w:r>
                    </w:p>
                    <w:p w14:paraId="043A4168" w14:textId="0C80B374" w:rsidR="00536485" w:rsidRPr="00504B8E" w:rsidRDefault="00536485" w:rsidP="004A729C">
                      <w:pPr>
                        <w:pStyle w:val="NoSpacing"/>
                        <w:spacing w:line="360" w:lineRule="auto"/>
                        <w:rPr>
                          <w:sz w:val="20"/>
                          <w:szCs w:val="20"/>
                        </w:rPr>
                      </w:pPr>
                      <w:r w:rsidRPr="00504B8E">
                        <w:rPr>
                          <w:sz w:val="20"/>
                          <w:szCs w:val="20"/>
                        </w:rPr>
                        <w:t>Siblings</w:t>
                      </w:r>
                    </w:p>
                    <w:p w14:paraId="40711499" w14:textId="34AEDD42" w:rsidR="00536485" w:rsidRPr="00504B8E" w:rsidRDefault="00536485" w:rsidP="004A729C">
                      <w:pPr>
                        <w:pStyle w:val="NoSpacing"/>
                        <w:spacing w:line="360" w:lineRule="auto"/>
                        <w:rPr>
                          <w:sz w:val="20"/>
                          <w:szCs w:val="20"/>
                        </w:rPr>
                      </w:pPr>
                      <w:r w:rsidRPr="00504B8E">
                        <w:rPr>
                          <w:sz w:val="20"/>
                          <w:szCs w:val="20"/>
                        </w:rPr>
                        <w:t>Assumed relations</w:t>
                      </w:r>
                    </w:p>
                    <w:p w14:paraId="644350D6" w14:textId="77777777" w:rsidR="00536485" w:rsidRPr="00243ABA" w:rsidRDefault="00536485" w:rsidP="005B7A81">
                      <w:pPr>
                        <w:pStyle w:val="ListParagraph"/>
                        <w:rPr>
                          <w:u w:val="single"/>
                        </w:rPr>
                      </w:pPr>
                    </w:p>
                  </w:txbxContent>
                </v:textbox>
              </v:shape>
            </w:pict>
          </mc:Fallback>
        </mc:AlternateContent>
      </w:r>
      <w:r w:rsidR="00105905" w:rsidRPr="00E13159">
        <w:rPr>
          <w:rFonts w:ascii="Times New Roman" w:hAnsi="Times New Roman" w:cs="Times New Roman"/>
          <w:noProof/>
          <w:sz w:val="24"/>
          <w:szCs w:val="24"/>
        </w:rPr>
        <mc:AlternateContent>
          <mc:Choice Requires="wps">
            <w:drawing>
              <wp:anchor distT="36576" distB="36576" distL="36576" distR="36576" simplePos="0" relativeHeight="251670528" behindDoc="0" locked="0" layoutInCell="1" allowOverlap="1" wp14:anchorId="415AF049" wp14:editId="6BB0CE9E">
                <wp:simplePos x="0" y="0"/>
                <wp:positionH relativeFrom="column">
                  <wp:posOffset>2292985</wp:posOffset>
                </wp:positionH>
                <wp:positionV relativeFrom="paragraph">
                  <wp:posOffset>108585</wp:posOffset>
                </wp:positionV>
                <wp:extent cx="752475" cy="247650"/>
                <wp:effectExtent l="0" t="0" r="0" b="0"/>
                <wp:wrapNone/>
                <wp:docPr id="76" name="Text Box 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2475" cy="24765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52374B7" w14:textId="77777777" w:rsidR="00536485" w:rsidRDefault="00536485" w:rsidP="00105905">
                            <w:pPr>
                              <w:widowControl w:val="0"/>
                            </w:pPr>
                            <w:r>
                              <w:t>Akhenaten</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5AF049" id="Text Box 76" o:spid="_x0000_s1036" type="#_x0000_t202" style="position:absolute;margin-left:180.55pt;margin-top:8.55pt;width:59.25pt;height:19.5pt;z-index:25167052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" filled="f" fillcolor="#5b9bd5" stroked="f" strokecolor="black [0]" strokeweight="2pt">
                <v:textbox inset="2.88pt,2.88pt,2.88pt,2.88pt">
                  <w:txbxContent>
                    <w:p w14:paraId="552374B7" w14:textId="77777777" w:rsidR="00536485" w:rsidRDefault="00536485" w:rsidP="00105905">
                      <w:pPr>
                        <w:widowControl w:val="0"/>
                      </w:pPr>
                      <w:r>
                        <w:t>Akhenaten</w:t>
                      </w:r>
                    </w:p>
                  </w:txbxContent>
                </v:textbox>
              </v:shape>
            </w:pict>
          </mc:Fallback>
        </mc:AlternateContent>
      </w:r>
    </w:p>
    <w:p w14:paraId="18CEAB91" w14:textId="24B8DAA7" w:rsidR="00105905" w:rsidRPr="00E13159" w:rsidRDefault="00504B8E" w:rsidP="00243ABA">
      <w:pPr>
        <w:pStyle w:val="NoSpacing"/>
        <w:rPr>
          <w:u w:val="single"/>
        </w:rPr>
      </w:pPr>
      <w:r w:rsidRPr="00E13159">
        <w:rPr>
          <w:rFonts w:ascii="Times New Roman" w:hAnsi="Times New Roman" w:cs="Times New Roman"/>
          <w:noProof/>
          <w:sz w:val="24"/>
          <w:szCs w:val="24"/>
          <w:u w:val="single"/>
        </w:rPr>
        <mc:AlternateContent>
          <mc:Choice Requires="wps">
            <w:drawing>
              <wp:anchor distT="36576" distB="36576" distL="36576" distR="36576" simplePos="0" relativeHeight="251694080" behindDoc="0" locked="0" layoutInCell="1" allowOverlap="1" wp14:anchorId="3A2BD18E" wp14:editId="2EB8C93E">
                <wp:simplePos x="0" y="0"/>
                <wp:positionH relativeFrom="column">
                  <wp:posOffset>3528695</wp:posOffset>
                </wp:positionH>
                <wp:positionV relativeFrom="paragraph">
                  <wp:posOffset>165100</wp:posOffset>
                </wp:positionV>
                <wp:extent cx="164465" cy="158115"/>
                <wp:effectExtent l="0" t="0" r="26035" b="13335"/>
                <wp:wrapNone/>
                <wp:docPr id="118" name="Oval 1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4465" cy="158115"/>
                        </a:xfrm>
                        <a:prstGeom prst="ellipse">
                          <a:avLst/>
                        </a:prstGeom>
                        <a:solidFill>
                          <a:srgbClr val="C285A3"/>
                        </a:solidFill>
                        <a:ln w="25400">
                          <a:solidFill>
                            <a:srgbClr val="C285A3"/>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5C221146" id="Oval 118" o:spid="_x0000_s1026" style="position:absolute;margin-left:277.85pt;margin-top:13pt;width:12.95pt;height:12.45pt;z-index:25169408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" fillcolor="#c285a3" strokecolor="#c285a3" strokeweight="2pt">
                <v:shadow color="black [0]"/>
                <v:textbox inset="2.88pt,2.88pt,2.88pt,2.88pt"/>
              </v:oval>
            </w:pict>
          </mc:Fallback>
        </mc:AlternateContent>
      </w:r>
      <w:r w:rsidRPr="00E13159">
        <w:rPr>
          <w:rFonts w:ascii="Times New Roman" w:hAnsi="Times New Roman" w:cs="Times New Roman"/>
          <w:noProof/>
          <w:sz w:val="24"/>
          <w:szCs w:val="24"/>
          <w:u w:val="single"/>
        </w:rPr>
        <mc:AlternateContent>
          <mc:Choice Requires="wps">
            <w:drawing>
              <wp:anchor distT="36576" distB="36576" distL="36576" distR="36576" simplePos="0" relativeHeight="251693056" behindDoc="0" locked="0" layoutInCell="1" allowOverlap="1" wp14:anchorId="319EEFDC" wp14:editId="31671CA2">
                <wp:simplePos x="0" y="0"/>
                <wp:positionH relativeFrom="column">
                  <wp:posOffset>2047875</wp:posOffset>
                </wp:positionH>
                <wp:positionV relativeFrom="paragraph">
                  <wp:posOffset>165735</wp:posOffset>
                </wp:positionV>
                <wp:extent cx="181610" cy="161925"/>
                <wp:effectExtent l="0" t="0" r="27940" b="28575"/>
                <wp:wrapNone/>
                <wp:docPr id="117" name="Rectangle 1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1610" cy="161925"/>
                        </a:xfrm>
                        <a:prstGeom prst="rect">
                          <a:avLst/>
                        </a:prstGeom>
                        <a:solidFill>
                          <a:srgbClr val="063D71"/>
                        </a:solidFill>
                        <a:ln w="25400">
                          <a:solidFill>
                            <a:srgbClr val="063D71"/>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783ADED" id="Rectangle 117" o:spid="_x0000_s1026" style="position:absolute;margin-left:161.25pt;margin-top:13.05pt;width:14.3pt;height:12.75pt;z-index:2516930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" fillcolor="#063d71" strokecolor="#063d71" strokeweight="2pt">
                <v:shadow color="black [0]"/>
                <v:textbox inset="2.88pt,2.88pt,2.88pt,2.88pt"/>
              </v:rect>
            </w:pict>
          </mc:Fallback>
        </mc:AlternateContent>
      </w:r>
      <w:r w:rsidR="004A729C" w:rsidRPr="00E13159">
        <w:rPr>
          <w:rFonts w:ascii="Times New Roman" w:hAnsi="Times New Roman" w:cs="Times New Roman"/>
          <w:noProof/>
          <w:sz w:val="24"/>
          <w:szCs w:val="24"/>
        </w:rPr>
        <mc:AlternateContent>
          <mc:Choice Requires="wps">
            <w:drawing>
              <wp:anchor distT="36576" distB="36576" distL="36576" distR="36576" simplePos="0" relativeHeight="251732992" behindDoc="0" locked="0" layoutInCell="1" allowOverlap="1" wp14:anchorId="44B7D1E7" wp14:editId="788DF00E">
                <wp:simplePos x="0" y="0"/>
                <wp:positionH relativeFrom="column">
                  <wp:posOffset>1200150</wp:posOffset>
                </wp:positionH>
                <wp:positionV relativeFrom="paragraph">
                  <wp:posOffset>118110</wp:posOffset>
                </wp:positionV>
                <wp:extent cx="104775" cy="114300"/>
                <wp:effectExtent l="0" t="0" r="28575" b="19050"/>
                <wp:wrapNone/>
                <wp:docPr id="10" name="Oval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4775" cy="114300"/>
                        </a:xfrm>
                        <a:prstGeom prst="ellipse">
                          <a:avLst/>
                        </a:prstGeom>
                        <a:solidFill>
                          <a:srgbClr val="C285A3"/>
                        </a:solidFill>
                        <a:ln w="25400">
                          <a:solidFill>
                            <a:srgbClr val="C285A3"/>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4FE817F" id="Oval 10" o:spid="_x0000_s1026" style="position:absolute;margin-left:94.5pt;margin-top:9.3pt;width:8.25pt;height:9pt;z-index:25173299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" fillcolor="#c285a3" strokecolor="#c285a3" strokeweight="2pt">
                <v:shadow color="black [0]"/>
                <v:textbox inset="2.88pt,2.88pt,2.88pt,2.88pt"/>
              </v:oval>
            </w:pict>
          </mc:Fallback>
        </mc:AlternateContent>
      </w:r>
      <w:r w:rsidR="00105905" w:rsidRPr="00E13159">
        <w:rPr>
          <w:rFonts w:ascii="Times New Roman" w:hAnsi="Times New Roman" w:cs="Times New Roman"/>
          <w:noProof/>
          <w:sz w:val="24"/>
          <w:szCs w:val="24"/>
          <w:u w:val="single"/>
        </w:rPr>
        <mc:AlternateContent>
          <mc:Choice Requires="wps">
            <w:drawing>
              <wp:anchor distT="36576" distB="36576" distL="36576" distR="36576" simplePos="0" relativeHeight="251697152" behindDoc="0" locked="0" layoutInCell="1" allowOverlap="1" wp14:anchorId="7B8B6D09" wp14:editId="2165DD6E">
                <wp:simplePos x="0" y="0"/>
                <wp:positionH relativeFrom="column">
                  <wp:posOffset>3264535</wp:posOffset>
                </wp:positionH>
                <wp:positionV relativeFrom="paragraph">
                  <wp:posOffset>288290</wp:posOffset>
                </wp:positionV>
                <wp:extent cx="952500" cy="257175"/>
                <wp:effectExtent l="1270" t="0" r="0" b="0"/>
                <wp:wrapNone/>
                <wp:docPr id="121" name="Text Box 1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25717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3B2A7D0" w14:textId="77777777" w:rsidR="00536485" w:rsidRDefault="00536485" w:rsidP="00105905">
                            <w:pPr>
                              <w:widowControl w:val="0"/>
                            </w:pPr>
                            <w:proofErr w:type="spellStart"/>
                            <w:r>
                              <w:t>Ankheseamun</w:t>
                            </w:r>
                            <w:proofErr w:type="spellEnd"/>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B8B6D09" id="Text Box 121" o:spid="_x0000_s1037" type="#_x0000_t202" style="position:absolute;margin-left:257.05pt;margin-top:22.7pt;width:75pt;height:20.25pt;z-index:25169715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" filled="f" fillcolor="#5b9bd5" stroked="f" strokecolor="black [0]" strokeweight="2pt">
                <v:textbox inset="2.88pt,2.88pt,2.88pt,2.88pt">
                  <w:txbxContent>
                    <w:p w14:paraId="03B2A7D0" w14:textId="77777777" w:rsidR="00536485" w:rsidRDefault="00536485" w:rsidP="00105905">
                      <w:pPr>
                        <w:widowControl w:val="0"/>
                      </w:pPr>
                      <w:proofErr w:type="spellStart"/>
                      <w:r>
                        <w:t>Ankheseamun</w:t>
                      </w:r>
                      <w:proofErr w:type="spellEnd"/>
                    </w:p>
                  </w:txbxContent>
                </v:textbox>
              </v:shape>
            </w:pict>
          </mc:Fallback>
        </mc:AlternateContent>
      </w:r>
      <w:r w:rsidR="00105905" w:rsidRPr="00E13159">
        <w:rPr>
          <w:rFonts w:ascii="Times New Roman" w:hAnsi="Times New Roman" w:cs="Times New Roman"/>
          <w:noProof/>
          <w:sz w:val="24"/>
          <w:szCs w:val="24"/>
          <w:u w:val="single"/>
        </w:rPr>
        <mc:AlternateContent>
          <mc:Choice Requires="wps">
            <w:drawing>
              <wp:anchor distT="0" distB="0" distL="114300" distR="114300" simplePos="0" relativeHeight="251699200" behindDoc="0" locked="0" layoutInCell="1" allowOverlap="1" wp14:anchorId="48499211" wp14:editId="1AA2A589">
                <wp:simplePos x="0" y="0"/>
                <wp:positionH relativeFrom="column">
                  <wp:posOffset>2781300</wp:posOffset>
                </wp:positionH>
                <wp:positionV relativeFrom="paragraph">
                  <wp:posOffset>243840</wp:posOffset>
                </wp:positionV>
                <wp:extent cx="0" cy="552450"/>
                <wp:effectExtent l="19050" t="0" r="19050" b="19050"/>
                <wp:wrapNone/>
                <wp:docPr id="124" name="Straight Connector 124"/>
                <wp:cNvGraphicFramePr/>
                <a:graphic xmlns:a="http://schemas.openxmlformats.org/drawingml/2006/main">
                  <a:graphicData uri="http://schemas.microsoft.com/office/word/2010/wordprocessingShape">
                    <wps:wsp>
                      <wps:cNvCnPr/>
                      <wps:spPr>
                        <a:xfrm>
                          <a:off x="0" y="0"/>
                          <a:ext cx="0" cy="552450"/>
                        </a:xfrm>
                        <a:prstGeom prst="line">
                          <a:avLst/>
                        </a:prstGeom>
                        <a:ln w="28575">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3B3D2002" id="Straight Connector 124" o:spid="_x0000_s1026" style="position:absolute;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19pt,19.2pt" to="219pt,6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" strokecolor="black [3213]" strokeweight="2.25pt">
                <v:stroke dashstyle="dash" joinstyle="miter"/>
              </v:line>
            </w:pict>
          </mc:Fallback>
        </mc:AlternateContent>
      </w:r>
      <w:r w:rsidR="00E351E2" w:rsidRPr="00E13159">
        <w:t xml:space="preserve">             </w:t>
      </w:r>
    </w:p>
    <w:p w14:paraId="4B989FBC" w14:textId="205202A2" w:rsidR="00105905" w:rsidRPr="00E13159" w:rsidRDefault="00504B8E" w:rsidP="00105905">
      <w:pPr>
        <w:spacing w:line="360" w:lineRule="auto"/>
      </w:pPr>
      <w:r w:rsidRPr="00E13159">
        <w:rPr>
          <w:rFonts w:ascii="Times New Roman" w:hAnsi="Times New Roman" w:cs="Times New Roman"/>
          <w:noProof/>
          <w:sz w:val="24"/>
          <w:szCs w:val="24"/>
          <w:u w:val="single"/>
        </w:rPr>
        <mc:AlternateContent>
          <mc:Choice Requires="wps">
            <w:drawing>
              <wp:anchor distT="36576" distB="36576" distL="36576" distR="36576" simplePos="0" relativeHeight="251695104" behindDoc="0" locked="0" layoutInCell="1" allowOverlap="1" wp14:anchorId="50BC9D76" wp14:editId="72DE758A">
                <wp:simplePos x="0" y="0"/>
                <wp:positionH relativeFrom="column">
                  <wp:posOffset>1774190</wp:posOffset>
                </wp:positionH>
                <wp:positionV relativeFrom="paragraph">
                  <wp:posOffset>141605</wp:posOffset>
                </wp:positionV>
                <wp:extent cx="976389" cy="252248"/>
                <wp:effectExtent l="0" t="0" r="0" b="0"/>
                <wp:wrapNone/>
                <wp:docPr id="119" name="Text Box 1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6389" cy="252248"/>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0414EFB" w14:textId="77777777" w:rsidR="00536485" w:rsidRDefault="00536485" w:rsidP="00105905">
                            <w:pPr>
                              <w:widowControl w:val="0"/>
                            </w:pPr>
                            <w:r>
                              <w:t>Tutankhamun</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0BC9D76" id="Text Box 119" o:spid="_x0000_s1038" type="#_x0000_t202" style="position:absolute;margin-left:139.7pt;margin-top:11.15pt;width:76.9pt;height:19.85pt;z-index:25169510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" filled="f" fillcolor="#5b9bd5" stroked="f" strokecolor="black [0]" strokeweight="2pt">
                <v:textbox inset="2.88pt,2.88pt,2.88pt,2.88pt">
                  <w:txbxContent>
                    <w:p w14:paraId="60414EFB" w14:textId="77777777" w:rsidR="00536485" w:rsidRDefault="00536485" w:rsidP="00105905">
                      <w:pPr>
                        <w:widowControl w:val="0"/>
                      </w:pPr>
                      <w:r>
                        <w:t>Tutankhamun</w:t>
                      </w:r>
                    </w:p>
                  </w:txbxContent>
                </v:textbox>
              </v:shape>
            </w:pict>
          </mc:Fallback>
        </mc:AlternateContent>
      </w:r>
      <w:r w:rsidRPr="00E13159">
        <w:rPr>
          <w:rFonts w:ascii="Times New Roman" w:hAnsi="Times New Roman" w:cs="Times New Roman"/>
          <w:noProof/>
          <w:sz w:val="24"/>
          <w:szCs w:val="24"/>
          <w:u w:val="single"/>
        </w:rPr>
        <mc:AlternateContent>
          <mc:Choice Requires="wps">
            <w:drawing>
              <wp:anchor distT="0" distB="0" distL="114300" distR="114300" simplePos="0" relativeHeight="251698176" behindDoc="0" locked="0" layoutInCell="1" allowOverlap="1" wp14:anchorId="7C56BAAE" wp14:editId="66006188">
                <wp:simplePos x="0" y="0"/>
                <wp:positionH relativeFrom="column">
                  <wp:posOffset>2198370</wp:posOffset>
                </wp:positionH>
                <wp:positionV relativeFrom="paragraph">
                  <wp:posOffset>63500</wp:posOffset>
                </wp:positionV>
                <wp:extent cx="1370965" cy="0"/>
                <wp:effectExtent l="0" t="19050" r="19685" b="19050"/>
                <wp:wrapNone/>
                <wp:docPr id="123" name="Straight Connector 123"/>
                <wp:cNvGraphicFramePr/>
                <a:graphic xmlns:a="http://schemas.openxmlformats.org/drawingml/2006/main">
                  <a:graphicData uri="http://schemas.microsoft.com/office/word/2010/wordprocessingShape">
                    <wps:wsp>
                      <wps:cNvCnPr/>
                      <wps:spPr>
                        <a:xfrm>
                          <a:off x="0" y="0"/>
                          <a:ext cx="1370965" cy="0"/>
                        </a:xfrm>
                        <a:prstGeom prst="line">
                          <a:avLst/>
                        </a:prstGeom>
                        <a:ln w="28575">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408E3E" id="Straight Connector 123" o:spid="_x0000_s1026" style="position:absolute;z-index:251698176;visibility:visible;mso-wrap-style:square;mso-wrap-distance-left:9pt;mso-wrap-distance-top:0;mso-wrap-distance-right:9pt;mso-wrap-distance-bottom:0;mso-position-horizontal:absolute;mso-position-horizontal-relative:text;mso-position-vertical:absolute;mso-position-vertical-relative:text" from="173.1pt,5pt" to="281.0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" strokecolor="black [3213]" strokeweight="2.25pt">
                <v:stroke dashstyle="dash" joinstyle="miter"/>
              </v:line>
            </w:pict>
          </mc:Fallback>
        </mc:AlternateContent>
      </w:r>
      <w:r w:rsidR="004A729C" w:rsidRPr="00E13159">
        <w:rPr>
          <w:rFonts w:ascii="Times New Roman" w:hAnsi="Times New Roman" w:cs="Times New Roman"/>
          <w:noProof/>
          <w:sz w:val="24"/>
          <w:szCs w:val="24"/>
          <w:u w:val="single"/>
        </w:rPr>
        <mc:AlternateContent>
          <mc:Choice Requires="wps">
            <w:drawing>
              <wp:anchor distT="36576" distB="36576" distL="36576" distR="36576" simplePos="0" relativeHeight="251737088" behindDoc="0" locked="0" layoutInCell="1" allowOverlap="1" wp14:anchorId="24926E4D" wp14:editId="583F0D8E">
                <wp:simplePos x="0" y="0"/>
                <wp:positionH relativeFrom="column">
                  <wp:posOffset>1199515</wp:posOffset>
                </wp:positionH>
                <wp:positionV relativeFrom="paragraph">
                  <wp:posOffset>175895</wp:posOffset>
                </wp:positionV>
                <wp:extent cx="104775" cy="80645"/>
                <wp:effectExtent l="0" t="0" r="28575" b="14605"/>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4775" cy="80645"/>
                        </a:xfrm>
                        <a:prstGeom prst="rect">
                          <a:avLst/>
                        </a:prstGeom>
                        <a:solidFill>
                          <a:srgbClr val="063D71"/>
                        </a:solidFill>
                        <a:ln w="25400">
                          <a:solidFill>
                            <a:srgbClr val="063D71"/>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1831FDD" id="Rectangle 13" o:spid="_x0000_s1026" style="position:absolute;margin-left:94.45pt;margin-top:13.85pt;width:8.25pt;height:6.35pt;z-index:2517370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" fillcolor="#063d71" strokecolor="#063d71" strokeweight="2pt">
                <v:shadow color="black [0]"/>
                <v:textbox inset="2.88pt,2.88pt,2.88pt,2.88pt"/>
              </v:rect>
            </w:pict>
          </mc:Fallback>
        </mc:AlternateContent>
      </w:r>
      <w:r w:rsidR="00105905" w:rsidRPr="00E13159">
        <w:t xml:space="preserve">           </w:t>
      </w:r>
    </w:p>
    <w:p w14:paraId="3934C2C5" w14:textId="2D5D21D0" w:rsidR="00105905" w:rsidRPr="00E13159" w:rsidRDefault="00504B8E" w:rsidP="00105905">
      <w:pPr>
        <w:spacing w:line="360" w:lineRule="auto"/>
      </w:pPr>
      <w:r w:rsidRPr="00E13159">
        <w:rPr>
          <w:rFonts w:ascii="Times New Roman" w:hAnsi="Times New Roman" w:cs="Times New Roman"/>
          <w:noProof/>
          <w:sz w:val="24"/>
          <w:szCs w:val="24"/>
        </w:rPr>
        <mc:AlternateContent>
          <mc:Choice Requires="wps">
            <w:drawing>
              <wp:anchor distT="36576" distB="36576" distL="36576" distR="36576" simplePos="0" relativeHeight="251700224" behindDoc="0" locked="0" layoutInCell="1" allowOverlap="1" wp14:anchorId="624E592D" wp14:editId="13F01282">
                <wp:simplePos x="0" y="0"/>
                <wp:positionH relativeFrom="column">
                  <wp:posOffset>2261870</wp:posOffset>
                </wp:positionH>
                <wp:positionV relativeFrom="paragraph">
                  <wp:posOffset>287655</wp:posOffset>
                </wp:positionV>
                <wp:extent cx="220345" cy="314325"/>
                <wp:effectExtent l="19050" t="38100" r="46355" b="28575"/>
                <wp:wrapNone/>
                <wp:docPr id="127" name="Isosceles Triangle 1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0345" cy="314325"/>
                        </a:xfrm>
                        <a:prstGeom prst="triangle">
                          <a:avLst>
                            <a:gd name="adj" fmla="val 50000"/>
                          </a:avLst>
                        </a:prstGeom>
                        <a:solidFill>
                          <a:srgbClr val="FFC000"/>
                        </a:solidFill>
                        <a:ln w="25400">
                          <a:solidFill>
                            <a:srgbClr val="FFC000"/>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5071F8F"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27" o:spid="_x0000_s1026" type="#_x0000_t5" style="position:absolute;margin-left:178.1pt;margin-top:22.65pt;width:17.35pt;height:24.75pt;z-index:2517002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" fillcolor="#ffc000" strokecolor="#ffc000" strokeweight="2pt">
                <v:shadow color="black [0]"/>
                <v:textbox inset="2.88pt,2.88pt,2.88pt,2.88pt"/>
              </v:shape>
            </w:pict>
          </mc:Fallback>
        </mc:AlternateContent>
      </w:r>
      <w:r w:rsidRPr="00E13159">
        <w:rPr>
          <w:rFonts w:ascii="Times New Roman" w:hAnsi="Times New Roman" w:cs="Times New Roman"/>
          <w:noProof/>
          <w:sz w:val="24"/>
          <w:szCs w:val="24"/>
        </w:rPr>
        <mc:AlternateContent>
          <mc:Choice Requires="wps">
            <w:drawing>
              <wp:anchor distT="36576" distB="36576" distL="36576" distR="36576" simplePos="0" relativeHeight="251710464" behindDoc="0" locked="0" layoutInCell="1" allowOverlap="1" wp14:anchorId="4BACD190" wp14:editId="2E2AB734">
                <wp:simplePos x="0" y="0"/>
                <wp:positionH relativeFrom="column">
                  <wp:posOffset>3153410</wp:posOffset>
                </wp:positionH>
                <wp:positionV relativeFrom="paragraph">
                  <wp:posOffset>289560</wp:posOffset>
                </wp:positionV>
                <wp:extent cx="220345" cy="314325"/>
                <wp:effectExtent l="19050" t="38100" r="46355" b="28575"/>
                <wp:wrapNone/>
                <wp:docPr id="51" name="Isosceles Triangle 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0345" cy="314325"/>
                        </a:xfrm>
                        <a:prstGeom prst="triangle">
                          <a:avLst>
                            <a:gd name="adj" fmla="val 50000"/>
                          </a:avLst>
                        </a:prstGeom>
                        <a:solidFill>
                          <a:srgbClr val="FFC000"/>
                        </a:solidFill>
                        <a:ln w="25400">
                          <a:solidFill>
                            <a:srgbClr val="FFC000"/>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EA1595" id="Isosceles Triangle 51" o:spid="_x0000_s1026" type="#_x0000_t5" style="position:absolute;margin-left:248.3pt;margin-top:22.8pt;width:17.35pt;height:24.75pt;z-index:2517104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" fillcolor="#ffc000" strokecolor="#ffc000" strokeweight="2pt">
                <v:shadow color="black [0]"/>
                <v:textbox inset="2.88pt,2.88pt,2.88pt,2.88pt"/>
              </v:shape>
            </w:pict>
          </mc:Fallback>
        </mc:AlternateContent>
      </w:r>
      <w:r w:rsidRPr="00E13159">
        <w:rPr>
          <w:noProof/>
        </w:rPr>
        <mc:AlternateContent>
          <mc:Choice Requires="wps">
            <w:drawing>
              <wp:anchor distT="0" distB="0" distL="114300" distR="114300" simplePos="0" relativeHeight="251701248" behindDoc="0" locked="0" layoutInCell="1" allowOverlap="1" wp14:anchorId="00E0501F" wp14:editId="49624AB9">
                <wp:simplePos x="0" y="0"/>
                <wp:positionH relativeFrom="column">
                  <wp:posOffset>2378710</wp:posOffset>
                </wp:positionH>
                <wp:positionV relativeFrom="paragraph">
                  <wp:posOffset>261620</wp:posOffset>
                </wp:positionV>
                <wp:extent cx="866775" cy="0"/>
                <wp:effectExtent l="0" t="19050" r="28575" b="19050"/>
                <wp:wrapNone/>
                <wp:docPr id="192" name="Straight Connector 192"/>
                <wp:cNvGraphicFramePr/>
                <a:graphic xmlns:a="http://schemas.openxmlformats.org/drawingml/2006/main">
                  <a:graphicData uri="http://schemas.microsoft.com/office/word/2010/wordprocessingShape">
                    <wps:wsp>
                      <wps:cNvCnPr/>
                      <wps:spPr>
                        <a:xfrm>
                          <a:off x="0" y="0"/>
                          <a:ext cx="866775" cy="0"/>
                        </a:xfrm>
                        <a:prstGeom prst="line">
                          <a:avLst/>
                        </a:prstGeom>
                        <a:ln w="28575">
                          <a:solidFill>
                            <a:srgbClr val="FF0000"/>
                          </a:solidFill>
                          <a:prstDash val="dash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30AF5989" id="Straight Connector 192" o:spid="_x0000_s1026" style="position:absolute;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87.3pt,20.6pt" to="255.55pt,2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" strokecolor="red" strokeweight="2.25pt">
                <v:stroke dashstyle="dashDot" joinstyle="miter"/>
              </v:line>
            </w:pict>
          </mc:Fallback>
        </mc:AlternateContent>
      </w:r>
      <w:r w:rsidRPr="00E13159">
        <w:rPr>
          <w:noProof/>
        </w:rPr>
        <mc:AlternateContent>
          <mc:Choice Requires="wps">
            <w:drawing>
              <wp:anchor distT="0" distB="0" distL="114300" distR="114300" simplePos="0" relativeHeight="251738112" behindDoc="0" locked="0" layoutInCell="1" allowOverlap="1" wp14:anchorId="2297FDE3" wp14:editId="43FC6B46">
                <wp:simplePos x="0" y="0"/>
                <wp:positionH relativeFrom="column">
                  <wp:posOffset>1057275</wp:posOffset>
                </wp:positionH>
                <wp:positionV relativeFrom="paragraph">
                  <wp:posOffset>361315</wp:posOffset>
                </wp:positionV>
                <wp:extent cx="342265" cy="0"/>
                <wp:effectExtent l="0" t="19050" r="19685" b="19050"/>
                <wp:wrapNone/>
                <wp:docPr id="14" name="Straight Connector 14"/>
                <wp:cNvGraphicFramePr/>
                <a:graphic xmlns:a="http://schemas.openxmlformats.org/drawingml/2006/main">
                  <a:graphicData uri="http://schemas.microsoft.com/office/word/2010/wordprocessingShape">
                    <wps:wsp>
                      <wps:cNvCnPr/>
                      <wps:spPr>
                        <a:xfrm>
                          <a:off x="0" y="0"/>
                          <a:ext cx="342265" cy="0"/>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68F6E75" id="Straight Connector 14" o:spid="_x0000_s1026" style="position:absolute;z-index:251738112;visibility:visible;mso-wrap-style:square;mso-wrap-distance-left:9pt;mso-wrap-distance-top:0;mso-wrap-distance-right:9pt;mso-wrap-distance-bottom:0;mso-position-horizontal:absolute;mso-position-horizontal-relative:text;mso-position-vertical:absolute;mso-position-vertical-relative:text" from="83.25pt,28.45pt" to="110.2pt,2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" strokecolor="red" strokeweight="2.25pt">
                <v:stroke joinstyle="miter"/>
              </v:line>
            </w:pict>
          </mc:Fallback>
        </mc:AlternateContent>
      </w:r>
      <w:r w:rsidR="005B7A81" w:rsidRPr="00E13159">
        <w:rPr>
          <w:rFonts w:ascii="Times New Roman" w:hAnsi="Times New Roman" w:cs="Times New Roman"/>
          <w:noProof/>
          <w:sz w:val="24"/>
          <w:szCs w:val="24"/>
        </w:rPr>
        <mc:AlternateContent>
          <mc:Choice Requires="wps">
            <w:drawing>
              <wp:anchor distT="36576" distB="36576" distL="36576" distR="36576" simplePos="0" relativeHeight="251735040" behindDoc="0" locked="0" layoutInCell="1" allowOverlap="1" wp14:anchorId="1F46C41A" wp14:editId="37639BFC">
                <wp:simplePos x="0" y="0"/>
                <wp:positionH relativeFrom="column">
                  <wp:posOffset>1199515</wp:posOffset>
                </wp:positionH>
                <wp:positionV relativeFrom="paragraph">
                  <wp:posOffset>66040</wp:posOffset>
                </wp:positionV>
                <wp:extent cx="104775" cy="133350"/>
                <wp:effectExtent l="19050" t="19050" r="47625" b="19050"/>
                <wp:wrapNone/>
                <wp:docPr id="12" name="Isosceles Tri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4775" cy="133350"/>
                        </a:xfrm>
                        <a:prstGeom prst="triangle">
                          <a:avLst>
                            <a:gd name="adj" fmla="val 50000"/>
                          </a:avLst>
                        </a:prstGeom>
                        <a:solidFill>
                          <a:srgbClr val="FFC000"/>
                        </a:solidFill>
                        <a:ln w="25400">
                          <a:solidFill>
                            <a:srgbClr val="FFC000"/>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04D736" id="Isosceles Triangle 12" o:spid="_x0000_s1026" type="#_x0000_t5" style="position:absolute;margin-left:94.45pt;margin-top:5.2pt;width:8.25pt;height:10.5pt;z-index:25173504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" fillcolor="#ffc000" strokecolor="#ffc000" strokeweight="2pt">
                <v:shadow color="black [0]"/>
                <v:textbox inset="2.88pt,2.88pt,2.88pt,2.88pt"/>
              </v:shape>
            </w:pict>
          </mc:Fallback>
        </mc:AlternateContent>
      </w:r>
    </w:p>
    <w:p w14:paraId="3820C061" w14:textId="6E041316" w:rsidR="00105905" w:rsidRPr="00E13159" w:rsidRDefault="00504B8E" w:rsidP="00105905">
      <w:pPr>
        <w:spacing w:line="360" w:lineRule="auto"/>
      </w:pPr>
      <w:r w:rsidRPr="00E13159">
        <w:rPr>
          <w:noProof/>
        </w:rPr>
        <mc:AlternateContent>
          <mc:Choice Requires="wps">
            <w:drawing>
              <wp:anchor distT="0" distB="0" distL="114300" distR="114300" simplePos="0" relativeHeight="251740160" behindDoc="0" locked="0" layoutInCell="1" allowOverlap="1" wp14:anchorId="214A2316" wp14:editId="3A0013A3">
                <wp:simplePos x="0" y="0"/>
                <wp:positionH relativeFrom="column">
                  <wp:posOffset>1105535</wp:posOffset>
                </wp:positionH>
                <wp:positionV relativeFrom="paragraph">
                  <wp:posOffset>228600</wp:posOffset>
                </wp:positionV>
                <wp:extent cx="342265" cy="0"/>
                <wp:effectExtent l="0" t="19050" r="19685" b="19050"/>
                <wp:wrapNone/>
                <wp:docPr id="15" name="Straight Connector 15"/>
                <wp:cNvGraphicFramePr/>
                <a:graphic xmlns:a="http://schemas.openxmlformats.org/drawingml/2006/main">
                  <a:graphicData uri="http://schemas.microsoft.com/office/word/2010/wordprocessingShape">
                    <wps:wsp>
                      <wps:cNvCnPr/>
                      <wps:spPr>
                        <a:xfrm>
                          <a:off x="0" y="0"/>
                          <a:ext cx="342265" cy="0"/>
                        </a:xfrm>
                        <a:prstGeom prst="line">
                          <a:avLst/>
                        </a:prstGeom>
                        <a:ln w="28575">
                          <a:solidFill>
                            <a:srgbClr val="FF0000"/>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00CE573" id="Straight Connector 15" o:spid="_x0000_s1026" style="position:absolute;z-index:251740160;visibility:visible;mso-wrap-style:square;mso-wrap-distance-left:9pt;mso-wrap-distance-top:0;mso-wrap-distance-right:9pt;mso-wrap-distance-bottom:0;mso-position-horizontal:absolute;mso-position-horizontal-relative:text;mso-position-vertical:absolute;mso-position-vertical-relative:text" from="87.05pt,18pt" to="114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" strokecolor="red" strokeweight="2.25pt">
                <v:stroke dashstyle="dash" joinstyle="miter"/>
              </v:line>
            </w:pict>
          </mc:Fallback>
        </mc:AlternateContent>
      </w:r>
    </w:p>
    <w:p w14:paraId="7DB1B2E7" w14:textId="6E8836E6" w:rsidR="004A729C" w:rsidRPr="00E13159" w:rsidRDefault="004A729C" w:rsidP="00105905">
      <w:pPr>
        <w:pStyle w:val="NoSpacing"/>
        <w:rPr>
          <w:sz w:val="20"/>
          <w:szCs w:val="20"/>
        </w:rPr>
      </w:pPr>
    </w:p>
    <w:p w14:paraId="5B8127A6" w14:textId="22AB1756" w:rsidR="00105905" w:rsidRPr="00E13159" w:rsidRDefault="00105905" w:rsidP="00105905">
      <w:pPr>
        <w:pStyle w:val="NoSpacing"/>
        <w:rPr>
          <w:sz w:val="20"/>
          <w:szCs w:val="20"/>
        </w:rPr>
      </w:pPr>
      <w:r w:rsidRPr="00E13159">
        <w:rPr>
          <w:sz w:val="18"/>
          <w:szCs w:val="18"/>
        </w:rPr>
        <w:t xml:space="preserve">Diagram 1: Ancestry diagram of Tutankhamun, Adapted from </w:t>
      </w:r>
      <w:r w:rsidR="007E213D" w:rsidRPr="00E13159">
        <w:rPr>
          <w:sz w:val="18"/>
          <w:szCs w:val="18"/>
        </w:rPr>
        <w:t>Tutankhamun</w:t>
      </w:r>
      <w:r w:rsidR="00BF5A9A" w:rsidRPr="00E13159">
        <w:rPr>
          <w:sz w:val="18"/>
          <w:szCs w:val="18"/>
        </w:rPr>
        <w:t xml:space="preserve">: Treasures of the golden pharaoh </w:t>
      </w:r>
      <w:r w:rsidRPr="00E13159">
        <w:rPr>
          <w:sz w:val="18"/>
          <w:szCs w:val="18"/>
        </w:rPr>
        <w:t>2019</w:t>
      </w:r>
      <w:r w:rsidR="00BF5A9A" w:rsidRPr="00E13159">
        <w:rPr>
          <w:sz w:val="18"/>
          <w:szCs w:val="18"/>
        </w:rPr>
        <w:t xml:space="preserve"> and </w:t>
      </w:r>
      <w:proofErr w:type="spellStart"/>
      <w:r w:rsidR="008A01BE" w:rsidRPr="00E13159">
        <w:rPr>
          <w:sz w:val="18"/>
          <w:szCs w:val="18"/>
        </w:rPr>
        <w:t>Hawass</w:t>
      </w:r>
      <w:proofErr w:type="spellEnd"/>
      <w:r w:rsidR="008A01BE" w:rsidRPr="00E13159">
        <w:rPr>
          <w:sz w:val="18"/>
          <w:szCs w:val="18"/>
        </w:rPr>
        <w:t xml:space="preserve"> et al, 201</w:t>
      </w:r>
      <w:r w:rsidR="00AE3FEE" w:rsidRPr="00E13159">
        <w:rPr>
          <w:sz w:val="18"/>
          <w:szCs w:val="18"/>
        </w:rPr>
        <w:t>0; 641</w:t>
      </w:r>
      <w:r w:rsidRPr="00E13159">
        <w:rPr>
          <w:rStyle w:val="FootnoteReference"/>
          <w:sz w:val="18"/>
          <w:szCs w:val="18"/>
        </w:rPr>
        <w:footnoteReference w:id="63"/>
      </w:r>
      <w:r w:rsidR="00C150C7" w:rsidRPr="00E13159">
        <w:rPr>
          <w:sz w:val="18"/>
          <w:szCs w:val="18"/>
        </w:rPr>
        <w:t>.</w:t>
      </w:r>
      <w:r w:rsidR="002F4B89" w:rsidRPr="00E13159">
        <w:rPr>
          <w:sz w:val="18"/>
          <w:szCs w:val="18"/>
        </w:rPr>
        <w:t xml:space="preserve"> </w:t>
      </w:r>
    </w:p>
    <w:p w14:paraId="04DAE00D" w14:textId="77777777" w:rsidR="00105905" w:rsidRPr="00E13159" w:rsidRDefault="00105905" w:rsidP="00105905">
      <w:pPr>
        <w:spacing w:line="360" w:lineRule="auto"/>
      </w:pPr>
    </w:p>
    <w:p w14:paraId="5BD216E8" w14:textId="76F85625" w:rsidR="00105905" w:rsidRPr="00E13159" w:rsidRDefault="00105905" w:rsidP="00105905">
      <w:pPr>
        <w:spacing w:line="360" w:lineRule="auto"/>
      </w:pPr>
      <w:r w:rsidRPr="00E13159">
        <w:t xml:space="preserve">Tutankhamun married his half-sister </w:t>
      </w:r>
      <w:proofErr w:type="spellStart"/>
      <w:r w:rsidRPr="00E13159">
        <w:t>Ankhesenpaaten</w:t>
      </w:r>
      <w:proofErr w:type="spellEnd"/>
      <w:r w:rsidRPr="00E13159">
        <w:t>, one of the six daughters of Akhenaten and Nefertiti</w:t>
      </w:r>
      <w:r w:rsidRPr="00E13159">
        <w:rPr>
          <w:rStyle w:val="FootnoteReference"/>
        </w:rPr>
        <w:footnoteReference w:id="64"/>
      </w:r>
      <w:r w:rsidRPr="00E13159">
        <w:t xml:space="preserve">. Tutankhamun’s birth name was Tutankhaten and his throne name </w:t>
      </w:r>
      <w:proofErr w:type="gramStart"/>
      <w:r w:rsidRPr="00E13159">
        <w:t>was</w:t>
      </w:r>
      <w:proofErr w:type="gramEnd"/>
      <w:r w:rsidRPr="00E13159">
        <w:t xml:space="preserve"> </w:t>
      </w:r>
      <w:proofErr w:type="spellStart"/>
      <w:r w:rsidRPr="00E13159">
        <w:t>Nebkheperure</w:t>
      </w:r>
      <w:proofErr w:type="spellEnd"/>
      <w:r w:rsidRPr="00E13159">
        <w:rPr>
          <w:rStyle w:val="FootnoteReference"/>
        </w:rPr>
        <w:footnoteReference w:id="65"/>
      </w:r>
      <w:r w:rsidRPr="00E13159">
        <w:t xml:space="preserve">. </w:t>
      </w:r>
      <w:r w:rsidR="00B63F67" w:rsidRPr="00E13159">
        <w:t xml:space="preserve">A </w:t>
      </w:r>
      <w:r w:rsidR="001F425E" w:rsidRPr="00E13159">
        <w:t xml:space="preserve">couple of years into </w:t>
      </w:r>
      <w:r w:rsidRPr="00E13159">
        <w:t>his reign he moved the administrative centre from Amarna back to Thebes and restored traditional cults and religion</w:t>
      </w:r>
      <w:r w:rsidRPr="00E13159">
        <w:rPr>
          <w:rStyle w:val="FootnoteReference"/>
        </w:rPr>
        <w:footnoteReference w:id="66"/>
      </w:r>
      <w:r w:rsidRPr="00E13159">
        <w:t xml:space="preserve"> (map </w:t>
      </w:r>
      <w:r w:rsidR="00B85143" w:rsidRPr="00E13159">
        <w:t>2</w:t>
      </w:r>
      <w:r w:rsidRPr="00E13159">
        <w:t xml:space="preserve">); the main god Aten of Amarna was abandoned, and the god Amun in Thebes </w:t>
      </w:r>
      <w:r w:rsidR="00E13159" w:rsidRPr="00E13159">
        <w:t xml:space="preserve">was </w:t>
      </w:r>
      <w:r w:rsidRPr="00E13159">
        <w:t>restored</w:t>
      </w:r>
      <w:r w:rsidRPr="00E13159">
        <w:rPr>
          <w:rStyle w:val="FootnoteReference"/>
        </w:rPr>
        <w:footnoteReference w:id="67"/>
      </w:r>
      <w:r w:rsidRPr="00E13159">
        <w:t xml:space="preserve">. This meant that Tutankhaten and his wife </w:t>
      </w:r>
      <w:proofErr w:type="spellStart"/>
      <w:r w:rsidRPr="00E13159">
        <w:t>Ankhesenpaaten</w:t>
      </w:r>
      <w:proofErr w:type="spellEnd"/>
      <w:r w:rsidRPr="00E13159">
        <w:t xml:space="preserve"> changed their names to Tutankhamun and </w:t>
      </w:r>
      <w:proofErr w:type="spellStart"/>
      <w:r w:rsidRPr="00E13159">
        <w:t>Ankhesenamun</w:t>
      </w:r>
      <w:proofErr w:type="spellEnd"/>
      <w:r w:rsidRPr="00E13159">
        <w:rPr>
          <w:rStyle w:val="FootnoteReference"/>
        </w:rPr>
        <w:footnoteReference w:id="68"/>
      </w:r>
      <w:r w:rsidRPr="00E13159">
        <w:t xml:space="preserve"> in order to reflect this. </w:t>
      </w:r>
    </w:p>
    <w:p w14:paraId="25C5A75D" w14:textId="59576627" w:rsidR="00105905" w:rsidRPr="00E13159" w:rsidRDefault="008C5339" w:rsidP="00105905">
      <w:pPr>
        <w:spacing w:line="360" w:lineRule="auto"/>
      </w:pPr>
      <w:r w:rsidRPr="00E13159">
        <w:rPr>
          <w:noProof/>
        </w:rPr>
        <w:lastRenderedPageBreak/>
        <w:drawing>
          <wp:anchor distT="0" distB="0" distL="114300" distR="114300" simplePos="0" relativeHeight="251659264" behindDoc="1" locked="0" layoutInCell="1" allowOverlap="1" wp14:anchorId="7770F8E6" wp14:editId="5E8E790A">
            <wp:simplePos x="0" y="0"/>
            <wp:positionH relativeFrom="column">
              <wp:posOffset>0</wp:posOffset>
            </wp:positionH>
            <wp:positionV relativeFrom="paragraph">
              <wp:posOffset>5715</wp:posOffset>
            </wp:positionV>
            <wp:extent cx="3991610" cy="3811905"/>
            <wp:effectExtent l="0" t="0" r="8890" b="0"/>
            <wp:wrapSquare wrapText="bothSides"/>
            <wp:docPr id="1" name="Picture 1" descr="Map of Ancient Egy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p of Ancient Egypt"/>
                    <pic:cNvPicPr>
                      <a:picLocks noChangeAspect="1" noChangeArrowheads="1"/>
                    </pic:cNvPicPr>
                  </pic:nvPicPr>
                  <pic:blipFill rotWithShape="1">
                    <a:blip r:embed="rId17">
                      <a:extLst>
                        <a:ext uri="{28A0092B-C50C-407E-A947-70E740481C1C}">
                          <a14:useLocalDpi xmlns:a14="http://schemas.microsoft.com/office/drawing/2010/main" val="0"/>
                        </a:ext>
                      </a:extLst>
                    </a:blip>
                    <a:srcRect l="9697" t="43081" r="17919" b="15604"/>
                    <a:stretch/>
                  </pic:blipFill>
                  <pic:spPr bwMode="auto">
                    <a:xfrm>
                      <a:off x="0" y="0"/>
                      <a:ext cx="3991610" cy="38119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05905" w:rsidRPr="00E13159">
        <w:rPr>
          <w:noProof/>
        </w:rPr>
        <mc:AlternateContent>
          <mc:Choice Requires="wps">
            <w:drawing>
              <wp:anchor distT="0" distB="0" distL="114300" distR="114300" simplePos="0" relativeHeight="251672576" behindDoc="0" locked="0" layoutInCell="1" allowOverlap="1" wp14:anchorId="6F3B0820" wp14:editId="39CC146C">
                <wp:simplePos x="0" y="0"/>
                <wp:positionH relativeFrom="column">
                  <wp:posOffset>1265555</wp:posOffset>
                </wp:positionH>
                <wp:positionV relativeFrom="paragraph">
                  <wp:posOffset>159385</wp:posOffset>
                </wp:positionV>
                <wp:extent cx="289709" cy="285008"/>
                <wp:effectExtent l="19050" t="19050" r="15240" b="39370"/>
                <wp:wrapNone/>
                <wp:docPr id="2" name="Diamond 2"/>
                <wp:cNvGraphicFramePr/>
                <a:graphic xmlns:a="http://schemas.openxmlformats.org/drawingml/2006/main">
                  <a:graphicData uri="http://schemas.microsoft.com/office/word/2010/wordprocessingShape">
                    <wps:wsp>
                      <wps:cNvSpPr/>
                      <wps:spPr>
                        <a:xfrm>
                          <a:off x="0" y="0"/>
                          <a:ext cx="289709" cy="285008"/>
                        </a:xfrm>
                        <a:prstGeom prst="diamond">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75B82A5F" id="_x0000_t4" coordsize="21600,21600" o:spt="4" path="m10800,l,10800,10800,21600,21600,10800xe">
                <v:stroke joinstyle="miter"/>
                <v:path gradientshapeok="t" o:connecttype="rect" textboxrect="5400,5400,16200,16200"/>
              </v:shapetype>
              <v:shape id="Diamond 2" o:spid="_x0000_s1026" type="#_x0000_t4" style="position:absolute;margin-left:99.65pt;margin-top:12.55pt;width:22.8pt;height:22.4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" fillcolor="#7030a0" strokecolor="#1f3763 [1604]" strokeweight="1pt"/>
            </w:pict>
          </mc:Fallback>
        </mc:AlternateContent>
      </w:r>
    </w:p>
    <w:p w14:paraId="11E34AB3" w14:textId="78FB19B3" w:rsidR="005326E1" w:rsidRPr="00E13159" w:rsidRDefault="005326E1" w:rsidP="00105905">
      <w:pPr>
        <w:spacing w:line="360" w:lineRule="auto"/>
      </w:pPr>
    </w:p>
    <w:p w14:paraId="6593AD3D" w14:textId="1C91364D" w:rsidR="005326E1" w:rsidRPr="00E13159" w:rsidRDefault="005326E1" w:rsidP="00105905">
      <w:pPr>
        <w:spacing w:line="360" w:lineRule="auto"/>
      </w:pPr>
    </w:p>
    <w:p w14:paraId="15AB3026" w14:textId="72636593" w:rsidR="005326E1" w:rsidRPr="00E13159" w:rsidRDefault="005326E1" w:rsidP="00105905">
      <w:pPr>
        <w:spacing w:line="360" w:lineRule="auto"/>
      </w:pPr>
    </w:p>
    <w:p w14:paraId="65BECD3C" w14:textId="3094CAB7" w:rsidR="005326E1" w:rsidRPr="00E13159" w:rsidRDefault="00687B1B" w:rsidP="00105905">
      <w:pPr>
        <w:spacing w:line="360" w:lineRule="auto"/>
      </w:pPr>
      <w:r w:rsidRPr="00E13159">
        <w:rPr>
          <w:noProof/>
        </w:rPr>
        <mc:AlternateContent>
          <mc:Choice Requires="wps">
            <w:drawing>
              <wp:anchor distT="0" distB="0" distL="114300" distR="114300" simplePos="0" relativeHeight="251675648" behindDoc="0" locked="0" layoutInCell="1" allowOverlap="1" wp14:anchorId="5FB206B0" wp14:editId="1160ACEF">
                <wp:simplePos x="0" y="0"/>
                <wp:positionH relativeFrom="column">
                  <wp:posOffset>691515</wp:posOffset>
                </wp:positionH>
                <wp:positionV relativeFrom="paragraph">
                  <wp:posOffset>360045</wp:posOffset>
                </wp:positionV>
                <wp:extent cx="289560" cy="284480"/>
                <wp:effectExtent l="19050" t="19050" r="15240" b="39370"/>
                <wp:wrapNone/>
                <wp:docPr id="5" name="Diamond 5"/>
                <wp:cNvGraphicFramePr/>
                <a:graphic xmlns:a="http://schemas.openxmlformats.org/drawingml/2006/main">
                  <a:graphicData uri="http://schemas.microsoft.com/office/word/2010/wordprocessingShape">
                    <wps:wsp>
                      <wps:cNvSpPr/>
                      <wps:spPr>
                        <a:xfrm>
                          <a:off x="0" y="0"/>
                          <a:ext cx="289560" cy="284480"/>
                        </a:xfrm>
                        <a:prstGeom prst="diamond">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4829E04" id="Diamond 5" o:spid="_x0000_s1026" type="#_x0000_t4" style="position:absolute;margin-left:54.45pt;margin-top:28.35pt;width:22.8pt;height:22.4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" fillcolor="#7030a0" strokecolor="#1f3763 [1604]" strokeweight="1pt"/>
            </w:pict>
          </mc:Fallback>
        </mc:AlternateContent>
      </w:r>
      <w:r w:rsidRPr="00E13159">
        <w:rPr>
          <w:noProof/>
        </w:rPr>
        <mc:AlternateContent>
          <mc:Choice Requires="wps">
            <w:drawing>
              <wp:anchor distT="0" distB="0" distL="114300" distR="114300" simplePos="0" relativeHeight="251660288" behindDoc="0" locked="0" layoutInCell="1" allowOverlap="1" wp14:anchorId="3DF0F665" wp14:editId="6BE2BEAA">
                <wp:simplePos x="0" y="0"/>
                <wp:positionH relativeFrom="column">
                  <wp:posOffset>23033</wp:posOffset>
                </wp:positionH>
                <wp:positionV relativeFrom="paragraph">
                  <wp:posOffset>145514</wp:posOffset>
                </wp:positionV>
                <wp:extent cx="1104900" cy="921385"/>
                <wp:effectExtent l="0" t="0" r="19050" b="12065"/>
                <wp:wrapNone/>
                <wp:docPr id="6" name="Text Box 6"/>
                <wp:cNvGraphicFramePr/>
                <a:graphic xmlns:a="http://schemas.openxmlformats.org/drawingml/2006/main">
                  <a:graphicData uri="http://schemas.microsoft.com/office/word/2010/wordprocessingShape">
                    <wps:wsp>
                      <wps:cNvSpPr txBox="1"/>
                      <wps:spPr>
                        <a:xfrm>
                          <a:off x="0" y="0"/>
                          <a:ext cx="1104900" cy="921385"/>
                        </a:xfrm>
                        <a:prstGeom prst="rect">
                          <a:avLst/>
                        </a:prstGeom>
                        <a:noFill/>
                        <a:ln w="6350">
                          <a:solidFill>
                            <a:prstClr val="black"/>
                          </a:solidFill>
                        </a:ln>
                      </wps:spPr>
                      <wps:txbx>
                        <w:txbxContent>
                          <w:p w14:paraId="63959530" w14:textId="77777777" w:rsidR="00536485" w:rsidRDefault="00536485" w:rsidP="00105905">
                            <w:r>
                              <w:t xml:space="preserve">Key </w:t>
                            </w:r>
                          </w:p>
                          <w:p w14:paraId="7C894287" w14:textId="77777777" w:rsidR="00536485" w:rsidRDefault="00536485" w:rsidP="00105905">
                            <w:r>
                              <w:t xml:space="preserve">Amarna </w:t>
                            </w:r>
                          </w:p>
                          <w:p w14:paraId="38CA2B0E" w14:textId="77777777" w:rsidR="00536485" w:rsidRDefault="00536485" w:rsidP="00105905">
                            <w:r>
                              <w:t>Thebes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F0F665" id="Text Box 6" o:spid="_x0000_s1039" type="#_x0000_t202" style="position:absolute;margin-left:1.8pt;margin-top:11.45pt;width:87pt;height:72.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" filled="f" strokeweight=".5pt">
                <v:textbox>
                  <w:txbxContent>
                    <w:p w14:paraId="63959530" w14:textId="77777777" w:rsidR="00536485" w:rsidRDefault="00536485" w:rsidP="00105905">
                      <w:r>
                        <w:t xml:space="preserve">Key </w:t>
                      </w:r>
                    </w:p>
                    <w:p w14:paraId="7C894287" w14:textId="77777777" w:rsidR="00536485" w:rsidRDefault="00536485" w:rsidP="00105905">
                      <w:r>
                        <w:t xml:space="preserve">Amarna </w:t>
                      </w:r>
                    </w:p>
                    <w:p w14:paraId="38CA2B0E" w14:textId="77777777" w:rsidR="00536485" w:rsidRDefault="00536485" w:rsidP="00105905">
                      <w:r>
                        <w:t>Thebes</w:t>
                      </w:r>
                    </w:p>
                  </w:txbxContent>
                </v:textbox>
              </v:shape>
            </w:pict>
          </mc:Fallback>
        </mc:AlternateContent>
      </w:r>
    </w:p>
    <w:p w14:paraId="65C6F09F" w14:textId="1DDFDE3D" w:rsidR="005326E1" w:rsidRPr="00E13159" w:rsidRDefault="00877113" w:rsidP="00105905">
      <w:pPr>
        <w:spacing w:line="360" w:lineRule="auto"/>
      </w:pPr>
      <w:r w:rsidRPr="00E13159">
        <w:rPr>
          <w:noProof/>
        </w:rPr>
        <mc:AlternateContent>
          <mc:Choice Requires="wps">
            <w:drawing>
              <wp:anchor distT="0" distB="0" distL="114300" distR="114300" simplePos="0" relativeHeight="251673600" behindDoc="0" locked="0" layoutInCell="1" allowOverlap="1" wp14:anchorId="58AD1117" wp14:editId="5A4C1F29">
                <wp:simplePos x="0" y="0"/>
                <wp:positionH relativeFrom="column">
                  <wp:posOffset>2521585</wp:posOffset>
                </wp:positionH>
                <wp:positionV relativeFrom="paragraph">
                  <wp:posOffset>7576</wp:posOffset>
                </wp:positionV>
                <wp:extent cx="249381" cy="285008"/>
                <wp:effectExtent l="19050" t="19050" r="17780" b="39370"/>
                <wp:wrapNone/>
                <wp:docPr id="3" name="Diamond 3"/>
                <wp:cNvGraphicFramePr/>
                <a:graphic xmlns:a="http://schemas.openxmlformats.org/drawingml/2006/main">
                  <a:graphicData uri="http://schemas.microsoft.com/office/word/2010/wordprocessingShape">
                    <wps:wsp>
                      <wps:cNvSpPr/>
                      <wps:spPr>
                        <a:xfrm>
                          <a:off x="0" y="0"/>
                          <a:ext cx="249381" cy="285008"/>
                        </a:xfrm>
                        <a:prstGeom prst="diamond">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9ABBF24" id="Diamond 3" o:spid="_x0000_s1026" type="#_x0000_t4" style="position:absolute;margin-left:198.55pt;margin-top:.6pt;width:19.65pt;height:22.4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" fillcolor="#002060" strokecolor="#1f3763 [1604]" strokeweight="1pt"/>
            </w:pict>
          </mc:Fallback>
        </mc:AlternateContent>
      </w:r>
    </w:p>
    <w:p w14:paraId="466C763B" w14:textId="67E3967B" w:rsidR="005326E1" w:rsidRPr="00E13159" w:rsidRDefault="00687B1B" w:rsidP="00105905">
      <w:pPr>
        <w:spacing w:line="360" w:lineRule="auto"/>
      </w:pPr>
      <w:r w:rsidRPr="00E13159">
        <w:rPr>
          <w:noProof/>
        </w:rPr>
        <mc:AlternateContent>
          <mc:Choice Requires="wps">
            <w:drawing>
              <wp:anchor distT="0" distB="0" distL="114300" distR="114300" simplePos="0" relativeHeight="251674624" behindDoc="0" locked="0" layoutInCell="1" allowOverlap="1" wp14:anchorId="2B359F97" wp14:editId="1D511CD5">
                <wp:simplePos x="0" y="0"/>
                <wp:positionH relativeFrom="column">
                  <wp:posOffset>739718</wp:posOffset>
                </wp:positionH>
                <wp:positionV relativeFrom="paragraph">
                  <wp:posOffset>6837</wp:posOffset>
                </wp:positionV>
                <wp:extent cx="249381" cy="285008"/>
                <wp:effectExtent l="19050" t="19050" r="17780" b="39370"/>
                <wp:wrapNone/>
                <wp:docPr id="4" name="Diamond 4"/>
                <wp:cNvGraphicFramePr/>
                <a:graphic xmlns:a="http://schemas.openxmlformats.org/drawingml/2006/main">
                  <a:graphicData uri="http://schemas.microsoft.com/office/word/2010/wordprocessingShape">
                    <wps:wsp>
                      <wps:cNvSpPr/>
                      <wps:spPr>
                        <a:xfrm>
                          <a:off x="0" y="0"/>
                          <a:ext cx="249381" cy="285008"/>
                        </a:xfrm>
                        <a:prstGeom prst="diamond">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33AA90D" id="Diamond 4" o:spid="_x0000_s1026" type="#_x0000_t4" style="position:absolute;margin-left:58.25pt;margin-top:.55pt;width:19.65pt;height:22.4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" fillcolor="#002060" strokecolor="#1f3763 [1604]" strokeweight="1pt"/>
            </w:pict>
          </mc:Fallback>
        </mc:AlternateContent>
      </w:r>
    </w:p>
    <w:p w14:paraId="13657804" w14:textId="28C12233" w:rsidR="005326E1" w:rsidRPr="00E13159" w:rsidRDefault="005326E1" w:rsidP="00105905">
      <w:pPr>
        <w:spacing w:line="360" w:lineRule="auto"/>
      </w:pPr>
    </w:p>
    <w:p w14:paraId="181127C9" w14:textId="7B5FF9D0" w:rsidR="005326E1" w:rsidRPr="00E13159" w:rsidRDefault="005326E1" w:rsidP="00105905">
      <w:pPr>
        <w:spacing w:line="360" w:lineRule="auto"/>
      </w:pPr>
    </w:p>
    <w:p w14:paraId="7FD46382" w14:textId="1E6D730E" w:rsidR="005326E1" w:rsidRPr="00E13159" w:rsidRDefault="005326E1" w:rsidP="00105905">
      <w:pPr>
        <w:spacing w:line="360" w:lineRule="auto"/>
      </w:pPr>
    </w:p>
    <w:p w14:paraId="70C24B54" w14:textId="7ED3B6DC" w:rsidR="008C5339" w:rsidRPr="00E13159" w:rsidRDefault="008C5339" w:rsidP="00105905">
      <w:pPr>
        <w:spacing w:line="360" w:lineRule="auto"/>
      </w:pPr>
    </w:p>
    <w:p w14:paraId="24E0483B" w14:textId="2A198CB3" w:rsidR="008C5339" w:rsidRPr="00E13159" w:rsidRDefault="008C5339" w:rsidP="00105905">
      <w:pPr>
        <w:spacing w:line="360" w:lineRule="auto"/>
        <w:rPr>
          <w:sz w:val="18"/>
          <w:szCs w:val="18"/>
        </w:rPr>
      </w:pPr>
      <w:r w:rsidRPr="00E13159">
        <w:rPr>
          <w:sz w:val="18"/>
          <w:szCs w:val="18"/>
        </w:rPr>
        <w:t>Map 2: Map of Ancient Egypt</w:t>
      </w:r>
      <w:r w:rsidRPr="00E13159">
        <w:rPr>
          <w:rStyle w:val="FootnoteReference"/>
          <w:sz w:val="18"/>
          <w:szCs w:val="18"/>
        </w:rPr>
        <w:footnoteReference w:id="69"/>
      </w:r>
      <w:r w:rsidR="00E13159">
        <w:rPr>
          <w:sz w:val="18"/>
          <w:szCs w:val="18"/>
        </w:rPr>
        <w:t xml:space="preserve">, key to show location of Amarna and Thebes. </w:t>
      </w:r>
    </w:p>
    <w:p w14:paraId="526FB856" w14:textId="77777777" w:rsidR="0045118B" w:rsidRPr="00E13159" w:rsidRDefault="0045118B" w:rsidP="00105905">
      <w:pPr>
        <w:spacing w:line="360" w:lineRule="auto"/>
        <w:rPr>
          <w:sz w:val="20"/>
          <w:szCs w:val="20"/>
        </w:rPr>
      </w:pPr>
    </w:p>
    <w:p w14:paraId="15A20FD1" w14:textId="5E3852E0" w:rsidR="00105905" w:rsidRPr="007200B0" w:rsidRDefault="00105905" w:rsidP="00105905">
      <w:pPr>
        <w:spacing w:line="360" w:lineRule="auto"/>
      </w:pPr>
      <w:r w:rsidRPr="007200B0">
        <w:t xml:space="preserve">Due to Tutankhamun’s young age </w:t>
      </w:r>
      <w:r w:rsidR="009D4821" w:rsidRPr="007200B0">
        <w:t xml:space="preserve">at the time </w:t>
      </w:r>
      <w:r w:rsidRPr="007200B0">
        <w:t>of accession to the throne, it is believed that he would have been under the influence of officials from his father’s reign; one influencer could have been Ay, Tutankhamun’s vizier</w:t>
      </w:r>
      <w:r w:rsidR="001F425E" w:rsidRPr="007200B0">
        <w:rPr>
          <w:rStyle w:val="FootnoteReference"/>
        </w:rPr>
        <w:footnoteReference w:id="70"/>
      </w:r>
      <w:r w:rsidRPr="007200B0">
        <w:t xml:space="preserve">. The second influencer could have been Maya, his overseer of treasury, or finally </w:t>
      </w:r>
      <w:proofErr w:type="spellStart"/>
      <w:r w:rsidRPr="007200B0">
        <w:t>Horemheb</w:t>
      </w:r>
      <w:proofErr w:type="spellEnd"/>
      <w:r w:rsidRPr="007200B0">
        <w:t xml:space="preserve">, </w:t>
      </w:r>
      <w:r w:rsidR="00B63F67" w:rsidRPr="007200B0">
        <w:t>his army officer</w:t>
      </w:r>
      <w:r w:rsidRPr="007200B0">
        <w:rPr>
          <w:rStyle w:val="FootnoteReference"/>
        </w:rPr>
        <w:footnoteReference w:id="71"/>
      </w:r>
      <w:r w:rsidRPr="007200B0">
        <w:t xml:space="preserve">. Tutankhamun was approximately eight or nine when he became ruler; it was a rather short reign of about ten years due to his early </w:t>
      </w:r>
      <w:r w:rsidR="00DD7947">
        <w:t xml:space="preserve">and unexpected </w:t>
      </w:r>
      <w:r w:rsidRPr="007200B0">
        <w:t>death</w:t>
      </w:r>
      <w:r w:rsidRPr="007200B0">
        <w:rPr>
          <w:rStyle w:val="FootnoteReference"/>
        </w:rPr>
        <w:footnoteReference w:id="72"/>
      </w:r>
      <w:r w:rsidRPr="007200B0">
        <w:t xml:space="preserve">. The reason for his death is unclear and is highly speculated. In his book, </w:t>
      </w:r>
      <w:r w:rsidRPr="007200B0">
        <w:rPr>
          <w:rFonts w:cstheme="minorHAnsi"/>
          <w:i/>
          <w:iCs/>
        </w:rPr>
        <w:t>The Royal Mummies Immortality in ancient</w:t>
      </w:r>
      <w:r w:rsidR="005F59BE" w:rsidRPr="007200B0">
        <w:rPr>
          <w:rFonts w:cstheme="minorHAnsi"/>
          <w:i/>
          <w:iCs/>
        </w:rPr>
        <w:t xml:space="preserve"> Egypt</w:t>
      </w:r>
      <w:r w:rsidRPr="007200B0">
        <w:rPr>
          <w:rFonts w:cstheme="minorHAnsi"/>
          <w:i/>
          <w:iCs/>
        </w:rPr>
        <w:t xml:space="preserve">, </w:t>
      </w:r>
      <w:r w:rsidRPr="007200B0">
        <w:t xml:space="preserve">Egyptologist </w:t>
      </w:r>
      <w:proofErr w:type="spellStart"/>
      <w:r w:rsidRPr="007200B0">
        <w:t>Franics</w:t>
      </w:r>
      <w:proofErr w:type="spellEnd"/>
      <w:r w:rsidRPr="007200B0">
        <w:t xml:space="preserve"> </w:t>
      </w:r>
      <w:proofErr w:type="spellStart"/>
      <w:r w:rsidRPr="007200B0">
        <w:t>Janot</w:t>
      </w:r>
      <w:proofErr w:type="spellEnd"/>
      <w:r w:rsidRPr="007200B0">
        <w:t xml:space="preserve">, </w:t>
      </w:r>
      <w:r w:rsidRPr="007200B0">
        <w:rPr>
          <w:rFonts w:cstheme="minorHAnsi"/>
        </w:rPr>
        <w:t>s</w:t>
      </w:r>
      <w:r w:rsidRPr="007200B0">
        <w:t xml:space="preserve">aid that the conclusion from </w:t>
      </w:r>
      <w:proofErr w:type="spellStart"/>
      <w:r w:rsidRPr="007200B0">
        <w:t>Hawass</w:t>
      </w:r>
      <w:proofErr w:type="spellEnd"/>
      <w:r w:rsidRPr="007200B0">
        <w:t>’</w:t>
      </w:r>
      <w:r w:rsidR="00DD7947">
        <w:t xml:space="preserve"> </w:t>
      </w:r>
      <w:r w:rsidRPr="007200B0">
        <w:t>team’s analysis of Tutankhamun stated that he died of blood poisoning from a broken leg</w:t>
      </w:r>
      <w:r w:rsidRPr="007200B0">
        <w:rPr>
          <w:rStyle w:val="FootnoteReference"/>
        </w:rPr>
        <w:footnoteReference w:id="73"/>
      </w:r>
      <w:r w:rsidRPr="007200B0">
        <w:t>, but also that  Tutankhamun was in good general health and there were no signs of malnutrition or infectious disease</w:t>
      </w:r>
      <w:r w:rsidRPr="007200B0">
        <w:rPr>
          <w:rStyle w:val="FootnoteReference"/>
        </w:rPr>
        <w:footnoteReference w:id="74"/>
      </w:r>
      <w:r w:rsidRPr="007200B0">
        <w:t>. These findings contradict Egyptologist Marianne Eaton-Krauss’</w:t>
      </w:r>
      <w:r w:rsidRPr="007200B0">
        <w:rPr>
          <w:rStyle w:val="FootnoteReference"/>
        </w:rPr>
        <w:footnoteReference w:id="75"/>
      </w:r>
      <w:r w:rsidRPr="007200B0">
        <w:t xml:space="preserve"> interpretation</w:t>
      </w:r>
      <w:r w:rsidR="0011160E" w:rsidRPr="007200B0">
        <w:t>. S</w:t>
      </w:r>
      <w:r w:rsidRPr="007200B0">
        <w:t xml:space="preserve">he suggests </w:t>
      </w:r>
      <w:proofErr w:type="spellStart"/>
      <w:r w:rsidRPr="007200B0">
        <w:t>Hawass</w:t>
      </w:r>
      <w:proofErr w:type="spellEnd"/>
      <w:r w:rsidRPr="007200B0">
        <w:t>’ team conclude</w:t>
      </w:r>
      <w:r w:rsidR="00DD7947">
        <w:t xml:space="preserve">d </w:t>
      </w:r>
      <w:r w:rsidRPr="007200B0">
        <w:t xml:space="preserve">that Tutankhamun died from ‘avascular bone necrosis in </w:t>
      </w:r>
      <w:r w:rsidRPr="007200B0">
        <w:lastRenderedPageBreak/>
        <w:t>conjunction with malarial infection’</w:t>
      </w:r>
      <w:r w:rsidRPr="007200B0">
        <w:rPr>
          <w:rStyle w:val="FootnoteReference"/>
        </w:rPr>
        <w:footnoteReference w:id="76"/>
      </w:r>
      <w:r w:rsidRPr="007200B0">
        <w:t>. Paul Collins and Liam McNamara also discussed the analysis of</w:t>
      </w:r>
      <w:r w:rsidR="006A33C8" w:rsidRPr="007200B0">
        <w:t xml:space="preserve"> Tutankhamun’s</w:t>
      </w:r>
      <w:r w:rsidRPr="007200B0">
        <w:t xml:space="preserve"> DNA in 2010 and conclude</w:t>
      </w:r>
      <w:r w:rsidR="00594734">
        <w:t>d</w:t>
      </w:r>
      <w:r w:rsidRPr="007200B0">
        <w:t xml:space="preserve"> that the results showed malaria in </w:t>
      </w:r>
      <w:r w:rsidR="006A33C8" w:rsidRPr="007200B0">
        <w:t>his</w:t>
      </w:r>
      <w:r w:rsidRPr="007200B0">
        <w:t xml:space="preserve"> system</w:t>
      </w:r>
      <w:r w:rsidRPr="007200B0">
        <w:rPr>
          <w:rStyle w:val="FootnoteReference"/>
        </w:rPr>
        <w:footnoteReference w:id="77"/>
      </w:r>
      <w:r w:rsidRPr="007200B0">
        <w:t>. Tutankhamun did not have any surviving children to reign after him, and the throne was passed onto his vizier, Ay,</w:t>
      </w:r>
      <w:r w:rsidRPr="007200B0">
        <w:rPr>
          <w:rStyle w:val="FootnoteReference"/>
        </w:rPr>
        <w:footnoteReference w:id="78"/>
      </w:r>
      <w:r w:rsidRPr="007200B0">
        <w:t>. Tutankhamun would not be disturbed for the next 3,000 years</w:t>
      </w:r>
      <w:r w:rsidRPr="007200B0">
        <w:rPr>
          <w:rStyle w:val="FootnoteReference"/>
        </w:rPr>
        <w:footnoteReference w:id="79"/>
      </w:r>
      <w:r w:rsidRPr="007200B0">
        <w:t xml:space="preserve">. </w:t>
      </w:r>
    </w:p>
    <w:p w14:paraId="2E633FAA" w14:textId="67DD1A9A" w:rsidR="00105905" w:rsidRPr="007200B0" w:rsidRDefault="00105905"/>
    <w:p w14:paraId="28527451" w14:textId="7E451041" w:rsidR="002117A2" w:rsidRPr="007200B0" w:rsidRDefault="002117A2"/>
    <w:p w14:paraId="3A8D7CBC" w14:textId="60F6FA28" w:rsidR="002117A2" w:rsidRPr="007200B0" w:rsidRDefault="002117A2"/>
    <w:p w14:paraId="7DE7C3C4" w14:textId="3F4E4458" w:rsidR="002117A2" w:rsidRPr="007200B0" w:rsidRDefault="002117A2"/>
    <w:p w14:paraId="38A0AD79" w14:textId="072BDC11" w:rsidR="002117A2" w:rsidRPr="007200B0" w:rsidRDefault="002117A2"/>
    <w:p w14:paraId="38A63B3D" w14:textId="5C3B5C70" w:rsidR="002117A2" w:rsidRPr="007200B0" w:rsidRDefault="002117A2"/>
    <w:p w14:paraId="6C562740" w14:textId="0697FF47" w:rsidR="002117A2" w:rsidRPr="007200B0" w:rsidRDefault="002117A2"/>
    <w:p w14:paraId="1028F6AD" w14:textId="0E8C00F3" w:rsidR="00CE5008" w:rsidRPr="007200B0" w:rsidRDefault="00CE5008"/>
    <w:p w14:paraId="2C0D234D" w14:textId="0F0FFD38" w:rsidR="00CE5008" w:rsidRPr="007200B0" w:rsidRDefault="00CE5008"/>
    <w:p w14:paraId="73720251" w14:textId="77CFC75F" w:rsidR="00CE5008" w:rsidRPr="007200B0" w:rsidRDefault="00CE5008"/>
    <w:p w14:paraId="792081B7" w14:textId="6F1D5392" w:rsidR="00CE5008" w:rsidRPr="007200B0" w:rsidRDefault="00CE5008"/>
    <w:p w14:paraId="531BFF40" w14:textId="741C13C9" w:rsidR="00CE5008" w:rsidRPr="007200B0" w:rsidRDefault="00CE5008"/>
    <w:p w14:paraId="7430088B" w14:textId="71C4A684" w:rsidR="00CE5008" w:rsidRPr="007200B0" w:rsidRDefault="00CE5008"/>
    <w:p w14:paraId="40E80774" w14:textId="77777777" w:rsidR="007A6A6F" w:rsidRPr="007200B0" w:rsidRDefault="007A6A6F"/>
    <w:p w14:paraId="408B635D" w14:textId="77777777" w:rsidR="00315C48" w:rsidRDefault="00315C48" w:rsidP="00105905">
      <w:pPr>
        <w:jc w:val="center"/>
        <w:rPr>
          <w:b/>
          <w:bCs/>
          <w:sz w:val="28"/>
          <w:szCs w:val="28"/>
          <w:u w:val="single"/>
        </w:rPr>
      </w:pPr>
    </w:p>
    <w:p w14:paraId="627F51CD" w14:textId="77777777" w:rsidR="00315C48" w:rsidRDefault="00315C48" w:rsidP="00105905">
      <w:pPr>
        <w:jc w:val="center"/>
        <w:rPr>
          <w:b/>
          <w:bCs/>
          <w:sz w:val="28"/>
          <w:szCs w:val="28"/>
          <w:u w:val="single"/>
        </w:rPr>
      </w:pPr>
    </w:p>
    <w:p w14:paraId="37A3F77B" w14:textId="77777777" w:rsidR="00315C48" w:rsidRDefault="00315C48" w:rsidP="00105905">
      <w:pPr>
        <w:jc w:val="center"/>
        <w:rPr>
          <w:b/>
          <w:bCs/>
          <w:sz w:val="28"/>
          <w:szCs w:val="28"/>
          <w:u w:val="single"/>
        </w:rPr>
      </w:pPr>
    </w:p>
    <w:p w14:paraId="21515154" w14:textId="77777777" w:rsidR="00315C48" w:rsidRDefault="00315C48" w:rsidP="00105905">
      <w:pPr>
        <w:jc w:val="center"/>
        <w:rPr>
          <w:b/>
          <w:bCs/>
          <w:sz w:val="28"/>
          <w:szCs w:val="28"/>
          <w:u w:val="single"/>
        </w:rPr>
      </w:pPr>
    </w:p>
    <w:p w14:paraId="54DB2013" w14:textId="77777777" w:rsidR="00315C48" w:rsidRDefault="00315C48" w:rsidP="00105905">
      <w:pPr>
        <w:jc w:val="center"/>
        <w:rPr>
          <w:b/>
          <w:bCs/>
          <w:sz w:val="28"/>
          <w:szCs w:val="28"/>
          <w:u w:val="single"/>
        </w:rPr>
      </w:pPr>
    </w:p>
    <w:p w14:paraId="0B81EE5D" w14:textId="77777777" w:rsidR="00315C48" w:rsidRDefault="00315C48" w:rsidP="00105905">
      <w:pPr>
        <w:jc w:val="center"/>
        <w:rPr>
          <w:b/>
          <w:bCs/>
          <w:sz w:val="28"/>
          <w:szCs w:val="28"/>
          <w:u w:val="single"/>
        </w:rPr>
      </w:pPr>
    </w:p>
    <w:p w14:paraId="6E1D831D" w14:textId="77777777" w:rsidR="00315C48" w:rsidRDefault="00315C48" w:rsidP="00105905">
      <w:pPr>
        <w:jc w:val="center"/>
        <w:rPr>
          <w:b/>
          <w:bCs/>
          <w:sz w:val="28"/>
          <w:szCs w:val="28"/>
          <w:u w:val="single"/>
        </w:rPr>
      </w:pPr>
    </w:p>
    <w:p w14:paraId="7F913598" w14:textId="77777777" w:rsidR="00315C48" w:rsidRDefault="00315C48" w:rsidP="00105905">
      <w:pPr>
        <w:jc w:val="center"/>
        <w:rPr>
          <w:b/>
          <w:bCs/>
          <w:sz w:val="28"/>
          <w:szCs w:val="28"/>
          <w:u w:val="single"/>
        </w:rPr>
      </w:pPr>
    </w:p>
    <w:p w14:paraId="23C8E867" w14:textId="7D3BF0C8" w:rsidR="00105905" w:rsidRPr="00105905" w:rsidRDefault="00105905" w:rsidP="00105905">
      <w:pPr>
        <w:jc w:val="center"/>
        <w:rPr>
          <w:b/>
          <w:bCs/>
          <w:u w:val="single"/>
        </w:rPr>
      </w:pPr>
      <w:r w:rsidRPr="00105905">
        <w:rPr>
          <w:b/>
          <w:bCs/>
          <w:sz w:val="28"/>
          <w:szCs w:val="28"/>
          <w:u w:val="single"/>
        </w:rPr>
        <w:lastRenderedPageBreak/>
        <w:t xml:space="preserve">Chapter 2 – Theory, </w:t>
      </w:r>
      <w:proofErr w:type="gramStart"/>
      <w:r w:rsidRPr="00105905">
        <w:rPr>
          <w:b/>
          <w:bCs/>
          <w:sz w:val="28"/>
          <w:szCs w:val="28"/>
          <w:u w:val="single"/>
        </w:rPr>
        <w:t>Discovery</w:t>
      </w:r>
      <w:proofErr w:type="gramEnd"/>
      <w:r w:rsidRPr="00105905">
        <w:rPr>
          <w:b/>
          <w:bCs/>
          <w:sz w:val="28"/>
          <w:szCs w:val="28"/>
          <w:u w:val="single"/>
        </w:rPr>
        <w:t xml:space="preserve"> and Politics</w:t>
      </w:r>
    </w:p>
    <w:p w14:paraId="1669D490" w14:textId="1B3B4DF0" w:rsidR="00105905" w:rsidRPr="00105905" w:rsidRDefault="00105905" w:rsidP="00105905">
      <w:pPr>
        <w:pStyle w:val="ListParagraph"/>
        <w:numPr>
          <w:ilvl w:val="0"/>
          <w:numId w:val="3"/>
        </w:numPr>
        <w:rPr>
          <w:b/>
          <w:bCs/>
          <w:sz w:val="24"/>
          <w:szCs w:val="24"/>
        </w:rPr>
      </w:pPr>
      <w:r w:rsidRPr="00105905">
        <w:rPr>
          <w:b/>
          <w:bCs/>
          <w:sz w:val="24"/>
          <w:szCs w:val="24"/>
        </w:rPr>
        <w:t>Pharaonism</w:t>
      </w:r>
    </w:p>
    <w:p w14:paraId="64F6E340" w14:textId="398611B8" w:rsidR="00105905" w:rsidRPr="00CA26F9" w:rsidRDefault="0045118B" w:rsidP="00105905">
      <w:pPr>
        <w:spacing w:line="360" w:lineRule="auto"/>
      </w:pPr>
      <w:r w:rsidRPr="003B7D44">
        <w:t>A brief explanation of Pharaonism</w:t>
      </w:r>
      <w:r w:rsidR="00E141D0" w:rsidRPr="003B7D44">
        <w:t xml:space="preserve"> is during the 1920’s when it was at its peak; elite Egyptian intellectuals discussed the beauty and political ideas of</w:t>
      </w:r>
      <w:r w:rsidR="002118F2" w:rsidRPr="003B7D44">
        <w:t xml:space="preserve"> Egypt which</w:t>
      </w:r>
      <w:r w:rsidR="00E141D0" w:rsidRPr="003B7D44">
        <w:t xml:space="preserve"> they called </w:t>
      </w:r>
      <w:proofErr w:type="spellStart"/>
      <w:r w:rsidR="00E141D0" w:rsidRPr="003B7D44">
        <w:rPr>
          <w:i/>
          <w:iCs/>
        </w:rPr>
        <w:t>Fir’awniyya</w:t>
      </w:r>
      <w:proofErr w:type="spellEnd"/>
      <w:r w:rsidR="00E141D0" w:rsidRPr="003B7D44">
        <w:rPr>
          <w:i/>
          <w:iCs/>
        </w:rPr>
        <w:t xml:space="preserve"> </w:t>
      </w:r>
      <w:r w:rsidR="00E141D0" w:rsidRPr="003B7D44">
        <w:t>and was</w:t>
      </w:r>
      <w:r w:rsidR="00E141D0" w:rsidRPr="003B7D44">
        <w:rPr>
          <w:i/>
          <w:iCs/>
        </w:rPr>
        <w:t xml:space="preserve"> </w:t>
      </w:r>
      <w:r w:rsidR="00E141D0" w:rsidRPr="003B7D44">
        <w:t>described as the origin of Egypt</w:t>
      </w:r>
      <w:r w:rsidR="002118F2" w:rsidRPr="003B7D44">
        <w:t xml:space="preserve">’s </w:t>
      </w:r>
      <w:r w:rsidR="00E141D0" w:rsidRPr="003B7D44">
        <w:t>modern identity</w:t>
      </w:r>
      <w:r w:rsidR="00E141D0" w:rsidRPr="003B7D44">
        <w:rPr>
          <w:rStyle w:val="FootnoteReference"/>
        </w:rPr>
        <w:footnoteReference w:id="80"/>
      </w:r>
      <w:r w:rsidR="00E141D0" w:rsidRPr="003B7D44">
        <w:t xml:space="preserve">. The word </w:t>
      </w:r>
      <w:proofErr w:type="spellStart"/>
      <w:r w:rsidR="00E141D0" w:rsidRPr="003B7D44">
        <w:t>Fir’awniyya</w:t>
      </w:r>
      <w:proofErr w:type="spellEnd"/>
      <w:r w:rsidR="00E141D0" w:rsidRPr="003B7D44">
        <w:t xml:space="preserve"> translates into the English </w:t>
      </w:r>
      <w:r w:rsidR="002118F2" w:rsidRPr="003B7D44">
        <w:t xml:space="preserve">word, </w:t>
      </w:r>
      <w:proofErr w:type="spellStart"/>
      <w:r w:rsidR="00E141D0" w:rsidRPr="003B7D44">
        <w:t>Pharaonism</w:t>
      </w:r>
      <w:proofErr w:type="spellEnd"/>
      <w:r w:rsidR="00E141D0" w:rsidRPr="003B7D44">
        <w:rPr>
          <w:rStyle w:val="FootnoteReference"/>
        </w:rPr>
        <w:footnoteReference w:id="81"/>
      </w:r>
      <w:r w:rsidR="00E141D0" w:rsidRPr="003B7D44">
        <w:t xml:space="preserve">. </w:t>
      </w:r>
      <w:r w:rsidR="00F44378" w:rsidRPr="003B7D44">
        <w:t xml:space="preserve">Pharaonism is the theory used </w:t>
      </w:r>
      <w:r w:rsidR="002118F2" w:rsidRPr="003B7D44">
        <w:t xml:space="preserve">to </w:t>
      </w:r>
      <w:r w:rsidR="005D7421" w:rsidRPr="003B7D44">
        <w:t>explore the concept of the pharaonic past by putting Egyptian nationalism first.</w:t>
      </w:r>
      <w:r w:rsidR="005D7421" w:rsidRPr="00CA26F9">
        <w:t xml:space="preserve"> </w:t>
      </w:r>
      <w:r w:rsidR="00105905" w:rsidRPr="00CA26F9">
        <w:t xml:space="preserve">The Egyptian battle for their nationalism was </w:t>
      </w:r>
      <w:r w:rsidR="00436E7E">
        <w:t xml:space="preserve">also </w:t>
      </w:r>
      <w:r w:rsidR="00CA26F9">
        <w:t>at the time of</w:t>
      </w:r>
      <w:r w:rsidR="00036AAD" w:rsidRPr="00CA26F9">
        <w:t xml:space="preserve"> Tutankhamun’s discovery</w:t>
      </w:r>
      <w:r w:rsidR="00105905" w:rsidRPr="00CA26F9">
        <w:t xml:space="preserve">. </w:t>
      </w:r>
    </w:p>
    <w:p w14:paraId="6E7900AA" w14:textId="2D7CDCBC" w:rsidR="00105905" w:rsidRPr="00CE5008" w:rsidRDefault="00105905" w:rsidP="00105905">
      <w:pPr>
        <w:spacing w:line="360" w:lineRule="auto"/>
        <w:ind w:left="720"/>
        <w:rPr>
          <w:i/>
          <w:iCs/>
        </w:rPr>
      </w:pPr>
      <w:r w:rsidRPr="00CA26F9">
        <w:rPr>
          <w:i/>
          <w:iCs/>
        </w:rPr>
        <w:t xml:space="preserve">‘In brief pharaonism identified Egypt as a distinctive territorial entity with its own history and character separate from that of the rest of the Arab and Islamic world. </w:t>
      </w:r>
      <w:r w:rsidRPr="00CE5008">
        <w:rPr>
          <w:i/>
          <w:iCs/>
        </w:rPr>
        <w:t>This separate identity drew on Egyptian symbols derived from the pharaonic and Hellenistic pre-Islamic past; an Islamic and Arab identity was in contrast downplayed or even rejected’</w:t>
      </w:r>
      <w:r w:rsidRPr="00CE5008">
        <w:rPr>
          <w:rStyle w:val="FootnoteReference"/>
          <w:i/>
          <w:iCs/>
        </w:rPr>
        <w:footnoteReference w:id="82"/>
      </w:r>
      <w:r w:rsidR="007554C0">
        <w:rPr>
          <w:i/>
          <w:iCs/>
        </w:rPr>
        <w:t>.</w:t>
      </w:r>
      <w:r w:rsidRPr="00CE5008">
        <w:rPr>
          <w:i/>
          <w:iCs/>
        </w:rPr>
        <w:t xml:space="preserve"> </w:t>
      </w:r>
    </w:p>
    <w:p w14:paraId="12070A53" w14:textId="35A65B80" w:rsidR="00A66B5F" w:rsidRPr="00CA26F9" w:rsidRDefault="00105905" w:rsidP="00105905">
      <w:pPr>
        <w:spacing w:line="360" w:lineRule="auto"/>
        <w:rPr>
          <w:b/>
          <w:bCs/>
        </w:rPr>
      </w:pPr>
      <w:r w:rsidRPr="00CA26F9">
        <w:t>It is important to note that this nationalism in Egypt was not only seen in art, literature and education but also in politics</w:t>
      </w:r>
      <w:r w:rsidRPr="00CA26F9">
        <w:rPr>
          <w:rStyle w:val="FootnoteReference"/>
        </w:rPr>
        <w:footnoteReference w:id="83"/>
      </w:r>
      <w:r w:rsidRPr="00CA26F9">
        <w:t xml:space="preserve"> as</w:t>
      </w:r>
      <w:r w:rsidR="0037174F" w:rsidRPr="00CA26F9">
        <w:t xml:space="preserve"> represented b</w:t>
      </w:r>
      <w:r w:rsidR="002D381E" w:rsidRPr="00CA26F9">
        <w:t>y</w:t>
      </w:r>
      <w:r w:rsidRPr="00CA26F9">
        <w:t xml:space="preserve"> the </w:t>
      </w:r>
      <w:proofErr w:type="spellStart"/>
      <w:r w:rsidRPr="00CA26F9">
        <w:t>Wafd</w:t>
      </w:r>
      <w:proofErr w:type="spellEnd"/>
      <w:r w:rsidRPr="00CA26F9">
        <w:t xml:space="preserve"> Party. The </w:t>
      </w:r>
      <w:proofErr w:type="spellStart"/>
      <w:r w:rsidRPr="00CA26F9">
        <w:t>Wafd</w:t>
      </w:r>
      <w:proofErr w:type="spellEnd"/>
      <w:r w:rsidRPr="00CA26F9">
        <w:t xml:space="preserve"> Party was officially formed in 1918, however the political party did not really </w:t>
      </w:r>
      <w:r w:rsidR="00ED0F8F" w:rsidRPr="00CA26F9">
        <w:t xml:space="preserve">become </w:t>
      </w:r>
      <w:r w:rsidR="00CD4481" w:rsidRPr="00CA26F9">
        <w:t xml:space="preserve">established </w:t>
      </w:r>
      <w:r w:rsidRPr="00CA26F9">
        <w:t xml:space="preserve">until 1919 with the arrest of the party leader, </w:t>
      </w:r>
      <w:proofErr w:type="spellStart"/>
      <w:r w:rsidR="002D1D46" w:rsidRPr="00CA26F9">
        <w:t>Sa’d</w:t>
      </w:r>
      <w:proofErr w:type="spellEnd"/>
      <w:r w:rsidR="002D1D46" w:rsidRPr="00CA26F9">
        <w:t xml:space="preserve"> </w:t>
      </w:r>
      <w:proofErr w:type="spellStart"/>
      <w:r w:rsidR="002D1D46" w:rsidRPr="00CA26F9">
        <w:t>Zaghlῡl</w:t>
      </w:r>
      <w:proofErr w:type="spellEnd"/>
      <w:r w:rsidR="0010643B" w:rsidRPr="00CA26F9">
        <w:t xml:space="preserve">; </w:t>
      </w:r>
      <w:r w:rsidR="0017373E" w:rsidRPr="00CA26F9">
        <w:t>the result was political protests and violence</w:t>
      </w:r>
      <w:r w:rsidR="0017373E" w:rsidRPr="00CA26F9">
        <w:rPr>
          <w:rStyle w:val="FootnoteReference"/>
        </w:rPr>
        <w:footnoteReference w:id="84"/>
      </w:r>
      <w:r w:rsidR="0017373E" w:rsidRPr="00CA26F9">
        <w:t xml:space="preserve"> ending in the 1919 revolution in Egypt</w:t>
      </w:r>
      <w:r w:rsidR="0017373E" w:rsidRPr="00CA26F9">
        <w:rPr>
          <w:rStyle w:val="FootnoteReference"/>
        </w:rPr>
        <w:footnoteReference w:id="85"/>
      </w:r>
      <w:r w:rsidR="0017373E" w:rsidRPr="00CA26F9">
        <w:t>.</w:t>
      </w:r>
      <w:r w:rsidR="004A0C92" w:rsidRPr="00CA26F9">
        <w:t xml:space="preserve"> </w:t>
      </w:r>
      <w:r w:rsidR="00CD4481" w:rsidRPr="00CA26F9">
        <w:t xml:space="preserve">British </w:t>
      </w:r>
      <w:r w:rsidRPr="00CA26F9">
        <w:t>historian</w:t>
      </w:r>
      <w:r w:rsidR="00CD4481" w:rsidRPr="00CA26F9">
        <w:t>,</w:t>
      </w:r>
      <w:r w:rsidRPr="00CA26F9">
        <w:t xml:space="preserve"> Michael Wood</w:t>
      </w:r>
      <w:r w:rsidRPr="00CA26F9">
        <w:rPr>
          <w:rStyle w:val="FootnoteReference"/>
        </w:rPr>
        <w:footnoteReference w:id="86"/>
      </w:r>
      <w:r w:rsidR="00CD4481" w:rsidRPr="00CA26F9">
        <w:t>,</w:t>
      </w:r>
      <w:r w:rsidRPr="00CA26F9">
        <w:t xml:space="preserve"> suggests that the idea of </w:t>
      </w:r>
      <w:r w:rsidR="00CA26F9" w:rsidRPr="00CA26F9">
        <w:t xml:space="preserve">Egyptian </w:t>
      </w:r>
      <w:r w:rsidRPr="00CA26F9">
        <w:t>nationalism could be argued back to the rule of Muhammed Ali in 1805 to 1848</w:t>
      </w:r>
      <w:r w:rsidRPr="00CA26F9">
        <w:rPr>
          <w:rStyle w:val="FootnoteReference"/>
        </w:rPr>
        <w:footnoteReference w:id="87"/>
      </w:r>
      <w:r w:rsidRPr="00CA26F9">
        <w:t xml:space="preserve"> and his ideas of an Egyptian identity through his modernising and Ottoman empire influences</w:t>
      </w:r>
      <w:r w:rsidRPr="00CA26F9">
        <w:rPr>
          <w:rStyle w:val="FootnoteReference"/>
        </w:rPr>
        <w:footnoteReference w:id="88"/>
      </w:r>
      <w:r w:rsidRPr="00CA26F9">
        <w:t xml:space="preserve">. Ali was not the only one who had pharaonism ideas; political leaders Mustafa Kamal and Ahmad Lutfi al-Sayyid both included pharaonism into their political parties; The </w:t>
      </w:r>
      <w:proofErr w:type="spellStart"/>
      <w:r w:rsidRPr="00CA26F9">
        <w:t>Watani</w:t>
      </w:r>
      <w:proofErr w:type="spellEnd"/>
      <w:r w:rsidRPr="00CA26F9">
        <w:t xml:space="preserve"> Party and Umma Party respectively</w:t>
      </w:r>
      <w:r w:rsidRPr="00CA26F9">
        <w:rPr>
          <w:rStyle w:val="FootnoteReference"/>
        </w:rPr>
        <w:footnoteReference w:id="89"/>
      </w:r>
      <w:r w:rsidRPr="00CA26F9">
        <w:t>.</w:t>
      </w:r>
      <w:r w:rsidR="00CE5008" w:rsidRPr="00CA26F9">
        <w:t xml:space="preserve"> Kamal often spoke of Egypt as the first civilised state, while Lutfi showed an interest in a pharaonic core of the Egyptian society which had and still was surviving the modern times</w:t>
      </w:r>
      <w:r w:rsidR="00CE5008" w:rsidRPr="00CA26F9">
        <w:rPr>
          <w:rStyle w:val="FootnoteReference"/>
        </w:rPr>
        <w:footnoteReference w:id="90"/>
      </w:r>
      <w:r w:rsidR="00CE5008" w:rsidRPr="00CA26F9">
        <w:t>.</w:t>
      </w:r>
      <w:r w:rsidRPr="00CA26F9">
        <w:t xml:space="preserve"> The </w:t>
      </w:r>
      <w:proofErr w:type="spellStart"/>
      <w:r w:rsidRPr="00CA26F9">
        <w:t>Watani</w:t>
      </w:r>
      <w:proofErr w:type="spellEnd"/>
      <w:r w:rsidRPr="00CA26F9">
        <w:t xml:space="preserve"> Party has </w:t>
      </w:r>
      <w:r w:rsidR="00036AAD" w:rsidRPr="00CA26F9">
        <w:t>existed</w:t>
      </w:r>
      <w:r w:rsidRPr="00CA26F9">
        <w:t xml:space="preserve"> since 1907 and </w:t>
      </w:r>
      <w:r w:rsidR="00036AAD" w:rsidRPr="00CA26F9">
        <w:t>was</w:t>
      </w:r>
      <w:r w:rsidRPr="00CA26F9">
        <w:t xml:space="preserve"> well known for their radical behaviour of nationalism and typically appealed to the youths</w:t>
      </w:r>
      <w:r w:rsidRPr="00CA26F9">
        <w:rPr>
          <w:rStyle w:val="FootnoteReference"/>
        </w:rPr>
        <w:footnoteReference w:id="91"/>
      </w:r>
      <w:r w:rsidRPr="00CA26F9">
        <w:t xml:space="preserve">. </w:t>
      </w:r>
      <w:r w:rsidR="002338B3" w:rsidRPr="00CA26F9">
        <w:t>Abd al-Rahman al-</w:t>
      </w:r>
      <w:proofErr w:type="spellStart"/>
      <w:r w:rsidR="002338B3" w:rsidRPr="00CA26F9">
        <w:t>Rafi’</w:t>
      </w:r>
      <w:r w:rsidR="009E20B0" w:rsidRPr="00CA26F9">
        <w:t>I</w:t>
      </w:r>
      <w:proofErr w:type="spellEnd"/>
      <w:r w:rsidR="009E20B0" w:rsidRPr="00CA26F9">
        <w:t xml:space="preserve">, the leader of the </w:t>
      </w:r>
      <w:proofErr w:type="spellStart"/>
      <w:r w:rsidR="009E20B0" w:rsidRPr="00CA26F9">
        <w:t>Watani</w:t>
      </w:r>
      <w:proofErr w:type="spellEnd"/>
      <w:r w:rsidR="009E20B0" w:rsidRPr="00CA26F9">
        <w:t xml:space="preserve"> Party negatively </w:t>
      </w:r>
      <w:r w:rsidR="009E20B0" w:rsidRPr="00CA26F9">
        <w:lastRenderedPageBreak/>
        <w:t>criticised</w:t>
      </w:r>
      <w:r w:rsidR="001836D5" w:rsidRPr="00CA26F9">
        <w:t xml:space="preserve">, </w:t>
      </w:r>
      <w:proofErr w:type="spellStart"/>
      <w:r w:rsidR="001836D5" w:rsidRPr="00CA26F9">
        <w:t>Zaghlῡl’</w:t>
      </w:r>
      <w:r w:rsidR="00116250" w:rsidRPr="00CA26F9">
        <w:t>s</w:t>
      </w:r>
      <w:proofErr w:type="spellEnd"/>
      <w:r w:rsidR="00116250" w:rsidRPr="00CA26F9">
        <w:t xml:space="preserve"> ideologies</w:t>
      </w:r>
      <w:r w:rsidR="00116250" w:rsidRPr="00CA26F9">
        <w:rPr>
          <w:rStyle w:val="FootnoteReference"/>
        </w:rPr>
        <w:footnoteReference w:id="92"/>
      </w:r>
      <w:r w:rsidR="00E76C6E" w:rsidRPr="00CA26F9">
        <w:t xml:space="preserve">, </w:t>
      </w:r>
      <w:r w:rsidR="00285E20" w:rsidRPr="00CA26F9">
        <w:t xml:space="preserve">either because </w:t>
      </w:r>
      <w:proofErr w:type="spellStart"/>
      <w:r w:rsidR="001836D5" w:rsidRPr="00CA26F9">
        <w:t>Zaghlῡl</w:t>
      </w:r>
      <w:proofErr w:type="spellEnd"/>
      <w:r w:rsidR="00285E20" w:rsidRPr="00CA26F9">
        <w:t xml:space="preserve"> was approaching Egyptian nationalism in a peaceful manner</w:t>
      </w:r>
      <w:r w:rsidR="00490578" w:rsidRPr="00CA26F9">
        <w:t xml:space="preserve">, or that the </w:t>
      </w:r>
      <w:proofErr w:type="spellStart"/>
      <w:r w:rsidR="00490578" w:rsidRPr="00CA26F9">
        <w:t>Wafd</w:t>
      </w:r>
      <w:proofErr w:type="spellEnd"/>
      <w:r w:rsidR="00490578" w:rsidRPr="00CA26F9">
        <w:t xml:space="preserve"> Party became the dominant nationalist party in Egypt after WW1</w:t>
      </w:r>
      <w:r w:rsidR="00490578" w:rsidRPr="00CA26F9">
        <w:rPr>
          <w:rStyle w:val="FootnoteReference"/>
        </w:rPr>
        <w:footnoteReference w:id="93"/>
      </w:r>
      <w:r w:rsidR="00490578" w:rsidRPr="00CA26F9">
        <w:t>.</w:t>
      </w:r>
      <w:r w:rsidR="00A66B5F" w:rsidRPr="00CA26F9">
        <w:t xml:space="preserve"> </w:t>
      </w:r>
    </w:p>
    <w:p w14:paraId="3C7C6E38" w14:textId="2D90CD8B" w:rsidR="00105905" w:rsidRPr="00CA26F9" w:rsidRDefault="00105905" w:rsidP="00105905">
      <w:pPr>
        <w:spacing w:line="360" w:lineRule="auto"/>
      </w:pPr>
      <w:r w:rsidRPr="00CA26F9">
        <w:t xml:space="preserve">It might be assumed that modern Egyptians would have been fascinated </w:t>
      </w:r>
      <w:r w:rsidR="00F337B7" w:rsidRPr="00CA26F9">
        <w:t>by</w:t>
      </w:r>
      <w:r w:rsidRPr="00CA26F9">
        <w:t xml:space="preserve"> their ancient </w:t>
      </w:r>
      <w:r w:rsidR="00F337B7" w:rsidRPr="00CA26F9">
        <w:t xml:space="preserve">and pharaonic </w:t>
      </w:r>
      <w:r w:rsidRPr="00CA26F9">
        <w:t>heritage, however it was not until the 19</w:t>
      </w:r>
      <w:r w:rsidRPr="00CA26F9">
        <w:rPr>
          <w:vertAlign w:val="superscript"/>
        </w:rPr>
        <w:t>th</w:t>
      </w:r>
      <w:r w:rsidRPr="00CA26F9">
        <w:t xml:space="preserve"> and early 20</w:t>
      </w:r>
      <w:r w:rsidRPr="00CA26F9">
        <w:rPr>
          <w:vertAlign w:val="superscript"/>
        </w:rPr>
        <w:t>th</w:t>
      </w:r>
      <w:r w:rsidRPr="00CA26F9">
        <w:t xml:space="preserve"> century </w:t>
      </w:r>
      <w:r w:rsidR="00F337B7" w:rsidRPr="00CA26F9">
        <w:t xml:space="preserve">AD </w:t>
      </w:r>
      <w:r w:rsidRPr="00CA26F9">
        <w:t xml:space="preserve">that Egyptians </w:t>
      </w:r>
      <w:proofErr w:type="gramStart"/>
      <w:r w:rsidRPr="00CA26F9">
        <w:t>actually began</w:t>
      </w:r>
      <w:proofErr w:type="gramEnd"/>
      <w:r w:rsidRPr="00CA26F9">
        <w:t xml:space="preserve"> to express interest in their heritage</w:t>
      </w:r>
      <w:r w:rsidRPr="00CA26F9">
        <w:rPr>
          <w:rStyle w:val="FootnoteReference"/>
        </w:rPr>
        <w:footnoteReference w:id="94"/>
      </w:r>
      <w:r w:rsidRPr="00CA26F9">
        <w:t xml:space="preserve">. </w:t>
      </w:r>
      <w:r w:rsidR="00533584" w:rsidRPr="00CA26F9">
        <w:t xml:space="preserve">Pharaonism was an </w:t>
      </w:r>
      <w:r w:rsidR="00F918D0" w:rsidRPr="00CA26F9">
        <w:t>attempt to counterbalance the western imperialism</w:t>
      </w:r>
      <w:r w:rsidR="00315C48">
        <w:t>, mainly expressed through the British</w:t>
      </w:r>
      <w:r w:rsidR="00971ED2" w:rsidRPr="00CA26F9">
        <w:t xml:space="preserve">. </w:t>
      </w:r>
      <w:r w:rsidRPr="00CA26F9">
        <w:t>‘Egyptology and modern western imperialism grew up together’</w:t>
      </w:r>
      <w:r w:rsidRPr="00CA26F9">
        <w:rPr>
          <w:rStyle w:val="FootnoteReference"/>
        </w:rPr>
        <w:footnoteReference w:id="95"/>
      </w:r>
      <w:r w:rsidRPr="00CA26F9">
        <w:t>. This imperialism, extending dominion over other territories, was in no doubt reduced in Egypt by partial independence from the British and the discovery of Tutankhamun’s tomb</w:t>
      </w:r>
      <w:r w:rsidRPr="00CA26F9">
        <w:rPr>
          <w:rStyle w:val="FootnoteReference"/>
        </w:rPr>
        <w:footnoteReference w:id="96"/>
      </w:r>
      <w:r w:rsidRPr="00CA26F9">
        <w:t xml:space="preserve">. </w:t>
      </w:r>
    </w:p>
    <w:p w14:paraId="17C74269" w14:textId="12F3BB1C" w:rsidR="00105905" w:rsidRPr="00CA26F9" w:rsidRDefault="00105905" w:rsidP="00105905">
      <w:pPr>
        <w:spacing w:line="360" w:lineRule="auto"/>
      </w:pPr>
      <w:r w:rsidRPr="00CA26F9">
        <w:t xml:space="preserve">The discovery of Tutankhamun’s tomb showed the political conflict of </w:t>
      </w:r>
      <w:r w:rsidR="001836D5" w:rsidRPr="00CA26F9">
        <w:t xml:space="preserve">Howard </w:t>
      </w:r>
      <w:r w:rsidRPr="00CA26F9">
        <w:t>Carter’s British imperialism and the Egyptian Government and their pharaonic nationalism</w:t>
      </w:r>
      <w:r w:rsidRPr="00CA26F9">
        <w:rPr>
          <w:rStyle w:val="FootnoteReference"/>
        </w:rPr>
        <w:footnoteReference w:id="97"/>
      </w:r>
      <w:r w:rsidRPr="00CA26F9">
        <w:t xml:space="preserve">. Carter believed that the discovery belonged to the British whereas the Egyptians argued that Tutankhamun was a part of their heritage, so the discovery of Tutankhamun belonged to them. </w:t>
      </w:r>
    </w:p>
    <w:p w14:paraId="6F38A1E6" w14:textId="77777777" w:rsidR="002117A2" w:rsidRPr="00CA26F9" w:rsidRDefault="002117A2" w:rsidP="00105905">
      <w:pPr>
        <w:spacing w:line="360" w:lineRule="auto"/>
      </w:pPr>
    </w:p>
    <w:p w14:paraId="1DBF3306" w14:textId="77A19495" w:rsidR="00105905" w:rsidRPr="00CA26F9" w:rsidRDefault="00105905" w:rsidP="00105905">
      <w:pPr>
        <w:pStyle w:val="ListParagraph"/>
        <w:numPr>
          <w:ilvl w:val="0"/>
          <w:numId w:val="3"/>
        </w:numPr>
        <w:rPr>
          <w:b/>
          <w:bCs/>
          <w:sz w:val="24"/>
          <w:szCs w:val="24"/>
        </w:rPr>
      </w:pPr>
      <w:r w:rsidRPr="00CA26F9">
        <w:rPr>
          <w:b/>
          <w:bCs/>
          <w:sz w:val="24"/>
          <w:szCs w:val="24"/>
        </w:rPr>
        <w:t>Discovery</w:t>
      </w:r>
    </w:p>
    <w:p w14:paraId="2F2C4C8F" w14:textId="6608C49D" w:rsidR="00105905" w:rsidRPr="00CA26F9" w:rsidRDefault="00F337B7" w:rsidP="00105905">
      <w:pPr>
        <w:spacing w:line="360" w:lineRule="auto"/>
        <w:rPr>
          <w:sz w:val="20"/>
          <w:szCs w:val="20"/>
        </w:rPr>
      </w:pPr>
      <w:r w:rsidRPr="00CA26F9">
        <w:t xml:space="preserve">The tomb of </w:t>
      </w:r>
      <w:r w:rsidR="00105905" w:rsidRPr="00CA26F9">
        <w:t>Tutankhamun was discovered by Howard Carter in 1922</w:t>
      </w:r>
      <w:r w:rsidR="00105905" w:rsidRPr="00CA26F9">
        <w:rPr>
          <w:rStyle w:val="FootnoteReference"/>
        </w:rPr>
        <w:footnoteReference w:id="98"/>
      </w:r>
      <w:r w:rsidR="00105905" w:rsidRPr="00CA26F9">
        <w:t xml:space="preserve">. </w:t>
      </w:r>
      <w:r w:rsidR="004A0C10" w:rsidRPr="00CA26F9">
        <w:t>Being an artist</w:t>
      </w:r>
      <w:r w:rsidR="008B3446" w:rsidRPr="00CA26F9">
        <w:t>,</w:t>
      </w:r>
      <w:r w:rsidR="00105905" w:rsidRPr="00CA26F9">
        <w:t xml:space="preserve"> Carter first visited Egypt in 1890,</w:t>
      </w:r>
      <w:r w:rsidR="00453B10" w:rsidRPr="00CA26F9">
        <w:t xml:space="preserve"> when he was 17 to </w:t>
      </w:r>
      <w:r w:rsidR="001E12B5" w:rsidRPr="00CA26F9">
        <w:t>be an excavat</w:t>
      </w:r>
      <w:r w:rsidR="003E4CB3" w:rsidRPr="00CA26F9">
        <w:t>or</w:t>
      </w:r>
      <w:r w:rsidR="001E12B5" w:rsidRPr="00CA26F9">
        <w:t xml:space="preserve"> artist during a time before photography became easy to us</w:t>
      </w:r>
      <w:r w:rsidR="00332AA9" w:rsidRPr="00CA26F9">
        <w:t>e</w:t>
      </w:r>
      <w:r w:rsidR="00DD5440">
        <w:rPr>
          <w:rStyle w:val="FootnoteReference"/>
        </w:rPr>
        <w:footnoteReference w:id="99"/>
      </w:r>
      <w:r w:rsidR="00332AA9" w:rsidRPr="00CA26F9">
        <w:t xml:space="preserve">. </w:t>
      </w:r>
      <w:r w:rsidR="00105905" w:rsidRPr="00CA26F9">
        <w:t xml:space="preserve"> </w:t>
      </w:r>
      <w:r w:rsidR="00332AA9" w:rsidRPr="00CA26F9">
        <w:t>F</w:t>
      </w:r>
      <w:r w:rsidR="00105905" w:rsidRPr="00CA26F9">
        <w:t xml:space="preserve">rom </w:t>
      </w:r>
      <w:r w:rsidR="00332AA9" w:rsidRPr="00CA26F9">
        <w:t xml:space="preserve">his first journey </w:t>
      </w:r>
      <w:r w:rsidR="00032E2B" w:rsidRPr="00CA26F9">
        <w:t xml:space="preserve">to Egypt, </w:t>
      </w:r>
      <w:r w:rsidR="00105905" w:rsidRPr="00CA26F9">
        <w:t>he knew he wanted to excavate the Valley of the Kings (the royal burial location in ancient Egypt)</w:t>
      </w:r>
      <w:r w:rsidR="00105905" w:rsidRPr="00CA26F9">
        <w:rPr>
          <w:rStyle w:val="FootnoteReference"/>
        </w:rPr>
        <w:footnoteReference w:id="100"/>
      </w:r>
      <w:r w:rsidR="00105905" w:rsidRPr="00CA26F9">
        <w:t xml:space="preserve">, represented in the map below.  </w:t>
      </w:r>
      <w:r w:rsidR="00105905" w:rsidRPr="00CA26F9">
        <w:rPr>
          <w:noProof/>
        </w:rPr>
        <w:lastRenderedPageBreak/>
        <mc:AlternateContent>
          <mc:Choice Requires="wps">
            <w:drawing>
              <wp:anchor distT="0" distB="0" distL="114300" distR="114300" simplePos="0" relativeHeight="251712512" behindDoc="0" locked="0" layoutInCell="1" allowOverlap="1" wp14:anchorId="24DE0D2C" wp14:editId="4F81388F">
                <wp:simplePos x="0" y="0"/>
                <wp:positionH relativeFrom="column">
                  <wp:posOffset>3848986</wp:posOffset>
                </wp:positionH>
                <wp:positionV relativeFrom="paragraph">
                  <wp:posOffset>2987749</wp:posOffset>
                </wp:positionV>
                <wp:extent cx="169678" cy="139995"/>
                <wp:effectExtent l="0" t="0" r="20955" b="12700"/>
                <wp:wrapNone/>
                <wp:docPr id="52" name="Oval 52"/>
                <wp:cNvGraphicFramePr/>
                <a:graphic xmlns:a="http://schemas.openxmlformats.org/drawingml/2006/main">
                  <a:graphicData uri="http://schemas.microsoft.com/office/word/2010/wordprocessingShape">
                    <wps:wsp>
                      <wps:cNvSpPr/>
                      <wps:spPr>
                        <a:xfrm>
                          <a:off x="0" y="0"/>
                          <a:ext cx="169678" cy="139995"/>
                        </a:xfrm>
                        <a:prstGeom prst="ellips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7D067B" id="Oval 52" o:spid="_x0000_s1026" style="position:absolute;margin-left:303.05pt;margin-top:235.25pt;width:13.35pt;height:11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" fillcolor="yellow" strokecolor="#1f3763 [1604]" strokeweight="1pt">
                <v:stroke joinstyle="miter"/>
              </v:oval>
            </w:pict>
          </mc:Fallback>
        </mc:AlternateContent>
      </w:r>
      <w:r w:rsidR="00105905" w:rsidRPr="00CA26F9">
        <w:rPr>
          <w:noProof/>
        </w:rPr>
        <w:drawing>
          <wp:inline distT="0" distB="0" distL="0" distR="0" wp14:anchorId="65F714B9" wp14:editId="1F2FA7D5">
            <wp:extent cx="5544459" cy="5410200"/>
            <wp:effectExtent l="0" t="0" r="0" b="0"/>
            <wp:docPr id="49" name="Picture 4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WhatsApp Image 2020-02-03 at 18.33.39 (4).jpeg"/>
                    <pic:cNvPicPr/>
                  </pic:nvPicPr>
                  <pic:blipFill rotWithShape="1">
                    <a:blip r:embed="rId18">
                      <a:extLst>
                        <a:ext uri="{28A0092B-C50C-407E-A947-70E740481C1C}">
                          <a14:useLocalDpi xmlns:a14="http://schemas.microsoft.com/office/drawing/2010/main" val="0"/>
                        </a:ext>
                      </a:extLst>
                    </a:blip>
                    <a:srcRect l="5211" t="27277" b="1434"/>
                    <a:stretch/>
                  </pic:blipFill>
                  <pic:spPr bwMode="auto">
                    <a:xfrm>
                      <a:off x="0" y="0"/>
                      <a:ext cx="5580676" cy="5445540"/>
                    </a:xfrm>
                    <a:prstGeom prst="rect">
                      <a:avLst/>
                    </a:prstGeom>
                    <a:ln>
                      <a:noFill/>
                    </a:ln>
                    <a:extLst>
                      <a:ext uri="{53640926-AAD7-44D8-BBD7-CCE9431645EC}">
                        <a14:shadowObscured xmlns:a14="http://schemas.microsoft.com/office/drawing/2010/main"/>
                      </a:ext>
                    </a:extLst>
                  </pic:spPr>
                </pic:pic>
              </a:graphicData>
            </a:graphic>
          </wp:inline>
        </w:drawing>
      </w:r>
      <w:r w:rsidR="00105905" w:rsidRPr="00CA26F9">
        <w:rPr>
          <w:sz w:val="18"/>
          <w:szCs w:val="18"/>
        </w:rPr>
        <w:t xml:space="preserve">Map </w:t>
      </w:r>
      <w:r w:rsidR="00BF785F" w:rsidRPr="00CA26F9">
        <w:rPr>
          <w:sz w:val="18"/>
          <w:szCs w:val="18"/>
        </w:rPr>
        <w:t>3</w:t>
      </w:r>
      <w:r w:rsidR="00105905" w:rsidRPr="00CA26F9">
        <w:rPr>
          <w:sz w:val="18"/>
          <w:szCs w:val="18"/>
        </w:rPr>
        <w:t>: Map of The Valley of the Kings in Egypt and location of discovered tombs. The yellow dot showing where Tutankhamun’s tomb is located</w:t>
      </w:r>
      <w:r w:rsidR="00105905" w:rsidRPr="00CA26F9">
        <w:rPr>
          <w:rStyle w:val="FootnoteReference"/>
          <w:sz w:val="18"/>
          <w:szCs w:val="18"/>
        </w:rPr>
        <w:footnoteReference w:id="101"/>
      </w:r>
      <w:r w:rsidR="00105905" w:rsidRPr="00CA26F9">
        <w:rPr>
          <w:sz w:val="18"/>
          <w:szCs w:val="18"/>
        </w:rPr>
        <w:t>.</w:t>
      </w:r>
    </w:p>
    <w:p w14:paraId="45DBE573" w14:textId="77777777" w:rsidR="002117A2" w:rsidRPr="00CA26F9" w:rsidRDefault="002117A2" w:rsidP="00105905">
      <w:pPr>
        <w:spacing w:line="360" w:lineRule="auto"/>
      </w:pPr>
    </w:p>
    <w:p w14:paraId="5181D181" w14:textId="38720AE7" w:rsidR="00105905" w:rsidRPr="00CA26F9" w:rsidRDefault="00105905" w:rsidP="00105905">
      <w:pPr>
        <w:spacing w:line="360" w:lineRule="auto"/>
      </w:pPr>
      <w:r w:rsidRPr="00CA26F9">
        <w:t>In 18</w:t>
      </w:r>
      <w:r w:rsidR="00051656" w:rsidRPr="00CA26F9">
        <w:t>9</w:t>
      </w:r>
      <w:r w:rsidRPr="00CA26F9">
        <w:t xml:space="preserve">1, Carter was hired to be an artist of the </w:t>
      </w:r>
      <w:r w:rsidR="00051656" w:rsidRPr="00CA26F9">
        <w:t xml:space="preserve">excavations at the </w:t>
      </w:r>
      <w:r w:rsidRPr="00CA26F9">
        <w:t>Middle Kingdom Beni Hassan tombs. Working nearby was Egyptologist, Sir William Flinders Petrie, who gave guidance to Carter leading to his excavation career</w:t>
      </w:r>
      <w:r w:rsidRPr="00CA26F9">
        <w:rPr>
          <w:rStyle w:val="FootnoteReference"/>
        </w:rPr>
        <w:footnoteReference w:id="102"/>
      </w:r>
      <w:r w:rsidRPr="00CA26F9">
        <w:t xml:space="preserve">. Gaston </w:t>
      </w:r>
      <w:proofErr w:type="spellStart"/>
      <w:r w:rsidRPr="00CA26F9">
        <w:t>Maspero</w:t>
      </w:r>
      <w:proofErr w:type="spellEnd"/>
      <w:r w:rsidRPr="00CA26F9">
        <w:t>, the head of the Egyptian Antiquity Service (EAS), hired Carter in 1899 to be the chief inspector of Upper Egypt</w:t>
      </w:r>
      <w:r w:rsidRPr="00CA26F9">
        <w:rPr>
          <w:rStyle w:val="FootnoteReference"/>
        </w:rPr>
        <w:footnoteReference w:id="103"/>
      </w:r>
      <w:r w:rsidRPr="00CA26F9">
        <w:t xml:space="preserve"> (map </w:t>
      </w:r>
      <w:r w:rsidR="00F30AEE" w:rsidRPr="00CA26F9">
        <w:t>4</w:t>
      </w:r>
      <w:r w:rsidRPr="00CA26F9">
        <w:t>). This was a time when Egypt allowed foreign excavators to take a portion of their discoveries home with them</w:t>
      </w:r>
      <w:r w:rsidRPr="00CA26F9">
        <w:rPr>
          <w:rStyle w:val="FootnoteReference"/>
        </w:rPr>
        <w:footnoteReference w:id="104"/>
      </w:r>
      <w:r w:rsidRPr="00CA26F9">
        <w:t>. Whilst Carter was in Egypt, he met an American businessman called Theodore Davis</w:t>
      </w:r>
      <w:r w:rsidRPr="00CA26F9">
        <w:rPr>
          <w:rStyle w:val="FootnoteReference"/>
        </w:rPr>
        <w:footnoteReference w:id="105"/>
      </w:r>
      <w:r w:rsidRPr="00CA26F9">
        <w:t xml:space="preserve">; Carter convinced </w:t>
      </w:r>
      <w:r w:rsidRPr="00CA26F9">
        <w:lastRenderedPageBreak/>
        <w:t>Davis to get a permit for excavating the Valley of the Kings</w:t>
      </w:r>
      <w:r w:rsidRPr="00CA26F9">
        <w:rPr>
          <w:rStyle w:val="FootnoteReference"/>
        </w:rPr>
        <w:footnoteReference w:id="106"/>
      </w:r>
      <w:r w:rsidRPr="00CA26F9">
        <w:t xml:space="preserve">. The work of these two led to discoveries such as the tomb of Thutmose IV (KV43) and </w:t>
      </w:r>
      <w:r w:rsidR="00036AAD" w:rsidRPr="00CA26F9">
        <w:t xml:space="preserve">the rediscovery of </w:t>
      </w:r>
      <w:r w:rsidRPr="00CA26F9">
        <w:t>KV20</w:t>
      </w:r>
      <w:r w:rsidRPr="00CA26F9">
        <w:rPr>
          <w:rStyle w:val="FootnoteReference"/>
        </w:rPr>
        <w:footnoteReference w:id="107"/>
      </w:r>
      <w:r w:rsidRPr="00CA26F9">
        <w:t>.</w:t>
      </w:r>
      <w:r w:rsidR="0056243E" w:rsidRPr="00CA26F9">
        <w:t xml:space="preserve"> In 1904,</w:t>
      </w:r>
      <w:r w:rsidRPr="00CA26F9">
        <w:t xml:space="preserve"> </w:t>
      </w:r>
      <w:r w:rsidR="0056243E" w:rsidRPr="00CA26F9">
        <w:t>s</w:t>
      </w:r>
      <w:r w:rsidRPr="00CA26F9">
        <w:t>hortly after these discoveries, Carter was pulled from working in Upper Egypt and was assigned to be the chief inspector of Lower Egypt</w:t>
      </w:r>
      <w:r w:rsidRPr="00CA26F9">
        <w:rPr>
          <w:rStyle w:val="FootnoteReference"/>
        </w:rPr>
        <w:footnoteReference w:id="108"/>
      </w:r>
      <w:r w:rsidRPr="00CA26F9">
        <w:t xml:space="preserve"> (map </w:t>
      </w:r>
      <w:r w:rsidR="006C5508" w:rsidRPr="00CA26F9">
        <w:t>4</w:t>
      </w:r>
      <w:r w:rsidRPr="00CA26F9">
        <w:t xml:space="preserve">).  </w:t>
      </w:r>
    </w:p>
    <w:p w14:paraId="205359EE" w14:textId="77777777" w:rsidR="009E6F71" w:rsidRPr="00CA26F9" w:rsidRDefault="00105905" w:rsidP="00105905">
      <w:pPr>
        <w:spacing w:line="360" w:lineRule="auto"/>
      </w:pPr>
      <w:r w:rsidRPr="00CA26F9">
        <w:rPr>
          <w:noProof/>
        </w:rPr>
        <w:drawing>
          <wp:inline distT="0" distB="0" distL="0" distR="0" wp14:anchorId="669C93C9" wp14:editId="79F852BA">
            <wp:extent cx="3842312" cy="3859619"/>
            <wp:effectExtent l="0" t="0" r="6350" b="7620"/>
            <wp:docPr id="48" name="Picture 4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WhatsApp Image 2020-01-28 at 13.04.23.jpeg"/>
                    <pic:cNvPicPr/>
                  </pic:nvPicPr>
                  <pic:blipFill rotWithShape="1">
                    <a:blip r:embed="rId19">
                      <a:extLst>
                        <a:ext uri="{28A0092B-C50C-407E-A947-70E740481C1C}">
                          <a14:useLocalDpi xmlns:a14="http://schemas.microsoft.com/office/drawing/2010/main" val="0"/>
                        </a:ext>
                      </a:extLst>
                    </a:blip>
                    <a:srcRect l="9472" t="18945" r="16741" b="25467"/>
                    <a:stretch/>
                  </pic:blipFill>
                  <pic:spPr bwMode="auto">
                    <a:xfrm>
                      <a:off x="0" y="0"/>
                      <a:ext cx="3851713" cy="3869063"/>
                    </a:xfrm>
                    <a:prstGeom prst="rect">
                      <a:avLst/>
                    </a:prstGeom>
                    <a:ln>
                      <a:noFill/>
                    </a:ln>
                    <a:extLst>
                      <a:ext uri="{53640926-AAD7-44D8-BBD7-CCE9431645EC}">
                        <a14:shadowObscured xmlns:a14="http://schemas.microsoft.com/office/drawing/2010/main"/>
                      </a:ext>
                    </a:extLst>
                  </pic:spPr>
                </pic:pic>
              </a:graphicData>
            </a:graphic>
          </wp:inline>
        </w:drawing>
      </w:r>
    </w:p>
    <w:p w14:paraId="04959B28" w14:textId="7DEDA156" w:rsidR="00105905" w:rsidRPr="00CA26F9" w:rsidRDefault="00105905" w:rsidP="00105905">
      <w:pPr>
        <w:spacing w:line="360" w:lineRule="auto"/>
      </w:pPr>
      <w:r w:rsidRPr="00CA26F9">
        <w:rPr>
          <w:sz w:val="18"/>
          <w:szCs w:val="18"/>
        </w:rPr>
        <w:t xml:space="preserve">Map </w:t>
      </w:r>
      <w:r w:rsidR="006C5508" w:rsidRPr="00CA26F9">
        <w:rPr>
          <w:sz w:val="18"/>
          <w:szCs w:val="18"/>
        </w:rPr>
        <w:t>4</w:t>
      </w:r>
      <w:r w:rsidRPr="00CA26F9">
        <w:rPr>
          <w:sz w:val="18"/>
          <w:szCs w:val="18"/>
        </w:rPr>
        <w:t>: Map of Ancient Egypt, showing Upper and Lower Egypt</w:t>
      </w:r>
      <w:r w:rsidRPr="00CA26F9">
        <w:rPr>
          <w:rStyle w:val="FootnoteReference"/>
          <w:sz w:val="18"/>
          <w:szCs w:val="18"/>
        </w:rPr>
        <w:footnoteReference w:id="109"/>
      </w:r>
      <w:r w:rsidRPr="00CA26F9">
        <w:rPr>
          <w:sz w:val="18"/>
          <w:szCs w:val="18"/>
        </w:rPr>
        <w:t xml:space="preserve">. </w:t>
      </w:r>
    </w:p>
    <w:p w14:paraId="51C7F56E" w14:textId="77777777" w:rsidR="002117A2" w:rsidRPr="00CA26F9" w:rsidRDefault="002117A2" w:rsidP="00105905">
      <w:pPr>
        <w:spacing w:line="360" w:lineRule="auto"/>
        <w:rPr>
          <w:sz w:val="20"/>
          <w:szCs w:val="20"/>
        </w:rPr>
      </w:pPr>
    </w:p>
    <w:p w14:paraId="7A6E0D24" w14:textId="022E17DB" w:rsidR="00105905" w:rsidRPr="005C52DC" w:rsidRDefault="00105905" w:rsidP="00105905">
      <w:pPr>
        <w:spacing w:line="360" w:lineRule="auto"/>
      </w:pPr>
      <w:r w:rsidRPr="00CA26F9">
        <w:t xml:space="preserve">Davis continued excavating in the Valley with different </w:t>
      </w:r>
      <w:r w:rsidR="00036AAD" w:rsidRPr="00CA26F9">
        <w:t>Egyptologist</w:t>
      </w:r>
      <w:r w:rsidR="00AD5520" w:rsidRPr="00CA26F9">
        <w:t>s</w:t>
      </w:r>
      <w:r w:rsidR="00A738C8" w:rsidRPr="00CA26F9">
        <w:t>; Davis and Edward Ayrton</w:t>
      </w:r>
      <w:r w:rsidRPr="00CA26F9">
        <w:rPr>
          <w:rStyle w:val="FootnoteReference"/>
        </w:rPr>
        <w:footnoteReference w:id="110"/>
      </w:r>
      <w:r w:rsidR="00A738C8" w:rsidRPr="00CA26F9">
        <w:t xml:space="preserve">, discovered inscribed </w:t>
      </w:r>
      <w:r w:rsidRPr="00CA26F9">
        <w:t xml:space="preserve">objects with the name of Tutankhaten and </w:t>
      </w:r>
      <w:proofErr w:type="spellStart"/>
      <w:r w:rsidRPr="00CA26F9">
        <w:t>Nebkheperure</w:t>
      </w:r>
      <w:proofErr w:type="spellEnd"/>
      <w:r w:rsidRPr="00CA26F9">
        <w:t xml:space="preserve"> (Tutankhamun’s throne name)</w:t>
      </w:r>
      <w:r w:rsidRPr="00CA26F9">
        <w:rPr>
          <w:rStyle w:val="FootnoteReference"/>
        </w:rPr>
        <w:footnoteReference w:id="111"/>
      </w:r>
      <w:r w:rsidRPr="00CA26F9">
        <w:t xml:space="preserve">. </w:t>
      </w:r>
      <w:r w:rsidRPr="005C52DC">
        <w:t xml:space="preserve">Davis </w:t>
      </w:r>
      <w:r w:rsidR="00A738C8" w:rsidRPr="005C52DC">
        <w:t>and</w:t>
      </w:r>
      <w:r w:rsidRPr="005C52DC">
        <w:t xml:space="preserve"> Egyptologist</w:t>
      </w:r>
      <w:r w:rsidR="00A738C8" w:rsidRPr="005C52DC">
        <w:t xml:space="preserve">, </w:t>
      </w:r>
      <w:r w:rsidRPr="005C52DC">
        <w:t>Ernest Harold Jones, found KV58</w:t>
      </w:r>
      <w:r w:rsidRPr="005C52DC">
        <w:rPr>
          <w:rStyle w:val="FootnoteReference"/>
        </w:rPr>
        <w:footnoteReference w:id="112"/>
      </w:r>
      <w:r w:rsidRPr="005C52DC">
        <w:t xml:space="preserve">. Some of the walls inside this tomb had Tutankhamun’s name </w:t>
      </w:r>
      <w:r w:rsidR="00460160" w:rsidRPr="005C52DC">
        <w:t>in</w:t>
      </w:r>
      <w:r w:rsidRPr="005C52DC">
        <w:t xml:space="preserve">scribed, leading </w:t>
      </w:r>
      <w:r w:rsidR="00A738C8" w:rsidRPr="005C52DC">
        <w:t xml:space="preserve">to </w:t>
      </w:r>
      <w:proofErr w:type="gramStart"/>
      <w:r w:rsidRPr="005C52DC">
        <w:t>both</w:t>
      </w:r>
      <w:r w:rsidR="00A738C8" w:rsidRPr="005C52DC">
        <w:t xml:space="preserve"> of them</w:t>
      </w:r>
      <w:proofErr w:type="gramEnd"/>
      <w:r w:rsidR="00A738C8" w:rsidRPr="005C52DC">
        <w:t xml:space="preserve"> believing that they h</w:t>
      </w:r>
      <w:r w:rsidRPr="005C52DC">
        <w:t>ad found Tutankhamun’s tomb</w:t>
      </w:r>
      <w:r w:rsidRPr="003B7D44">
        <w:rPr>
          <w:rStyle w:val="FootnoteReference"/>
        </w:rPr>
        <w:footnoteReference w:id="113"/>
      </w:r>
      <w:r w:rsidR="00656DE4" w:rsidRPr="003B7D44">
        <w:t xml:space="preserve">. </w:t>
      </w:r>
      <w:r w:rsidR="009641D1" w:rsidRPr="003B7D44">
        <w:t xml:space="preserve">A full list of Davis’ excavation work at the Valley of the Kings can be </w:t>
      </w:r>
      <w:r w:rsidR="009641D1" w:rsidRPr="003B7D44">
        <w:lastRenderedPageBreak/>
        <w:t xml:space="preserve">seen in appendix B. </w:t>
      </w:r>
      <w:r w:rsidRPr="003B7D44">
        <w:t xml:space="preserve">In 1912 Davis </w:t>
      </w:r>
      <w:r w:rsidR="00A738C8" w:rsidRPr="003B7D44">
        <w:t>declared</w:t>
      </w:r>
      <w:r w:rsidRPr="003B7D44">
        <w:t xml:space="preserve"> that the site was now exhausted</w:t>
      </w:r>
      <w:r w:rsidR="00A738C8" w:rsidRPr="003B7D44">
        <w:t xml:space="preserve"> and</w:t>
      </w:r>
      <w:r w:rsidR="006B16E7" w:rsidRPr="003B7D44">
        <w:t xml:space="preserve"> after </w:t>
      </w:r>
      <w:r w:rsidR="00A738C8" w:rsidRPr="003B7D44">
        <w:t>61</w:t>
      </w:r>
      <w:r w:rsidR="006B16E7" w:rsidRPr="003B7D44">
        <w:t xml:space="preserve"> tombs being discovered in the</w:t>
      </w:r>
      <w:r w:rsidR="006B16E7" w:rsidRPr="005C52DC">
        <w:t xml:space="preserve"> Valley of the Kings</w:t>
      </w:r>
      <w:r w:rsidRPr="005C52DC">
        <w:rPr>
          <w:rStyle w:val="FootnoteReference"/>
        </w:rPr>
        <w:footnoteReference w:id="114"/>
      </w:r>
      <w:r w:rsidRPr="005C52DC">
        <w:t xml:space="preserve"> and he gave his excavation permit up</w:t>
      </w:r>
      <w:r w:rsidRPr="005C52DC">
        <w:rPr>
          <w:rStyle w:val="FootnoteReference"/>
        </w:rPr>
        <w:footnoteReference w:id="115"/>
      </w:r>
      <w:r w:rsidR="009641D1" w:rsidRPr="005C52DC">
        <w:t xml:space="preserve">. </w:t>
      </w:r>
      <w:r w:rsidRPr="005C52DC">
        <w:t xml:space="preserve"> </w:t>
      </w:r>
    </w:p>
    <w:p w14:paraId="6E491C96" w14:textId="59C74935" w:rsidR="00105905" w:rsidRPr="005C52DC" w:rsidRDefault="00105905" w:rsidP="00105905">
      <w:pPr>
        <w:spacing w:line="360" w:lineRule="auto"/>
      </w:pPr>
      <w:r w:rsidRPr="005C52DC">
        <w:t>During Davis’ time at the Valley of the Kings, Carter was experiencing his own problems, he was involved in an incident with French tourists, resulting in his resignation at the EAS</w:t>
      </w:r>
      <w:r w:rsidRPr="005C52DC">
        <w:rPr>
          <w:rStyle w:val="FootnoteReference"/>
        </w:rPr>
        <w:footnoteReference w:id="116"/>
      </w:r>
      <w:r w:rsidRPr="005C52DC">
        <w:t>. Carter</w:t>
      </w:r>
      <w:r w:rsidR="00A738C8" w:rsidRPr="005C52DC">
        <w:t xml:space="preserve"> was referred to</w:t>
      </w:r>
      <w:r w:rsidR="00AD5520" w:rsidRPr="005C52DC">
        <w:t xml:space="preserve"> </w:t>
      </w:r>
      <w:r w:rsidRPr="005C52DC">
        <w:t>‘hobbyist’ George Herbert, the 5</w:t>
      </w:r>
      <w:r w:rsidRPr="005C52DC">
        <w:rPr>
          <w:vertAlign w:val="superscript"/>
        </w:rPr>
        <w:t>th</w:t>
      </w:r>
      <w:r w:rsidRPr="005C52DC">
        <w:t xml:space="preserve"> Earl of Carnarvon, as a field archaeologist</w:t>
      </w:r>
      <w:r w:rsidRPr="005C52DC">
        <w:rPr>
          <w:rStyle w:val="FootnoteReference"/>
        </w:rPr>
        <w:footnoteReference w:id="117"/>
      </w:r>
      <w:r w:rsidRPr="005C52DC">
        <w:t>. Carter joined Carnarvon on project work throughout Egypt</w:t>
      </w:r>
      <w:r w:rsidRPr="005C52DC">
        <w:rPr>
          <w:rStyle w:val="FootnoteReference"/>
        </w:rPr>
        <w:footnoteReference w:id="118"/>
      </w:r>
      <w:r w:rsidRPr="005C52DC">
        <w:t>. In 1914</w:t>
      </w:r>
      <w:r w:rsidR="00337E91" w:rsidRPr="005C52DC">
        <w:t xml:space="preserve">, </w:t>
      </w:r>
      <w:r w:rsidRPr="005C52DC">
        <w:t>Carnarvon was given concession for excavation work in the Valley of the Kings</w:t>
      </w:r>
      <w:r w:rsidRPr="005C52DC">
        <w:rPr>
          <w:rStyle w:val="FootnoteReference"/>
        </w:rPr>
        <w:footnoteReference w:id="119"/>
      </w:r>
      <w:r w:rsidRPr="005C52DC">
        <w:t>; their work began by re-excavating some work that was done by Davis and his Egyptologists</w:t>
      </w:r>
      <w:r w:rsidRPr="005C52DC">
        <w:rPr>
          <w:rStyle w:val="FootnoteReference"/>
        </w:rPr>
        <w:footnoteReference w:id="120"/>
      </w:r>
      <w:r w:rsidRPr="005C52DC">
        <w:t xml:space="preserve">. With World War </w:t>
      </w:r>
      <w:r w:rsidR="00F46076" w:rsidRPr="005C52DC">
        <w:t>I (WWI)</w:t>
      </w:r>
      <w:r w:rsidRPr="005C52DC">
        <w:t xml:space="preserve"> starting in 1914 it meant that minimal work was conducted at the Valley of the Kings which did not fully resume until 1919</w:t>
      </w:r>
      <w:r w:rsidRPr="005C52DC">
        <w:rPr>
          <w:rStyle w:val="FootnoteReference"/>
        </w:rPr>
        <w:footnoteReference w:id="121"/>
      </w:r>
      <w:r w:rsidRPr="005C52DC">
        <w:t xml:space="preserve">. </w:t>
      </w:r>
    </w:p>
    <w:p w14:paraId="25EA5330" w14:textId="7399E909" w:rsidR="000320D4" w:rsidRPr="005C52DC" w:rsidRDefault="00AD5520" w:rsidP="00105905">
      <w:pPr>
        <w:spacing w:line="360" w:lineRule="auto"/>
      </w:pPr>
      <w:r w:rsidRPr="005C52DC">
        <w:t xml:space="preserve">By 1922, Carnarvon was ready to stop further excavation work and left Egypt; </w:t>
      </w:r>
      <w:r w:rsidR="00105905" w:rsidRPr="005C52DC">
        <w:t>Carter persuaded him to fund one more season</w:t>
      </w:r>
      <w:r w:rsidR="00105905" w:rsidRPr="005C52DC">
        <w:rPr>
          <w:rStyle w:val="FootnoteReference"/>
        </w:rPr>
        <w:footnoteReference w:id="122"/>
      </w:r>
      <w:r w:rsidR="00105905" w:rsidRPr="005C52DC">
        <w:t>.</w:t>
      </w:r>
      <w:r w:rsidR="000320D4" w:rsidRPr="005C52DC">
        <w:t xml:space="preserve"> Ironically, Tutankhamun’s tomb was in fact discovered accidentally by an Egyptian water carrier</w:t>
      </w:r>
      <w:r w:rsidR="000320D4" w:rsidRPr="005C52DC">
        <w:rPr>
          <w:rStyle w:val="FootnoteReference"/>
        </w:rPr>
        <w:footnoteReference w:id="123"/>
      </w:r>
      <w:r w:rsidR="000320D4" w:rsidRPr="005C52DC">
        <w:t xml:space="preserve"> on </w:t>
      </w:r>
      <w:r w:rsidR="005C52DC" w:rsidRPr="005C52DC">
        <w:t xml:space="preserve">the </w:t>
      </w:r>
      <w:r w:rsidR="000320D4" w:rsidRPr="005C52DC">
        <w:t>24</w:t>
      </w:r>
      <w:r w:rsidR="000320D4" w:rsidRPr="005C52DC">
        <w:rPr>
          <w:vertAlign w:val="superscript"/>
        </w:rPr>
        <w:t>th</w:t>
      </w:r>
      <w:r w:rsidR="000320D4" w:rsidRPr="005C52DC">
        <w:t xml:space="preserve"> November 1922</w:t>
      </w:r>
      <w:r w:rsidR="00105905" w:rsidRPr="005C52DC">
        <w:rPr>
          <w:rStyle w:val="FootnoteReference"/>
        </w:rPr>
        <w:footnoteReference w:id="124"/>
      </w:r>
      <w:r w:rsidR="00105905" w:rsidRPr="005C52DC">
        <w:t xml:space="preserve">. </w:t>
      </w:r>
      <w:r w:rsidR="000320D4" w:rsidRPr="005C52DC">
        <w:t>Carnarvon returned to Egypt as a result but died in 1923 and never got to see the full rewards of his money and endeavours</w:t>
      </w:r>
      <w:r w:rsidR="000320D4" w:rsidRPr="005C52DC">
        <w:rPr>
          <w:rStyle w:val="FootnoteReference"/>
        </w:rPr>
        <w:footnoteReference w:id="125"/>
      </w:r>
      <w:r w:rsidR="000320D4" w:rsidRPr="005C52DC">
        <w:t xml:space="preserve">. Press from the London Times surprised the world with this amazing new discovery and </w:t>
      </w:r>
      <w:proofErr w:type="spellStart"/>
      <w:r w:rsidR="000320D4" w:rsidRPr="005C52DC">
        <w:t>Tutmania</w:t>
      </w:r>
      <w:proofErr w:type="spellEnd"/>
      <w:r w:rsidR="000320D4" w:rsidRPr="005C52DC">
        <w:t xml:space="preserve"> was given </w:t>
      </w:r>
      <w:r w:rsidR="00CD659E">
        <w:t xml:space="preserve">its </w:t>
      </w:r>
      <w:r w:rsidR="000320D4" w:rsidRPr="005C52DC">
        <w:t xml:space="preserve">wheels. </w:t>
      </w:r>
    </w:p>
    <w:p w14:paraId="30D2257C" w14:textId="7EBEA477" w:rsidR="00105905" w:rsidRPr="005C52DC" w:rsidRDefault="00105905" w:rsidP="00105905">
      <w:pPr>
        <w:spacing w:line="360" w:lineRule="auto"/>
      </w:pPr>
      <w:r w:rsidRPr="005C52DC">
        <w:t>Months before the discovery of Tutankhamun’s tomb, the British had given partial independence to the Egyptians</w:t>
      </w:r>
      <w:r w:rsidRPr="005C52DC">
        <w:rPr>
          <w:rStyle w:val="FootnoteReference"/>
        </w:rPr>
        <w:footnoteReference w:id="126"/>
      </w:r>
      <w:r w:rsidRPr="005C52DC">
        <w:t xml:space="preserve">, meaning that no discoveries from intact tombs were to leave Egypt legally, </w:t>
      </w:r>
      <w:r w:rsidR="00BE70E6" w:rsidRPr="005C52DC">
        <w:t>the conflict this caused is</w:t>
      </w:r>
      <w:r w:rsidRPr="005C52DC">
        <w:t xml:space="preserve"> discussed further </w:t>
      </w:r>
      <w:r w:rsidR="00697A64" w:rsidRPr="005C52DC">
        <w:t>on in this</w:t>
      </w:r>
      <w:r w:rsidRPr="005C52DC">
        <w:t xml:space="preserve"> chapter. All excavation work that was done on the site was strictly watched by members of the EAS to ensure nothing was removed</w:t>
      </w:r>
      <w:r w:rsidRPr="005C52DC">
        <w:rPr>
          <w:rStyle w:val="FootnoteReference"/>
        </w:rPr>
        <w:footnoteReference w:id="127"/>
      </w:r>
      <w:r w:rsidRPr="005C52DC">
        <w:t xml:space="preserve"> and that regulations were followed</w:t>
      </w:r>
      <w:r w:rsidRPr="005C52DC">
        <w:rPr>
          <w:rStyle w:val="FootnoteReference"/>
        </w:rPr>
        <w:footnoteReference w:id="128"/>
      </w:r>
      <w:r w:rsidRPr="005C52DC">
        <w:t>; this annoyed Carter because he believed the tomb had been looted at least twice which meant that the tomb was not intact</w:t>
      </w:r>
      <w:r w:rsidRPr="005C52DC">
        <w:rPr>
          <w:rStyle w:val="FootnoteReference"/>
        </w:rPr>
        <w:footnoteReference w:id="129"/>
      </w:r>
      <w:r w:rsidRPr="005C52DC">
        <w:t>. Carter argued that the tomb belonged to him and that the government was interrupting his work</w:t>
      </w:r>
      <w:r w:rsidRPr="005C52DC">
        <w:rPr>
          <w:rStyle w:val="FootnoteReference"/>
        </w:rPr>
        <w:footnoteReference w:id="130"/>
      </w:r>
      <w:r w:rsidRPr="005C52DC">
        <w:t xml:space="preserve">. The EAS disagreed with Carter because </w:t>
      </w:r>
      <w:r w:rsidRPr="005C52DC">
        <w:lastRenderedPageBreak/>
        <w:t>they argued that the tomb was only broken into close to the death of Tutankhamun and nothing was taken</w:t>
      </w:r>
      <w:r w:rsidRPr="005C52DC">
        <w:rPr>
          <w:rStyle w:val="FootnoteReference"/>
        </w:rPr>
        <w:footnoteReference w:id="131"/>
      </w:r>
      <w:r w:rsidRPr="005C52DC">
        <w:t>. In the end, it resulted in him and his team abandoning the tomb</w:t>
      </w:r>
      <w:r w:rsidRPr="005C52DC">
        <w:rPr>
          <w:rStyle w:val="FootnoteReference"/>
        </w:rPr>
        <w:footnoteReference w:id="132"/>
      </w:r>
      <w:r w:rsidRPr="005C52DC">
        <w:t xml:space="preserve">.  They sealed the tomb and stopped any work to </w:t>
      </w:r>
      <w:proofErr w:type="gramStart"/>
      <w:r w:rsidRPr="005C52DC">
        <w:t>protest against</w:t>
      </w:r>
      <w:proofErr w:type="gramEnd"/>
      <w:r w:rsidRPr="005C52DC">
        <w:t xml:space="preserve"> the government’s interference; the head of the EAS, Pierre </w:t>
      </w:r>
      <w:proofErr w:type="spellStart"/>
      <w:r w:rsidRPr="005C52DC">
        <w:t>Lacau</w:t>
      </w:r>
      <w:proofErr w:type="spellEnd"/>
      <w:r w:rsidRPr="005C52DC">
        <w:t>, had the tomb seized and said that all contents belonged to Egypt</w:t>
      </w:r>
      <w:r w:rsidRPr="005C52DC">
        <w:rPr>
          <w:rStyle w:val="FootnoteReference"/>
        </w:rPr>
        <w:footnoteReference w:id="133"/>
      </w:r>
      <w:r w:rsidRPr="005C52DC">
        <w:t xml:space="preserve">. The Prime Minister justified </w:t>
      </w:r>
      <w:proofErr w:type="spellStart"/>
      <w:r w:rsidRPr="005C52DC">
        <w:t>Lacau’s</w:t>
      </w:r>
      <w:proofErr w:type="spellEnd"/>
      <w:r w:rsidRPr="005C52DC">
        <w:t xml:space="preserve"> actions because ‘it is the duty of the government to defend the rights and dignity of the nation’</w:t>
      </w:r>
      <w:r w:rsidRPr="005C52DC">
        <w:rPr>
          <w:rStyle w:val="FootnoteReference"/>
        </w:rPr>
        <w:footnoteReference w:id="134"/>
      </w:r>
      <w:r w:rsidRPr="005C52DC">
        <w:t xml:space="preserve">. </w:t>
      </w:r>
      <w:proofErr w:type="gramStart"/>
      <w:r w:rsidRPr="005C52DC">
        <w:t>All of</w:t>
      </w:r>
      <w:proofErr w:type="gramEnd"/>
      <w:r w:rsidRPr="005C52DC">
        <w:t xml:space="preserve"> the artefacts from the tomb belonged to the Museum of Cairo at el-tahrir Square</w:t>
      </w:r>
      <w:r w:rsidRPr="005C52DC">
        <w:rPr>
          <w:rStyle w:val="FootnoteReference"/>
        </w:rPr>
        <w:footnoteReference w:id="135"/>
      </w:r>
      <w:r w:rsidRPr="005C52DC">
        <w:t>. The struggle between Carter and the EAS resulted in Egypt winning and being able to keep all</w:t>
      </w:r>
      <w:r w:rsidR="00CD659E">
        <w:t xml:space="preserve"> of</w:t>
      </w:r>
      <w:r w:rsidRPr="005C52DC">
        <w:t xml:space="preserve"> Tutankhamun’s tomb’s contents</w:t>
      </w:r>
      <w:r w:rsidRPr="005C52DC">
        <w:rPr>
          <w:rStyle w:val="FootnoteReference"/>
        </w:rPr>
        <w:footnoteReference w:id="136"/>
      </w:r>
      <w:r w:rsidRPr="005C52DC">
        <w:t>. The conflict between Carter and the Egyptian government regarding Tutankhamun’s tomb illustrated the ‘competing ideologies of imperialism and pharaonic nationalism’</w:t>
      </w:r>
      <w:r w:rsidRPr="005C52DC">
        <w:rPr>
          <w:rStyle w:val="FootnoteReference"/>
        </w:rPr>
        <w:footnoteReference w:id="137"/>
      </w:r>
      <w:r w:rsidRPr="005C52DC">
        <w:t xml:space="preserve">. However, due to the assassination of </w:t>
      </w:r>
      <w:r w:rsidR="00A738C8" w:rsidRPr="005C52DC">
        <w:t xml:space="preserve">the </w:t>
      </w:r>
      <w:r w:rsidRPr="005C52DC">
        <w:t xml:space="preserve">Governor </w:t>
      </w:r>
      <w:r w:rsidR="006F125A" w:rsidRPr="005C52DC">
        <w:t>g</w:t>
      </w:r>
      <w:r w:rsidRPr="005C52DC">
        <w:t>eneral and Sirdar of the Egyptian army, Sir Lee Stack</w:t>
      </w:r>
      <w:r w:rsidRPr="005C52DC">
        <w:rPr>
          <w:rStyle w:val="FootnoteReference"/>
        </w:rPr>
        <w:footnoteReference w:id="138"/>
      </w:r>
      <w:r w:rsidRPr="005C52DC">
        <w:t>, and the change of government, this meant that Carter managed to be back working at Tutankhamun’s tomb in 1924</w:t>
      </w:r>
      <w:r w:rsidRPr="005C52DC">
        <w:rPr>
          <w:rStyle w:val="FootnoteReference"/>
        </w:rPr>
        <w:footnoteReference w:id="139"/>
      </w:r>
      <w:r w:rsidRPr="005C52DC">
        <w:t xml:space="preserve">. Ahmad </w:t>
      </w:r>
      <w:proofErr w:type="spellStart"/>
      <w:r w:rsidRPr="005C52DC">
        <w:t>Ziwar</w:t>
      </w:r>
      <w:proofErr w:type="spellEnd"/>
      <w:r w:rsidRPr="005C52DC">
        <w:t>, the new Prime Minister had minimal interest in Egypt’s nationalism and allowed Carter to continue his work</w:t>
      </w:r>
      <w:r w:rsidRPr="005C52DC">
        <w:rPr>
          <w:rStyle w:val="FootnoteReference"/>
        </w:rPr>
        <w:footnoteReference w:id="140"/>
      </w:r>
      <w:r w:rsidRPr="005C52DC">
        <w:t xml:space="preserve">. By </w:t>
      </w:r>
      <w:proofErr w:type="gramStart"/>
      <w:r w:rsidRPr="005C52DC">
        <w:t>December 1927</w:t>
      </w:r>
      <w:proofErr w:type="gramEnd"/>
      <w:r w:rsidRPr="005C52DC">
        <w:t xml:space="preserve"> all 5,366 items from Tutankhamun’s tomb were removed to Cairo Museum and catalogued</w:t>
      </w:r>
      <w:r w:rsidRPr="005C52DC">
        <w:rPr>
          <w:rStyle w:val="FootnoteReference"/>
        </w:rPr>
        <w:footnoteReference w:id="141"/>
      </w:r>
      <w:r w:rsidRPr="005C52DC">
        <w:t xml:space="preserve">. </w:t>
      </w:r>
    </w:p>
    <w:p w14:paraId="08F4C4D7" w14:textId="74D3836A" w:rsidR="00105905" w:rsidRPr="005C52DC" w:rsidRDefault="00105905" w:rsidP="00105905">
      <w:pPr>
        <w:spacing w:line="360" w:lineRule="auto"/>
      </w:pPr>
      <w:r w:rsidRPr="005C52DC">
        <w:t xml:space="preserve">After </w:t>
      </w:r>
      <w:r w:rsidR="00F46076" w:rsidRPr="005C52DC">
        <w:t>WW1</w:t>
      </w:r>
      <w:r w:rsidR="00652FFF" w:rsidRPr="005C52DC">
        <w:t>,</w:t>
      </w:r>
      <w:r w:rsidRPr="005C52DC">
        <w:t xml:space="preserve"> Britain was a different country; the war brought in some revenue, women were employed, and they gained their right to vote</w:t>
      </w:r>
      <w:r w:rsidRPr="005C52DC">
        <w:rPr>
          <w:rStyle w:val="FootnoteReference"/>
        </w:rPr>
        <w:footnoteReference w:id="142"/>
      </w:r>
      <w:r w:rsidRPr="005C52DC">
        <w:t xml:space="preserve">. </w:t>
      </w:r>
      <w:r w:rsidR="00730A23" w:rsidRPr="005C52DC">
        <w:t>The life of the a</w:t>
      </w:r>
      <w:r w:rsidRPr="005C52DC">
        <w:t>ristocracy and wealthier classes had never been better, however costly</w:t>
      </w:r>
      <w:r w:rsidR="00730A23" w:rsidRPr="005C52DC">
        <w:t xml:space="preserve"> British</w:t>
      </w:r>
      <w:r w:rsidRPr="005C52DC">
        <w:t xml:space="preserve"> exports and lack of investment led to depression, deflation and a decline in the economy resulting in two million people being unemployed in Britain by the mid 1920’s</w:t>
      </w:r>
      <w:r w:rsidRPr="005C52DC">
        <w:rPr>
          <w:rStyle w:val="FootnoteReference"/>
        </w:rPr>
        <w:footnoteReference w:id="143"/>
      </w:r>
      <w:r w:rsidRPr="005C52DC">
        <w:t>. The discovery of Tutankhamun’s tomb</w:t>
      </w:r>
      <w:r w:rsidR="00A738C8" w:rsidRPr="005C52DC">
        <w:t xml:space="preserve"> and the wealth therein</w:t>
      </w:r>
      <w:r w:rsidRPr="005C52DC">
        <w:t xml:space="preserve"> by a British archaeologist caused a mania in the west</w:t>
      </w:r>
      <w:r w:rsidRPr="005C52DC">
        <w:rPr>
          <w:rStyle w:val="FootnoteReference"/>
        </w:rPr>
        <w:footnoteReference w:id="144"/>
      </w:r>
      <w:r w:rsidRPr="005C52DC">
        <w:t xml:space="preserve"> as well as a much-needed boost to British morale.</w:t>
      </w:r>
    </w:p>
    <w:p w14:paraId="21FBB982" w14:textId="70BFF76B" w:rsidR="008422AB" w:rsidRPr="005C52DC" w:rsidRDefault="00105905" w:rsidP="008422AB">
      <w:pPr>
        <w:spacing w:line="360" w:lineRule="auto"/>
      </w:pPr>
      <w:r w:rsidRPr="005C52DC">
        <w:t>Allegra Fryxell, a cultural historian of modern Europe</w:t>
      </w:r>
      <w:r w:rsidRPr="005C52DC">
        <w:rPr>
          <w:rStyle w:val="FootnoteReference"/>
        </w:rPr>
        <w:footnoteReference w:id="145"/>
      </w:r>
      <w:r w:rsidRPr="005C52DC">
        <w:t>, said that the tomb of Tutankhamun was so famous because it was almost intact</w:t>
      </w:r>
      <w:r w:rsidR="005C52DC">
        <w:t>:</w:t>
      </w:r>
    </w:p>
    <w:p w14:paraId="18A72041" w14:textId="15FC40CD" w:rsidR="008422AB" w:rsidRPr="005C52DC" w:rsidRDefault="008422AB" w:rsidP="008422AB">
      <w:pPr>
        <w:spacing w:line="360" w:lineRule="auto"/>
        <w:ind w:left="720"/>
        <w:rPr>
          <w:i/>
          <w:iCs/>
        </w:rPr>
      </w:pPr>
      <w:r w:rsidRPr="005C52DC">
        <w:rPr>
          <w:i/>
          <w:iCs/>
        </w:rPr>
        <w:lastRenderedPageBreak/>
        <w:t>‘[P]art of Tutankhamun’s fame is related to the fact that, in archaeological terms, the tomb presented an almost complete collection of mortuary goods, whereas most middle kingdom tombs had been rifled before the advent of Victorian archaeology’</w:t>
      </w:r>
      <w:r w:rsidRPr="005C52DC">
        <w:rPr>
          <w:rStyle w:val="FootnoteReference"/>
          <w:i/>
          <w:iCs/>
        </w:rPr>
        <w:footnoteReference w:id="146"/>
      </w:r>
      <w:r w:rsidR="007554C0" w:rsidRPr="005C52DC">
        <w:rPr>
          <w:i/>
          <w:iCs/>
        </w:rPr>
        <w:t>.</w:t>
      </w:r>
    </w:p>
    <w:p w14:paraId="1F749A94" w14:textId="17826181" w:rsidR="00105905" w:rsidRPr="00600DF6" w:rsidRDefault="00383D8D" w:rsidP="00105905">
      <w:pPr>
        <w:spacing w:line="360" w:lineRule="auto"/>
      </w:pPr>
      <w:r w:rsidRPr="005C52DC">
        <w:t xml:space="preserve">This idea is also </w:t>
      </w:r>
      <w:r w:rsidR="00105905" w:rsidRPr="005C52DC">
        <w:t xml:space="preserve">supported by Professor of Egyptology </w:t>
      </w:r>
      <w:proofErr w:type="spellStart"/>
      <w:r w:rsidR="00105905" w:rsidRPr="005C52DC">
        <w:t>Salima</w:t>
      </w:r>
      <w:proofErr w:type="spellEnd"/>
      <w:r w:rsidR="00105905" w:rsidRPr="005C52DC">
        <w:t xml:space="preserve"> Ikram</w:t>
      </w:r>
      <w:r w:rsidR="00105905" w:rsidRPr="005C52DC">
        <w:rPr>
          <w:rStyle w:val="FootnoteReference"/>
        </w:rPr>
        <w:footnoteReference w:id="147"/>
      </w:r>
      <w:r w:rsidRPr="005C52DC">
        <w:t xml:space="preserve">; </w:t>
      </w:r>
      <w:r w:rsidR="00105905" w:rsidRPr="005C52DC">
        <w:t>the tomb was the ‘only New Kingdom royal burial to have been found virtually intact’</w:t>
      </w:r>
      <w:r w:rsidR="00105905" w:rsidRPr="005C52DC">
        <w:rPr>
          <w:rStyle w:val="FootnoteReference"/>
        </w:rPr>
        <w:footnoteReference w:id="148"/>
      </w:r>
      <w:r w:rsidR="00105905" w:rsidRPr="005C52DC">
        <w:t xml:space="preserve">. </w:t>
      </w:r>
      <w:r w:rsidR="00105905" w:rsidRPr="00A92DE4">
        <w:t>However,</w:t>
      </w:r>
      <w:r w:rsidR="001552D8" w:rsidRPr="00A92DE4">
        <w:t xml:space="preserve"> Egyptologist </w:t>
      </w:r>
      <w:r w:rsidR="00105905" w:rsidRPr="00A92DE4">
        <w:t>Sir Grafton Elliot Smith,</w:t>
      </w:r>
      <w:r w:rsidR="00105905" w:rsidRPr="00A92DE4">
        <w:rPr>
          <w:rStyle w:val="FootnoteReference"/>
        </w:rPr>
        <w:footnoteReference w:id="149"/>
      </w:r>
      <w:r w:rsidR="00105905" w:rsidRPr="00A92DE4">
        <w:t xml:space="preserve"> mentions </w:t>
      </w:r>
      <w:r w:rsidR="00CA0C32" w:rsidRPr="00A92DE4">
        <w:t xml:space="preserve">in 1923 </w:t>
      </w:r>
      <w:r w:rsidR="00105905" w:rsidRPr="00A92DE4">
        <w:t>that it was because the items found in the tomb were better than any other archaeological discovery from ancient times</w:t>
      </w:r>
      <w:r w:rsidR="00105905" w:rsidRPr="00A92DE4">
        <w:rPr>
          <w:rStyle w:val="FootnoteReference"/>
        </w:rPr>
        <w:footnoteReference w:id="150"/>
      </w:r>
      <w:r w:rsidR="00105905" w:rsidRPr="00A92DE4">
        <w:t>. Smith may have been correct during his time, but with modern Egyptologists such as Ikram using new techniques and offering new interpretations, alternative reasons for Tutankhamun’s fame have been suggested</w:t>
      </w:r>
      <w:r w:rsidR="004F2083" w:rsidRPr="00A92DE4">
        <w:t xml:space="preserve">; </w:t>
      </w:r>
      <w:r w:rsidR="00AA320D" w:rsidRPr="00A92DE4">
        <w:t>intact tomb or his unique mummification</w:t>
      </w:r>
      <w:r w:rsidR="00AA320D" w:rsidRPr="00A92DE4">
        <w:rPr>
          <w:rStyle w:val="FootnoteReference"/>
        </w:rPr>
        <w:footnoteReference w:id="151"/>
      </w:r>
      <w:r w:rsidR="00105905" w:rsidRPr="00A92DE4">
        <w:t>.</w:t>
      </w:r>
      <w:r w:rsidR="00105905" w:rsidRPr="00A92DE4">
        <w:rPr>
          <w:color w:val="FF0000"/>
        </w:rPr>
        <w:t xml:space="preserve"> </w:t>
      </w:r>
      <w:r w:rsidR="00105905" w:rsidRPr="00A92DE4">
        <w:t>However, the situation is not quite so clear cut. As Ikram said ‘initially, studies focussed on the myriad of glittering treasures found within the tomb. … Once unwrapped and the jewels an</w:t>
      </w:r>
      <w:r w:rsidR="00105905" w:rsidRPr="00600DF6">
        <w:t>d amulets removed, the same amount of attention was not lavished on Tutankhamun’s body itself’</w:t>
      </w:r>
      <w:r w:rsidR="00105905" w:rsidRPr="00600DF6">
        <w:rPr>
          <w:rStyle w:val="FootnoteReference"/>
        </w:rPr>
        <w:footnoteReference w:id="152"/>
      </w:r>
      <w:r w:rsidR="00105905" w:rsidRPr="00600DF6">
        <w:t>. This suggests that</w:t>
      </w:r>
      <w:r w:rsidR="00E13D44" w:rsidRPr="00600DF6">
        <w:t xml:space="preserve"> </w:t>
      </w:r>
      <w:r w:rsidR="001F63C8" w:rsidRPr="00600DF6">
        <w:t xml:space="preserve">some </w:t>
      </w:r>
      <w:r w:rsidR="00E13D44" w:rsidRPr="00600DF6">
        <w:t>scholars, such as D</w:t>
      </w:r>
      <w:r w:rsidR="001F63C8" w:rsidRPr="00600DF6">
        <w:t>ouglas</w:t>
      </w:r>
      <w:r w:rsidR="00E13D44" w:rsidRPr="00600DF6">
        <w:t xml:space="preserve"> E. Derry and Saleh Bey Hamdi</w:t>
      </w:r>
      <w:r w:rsidR="0076766B" w:rsidRPr="00600DF6">
        <w:rPr>
          <w:rStyle w:val="FootnoteReference"/>
        </w:rPr>
        <w:footnoteReference w:id="153"/>
      </w:r>
      <w:r w:rsidR="00E13D44" w:rsidRPr="00600DF6">
        <w:t xml:space="preserve">, that have studied Tutankhamun’s mummy focused on the areas of wealth rather than the whole mummy, </w:t>
      </w:r>
      <w:r w:rsidR="001F63C8" w:rsidRPr="00600DF6">
        <w:t>likely to result</w:t>
      </w:r>
      <w:r w:rsidR="00E13D44" w:rsidRPr="00600DF6">
        <w:t xml:space="preserve"> in an incomplete examination of the mummy. </w:t>
      </w:r>
      <w:r w:rsidR="00105905" w:rsidRPr="00600DF6">
        <w:t xml:space="preserve">The appeal of Tutankhamun is not </w:t>
      </w:r>
      <w:r w:rsidR="00DE4DDF" w:rsidRPr="00600DF6">
        <w:t xml:space="preserve">due to the </w:t>
      </w:r>
      <w:r w:rsidR="00105905" w:rsidRPr="00600DF6">
        <w:t>mark he left on history</w:t>
      </w:r>
      <w:r w:rsidR="00DE4DDF" w:rsidRPr="00600DF6">
        <w:t xml:space="preserve">. </w:t>
      </w:r>
      <w:r w:rsidRPr="00600DF6">
        <w:t xml:space="preserve">According to </w:t>
      </w:r>
      <w:r w:rsidR="00105905" w:rsidRPr="00600DF6">
        <w:t>Egyptologist Nicholas Reeves</w:t>
      </w:r>
      <w:r w:rsidRPr="00600DF6">
        <w:t>,</w:t>
      </w:r>
      <w:r w:rsidR="00105905" w:rsidRPr="00600DF6">
        <w:t xml:space="preserve"> said Tutankhamun was a minor player in history</w:t>
      </w:r>
      <w:r w:rsidR="00105905" w:rsidRPr="00600DF6">
        <w:rPr>
          <w:rStyle w:val="FootnoteReference"/>
        </w:rPr>
        <w:footnoteReference w:id="154"/>
      </w:r>
      <w:r w:rsidR="00105905" w:rsidRPr="00600DF6">
        <w:t>; he died at a young age so did not reign for long nor did he do anything remarkable unlike his father who abandoned traditional religion and invented his own.</w:t>
      </w:r>
    </w:p>
    <w:p w14:paraId="29393B0A" w14:textId="01E2ADA8" w:rsidR="0076766B" w:rsidRDefault="00105905" w:rsidP="00105905">
      <w:pPr>
        <w:spacing w:line="360" w:lineRule="auto"/>
      </w:pPr>
      <w:r w:rsidRPr="00600DF6">
        <w:t>His burial was also not straightforward because of his unique mummification for the period as listed by Ikram ‘ the resin in the cranium, the position of the arms, the evisceration cut, the position of the penis, the question of his heart, the issue of the (now?) missing ribs, and the amount of resins and oils used in the embalming’</w:t>
      </w:r>
      <w:r w:rsidRPr="00600DF6">
        <w:rPr>
          <w:rStyle w:val="FootnoteReference"/>
        </w:rPr>
        <w:footnoteReference w:id="155"/>
      </w:r>
      <w:r w:rsidRPr="00600DF6">
        <w:t xml:space="preserve">. </w:t>
      </w:r>
      <w:r w:rsidR="00383D8D" w:rsidRPr="00600DF6">
        <w:t xml:space="preserve">It is also possible that the tomb was not destined for Tutankhamun. </w:t>
      </w:r>
      <w:r w:rsidRPr="00600DF6">
        <w:t>The tomb was relatively small for a pharaoh of the 18</w:t>
      </w:r>
      <w:r w:rsidRPr="00600DF6">
        <w:rPr>
          <w:vertAlign w:val="superscript"/>
        </w:rPr>
        <w:t>th</w:t>
      </w:r>
      <w:r w:rsidRPr="00600DF6">
        <w:t xml:space="preserve"> dynasty</w:t>
      </w:r>
      <w:r w:rsidRPr="00600DF6">
        <w:rPr>
          <w:rStyle w:val="FootnoteReference"/>
        </w:rPr>
        <w:footnoteReference w:id="156"/>
      </w:r>
      <w:r w:rsidRPr="00600DF6">
        <w:t>, and due to the unexpected death, people had to hastily prepare a tomb</w:t>
      </w:r>
      <w:r w:rsidRPr="00600DF6">
        <w:rPr>
          <w:rStyle w:val="FootnoteReference"/>
        </w:rPr>
        <w:footnoteReference w:id="157"/>
      </w:r>
      <w:r w:rsidRPr="00600DF6">
        <w:t xml:space="preserve"> and to enlarge it to accommodate Tutankhamun and his belongings for the afterlife</w:t>
      </w:r>
      <w:r w:rsidRPr="00600DF6">
        <w:rPr>
          <w:rStyle w:val="FootnoteReference"/>
        </w:rPr>
        <w:footnoteReference w:id="158"/>
      </w:r>
      <w:r w:rsidRPr="00600DF6">
        <w:t xml:space="preserve">. </w:t>
      </w:r>
      <w:r w:rsidR="0076766B" w:rsidRPr="00600DF6">
        <w:t xml:space="preserve">These observations might not have led to </w:t>
      </w:r>
      <w:proofErr w:type="spellStart"/>
      <w:r w:rsidR="0076766B" w:rsidRPr="00600DF6">
        <w:t>Tutmania</w:t>
      </w:r>
      <w:proofErr w:type="spellEnd"/>
      <w:r w:rsidR="0076766B" w:rsidRPr="00600DF6">
        <w:t xml:space="preserve"> in the western </w:t>
      </w:r>
      <w:r w:rsidR="001F63C8" w:rsidRPr="00600DF6">
        <w:lastRenderedPageBreak/>
        <w:t>world,</w:t>
      </w:r>
      <w:r w:rsidR="0076766B" w:rsidRPr="00600DF6">
        <w:t xml:space="preserve"> but it does indicate that Tutankhamun’s burial consisted of anomalies for 18</w:t>
      </w:r>
      <w:r w:rsidR="0076766B" w:rsidRPr="00600DF6">
        <w:rPr>
          <w:vertAlign w:val="superscript"/>
        </w:rPr>
        <w:t>th</w:t>
      </w:r>
      <w:r w:rsidR="0076766B" w:rsidRPr="00600DF6">
        <w:t xml:space="preserve"> dynasty royal burial practices.  </w:t>
      </w:r>
      <w:r w:rsidR="008422AB" w:rsidRPr="00600DF6">
        <w:t xml:space="preserve">The discovery of Tutankhamun may have </w:t>
      </w:r>
      <w:r w:rsidR="0076766B" w:rsidRPr="00600DF6">
        <w:t>led to people believing the discovery was about wealth which would have been indicated through the removal of jewels and amulets from the body</w:t>
      </w:r>
      <w:r w:rsidR="0076766B" w:rsidRPr="00600DF6">
        <w:rPr>
          <w:rStyle w:val="FootnoteReference"/>
        </w:rPr>
        <w:footnoteReference w:id="159"/>
      </w:r>
      <w:r w:rsidR="0076766B" w:rsidRPr="00600DF6">
        <w:t>; the jewels were so stuck</w:t>
      </w:r>
      <w:r w:rsidR="0076766B" w:rsidRPr="00600DF6">
        <w:rPr>
          <w:rStyle w:val="FootnoteReference"/>
        </w:rPr>
        <w:footnoteReference w:id="160"/>
      </w:r>
      <w:r w:rsidR="0076766B" w:rsidRPr="00600DF6">
        <w:t xml:space="preserve"> that Carter and his team broke up the body to be able to remove the jewels</w:t>
      </w:r>
      <w:r w:rsidR="0076766B" w:rsidRPr="00600DF6">
        <w:rPr>
          <w:rStyle w:val="FootnoteReference"/>
        </w:rPr>
        <w:footnoteReference w:id="161"/>
      </w:r>
      <w:r w:rsidR="0076766B" w:rsidRPr="00600DF6">
        <w:t>. The idea of Tutankhamun being about wealth was probably correct for Carnarvon, however, archaeological methods and intention were a different practice when Carter discovered Tutankhamun, meaning these modern breakages on the mummy were mostly like to have been an accident.</w:t>
      </w:r>
      <w:r w:rsidR="0076766B">
        <w:t xml:space="preserve"> </w:t>
      </w:r>
    </w:p>
    <w:p w14:paraId="338F94EF" w14:textId="528E98F4" w:rsidR="00105905" w:rsidRPr="00A92DE4" w:rsidRDefault="00383D8D" w:rsidP="00105905">
      <w:pPr>
        <w:spacing w:line="360" w:lineRule="auto"/>
      </w:pPr>
      <w:r w:rsidRPr="00A92DE4">
        <w:t xml:space="preserve">Carnarvon’s concession for excavation </w:t>
      </w:r>
      <w:r w:rsidR="00105905" w:rsidRPr="00A92DE4">
        <w:t xml:space="preserve">at the Valley of the Kings, was signed by George </w:t>
      </w:r>
      <w:proofErr w:type="spellStart"/>
      <w:r w:rsidR="00105905" w:rsidRPr="00A92DE4">
        <w:t>Daressy</w:t>
      </w:r>
      <w:proofErr w:type="spellEnd"/>
      <w:r w:rsidR="00105905" w:rsidRPr="00A92DE4">
        <w:t xml:space="preserve">, </w:t>
      </w:r>
      <w:r w:rsidR="00CD659E">
        <w:t xml:space="preserve">the </w:t>
      </w:r>
      <w:r w:rsidR="00105905" w:rsidRPr="00A92DE4">
        <w:t>acting director for the EAS</w:t>
      </w:r>
      <w:r w:rsidR="00105905" w:rsidRPr="00A92DE4">
        <w:rPr>
          <w:rStyle w:val="FootnoteReference"/>
        </w:rPr>
        <w:footnoteReference w:id="162"/>
      </w:r>
      <w:r w:rsidR="00105905" w:rsidRPr="00A92DE4">
        <w:t xml:space="preserve">. </w:t>
      </w:r>
    </w:p>
    <w:p w14:paraId="26515DA8" w14:textId="3948FF8F" w:rsidR="00105905" w:rsidRPr="00A92DE4" w:rsidRDefault="00105905" w:rsidP="00105905">
      <w:pPr>
        <w:spacing w:line="360" w:lineRule="auto"/>
        <w:ind w:left="720"/>
        <w:rPr>
          <w:i/>
          <w:iCs/>
        </w:rPr>
      </w:pPr>
      <w:r w:rsidRPr="00A92DE4">
        <w:rPr>
          <w:i/>
          <w:iCs/>
        </w:rPr>
        <w:t>‘</w:t>
      </w:r>
      <w:r w:rsidR="00383D8D" w:rsidRPr="00A92DE4">
        <w:rPr>
          <w:i/>
          <w:iCs/>
        </w:rPr>
        <w:t>[S]</w:t>
      </w:r>
      <w:proofErr w:type="spellStart"/>
      <w:r w:rsidRPr="00A92DE4">
        <w:rPr>
          <w:i/>
          <w:iCs/>
        </w:rPr>
        <w:t>tipulated</w:t>
      </w:r>
      <w:proofErr w:type="spellEnd"/>
      <w:r w:rsidRPr="00A92DE4">
        <w:rPr>
          <w:i/>
          <w:iCs/>
        </w:rPr>
        <w:t xml:space="preserve"> that Egypt would retain the mummies, coffins and sarcophagi of kings, princes and high priest</w:t>
      </w:r>
      <w:r w:rsidR="00A92DE4">
        <w:rPr>
          <w:i/>
          <w:iCs/>
        </w:rPr>
        <w:t>s</w:t>
      </w:r>
      <w:r w:rsidRPr="00A92DE4">
        <w:rPr>
          <w:i/>
          <w:iCs/>
        </w:rPr>
        <w:t xml:space="preserve">, as well as the contents of any tomb found intact. If a tomb had been ‘’already search’’, the service would retain objects of </w:t>
      </w:r>
      <w:r w:rsidR="00A92DE4" w:rsidRPr="00A92DE4">
        <w:rPr>
          <w:i/>
          <w:iCs/>
        </w:rPr>
        <w:t>“</w:t>
      </w:r>
      <w:r w:rsidRPr="00A92DE4">
        <w:rPr>
          <w:i/>
          <w:iCs/>
        </w:rPr>
        <w:t>capital importance’’ and divide the rest so that ‘permittee’s share will sufficiently recompense him for the pain and labour of the undertaking’</w:t>
      </w:r>
      <w:r w:rsidRPr="00A92DE4">
        <w:rPr>
          <w:rStyle w:val="FootnoteReference"/>
          <w:i/>
          <w:iCs/>
        </w:rPr>
        <w:footnoteReference w:id="163"/>
      </w:r>
      <w:r w:rsidR="007554C0" w:rsidRPr="00A92DE4">
        <w:rPr>
          <w:i/>
          <w:iCs/>
        </w:rPr>
        <w:t>.</w:t>
      </w:r>
    </w:p>
    <w:p w14:paraId="4B3F871D" w14:textId="1FFE57C7" w:rsidR="00105905" w:rsidRPr="00A92DE4" w:rsidRDefault="00105905" w:rsidP="002117A2">
      <w:pPr>
        <w:spacing w:line="360" w:lineRule="auto"/>
      </w:pPr>
      <w:r w:rsidRPr="00A92DE4">
        <w:t>Despite the discovery of Tutankhamun’s tomb by a British archaeologist and the tomb being believed to have been looted at least twice (evidence including the re-plastering of the door)</w:t>
      </w:r>
      <w:r w:rsidRPr="00A92DE4">
        <w:rPr>
          <w:rStyle w:val="FootnoteReference"/>
        </w:rPr>
        <w:footnoteReference w:id="164"/>
      </w:r>
      <w:r w:rsidRPr="00A92DE4">
        <w:t xml:space="preserve">, the discovery belonged to Egypt. Until the discovery of Tutankhamun, </w:t>
      </w:r>
      <w:proofErr w:type="gramStart"/>
      <w:r w:rsidRPr="00A92DE4">
        <w:t>the majority of</w:t>
      </w:r>
      <w:proofErr w:type="gramEnd"/>
      <w:r w:rsidRPr="00A92DE4">
        <w:t xml:space="preserve"> findings were kept by the excavator. This discovery set a precedent. </w:t>
      </w:r>
    </w:p>
    <w:p w14:paraId="7B7A2F74" w14:textId="77777777" w:rsidR="002117A2" w:rsidRPr="00A92DE4" w:rsidRDefault="002117A2" w:rsidP="002117A2">
      <w:pPr>
        <w:spacing w:line="360" w:lineRule="auto"/>
      </w:pPr>
    </w:p>
    <w:p w14:paraId="746EFAC5" w14:textId="5C06FB08" w:rsidR="00105905" w:rsidRPr="00A92DE4" w:rsidRDefault="00105905" w:rsidP="002117A2">
      <w:pPr>
        <w:pStyle w:val="ListParagraph"/>
        <w:numPr>
          <w:ilvl w:val="0"/>
          <w:numId w:val="3"/>
        </w:numPr>
        <w:rPr>
          <w:b/>
          <w:bCs/>
          <w:sz w:val="24"/>
          <w:szCs w:val="24"/>
        </w:rPr>
      </w:pPr>
      <w:r w:rsidRPr="00A92DE4">
        <w:rPr>
          <w:b/>
          <w:bCs/>
          <w:sz w:val="24"/>
          <w:szCs w:val="24"/>
        </w:rPr>
        <w:t>Politics</w:t>
      </w:r>
    </w:p>
    <w:p w14:paraId="725B358B" w14:textId="1F116C1E" w:rsidR="002117A2" w:rsidRPr="00A92DE4" w:rsidRDefault="002117A2" w:rsidP="002117A2">
      <w:pPr>
        <w:spacing w:line="360" w:lineRule="auto"/>
      </w:pPr>
      <w:r w:rsidRPr="00A92DE4">
        <w:t xml:space="preserve">By 1900’s, </w:t>
      </w:r>
      <w:r w:rsidR="00383D8D" w:rsidRPr="00A92DE4">
        <w:t>many</w:t>
      </w:r>
      <w:r w:rsidR="00B75ECD" w:rsidRPr="00A92DE4">
        <w:t xml:space="preserve"> European states</w:t>
      </w:r>
      <w:r w:rsidR="008E0C64" w:rsidRPr="00A92DE4">
        <w:t xml:space="preserve"> (United Kingdom, France</w:t>
      </w:r>
      <w:r w:rsidRPr="00A92DE4">
        <w:t>, German</w:t>
      </w:r>
      <w:r w:rsidR="008E0C64" w:rsidRPr="00A92DE4">
        <w:t>y</w:t>
      </w:r>
      <w:r w:rsidRPr="00A92DE4">
        <w:t>, Ital</w:t>
      </w:r>
      <w:r w:rsidR="008E0C64" w:rsidRPr="00A92DE4">
        <w:t>y</w:t>
      </w:r>
      <w:r w:rsidRPr="00A92DE4">
        <w:t xml:space="preserve"> and Russia</w:t>
      </w:r>
      <w:r w:rsidR="008E0C64" w:rsidRPr="00A92DE4">
        <w:t>)</w:t>
      </w:r>
      <w:r w:rsidRPr="00A92DE4">
        <w:t xml:space="preserve"> had </w:t>
      </w:r>
      <w:r w:rsidR="00D5693D" w:rsidRPr="00A92DE4">
        <w:t xml:space="preserve">established Egyptological research </w:t>
      </w:r>
      <w:r w:rsidR="00A92DE4" w:rsidRPr="00A92DE4">
        <w:t xml:space="preserve">which </w:t>
      </w:r>
      <w:r w:rsidR="00D5693D" w:rsidRPr="00A92DE4">
        <w:t xml:space="preserve">focussed around </w:t>
      </w:r>
      <w:r w:rsidRPr="00A92DE4">
        <w:t>numerous prominent Egyptologists</w:t>
      </w:r>
      <w:r w:rsidRPr="00A92DE4">
        <w:rPr>
          <w:rStyle w:val="FootnoteReference"/>
        </w:rPr>
        <w:footnoteReference w:id="165"/>
      </w:r>
      <w:r w:rsidRPr="00A92DE4">
        <w:t>, it was not till 1930’s when American Egyptologists began to become pr</w:t>
      </w:r>
      <w:r w:rsidR="00383D8D" w:rsidRPr="00A92DE4">
        <w:t>evalent</w:t>
      </w:r>
      <w:r w:rsidRPr="00A92DE4">
        <w:rPr>
          <w:rStyle w:val="FootnoteReference"/>
        </w:rPr>
        <w:footnoteReference w:id="166"/>
      </w:r>
      <w:r w:rsidR="007554C0" w:rsidRPr="00A92DE4">
        <w:t xml:space="preserve">. </w:t>
      </w:r>
      <w:r w:rsidR="007554C0" w:rsidRPr="003B7D44">
        <w:t>Appendix C shows a full list of Egyptologists from Egyptians to Western</w:t>
      </w:r>
      <w:r w:rsidR="00A92DE4" w:rsidRPr="003B7D44">
        <w:t>er</w:t>
      </w:r>
      <w:r w:rsidR="007554C0" w:rsidRPr="003B7D44">
        <w:t>s</w:t>
      </w:r>
      <w:r w:rsidRPr="003B7D44">
        <w:t xml:space="preserve">. </w:t>
      </w:r>
      <w:r w:rsidR="0086567C" w:rsidRPr="003B7D44">
        <w:t xml:space="preserve">As can be seen from the list, </w:t>
      </w:r>
      <w:r w:rsidR="00656552" w:rsidRPr="003B7D44">
        <w:t xml:space="preserve">before Carter </w:t>
      </w:r>
      <w:r w:rsidR="0086567C" w:rsidRPr="003B7D44">
        <w:t>being an active archaeologist in Egypt,</w:t>
      </w:r>
      <w:r w:rsidR="00656552" w:rsidRPr="003B7D44">
        <w:t xml:space="preserve"> there was only evidence of two Egyptian Egyptologist </w:t>
      </w:r>
      <w:r w:rsidR="00656552" w:rsidRPr="003B7D44">
        <w:lastRenderedPageBreak/>
        <w:t>whereas there were eight western Egyptologists. In the 1920’s was when there was a peak of Egyptian Egyptologist.</w:t>
      </w:r>
      <w:r w:rsidR="00656552">
        <w:t xml:space="preserve"> </w:t>
      </w:r>
      <w:r w:rsidR="0086567C">
        <w:t xml:space="preserve"> </w:t>
      </w:r>
    </w:p>
    <w:p w14:paraId="30220B96" w14:textId="460EE504" w:rsidR="002117A2" w:rsidRPr="00A92DE4" w:rsidRDefault="002117A2" w:rsidP="002117A2">
      <w:pPr>
        <w:spacing w:line="360" w:lineRule="auto"/>
      </w:pPr>
      <w:r w:rsidRPr="00A92DE4">
        <w:t>‘Westerners created Egyptology and eventually taught it to the Egyptians’</w:t>
      </w:r>
      <w:r w:rsidRPr="00A92DE4">
        <w:rPr>
          <w:rStyle w:val="FootnoteReference"/>
        </w:rPr>
        <w:footnoteReference w:id="167"/>
      </w:r>
      <w:r w:rsidRPr="00A92DE4">
        <w:t xml:space="preserve">, this was not as simple as it seems which </w:t>
      </w:r>
      <w:r w:rsidR="00383D8D" w:rsidRPr="00A92DE4">
        <w:t xml:space="preserve">is </w:t>
      </w:r>
      <w:r w:rsidRPr="00A92DE4">
        <w:t>discussed further into this chapter. Before the discovery of Tutankhamun many Europeans had not been to Egypt and they relied on rare artefact displays</w:t>
      </w:r>
      <w:r w:rsidR="006C6D09" w:rsidRPr="00A92DE4">
        <w:t>, to present Egyptian artefacts, such</w:t>
      </w:r>
      <w:r w:rsidRPr="00A92DE4">
        <w:t xml:space="preserve"> as Giovanni Belzoni’s display in Piccadilly</w:t>
      </w:r>
      <w:r w:rsidRPr="00A92DE4">
        <w:rPr>
          <w:rStyle w:val="FootnoteReference"/>
        </w:rPr>
        <w:footnoteReference w:id="168"/>
      </w:r>
      <w:r w:rsidRPr="00A92DE4">
        <w:t xml:space="preserve">.  </w:t>
      </w:r>
    </w:p>
    <w:p w14:paraId="25233729" w14:textId="12740032" w:rsidR="002117A2" w:rsidRPr="00A92DE4" w:rsidRDefault="002117A2" w:rsidP="002117A2">
      <w:pPr>
        <w:pStyle w:val="ListParagraph"/>
        <w:spacing w:line="360" w:lineRule="auto"/>
        <w:ind w:left="1080"/>
        <w:rPr>
          <w:i/>
          <w:iCs/>
        </w:rPr>
      </w:pPr>
      <w:r w:rsidRPr="00A92DE4">
        <w:rPr>
          <w:i/>
          <w:iCs/>
        </w:rPr>
        <w:t xml:space="preserve">‘Europeans had the right </w:t>
      </w:r>
      <w:r w:rsidR="00934BEA" w:rsidRPr="00A92DE4">
        <w:rPr>
          <w:i/>
          <w:iCs/>
        </w:rPr>
        <w:t xml:space="preserve">to </w:t>
      </w:r>
      <w:r w:rsidRPr="00A92DE4">
        <w:rPr>
          <w:i/>
          <w:iCs/>
        </w:rPr>
        <w:t>excavate, study and export pharaonic remains however they see fit is rooted in an attitude that feels that, in the end, Egypt’s past does not really belong to its present-day inhabitants. Europeans have not just taken over the control of the recovery and reconstruction of the pharaonic past on a physical level but have also done on an ideological level’</w:t>
      </w:r>
      <w:r w:rsidRPr="00A92DE4">
        <w:rPr>
          <w:rStyle w:val="FootnoteReference"/>
          <w:i/>
          <w:iCs/>
        </w:rPr>
        <w:footnoteReference w:id="169"/>
      </w:r>
      <w:r w:rsidR="007554C0" w:rsidRPr="00A92DE4">
        <w:rPr>
          <w:i/>
          <w:iCs/>
        </w:rPr>
        <w:t>.</w:t>
      </w:r>
    </w:p>
    <w:p w14:paraId="3FBE7C68" w14:textId="27F66C5C" w:rsidR="002117A2" w:rsidRPr="00A92DE4" w:rsidRDefault="002117A2" w:rsidP="002117A2">
      <w:pPr>
        <w:spacing w:line="360" w:lineRule="auto"/>
      </w:pPr>
      <w:r w:rsidRPr="00A92DE4">
        <w:t>The discovery of Tutankhamun lead to a modern obsession with Egypt; people were visiting Egypt for the first time and buying Egyptian merchandise such as paintings and literature</w:t>
      </w:r>
      <w:r w:rsidRPr="00A92DE4">
        <w:rPr>
          <w:rStyle w:val="FootnoteReference"/>
        </w:rPr>
        <w:footnoteReference w:id="170"/>
      </w:r>
      <w:r w:rsidRPr="00A92DE4">
        <w:t xml:space="preserve">. The discovery also led to the golden age of Egyptology </w:t>
      </w:r>
      <w:r w:rsidR="009C07DA" w:rsidRPr="00A92DE4">
        <w:t>connected with</w:t>
      </w:r>
      <w:r w:rsidRPr="00A92DE4">
        <w:t xml:space="preserve"> aristocratic patrons</w:t>
      </w:r>
      <w:r w:rsidRPr="00A92DE4">
        <w:rPr>
          <w:rStyle w:val="FootnoteReference"/>
        </w:rPr>
        <w:footnoteReference w:id="171"/>
      </w:r>
      <w:r w:rsidRPr="00A92DE4">
        <w:t xml:space="preserve">. Western Egyptologists were </w:t>
      </w:r>
      <w:r w:rsidR="00965D84" w:rsidRPr="00A92DE4">
        <w:t>more prominent th</w:t>
      </w:r>
      <w:r w:rsidR="006C6D09" w:rsidRPr="00A92DE4">
        <w:t>an</w:t>
      </w:r>
      <w:r w:rsidR="00965D84" w:rsidRPr="00A92DE4">
        <w:t xml:space="preserve"> the </w:t>
      </w:r>
      <w:r w:rsidR="00BC7735" w:rsidRPr="00A92DE4">
        <w:t>Egyptian Egyptologist</w:t>
      </w:r>
      <w:r w:rsidR="006C6D09" w:rsidRPr="00A92DE4">
        <w:t xml:space="preserve">s </w:t>
      </w:r>
      <w:r w:rsidRPr="00A92DE4">
        <w:t>for two reasons; firstly ‘Islamic identity tended to crowd out feelings off kinships or curiosity about Egyptians’</w:t>
      </w:r>
      <w:r w:rsidRPr="00A92DE4">
        <w:rPr>
          <w:rStyle w:val="FootnoteReference"/>
        </w:rPr>
        <w:footnoteReference w:id="172"/>
      </w:r>
      <w:r w:rsidRPr="00A92DE4">
        <w:t xml:space="preserve"> and secondly because ‘Western imperial domination set back the growth of indigenous Egyptology, which might otherwise have taken root forty years before it did’</w:t>
      </w:r>
      <w:r w:rsidRPr="00A92DE4">
        <w:rPr>
          <w:rStyle w:val="FootnoteReference"/>
        </w:rPr>
        <w:footnoteReference w:id="173"/>
      </w:r>
      <w:r w:rsidRPr="00A92DE4">
        <w:t xml:space="preserve">. </w:t>
      </w:r>
    </w:p>
    <w:p w14:paraId="7BF17804" w14:textId="38F93237" w:rsidR="002117A2" w:rsidRPr="00B01390" w:rsidRDefault="0074615C" w:rsidP="002117A2">
      <w:pPr>
        <w:spacing w:line="360" w:lineRule="auto"/>
        <w:rPr>
          <w:highlight w:val="yellow"/>
        </w:rPr>
      </w:pPr>
      <w:r w:rsidRPr="003B7D44">
        <w:t xml:space="preserve">During WWI, Sultan Mehmed </w:t>
      </w:r>
      <w:proofErr w:type="spellStart"/>
      <w:r w:rsidRPr="003B7D44">
        <w:t>Reşad</w:t>
      </w:r>
      <w:proofErr w:type="spellEnd"/>
      <w:r w:rsidRPr="003B7D44">
        <w:rPr>
          <w:rStyle w:val="FootnoteReference"/>
        </w:rPr>
        <w:footnoteReference w:id="174"/>
      </w:r>
      <w:r w:rsidRPr="003B7D44">
        <w:t>, declared a military jihad (holy war) against Britain, France and Russia</w:t>
      </w:r>
      <w:r w:rsidRPr="003B7D44">
        <w:rPr>
          <w:rStyle w:val="FootnoteReference"/>
        </w:rPr>
        <w:footnoteReference w:id="175"/>
      </w:r>
      <w:r w:rsidRPr="003B7D44">
        <w:t>. The war ended with an armistice on the 31</w:t>
      </w:r>
      <w:r w:rsidRPr="003B7D44">
        <w:rPr>
          <w:vertAlign w:val="superscript"/>
        </w:rPr>
        <w:t>st</w:t>
      </w:r>
      <w:r w:rsidRPr="003B7D44">
        <w:t xml:space="preserve"> October 1918</w:t>
      </w:r>
      <w:r w:rsidRPr="003B7D44">
        <w:rPr>
          <w:rStyle w:val="FootnoteReference"/>
        </w:rPr>
        <w:footnoteReference w:id="176"/>
      </w:r>
      <w:r w:rsidRPr="003B7D44">
        <w:t xml:space="preserve">, with the </w:t>
      </w:r>
      <w:r w:rsidR="002117A2" w:rsidRPr="003B7D44">
        <w:t>Britain’s defeat resulting in the Middle East being in turmoil</w:t>
      </w:r>
      <w:r w:rsidR="002117A2" w:rsidRPr="003B7D44">
        <w:rPr>
          <w:rStyle w:val="FootnoteReference"/>
        </w:rPr>
        <w:footnoteReference w:id="177"/>
      </w:r>
      <w:r w:rsidR="002923FA" w:rsidRPr="003B7D44">
        <w:t>.</w:t>
      </w:r>
      <w:r w:rsidR="002117A2" w:rsidRPr="003B7D44">
        <w:t xml:space="preserve"> The Ottoman Empire</w:t>
      </w:r>
      <w:r w:rsidR="00BC7735" w:rsidRPr="003B7D44">
        <w:t>, which Egypt belong</w:t>
      </w:r>
      <w:r w:rsidR="00436E7E" w:rsidRPr="003B7D44">
        <w:t>ed</w:t>
      </w:r>
      <w:r w:rsidR="00BC7735" w:rsidRPr="003B7D44">
        <w:t xml:space="preserve"> to at the time,</w:t>
      </w:r>
      <w:r w:rsidR="002117A2" w:rsidRPr="003B7D44">
        <w:t xml:space="preserve"> had hoped this war would </w:t>
      </w:r>
      <w:r w:rsidR="00770654" w:rsidRPr="003B7D44">
        <w:t>result in</w:t>
      </w:r>
      <w:r w:rsidR="002117A2" w:rsidRPr="003B7D44">
        <w:t xml:space="preserve"> their independence</w:t>
      </w:r>
      <w:r w:rsidR="00770654" w:rsidRPr="003B7D44">
        <w:t xml:space="preserve"> not only from the Ottoman Empire but also every other colonial force. </w:t>
      </w:r>
      <w:r w:rsidR="002117A2" w:rsidRPr="003B7D44">
        <w:t xml:space="preserve"> </w:t>
      </w:r>
      <w:r w:rsidR="006C6D09" w:rsidRPr="003B7D44">
        <w:t>T</w:t>
      </w:r>
      <w:r w:rsidR="002117A2" w:rsidRPr="003B7D44">
        <w:t>he</w:t>
      </w:r>
      <w:r w:rsidR="002117A2" w:rsidRPr="00B01390">
        <w:t xml:space="preserve"> British government wanted to keep control o</w:t>
      </w:r>
      <w:r w:rsidR="00770654" w:rsidRPr="00B01390">
        <w:t xml:space="preserve">ver </w:t>
      </w:r>
      <w:r w:rsidR="002117A2" w:rsidRPr="00B01390">
        <w:t>the profitable and strategically important Suez Canal</w:t>
      </w:r>
      <w:r w:rsidR="002117A2" w:rsidRPr="00B01390">
        <w:rPr>
          <w:rStyle w:val="FootnoteReference"/>
        </w:rPr>
        <w:footnoteReference w:id="178"/>
      </w:r>
      <w:r w:rsidR="002117A2" w:rsidRPr="00B01390">
        <w:t xml:space="preserve">, Egypt got </w:t>
      </w:r>
      <w:r w:rsidR="00A2672E" w:rsidRPr="00B01390">
        <w:t xml:space="preserve">only </w:t>
      </w:r>
      <w:r w:rsidR="002117A2" w:rsidRPr="00B01390">
        <w:t>partial independence</w:t>
      </w:r>
      <w:r w:rsidR="00A2672E" w:rsidRPr="00B01390">
        <w:t xml:space="preserve"> in February 1922</w:t>
      </w:r>
      <w:r w:rsidR="000E6455" w:rsidRPr="00B01390">
        <w:rPr>
          <w:rStyle w:val="FootnoteReference"/>
        </w:rPr>
        <w:footnoteReference w:id="179"/>
      </w:r>
      <w:r w:rsidR="002117A2" w:rsidRPr="00B01390">
        <w:t xml:space="preserve"> </w:t>
      </w:r>
      <w:r w:rsidR="000E6455" w:rsidRPr="003B7D44">
        <w:lastRenderedPageBreak/>
        <w:t>with</w:t>
      </w:r>
      <w:r w:rsidR="002117A2" w:rsidRPr="003B7D44">
        <w:t xml:space="preserve"> the British in control of the Suez Canal, and British advisers in every ministry</w:t>
      </w:r>
      <w:r w:rsidR="002117A2" w:rsidRPr="003B7D44">
        <w:rPr>
          <w:rStyle w:val="FootnoteReference"/>
        </w:rPr>
        <w:footnoteReference w:id="180"/>
      </w:r>
      <w:r w:rsidR="003E6AF2" w:rsidRPr="003B7D44">
        <w:t>, the restrictions of this partial independence can be seen in appendix D</w:t>
      </w:r>
      <w:r w:rsidR="002117A2" w:rsidRPr="003B7D44">
        <w:t>.</w:t>
      </w:r>
      <w:r w:rsidR="00656552" w:rsidRPr="003B7D44">
        <w:t xml:space="preserve"> </w:t>
      </w:r>
      <w:r w:rsidR="00296EE8" w:rsidRPr="003B7D44">
        <w:t>The list of restrictions</w:t>
      </w:r>
      <w:r w:rsidR="00656552" w:rsidRPr="003B7D44">
        <w:t xml:space="preserve"> unsurprisingly </w:t>
      </w:r>
      <w:r w:rsidR="00CD659E" w:rsidRPr="003B7D44">
        <w:t>shows</w:t>
      </w:r>
      <w:r w:rsidR="00656552" w:rsidRPr="003B7D44">
        <w:t xml:space="preserve"> </w:t>
      </w:r>
      <w:r w:rsidR="00296EE8" w:rsidRPr="003B7D44">
        <w:t>British imperialism</w:t>
      </w:r>
      <w:r w:rsidR="003B7D44">
        <w:t xml:space="preserve">, for example British advisers in </w:t>
      </w:r>
      <w:r w:rsidR="00611F97">
        <w:t xml:space="preserve">Egyptian </w:t>
      </w:r>
      <w:r w:rsidR="003B7D44">
        <w:t>ministries.</w:t>
      </w:r>
      <w:r w:rsidR="002117A2" w:rsidRPr="003B7D44">
        <w:t xml:space="preserve"> Marlowe argues that the British</w:t>
      </w:r>
      <w:r w:rsidR="002117A2" w:rsidRPr="00B01390">
        <w:t xml:space="preserve"> wanted to keep the canal under their power</w:t>
      </w:r>
      <w:r w:rsidR="006C6D09" w:rsidRPr="00B01390">
        <w:t xml:space="preserve"> </w:t>
      </w:r>
      <w:r w:rsidR="00CD659E" w:rsidRPr="00B01390">
        <w:t>to</w:t>
      </w:r>
      <w:r w:rsidR="002117A2" w:rsidRPr="00B01390">
        <w:t xml:space="preserve"> develop</w:t>
      </w:r>
      <w:r w:rsidR="00240FC2" w:rsidRPr="00B01390">
        <w:t xml:space="preserve"> </w:t>
      </w:r>
      <w:r w:rsidR="002117A2" w:rsidRPr="00B01390">
        <w:t>the British trading routes</w:t>
      </w:r>
      <w:r w:rsidR="002117A2" w:rsidRPr="00B01390">
        <w:rPr>
          <w:rStyle w:val="FootnoteReference"/>
        </w:rPr>
        <w:footnoteReference w:id="181"/>
      </w:r>
      <w:r w:rsidR="002117A2" w:rsidRPr="00B01390">
        <w:t xml:space="preserve"> . </w:t>
      </w:r>
    </w:p>
    <w:p w14:paraId="2A585200" w14:textId="02C5DEAD" w:rsidR="002117A2" w:rsidRPr="00B01390" w:rsidRDefault="002117A2" w:rsidP="002117A2">
      <w:pPr>
        <w:spacing w:line="360" w:lineRule="auto"/>
      </w:pPr>
      <w:r w:rsidRPr="00B01390">
        <w:t xml:space="preserve">The British </w:t>
      </w:r>
      <w:r w:rsidR="006C6D09" w:rsidRPr="00B01390">
        <w:t xml:space="preserve">occupied </w:t>
      </w:r>
      <w:r w:rsidRPr="00B01390">
        <w:t>Egypt from 1822 to 1952</w:t>
      </w:r>
      <w:r w:rsidR="00240FC2" w:rsidRPr="00B01390">
        <w:t>,</w:t>
      </w:r>
      <w:r w:rsidRPr="00B01390">
        <w:t xml:space="preserve"> when Egypt </w:t>
      </w:r>
      <w:r w:rsidR="00240FC2" w:rsidRPr="00B01390">
        <w:t xml:space="preserve">finally </w:t>
      </w:r>
      <w:r w:rsidRPr="00B01390">
        <w:t>achieved full independence</w:t>
      </w:r>
      <w:r w:rsidRPr="00B01390">
        <w:rPr>
          <w:rStyle w:val="FootnoteReference"/>
        </w:rPr>
        <w:footnoteReference w:id="182"/>
      </w:r>
      <w:r w:rsidRPr="00B01390">
        <w:t xml:space="preserve">. </w:t>
      </w:r>
      <w:r w:rsidR="00AA73AA" w:rsidRPr="00B01390">
        <w:t xml:space="preserve"> </w:t>
      </w:r>
      <w:r w:rsidRPr="00B01390">
        <w:t xml:space="preserve">Egypt has never been </w:t>
      </w:r>
      <w:r w:rsidR="00A271BC" w:rsidRPr="00B01390">
        <w:t>officially a</w:t>
      </w:r>
      <w:r w:rsidRPr="00B01390">
        <w:t xml:space="preserve"> British colony even though the country was occupied by British troops since 1882</w:t>
      </w:r>
      <w:r w:rsidRPr="00B01390">
        <w:rPr>
          <w:rStyle w:val="FootnoteReference"/>
        </w:rPr>
        <w:footnoteReference w:id="183"/>
      </w:r>
      <w:r w:rsidRPr="00B01390">
        <w:t>. The EAS was under French control for 94 years</w:t>
      </w:r>
      <w:r w:rsidR="00CE505F" w:rsidRPr="00B01390">
        <w:t xml:space="preserve"> until</w:t>
      </w:r>
      <w:r w:rsidRPr="00B01390">
        <w:t>; Mustafa Amer</w:t>
      </w:r>
      <w:r w:rsidR="00CE505F" w:rsidRPr="00B01390">
        <w:t xml:space="preserve">, </w:t>
      </w:r>
      <w:r w:rsidRPr="00B01390">
        <w:t xml:space="preserve">the president of Alexandria </w:t>
      </w:r>
      <w:r w:rsidR="00CE505F" w:rsidRPr="00B01390">
        <w:t xml:space="preserve">University, became </w:t>
      </w:r>
      <w:r w:rsidRPr="00B01390">
        <w:t>the first Egyptian to be head of the EAS</w:t>
      </w:r>
      <w:r w:rsidRPr="00B01390">
        <w:rPr>
          <w:rStyle w:val="FootnoteReference"/>
        </w:rPr>
        <w:footnoteReference w:id="184"/>
      </w:r>
      <w:r w:rsidRPr="00B01390">
        <w:t xml:space="preserve"> </w:t>
      </w:r>
      <w:r w:rsidR="00CE505F" w:rsidRPr="00B01390">
        <w:t xml:space="preserve">between </w:t>
      </w:r>
      <w:r w:rsidRPr="00B01390">
        <w:t>1953 to 1956</w:t>
      </w:r>
      <w:r w:rsidRPr="00B01390">
        <w:rPr>
          <w:rStyle w:val="FootnoteReference"/>
        </w:rPr>
        <w:footnoteReference w:id="185"/>
      </w:r>
      <w:r w:rsidRPr="00B01390">
        <w:t xml:space="preserve">. In 1983, </w:t>
      </w:r>
      <w:r w:rsidR="00CE505F" w:rsidRPr="00B01390">
        <w:t>a new</w:t>
      </w:r>
      <w:r w:rsidRPr="00B01390">
        <w:t xml:space="preserve"> Egyptian law</w:t>
      </w:r>
      <w:r w:rsidR="00823E11" w:rsidRPr="00B01390">
        <w:t>-</w:t>
      </w:r>
      <w:r w:rsidRPr="00B01390">
        <w:t>number</w:t>
      </w:r>
      <w:r w:rsidR="00823E11" w:rsidRPr="00B01390">
        <w:t>-</w:t>
      </w:r>
      <w:r w:rsidRPr="00B01390">
        <w:t>117 stated that</w:t>
      </w:r>
      <w:r w:rsidR="00637AED">
        <w:t xml:space="preserve"> all antiquities found in Egypt belonged to the state, regardless of who the discoverer was, and the antiquities could not leave Egypt without government permission</w:t>
      </w:r>
      <w:r w:rsidRPr="00B01390">
        <w:rPr>
          <w:rStyle w:val="FootnoteReference"/>
        </w:rPr>
        <w:footnoteReference w:id="186"/>
      </w:r>
      <w:r w:rsidRPr="00B01390">
        <w:t>. I</w:t>
      </w:r>
      <w:r w:rsidR="00823E11" w:rsidRPr="00B01390">
        <w:t>nterestingly</w:t>
      </w:r>
      <w:r w:rsidRPr="00B01390">
        <w:t xml:space="preserve"> this law was not enforced until </w:t>
      </w:r>
      <w:r w:rsidR="00FC661A" w:rsidRPr="00B01390">
        <w:t>61</w:t>
      </w:r>
      <w:r w:rsidRPr="00B01390">
        <w:t xml:space="preserve"> years after the discovery of</w:t>
      </w:r>
      <w:r w:rsidR="007420FE" w:rsidRPr="00B01390">
        <w:t xml:space="preserve"> the tomb of</w:t>
      </w:r>
      <w:r w:rsidRPr="00B01390">
        <w:t xml:space="preserve"> Tutankhamun. </w:t>
      </w:r>
      <w:r w:rsidR="00E459FB" w:rsidRPr="00B01390">
        <w:t xml:space="preserve">This showed that </w:t>
      </w:r>
      <w:r w:rsidRPr="00B01390">
        <w:t xml:space="preserve">Egypt was well under the control of the French and the British. </w:t>
      </w:r>
    </w:p>
    <w:p w14:paraId="756D3CC3" w14:textId="717531EB" w:rsidR="007D3379" w:rsidRPr="00B01390" w:rsidRDefault="002117A2" w:rsidP="007554C0">
      <w:pPr>
        <w:spacing w:line="360" w:lineRule="auto"/>
      </w:pPr>
      <w:r w:rsidRPr="00B01390">
        <w:t>Ahmad Kamal</w:t>
      </w:r>
      <w:r w:rsidR="007420FE" w:rsidRPr="00B01390">
        <w:t>,</w:t>
      </w:r>
      <w:r w:rsidRPr="00B01390">
        <w:t xml:space="preserve"> a retired member of the EAS, complained to the Sultan of Egypt, </w:t>
      </w:r>
      <w:proofErr w:type="spellStart"/>
      <w:r w:rsidRPr="00B01390">
        <w:t>Fu</w:t>
      </w:r>
      <w:r w:rsidR="00CD659E">
        <w:t>’</w:t>
      </w:r>
      <w:r w:rsidRPr="00B01390">
        <w:t>ad</w:t>
      </w:r>
      <w:proofErr w:type="spellEnd"/>
      <w:r w:rsidR="006C6D09" w:rsidRPr="00B01390">
        <w:t xml:space="preserve">, </w:t>
      </w:r>
      <w:r w:rsidRPr="00B01390">
        <w:t xml:space="preserve">that </w:t>
      </w:r>
      <w:r w:rsidR="00B43FD2" w:rsidRPr="00B01390">
        <w:t>Egyptians were not able to</w:t>
      </w:r>
      <w:r w:rsidR="00560301" w:rsidRPr="00B01390">
        <w:t xml:space="preserve"> have any responsible positions in regard to the antiquity service</w:t>
      </w:r>
      <w:r w:rsidR="00EE1B24" w:rsidRPr="00B01390">
        <w:t xml:space="preserve">; this may have </w:t>
      </w:r>
      <w:r w:rsidR="006C6D09" w:rsidRPr="00600DF6">
        <w:t>given</w:t>
      </w:r>
      <w:r w:rsidR="00EE1B24" w:rsidRPr="00600DF6">
        <w:t xml:space="preserve"> pharaonism </w:t>
      </w:r>
      <w:r w:rsidR="00461E92" w:rsidRPr="00600DF6">
        <w:t>the boost it needed</w:t>
      </w:r>
      <w:r w:rsidRPr="00600DF6">
        <w:rPr>
          <w:rStyle w:val="FootnoteReference"/>
        </w:rPr>
        <w:footnoteReference w:id="187"/>
      </w:r>
      <w:r w:rsidRPr="00600DF6">
        <w:t xml:space="preserve"> a</w:t>
      </w:r>
      <w:r w:rsidR="00352341" w:rsidRPr="00600DF6">
        <w:t xml:space="preserve">s </w:t>
      </w:r>
      <w:r w:rsidRPr="00600DF6">
        <w:t>the Europeans prevented Egyptians from studying their heritage</w:t>
      </w:r>
      <w:r w:rsidRPr="00600DF6">
        <w:rPr>
          <w:rStyle w:val="FootnoteReference"/>
        </w:rPr>
        <w:footnoteReference w:id="188"/>
      </w:r>
      <w:r w:rsidRPr="00600DF6">
        <w:t>.</w:t>
      </w:r>
      <w:r w:rsidR="00637AED" w:rsidRPr="00600DF6">
        <w:t xml:space="preserve"> If there was to be a rise of Egyptian Egyptologists, it would have shown that Egyptians were beginning to take an interest into their heritage and culture origin, and would be able to compete with European perspective of ancient Egypt.  </w:t>
      </w:r>
      <w:r w:rsidRPr="00600DF6">
        <w:t>Kamal taught the history of ancient Egypt and the Near East at a newly founded private university in</w:t>
      </w:r>
      <w:r w:rsidRPr="00B01390">
        <w:t xml:space="preserve"> Egypt from 1908 to 1909</w:t>
      </w:r>
      <w:r w:rsidRPr="00B01390">
        <w:rPr>
          <w:rStyle w:val="FootnoteReference"/>
        </w:rPr>
        <w:footnoteReference w:id="189"/>
      </w:r>
      <w:r w:rsidRPr="00B01390">
        <w:t xml:space="preserve">. </w:t>
      </w:r>
      <w:r w:rsidR="003417BA" w:rsidRPr="00B01390">
        <w:t>He believed that Egypt needed their own Egyptologists</w:t>
      </w:r>
      <w:r w:rsidR="00F77752" w:rsidRPr="00B01390">
        <w:rPr>
          <w:rStyle w:val="FootnoteReference"/>
        </w:rPr>
        <w:footnoteReference w:id="190"/>
      </w:r>
      <w:r w:rsidR="00F77752" w:rsidRPr="00B01390">
        <w:t xml:space="preserve">. </w:t>
      </w:r>
      <w:r w:rsidRPr="00B01390">
        <w:t xml:space="preserve">His first class graduated in 1912, ‘but the foreign dominated antiquities department once again thwarted </w:t>
      </w:r>
      <w:proofErr w:type="spellStart"/>
      <w:r w:rsidRPr="00B01390">
        <w:t>Kamals</w:t>
      </w:r>
      <w:proofErr w:type="spellEnd"/>
      <w:r w:rsidRPr="00B01390">
        <w:t xml:space="preserve"> efforts to find them jobs there’</w:t>
      </w:r>
      <w:r w:rsidRPr="00B01390">
        <w:rPr>
          <w:rStyle w:val="FootnoteReference"/>
        </w:rPr>
        <w:footnoteReference w:id="191"/>
      </w:r>
      <w:r w:rsidRPr="00B01390">
        <w:t xml:space="preserve">. This programme was discontinued by the </w:t>
      </w:r>
      <w:r w:rsidR="00CD659E">
        <w:t xml:space="preserve">Egyptian </w:t>
      </w:r>
      <w:r w:rsidRPr="00B01390">
        <w:t>government in 1913</w:t>
      </w:r>
      <w:r w:rsidRPr="00B01390">
        <w:rPr>
          <w:rStyle w:val="FootnoteReference"/>
        </w:rPr>
        <w:footnoteReference w:id="192"/>
      </w:r>
      <w:r w:rsidRPr="00B01390">
        <w:t>. Kamal retired in 1914</w:t>
      </w:r>
      <w:r w:rsidRPr="00B01390">
        <w:rPr>
          <w:rStyle w:val="FootnoteReference"/>
        </w:rPr>
        <w:footnoteReference w:id="193"/>
      </w:r>
      <w:r w:rsidRPr="00B01390">
        <w:t xml:space="preserve">, however his efforts for Egyptians to be trained as Egyptologists continued right up to his death in </w:t>
      </w:r>
      <w:r w:rsidRPr="00B01390">
        <w:lastRenderedPageBreak/>
        <w:t>1923</w:t>
      </w:r>
      <w:r w:rsidRPr="00B01390">
        <w:rPr>
          <w:rStyle w:val="FootnoteReference"/>
        </w:rPr>
        <w:footnoteReference w:id="194"/>
      </w:r>
      <w:r w:rsidRPr="00B01390">
        <w:t>. All of Kamal’s efforts did not go to waste; on the day he died, ‘the government decreed the founding of an Egyptological school at the higher teacher’s college and named Kamal as director’</w:t>
      </w:r>
      <w:r w:rsidRPr="00B01390">
        <w:rPr>
          <w:rStyle w:val="FootnoteReference"/>
        </w:rPr>
        <w:footnoteReference w:id="195"/>
      </w:r>
      <w:r w:rsidRPr="00B01390">
        <w:t xml:space="preserve">. </w:t>
      </w:r>
      <w:r w:rsidRPr="00611F97">
        <w:t>Within a few months after Kamal’s death the school opened</w:t>
      </w:r>
      <w:r w:rsidRPr="00611F97">
        <w:rPr>
          <w:rStyle w:val="FootnoteReference"/>
        </w:rPr>
        <w:footnoteReference w:id="196"/>
      </w:r>
      <w:r w:rsidRPr="00611F97">
        <w:t>, the first class graduating in 1928</w:t>
      </w:r>
      <w:r w:rsidRPr="00611F97">
        <w:rPr>
          <w:rStyle w:val="FootnoteReference"/>
        </w:rPr>
        <w:footnoteReference w:id="197"/>
      </w:r>
      <w:r w:rsidRPr="00611F97">
        <w:t xml:space="preserve">. </w:t>
      </w:r>
      <w:r w:rsidR="00352341" w:rsidRPr="00611F97">
        <w:t>The official opening of an Egyptological school for Egyptians was important; the Egyptian government was showing control over education for Egyptians and that European’s no longer had the power to diminish the teaching of Egyptology to Egyptian.</w:t>
      </w:r>
      <w:r w:rsidR="00352341" w:rsidRPr="00B01390">
        <w:t xml:space="preserve"> </w:t>
      </w:r>
    </w:p>
    <w:p w14:paraId="6C6163F8" w14:textId="77777777" w:rsidR="00296EE8" w:rsidRDefault="00296EE8" w:rsidP="007D3379">
      <w:pPr>
        <w:jc w:val="center"/>
        <w:rPr>
          <w:b/>
          <w:bCs/>
          <w:sz w:val="28"/>
          <w:szCs w:val="28"/>
          <w:u w:val="single"/>
        </w:rPr>
      </w:pPr>
    </w:p>
    <w:p w14:paraId="466C5CC6" w14:textId="77777777" w:rsidR="00296EE8" w:rsidRDefault="00296EE8" w:rsidP="007D3379">
      <w:pPr>
        <w:jc w:val="center"/>
        <w:rPr>
          <w:b/>
          <w:bCs/>
          <w:sz w:val="28"/>
          <w:szCs w:val="28"/>
          <w:u w:val="single"/>
        </w:rPr>
      </w:pPr>
    </w:p>
    <w:p w14:paraId="3AB0C957" w14:textId="77777777" w:rsidR="00296EE8" w:rsidRDefault="00296EE8" w:rsidP="007D3379">
      <w:pPr>
        <w:jc w:val="center"/>
        <w:rPr>
          <w:b/>
          <w:bCs/>
          <w:sz w:val="28"/>
          <w:szCs w:val="28"/>
          <w:u w:val="single"/>
        </w:rPr>
      </w:pPr>
    </w:p>
    <w:p w14:paraId="595F069F" w14:textId="77777777" w:rsidR="00296EE8" w:rsidRDefault="00296EE8" w:rsidP="007D3379">
      <w:pPr>
        <w:jc w:val="center"/>
        <w:rPr>
          <w:b/>
          <w:bCs/>
          <w:sz w:val="28"/>
          <w:szCs w:val="28"/>
          <w:u w:val="single"/>
        </w:rPr>
      </w:pPr>
    </w:p>
    <w:p w14:paraId="3947D0ED" w14:textId="77777777" w:rsidR="00296EE8" w:rsidRDefault="00296EE8" w:rsidP="007D3379">
      <w:pPr>
        <w:jc w:val="center"/>
        <w:rPr>
          <w:b/>
          <w:bCs/>
          <w:sz w:val="28"/>
          <w:szCs w:val="28"/>
          <w:u w:val="single"/>
        </w:rPr>
      </w:pPr>
    </w:p>
    <w:p w14:paraId="53B74D92" w14:textId="77777777" w:rsidR="00296EE8" w:rsidRDefault="00296EE8" w:rsidP="007D3379">
      <w:pPr>
        <w:jc w:val="center"/>
        <w:rPr>
          <w:b/>
          <w:bCs/>
          <w:sz w:val="28"/>
          <w:szCs w:val="28"/>
          <w:u w:val="single"/>
        </w:rPr>
      </w:pPr>
    </w:p>
    <w:p w14:paraId="21E17CC1" w14:textId="77777777" w:rsidR="00296EE8" w:rsidRDefault="00296EE8" w:rsidP="007D3379">
      <w:pPr>
        <w:jc w:val="center"/>
        <w:rPr>
          <w:b/>
          <w:bCs/>
          <w:sz w:val="28"/>
          <w:szCs w:val="28"/>
          <w:u w:val="single"/>
        </w:rPr>
      </w:pPr>
    </w:p>
    <w:p w14:paraId="413E25D1" w14:textId="77777777" w:rsidR="00296EE8" w:rsidRDefault="00296EE8" w:rsidP="007D3379">
      <w:pPr>
        <w:jc w:val="center"/>
        <w:rPr>
          <w:b/>
          <w:bCs/>
          <w:sz w:val="28"/>
          <w:szCs w:val="28"/>
          <w:u w:val="single"/>
        </w:rPr>
      </w:pPr>
    </w:p>
    <w:p w14:paraId="3CDC7216" w14:textId="77777777" w:rsidR="00296EE8" w:rsidRDefault="00296EE8" w:rsidP="007D3379">
      <w:pPr>
        <w:jc w:val="center"/>
        <w:rPr>
          <w:b/>
          <w:bCs/>
          <w:sz w:val="28"/>
          <w:szCs w:val="28"/>
          <w:u w:val="single"/>
        </w:rPr>
      </w:pPr>
    </w:p>
    <w:p w14:paraId="6A830A2C" w14:textId="77777777" w:rsidR="00296EE8" w:rsidRDefault="00296EE8" w:rsidP="007D3379">
      <w:pPr>
        <w:jc w:val="center"/>
        <w:rPr>
          <w:b/>
          <w:bCs/>
          <w:sz w:val="28"/>
          <w:szCs w:val="28"/>
          <w:u w:val="single"/>
        </w:rPr>
      </w:pPr>
    </w:p>
    <w:p w14:paraId="2D3B29CE" w14:textId="77777777" w:rsidR="00296EE8" w:rsidRDefault="00296EE8" w:rsidP="007D3379">
      <w:pPr>
        <w:jc w:val="center"/>
        <w:rPr>
          <w:b/>
          <w:bCs/>
          <w:sz w:val="28"/>
          <w:szCs w:val="28"/>
          <w:u w:val="single"/>
        </w:rPr>
      </w:pPr>
    </w:p>
    <w:p w14:paraId="3A53BE18" w14:textId="77777777" w:rsidR="00296EE8" w:rsidRDefault="00296EE8" w:rsidP="007D3379">
      <w:pPr>
        <w:jc w:val="center"/>
        <w:rPr>
          <w:b/>
          <w:bCs/>
          <w:sz w:val="28"/>
          <w:szCs w:val="28"/>
          <w:u w:val="single"/>
        </w:rPr>
      </w:pPr>
    </w:p>
    <w:p w14:paraId="43E54269" w14:textId="77777777" w:rsidR="00296EE8" w:rsidRDefault="00296EE8" w:rsidP="007D3379">
      <w:pPr>
        <w:jc w:val="center"/>
        <w:rPr>
          <w:b/>
          <w:bCs/>
          <w:sz w:val="28"/>
          <w:szCs w:val="28"/>
          <w:u w:val="single"/>
        </w:rPr>
      </w:pPr>
    </w:p>
    <w:p w14:paraId="038FAFA7" w14:textId="77777777" w:rsidR="00296EE8" w:rsidRDefault="00296EE8" w:rsidP="007D3379">
      <w:pPr>
        <w:jc w:val="center"/>
        <w:rPr>
          <w:b/>
          <w:bCs/>
          <w:sz w:val="28"/>
          <w:szCs w:val="28"/>
          <w:u w:val="single"/>
        </w:rPr>
      </w:pPr>
    </w:p>
    <w:p w14:paraId="7FF9720B" w14:textId="77777777" w:rsidR="00296EE8" w:rsidRDefault="00296EE8" w:rsidP="007D3379">
      <w:pPr>
        <w:jc w:val="center"/>
        <w:rPr>
          <w:b/>
          <w:bCs/>
          <w:sz w:val="28"/>
          <w:szCs w:val="28"/>
          <w:u w:val="single"/>
        </w:rPr>
      </w:pPr>
    </w:p>
    <w:p w14:paraId="4F28F999" w14:textId="77777777" w:rsidR="00296EE8" w:rsidRDefault="00296EE8" w:rsidP="007D3379">
      <w:pPr>
        <w:jc w:val="center"/>
        <w:rPr>
          <w:b/>
          <w:bCs/>
          <w:sz w:val="28"/>
          <w:szCs w:val="28"/>
          <w:u w:val="single"/>
        </w:rPr>
      </w:pPr>
    </w:p>
    <w:p w14:paraId="7858825B" w14:textId="77777777" w:rsidR="00296EE8" w:rsidRDefault="00296EE8" w:rsidP="007D3379">
      <w:pPr>
        <w:jc w:val="center"/>
        <w:rPr>
          <w:b/>
          <w:bCs/>
          <w:sz w:val="28"/>
          <w:szCs w:val="28"/>
          <w:u w:val="single"/>
        </w:rPr>
      </w:pPr>
    </w:p>
    <w:p w14:paraId="3968BC5E" w14:textId="77777777" w:rsidR="00296EE8" w:rsidRDefault="00296EE8" w:rsidP="007D3379">
      <w:pPr>
        <w:jc w:val="center"/>
        <w:rPr>
          <w:b/>
          <w:bCs/>
          <w:sz w:val="28"/>
          <w:szCs w:val="28"/>
          <w:u w:val="single"/>
        </w:rPr>
      </w:pPr>
    </w:p>
    <w:p w14:paraId="4A98FDE6" w14:textId="77777777" w:rsidR="00296EE8" w:rsidRDefault="00296EE8" w:rsidP="00A47C65">
      <w:pPr>
        <w:rPr>
          <w:b/>
          <w:bCs/>
          <w:sz w:val="28"/>
          <w:szCs w:val="28"/>
          <w:u w:val="single"/>
        </w:rPr>
      </w:pPr>
    </w:p>
    <w:p w14:paraId="4813644E" w14:textId="114CCE74" w:rsidR="002117A2" w:rsidRPr="00B01390" w:rsidRDefault="00105905" w:rsidP="007D3379">
      <w:pPr>
        <w:jc w:val="center"/>
        <w:rPr>
          <w:b/>
          <w:bCs/>
          <w:sz w:val="28"/>
          <w:szCs w:val="28"/>
          <w:u w:val="single"/>
        </w:rPr>
      </w:pPr>
      <w:r w:rsidRPr="00B01390">
        <w:rPr>
          <w:b/>
          <w:bCs/>
          <w:sz w:val="28"/>
          <w:szCs w:val="28"/>
          <w:u w:val="single"/>
        </w:rPr>
        <w:lastRenderedPageBreak/>
        <w:t>Chapter 3 – Modern and global presence</w:t>
      </w:r>
    </w:p>
    <w:p w14:paraId="2AFBCE24" w14:textId="61B7C171" w:rsidR="002117A2" w:rsidRPr="00B01390" w:rsidRDefault="002117A2" w:rsidP="002117A2">
      <w:pPr>
        <w:spacing w:line="360" w:lineRule="auto"/>
        <w:rPr>
          <w:color w:val="000000" w:themeColor="text1"/>
        </w:rPr>
      </w:pPr>
      <w:r w:rsidRPr="00B01390">
        <w:rPr>
          <w:color w:val="000000" w:themeColor="text1"/>
        </w:rPr>
        <w:t>One debate around museums and their exhibitions is whether it is for the general public or for the educated, ‘many continue to argue that simply having artefacts proves the educational worth of an exhibition, so the greater the number of pieces, the more educational the exhibit’</w:t>
      </w:r>
      <w:r w:rsidRPr="00B01390">
        <w:rPr>
          <w:rStyle w:val="FootnoteReference"/>
          <w:color w:val="000000" w:themeColor="text1"/>
        </w:rPr>
        <w:footnoteReference w:id="198"/>
      </w:r>
      <w:r w:rsidRPr="00B01390">
        <w:rPr>
          <w:color w:val="000000" w:themeColor="text1"/>
        </w:rPr>
        <w:t>. For example, the ‘British Museum was not intended to educate the general public rather it was a place for scientists to consult specimens, antiquarians to study the documents and material remains of the past and for aesthet</w:t>
      </w:r>
      <w:r w:rsidR="00C549EF" w:rsidRPr="00B01390">
        <w:rPr>
          <w:color w:val="000000" w:themeColor="text1"/>
        </w:rPr>
        <w:t>e</w:t>
      </w:r>
      <w:r w:rsidRPr="00B01390">
        <w:rPr>
          <w:color w:val="000000" w:themeColor="text1"/>
        </w:rPr>
        <w:t>s and artists to contemplate the merits of ancient arts’</w:t>
      </w:r>
      <w:r w:rsidRPr="00B01390">
        <w:rPr>
          <w:rStyle w:val="FootnoteReference"/>
          <w:color w:val="000000" w:themeColor="text1"/>
        </w:rPr>
        <w:footnoteReference w:id="199"/>
      </w:r>
      <w:r w:rsidRPr="00B01390">
        <w:rPr>
          <w:color w:val="000000" w:themeColor="text1"/>
        </w:rPr>
        <w:t>.</w:t>
      </w:r>
      <w:r w:rsidR="007D3379" w:rsidRPr="00B01390">
        <w:rPr>
          <w:color w:val="000000" w:themeColor="text1"/>
        </w:rPr>
        <w:t xml:space="preserve"> Museums could also </w:t>
      </w:r>
      <w:proofErr w:type="gramStart"/>
      <w:r w:rsidR="007D3379" w:rsidRPr="00B01390">
        <w:rPr>
          <w:color w:val="000000" w:themeColor="text1"/>
        </w:rPr>
        <w:t>be considered to be</w:t>
      </w:r>
      <w:proofErr w:type="gramEnd"/>
      <w:r w:rsidR="007D3379" w:rsidRPr="00B01390">
        <w:rPr>
          <w:color w:val="000000" w:themeColor="text1"/>
        </w:rPr>
        <w:t xml:space="preserve"> storage facilities for artefacts removed from other cultures. </w:t>
      </w:r>
    </w:p>
    <w:p w14:paraId="7E53B29A" w14:textId="3B29093C" w:rsidR="002117A2" w:rsidRPr="00611F97" w:rsidRDefault="002117A2" w:rsidP="002117A2">
      <w:pPr>
        <w:spacing w:line="360" w:lineRule="auto"/>
        <w:rPr>
          <w:color w:val="000000" w:themeColor="text1"/>
        </w:rPr>
      </w:pPr>
      <w:r w:rsidRPr="00611F97">
        <w:rPr>
          <w:color w:val="000000" w:themeColor="text1"/>
        </w:rPr>
        <w:t xml:space="preserve">In the early 1980’s, Egyptian officials sent out letters to </w:t>
      </w:r>
      <w:r w:rsidR="007D3379" w:rsidRPr="00611F97">
        <w:rPr>
          <w:color w:val="000000" w:themeColor="text1"/>
        </w:rPr>
        <w:t>30</w:t>
      </w:r>
      <w:r w:rsidRPr="00611F97">
        <w:rPr>
          <w:color w:val="000000" w:themeColor="text1"/>
        </w:rPr>
        <w:t xml:space="preserve"> museums requesting their artefacts to be returned, ‘only two replied, apologising for being unable to comply with the request’</w:t>
      </w:r>
      <w:r w:rsidRPr="00611F97">
        <w:rPr>
          <w:rStyle w:val="FootnoteReference"/>
          <w:color w:val="000000" w:themeColor="text1"/>
        </w:rPr>
        <w:footnoteReference w:id="200"/>
      </w:r>
      <w:r w:rsidRPr="00611F97">
        <w:rPr>
          <w:color w:val="000000" w:themeColor="text1"/>
        </w:rPr>
        <w:t xml:space="preserve">. The Egyptian </w:t>
      </w:r>
      <w:r w:rsidR="00D6386F" w:rsidRPr="00611F97">
        <w:rPr>
          <w:color w:val="000000" w:themeColor="text1"/>
        </w:rPr>
        <w:t>M</w:t>
      </w:r>
      <w:r w:rsidRPr="00611F97">
        <w:rPr>
          <w:color w:val="000000" w:themeColor="text1"/>
        </w:rPr>
        <w:t xml:space="preserve">useum in Cairo was where many of the </w:t>
      </w:r>
      <w:r w:rsidR="00D6386F" w:rsidRPr="00611F97">
        <w:rPr>
          <w:color w:val="000000" w:themeColor="text1"/>
        </w:rPr>
        <w:t xml:space="preserve">materials </w:t>
      </w:r>
      <w:r w:rsidRPr="00611F97">
        <w:rPr>
          <w:color w:val="000000" w:themeColor="text1"/>
        </w:rPr>
        <w:t>discover</w:t>
      </w:r>
      <w:r w:rsidR="00D6386F" w:rsidRPr="00611F97">
        <w:rPr>
          <w:color w:val="000000" w:themeColor="text1"/>
        </w:rPr>
        <w:t>ed</w:t>
      </w:r>
      <w:r w:rsidRPr="00611F97">
        <w:rPr>
          <w:color w:val="000000" w:themeColor="text1"/>
        </w:rPr>
        <w:t xml:space="preserve"> in Egypt after 1858 </w:t>
      </w:r>
      <w:r w:rsidR="00D6386F" w:rsidRPr="00611F97">
        <w:rPr>
          <w:color w:val="000000" w:themeColor="text1"/>
        </w:rPr>
        <w:t>were</w:t>
      </w:r>
      <w:r w:rsidRPr="00611F97">
        <w:rPr>
          <w:color w:val="000000" w:themeColor="text1"/>
        </w:rPr>
        <w:t xml:space="preserve"> stored</w:t>
      </w:r>
      <w:r w:rsidR="007D3379" w:rsidRPr="00611F97">
        <w:rPr>
          <w:color w:val="000000" w:themeColor="text1"/>
        </w:rPr>
        <w:t>, but not all Egyptian artefacts were in Cairo</w:t>
      </w:r>
      <w:r w:rsidRPr="00611F97">
        <w:rPr>
          <w:color w:val="000000" w:themeColor="text1"/>
        </w:rPr>
        <w:t>. The museum’s purpose was ‘to create a place where archaeologists were required to store their discoveries so that these pieces of history would not be taken out of the country’</w:t>
      </w:r>
      <w:r w:rsidRPr="00611F97">
        <w:rPr>
          <w:rStyle w:val="FootnoteReference"/>
          <w:color w:val="000000" w:themeColor="text1"/>
        </w:rPr>
        <w:footnoteReference w:id="201"/>
      </w:r>
      <w:r w:rsidRPr="00611F97">
        <w:rPr>
          <w:color w:val="000000" w:themeColor="text1"/>
        </w:rPr>
        <w:t>. It was not until the late</w:t>
      </w:r>
      <w:r w:rsidRPr="00B01390">
        <w:rPr>
          <w:color w:val="000000" w:themeColor="text1"/>
        </w:rPr>
        <w:t xml:space="preserve"> 1920’s that Cairo </w:t>
      </w:r>
      <w:r w:rsidR="00D6386F" w:rsidRPr="00B01390">
        <w:rPr>
          <w:color w:val="000000" w:themeColor="text1"/>
        </w:rPr>
        <w:t>M</w:t>
      </w:r>
      <w:r w:rsidRPr="00B01390">
        <w:rPr>
          <w:color w:val="000000" w:themeColor="text1"/>
        </w:rPr>
        <w:t>useum lent artefacts to other museums for exhibition</w:t>
      </w:r>
      <w:r w:rsidRPr="00B01390">
        <w:rPr>
          <w:rStyle w:val="FootnoteReference"/>
          <w:color w:val="000000" w:themeColor="text1"/>
        </w:rPr>
        <w:footnoteReference w:id="202"/>
      </w:r>
      <w:r w:rsidRPr="00B01390">
        <w:rPr>
          <w:color w:val="000000" w:themeColor="text1"/>
        </w:rPr>
        <w:t xml:space="preserve">. </w:t>
      </w:r>
      <w:r w:rsidR="00173560" w:rsidRPr="00B01390">
        <w:rPr>
          <w:color w:val="000000" w:themeColor="text1"/>
        </w:rPr>
        <w:t xml:space="preserve">This shows that the Egyptians were </w:t>
      </w:r>
      <w:r w:rsidR="006C6D09" w:rsidRPr="00B01390">
        <w:rPr>
          <w:color w:val="000000" w:themeColor="text1"/>
        </w:rPr>
        <w:t xml:space="preserve">attempting </w:t>
      </w:r>
      <w:r w:rsidR="00173560" w:rsidRPr="00B01390">
        <w:rPr>
          <w:color w:val="000000" w:themeColor="text1"/>
        </w:rPr>
        <w:t xml:space="preserve">gaining control </w:t>
      </w:r>
      <w:r w:rsidR="00173560" w:rsidRPr="00611F97">
        <w:rPr>
          <w:color w:val="000000" w:themeColor="text1"/>
        </w:rPr>
        <w:t>over their heritage and antiquities</w:t>
      </w:r>
      <w:r w:rsidR="006C6D09" w:rsidRPr="00611F97">
        <w:rPr>
          <w:color w:val="000000" w:themeColor="text1"/>
        </w:rPr>
        <w:t>, an aspect of pharaonism</w:t>
      </w:r>
      <w:r w:rsidR="00173560" w:rsidRPr="00611F97">
        <w:rPr>
          <w:color w:val="000000" w:themeColor="text1"/>
        </w:rPr>
        <w:t>.</w:t>
      </w:r>
    </w:p>
    <w:p w14:paraId="6BF7AF16" w14:textId="24FE5F3C" w:rsidR="002117A2" w:rsidRDefault="002117A2" w:rsidP="002117A2">
      <w:pPr>
        <w:spacing w:line="360" w:lineRule="auto"/>
        <w:rPr>
          <w:color w:val="000000" w:themeColor="text1"/>
        </w:rPr>
      </w:pPr>
      <w:r w:rsidRPr="00611F97">
        <w:rPr>
          <w:color w:val="000000" w:themeColor="text1"/>
        </w:rPr>
        <w:t xml:space="preserve">In 1961 and 1965, </w:t>
      </w:r>
      <w:r w:rsidR="007D3379" w:rsidRPr="00611F97">
        <w:rPr>
          <w:color w:val="000000" w:themeColor="text1"/>
        </w:rPr>
        <w:t xml:space="preserve">Cairo Museum allowed </w:t>
      </w:r>
      <w:r w:rsidRPr="00611F97">
        <w:rPr>
          <w:color w:val="000000" w:themeColor="text1"/>
        </w:rPr>
        <w:t xml:space="preserve">more than </w:t>
      </w:r>
      <w:r w:rsidR="007D3379" w:rsidRPr="00611F97">
        <w:rPr>
          <w:color w:val="000000" w:themeColor="text1"/>
        </w:rPr>
        <w:t>30</w:t>
      </w:r>
      <w:r w:rsidRPr="00611F97">
        <w:rPr>
          <w:color w:val="000000" w:themeColor="text1"/>
        </w:rPr>
        <w:t xml:space="preserve"> items from Tutankhamun’s tomb on </w:t>
      </w:r>
      <w:proofErr w:type="spellStart"/>
      <w:proofErr w:type="gramStart"/>
      <w:r w:rsidR="00436E7E" w:rsidRPr="00611F97">
        <w:rPr>
          <w:color w:val="000000" w:themeColor="text1"/>
        </w:rPr>
        <w:t>a</w:t>
      </w:r>
      <w:proofErr w:type="spellEnd"/>
      <w:proofErr w:type="gramEnd"/>
      <w:r w:rsidR="00436E7E" w:rsidRPr="00611F97">
        <w:rPr>
          <w:color w:val="000000" w:themeColor="text1"/>
        </w:rPr>
        <w:t xml:space="preserve"> </w:t>
      </w:r>
      <w:r w:rsidRPr="00611F97">
        <w:rPr>
          <w:color w:val="000000" w:themeColor="text1"/>
        </w:rPr>
        <w:t>exhibit</w:t>
      </w:r>
      <w:r w:rsidR="00D6386F" w:rsidRPr="00611F97">
        <w:rPr>
          <w:color w:val="000000" w:themeColor="text1"/>
        </w:rPr>
        <w:t>ion</w:t>
      </w:r>
      <w:r w:rsidR="00FF517A" w:rsidRPr="00611F97">
        <w:rPr>
          <w:color w:val="000000" w:themeColor="text1"/>
        </w:rPr>
        <w:t xml:space="preserve"> tour through</w:t>
      </w:r>
      <w:r w:rsidRPr="00611F97">
        <w:rPr>
          <w:color w:val="000000" w:themeColor="text1"/>
        </w:rPr>
        <w:t xml:space="preserve"> the United States and Canada</w:t>
      </w:r>
      <w:r w:rsidRPr="00611F97">
        <w:rPr>
          <w:rStyle w:val="FootnoteReference"/>
          <w:color w:val="000000" w:themeColor="text1"/>
        </w:rPr>
        <w:footnoteReference w:id="203"/>
      </w:r>
      <w:r w:rsidRPr="00611F97">
        <w:rPr>
          <w:color w:val="000000" w:themeColor="text1"/>
        </w:rPr>
        <w:t>, described by Jaromir Malek as ‘the floodgates of blockbuster shows’</w:t>
      </w:r>
      <w:r w:rsidRPr="00611F97">
        <w:rPr>
          <w:rStyle w:val="FootnoteReference"/>
          <w:color w:val="000000" w:themeColor="text1"/>
        </w:rPr>
        <w:footnoteReference w:id="204"/>
      </w:r>
      <w:r w:rsidRPr="00611F97">
        <w:rPr>
          <w:color w:val="000000" w:themeColor="text1"/>
        </w:rPr>
        <w:t xml:space="preserve">. In this chapter the </w:t>
      </w:r>
      <w:r w:rsidRPr="00611F97">
        <w:rPr>
          <w:i/>
          <w:iCs/>
          <w:color w:val="000000" w:themeColor="text1"/>
        </w:rPr>
        <w:t>Treasures of Tutankhamun</w:t>
      </w:r>
      <w:r w:rsidRPr="00611F97">
        <w:rPr>
          <w:color w:val="000000" w:themeColor="text1"/>
        </w:rPr>
        <w:t xml:space="preserve"> tour, </w:t>
      </w:r>
      <w:r w:rsidRPr="00611F97">
        <w:rPr>
          <w:i/>
          <w:iCs/>
          <w:color w:val="000000" w:themeColor="text1"/>
        </w:rPr>
        <w:t>Tutankhamun and the Golden Pharaohs</w:t>
      </w:r>
      <w:r w:rsidRPr="003D4546">
        <w:rPr>
          <w:color w:val="000000" w:themeColor="text1"/>
        </w:rPr>
        <w:t xml:space="preserve"> tour and the most recent tour </w:t>
      </w:r>
      <w:r w:rsidRPr="003D4546">
        <w:rPr>
          <w:i/>
          <w:iCs/>
          <w:color w:val="000000" w:themeColor="text1"/>
        </w:rPr>
        <w:t xml:space="preserve">Tutankhamun: Treasures of the Golden Pharaoh </w:t>
      </w:r>
      <w:r w:rsidRPr="003D4546">
        <w:rPr>
          <w:color w:val="000000" w:themeColor="text1"/>
        </w:rPr>
        <w:t xml:space="preserve">are discussed, </w:t>
      </w:r>
      <w:r>
        <w:rPr>
          <w:color w:val="000000" w:themeColor="text1"/>
        </w:rPr>
        <w:t>as</w:t>
      </w:r>
      <w:r w:rsidRPr="003D4546">
        <w:rPr>
          <w:color w:val="000000" w:themeColor="text1"/>
        </w:rPr>
        <w:t xml:space="preserve"> they all have been </w:t>
      </w:r>
      <w:r>
        <w:rPr>
          <w:color w:val="000000" w:themeColor="text1"/>
        </w:rPr>
        <w:t xml:space="preserve">exhibited in </w:t>
      </w:r>
      <w:r w:rsidRPr="003D4546">
        <w:rPr>
          <w:color w:val="000000" w:themeColor="text1"/>
        </w:rPr>
        <w:t>London</w:t>
      </w:r>
      <w:r>
        <w:rPr>
          <w:color w:val="000000" w:themeColor="text1"/>
        </w:rPr>
        <w:t xml:space="preserve"> (</w:t>
      </w:r>
      <w:r w:rsidR="007D14CC">
        <w:rPr>
          <w:color w:val="000000" w:themeColor="text1"/>
        </w:rPr>
        <w:t>Diagram</w:t>
      </w:r>
      <w:r>
        <w:rPr>
          <w:color w:val="000000" w:themeColor="text1"/>
        </w:rPr>
        <w:t xml:space="preserve"> 2)</w:t>
      </w:r>
      <w:r w:rsidRPr="003D4546">
        <w:rPr>
          <w:color w:val="000000" w:themeColor="text1"/>
        </w:rPr>
        <w:t xml:space="preserve">. </w:t>
      </w:r>
    </w:p>
    <w:p w14:paraId="000183E1" w14:textId="77777777" w:rsidR="007D3379" w:rsidRDefault="007D3379" w:rsidP="002117A2">
      <w:pPr>
        <w:spacing w:line="360" w:lineRule="auto"/>
        <w:rPr>
          <w:color w:val="000000" w:themeColor="text1"/>
        </w:rPr>
      </w:pPr>
    </w:p>
    <w:p w14:paraId="1804C3A0" w14:textId="77777777" w:rsidR="002117A2" w:rsidRDefault="002117A2" w:rsidP="002117A2">
      <w:pPr>
        <w:spacing w:line="360" w:lineRule="auto"/>
        <w:rPr>
          <w:color w:val="000000" w:themeColor="text1"/>
        </w:rPr>
      </w:pPr>
      <w:r>
        <w:rPr>
          <w:noProof/>
          <w:sz w:val="16"/>
          <w:szCs w:val="16"/>
        </w:rPr>
        <w:lastRenderedPageBreak/>
        <w:drawing>
          <wp:inline distT="0" distB="0" distL="0" distR="0" wp14:anchorId="616B4D1F" wp14:editId="6C7A795F">
            <wp:extent cx="6501752" cy="1509824"/>
            <wp:effectExtent l="0" t="0" r="0" b="0"/>
            <wp:docPr id="53" name="Picture 5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USA  Canada.jpg"/>
                    <pic:cNvPicPr/>
                  </pic:nvPicPr>
                  <pic:blipFill>
                    <a:blip r:embed="rId20">
                      <a:extLst>
                        <a:ext uri="{28A0092B-C50C-407E-A947-70E740481C1C}">
                          <a14:useLocalDpi xmlns:a14="http://schemas.microsoft.com/office/drawing/2010/main" val="0"/>
                        </a:ext>
                      </a:extLst>
                    </a:blip>
                    <a:stretch>
                      <a:fillRect/>
                    </a:stretch>
                  </pic:blipFill>
                  <pic:spPr>
                    <a:xfrm>
                      <a:off x="0" y="0"/>
                      <a:ext cx="6538008" cy="1518243"/>
                    </a:xfrm>
                    <a:prstGeom prst="rect">
                      <a:avLst/>
                    </a:prstGeom>
                  </pic:spPr>
                </pic:pic>
              </a:graphicData>
            </a:graphic>
          </wp:inline>
        </w:drawing>
      </w:r>
    </w:p>
    <w:p w14:paraId="09D18282" w14:textId="43191D81" w:rsidR="002117A2" w:rsidRPr="00410E48" w:rsidRDefault="007D14CC" w:rsidP="002117A2">
      <w:pPr>
        <w:spacing w:line="360" w:lineRule="auto"/>
        <w:rPr>
          <w:color w:val="000000" w:themeColor="text1"/>
          <w:sz w:val="18"/>
          <w:szCs w:val="18"/>
        </w:rPr>
      </w:pPr>
      <w:r>
        <w:rPr>
          <w:color w:val="000000" w:themeColor="text1"/>
          <w:sz w:val="18"/>
          <w:szCs w:val="18"/>
        </w:rPr>
        <w:t xml:space="preserve">Diagram </w:t>
      </w:r>
      <w:r w:rsidR="002117A2" w:rsidRPr="00410E48">
        <w:rPr>
          <w:color w:val="000000" w:themeColor="text1"/>
          <w:sz w:val="18"/>
          <w:szCs w:val="18"/>
        </w:rPr>
        <w:t>2: Timeline of Tutankhamun worldwide exhibitions</w:t>
      </w:r>
      <w:r w:rsidR="002117A2" w:rsidRPr="00410E48">
        <w:rPr>
          <w:rStyle w:val="FootnoteReference"/>
          <w:color w:val="000000" w:themeColor="text1"/>
          <w:sz w:val="18"/>
          <w:szCs w:val="18"/>
        </w:rPr>
        <w:footnoteReference w:id="205"/>
      </w:r>
      <w:r w:rsidR="002117A2" w:rsidRPr="00410E48">
        <w:rPr>
          <w:color w:val="000000" w:themeColor="text1"/>
          <w:sz w:val="18"/>
          <w:szCs w:val="18"/>
        </w:rPr>
        <w:t>.</w:t>
      </w:r>
    </w:p>
    <w:p w14:paraId="45885D3D" w14:textId="77777777" w:rsidR="002117A2" w:rsidRDefault="002117A2" w:rsidP="002117A2">
      <w:pPr>
        <w:spacing w:line="360" w:lineRule="auto"/>
        <w:rPr>
          <w:color w:val="000000" w:themeColor="text1"/>
        </w:rPr>
      </w:pPr>
    </w:p>
    <w:p w14:paraId="1B6DC6DA" w14:textId="4DECE749" w:rsidR="002117A2" w:rsidRPr="00410E48" w:rsidRDefault="002117A2" w:rsidP="002117A2">
      <w:pPr>
        <w:pStyle w:val="ListParagraph"/>
        <w:numPr>
          <w:ilvl w:val="0"/>
          <w:numId w:val="4"/>
        </w:numPr>
        <w:spacing w:line="360" w:lineRule="auto"/>
        <w:rPr>
          <w:b/>
          <w:bCs/>
          <w:color w:val="000000" w:themeColor="text1"/>
          <w:sz w:val="24"/>
          <w:szCs w:val="24"/>
        </w:rPr>
      </w:pPr>
      <w:r w:rsidRPr="00410E48">
        <w:rPr>
          <w:b/>
          <w:bCs/>
          <w:color w:val="000000" w:themeColor="text1"/>
          <w:sz w:val="24"/>
          <w:szCs w:val="24"/>
        </w:rPr>
        <w:t>Treasures of Tutankhamun Tour (1967 – 1981)</w:t>
      </w:r>
    </w:p>
    <w:p w14:paraId="5D725CEE" w14:textId="07E105B9" w:rsidR="002117A2" w:rsidRPr="00572A5D" w:rsidRDefault="002117A2" w:rsidP="002117A2">
      <w:pPr>
        <w:spacing w:line="360" w:lineRule="auto"/>
        <w:rPr>
          <w:color w:val="000000" w:themeColor="text1"/>
        </w:rPr>
      </w:pPr>
      <w:r w:rsidRPr="00572A5D">
        <w:rPr>
          <w:color w:val="000000" w:themeColor="text1"/>
        </w:rPr>
        <w:t xml:space="preserve">This world tour began in 1967 in Paris and </w:t>
      </w:r>
      <w:r w:rsidR="00FF517A" w:rsidRPr="00572A5D">
        <w:rPr>
          <w:color w:val="000000" w:themeColor="text1"/>
        </w:rPr>
        <w:t>arrived at</w:t>
      </w:r>
      <w:r w:rsidRPr="00572A5D">
        <w:rPr>
          <w:color w:val="000000" w:themeColor="text1"/>
        </w:rPr>
        <w:t xml:space="preserve"> the British Museum in London in 1971</w:t>
      </w:r>
      <w:r w:rsidRPr="00572A5D">
        <w:rPr>
          <w:rStyle w:val="FootnoteReference"/>
          <w:color w:val="000000" w:themeColor="text1"/>
        </w:rPr>
        <w:footnoteReference w:id="206"/>
      </w:r>
      <w:r w:rsidRPr="00572A5D">
        <w:rPr>
          <w:color w:val="000000" w:themeColor="text1"/>
        </w:rPr>
        <w:t>. Approximately 1.7 million people attended the exhibition in London</w:t>
      </w:r>
      <w:r w:rsidRPr="00572A5D">
        <w:rPr>
          <w:rStyle w:val="FootnoteReference"/>
          <w:color w:val="000000" w:themeColor="text1"/>
        </w:rPr>
        <w:footnoteReference w:id="207"/>
      </w:r>
      <w:r w:rsidRPr="00572A5D">
        <w:rPr>
          <w:color w:val="000000" w:themeColor="text1"/>
        </w:rPr>
        <w:t>. The exhibition was laid out in the same format of the</w:t>
      </w:r>
      <w:r w:rsidR="00D10B95" w:rsidRPr="00572A5D">
        <w:rPr>
          <w:color w:val="000000" w:themeColor="text1"/>
        </w:rPr>
        <w:t xml:space="preserve"> tomb and</w:t>
      </w:r>
      <w:r w:rsidRPr="00572A5D">
        <w:rPr>
          <w:color w:val="000000" w:themeColor="text1"/>
        </w:rPr>
        <w:t xml:space="preserve"> discovery site</w:t>
      </w:r>
      <w:r w:rsidR="00D10B95" w:rsidRPr="00572A5D">
        <w:rPr>
          <w:color w:val="000000" w:themeColor="text1"/>
        </w:rPr>
        <w:t xml:space="preserve"> with the</w:t>
      </w:r>
      <w:r w:rsidRPr="00572A5D">
        <w:rPr>
          <w:color w:val="000000" w:themeColor="text1"/>
        </w:rPr>
        <w:t>; antechamber, burial chamber, treasury and annex</w:t>
      </w:r>
      <w:r w:rsidR="00D10B95" w:rsidRPr="00572A5D">
        <w:rPr>
          <w:color w:val="000000" w:themeColor="text1"/>
        </w:rPr>
        <w:t xml:space="preserve"> to be seen</w:t>
      </w:r>
      <w:r w:rsidRPr="00572A5D">
        <w:rPr>
          <w:rStyle w:val="FootnoteReference"/>
          <w:color w:val="000000" w:themeColor="text1"/>
        </w:rPr>
        <w:footnoteReference w:id="208"/>
      </w:r>
      <w:r w:rsidRPr="00572A5D">
        <w:rPr>
          <w:color w:val="000000" w:themeColor="text1"/>
        </w:rPr>
        <w:t xml:space="preserve"> . Perhaps this was to attract more visitors because they could have the virtual experience of Carter’s discovery site</w:t>
      </w:r>
      <w:r w:rsidR="009F39E6" w:rsidRPr="00572A5D">
        <w:rPr>
          <w:color w:val="000000" w:themeColor="text1"/>
        </w:rPr>
        <w:t>, using the layout to attract visitors shows just how</w:t>
      </w:r>
      <w:r w:rsidR="000E07ED" w:rsidRPr="00572A5D">
        <w:rPr>
          <w:color w:val="000000" w:themeColor="text1"/>
        </w:rPr>
        <w:t xml:space="preserve"> successful the tour as anticipated to </w:t>
      </w:r>
      <w:r w:rsidR="000E07ED" w:rsidRPr="00611F97">
        <w:rPr>
          <w:color w:val="000000" w:themeColor="text1"/>
        </w:rPr>
        <w:t>be</w:t>
      </w:r>
      <w:r w:rsidRPr="00611F97">
        <w:rPr>
          <w:color w:val="000000" w:themeColor="text1"/>
        </w:rPr>
        <w:t xml:space="preserve">. The exhibition consisted of </w:t>
      </w:r>
      <w:r w:rsidR="00D10B95" w:rsidRPr="00611F97">
        <w:rPr>
          <w:color w:val="000000" w:themeColor="text1"/>
        </w:rPr>
        <w:t>55</w:t>
      </w:r>
      <w:r w:rsidRPr="00611F97">
        <w:rPr>
          <w:color w:val="000000" w:themeColor="text1"/>
        </w:rPr>
        <w:t xml:space="preserve"> objects</w:t>
      </w:r>
      <w:r w:rsidRPr="00611F97">
        <w:rPr>
          <w:rStyle w:val="FootnoteReference"/>
          <w:color w:val="000000" w:themeColor="text1"/>
        </w:rPr>
        <w:footnoteReference w:id="209"/>
      </w:r>
      <w:r w:rsidRPr="00611F97">
        <w:rPr>
          <w:color w:val="000000" w:themeColor="text1"/>
        </w:rPr>
        <w:t xml:space="preserve">, </w:t>
      </w:r>
      <w:r w:rsidR="00B2270F" w:rsidRPr="00611F97">
        <w:rPr>
          <w:color w:val="000000" w:themeColor="text1"/>
        </w:rPr>
        <w:t>such as the gilded wooden figure of Tutankhamun harpooning</w:t>
      </w:r>
      <w:r w:rsidR="00B2270F" w:rsidRPr="00611F97">
        <w:rPr>
          <w:rStyle w:val="FootnoteReference"/>
          <w:color w:val="000000" w:themeColor="text1"/>
        </w:rPr>
        <w:footnoteReference w:id="210"/>
      </w:r>
      <w:r w:rsidR="00B2270F" w:rsidRPr="00611F97">
        <w:rPr>
          <w:color w:val="000000" w:themeColor="text1"/>
        </w:rPr>
        <w:t xml:space="preserve">, however, </w:t>
      </w:r>
      <w:r w:rsidRPr="00611F97">
        <w:rPr>
          <w:color w:val="000000" w:themeColor="text1"/>
        </w:rPr>
        <w:t>‘with the most popular and extravagant, such as the golden mask, in the centre of the room’</w:t>
      </w:r>
      <w:r w:rsidRPr="00611F97">
        <w:rPr>
          <w:rStyle w:val="FootnoteReference"/>
          <w:color w:val="000000" w:themeColor="text1"/>
        </w:rPr>
        <w:footnoteReference w:id="211"/>
      </w:r>
      <w:r w:rsidRPr="00611F97">
        <w:rPr>
          <w:color w:val="000000" w:themeColor="text1"/>
        </w:rPr>
        <w:t xml:space="preserve"> . </w:t>
      </w:r>
      <w:r w:rsidR="00B20F97" w:rsidRPr="00611F97">
        <w:rPr>
          <w:color w:val="000000" w:themeColor="text1"/>
        </w:rPr>
        <w:t>The creators of this exhibit wanted to emphasise the universal and aesthetic beauty of Tutankhamun artefacts</w:t>
      </w:r>
      <w:r w:rsidR="006804DB" w:rsidRPr="00611F97">
        <w:rPr>
          <w:color w:val="000000" w:themeColor="text1"/>
        </w:rPr>
        <w:t xml:space="preserve"> rather than present the artefacts with an historical analysis to educate the visitor</w:t>
      </w:r>
      <w:r w:rsidRPr="00611F97">
        <w:rPr>
          <w:rStyle w:val="FootnoteReference"/>
          <w:color w:val="000000" w:themeColor="text1"/>
        </w:rPr>
        <w:footnoteReference w:id="212"/>
      </w:r>
      <w:r w:rsidRPr="00611F97">
        <w:rPr>
          <w:color w:val="000000" w:themeColor="text1"/>
        </w:rPr>
        <w:t xml:space="preserve">. This suggests that the exhibition was not for educational purposes but rather for show. </w:t>
      </w:r>
      <w:r w:rsidR="007D3379" w:rsidRPr="00611F97">
        <w:rPr>
          <w:color w:val="000000" w:themeColor="text1"/>
        </w:rPr>
        <w:t xml:space="preserve">This is a continuation seen throughout all the Tutankhamun exhibitions regarding the exploitation of Tutankhamun as a commodity rather than representing Egyptian Heritage, defeating the point of </w:t>
      </w:r>
      <w:proofErr w:type="spellStart"/>
      <w:r w:rsidR="007D3379" w:rsidRPr="00611F97">
        <w:rPr>
          <w:color w:val="000000" w:themeColor="text1"/>
        </w:rPr>
        <w:t>pharaonism</w:t>
      </w:r>
      <w:proofErr w:type="spellEnd"/>
      <w:r w:rsidR="007D3379" w:rsidRPr="00611F97">
        <w:rPr>
          <w:color w:val="000000" w:themeColor="text1"/>
        </w:rPr>
        <w:t xml:space="preserve"> because </w:t>
      </w:r>
      <w:r w:rsidR="00436E7E" w:rsidRPr="00611F97">
        <w:rPr>
          <w:color w:val="000000" w:themeColor="text1"/>
        </w:rPr>
        <w:t xml:space="preserve">the exhibitions were </w:t>
      </w:r>
      <w:r w:rsidR="007D3379" w:rsidRPr="00611F97">
        <w:rPr>
          <w:color w:val="000000" w:themeColor="text1"/>
        </w:rPr>
        <w:t xml:space="preserve">not mainly about Egyptian Heritage, but rather a profit for Egypt. </w:t>
      </w:r>
      <w:r w:rsidR="00612FB8" w:rsidRPr="00611F97">
        <w:rPr>
          <w:color w:val="000000" w:themeColor="text1"/>
        </w:rPr>
        <w:t>The</w:t>
      </w:r>
      <w:r w:rsidR="00612FB8" w:rsidRPr="00572A5D">
        <w:rPr>
          <w:color w:val="000000" w:themeColor="text1"/>
        </w:rPr>
        <w:t xml:space="preserve"> exhibition consisted of </w:t>
      </w:r>
      <w:r w:rsidR="0082196C" w:rsidRPr="00572A5D">
        <w:rPr>
          <w:color w:val="000000" w:themeColor="text1"/>
        </w:rPr>
        <w:t xml:space="preserve">flashy display techniques, large campaigns </w:t>
      </w:r>
      <w:r w:rsidR="00701F7B" w:rsidRPr="00572A5D">
        <w:rPr>
          <w:color w:val="000000" w:themeColor="text1"/>
        </w:rPr>
        <w:t xml:space="preserve">and played on the general public’s interest to attract </w:t>
      </w:r>
      <w:proofErr w:type="gramStart"/>
      <w:r w:rsidR="00701F7B" w:rsidRPr="00572A5D">
        <w:rPr>
          <w:color w:val="000000" w:themeColor="text1"/>
        </w:rPr>
        <w:t>a large number of</w:t>
      </w:r>
      <w:proofErr w:type="gramEnd"/>
      <w:r w:rsidR="00701F7B" w:rsidRPr="00572A5D">
        <w:rPr>
          <w:color w:val="000000" w:themeColor="text1"/>
        </w:rPr>
        <w:t xml:space="preserve"> visitors to make the tour profitable, resulting in the tour becoming to be known as the blockbuster exhibit</w:t>
      </w:r>
      <w:r w:rsidRPr="00572A5D">
        <w:rPr>
          <w:rStyle w:val="FootnoteReference"/>
          <w:color w:val="000000" w:themeColor="text1"/>
        </w:rPr>
        <w:footnoteReference w:id="213"/>
      </w:r>
      <w:r w:rsidR="00D1242C" w:rsidRPr="00572A5D">
        <w:rPr>
          <w:color w:val="000000" w:themeColor="text1"/>
        </w:rPr>
        <w:t xml:space="preserve">. </w:t>
      </w:r>
      <w:r w:rsidR="00F06BC5" w:rsidRPr="00572A5D">
        <w:rPr>
          <w:color w:val="000000" w:themeColor="text1"/>
        </w:rPr>
        <w:t xml:space="preserve">On leaving the exhibition the visitors were meant to be in </w:t>
      </w:r>
      <w:r w:rsidR="000A5AAA" w:rsidRPr="00572A5D">
        <w:rPr>
          <w:color w:val="000000" w:themeColor="text1"/>
        </w:rPr>
        <w:t xml:space="preserve">astonishment of </w:t>
      </w:r>
      <w:r w:rsidR="000A5AAA" w:rsidRPr="00572A5D">
        <w:rPr>
          <w:color w:val="000000" w:themeColor="text1"/>
        </w:rPr>
        <w:lastRenderedPageBreak/>
        <w:t xml:space="preserve">Tutankhamun’s tomb objects but not because </w:t>
      </w:r>
      <w:r w:rsidR="00777045" w:rsidRPr="00572A5D">
        <w:rPr>
          <w:color w:val="000000" w:themeColor="text1"/>
        </w:rPr>
        <w:t>of the king himself or the Egyptian religion, but for the Egyptian people and what they represented</w:t>
      </w:r>
      <w:r w:rsidRPr="00572A5D">
        <w:rPr>
          <w:rStyle w:val="FootnoteReference"/>
          <w:color w:val="000000" w:themeColor="text1"/>
        </w:rPr>
        <w:footnoteReference w:id="214"/>
      </w:r>
      <w:r w:rsidRPr="00572A5D">
        <w:rPr>
          <w:color w:val="000000" w:themeColor="text1"/>
        </w:rPr>
        <w:t xml:space="preserve">. </w:t>
      </w:r>
    </w:p>
    <w:p w14:paraId="0763F819" w14:textId="6272189B" w:rsidR="002117A2" w:rsidRPr="00572A5D" w:rsidRDefault="006C6D09" w:rsidP="002117A2">
      <w:pPr>
        <w:spacing w:line="360" w:lineRule="auto"/>
        <w:rPr>
          <w:color w:val="000000" w:themeColor="text1"/>
        </w:rPr>
      </w:pPr>
      <w:r w:rsidRPr="00572A5D">
        <w:rPr>
          <w:color w:val="000000" w:themeColor="text1"/>
        </w:rPr>
        <w:t>I</w:t>
      </w:r>
      <w:r w:rsidR="002117A2" w:rsidRPr="00572A5D">
        <w:rPr>
          <w:color w:val="000000" w:themeColor="text1"/>
        </w:rPr>
        <w:t xml:space="preserve">n 1976 the Metropolitan Museum organised for the touring exhibit </w:t>
      </w:r>
      <w:r w:rsidR="002117A2" w:rsidRPr="00572A5D">
        <w:rPr>
          <w:i/>
          <w:iCs/>
          <w:color w:val="000000" w:themeColor="text1"/>
        </w:rPr>
        <w:t>Treasures of Tutankhamun</w:t>
      </w:r>
      <w:r w:rsidR="002117A2" w:rsidRPr="00572A5D">
        <w:rPr>
          <w:color w:val="000000" w:themeColor="text1"/>
        </w:rPr>
        <w:t xml:space="preserve"> to come to the United States</w:t>
      </w:r>
      <w:r w:rsidR="002117A2" w:rsidRPr="00572A5D">
        <w:rPr>
          <w:rStyle w:val="FootnoteReference"/>
          <w:color w:val="000000" w:themeColor="text1"/>
        </w:rPr>
        <w:footnoteReference w:id="215"/>
      </w:r>
      <w:r w:rsidR="002117A2" w:rsidRPr="00572A5D">
        <w:rPr>
          <w:color w:val="000000" w:themeColor="text1"/>
        </w:rPr>
        <w:t>. Here political prestige continued because the Americans wanted what the English had, they did not want to be left out, they felt they deserved the Tutankhamun exhibition just as much as the English</w:t>
      </w:r>
      <w:r w:rsidR="002117A2" w:rsidRPr="00572A5D">
        <w:rPr>
          <w:rStyle w:val="FootnoteReference"/>
          <w:color w:val="000000" w:themeColor="text1"/>
        </w:rPr>
        <w:footnoteReference w:id="216"/>
      </w:r>
      <w:r w:rsidR="002117A2" w:rsidRPr="00572A5D">
        <w:rPr>
          <w:color w:val="000000" w:themeColor="text1"/>
        </w:rPr>
        <w:t xml:space="preserve">. </w:t>
      </w:r>
      <w:r w:rsidRPr="00572A5D">
        <w:rPr>
          <w:color w:val="000000" w:themeColor="text1"/>
        </w:rPr>
        <w:t>Fascination with Tutankhamun was still spreading</w:t>
      </w:r>
      <w:r w:rsidR="00D575FF" w:rsidRPr="00572A5D">
        <w:rPr>
          <w:color w:val="000000" w:themeColor="text1"/>
        </w:rPr>
        <w:t xml:space="preserve">. </w:t>
      </w:r>
      <w:r w:rsidR="002117A2" w:rsidRPr="00572A5D">
        <w:rPr>
          <w:color w:val="000000" w:themeColor="text1"/>
        </w:rPr>
        <w:t xml:space="preserve">Christine </w:t>
      </w:r>
      <w:proofErr w:type="spellStart"/>
      <w:r w:rsidR="002117A2" w:rsidRPr="00572A5D">
        <w:rPr>
          <w:color w:val="000000" w:themeColor="text1"/>
        </w:rPr>
        <w:t>Lilyquist</w:t>
      </w:r>
      <w:proofErr w:type="spellEnd"/>
      <w:r w:rsidR="002117A2" w:rsidRPr="00572A5D">
        <w:rPr>
          <w:color w:val="000000" w:themeColor="text1"/>
        </w:rPr>
        <w:t xml:space="preserve"> was the Metropolitan Museum’s </w:t>
      </w:r>
      <w:r w:rsidR="002117A2" w:rsidRPr="00611F97">
        <w:rPr>
          <w:color w:val="000000" w:themeColor="text1"/>
        </w:rPr>
        <w:t>curator of Egyptian art</w:t>
      </w:r>
      <w:r w:rsidR="002117A2" w:rsidRPr="00611F97">
        <w:rPr>
          <w:rStyle w:val="FootnoteReference"/>
          <w:color w:val="000000" w:themeColor="text1"/>
        </w:rPr>
        <w:footnoteReference w:id="217"/>
      </w:r>
      <w:r w:rsidR="002117A2" w:rsidRPr="00611F97">
        <w:rPr>
          <w:color w:val="000000" w:themeColor="text1"/>
        </w:rPr>
        <w:t xml:space="preserve">. </w:t>
      </w:r>
      <w:proofErr w:type="spellStart"/>
      <w:r w:rsidR="002117A2" w:rsidRPr="00611F97">
        <w:rPr>
          <w:color w:val="000000" w:themeColor="text1"/>
        </w:rPr>
        <w:t>Lilyquist</w:t>
      </w:r>
      <w:proofErr w:type="spellEnd"/>
      <w:r w:rsidR="002117A2" w:rsidRPr="00611F97">
        <w:rPr>
          <w:color w:val="000000" w:themeColor="text1"/>
        </w:rPr>
        <w:t xml:space="preserve"> along with curators from the Cairo </w:t>
      </w:r>
      <w:r w:rsidR="003E34D5" w:rsidRPr="00611F97">
        <w:rPr>
          <w:color w:val="000000" w:themeColor="text1"/>
        </w:rPr>
        <w:t>M</w:t>
      </w:r>
      <w:r w:rsidR="002117A2" w:rsidRPr="00611F97">
        <w:rPr>
          <w:color w:val="000000" w:themeColor="text1"/>
        </w:rPr>
        <w:t xml:space="preserve">useum and Thomas </w:t>
      </w:r>
      <w:proofErr w:type="spellStart"/>
      <w:r w:rsidR="002117A2" w:rsidRPr="00611F97">
        <w:rPr>
          <w:color w:val="000000" w:themeColor="text1"/>
        </w:rPr>
        <w:t>Hoving</w:t>
      </w:r>
      <w:proofErr w:type="spellEnd"/>
      <w:r w:rsidR="002117A2" w:rsidRPr="00611F97">
        <w:rPr>
          <w:color w:val="000000" w:themeColor="text1"/>
        </w:rPr>
        <w:t>, the director of the Metropolitan Museum, w</w:t>
      </w:r>
      <w:r w:rsidR="00D575FF" w:rsidRPr="00611F97">
        <w:rPr>
          <w:color w:val="000000" w:themeColor="text1"/>
        </w:rPr>
        <w:t xml:space="preserve">ere </w:t>
      </w:r>
      <w:r w:rsidR="002117A2" w:rsidRPr="00611F97">
        <w:rPr>
          <w:color w:val="000000" w:themeColor="text1"/>
        </w:rPr>
        <w:t>responsible for choosing the objects to go on tour</w:t>
      </w:r>
      <w:r w:rsidR="002117A2" w:rsidRPr="00611F97">
        <w:rPr>
          <w:rStyle w:val="FootnoteReference"/>
          <w:color w:val="000000" w:themeColor="text1"/>
        </w:rPr>
        <w:footnoteReference w:id="218"/>
      </w:r>
      <w:r w:rsidR="002117A2" w:rsidRPr="00611F97">
        <w:rPr>
          <w:color w:val="000000" w:themeColor="text1"/>
        </w:rPr>
        <w:t xml:space="preserve">. </w:t>
      </w:r>
      <w:r w:rsidR="007662BD" w:rsidRPr="00611F97">
        <w:rPr>
          <w:color w:val="000000" w:themeColor="text1"/>
        </w:rPr>
        <w:t xml:space="preserve">This is an example of Egypt having a limited role in the presentation of their heritage and artefacts, which </w:t>
      </w:r>
      <w:r w:rsidR="00436E7E" w:rsidRPr="00611F97">
        <w:rPr>
          <w:color w:val="000000" w:themeColor="text1"/>
        </w:rPr>
        <w:t>diminished</w:t>
      </w:r>
      <w:r w:rsidR="007662BD" w:rsidRPr="00611F97">
        <w:rPr>
          <w:color w:val="000000" w:themeColor="text1"/>
        </w:rPr>
        <w:t xml:space="preserve"> </w:t>
      </w:r>
      <w:proofErr w:type="spellStart"/>
      <w:r w:rsidR="007662BD" w:rsidRPr="00611F97">
        <w:rPr>
          <w:color w:val="000000" w:themeColor="text1"/>
        </w:rPr>
        <w:t>pharaonism</w:t>
      </w:r>
      <w:proofErr w:type="spellEnd"/>
      <w:r w:rsidR="007662BD" w:rsidRPr="00611F97">
        <w:rPr>
          <w:color w:val="000000" w:themeColor="text1"/>
        </w:rPr>
        <w:t xml:space="preserve">. </w:t>
      </w:r>
      <w:r w:rsidR="002117A2" w:rsidRPr="00611F97">
        <w:rPr>
          <w:color w:val="000000" w:themeColor="text1"/>
        </w:rPr>
        <w:t xml:space="preserve">When looking at objects </w:t>
      </w:r>
      <w:proofErr w:type="spellStart"/>
      <w:r w:rsidR="002117A2" w:rsidRPr="00611F97">
        <w:rPr>
          <w:color w:val="000000" w:themeColor="text1"/>
        </w:rPr>
        <w:t>Hoving</w:t>
      </w:r>
      <w:proofErr w:type="spellEnd"/>
      <w:r w:rsidR="002117A2" w:rsidRPr="00611F97">
        <w:rPr>
          <w:color w:val="000000" w:themeColor="text1"/>
        </w:rPr>
        <w:t xml:space="preserve"> said</w:t>
      </w:r>
      <w:r w:rsidR="002117A2" w:rsidRPr="00572A5D">
        <w:rPr>
          <w:color w:val="000000" w:themeColor="text1"/>
        </w:rPr>
        <w:t xml:space="preserve"> </w:t>
      </w:r>
    </w:p>
    <w:p w14:paraId="21317E32" w14:textId="314C1767" w:rsidR="002117A2" w:rsidRPr="00572A5D" w:rsidRDefault="002117A2" w:rsidP="002117A2">
      <w:pPr>
        <w:spacing w:line="360" w:lineRule="auto"/>
        <w:ind w:left="720"/>
        <w:rPr>
          <w:i/>
          <w:iCs/>
          <w:color w:val="000000" w:themeColor="text1"/>
        </w:rPr>
      </w:pPr>
      <w:r w:rsidRPr="00572A5D">
        <w:rPr>
          <w:i/>
          <w:iCs/>
          <w:color w:val="000000" w:themeColor="text1"/>
        </w:rPr>
        <w:t xml:space="preserve"> ‘When I walked up the stairs and into the Tutankhamun galleries, I experienced aesthetic overload. We remained there all day. I </w:t>
      </w:r>
      <w:proofErr w:type="gramStart"/>
      <w:r w:rsidRPr="00572A5D">
        <w:rPr>
          <w:i/>
          <w:iCs/>
          <w:color w:val="000000" w:themeColor="text1"/>
        </w:rPr>
        <w:t>didn’t</w:t>
      </w:r>
      <w:proofErr w:type="gramEnd"/>
      <w:r w:rsidRPr="00572A5D">
        <w:rPr>
          <w:i/>
          <w:iCs/>
          <w:color w:val="000000" w:themeColor="text1"/>
        </w:rPr>
        <w:t xml:space="preserve"> bring any expertise to the Tut galleries; I selected what looked great. Simple as that. Christine </w:t>
      </w:r>
      <w:proofErr w:type="spellStart"/>
      <w:r w:rsidRPr="00572A5D">
        <w:rPr>
          <w:i/>
          <w:iCs/>
          <w:color w:val="000000" w:themeColor="text1"/>
        </w:rPr>
        <w:t>Lilyquist</w:t>
      </w:r>
      <w:proofErr w:type="spellEnd"/>
      <w:r w:rsidRPr="00572A5D">
        <w:rPr>
          <w:i/>
          <w:iCs/>
          <w:color w:val="000000" w:themeColor="text1"/>
        </w:rPr>
        <w:t xml:space="preserve"> tried to point out what was important or not from the Egyptological point of view, but I </w:t>
      </w:r>
      <w:proofErr w:type="gramStart"/>
      <w:r w:rsidRPr="00572A5D">
        <w:rPr>
          <w:i/>
          <w:iCs/>
          <w:color w:val="000000" w:themeColor="text1"/>
        </w:rPr>
        <w:t>didn’t</w:t>
      </w:r>
      <w:proofErr w:type="gramEnd"/>
      <w:r w:rsidRPr="00572A5D">
        <w:rPr>
          <w:i/>
          <w:iCs/>
          <w:color w:val="000000" w:themeColor="text1"/>
        </w:rPr>
        <w:t xml:space="preserve"> listen. I know what I wanted. And the choice rather surprised </w:t>
      </w:r>
      <w:proofErr w:type="spellStart"/>
      <w:r w:rsidRPr="00572A5D">
        <w:rPr>
          <w:i/>
          <w:iCs/>
          <w:color w:val="000000" w:themeColor="text1"/>
        </w:rPr>
        <w:t>Lilyquist</w:t>
      </w:r>
      <w:proofErr w:type="spellEnd"/>
      <w:r w:rsidRPr="00572A5D">
        <w:rPr>
          <w:i/>
          <w:iCs/>
          <w:color w:val="000000" w:themeColor="text1"/>
        </w:rPr>
        <w:t xml:space="preserve"> and the Egyptian curator. They expected </w:t>
      </w:r>
      <w:proofErr w:type="gramStart"/>
      <w:r w:rsidRPr="00572A5D">
        <w:rPr>
          <w:i/>
          <w:iCs/>
          <w:color w:val="000000" w:themeColor="text1"/>
        </w:rPr>
        <w:t>I’d</w:t>
      </w:r>
      <w:proofErr w:type="gramEnd"/>
      <w:r w:rsidRPr="00572A5D">
        <w:rPr>
          <w:i/>
          <w:iCs/>
          <w:color w:val="000000" w:themeColor="text1"/>
        </w:rPr>
        <w:t xml:space="preserve"> pick the larger objects – the huge gilded bed or the royal chariot. But I recognized that the finest Tut things were the more intimate objects. Besides, I realized that with six cities, I needed pieces that would fit into a domestic aircraft. In addition, since the galleries in the American museums were bound to be crowded, with the visitors inching along, the works had better be small, needing concentration to be appreciated</w:t>
      </w:r>
      <w:r w:rsidRPr="00572A5D">
        <w:rPr>
          <w:rStyle w:val="FootnoteReference"/>
          <w:i/>
          <w:iCs/>
          <w:color w:val="000000" w:themeColor="text1"/>
        </w:rPr>
        <w:footnoteReference w:id="219"/>
      </w:r>
      <w:r w:rsidRPr="00572A5D">
        <w:rPr>
          <w:i/>
          <w:iCs/>
          <w:color w:val="000000" w:themeColor="text1"/>
        </w:rPr>
        <w:t>’</w:t>
      </w:r>
      <w:r w:rsidR="007554C0" w:rsidRPr="00572A5D">
        <w:rPr>
          <w:i/>
          <w:iCs/>
          <w:color w:val="000000" w:themeColor="text1"/>
        </w:rPr>
        <w:t>.</w:t>
      </w:r>
      <w:r w:rsidRPr="00572A5D">
        <w:rPr>
          <w:i/>
          <w:iCs/>
          <w:color w:val="000000" w:themeColor="text1"/>
        </w:rPr>
        <w:t xml:space="preserve"> </w:t>
      </w:r>
    </w:p>
    <w:p w14:paraId="02C316F7" w14:textId="64C88373" w:rsidR="002117A2" w:rsidRPr="00572A5D" w:rsidRDefault="007662BD" w:rsidP="002117A2">
      <w:pPr>
        <w:spacing w:line="360" w:lineRule="auto"/>
        <w:rPr>
          <w:color w:val="000000" w:themeColor="text1"/>
        </w:rPr>
      </w:pPr>
      <w:r w:rsidRPr="00572A5D">
        <w:rPr>
          <w:color w:val="000000" w:themeColor="text1"/>
        </w:rPr>
        <w:t xml:space="preserve">The partial selected representations </w:t>
      </w:r>
      <w:proofErr w:type="gramStart"/>
      <w:r w:rsidRPr="00572A5D">
        <w:rPr>
          <w:color w:val="000000" w:themeColor="text1"/>
        </w:rPr>
        <w:t>continued on</w:t>
      </w:r>
      <w:proofErr w:type="gramEnd"/>
      <w:r w:rsidRPr="00572A5D">
        <w:rPr>
          <w:color w:val="000000" w:themeColor="text1"/>
        </w:rPr>
        <w:t xml:space="preserve"> tour</w:t>
      </w:r>
      <w:r w:rsidRPr="00572A5D">
        <w:rPr>
          <w:rStyle w:val="FootnoteReference"/>
          <w:color w:val="000000" w:themeColor="text1"/>
        </w:rPr>
        <w:footnoteReference w:id="220"/>
      </w:r>
      <w:r w:rsidRPr="00572A5D">
        <w:rPr>
          <w:color w:val="000000" w:themeColor="text1"/>
        </w:rPr>
        <w:t>.</w:t>
      </w:r>
      <w:r w:rsidRPr="00572A5D">
        <w:rPr>
          <w:color w:val="000000" w:themeColor="text1"/>
          <w:u w:val="single"/>
        </w:rPr>
        <w:t xml:space="preserve"> </w:t>
      </w:r>
      <w:r w:rsidR="002117A2" w:rsidRPr="00572A5D">
        <w:rPr>
          <w:color w:val="000000" w:themeColor="text1"/>
        </w:rPr>
        <w:t xml:space="preserve"> After the 1970’s tours ‘the concept of the blockbuster exhibition is born and </w:t>
      </w:r>
      <w:proofErr w:type="spellStart"/>
      <w:r w:rsidR="002117A2" w:rsidRPr="00572A5D">
        <w:rPr>
          <w:color w:val="000000" w:themeColor="text1"/>
        </w:rPr>
        <w:t>Tutmania</w:t>
      </w:r>
      <w:proofErr w:type="spellEnd"/>
      <w:r w:rsidR="002117A2" w:rsidRPr="00572A5D">
        <w:rPr>
          <w:color w:val="000000" w:themeColor="text1"/>
        </w:rPr>
        <w:t xml:space="preserve"> is reignited’</w:t>
      </w:r>
      <w:r w:rsidR="002117A2" w:rsidRPr="00572A5D">
        <w:rPr>
          <w:rStyle w:val="FootnoteReference"/>
          <w:color w:val="000000" w:themeColor="text1"/>
        </w:rPr>
        <w:footnoteReference w:id="221"/>
      </w:r>
      <w:r w:rsidR="002117A2" w:rsidRPr="00572A5D">
        <w:rPr>
          <w:color w:val="000000" w:themeColor="text1"/>
        </w:rPr>
        <w:t xml:space="preserve">. </w:t>
      </w:r>
    </w:p>
    <w:p w14:paraId="7B67CB69" w14:textId="57F365EB" w:rsidR="007662BD" w:rsidRPr="00572A5D" w:rsidRDefault="007662BD" w:rsidP="002117A2">
      <w:pPr>
        <w:spacing w:line="360" w:lineRule="auto"/>
        <w:rPr>
          <w:color w:val="000000" w:themeColor="text1"/>
        </w:rPr>
      </w:pPr>
    </w:p>
    <w:p w14:paraId="2F99BC11" w14:textId="37D0ADE5" w:rsidR="007662BD" w:rsidRPr="00572A5D" w:rsidRDefault="007662BD" w:rsidP="002117A2">
      <w:pPr>
        <w:spacing w:line="360" w:lineRule="auto"/>
        <w:rPr>
          <w:color w:val="000000" w:themeColor="text1"/>
        </w:rPr>
      </w:pPr>
    </w:p>
    <w:p w14:paraId="5BABFC3D" w14:textId="77777777" w:rsidR="007662BD" w:rsidRPr="00572A5D" w:rsidRDefault="007662BD" w:rsidP="002117A2">
      <w:pPr>
        <w:spacing w:line="360" w:lineRule="auto"/>
        <w:rPr>
          <w:color w:val="000000" w:themeColor="text1"/>
        </w:rPr>
      </w:pPr>
    </w:p>
    <w:p w14:paraId="1154AA32" w14:textId="787AD348" w:rsidR="002117A2" w:rsidRPr="00572A5D" w:rsidRDefault="002117A2" w:rsidP="002117A2">
      <w:pPr>
        <w:pStyle w:val="ListParagraph"/>
        <w:numPr>
          <w:ilvl w:val="0"/>
          <w:numId w:val="4"/>
        </w:numPr>
        <w:spacing w:line="360" w:lineRule="auto"/>
        <w:rPr>
          <w:b/>
          <w:bCs/>
          <w:color w:val="000000" w:themeColor="text1"/>
          <w:sz w:val="24"/>
          <w:szCs w:val="24"/>
        </w:rPr>
      </w:pPr>
      <w:r w:rsidRPr="00572A5D">
        <w:rPr>
          <w:b/>
          <w:bCs/>
          <w:color w:val="000000" w:themeColor="text1"/>
          <w:sz w:val="24"/>
          <w:szCs w:val="24"/>
        </w:rPr>
        <w:lastRenderedPageBreak/>
        <w:t>Tutankhamun and Golden pharaohs tour (2004 – 2007)</w:t>
      </w:r>
    </w:p>
    <w:p w14:paraId="7811F6F0" w14:textId="0B904038" w:rsidR="002117A2" w:rsidRPr="00611F97" w:rsidRDefault="002117A2" w:rsidP="002117A2">
      <w:pPr>
        <w:spacing w:line="360" w:lineRule="auto"/>
        <w:rPr>
          <w:color w:val="000000" w:themeColor="text1"/>
          <w:u w:val="single"/>
        </w:rPr>
      </w:pPr>
      <w:r w:rsidRPr="00572A5D">
        <w:rPr>
          <w:color w:val="000000" w:themeColor="text1"/>
        </w:rPr>
        <w:t xml:space="preserve">In 2004 Tutankhamun’s tomb artefacts went on a worldwide tour again, called </w:t>
      </w:r>
      <w:r w:rsidRPr="00572A5D">
        <w:rPr>
          <w:i/>
          <w:iCs/>
          <w:color w:val="000000" w:themeColor="text1"/>
        </w:rPr>
        <w:t>Tutankhamun: The Golden Beyond</w:t>
      </w:r>
      <w:r w:rsidRPr="00572A5D">
        <w:rPr>
          <w:rStyle w:val="FootnoteReference"/>
          <w:color w:val="000000" w:themeColor="text1"/>
        </w:rPr>
        <w:footnoteReference w:id="222"/>
      </w:r>
      <w:r w:rsidR="004E7087">
        <w:rPr>
          <w:color w:val="000000" w:themeColor="text1"/>
        </w:rPr>
        <w:t>, with modification to the name, i</w:t>
      </w:r>
      <w:r w:rsidRPr="00572A5D">
        <w:rPr>
          <w:color w:val="000000" w:themeColor="text1"/>
        </w:rPr>
        <w:t>n 2007 it made its way to the O2 Arena in London</w:t>
      </w:r>
      <w:r w:rsidRPr="00611F97">
        <w:rPr>
          <w:rStyle w:val="FootnoteReference"/>
          <w:color w:val="000000" w:themeColor="text1"/>
        </w:rPr>
        <w:footnoteReference w:id="223"/>
      </w:r>
      <w:r w:rsidRPr="00611F97">
        <w:rPr>
          <w:color w:val="000000" w:themeColor="text1"/>
        </w:rPr>
        <w:t>.</w:t>
      </w:r>
      <w:r w:rsidR="004E7087" w:rsidRPr="00611F97">
        <w:rPr>
          <w:color w:val="000000" w:themeColor="text1"/>
        </w:rPr>
        <w:t xml:space="preserve"> This tour was different, the phrase ‘golden pharaohs’, gave the read</w:t>
      </w:r>
      <w:r w:rsidR="00333867" w:rsidRPr="00611F97">
        <w:rPr>
          <w:color w:val="000000" w:themeColor="text1"/>
        </w:rPr>
        <w:t>er</w:t>
      </w:r>
      <w:r w:rsidR="004E7087" w:rsidRPr="00611F97">
        <w:rPr>
          <w:color w:val="000000" w:themeColor="text1"/>
        </w:rPr>
        <w:t xml:space="preserve"> the i</w:t>
      </w:r>
      <w:r w:rsidR="00333867" w:rsidRPr="00611F97">
        <w:rPr>
          <w:color w:val="000000" w:themeColor="text1"/>
        </w:rPr>
        <w:t xml:space="preserve">mpression </w:t>
      </w:r>
      <w:r w:rsidR="004E7087" w:rsidRPr="00611F97">
        <w:rPr>
          <w:color w:val="000000" w:themeColor="text1"/>
        </w:rPr>
        <w:t>of more than Tutankhamun would be exhibited, giving a story of the time when Tutankhamun was alive</w:t>
      </w:r>
      <w:r w:rsidR="004E7087" w:rsidRPr="00611F97">
        <w:rPr>
          <w:rStyle w:val="FootnoteReference"/>
          <w:color w:val="000000" w:themeColor="text1"/>
        </w:rPr>
        <w:footnoteReference w:id="224"/>
      </w:r>
      <w:r w:rsidR="004E7087" w:rsidRPr="00611F97">
        <w:rPr>
          <w:color w:val="000000" w:themeColor="text1"/>
        </w:rPr>
        <w:t>. Whereas the previous tour</w:t>
      </w:r>
      <w:r w:rsidR="00333867" w:rsidRPr="00611F97">
        <w:rPr>
          <w:color w:val="000000" w:themeColor="text1"/>
        </w:rPr>
        <w:t>s</w:t>
      </w:r>
      <w:r w:rsidR="004E7087" w:rsidRPr="00611F97">
        <w:rPr>
          <w:color w:val="000000" w:themeColor="text1"/>
        </w:rPr>
        <w:t xml:space="preserve"> focused on objects from the discovery of Tutankhamun’s tomb. </w:t>
      </w:r>
    </w:p>
    <w:p w14:paraId="643B3D90" w14:textId="49F37053" w:rsidR="002117A2" w:rsidRPr="00611F97" w:rsidRDefault="002117A2" w:rsidP="002117A2">
      <w:pPr>
        <w:spacing w:line="360" w:lineRule="auto"/>
        <w:rPr>
          <w:color w:val="000000" w:themeColor="text1"/>
        </w:rPr>
      </w:pPr>
      <w:r w:rsidRPr="00611F97">
        <w:rPr>
          <w:bCs/>
          <w:color w:val="000000" w:themeColor="text1"/>
        </w:rPr>
        <w:t>This tour</w:t>
      </w:r>
      <w:r w:rsidR="009E1F21" w:rsidRPr="00611F97">
        <w:rPr>
          <w:bCs/>
          <w:color w:val="000000" w:themeColor="text1"/>
        </w:rPr>
        <w:t xml:space="preserve"> held by National Geographic</w:t>
      </w:r>
      <w:r w:rsidR="009E1F21" w:rsidRPr="00611F97">
        <w:rPr>
          <w:rStyle w:val="FootnoteReference"/>
          <w:bCs/>
          <w:color w:val="000000" w:themeColor="text1"/>
        </w:rPr>
        <w:footnoteReference w:id="225"/>
      </w:r>
      <w:r w:rsidR="009E1F21" w:rsidRPr="00611F97">
        <w:rPr>
          <w:bCs/>
          <w:color w:val="000000" w:themeColor="text1"/>
        </w:rPr>
        <w:t>,</w:t>
      </w:r>
      <w:r w:rsidRPr="00611F97">
        <w:rPr>
          <w:bCs/>
          <w:color w:val="000000" w:themeColor="text1"/>
        </w:rPr>
        <w:t xml:space="preserve"> had many more artefacts on display than the 197</w:t>
      </w:r>
      <w:r w:rsidR="00600DF6">
        <w:rPr>
          <w:bCs/>
          <w:color w:val="000000" w:themeColor="text1"/>
        </w:rPr>
        <w:t>1</w:t>
      </w:r>
      <w:r w:rsidRPr="00611F97">
        <w:rPr>
          <w:bCs/>
          <w:color w:val="000000" w:themeColor="text1"/>
        </w:rPr>
        <w:t xml:space="preserve"> tour; it consisted of over </w:t>
      </w:r>
      <w:proofErr w:type="gramStart"/>
      <w:r w:rsidRPr="00611F97">
        <w:rPr>
          <w:bCs/>
          <w:color w:val="000000" w:themeColor="text1"/>
        </w:rPr>
        <w:t>a 100 objects</w:t>
      </w:r>
      <w:proofErr w:type="gramEnd"/>
      <w:r w:rsidRPr="00611F97">
        <w:rPr>
          <w:rStyle w:val="FootnoteReference"/>
          <w:bCs/>
          <w:color w:val="000000" w:themeColor="text1"/>
        </w:rPr>
        <w:footnoteReference w:id="226"/>
      </w:r>
      <w:r w:rsidRPr="00611F97">
        <w:rPr>
          <w:bCs/>
          <w:color w:val="000000" w:themeColor="text1"/>
        </w:rPr>
        <w:t>. Whil</w:t>
      </w:r>
      <w:r w:rsidR="00D575FF" w:rsidRPr="00611F97">
        <w:rPr>
          <w:bCs/>
          <w:color w:val="000000" w:themeColor="text1"/>
        </w:rPr>
        <w:t>st</w:t>
      </w:r>
      <w:r w:rsidRPr="00611F97">
        <w:rPr>
          <w:bCs/>
          <w:color w:val="000000" w:themeColor="text1"/>
        </w:rPr>
        <w:t xml:space="preserve"> this tour may have consisted of many more artefacts they were not only related to Tutankhamun, they also had items related to other pharaohs from the Valley of the Kings</w:t>
      </w:r>
      <w:r w:rsidRPr="00611F97">
        <w:rPr>
          <w:rStyle w:val="FootnoteReference"/>
          <w:bCs/>
          <w:color w:val="000000" w:themeColor="text1"/>
        </w:rPr>
        <w:footnoteReference w:id="227"/>
      </w:r>
      <w:r w:rsidRPr="00611F97">
        <w:rPr>
          <w:bCs/>
          <w:color w:val="000000" w:themeColor="text1"/>
        </w:rPr>
        <w:t>. The addition of artefacts that were not possessions of Tutankhamun could suggest that the exhibitors feared visitors may have lost interest in Tutankhamun and to ensure there would be plenty of visitors they added his ancestors</w:t>
      </w:r>
      <w:r w:rsidR="00D575FF" w:rsidRPr="00611F97">
        <w:rPr>
          <w:bCs/>
          <w:color w:val="000000" w:themeColor="text1"/>
        </w:rPr>
        <w:t xml:space="preserve"> and a fuller picture of ancient Egypt was being presented</w:t>
      </w:r>
      <w:r w:rsidRPr="00611F97">
        <w:rPr>
          <w:bCs/>
          <w:color w:val="000000" w:themeColor="text1"/>
        </w:rPr>
        <w:t xml:space="preserve">. </w:t>
      </w:r>
      <w:r w:rsidR="009E1F21" w:rsidRPr="00611F97">
        <w:rPr>
          <w:color w:val="000000" w:themeColor="text1"/>
        </w:rPr>
        <w:t xml:space="preserve"> </w:t>
      </w:r>
      <w:r w:rsidR="004E7087" w:rsidRPr="00611F97">
        <w:rPr>
          <w:color w:val="000000" w:themeColor="text1"/>
        </w:rPr>
        <w:t xml:space="preserve">The objects presented were hoped to provide an insight into the pharaoh’s </w:t>
      </w:r>
      <w:r w:rsidR="000B3A97" w:rsidRPr="00611F97">
        <w:rPr>
          <w:color w:val="000000" w:themeColor="text1"/>
        </w:rPr>
        <w:t>life,</w:t>
      </w:r>
      <w:r w:rsidR="004E7087" w:rsidRPr="00611F97">
        <w:rPr>
          <w:color w:val="000000" w:themeColor="text1"/>
        </w:rPr>
        <w:t xml:space="preserve"> such as the jewellery he would have </w:t>
      </w:r>
      <w:r w:rsidR="00296EE8" w:rsidRPr="00611F97">
        <w:rPr>
          <w:color w:val="000000" w:themeColor="text1"/>
        </w:rPr>
        <w:t>worn,</w:t>
      </w:r>
      <w:r w:rsidR="000B3A97" w:rsidRPr="00611F97">
        <w:rPr>
          <w:color w:val="000000" w:themeColor="text1"/>
        </w:rPr>
        <w:t xml:space="preserve"> and the </w:t>
      </w:r>
      <w:r w:rsidR="00296EE8" w:rsidRPr="00611F97">
        <w:rPr>
          <w:color w:val="000000" w:themeColor="text1"/>
        </w:rPr>
        <w:t>structure</w:t>
      </w:r>
      <w:r w:rsidR="000B3A97" w:rsidRPr="00611F97">
        <w:rPr>
          <w:color w:val="000000" w:themeColor="text1"/>
        </w:rPr>
        <w:t xml:space="preserve"> of the exhibition gave the visitor a journey from Tutankhamun</w:t>
      </w:r>
      <w:r w:rsidR="00333867" w:rsidRPr="00611F97">
        <w:rPr>
          <w:color w:val="000000" w:themeColor="text1"/>
        </w:rPr>
        <w:t xml:space="preserve">’s </w:t>
      </w:r>
      <w:r w:rsidR="000B3A97" w:rsidRPr="00611F97">
        <w:rPr>
          <w:color w:val="000000" w:themeColor="text1"/>
        </w:rPr>
        <w:t>life to his afterlife</w:t>
      </w:r>
      <w:r w:rsidR="000B3A97" w:rsidRPr="00611F97">
        <w:rPr>
          <w:rStyle w:val="FootnoteReference"/>
          <w:color w:val="000000" w:themeColor="text1"/>
        </w:rPr>
        <w:footnoteReference w:id="228"/>
      </w:r>
      <w:r w:rsidR="004E7087" w:rsidRPr="00611F97">
        <w:rPr>
          <w:color w:val="000000" w:themeColor="text1"/>
        </w:rPr>
        <w:t xml:space="preserve">. </w:t>
      </w:r>
      <w:r w:rsidR="000B3A97" w:rsidRPr="00611F97">
        <w:rPr>
          <w:color w:val="000000" w:themeColor="text1"/>
        </w:rPr>
        <w:t xml:space="preserve">Like the previous tour, the most extravagant object was presented in the middle of the room, for example the golden coffin of </w:t>
      </w:r>
      <w:proofErr w:type="spellStart"/>
      <w:r w:rsidR="000B3A97" w:rsidRPr="00611F97">
        <w:rPr>
          <w:color w:val="000000" w:themeColor="text1"/>
        </w:rPr>
        <w:t>Tyuja</w:t>
      </w:r>
      <w:proofErr w:type="spellEnd"/>
      <w:r w:rsidR="000B3A97" w:rsidRPr="00611F97">
        <w:rPr>
          <w:rStyle w:val="FootnoteReference"/>
          <w:color w:val="000000" w:themeColor="text1"/>
        </w:rPr>
        <w:footnoteReference w:id="229"/>
      </w:r>
      <w:r w:rsidR="000B3A97" w:rsidRPr="00611F97">
        <w:rPr>
          <w:color w:val="000000" w:themeColor="text1"/>
        </w:rPr>
        <w:t xml:space="preserve">, Tutankhamun’s grandmother. </w:t>
      </w:r>
    </w:p>
    <w:p w14:paraId="4FB59833" w14:textId="78BCDBD6" w:rsidR="002117A2" w:rsidRDefault="00B2270F" w:rsidP="002117A2">
      <w:pPr>
        <w:spacing w:line="360" w:lineRule="auto"/>
        <w:rPr>
          <w:color w:val="000000" w:themeColor="text1"/>
        </w:rPr>
      </w:pPr>
      <w:r w:rsidRPr="00611F97">
        <w:rPr>
          <w:color w:val="000000" w:themeColor="text1"/>
        </w:rPr>
        <w:t>Despite the exhibition’s goal to be educational, it was still often referred as being ‘</w:t>
      </w:r>
      <w:proofErr w:type="spellStart"/>
      <w:r w:rsidRPr="00611F97">
        <w:rPr>
          <w:color w:val="000000" w:themeColor="text1"/>
        </w:rPr>
        <w:t>glitizer</w:t>
      </w:r>
      <w:proofErr w:type="spellEnd"/>
      <w:r w:rsidRPr="00611F97">
        <w:rPr>
          <w:color w:val="000000" w:themeColor="text1"/>
        </w:rPr>
        <w:t>’</w:t>
      </w:r>
      <w:r w:rsidR="004E7087" w:rsidRPr="00611F97">
        <w:rPr>
          <w:rStyle w:val="FootnoteReference"/>
          <w:color w:val="000000" w:themeColor="text1"/>
        </w:rPr>
        <w:footnoteReference w:id="230"/>
      </w:r>
      <w:r w:rsidRPr="00611F97">
        <w:rPr>
          <w:color w:val="000000" w:themeColor="text1"/>
        </w:rPr>
        <w:t>. However, s</w:t>
      </w:r>
      <w:r w:rsidR="002117A2" w:rsidRPr="00611F97">
        <w:rPr>
          <w:color w:val="000000" w:themeColor="text1"/>
        </w:rPr>
        <w:t>ome visitors commented on disappointment because the adverts led them to believe that they would see the great golden death mask of Tutankhamun</w:t>
      </w:r>
      <w:r w:rsidR="002117A2" w:rsidRPr="00611F97">
        <w:rPr>
          <w:rStyle w:val="FootnoteReference"/>
          <w:color w:val="000000" w:themeColor="text1"/>
        </w:rPr>
        <w:footnoteReference w:id="231"/>
      </w:r>
      <w:r w:rsidR="002117A2" w:rsidRPr="00611F97">
        <w:rPr>
          <w:color w:val="000000" w:themeColor="text1"/>
        </w:rPr>
        <w:t>. Despite the disappointment of the lack of a particular artefact or poor advertisement, it is import to note that ‘even though King Tutankhamun’s belongings were found 85 years ago, the new crisp look produced by modern display techniques distinguished the collection as something significant for the present day’</w:t>
      </w:r>
      <w:r w:rsidR="002117A2" w:rsidRPr="00611F97">
        <w:rPr>
          <w:rStyle w:val="FootnoteReference"/>
          <w:color w:val="000000" w:themeColor="text1"/>
        </w:rPr>
        <w:footnoteReference w:id="232"/>
      </w:r>
      <w:r w:rsidR="002117A2" w:rsidRPr="00611F97">
        <w:rPr>
          <w:color w:val="000000" w:themeColor="text1"/>
        </w:rPr>
        <w:t>. The concept of displaying ancient artefacts in a modern form is an attempt to appeal to the modern visitor and to keep relevance to the present time. Artefacts are important but also the presentation of the</w:t>
      </w:r>
      <w:r w:rsidR="002117A2" w:rsidRPr="00572A5D">
        <w:rPr>
          <w:color w:val="000000" w:themeColor="text1"/>
        </w:rPr>
        <w:t xml:space="preserve"> </w:t>
      </w:r>
      <w:r w:rsidR="002117A2" w:rsidRPr="00572A5D">
        <w:rPr>
          <w:color w:val="000000" w:themeColor="text1"/>
        </w:rPr>
        <w:lastRenderedPageBreak/>
        <w:t>artefacts can be just as important; the enhancement of aesthetics is typically appealing to the eye</w:t>
      </w:r>
      <w:r w:rsidR="00D575FF" w:rsidRPr="00572A5D">
        <w:rPr>
          <w:color w:val="000000" w:themeColor="text1"/>
        </w:rPr>
        <w:t xml:space="preserve"> and helps to keep the ‘magic’ alive.</w:t>
      </w:r>
      <w:r w:rsidR="002117A2" w:rsidRPr="00572A5D">
        <w:rPr>
          <w:color w:val="000000" w:themeColor="text1"/>
        </w:rPr>
        <w:t xml:space="preserve"> </w:t>
      </w:r>
    </w:p>
    <w:p w14:paraId="004A981B" w14:textId="77777777" w:rsidR="004E7087" w:rsidRPr="00572A5D" w:rsidRDefault="004E7087" w:rsidP="002117A2">
      <w:pPr>
        <w:spacing w:line="360" w:lineRule="auto"/>
        <w:rPr>
          <w:color w:val="000000" w:themeColor="text1"/>
        </w:rPr>
      </w:pPr>
    </w:p>
    <w:p w14:paraId="049CC308" w14:textId="000BAF91" w:rsidR="002117A2" w:rsidRPr="00D0442B" w:rsidRDefault="002117A2" w:rsidP="002117A2">
      <w:pPr>
        <w:pStyle w:val="ListParagraph"/>
        <w:numPr>
          <w:ilvl w:val="0"/>
          <w:numId w:val="4"/>
        </w:numPr>
        <w:spacing w:line="360" w:lineRule="auto"/>
        <w:rPr>
          <w:b/>
          <w:color w:val="000000" w:themeColor="text1"/>
          <w:sz w:val="24"/>
          <w:szCs w:val="24"/>
        </w:rPr>
      </w:pPr>
      <w:r w:rsidRPr="00D0442B">
        <w:rPr>
          <w:b/>
          <w:color w:val="000000" w:themeColor="text1"/>
          <w:sz w:val="24"/>
          <w:szCs w:val="24"/>
        </w:rPr>
        <w:t xml:space="preserve">Tutankhamun: Treasures of the Golden Pharaoh (2019 – present) </w:t>
      </w:r>
    </w:p>
    <w:p w14:paraId="0CF2CFF8" w14:textId="30A6DB11" w:rsidR="002117A2" w:rsidRPr="00D0442B" w:rsidRDefault="002117A2" w:rsidP="002117A2">
      <w:pPr>
        <w:spacing w:line="360" w:lineRule="auto"/>
        <w:rPr>
          <w:color w:val="000000" w:themeColor="text1"/>
        </w:rPr>
      </w:pPr>
      <w:r w:rsidRPr="00D0442B">
        <w:rPr>
          <w:color w:val="000000" w:themeColor="text1"/>
        </w:rPr>
        <w:t>In 2019 Tutankhamun began</w:t>
      </w:r>
      <w:r w:rsidR="00D575FF" w:rsidRPr="00D0442B">
        <w:rPr>
          <w:color w:val="000000" w:themeColor="text1"/>
        </w:rPr>
        <w:t xml:space="preserve"> what is purported to be his last </w:t>
      </w:r>
      <w:r w:rsidRPr="00D0442B">
        <w:rPr>
          <w:color w:val="000000" w:themeColor="text1"/>
        </w:rPr>
        <w:t>worldwide tour</w:t>
      </w:r>
      <w:r w:rsidRPr="00D0442B">
        <w:rPr>
          <w:rStyle w:val="FootnoteReference"/>
          <w:color w:val="000000" w:themeColor="text1"/>
        </w:rPr>
        <w:footnoteReference w:id="233"/>
      </w:r>
      <w:r w:rsidR="007662BD" w:rsidRPr="00D0442B">
        <w:rPr>
          <w:color w:val="000000" w:themeColor="text1"/>
        </w:rPr>
        <w:t xml:space="preserve">. </w:t>
      </w:r>
      <w:r w:rsidRPr="00D0442B">
        <w:rPr>
          <w:color w:val="000000" w:themeColor="text1"/>
        </w:rPr>
        <w:t>In the United Kingdom the tour was being exhibited at the Saatchi Gallery in London, which was the third city in the ten-city tour worldwide</w:t>
      </w:r>
      <w:r w:rsidRPr="00D0442B">
        <w:rPr>
          <w:rStyle w:val="FootnoteReference"/>
          <w:color w:val="000000" w:themeColor="text1"/>
        </w:rPr>
        <w:footnoteReference w:id="234"/>
      </w:r>
      <w:r w:rsidRPr="00D0442B">
        <w:rPr>
          <w:color w:val="000000" w:themeColor="text1"/>
        </w:rPr>
        <w:t xml:space="preserve">. It was advertised as the largest Tutankhamun tour with masterpieces that will be leaving Egypt for the first </w:t>
      </w:r>
      <w:r w:rsidR="00731AC9" w:rsidRPr="00D0442B">
        <w:rPr>
          <w:color w:val="000000" w:themeColor="text1"/>
        </w:rPr>
        <w:t xml:space="preserve">and last </w:t>
      </w:r>
      <w:r w:rsidRPr="00D0442B">
        <w:rPr>
          <w:color w:val="000000" w:themeColor="text1"/>
        </w:rPr>
        <w:t>time</w:t>
      </w:r>
      <w:r w:rsidRPr="00D0442B">
        <w:rPr>
          <w:rStyle w:val="FootnoteReference"/>
          <w:color w:val="000000" w:themeColor="text1"/>
        </w:rPr>
        <w:footnoteReference w:id="235"/>
      </w:r>
      <w:r w:rsidRPr="00D0442B">
        <w:rPr>
          <w:color w:val="000000" w:themeColor="text1"/>
        </w:rPr>
        <w:t>. This tour of Tutankhamun is presented as the final tour because the artefacts will permanently belong in the upcoming Grand Egyptian Museum in Egypt, which is due to open in 2021</w:t>
      </w:r>
      <w:r w:rsidRPr="00D0442B">
        <w:rPr>
          <w:rStyle w:val="FootnoteReference"/>
          <w:color w:val="000000" w:themeColor="text1"/>
        </w:rPr>
        <w:footnoteReference w:id="236"/>
      </w:r>
      <w:r w:rsidRPr="00D0442B">
        <w:rPr>
          <w:color w:val="000000" w:themeColor="text1"/>
        </w:rPr>
        <w:t xml:space="preserve">. </w:t>
      </w:r>
      <w:r w:rsidR="0008589A" w:rsidRPr="00D0442B">
        <w:rPr>
          <w:color w:val="000000" w:themeColor="text1"/>
        </w:rPr>
        <w:t>60</w:t>
      </w:r>
      <w:r w:rsidRPr="00D0442B">
        <w:rPr>
          <w:color w:val="000000" w:themeColor="text1"/>
        </w:rPr>
        <w:t xml:space="preserve"> of the items on exhibition were leaving Egypt for the first time, whereas the ‘previous major travelling exhibitions contained only </w:t>
      </w:r>
      <w:r w:rsidR="0008589A" w:rsidRPr="00D0442B">
        <w:rPr>
          <w:color w:val="000000" w:themeColor="text1"/>
        </w:rPr>
        <w:t>55</w:t>
      </w:r>
      <w:r w:rsidRPr="00D0442B">
        <w:rPr>
          <w:color w:val="000000" w:themeColor="text1"/>
        </w:rPr>
        <w:t xml:space="preserve"> of King </w:t>
      </w:r>
      <w:proofErr w:type="spellStart"/>
      <w:r w:rsidRPr="00D0442B">
        <w:rPr>
          <w:color w:val="000000" w:themeColor="text1"/>
        </w:rPr>
        <w:t>Tut’s</w:t>
      </w:r>
      <w:proofErr w:type="spellEnd"/>
      <w:r w:rsidRPr="00D0442B">
        <w:rPr>
          <w:color w:val="000000" w:themeColor="text1"/>
        </w:rPr>
        <w:t xml:space="preserve"> funerary artefacts’</w:t>
      </w:r>
      <w:r w:rsidRPr="00D0442B">
        <w:rPr>
          <w:rStyle w:val="FootnoteReference"/>
          <w:color w:val="000000" w:themeColor="text1"/>
        </w:rPr>
        <w:footnoteReference w:id="237"/>
      </w:r>
      <w:r w:rsidRPr="00D0442B">
        <w:rPr>
          <w:color w:val="000000" w:themeColor="text1"/>
        </w:rPr>
        <w:t xml:space="preserve"> emphasising how big this supposed final tour was. </w:t>
      </w:r>
    </w:p>
    <w:p w14:paraId="5A210A33" w14:textId="0C2EF1B9" w:rsidR="002117A2" w:rsidRPr="00611F97" w:rsidRDefault="002117A2" w:rsidP="002117A2">
      <w:pPr>
        <w:spacing w:line="360" w:lineRule="auto"/>
        <w:rPr>
          <w:color w:val="000000" w:themeColor="text1"/>
        </w:rPr>
      </w:pPr>
      <w:r w:rsidRPr="00D0442B">
        <w:rPr>
          <w:color w:val="000000" w:themeColor="text1"/>
        </w:rPr>
        <w:t>The artefacts on this tour ‘exclusively focused on interpretation of the significance and meaning of the Kings burial items’</w:t>
      </w:r>
      <w:r w:rsidRPr="00D0442B">
        <w:rPr>
          <w:rStyle w:val="FootnoteReference"/>
          <w:color w:val="000000" w:themeColor="text1"/>
        </w:rPr>
        <w:footnoteReference w:id="238"/>
      </w:r>
      <w:r w:rsidRPr="00D0442B">
        <w:rPr>
          <w:color w:val="000000" w:themeColor="text1"/>
        </w:rPr>
        <w:t>.  The purpose of the tour is ‘financial and cultural’</w:t>
      </w:r>
      <w:r w:rsidRPr="00D0442B">
        <w:rPr>
          <w:rStyle w:val="FootnoteReference"/>
          <w:color w:val="000000" w:themeColor="text1"/>
        </w:rPr>
        <w:footnoteReference w:id="239"/>
      </w:r>
      <w:r w:rsidRPr="00D0442B">
        <w:rPr>
          <w:color w:val="000000" w:themeColor="text1"/>
        </w:rPr>
        <w:t>, ‘it is a promotion of Egypt’</w:t>
      </w:r>
      <w:r w:rsidRPr="00D0442B">
        <w:rPr>
          <w:rStyle w:val="FootnoteReference"/>
          <w:color w:val="000000" w:themeColor="text1"/>
        </w:rPr>
        <w:footnoteReference w:id="240"/>
      </w:r>
      <w:r w:rsidRPr="00D0442B">
        <w:rPr>
          <w:color w:val="000000" w:themeColor="text1"/>
        </w:rPr>
        <w:t>. It was also a tool to motivate tourists to visit Egypt due to a plummet in visitor numbers in recent decades because of political rivalries ‘including the 2011 revolution and unrest that followed, and a number of devastating terror attacks’</w:t>
      </w:r>
      <w:r w:rsidRPr="00D0442B">
        <w:rPr>
          <w:rStyle w:val="FootnoteReference"/>
          <w:color w:val="000000" w:themeColor="text1"/>
        </w:rPr>
        <w:footnoteReference w:id="241"/>
      </w:r>
      <w:r w:rsidRPr="00D0442B">
        <w:rPr>
          <w:color w:val="000000" w:themeColor="text1"/>
        </w:rPr>
        <w:t xml:space="preserve">. He was not purely used as a modern educational tool </w:t>
      </w:r>
      <w:r w:rsidRPr="00611F97">
        <w:rPr>
          <w:color w:val="000000" w:themeColor="text1"/>
        </w:rPr>
        <w:t xml:space="preserve">but continues as a commodity for functional and political gain. </w:t>
      </w:r>
    </w:p>
    <w:p w14:paraId="55C3FD37" w14:textId="4BCA77CB" w:rsidR="002117A2" w:rsidRPr="00611F97" w:rsidRDefault="007662BD" w:rsidP="002117A2">
      <w:pPr>
        <w:spacing w:line="360" w:lineRule="auto"/>
        <w:rPr>
          <w:color w:val="000000" w:themeColor="text1"/>
          <w:u w:val="single"/>
        </w:rPr>
      </w:pPr>
      <w:r w:rsidRPr="00611F97">
        <w:rPr>
          <w:color w:val="000000" w:themeColor="text1"/>
        </w:rPr>
        <w:t>This was a lavish, well organised and hugely popular exhibition; King Tutankhamun has lost none of his appeal. As a</w:t>
      </w:r>
      <w:r w:rsidR="002117A2" w:rsidRPr="00611F97">
        <w:rPr>
          <w:color w:val="000000" w:themeColor="text1"/>
        </w:rPr>
        <w:t>rchaeologist Thomas Dowson described the setting of the exhibition as ‘the lighting and presentation is fantastic, each gallery is dark, with the individual objects illuminated so they glow, the gold and jewels shining at you’</w:t>
      </w:r>
      <w:r w:rsidR="002117A2" w:rsidRPr="00611F97">
        <w:rPr>
          <w:rStyle w:val="FootnoteReference"/>
          <w:color w:val="000000" w:themeColor="text1"/>
        </w:rPr>
        <w:footnoteReference w:id="242"/>
      </w:r>
      <w:r w:rsidR="002117A2" w:rsidRPr="00611F97">
        <w:rPr>
          <w:color w:val="000000" w:themeColor="text1"/>
        </w:rPr>
        <w:t xml:space="preserve">. </w:t>
      </w:r>
      <w:r w:rsidRPr="00611F97">
        <w:rPr>
          <w:color w:val="000000" w:themeColor="text1"/>
        </w:rPr>
        <w:t>‘</w:t>
      </w:r>
      <w:r w:rsidR="002117A2" w:rsidRPr="00611F97">
        <w:rPr>
          <w:color w:val="000000" w:themeColor="text1"/>
        </w:rPr>
        <w:t>It’s Hollywood, but it works’</w:t>
      </w:r>
      <w:r w:rsidR="002117A2" w:rsidRPr="00611F97">
        <w:rPr>
          <w:rStyle w:val="FootnoteReference"/>
        </w:rPr>
        <w:footnoteReference w:id="243"/>
      </w:r>
      <w:r w:rsidRPr="00611F97">
        <w:t>, meaning the glam and shine of the exhibition works well with the presentation of Tutankhamun’s funerary items because it makes the objects glow and draws the visitor towards the prominent object in the room, such as in</w:t>
      </w:r>
      <w:r w:rsidR="002117A2" w:rsidRPr="00611F97">
        <w:rPr>
          <w:color w:val="000000" w:themeColor="text1"/>
        </w:rPr>
        <w:t xml:space="preserve"> </w:t>
      </w:r>
      <w:r w:rsidR="002117A2" w:rsidRPr="00611F97">
        <w:rPr>
          <w:color w:val="000000" w:themeColor="text1"/>
        </w:rPr>
        <w:lastRenderedPageBreak/>
        <w:t xml:space="preserve">the final gallery is a large </w:t>
      </w:r>
      <w:r w:rsidR="0076380A" w:rsidRPr="00611F97">
        <w:rPr>
          <w:color w:val="000000" w:themeColor="text1"/>
        </w:rPr>
        <w:t xml:space="preserve">colossal </w:t>
      </w:r>
      <w:r w:rsidR="002117A2" w:rsidRPr="00611F97">
        <w:rPr>
          <w:color w:val="000000" w:themeColor="text1"/>
        </w:rPr>
        <w:t>single statue</w:t>
      </w:r>
      <w:r w:rsidR="0076380A" w:rsidRPr="00611F97">
        <w:rPr>
          <w:color w:val="000000" w:themeColor="text1"/>
        </w:rPr>
        <w:t xml:space="preserve"> of Tutankhamun</w:t>
      </w:r>
      <w:r w:rsidR="002117A2" w:rsidRPr="00611F97">
        <w:rPr>
          <w:color w:val="000000" w:themeColor="text1"/>
        </w:rPr>
        <w:t xml:space="preserve">. </w:t>
      </w:r>
      <w:r w:rsidR="009438D2" w:rsidRPr="00611F97">
        <w:rPr>
          <w:color w:val="000000" w:themeColor="text1"/>
        </w:rPr>
        <w:t>Presenting Tutankhamun as a commodity rather than an historical figure.</w:t>
      </w:r>
      <w:r w:rsidR="009438D2" w:rsidRPr="00611F97">
        <w:rPr>
          <w:color w:val="000000" w:themeColor="text1"/>
          <w:u w:val="single"/>
        </w:rPr>
        <w:t xml:space="preserve"> </w:t>
      </w:r>
    </w:p>
    <w:p w14:paraId="479D7925" w14:textId="69E1B1B1" w:rsidR="00D575FF" w:rsidRPr="00611F97" w:rsidRDefault="002117A2" w:rsidP="00D575FF">
      <w:pPr>
        <w:spacing w:line="360" w:lineRule="auto"/>
        <w:rPr>
          <w:color w:val="000000" w:themeColor="text1"/>
        </w:rPr>
      </w:pPr>
      <w:r w:rsidRPr="00611F97">
        <w:rPr>
          <w:color w:val="000000" w:themeColor="text1"/>
        </w:rPr>
        <w:t>Whil</w:t>
      </w:r>
      <w:r w:rsidR="00D575FF" w:rsidRPr="00611F97">
        <w:rPr>
          <w:color w:val="000000" w:themeColor="text1"/>
        </w:rPr>
        <w:t>st</w:t>
      </w:r>
      <w:r w:rsidRPr="00611F97">
        <w:rPr>
          <w:color w:val="000000" w:themeColor="text1"/>
        </w:rPr>
        <w:t xml:space="preserve"> there may have been some disappointment </w:t>
      </w:r>
      <w:r w:rsidR="00D575FF" w:rsidRPr="00611F97">
        <w:rPr>
          <w:color w:val="000000" w:themeColor="text1"/>
        </w:rPr>
        <w:t>as</w:t>
      </w:r>
      <w:r w:rsidRPr="00611F97">
        <w:rPr>
          <w:color w:val="000000" w:themeColor="text1"/>
        </w:rPr>
        <w:t xml:space="preserve"> typical objects such as the golden death mask or the chariot not being present on the tour, it is </w:t>
      </w:r>
      <w:r w:rsidR="00333867" w:rsidRPr="00611F97">
        <w:rPr>
          <w:color w:val="000000" w:themeColor="text1"/>
        </w:rPr>
        <w:t xml:space="preserve">interesting to note that the disappointment showed that the commodity of Tutankhamun is still present and more important than the education and informational aspects. The </w:t>
      </w:r>
      <w:r w:rsidRPr="00611F97">
        <w:rPr>
          <w:color w:val="000000" w:themeColor="text1"/>
        </w:rPr>
        <w:t>objects that were on tour</w:t>
      </w:r>
      <w:r w:rsidR="00333867" w:rsidRPr="00611F97">
        <w:rPr>
          <w:color w:val="000000" w:themeColor="text1"/>
        </w:rPr>
        <w:t xml:space="preserve"> were to</w:t>
      </w:r>
      <w:r w:rsidRPr="00611F97">
        <w:rPr>
          <w:color w:val="000000" w:themeColor="text1"/>
        </w:rPr>
        <w:t xml:space="preserve"> bring you an enchantment of understanding the human behind the king Tutankhamun </w:t>
      </w:r>
      <w:r w:rsidR="00AC50D2" w:rsidRPr="00611F97">
        <w:rPr>
          <w:color w:val="000000" w:themeColor="text1"/>
        </w:rPr>
        <w:t xml:space="preserve">westernised </w:t>
      </w:r>
      <w:r w:rsidRPr="00611F97">
        <w:rPr>
          <w:color w:val="000000" w:themeColor="text1"/>
        </w:rPr>
        <w:t>commodity. For example, ‘including a tiny wooden chair that the exhibition</w:t>
      </w:r>
      <w:r w:rsidR="00D575FF" w:rsidRPr="00611F97">
        <w:rPr>
          <w:color w:val="000000" w:themeColor="text1"/>
        </w:rPr>
        <w:t>’</w:t>
      </w:r>
      <w:r w:rsidRPr="00611F97">
        <w:rPr>
          <w:color w:val="000000" w:themeColor="text1"/>
        </w:rPr>
        <w:t xml:space="preserve">s curator, Tarek el </w:t>
      </w:r>
      <w:proofErr w:type="spellStart"/>
      <w:r w:rsidRPr="00611F97">
        <w:rPr>
          <w:color w:val="000000" w:themeColor="text1"/>
        </w:rPr>
        <w:t>Awady</w:t>
      </w:r>
      <w:proofErr w:type="spellEnd"/>
      <w:r w:rsidRPr="00611F97">
        <w:rPr>
          <w:color w:val="000000" w:themeColor="text1"/>
        </w:rPr>
        <w:t>, said was likely to be the very throne on which the nine-year-old Tutankhamun was crowned’</w:t>
      </w:r>
      <w:r w:rsidRPr="00611F97">
        <w:rPr>
          <w:rStyle w:val="FootnoteReference"/>
          <w:color w:val="000000" w:themeColor="text1"/>
        </w:rPr>
        <w:footnoteReference w:id="244"/>
      </w:r>
      <w:r w:rsidR="003B7D44" w:rsidRPr="00611F97">
        <w:rPr>
          <w:color w:val="000000" w:themeColor="text1"/>
        </w:rPr>
        <w:t xml:space="preserve">, while this is not confirmed but it certainly add to the marketing of a ‘cute’ commodity. </w:t>
      </w:r>
    </w:p>
    <w:p w14:paraId="6A5A331F" w14:textId="37F04CC8" w:rsidR="004F2860" w:rsidRDefault="004F2860" w:rsidP="00D575FF">
      <w:pPr>
        <w:spacing w:line="360" w:lineRule="auto"/>
        <w:rPr>
          <w:color w:val="000000" w:themeColor="text1"/>
        </w:rPr>
      </w:pPr>
      <w:r w:rsidRPr="00611F97">
        <w:rPr>
          <w:color w:val="000000" w:themeColor="text1"/>
        </w:rPr>
        <w:t>The merchandise presented at the end of the exhibition were objects that represented the beauty and atheistic side of ancient Egypt, this was deliberate, because the glam</w:t>
      </w:r>
      <w:r w:rsidR="003B7D44" w:rsidRPr="00611F97">
        <w:rPr>
          <w:color w:val="000000" w:themeColor="text1"/>
        </w:rPr>
        <w:t>our</w:t>
      </w:r>
      <w:r w:rsidRPr="00611F97">
        <w:rPr>
          <w:color w:val="000000" w:themeColor="text1"/>
        </w:rPr>
        <w:t xml:space="preserve"> would be a natural appeal to humans. The design of the merchandise was to provide the visitor </w:t>
      </w:r>
      <w:r w:rsidR="003B7D44" w:rsidRPr="00611F97">
        <w:rPr>
          <w:color w:val="000000" w:themeColor="text1"/>
        </w:rPr>
        <w:t xml:space="preserve">with a </w:t>
      </w:r>
      <w:r w:rsidRPr="00611F97">
        <w:rPr>
          <w:color w:val="000000" w:themeColor="text1"/>
        </w:rPr>
        <w:t>remembrance of the exhibition, but mainly to raise money for the new exhibition of Tutankhamun at the Grand Egyptian Museum.</w:t>
      </w:r>
      <w:r>
        <w:rPr>
          <w:color w:val="000000" w:themeColor="text1"/>
        </w:rPr>
        <w:t xml:space="preserve"> </w:t>
      </w:r>
    </w:p>
    <w:p w14:paraId="4DAAE956" w14:textId="30C659A7" w:rsidR="004F2860" w:rsidRDefault="004F2860" w:rsidP="00D575FF">
      <w:pPr>
        <w:spacing w:line="360" w:lineRule="auto"/>
        <w:rPr>
          <w:color w:val="000000" w:themeColor="text1"/>
        </w:rPr>
      </w:pPr>
    </w:p>
    <w:p w14:paraId="446A2FE3" w14:textId="38BBF799" w:rsidR="004F2860" w:rsidRDefault="004F2860" w:rsidP="00D575FF">
      <w:pPr>
        <w:spacing w:line="360" w:lineRule="auto"/>
        <w:rPr>
          <w:color w:val="000000" w:themeColor="text1"/>
        </w:rPr>
      </w:pPr>
    </w:p>
    <w:p w14:paraId="1E168426" w14:textId="60D857EE" w:rsidR="004F2860" w:rsidRDefault="004F2860" w:rsidP="00D575FF">
      <w:pPr>
        <w:spacing w:line="360" w:lineRule="auto"/>
        <w:rPr>
          <w:color w:val="000000" w:themeColor="text1"/>
        </w:rPr>
      </w:pPr>
    </w:p>
    <w:p w14:paraId="66B23327" w14:textId="5D615C5F" w:rsidR="004F2860" w:rsidRDefault="004F2860" w:rsidP="00D575FF">
      <w:pPr>
        <w:spacing w:line="360" w:lineRule="auto"/>
        <w:rPr>
          <w:color w:val="000000" w:themeColor="text1"/>
        </w:rPr>
      </w:pPr>
    </w:p>
    <w:p w14:paraId="7B21965A" w14:textId="529205D6" w:rsidR="004F2860" w:rsidRDefault="004F2860" w:rsidP="00D575FF">
      <w:pPr>
        <w:spacing w:line="360" w:lineRule="auto"/>
        <w:rPr>
          <w:color w:val="000000" w:themeColor="text1"/>
        </w:rPr>
      </w:pPr>
    </w:p>
    <w:p w14:paraId="46F6C86B" w14:textId="04739D5F" w:rsidR="004F2860" w:rsidRDefault="004F2860" w:rsidP="00D575FF">
      <w:pPr>
        <w:spacing w:line="360" w:lineRule="auto"/>
        <w:rPr>
          <w:color w:val="000000" w:themeColor="text1"/>
        </w:rPr>
      </w:pPr>
    </w:p>
    <w:p w14:paraId="6268F996" w14:textId="703BD28B" w:rsidR="004F2860" w:rsidRDefault="004F2860" w:rsidP="00D575FF">
      <w:pPr>
        <w:spacing w:line="360" w:lineRule="auto"/>
        <w:rPr>
          <w:color w:val="000000" w:themeColor="text1"/>
        </w:rPr>
      </w:pPr>
    </w:p>
    <w:p w14:paraId="420923A5" w14:textId="73A9423C" w:rsidR="004F2860" w:rsidRDefault="004F2860" w:rsidP="00D575FF">
      <w:pPr>
        <w:spacing w:line="360" w:lineRule="auto"/>
        <w:rPr>
          <w:color w:val="000000" w:themeColor="text1"/>
        </w:rPr>
      </w:pPr>
    </w:p>
    <w:p w14:paraId="3F5EFB12" w14:textId="39D2C45F" w:rsidR="004F2860" w:rsidRDefault="004F2860" w:rsidP="00D575FF">
      <w:pPr>
        <w:spacing w:line="360" w:lineRule="auto"/>
        <w:rPr>
          <w:color w:val="000000" w:themeColor="text1"/>
        </w:rPr>
      </w:pPr>
    </w:p>
    <w:p w14:paraId="65C43A64" w14:textId="3400EBEA" w:rsidR="004F2860" w:rsidRDefault="004F2860" w:rsidP="00D575FF">
      <w:pPr>
        <w:spacing w:line="360" w:lineRule="auto"/>
        <w:rPr>
          <w:color w:val="000000" w:themeColor="text1"/>
        </w:rPr>
      </w:pPr>
    </w:p>
    <w:p w14:paraId="226744D4" w14:textId="6EC8442B" w:rsidR="004F2860" w:rsidRDefault="004F2860" w:rsidP="00D575FF">
      <w:pPr>
        <w:spacing w:line="360" w:lineRule="auto"/>
        <w:rPr>
          <w:color w:val="000000" w:themeColor="text1"/>
        </w:rPr>
      </w:pPr>
    </w:p>
    <w:p w14:paraId="5164CC63" w14:textId="77777777" w:rsidR="009438D2" w:rsidRPr="00D0442B" w:rsidRDefault="009438D2" w:rsidP="009438D2">
      <w:pPr>
        <w:tabs>
          <w:tab w:val="left" w:pos="1620"/>
        </w:tabs>
        <w:spacing w:line="360" w:lineRule="auto"/>
        <w:rPr>
          <w:color w:val="000000" w:themeColor="text1"/>
        </w:rPr>
      </w:pPr>
    </w:p>
    <w:p w14:paraId="4C84A7F6" w14:textId="59644375" w:rsidR="00A533FD" w:rsidRPr="0026094A" w:rsidRDefault="002117A2" w:rsidP="0026094A">
      <w:pPr>
        <w:tabs>
          <w:tab w:val="left" w:pos="1620"/>
        </w:tabs>
        <w:spacing w:line="360" w:lineRule="auto"/>
        <w:jc w:val="center"/>
        <w:rPr>
          <w:color w:val="000000" w:themeColor="text1"/>
        </w:rPr>
      </w:pPr>
      <w:r w:rsidRPr="00D0442B">
        <w:rPr>
          <w:b/>
          <w:bCs/>
          <w:color w:val="000000" w:themeColor="text1"/>
          <w:sz w:val="28"/>
          <w:szCs w:val="28"/>
          <w:u w:val="single"/>
        </w:rPr>
        <w:lastRenderedPageBreak/>
        <w:t>Conclusion</w:t>
      </w:r>
    </w:p>
    <w:p w14:paraId="6EE0E714" w14:textId="18BE63DC" w:rsidR="0026094A" w:rsidRDefault="0026094A" w:rsidP="0026094A">
      <w:pPr>
        <w:spacing w:line="360" w:lineRule="auto"/>
      </w:pPr>
      <w:r>
        <w:t>In conclusion, the aspect of motives and purpose of the exploitation of the westernised commodity; Tutankhamun, can be evident from the imperialism and nationalism conflict from the discovery of the tomb and modern-day presentation. The fascination with Egypt can be traced back to the fifth century, when Herodotus first visited Egypt and the Romans who wanted to be aware of potential opponent</w:t>
      </w:r>
      <w:r w:rsidR="003B7D44">
        <w:t>s</w:t>
      </w:r>
      <w:r>
        <w:t xml:space="preserve">. </w:t>
      </w:r>
    </w:p>
    <w:p w14:paraId="450DEE5D" w14:textId="2ED7F2AB" w:rsidR="0026094A" w:rsidRDefault="0026094A" w:rsidP="0026094A">
      <w:pPr>
        <w:spacing w:line="360" w:lineRule="auto"/>
      </w:pPr>
      <w:r>
        <w:t xml:space="preserve">The beginning of exploitation of Egyptian artefacts began in 1798, when Napoleon led his expedition to Egypt, resulting in a European rivalry regarding the art and architect that Egypt had, with the British and the French in the lead. The expedition led to a political conflict between the French and the British, regarding the ownership of the Rosetta stone and the decipherment of the hieroglyphs, to see who could be the most prestige. Europeans having ownership of Egyptian antiquities was not an uncommon practice, which can be seen by Belzoni and Borchardt excavation work. It was not until the discovery of Tutankhamun, </w:t>
      </w:r>
      <w:r w:rsidR="003B7D44">
        <w:t xml:space="preserve">that </w:t>
      </w:r>
      <w:r>
        <w:t xml:space="preserve">the Egyptian government </w:t>
      </w:r>
      <w:r w:rsidR="003B7D44">
        <w:t>took</w:t>
      </w:r>
      <w:r>
        <w:t xml:space="preserve"> control and said no artefacts were to leave Egypt. As imagined, this caused conflict with</w:t>
      </w:r>
      <w:r w:rsidR="003B7D44">
        <w:t xml:space="preserve"> the</w:t>
      </w:r>
      <w:r>
        <w:t xml:space="preserve"> Egyptian government and British archaeologist, Howard Carter</w:t>
      </w:r>
      <w:r>
        <w:rPr>
          <w:rStyle w:val="FootnoteReference"/>
        </w:rPr>
        <w:footnoteReference w:id="245"/>
      </w:r>
      <w:r>
        <w:t xml:space="preserve">. </w:t>
      </w:r>
    </w:p>
    <w:p w14:paraId="427E489E" w14:textId="77777777" w:rsidR="0026094A" w:rsidRPr="00AE4B3A" w:rsidRDefault="0026094A" w:rsidP="0026094A">
      <w:pPr>
        <w:spacing w:line="360" w:lineRule="auto"/>
        <w:rPr>
          <w:color w:val="000000" w:themeColor="text1"/>
        </w:rPr>
      </w:pPr>
      <w:r>
        <w:rPr>
          <w:color w:val="000000" w:themeColor="text1"/>
        </w:rPr>
        <w:t xml:space="preserve">Carter made the decision to go on strike and abandoned the tomb temporarily, Pierre </w:t>
      </w:r>
      <w:proofErr w:type="spellStart"/>
      <w:r>
        <w:rPr>
          <w:color w:val="000000" w:themeColor="text1"/>
        </w:rPr>
        <w:t>Lacaus</w:t>
      </w:r>
      <w:proofErr w:type="spellEnd"/>
      <w:r>
        <w:rPr>
          <w:color w:val="000000" w:themeColor="text1"/>
        </w:rPr>
        <w:t xml:space="preserve">, the head of the Egyptian Antiquity Service (EAS), seized the tomb and said all findings from the discovery of Tutankhamun’s tomb belonged to Cairo Museum and were not to leave Egypt. Despite the political conflict, the discovery could not have come at a better time for the Egyptians or the British. This was the beginning for the Egyptians to take ownership over their own heritage and antiquity, known as </w:t>
      </w:r>
      <w:proofErr w:type="spellStart"/>
      <w:r>
        <w:rPr>
          <w:color w:val="000000" w:themeColor="text1"/>
        </w:rPr>
        <w:t>pharaonism</w:t>
      </w:r>
      <w:proofErr w:type="spellEnd"/>
      <w:r>
        <w:rPr>
          <w:color w:val="000000" w:themeColor="text1"/>
        </w:rPr>
        <w:t xml:space="preserve">, which can be observed by the Egyptians not allowing the British to take Tutankhamun’s tomb objects out of Egypt. While for the British they were experiencing much deflation and the discovery lead to a mania, causing a much-needed boost in morale. </w:t>
      </w:r>
    </w:p>
    <w:p w14:paraId="01B49F48" w14:textId="0B351864" w:rsidR="0026094A" w:rsidRDefault="0026094A" w:rsidP="0026094A">
      <w:pPr>
        <w:spacing w:line="360" w:lineRule="auto"/>
      </w:pPr>
      <w:r>
        <w:rPr>
          <w:color w:val="000000" w:themeColor="text1"/>
        </w:rPr>
        <w:t xml:space="preserve">The battle for Egyptian nationalism was at its peak, Egypt had gained partial independence from the British and this influenced the experience and interpretation of the discovery of Tutankhamun’s tomb, regarding ownership and the presentation of Tutankhamun. Egypt was partially independent and lead to the formation of EAS. </w:t>
      </w:r>
      <w:r>
        <w:t xml:space="preserve">With </w:t>
      </w:r>
      <w:proofErr w:type="spellStart"/>
      <w:r>
        <w:t>pharaonism</w:t>
      </w:r>
      <w:proofErr w:type="spellEnd"/>
      <w:r>
        <w:t xml:space="preserve"> becoming popular during the 1920’s, elite Egyptians were beginning to put Egyptian nationalism first. This can be seen in the new</w:t>
      </w:r>
      <w:r w:rsidR="003B7D44">
        <w:t>ly</w:t>
      </w:r>
      <w:r>
        <w:t xml:space="preserve"> organised system (EAS) that would control artefacts in Egypt, however this system was put under French control for 94 years. The idea of </w:t>
      </w:r>
      <w:proofErr w:type="spellStart"/>
      <w:r>
        <w:t>pharaonism</w:t>
      </w:r>
      <w:proofErr w:type="spellEnd"/>
      <w:r>
        <w:t xml:space="preserve"> was </w:t>
      </w:r>
      <w:r w:rsidR="003B7D44">
        <w:t xml:space="preserve">evident </w:t>
      </w:r>
      <w:r>
        <w:t>by the Egyptians showing some control, however not full control</w:t>
      </w:r>
      <w:r w:rsidR="003B7D44">
        <w:t xml:space="preserve">, </w:t>
      </w:r>
      <w:r>
        <w:t>due to allowing the French the play a large part.</w:t>
      </w:r>
    </w:p>
    <w:p w14:paraId="094F4462" w14:textId="2584F7E8" w:rsidR="0026094A" w:rsidRDefault="0026094A" w:rsidP="0026094A">
      <w:pPr>
        <w:spacing w:line="360" w:lineRule="auto"/>
      </w:pPr>
      <w:r>
        <w:lastRenderedPageBreak/>
        <w:t>As discussed, it was common practice for Europeans to excavate and take Egyptian artefacts, Egyptians allowed this as they did not see their heritage as important</w:t>
      </w:r>
      <w:r w:rsidR="003B7D44">
        <w:t xml:space="preserve"> until</w:t>
      </w:r>
      <w:r>
        <w:t xml:space="preserve"> the 19</w:t>
      </w:r>
      <w:r w:rsidRPr="00AE4B3A">
        <w:rPr>
          <w:vertAlign w:val="superscript"/>
        </w:rPr>
        <w:t>th</w:t>
      </w:r>
      <w:r>
        <w:t xml:space="preserve"> century</w:t>
      </w:r>
      <w:r>
        <w:rPr>
          <w:rStyle w:val="FootnoteReference"/>
        </w:rPr>
        <w:footnoteReference w:id="246"/>
      </w:r>
      <w:r>
        <w:t xml:space="preserve">. The Egyptian government asked worldwide museums for the return of Egyptian artefacts; however, this was ignored and resulted in a loss of Egyptian power </w:t>
      </w:r>
      <w:r w:rsidR="003B7D44">
        <w:t>over</w:t>
      </w:r>
      <w:r>
        <w:t xml:space="preserve"> the first Egyptian artefacts that were discovered. </w:t>
      </w:r>
    </w:p>
    <w:p w14:paraId="40FF120F" w14:textId="2D7013A8" w:rsidR="0026094A" w:rsidRPr="00AE4B3A" w:rsidRDefault="0026094A" w:rsidP="0026094A">
      <w:pPr>
        <w:spacing w:line="360" w:lineRule="auto"/>
        <w:rPr>
          <w:b/>
          <w:bCs/>
          <w:color w:val="000000" w:themeColor="text1"/>
          <w:sz w:val="28"/>
          <w:szCs w:val="28"/>
          <w:u w:val="single"/>
        </w:rPr>
      </w:pPr>
      <w:r>
        <w:rPr>
          <w:color w:val="000000" w:themeColor="text1"/>
        </w:rPr>
        <w:t>As Tutankhamun reigned only for a short period, he did not leave a mark on history like his father o</w:t>
      </w:r>
      <w:r w:rsidR="00560AA7">
        <w:rPr>
          <w:color w:val="000000" w:themeColor="text1"/>
        </w:rPr>
        <w:t xml:space="preserve">r </w:t>
      </w:r>
      <w:r>
        <w:rPr>
          <w:color w:val="000000" w:themeColor="text1"/>
        </w:rPr>
        <w:t xml:space="preserve">grandfather, but the discovery of his relatively undisturbed tomb did and lead to a modern obsession. There does not seem to be only one reason for this modern obsession but a combination of the tomb being almost completely intact, it being regarded as one of the best ancient discoveries, the fact that it was a peculiar burial for the New Kingdom or because at the time of discovery there was a major conflict of ownership. All aspects could be argued to be the reason, but together they create a big </w:t>
      </w:r>
      <w:r w:rsidRPr="00AE4B3A">
        <w:rPr>
          <w:color w:val="000000" w:themeColor="text1"/>
        </w:rPr>
        <w:t xml:space="preserve">impact. </w:t>
      </w:r>
      <w:r w:rsidRPr="00AE4B3A">
        <w:t xml:space="preserve">The fascination of Tutankhamun is a relatively recent obsession, but the full reasons behind this </w:t>
      </w:r>
      <w:proofErr w:type="gramStart"/>
      <w:r w:rsidRPr="00AE4B3A">
        <w:t>still remains</w:t>
      </w:r>
      <w:proofErr w:type="gramEnd"/>
      <w:r w:rsidRPr="00AE4B3A">
        <w:t xml:space="preserve"> a complicated mystery.</w:t>
      </w:r>
    </w:p>
    <w:p w14:paraId="1464AB99" w14:textId="5097A8F4" w:rsidR="0026094A" w:rsidRDefault="0026094A" w:rsidP="0026094A">
      <w:pPr>
        <w:spacing w:line="360" w:lineRule="auto"/>
        <w:rPr>
          <w:color w:val="000000" w:themeColor="text1"/>
        </w:rPr>
      </w:pPr>
      <w:r>
        <w:rPr>
          <w:color w:val="000000" w:themeColor="text1"/>
        </w:rPr>
        <w:t xml:space="preserve">Tutankhamun and the tomb findings went on worldwide tours and the displays appear to have </w:t>
      </w:r>
      <w:r w:rsidR="003B7D44">
        <w:rPr>
          <w:color w:val="000000" w:themeColor="text1"/>
        </w:rPr>
        <w:t xml:space="preserve">become </w:t>
      </w:r>
      <w:r>
        <w:rPr>
          <w:color w:val="000000" w:themeColor="text1"/>
        </w:rPr>
        <w:t xml:space="preserve">larger over the years, with </w:t>
      </w:r>
      <w:r w:rsidR="003B7D44">
        <w:rPr>
          <w:color w:val="000000" w:themeColor="text1"/>
        </w:rPr>
        <w:t xml:space="preserve">more </w:t>
      </w:r>
      <w:r>
        <w:rPr>
          <w:color w:val="000000" w:themeColor="text1"/>
        </w:rPr>
        <w:t xml:space="preserve">objects and the number of visitors. </w:t>
      </w:r>
      <w:proofErr w:type="gramStart"/>
      <w:r>
        <w:rPr>
          <w:color w:val="000000" w:themeColor="text1"/>
        </w:rPr>
        <w:t xml:space="preserve">The </w:t>
      </w:r>
      <w:r>
        <w:rPr>
          <w:i/>
          <w:iCs/>
          <w:color w:val="000000" w:themeColor="text1"/>
        </w:rPr>
        <w:t>Treasures of Tutankhamun</w:t>
      </w:r>
      <w:r>
        <w:rPr>
          <w:color w:val="000000" w:themeColor="text1"/>
        </w:rPr>
        <w:t xml:space="preserve"> tour,</w:t>
      </w:r>
      <w:proofErr w:type="gramEnd"/>
      <w:r>
        <w:rPr>
          <w:color w:val="000000" w:themeColor="text1"/>
        </w:rPr>
        <w:t xml:space="preserve"> was the first tour of Tutankhamun to reach Britain. The presentation appears to have been just as important as the objects on show; the lay out was the same as the discovery site, perhaps giving people a virtual experience, the most extravagant objects were displayed central in rooms and the use of flashy photography. The most likely reason for this would be to attract more visitors to the exhibition and to ensure they would leave feeling amazed. </w:t>
      </w:r>
    </w:p>
    <w:p w14:paraId="7517D52F" w14:textId="703DB504" w:rsidR="0026094A" w:rsidRDefault="0026094A" w:rsidP="0026094A">
      <w:pPr>
        <w:spacing w:line="360" w:lineRule="auto"/>
        <w:rPr>
          <w:color w:val="000000" w:themeColor="text1"/>
        </w:rPr>
      </w:pPr>
      <w:r>
        <w:rPr>
          <w:i/>
          <w:iCs/>
          <w:color w:val="000000" w:themeColor="text1"/>
        </w:rPr>
        <w:t>Tutankhamun and Golden Pharaohs</w:t>
      </w:r>
      <w:r>
        <w:rPr>
          <w:color w:val="000000" w:themeColor="text1"/>
        </w:rPr>
        <w:t xml:space="preserve"> tour was in Britain in 2004 to 2007. There were many objects on this tour because it consisted of Tutankhamun tomb items and items from other pharaohs tomb who were related to Tutankhamun; an attempt to represent a fuller picture of ancient Egyptian history, culture and heritage, however the public still enthralled by the mystery and glamour rather than the history. Here the concept of </w:t>
      </w:r>
      <w:proofErr w:type="spellStart"/>
      <w:r>
        <w:rPr>
          <w:color w:val="000000" w:themeColor="text1"/>
        </w:rPr>
        <w:t>pharaonism</w:t>
      </w:r>
      <w:proofErr w:type="spellEnd"/>
      <w:r>
        <w:rPr>
          <w:color w:val="000000" w:themeColor="text1"/>
        </w:rPr>
        <w:t xml:space="preserve"> was attempted to a point but was not well </w:t>
      </w:r>
      <w:r w:rsidR="003B7D44">
        <w:rPr>
          <w:color w:val="000000" w:themeColor="text1"/>
        </w:rPr>
        <w:t>appreciated</w:t>
      </w:r>
      <w:r>
        <w:rPr>
          <w:color w:val="000000" w:themeColor="text1"/>
        </w:rPr>
        <w:t xml:space="preserve"> by the public. </w:t>
      </w:r>
    </w:p>
    <w:p w14:paraId="2E5A6CA7" w14:textId="2F026D35" w:rsidR="0026094A" w:rsidRDefault="0026094A" w:rsidP="0026094A">
      <w:pPr>
        <w:spacing w:line="360" w:lineRule="auto"/>
        <w:rPr>
          <w:color w:val="000000" w:themeColor="text1"/>
        </w:rPr>
      </w:pPr>
      <w:r>
        <w:rPr>
          <w:color w:val="000000" w:themeColor="text1"/>
        </w:rPr>
        <w:t xml:space="preserve">The most recent tour is </w:t>
      </w:r>
      <w:r>
        <w:rPr>
          <w:i/>
          <w:iCs/>
          <w:color w:val="000000" w:themeColor="text1"/>
        </w:rPr>
        <w:t xml:space="preserve">Tutankhamun: Treasures of the Golden Pharaoh, </w:t>
      </w:r>
      <w:r w:rsidRPr="00597140">
        <w:rPr>
          <w:color w:val="000000" w:themeColor="text1"/>
        </w:rPr>
        <w:t xml:space="preserve">which </w:t>
      </w:r>
      <w:r>
        <w:rPr>
          <w:color w:val="000000" w:themeColor="text1"/>
        </w:rPr>
        <w:t xml:space="preserve">started in 2019 and is due to continue until 2021. The tour is for cultural and financial purposes; in hope that it will attract more people to visit Egypt and the profit of the exhibition will be contributed to the new Egyptian museum in Cairo. The tour consisted of 60 objects that had never left Egypt before, which emphasizes the size of the tour and mostly likely on tour to attract a higher number of visitors, </w:t>
      </w:r>
      <w:r>
        <w:rPr>
          <w:color w:val="000000" w:themeColor="text1"/>
        </w:rPr>
        <w:lastRenderedPageBreak/>
        <w:t xml:space="preserve">including ones that had been </w:t>
      </w:r>
      <w:r w:rsidR="003B7D44">
        <w:rPr>
          <w:color w:val="000000" w:themeColor="text1"/>
        </w:rPr>
        <w:t>on</w:t>
      </w:r>
      <w:r>
        <w:rPr>
          <w:color w:val="000000" w:themeColor="text1"/>
        </w:rPr>
        <w:t xml:space="preserve"> previous Tutankhamun tours. Objects were presented in relatively dark rooms with spotlights to illuminate objects, emphasising the glam. </w:t>
      </w:r>
    </w:p>
    <w:p w14:paraId="5E0710D1" w14:textId="77777777" w:rsidR="0026094A" w:rsidRDefault="0026094A" w:rsidP="0026094A">
      <w:pPr>
        <w:spacing w:line="360" w:lineRule="auto"/>
      </w:pPr>
      <w:r>
        <w:rPr>
          <w:color w:val="000000" w:themeColor="text1"/>
        </w:rPr>
        <w:t xml:space="preserve">Over time it appears that the tours have kept to a glamorous presentation, but the objects on show were not necessarily just the wealthy objects but objects that represent the king himself, and the ancient Egyptian culture, evident in the final tour. </w:t>
      </w:r>
    </w:p>
    <w:p w14:paraId="1DBF40DA" w14:textId="152B5C45" w:rsidR="00FC0C8D" w:rsidRPr="00600DF6" w:rsidRDefault="00FC0C8D" w:rsidP="00FC0C8D">
      <w:pPr>
        <w:spacing w:line="360" w:lineRule="auto"/>
        <w:rPr>
          <w:color w:val="000000" w:themeColor="text1"/>
        </w:rPr>
      </w:pPr>
      <w:r w:rsidRPr="00600DF6">
        <w:rPr>
          <w:color w:val="000000" w:themeColor="text1"/>
        </w:rPr>
        <w:t xml:space="preserve">Source searching for reliable and credible information regarding the previous worldwide tours of Tutankhamun proved to be difficult; internet searching often brought up the latest tour, resulting in some information being limited. When reading some of the older literature, such as Carter’s diary entries, consisted of some biases against the Egyptian government and their interference during the excavation of Tutankhamun’s tomb. </w:t>
      </w:r>
      <w:r w:rsidR="00A628F8" w:rsidRPr="00600DF6">
        <w:rPr>
          <w:color w:val="000000" w:themeColor="text1"/>
        </w:rPr>
        <w:t xml:space="preserve">The high volume of sources available meant much time was consumed by reading and information gathering, this also led to potential diversions from the topic of this dissertation. Conflicting information regarding the pharaoh himself, his ancestry and his burial provided more confusion and ambiguity about Tutankhamun’s life and afterlife. </w:t>
      </w:r>
    </w:p>
    <w:p w14:paraId="0F9BA8AB" w14:textId="124B180A" w:rsidR="00A533FD" w:rsidRPr="00FC0C8D" w:rsidRDefault="00FC0C8D" w:rsidP="0026094A">
      <w:pPr>
        <w:spacing w:line="360" w:lineRule="auto"/>
        <w:rPr>
          <w:color w:val="000000" w:themeColor="text1"/>
        </w:rPr>
      </w:pPr>
      <w:r w:rsidRPr="00600DF6">
        <w:rPr>
          <w:color w:val="000000" w:themeColor="text1"/>
        </w:rPr>
        <w:t xml:space="preserve">Despite some limitations, the dissertation </w:t>
      </w:r>
      <w:proofErr w:type="gramStart"/>
      <w:r w:rsidRPr="00600DF6">
        <w:rPr>
          <w:color w:val="000000" w:themeColor="text1"/>
        </w:rPr>
        <w:t>is able to</w:t>
      </w:r>
      <w:proofErr w:type="gramEnd"/>
      <w:r w:rsidRPr="00600DF6">
        <w:rPr>
          <w:color w:val="000000" w:themeColor="text1"/>
        </w:rPr>
        <w:t xml:space="preserve"> provide western motives and purposes of the exploitation of Tutankhamun and the westernised commodity that the discovery led to. </w:t>
      </w:r>
      <w:r w:rsidR="00600DF6">
        <w:rPr>
          <w:color w:val="000000" w:themeColor="text1"/>
        </w:rPr>
        <w:t xml:space="preserve">This may not have been </w:t>
      </w:r>
      <w:r w:rsidRPr="00600DF6">
        <w:rPr>
          <w:color w:val="000000" w:themeColor="text1"/>
        </w:rPr>
        <w:t>the afterlife Tutankhamun had hoped for.</w:t>
      </w:r>
      <w:r>
        <w:rPr>
          <w:color w:val="000000" w:themeColor="text1"/>
        </w:rPr>
        <w:t xml:space="preserve"> </w:t>
      </w:r>
    </w:p>
    <w:p w14:paraId="2CFFA9FD" w14:textId="67291364" w:rsidR="00A533FD" w:rsidRDefault="00A533FD" w:rsidP="0026094A">
      <w:pPr>
        <w:spacing w:line="360" w:lineRule="auto"/>
        <w:rPr>
          <w:b/>
          <w:bCs/>
          <w:color w:val="000000" w:themeColor="text1"/>
          <w:sz w:val="28"/>
          <w:szCs w:val="28"/>
          <w:u w:val="single"/>
        </w:rPr>
      </w:pPr>
    </w:p>
    <w:p w14:paraId="2DD9E448" w14:textId="1B1768CA" w:rsidR="00A533FD" w:rsidRDefault="00A533FD" w:rsidP="0026094A">
      <w:pPr>
        <w:spacing w:line="360" w:lineRule="auto"/>
        <w:rPr>
          <w:b/>
          <w:bCs/>
          <w:color w:val="000000" w:themeColor="text1"/>
          <w:sz w:val="28"/>
          <w:szCs w:val="28"/>
          <w:u w:val="single"/>
        </w:rPr>
      </w:pPr>
    </w:p>
    <w:p w14:paraId="6C1BBD8F" w14:textId="7F440F48" w:rsidR="00A533FD" w:rsidRDefault="00A533FD" w:rsidP="0026094A">
      <w:pPr>
        <w:spacing w:line="360" w:lineRule="auto"/>
        <w:rPr>
          <w:b/>
          <w:bCs/>
          <w:color w:val="000000" w:themeColor="text1"/>
          <w:sz w:val="28"/>
          <w:szCs w:val="28"/>
          <w:u w:val="single"/>
        </w:rPr>
      </w:pPr>
    </w:p>
    <w:p w14:paraId="710B3291" w14:textId="559FD6CA" w:rsidR="00A533FD" w:rsidRDefault="00A533FD" w:rsidP="002117A2">
      <w:pPr>
        <w:spacing w:line="360" w:lineRule="auto"/>
        <w:rPr>
          <w:b/>
          <w:bCs/>
          <w:color w:val="000000" w:themeColor="text1"/>
          <w:sz w:val="28"/>
          <w:szCs w:val="28"/>
          <w:u w:val="single"/>
        </w:rPr>
      </w:pPr>
    </w:p>
    <w:p w14:paraId="6FFFF5CC" w14:textId="49857AF6" w:rsidR="00A533FD" w:rsidRDefault="00A533FD" w:rsidP="002117A2">
      <w:pPr>
        <w:spacing w:line="360" w:lineRule="auto"/>
        <w:rPr>
          <w:b/>
          <w:bCs/>
          <w:color w:val="000000" w:themeColor="text1"/>
          <w:sz w:val="28"/>
          <w:szCs w:val="28"/>
          <w:u w:val="single"/>
        </w:rPr>
      </w:pPr>
    </w:p>
    <w:p w14:paraId="2F6ADE4E" w14:textId="45A9391D" w:rsidR="00C272CC" w:rsidRDefault="00C272CC" w:rsidP="00C272CC">
      <w:pPr>
        <w:spacing w:line="360" w:lineRule="auto"/>
        <w:rPr>
          <w:b/>
          <w:bCs/>
          <w:color w:val="000000" w:themeColor="text1"/>
          <w:sz w:val="28"/>
          <w:szCs w:val="28"/>
          <w:u w:val="single"/>
        </w:rPr>
      </w:pPr>
    </w:p>
    <w:p w14:paraId="0800FA7C" w14:textId="28961E92" w:rsidR="007554C0" w:rsidRDefault="007554C0" w:rsidP="00C272CC">
      <w:pPr>
        <w:spacing w:line="360" w:lineRule="auto"/>
        <w:rPr>
          <w:b/>
          <w:bCs/>
          <w:color w:val="000000" w:themeColor="text1"/>
          <w:sz w:val="28"/>
          <w:szCs w:val="28"/>
          <w:u w:val="single"/>
        </w:rPr>
      </w:pPr>
    </w:p>
    <w:p w14:paraId="221F915F" w14:textId="3018A42F" w:rsidR="007554C0" w:rsidRDefault="007554C0" w:rsidP="00C272CC">
      <w:pPr>
        <w:spacing w:line="360" w:lineRule="auto"/>
        <w:rPr>
          <w:b/>
          <w:bCs/>
          <w:color w:val="000000" w:themeColor="text1"/>
          <w:sz w:val="28"/>
          <w:szCs w:val="28"/>
          <w:u w:val="single"/>
        </w:rPr>
      </w:pPr>
    </w:p>
    <w:p w14:paraId="7E730801" w14:textId="611F8729" w:rsidR="007554C0" w:rsidRDefault="007554C0" w:rsidP="00C272CC">
      <w:pPr>
        <w:spacing w:line="360" w:lineRule="auto"/>
        <w:rPr>
          <w:b/>
          <w:bCs/>
          <w:color w:val="000000" w:themeColor="text1"/>
          <w:sz w:val="28"/>
          <w:szCs w:val="28"/>
          <w:u w:val="single"/>
        </w:rPr>
      </w:pPr>
    </w:p>
    <w:p w14:paraId="11910D12" w14:textId="77777777" w:rsidR="00025F2E" w:rsidRDefault="00025F2E" w:rsidP="00C272CC">
      <w:pPr>
        <w:spacing w:line="360" w:lineRule="auto"/>
        <w:rPr>
          <w:b/>
          <w:bCs/>
          <w:color w:val="000000" w:themeColor="text1"/>
          <w:sz w:val="28"/>
          <w:szCs w:val="28"/>
          <w:u w:val="single"/>
        </w:rPr>
      </w:pPr>
    </w:p>
    <w:p w14:paraId="2DDB925A" w14:textId="4177E3CC" w:rsidR="00D70916" w:rsidRPr="00A533FD" w:rsidRDefault="00A533FD" w:rsidP="00C272CC">
      <w:pPr>
        <w:spacing w:line="360" w:lineRule="auto"/>
        <w:jc w:val="center"/>
        <w:rPr>
          <w:b/>
          <w:bCs/>
          <w:color w:val="000000" w:themeColor="text1"/>
          <w:sz w:val="28"/>
          <w:szCs w:val="28"/>
          <w:u w:val="single"/>
        </w:rPr>
      </w:pPr>
      <w:r w:rsidRPr="00A533FD">
        <w:rPr>
          <w:b/>
          <w:bCs/>
          <w:color w:val="000000" w:themeColor="text1"/>
          <w:sz w:val="28"/>
          <w:szCs w:val="28"/>
          <w:u w:val="single"/>
        </w:rPr>
        <w:lastRenderedPageBreak/>
        <w:t>Appendices</w:t>
      </w:r>
    </w:p>
    <w:p w14:paraId="59926688" w14:textId="77777777" w:rsidR="00A533FD" w:rsidRDefault="00A533FD" w:rsidP="00A533FD">
      <w:r>
        <w:t>Appendix A: Table of Inclusion and Exclusion Criteria for source searching</w:t>
      </w:r>
      <w:r>
        <w:rPr>
          <w:rStyle w:val="FootnoteReference"/>
        </w:rPr>
        <w:footnoteReference w:id="247"/>
      </w:r>
      <w:r>
        <w:t xml:space="preserve">. </w:t>
      </w:r>
    </w:p>
    <w:tbl>
      <w:tblPr>
        <w:tblStyle w:val="TableGrid"/>
        <w:tblW w:w="0" w:type="auto"/>
        <w:tblLook w:val="04A0" w:firstRow="1" w:lastRow="0" w:firstColumn="1" w:lastColumn="0" w:noHBand="0" w:noVBand="1"/>
      </w:tblPr>
      <w:tblGrid>
        <w:gridCol w:w="4508"/>
        <w:gridCol w:w="4508"/>
      </w:tblGrid>
      <w:tr w:rsidR="00A533FD" w:rsidRPr="00113A28" w14:paraId="71AFBFBA" w14:textId="77777777" w:rsidTr="00C272CC">
        <w:tc>
          <w:tcPr>
            <w:tcW w:w="4508" w:type="dxa"/>
          </w:tcPr>
          <w:p w14:paraId="607446EC" w14:textId="77777777" w:rsidR="00A533FD" w:rsidRPr="00113A28" w:rsidRDefault="00A533FD" w:rsidP="00C272CC">
            <w:pPr>
              <w:spacing w:line="360" w:lineRule="auto"/>
              <w:rPr>
                <w:b/>
                <w:bCs/>
              </w:rPr>
            </w:pPr>
            <w:r w:rsidRPr="00113A28">
              <w:rPr>
                <w:b/>
                <w:bCs/>
              </w:rPr>
              <w:t>Inclusion Criteria, phrase, term</w:t>
            </w:r>
          </w:p>
        </w:tc>
        <w:tc>
          <w:tcPr>
            <w:tcW w:w="4508" w:type="dxa"/>
          </w:tcPr>
          <w:p w14:paraId="67D1AB91" w14:textId="77777777" w:rsidR="00A533FD" w:rsidRPr="00113A28" w:rsidRDefault="00A533FD" w:rsidP="00C272CC">
            <w:pPr>
              <w:spacing w:line="360" w:lineRule="auto"/>
              <w:rPr>
                <w:b/>
                <w:bCs/>
              </w:rPr>
            </w:pPr>
            <w:r w:rsidRPr="00113A28">
              <w:rPr>
                <w:b/>
                <w:bCs/>
              </w:rPr>
              <w:t>Exclusion Criteria, phrase, term</w:t>
            </w:r>
          </w:p>
        </w:tc>
      </w:tr>
      <w:tr w:rsidR="00A533FD" w14:paraId="1240CE2E" w14:textId="77777777" w:rsidTr="00C272CC">
        <w:tc>
          <w:tcPr>
            <w:tcW w:w="4508" w:type="dxa"/>
          </w:tcPr>
          <w:p w14:paraId="7E5B2B8B" w14:textId="77777777" w:rsidR="00A533FD" w:rsidRDefault="00A533FD" w:rsidP="00C272CC">
            <w:pPr>
              <w:spacing w:line="360" w:lineRule="auto"/>
            </w:pPr>
            <w:r>
              <w:t xml:space="preserve">Egyptomania </w:t>
            </w:r>
          </w:p>
        </w:tc>
        <w:tc>
          <w:tcPr>
            <w:tcW w:w="4508" w:type="dxa"/>
          </w:tcPr>
          <w:p w14:paraId="0AA25FC5" w14:textId="77777777" w:rsidR="00A533FD" w:rsidRDefault="00A533FD" w:rsidP="00C272CC">
            <w:pPr>
              <w:spacing w:line="360" w:lineRule="auto"/>
            </w:pPr>
            <w:r>
              <w:t>Not about Egypt</w:t>
            </w:r>
          </w:p>
        </w:tc>
      </w:tr>
      <w:tr w:rsidR="00A533FD" w14:paraId="638E50E2" w14:textId="77777777" w:rsidTr="00C272CC">
        <w:tc>
          <w:tcPr>
            <w:tcW w:w="4508" w:type="dxa"/>
          </w:tcPr>
          <w:p w14:paraId="5B32645F" w14:textId="77777777" w:rsidR="00A533FD" w:rsidRDefault="00A533FD" w:rsidP="00C272CC">
            <w:pPr>
              <w:spacing w:line="360" w:lineRule="auto"/>
            </w:pPr>
            <w:r>
              <w:t>Antiquities in Egypt</w:t>
            </w:r>
          </w:p>
        </w:tc>
        <w:tc>
          <w:tcPr>
            <w:tcW w:w="4508" w:type="dxa"/>
          </w:tcPr>
          <w:p w14:paraId="37416A0D" w14:textId="77777777" w:rsidR="00A533FD" w:rsidRDefault="00A533FD" w:rsidP="00C272CC">
            <w:pPr>
              <w:spacing w:line="360" w:lineRule="auto"/>
            </w:pPr>
            <w:r>
              <w:t xml:space="preserve">Not about Egyptian antiquities </w:t>
            </w:r>
          </w:p>
        </w:tc>
      </w:tr>
      <w:tr w:rsidR="00A533FD" w14:paraId="5C42FAB2" w14:textId="77777777" w:rsidTr="00C272CC">
        <w:tc>
          <w:tcPr>
            <w:tcW w:w="4508" w:type="dxa"/>
          </w:tcPr>
          <w:p w14:paraId="65C1D7F9" w14:textId="77777777" w:rsidR="00A533FD" w:rsidRDefault="00A533FD" w:rsidP="00C272CC">
            <w:pPr>
              <w:spacing w:line="360" w:lineRule="auto"/>
            </w:pPr>
            <w:proofErr w:type="spellStart"/>
            <w:r>
              <w:t>Tutmania</w:t>
            </w:r>
            <w:proofErr w:type="spellEnd"/>
          </w:p>
        </w:tc>
        <w:tc>
          <w:tcPr>
            <w:tcW w:w="4508" w:type="dxa"/>
          </w:tcPr>
          <w:p w14:paraId="58875E8C" w14:textId="77777777" w:rsidR="00A533FD" w:rsidRDefault="00A533FD" w:rsidP="00C272CC">
            <w:pPr>
              <w:spacing w:line="360" w:lineRule="auto"/>
            </w:pPr>
            <w:r>
              <w:t xml:space="preserve">Not about Tutankhamun </w:t>
            </w:r>
          </w:p>
        </w:tc>
      </w:tr>
      <w:tr w:rsidR="00A533FD" w14:paraId="7CE0F918" w14:textId="77777777" w:rsidTr="00C272CC">
        <w:tc>
          <w:tcPr>
            <w:tcW w:w="4508" w:type="dxa"/>
          </w:tcPr>
          <w:p w14:paraId="109876B4" w14:textId="77777777" w:rsidR="00A533FD" w:rsidRPr="00707922" w:rsidRDefault="00A533FD" w:rsidP="00C272CC">
            <w:pPr>
              <w:spacing w:line="360" w:lineRule="auto"/>
            </w:pPr>
            <w:r w:rsidRPr="00707922">
              <w:t xml:space="preserve">Needs to be published in English </w:t>
            </w:r>
          </w:p>
        </w:tc>
        <w:tc>
          <w:tcPr>
            <w:tcW w:w="4508" w:type="dxa"/>
          </w:tcPr>
          <w:p w14:paraId="440E8A6B" w14:textId="77777777" w:rsidR="00A533FD" w:rsidRDefault="00A533FD" w:rsidP="00C272CC">
            <w:pPr>
              <w:spacing w:line="360" w:lineRule="auto"/>
            </w:pPr>
            <w:r>
              <w:t>Not in English</w:t>
            </w:r>
          </w:p>
        </w:tc>
      </w:tr>
      <w:tr w:rsidR="00A533FD" w14:paraId="7D10D398" w14:textId="77777777" w:rsidTr="00C272CC">
        <w:tc>
          <w:tcPr>
            <w:tcW w:w="4508" w:type="dxa"/>
          </w:tcPr>
          <w:p w14:paraId="5DC0FFD5" w14:textId="77777777" w:rsidR="00A533FD" w:rsidRDefault="00A533FD" w:rsidP="00C272CC">
            <w:pPr>
              <w:spacing w:line="360" w:lineRule="auto"/>
            </w:pPr>
            <w:r>
              <w:t xml:space="preserve">Peer reviewed </w:t>
            </w:r>
          </w:p>
        </w:tc>
        <w:tc>
          <w:tcPr>
            <w:tcW w:w="4508" w:type="dxa"/>
          </w:tcPr>
          <w:p w14:paraId="502380CB" w14:textId="77777777" w:rsidR="00A533FD" w:rsidRDefault="00A533FD" w:rsidP="00C272CC">
            <w:pPr>
              <w:spacing w:line="360" w:lineRule="auto"/>
            </w:pPr>
            <w:r>
              <w:t xml:space="preserve">Not peer reviewed </w:t>
            </w:r>
          </w:p>
        </w:tc>
      </w:tr>
      <w:tr w:rsidR="00A533FD" w14:paraId="2D41BD52" w14:textId="77777777" w:rsidTr="00C272CC">
        <w:tc>
          <w:tcPr>
            <w:tcW w:w="4508" w:type="dxa"/>
          </w:tcPr>
          <w:p w14:paraId="099264FC" w14:textId="77777777" w:rsidR="00A533FD" w:rsidRDefault="00A533FD" w:rsidP="00C272CC">
            <w:pPr>
              <w:spacing w:line="360" w:lineRule="auto"/>
            </w:pPr>
            <w:r>
              <w:t>Published by relevant academic’s</w:t>
            </w:r>
          </w:p>
        </w:tc>
        <w:tc>
          <w:tcPr>
            <w:tcW w:w="4508" w:type="dxa"/>
          </w:tcPr>
          <w:p w14:paraId="5038C747" w14:textId="77777777" w:rsidR="00A533FD" w:rsidRDefault="00A533FD" w:rsidP="00C272CC">
            <w:pPr>
              <w:spacing w:line="360" w:lineRule="auto"/>
            </w:pPr>
            <w:r>
              <w:t xml:space="preserve">Not to be published by non-academics unless an exceptional piece such as Carter’s diaries </w:t>
            </w:r>
          </w:p>
        </w:tc>
      </w:tr>
      <w:tr w:rsidR="00A533FD" w14:paraId="20B76826" w14:textId="77777777" w:rsidTr="00C272CC">
        <w:tc>
          <w:tcPr>
            <w:tcW w:w="4508" w:type="dxa"/>
          </w:tcPr>
          <w:p w14:paraId="4E08B40D" w14:textId="77777777" w:rsidR="00A533FD" w:rsidRDefault="00A533FD" w:rsidP="00C272CC">
            <w:pPr>
              <w:spacing w:line="360" w:lineRule="auto"/>
            </w:pPr>
            <w:r>
              <w:t>Date from 1922 – present day</w:t>
            </w:r>
          </w:p>
        </w:tc>
        <w:tc>
          <w:tcPr>
            <w:tcW w:w="4508" w:type="dxa"/>
          </w:tcPr>
          <w:p w14:paraId="3EF03894" w14:textId="77777777" w:rsidR="00A533FD" w:rsidRDefault="00A533FD" w:rsidP="00C272CC">
            <w:pPr>
              <w:spacing w:line="360" w:lineRule="auto"/>
            </w:pPr>
            <w:r>
              <w:t>Older than 1922</w:t>
            </w:r>
          </w:p>
        </w:tc>
      </w:tr>
    </w:tbl>
    <w:p w14:paraId="3723403D" w14:textId="77777777" w:rsidR="00A533FD" w:rsidRDefault="00A533FD" w:rsidP="00A533FD"/>
    <w:p w14:paraId="6B97044B" w14:textId="77777777" w:rsidR="00A533FD" w:rsidRDefault="00A533FD" w:rsidP="00A533FD"/>
    <w:p w14:paraId="7AD1B086" w14:textId="77777777" w:rsidR="00A533FD" w:rsidRDefault="00A533FD" w:rsidP="00A533FD"/>
    <w:p w14:paraId="6D95BA39" w14:textId="77777777" w:rsidR="00A533FD" w:rsidRDefault="00A533FD" w:rsidP="00A533FD"/>
    <w:p w14:paraId="7B523726" w14:textId="77777777" w:rsidR="00A533FD" w:rsidRDefault="00A533FD" w:rsidP="00A533FD"/>
    <w:p w14:paraId="472C8EE2" w14:textId="77777777" w:rsidR="00A533FD" w:rsidRDefault="00A533FD" w:rsidP="00A533FD"/>
    <w:p w14:paraId="2407FE02" w14:textId="77777777" w:rsidR="00A533FD" w:rsidRDefault="00A533FD" w:rsidP="00A533FD"/>
    <w:p w14:paraId="127CC954" w14:textId="77777777" w:rsidR="00A533FD" w:rsidRDefault="00A533FD" w:rsidP="00A533FD"/>
    <w:p w14:paraId="51C7BEBA" w14:textId="77777777" w:rsidR="00A533FD" w:rsidRDefault="00A533FD" w:rsidP="00A533FD"/>
    <w:p w14:paraId="73B44E19" w14:textId="77777777" w:rsidR="00A533FD" w:rsidRDefault="00A533FD" w:rsidP="00A533FD"/>
    <w:p w14:paraId="132774DC" w14:textId="77777777" w:rsidR="00A533FD" w:rsidRDefault="00A533FD" w:rsidP="00A533FD"/>
    <w:p w14:paraId="776E7C56" w14:textId="77777777" w:rsidR="00A533FD" w:rsidRDefault="00A533FD" w:rsidP="00A533FD"/>
    <w:p w14:paraId="274071A1" w14:textId="77777777" w:rsidR="00A533FD" w:rsidRDefault="00A533FD" w:rsidP="00A533FD"/>
    <w:p w14:paraId="2360101A" w14:textId="77777777" w:rsidR="00A533FD" w:rsidRDefault="00A533FD" w:rsidP="00A533FD"/>
    <w:p w14:paraId="0C62509D" w14:textId="77777777" w:rsidR="00A533FD" w:rsidRDefault="00A533FD" w:rsidP="00A533FD"/>
    <w:p w14:paraId="54C7A50A" w14:textId="77777777" w:rsidR="00A533FD" w:rsidRDefault="00A533FD" w:rsidP="00A533FD"/>
    <w:p w14:paraId="21A6CF6C" w14:textId="77777777" w:rsidR="00A533FD" w:rsidRDefault="00A533FD" w:rsidP="00A533FD"/>
    <w:p w14:paraId="46C641B2" w14:textId="77777777" w:rsidR="00A533FD" w:rsidRDefault="00A533FD" w:rsidP="00A533FD"/>
    <w:p w14:paraId="5928D7AC" w14:textId="77777777" w:rsidR="008F51E2" w:rsidRDefault="008F51E2" w:rsidP="00A533FD"/>
    <w:p w14:paraId="5E64341B" w14:textId="1A7016D6" w:rsidR="00A533FD" w:rsidRDefault="00A533FD" w:rsidP="00A533FD">
      <w:r>
        <w:lastRenderedPageBreak/>
        <w:t>Appendix B: Theodore Davis’s Excavation list of the Valley of the Kings</w:t>
      </w:r>
      <w:r>
        <w:rPr>
          <w:rStyle w:val="FootnoteReference"/>
        </w:rPr>
        <w:footnoteReference w:id="248"/>
      </w:r>
    </w:p>
    <w:p w14:paraId="452FE8BE" w14:textId="77777777" w:rsidR="00A533FD" w:rsidRDefault="00A533FD" w:rsidP="00A533FD">
      <w:r>
        <w:rPr>
          <w:noProof/>
        </w:rPr>
        <w:drawing>
          <wp:inline distT="0" distB="0" distL="0" distR="0" wp14:anchorId="01BE2F0E" wp14:editId="1ACCA276">
            <wp:extent cx="4162425" cy="5277772"/>
            <wp:effectExtent l="0" t="0" r="0" b="0"/>
            <wp:docPr id="24" name="Picture 2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k.jpeg"/>
                    <pic:cNvPicPr/>
                  </pic:nvPicPr>
                  <pic:blipFill>
                    <a:blip r:embed="rId21">
                      <a:extLst>
                        <a:ext uri="{28A0092B-C50C-407E-A947-70E740481C1C}">
                          <a14:useLocalDpi xmlns:a14="http://schemas.microsoft.com/office/drawing/2010/main" val="0"/>
                        </a:ext>
                      </a:extLst>
                    </a:blip>
                    <a:stretch>
                      <a:fillRect/>
                    </a:stretch>
                  </pic:blipFill>
                  <pic:spPr>
                    <a:xfrm>
                      <a:off x="0" y="0"/>
                      <a:ext cx="4215735" cy="5345367"/>
                    </a:xfrm>
                    <a:prstGeom prst="rect">
                      <a:avLst/>
                    </a:prstGeom>
                  </pic:spPr>
                </pic:pic>
              </a:graphicData>
            </a:graphic>
          </wp:inline>
        </w:drawing>
      </w:r>
    </w:p>
    <w:p w14:paraId="46D517FE" w14:textId="77777777" w:rsidR="008F51E2" w:rsidRDefault="008F51E2" w:rsidP="00A533FD"/>
    <w:p w14:paraId="25ACE328" w14:textId="77777777" w:rsidR="008F51E2" w:rsidRDefault="008F51E2" w:rsidP="00A533FD"/>
    <w:p w14:paraId="4CA482E1" w14:textId="77777777" w:rsidR="008F51E2" w:rsidRDefault="008F51E2" w:rsidP="00A533FD"/>
    <w:p w14:paraId="06F39932" w14:textId="77777777" w:rsidR="008F51E2" w:rsidRDefault="008F51E2" w:rsidP="00A533FD"/>
    <w:p w14:paraId="65440FE3" w14:textId="77777777" w:rsidR="008F51E2" w:rsidRDefault="008F51E2" w:rsidP="00A533FD"/>
    <w:p w14:paraId="63B56213" w14:textId="77777777" w:rsidR="008F51E2" w:rsidRDefault="008F51E2" w:rsidP="00A533FD"/>
    <w:p w14:paraId="167CD625" w14:textId="77777777" w:rsidR="008F51E2" w:rsidRDefault="008F51E2" w:rsidP="00A533FD"/>
    <w:p w14:paraId="23654544" w14:textId="77777777" w:rsidR="008F51E2" w:rsidRDefault="008F51E2" w:rsidP="00A533FD"/>
    <w:p w14:paraId="66C3FCED" w14:textId="77777777" w:rsidR="008F51E2" w:rsidRDefault="008F51E2" w:rsidP="00A533FD"/>
    <w:p w14:paraId="5A00A14E" w14:textId="7F1F170B" w:rsidR="00A533FD" w:rsidRDefault="00A533FD" w:rsidP="00A533FD">
      <w:r>
        <w:lastRenderedPageBreak/>
        <w:t>Appendix C: Table of Archaeologist who have excavated in Egypt</w:t>
      </w:r>
      <w:r>
        <w:rPr>
          <w:rStyle w:val="FootnoteReference"/>
        </w:rPr>
        <w:footnoteReference w:id="249"/>
      </w:r>
    </w:p>
    <w:tbl>
      <w:tblPr>
        <w:tblStyle w:val="TableGrid"/>
        <w:tblW w:w="0" w:type="auto"/>
        <w:tblLook w:val="04A0" w:firstRow="1" w:lastRow="0" w:firstColumn="1" w:lastColumn="0" w:noHBand="0" w:noVBand="1"/>
      </w:tblPr>
      <w:tblGrid>
        <w:gridCol w:w="2254"/>
        <w:gridCol w:w="2254"/>
        <w:gridCol w:w="2254"/>
        <w:gridCol w:w="2254"/>
      </w:tblGrid>
      <w:tr w:rsidR="00A533FD" w:rsidRPr="00A922BC" w14:paraId="5336198E" w14:textId="77777777" w:rsidTr="00C272CC">
        <w:tc>
          <w:tcPr>
            <w:tcW w:w="2254" w:type="dxa"/>
          </w:tcPr>
          <w:p w14:paraId="653916D5" w14:textId="77777777" w:rsidR="00A533FD" w:rsidRPr="00A922BC" w:rsidRDefault="00A533FD" w:rsidP="00C272CC">
            <w:pPr>
              <w:spacing w:line="360" w:lineRule="auto"/>
              <w:rPr>
                <w:b/>
                <w:bCs/>
                <w:u w:val="single"/>
              </w:rPr>
            </w:pPr>
            <w:r w:rsidRPr="00A922BC">
              <w:rPr>
                <w:b/>
                <w:bCs/>
                <w:u w:val="single"/>
              </w:rPr>
              <w:t xml:space="preserve">Egyptologists </w:t>
            </w:r>
          </w:p>
        </w:tc>
        <w:tc>
          <w:tcPr>
            <w:tcW w:w="2254" w:type="dxa"/>
          </w:tcPr>
          <w:p w14:paraId="5A2DDFFD" w14:textId="77777777" w:rsidR="00A533FD" w:rsidRPr="00A922BC" w:rsidRDefault="00A533FD" w:rsidP="00C272CC">
            <w:pPr>
              <w:spacing w:line="360" w:lineRule="auto"/>
              <w:rPr>
                <w:b/>
                <w:bCs/>
                <w:u w:val="single"/>
              </w:rPr>
            </w:pPr>
            <w:r w:rsidRPr="00A922BC">
              <w:rPr>
                <w:b/>
                <w:bCs/>
                <w:u w:val="single"/>
              </w:rPr>
              <w:t>Islamic Archaeologists</w:t>
            </w:r>
          </w:p>
        </w:tc>
        <w:tc>
          <w:tcPr>
            <w:tcW w:w="2254" w:type="dxa"/>
          </w:tcPr>
          <w:p w14:paraId="2CF6DB5B" w14:textId="77777777" w:rsidR="00A533FD" w:rsidRPr="00A922BC" w:rsidRDefault="00A533FD" w:rsidP="00C272CC">
            <w:pPr>
              <w:spacing w:line="360" w:lineRule="auto"/>
              <w:rPr>
                <w:b/>
                <w:bCs/>
                <w:u w:val="single"/>
              </w:rPr>
            </w:pPr>
            <w:proofErr w:type="spellStart"/>
            <w:r w:rsidRPr="00A922BC">
              <w:rPr>
                <w:b/>
                <w:bCs/>
                <w:u w:val="single"/>
              </w:rPr>
              <w:t>Coptologists</w:t>
            </w:r>
            <w:proofErr w:type="spellEnd"/>
          </w:p>
        </w:tc>
        <w:tc>
          <w:tcPr>
            <w:tcW w:w="2254" w:type="dxa"/>
          </w:tcPr>
          <w:p w14:paraId="154A01DC" w14:textId="77777777" w:rsidR="00A533FD" w:rsidRPr="00A922BC" w:rsidRDefault="00A533FD" w:rsidP="00C272CC">
            <w:pPr>
              <w:spacing w:line="360" w:lineRule="auto"/>
              <w:rPr>
                <w:b/>
                <w:bCs/>
                <w:u w:val="single"/>
              </w:rPr>
            </w:pPr>
            <w:r w:rsidRPr="00A922BC">
              <w:rPr>
                <w:b/>
                <w:bCs/>
                <w:u w:val="single"/>
              </w:rPr>
              <w:t>Contemporary Western Archaeologists</w:t>
            </w:r>
          </w:p>
        </w:tc>
      </w:tr>
      <w:tr w:rsidR="00A533FD" w14:paraId="3DA53D83" w14:textId="77777777" w:rsidTr="00C272CC">
        <w:tc>
          <w:tcPr>
            <w:tcW w:w="2254" w:type="dxa"/>
          </w:tcPr>
          <w:p w14:paraId="5D7F451C" w14:textId="77777777" w:rsidR="00A533FD" w:rsidRPr="00F77588" w:rsidRDefault="00A533FD" w:rsidP="00C272CC">
            <w:pPr>
              <w:spacing w:line="360" w:lineRule="auto"/>
              <w:rPr>
                <w:b/>
                <w:bCs/>
              </w:rPr>
            </w:pPr>
            <w:r w:rsidRPr="00F77588">
              <w:rPr>
                <w:b/>
                <w:bCs/>
              </w:rPr>
              <w:t>1</w:t>
            </w:r>
            <w:r w:rsidRPr="00F77588">
              <w:rPr>
                <w:b/>
                <w:bCs/>
                <w:vertAlign w:val="superscript"/>
              </w:rPr>
              <w:t>st</w:t>
            </w:r>
            <w:r w:rsidRPr="00F77588">
              <w:rPr>
                <w:b/>
                <w:bCs/>
              </w:rPr>
              <w:t xml:space="preserve"> generation </w:t>
            </w:r>
          </w:p>
          <w:p w14:paraId="768B2BEB" w14:textId="77777777" w:rsidR="00A533FD" w:rsidRDefault="00A533FD" w:rsidP="00C272CC">
            <w:pPr>
              <w:spacing w:line="360" w:lineRule="auto"/>
            </w:pPr>
            <w:r>
              <w:t>Ahmad Naguib (1847-1910)</w:t>
            </w:r>
          </w:p>
          <w:p w14:paraId="5420D406" w14:textId="77777777" w:rsidR="00A533FD" w:rsidRDefault="00A533FD" w:rsidP="00C272CC">
            <w:pPr>
              <w:spacing w:line="360" w:lineRule="auto"/>
            </w:pPr>
            <w:r>
              <w:t>Ahmad Kamal (1851-1923)</w:t>
            </w:r>
          </w:p>
        </w:tc>
        <w:tc>
          <w:tcPr>
            <w:tcW w:w="2254" w:type="dxa"/>
          </w:tcPr>
          <w:p w14:paraId="0A72DB8D" w14:textId="77777777" w:rsidR="00A533FD" w:rsidRDefault="00A533FD" w:rsidP="00C272CC">
            <w:pPr>
              <w:spacing w:line="360" w:lineRule="auto"/>
            </w:pPr>
            <w:r>
              <w:t xml:space="preserve">Ali </w:t>
            </w:r>
            <w:proofErr w:type="spellStart"/>
            <w:r>
              <w:t>Bahgat</w:t>
            </w:r>
            <w:proofErr w:type="spellEnd"/>
            <w:r>
              <w:t xml:space="preserve"> (1858-1924)</w:t>
            </w:r>
          </w:p>
        </w:tc>
        <w:tc>
          <w:tcPr>
            <w:tcW w:w="2254" w:type="dxa"/>
          </w:tcPr>
          <w:p w14:paraId="735D5CE1" w14:textId="77777777" w:rsidR="00A533FD" w:rsidRDefault="00A533FD" w:rsidP="00C272CC">
            <w:pPr>
              <w:spacing w:line="360" w:lineRule="auto"/>
            </w:pPr>
            <w:proofErr w:type="spellStart"/>
            <w:r>
              <w:t>Murqus</w:t>
            </w:r>
            <w:proofErr w:type="spellEnd"/>
            <w:r>
              <w:t xml:space="preserve"> </w:t>
            </w:r>
            <w:proofErr w:type="spellStart"/>
            <w:r>
              <w:t>Simaika</w:t>
            </w:r>
            <w:proofErr w:type="spellEnd"/>
            <w:r>
              <w:t xml:space="preserve"> (1864-1944)</w:t>
            </w:r>
          </w:p>
        </w:tc>
        <w:tc>
          <w:tcPr>
            <w:tcW w:w="2254" w:type="dxa"/>
          </w:tcPr>
          <w:p w14:paraId="5FC10777" w14:textId="77777777" w:rsidR="00A533FD" w:rsidRDefault="00A533FD" w:rsidP="00C272CC">
            <w:pPr>
              <w:spacing w:line="360" w:lineRule="auto"/>
            </w:pPr>
            <w:r>
              <w:t xml:space="preserve">Gaston </w:t>
            </w:r>
            <w:proofErr w:type="spellStart"/>
            <w:r>
              <w:t>Maspero</w:t>
            </w:r>
            <w:proofErr w:type="spellEnd"/>
            <w:r>
              <w:t xml:space="preserve"> (1846-1916)</w:t>
            </w:r>
          </w:p>
          <w:p w14:paraId="0B485772" w14:textId="77777777" w:rsidR="00A533FD" w:rsidRDefault="00A533FD" w:rsidP="00C272CC">
            <w:pPr>
              <w:spacing w:line="360" w:lineRule="auto"/>
            </w:pPr>
            <w:r>
              <w:t>Petrie (1853-1942)</w:t>
            </w:r>
          </w:p>
          <w:p w14:paraId="714F6383" w14:textId="77777777" w:rsidR="00A533FD" w:rsidRDefault="00A533FD" w:rsidP="00C272CC">
            <w:pPr>
              <w:spacing w:line="360" w:lineRule="auto"/>
            </w:pPr>
            <w:proofErr w:type="spellStart"/>
            <w:r>
              <w:t>Guiseppe</w:t>
            </w:r>
            <w:proofErr w:type="spellEnd"/>
            <w:r>
              <w:t xml:space="preserve"> Botti (1853-1903)</w:t>
            </w:r>
          </w:p>
          <w:p w14:paraId="0DA99426" w14:textId="77777777" w:rsidR="00A533FD" w:rsidRDefault="00A533FD" w:rsidP="00C272CC">
            <w:pPr>
              <w:spacing w:line="360" w:lineRule="auto"/>
            </w:pPr>
            <w:proofErr w:type="gramStart"/>
            <w:r>
              <w:t xml:space="preserve">Max  </w:t>
            </w:r>
            <w:proofErr w:type="spellStart"/>
            <w:r>
              <w:t>Herz</w:t>
            </w:r>
            <w:proofErr w:type="spellEnd"/>
            <w:proofErr w:type="gramEnd"/>
            <w:r>
              <w:t xml:space="preserve"> (1856-1919)</w:t>
            </w:r>
          </w:p>
        </w:tc>
      </w:tr>
      <w:tr w:rsidR="00A533FD" w14:paraId="52E32EA1" w14:textId="77777777" w:rsidTr="00C272CC">
        <w:tc>
          <w:tcPr>
            <w:tcW w:w="2254" w:type="dxa"/>
          </w:tcPr>
          <w:p w14:paraId="07359DEA" w14:textId="77777777" w:rsidR="00A533FD" w:rsidRPr="00F77588" w:rsidRDefault="00A533FD" w:rsidP="00C272CC">
            <w:pPr>
              <w:spacing w:line="360" w:lineRule="auto"/>
              <w:rPr>
                <w:b/>
                <w:bCs/>
              </w:rPr>
            </w:pPr>
            <w:r w:rsidRPr="00F77588">
              <w:rPr>
                <w:b/>
                <w:bCs/>
              </w:rPr>
              <w:t>Lost generation of Egyptian archaeologists</w:t>
            </w:r>
          </w:p>
        </w:tc>
        <w:tc>
          <w:tcPr>
            <w:tcW w:w="2254" w:type="dxa"/>
          </w:tcPr>
          <w:p w14:paraId="2EF7CCE3" w14:textId="77777777" w:rsidR="00A533FD" w:rsidRDefault="00A533FD" w:rsidP="00C272CC">
            <w:pPr>
              <w:spacing w:line="360" w:lineRule="auto"/>
            </w:pPr>
          </w:p>
        </w:tc>
        <w:tc>
          <w:tcPr>
            <w:tcW w:w="2254" w:type="dxa"/>
          </w:tcPr>
          <w:p w14:paraId="737BE0C0" w14:textId="77777777" w:rsidR="00A533FD" w:rsidRDefault="00A533FD" w:rsidP="00C272CC">
            <w:pPr>
              <w:spacing w:line="360" w:lineRule="auto"/>
            </w:pPr>
            <w:r>
              <w:t>Claudius Labib (1868-1918)</w:t>
            </w:r>
          </w:p>
        </w:tc>
        <w:tc>
          <w:tcPr>
            <w:tcW w:w="2254" w:type="dxa"/>
          </w:tcPr>
          <w:p w14:paraId="726A201B" w14:textId="77777777" w:rsidR="00A533FD" w:rsidRDefault="00A533FD" w:rsidP="00C272CC">
            <w:pPr>
              <w:spacing w:line="360" w:lineRule="auto"/>
            </w:pPr>
            <w:r>
              <w:t>Ludwig Borchardt (1863-1938)</w:t>
            </w:r>
          </w:p>
          <w:p w14:paraId="6C5E9D79" w14:textId="77777777" w:rsidR="00A533FD" w:rsidRDefault="00A533FD" w:rsidP="00C272CC">
            <w:pPr>
              <w:spacing w:line="360" w:lineRule="auto"/>
            </w:pPr>
            <w:r>
              <w:t>James Henry Breasted (1865-1935)</w:t>
            </w:r>
          </w:p>
          <w:p w14:paraId="04CC19EE" w14:textId="77777777" w:rsidR="00A533FD" w:rsidRDefault="00A533FD" w:rsidP="00C272CC">
            <w:pPr>
              <w:spacing w:line="360" w:lineRule="auto"/>
            </w:pPr>
            <w:r>
              <w:t>George Reisner (1867-1942)</w:t>
            </w:r>
          </w:p>
          <w:p w14:paraId="250B7363" w14:textId="77777777" w:rsidR="00A533FD" w:rsidRDefault="00A533FD" w:rsidP="00C272CC">
            <w:pPr>
              <w:spacing w:line="360" w:lineRule="auto"/>
            </w:pPr>
            <w:r>
              <w:t xml:space="preserve">Pierre </w:t>
            </w:r>
            <w:proofErr w:type="spellStart"/>
            <w:r>
              <w:t>Lacau</w:t>
            </w:r>
            <w:proofErr w:type="spellEnd"/>
            <w:r>
              <w:t xml:space="preserve"> (1873-1967)</w:t>
            </w:r>
          </w:p>
          <w:p w14:paraId="43567215" w14:textId="77777777" w:rsidR="00A533FD" w:rsidRDefault="00A533FD" w:rsidP="00C272CC">
            <w:pPr>
              <w:spacing w:line="360" w:lineRule="auto"/>
            </w:pPr>
            <w:r>
              <w:t xml:space="preserve">Howard Carter (1874-1939) </w:t>
            </w:r>
          </w:p>
          <w:p w14:paraId="666376A7" w14:textId="77777777" w:rsidR="00A533FD" w:rsidRDefault="00A533FD" w:rsidP="00C272CC">
            <w:pPr>
              <w:spacing w:line="360" w:lineRule="auto"/>
            </w:pPr>
            <w:proofErr w:type="spellStart"/>
            <w:r>
              <w:t>Evaristo</w:t>
            </w:r>
            <w:proofErr w:type="spellEnd"/>
            <w:r>
              <w:t xml:space="preserve"> Breccia (1876-1941)</w:t>
            </w:r>
          </w:p>
          <w:p w14:paraId="10CBDB82" w14:textId="77777777" w:rsidR="00A533FD" w:rsidRDefault="00A533FD" w:rsidP="00C272CC">
            <w:pPr>
              <w:spacing w:line="360" w:lineRule="auto"/>
            </w:pPr>
            <w:r>
              <w:t>Junker (1877-1962)</w:t>
            </w:r>
          </w:p>
          <w:p w14:paraId="77B0C0D9" w14:textId="77777777" w:rsidR="00A533FD" w:rsidRDefault="00A533FD" w:rsidP="00C272CC">
            <w:pPr>
              <w:spacing w:line="360" w:lineRule="auto"/>
            </w:pPr>
            <w:r>
              <w:t>K.A.C. Creswell (1879-1974)</w:t>
            </w:r>
          </w:p>
        </w:tc>
      </w:tr>
      <w:tr w:rsidR="00A533FD" w14:paraId="13D30FE7" w14:textId="77777777" w:rsidTr="00C272CC">
        <w:tc>
          <w:tcPr>
            <w:tcW w:w="2254" w:type="dxa"/>
          </w:tcPr>
          <w:p w14:paraId="7080C29B" w14:textId="77777777" w:rsidR="00A533FD" w:rsidRPr="00F77588" w:rsidRDefault="00A533FD" w:rsidP="00C272CC">
            <w:pPr>
              <w:spacing w:line="360" w:lineRule="auto"/>
              <w:rPr>
                <w:b/>
                <w:bCs/>
              </w:rPr>
            </w:pPr>
            <w:r w:rsidRPr="00F77588">
              <w:rPr>
                <w:b/>
                <w:bCs/>
              </w:rPr>
              <w:t>2</w:t>
            </w:r>
            <w:r w:rsidRPr="00F77588">
              <w:rPr>
                <w:b/>
                <w:bCs/>
                <w:vertAlign w:val="superscript"/>
              </w:rPr>
              <w:t>nd</w:t>
            </w:r>
            <w:r w:rsidRPr="00F77588">
              <w:rPr>
                <w:b/>
                <w:bCs/>
              </w:rPr>
              <w:t xml:space="preserve"> generation </w:t>
            </w:r>
          </w:p>
          <w:p w14:paraId="16B6B8A3" w14:textId="77777777" w:rsidR="00A533FD" w:rsidRDefault="00A533FD" w:rsidP="00C272CC">
            <w:pPr>
              <w:spacing w:line="360" w:lineRule="auto"/>
            </w:pPr>
            <w:r>
              <w:t>Selim Hassan (1886-1961)</w:t>
            </w:r>
          </w:p>
          <w:p w14:paraId="7AD5F04C" w14:textId="77777777" w:rsidR="00A533FD" w:rsidRDefault="00A533FD" w:rsidP="00C272CC">
            <w:pPr>
              <w:spacing w:line="360" w:lineRule="auto"/>
            </w:pPr>
            <w:r>
              <w:t>Mahmud Hamza (1890-1976)</w:t>
            </w:r>
          </w:p>
          <w:p w14:paraId="7C707E74" w14:textId="77777777" w:rsidR="00A533FD" w:rsidRDefault="00A533FD" w:rsidP="00C272CC">
            <w:pPr>
              <w:spacing w:line="360" w:lineRule="auto"/>
            </w:pPr>
            <w:r>
              <w:t xml:space="preserve">Sami </w:t>
            </w:r>
            <w:proofErr w:type="spellStart"/>
            <w:r>
              <w:t>Gabra</w:t>
            </w:r>
            <w:proofErr w:type="spellEnd"/>
            <w:r>
              <w:t xml:space="preserve"> (1892-1979)</w:t>
            </w:r>
          </w:p>
          <w:p w14:paraId="02B0293F" w14:textId="77777777" w:rsidR="00A533FD" w:rsidRDefault="00A533FD" w:rsidP="00C272CC">
            <w:pPr>
              <w:spacing w:line="360" w:lineRule="auto"/>
            </w:pPr>
            <w:r>
              <w:lastRenderedPageBreak/>
              <w:t>Mustafa Amer (1896-1973)</w:t>
            </w:r>
          </w:p>
        </w:tc>
        <w:tc>
          <w:tcPr>
            <w:tcW w:w="2254" w:type="dxa"/>
          </w:tcPr>
          <w:p w14:paraId="3B2B082A" w14:textId="77777777" w:rsidR="00A533FD" w:rsidRDefault="00A533FD" w:rsidP="00C272CC">
            <w:pPr>
              <w:spacing w:line="360" w:lineRule="auto"/>
            </w:pPr>
          </w:p>
        </w:tc>
        <w:tc>
          <w:tcPr>
            <w:tcW w:w="2254" w:type="dxa"/>
          </w:tcPr>
          <w:p w14:paraId="7CE50886" w14:textId="77777777" w:rsidR="00A533FD" w:rsidRDefault="00A533FD" w:rsidP="00C272CC">
            <w:pPr>
              <w:spacing w:line="360" w:lineRule="auto"/>
            </w:pPr>
            <w:r>
              <w:t xml:space="preserve">Georgy </w:t>
            </w:r>
            <w:proofErr w:type="spellStart"/>
            <w:r>
              <w:t>Sohhy</w:t>
            </w:r>
            <w:proofErr w:type="spellEnd"/>
            <w:r>
              <w:t xml:space="preserve"> (1884-1964)</w:t>
            </w:r>
          </w:p>
          <w:p w14:paraId="798508A4" w14:textId="77777777" w:rsidR="00A533FD" w:rsidRDefault="00A533FD" w:rsidP="00C272CC">
            <w:pPr>
              <w:spacing w:line="360" w:lineRule="auto"/>
            </w:pPr>
            <w:r>
              <w:t>Aziz Atiya (1898-1988)</w:t>
            </w:r>
          </w:p>
        </w:tc>
        <w:tc>
          <w:tcPr>
            <w:tcW w:w="2254" w:type="dxa"/>
          </w:tcPr>
          <w:p w14:paraId="7FA98777" w14:textId="77777777" w:rsidR="00A533FD" w:rsidRDefault="00A533FD" w:rsidP="00C272CC">
            <w:pPr>
              <w:spacing w:line="360" w:lineRule="auto"/>
            </w:pPr>
            <w:r>
              <w:t>Herbert Winlock (1884-1950)</w:t>
            </w:r>
          </w:p>
          <w:p w14:paraId="25BEE53B" w14:textId="77777777" w:rsidR="00A533FD" w:rsidRDefault="00A533FD" w:rsidP="00C272CC">
            <w:pPr>
              <w:spacing w:line="360" w:lineRule="auto"/>
            </w:pPr>
            <w:r>
              <w:t xml:space="preserve">Gaston </w:t>
            </w:r>
            <w:proofErr w:type="spellStart"/>
            <w:r>
              <w:t>Weit</w:t>
            </w:r>
            <w:proofErr w:type="spellEnd"/>
            <w:r>
              <w:t xml:space="preserve"> (1887-1971) </w:t>
            </w:r>
          </w:p>
          <w:p w14:paraId="276CCBCC" w14:textId="77777777" w:rsidR="00A533FD" w:rsidRDefault="00A533FD" w:rsidP="00C272CC">
            <w:pPr>
              <w:spacing w:line="360" w:lineRule="auto"/>
            </w:pPr>
            <w:r>
              <w:t xml:space="preserve">Etienne </w:t>
            </w:r>
            <w:proofErr w:type="spellStart"/>
            <w:r>
              <w:t>Drioton</w:t>
            </w:r>
            <w:proofErr w:type="spellEnd"/>
            <w:r>
              <w:t xml:space="preserve"> (1889-1961</w:t>
            </w:r>
          </w:p>
        </w:tc>
      </w:tr>
      <w:tr w:rsidR="00A533FD" w14:paraId="22BEBD96" w14:textId="77777777" w:rsidTr="00C272CC">
        <w:tc>
          <w:tcPr>
            <w:tcW w:w="2254" w:type="dxa"/>
          </w:tcPr>
          <w:p w14:paraId="2315CCA3" w14:textId="77777777" w:rsidR="00A533FD" w:rsidRPr="00F77588" w:rsidRDefault="00A533FD" w:rsidP="00C272CC">
            <w:pPr>
              <w:spacing w:line="360" w:lineRule="auto"/>
              <w:rPr>
                <w:b/>
                <w:bCs/>
              </w:rPr>
            </w:pPr>
            <w:r w:rsidRPr="00F77588">
              <w:rPr>
                <w:b/>
                <w:bCs/>
              </w:rPr>
              <w:t>3</w:t>
            </w:r>
            <w:r w:rsidRPr="00F77588">
              <w:rPr>
                <w:b/>
                <w:bCs/>
                <w:vertAlign w:val="superscript"/>
              </w:rPr>
              <w:t>rd</w:t>
            </w:r>
            <w:r w:rsidRPr="00F77588">
              <w:rPr>
                <w:b/>
                <w:bCs/>
              </w:rPr>
              <w:t xml:space="preserve"> Generation</w:t>
            </w:r>
          </w:p>
          <w:p w14:paraId="16585A24" w14:textId="77777777" w:rsidR="00A533FD" w:rsidRDefault="00A533FD" w:rsidP="00C272CC">
            <w:pPr>
              <w:spacing w:line="360" w:lineRule="auto"/>
            </w:pPr>
            <w:proofErr w:type="spellStart"/>
            <w:r>
              <w:t>Zaki</w:t>
            </w:r>
            <w:proofErr w:type="spellEnd"/>
            <w:r>
              <w:t xml:space="preserve"> Saad (1901-1982)</w:t>
            </w:r>
          </w:p>
          <w:p w14:paraId="5686D126" w14:textId="77777777" w:rsidR="00A533FD" w:rsidRDefault="00A533FD" w:rsidP="00C272CC">
            <w:pPr>
              <w:spacing w:line="360" w:lineRule="auto"/>
            </w:pPr>
            <w:r>
              <w:t xml:space="preserve">Ahmad </w:t>
            </w:r>
            <w:proofErr w:type="spellStart"/>
            <w:r>
              <w:t>Fakhry</w:t>
            </w:r>
            <w:proofErr w:type="spellEnd"/>
            <w:r>
              <w:t xml:space="preserve"> (1905-1973)</w:t>
            </w:r>
          </w:p>
          <w:p w14:paraId="0D126FE1" w14:textId="77777777" w:rsidR="00A533FD" w:rsidRDefault="00A533FD" w:rsidP="00C272CC">
            <w:pPr>
              <w:spacing w:line="360" w:lineRule="auto"/>
            </w:pPr>
            <w:proofErr w:type="spellStart"/>
            <w:r>
              <w:t>Pahor</w:t>
            </w:r>
            <w:proofErr w:type="spellEnd"/>
            <w:r>
              <w:t xml:space="preserve"> Labib (1905-1995)</w:t>
            </w:r>
          </w:p>
          <w:p w14:paraId="175AD2BF" w14:textId="77777777" w:rsidR="00A533FD" w:rsidRDefault="00A533FD" w:rsidP="00C272CC">
            <w:pPr>
              <w:spacing w:line="360" w:lineRule="auto"/>
            </w:pPr>
            <w:r>
              <w:t>Girgis Mattha (1905-1967)</w:t>
            </w:r>
          </w:p>
          <w:p w14:paraId="1253B238" w14:textId="77777777" w:rsidR="00A533FD" w:rsidRDefault="00A533FD" w:rsidP="00C272CC">
            <w:pPr>
              <w:spacing w:line="360" w:lineRule="auto"/>
            </w:pPr>
            <w:r>
              <w:t xml:space="preserve">Labib </w:t>
            </w:r>
            <w:proofErr w:type="spellStart"/>
            <w:r>
              <w:t>Habachi</w:t>
            </w:r>
            <w:proofErr w:type="spellEnd"/>
            <w:r>
              <w:t xml:space="preserve"> (1906-1984)</w:t>
            </w:r>
          </w:p>
          <w:p w14:paraId="2FE8D71A" w14:textId="77777777" w:rsidR="00A533FD" w:rsidRDefault="00A533FD" w:rsidP="00C272CC">
            <w:pPr>
              <w:spacing w:line="360" w:lineRule="auto"/>
            </w:pPr>
            <w:proofErr w:type="spellStart"/>
            <w:r>
              <w:t>Adbel</w:t>
            </w:r>
            <w:proofErr w:type="spellEnd"/>
            <w:r>
              <w:t xml:space="preserve"> </w:t>
            </w:r>
            <w:proofErr w:type="spellStart"/>
            <w:r>
              <w:t>Moneim</w:t>
            </w:r>
            <w:proofErr w:type="spellEnd"/>
            <w:r>
              <w:t xml:space="preserve"> (?)</w:t>
            </w:r>
          </w:p>
          <w:p w14:paraId="1290C23C" w14:textId="77777777" w:rsidR="00A533FD" w:rsidRDefault="00A533FD" w:rsidP="00C272CC">
            <w:pPr>
              <w:spacing w:line="360" w:lineRule="auto"/>
            </w:pPr>
            <w:r>
              <w:t>Abu Bakr (1907-1976)</w:t>
            </w:r>
          </w:p>
        </w:tc>
        <w:tc>
          <w:tcPr>
            <w:tcW w:w="2254" w:type="dxa"/>
          </w:tcPr>
          <w:p w14:paraId="56783DB4" w14:textId="77777777" w:rsidR="00A533FD" w:rsidRDefault="00A533FD" w:rsidP="00C272CC">
            <w:pPr>
              <w:spacing w:line="360" w:lineRule="auto"/>
            </w:pPr>
            <w:r>
              <w:t>Muhammad Mustafa (1903-1987)</w:t>
            </w:r>
          </w:p>
          <w:p w14:paraId="5DE40E49" w14:textId="77777777" w:rsidR="00A533FD" w:rsidRDefault="00A533FD" w:rsidP="00C272CC">
            <w:pPr>
              <w:spacing w:line="360" w:lineRule="auto"/>
            </w:pPr>
            <w:r>
              <w:t xml:space="preserve">Muhammad </w:t>
            </w:r>
            <w:proofErr w:type="spellStart"/>
            <w:r>
              <w:t>Zaki</w:t>
            </w:r>
            <w:proofErr w:type="spellEnd"/>
            <w:r>
              <w:t xml:space="preserve"> Hassan (1908-1957)</w:t>
            </w:r>
          </w:p>
        </w:tc>
        <w:tc>
          <w:tcPr>
            <w:tcW w:w="2254" w:type="dxa"/>
          </w:tcPr>
          <w:p w14:paraId="1104F5F1" w14:textId="77777777" w:rsidR="00A533FD" w:rsidRDefault="00A533FD" w:rsidP="00C272CC">
            <w:pPr>
              <w:spacing w:line="360" w:lineRule="auto"/>
            </w:pPr>
            <w:proofErr w:type="spellStart"/>
            <w:r>
              <w:t>Pahor</w:t>
            </w:r>
            <w:proofErr w:type="spellEnd"/>
            <w:r>
              <w:t xml:space="preserve"> Labib (1905-1994)</w:t>
            </w:r>
          </w:p>
          <w:p w14:paraId="065BD5DA" w14:textId="77777777" w:rsidR="00A533FD" w:rsidRDefault="00A533FD" w:rsidP="00C272CC">
            <w:pPr>
              <w:spacing w:line="360" w:lineRule="auto"/>
            </w:pPr>
            <w:r>
              <w:t>Togo Mina (1906-1949)</w:t>
            </w:r>
          </w:p>
          <w:p w14:paraId="0C27C19F" w14:textId="77777777" w:rsidR="00A533FD" w:rsidRDefault="00A533FD" w:rsidP="00C272CC">
            <w:pPr>
              <w:spacing w:line="360" w:lineRule="auto"/>
            </w:pPr>
            <w:proofErr w:type="spellStart"/>
            <w:r>
              <w:t>Mirrit</w:t>
            </w:r>
            <w:proofErr w:type="spellEnd"/>
            <w:r>
              <w:t xml:space="preserve"> Boutros </w:t>
            </w:r>
            <w:proofErr w:type="spellStart"/>
            <w:r>
              <w:t>Ghali</w:t>
            </w:r>
            <w:proofErr w:type="spellEnd"/>
            <w:r>
              <w:t xml:space="preserve"> (1908-1992)</w:t>
            </w:r>
          </w:p>
        </w:tc>
        <w:tc>
          <w:tcPr>
            <w:tcW w:w="2254" w:type="dxa"/>
          </w:tcPr>
          <w:p w14:paraId="6C3BB7CB" w14:textId="77777777" w:rsidR="00A533FD" w:rsidRDefault="00A533FD" w:rsidP="00C272CC">
            <w:pPr>
              <w:spacing w:line="360" w:lineRule="auto"/>
            </w:pPr>
            <w:r>
              <w:t>John Wilson (1899-1976)</w:t>
            </w:r>
          </w:p>
          <w:p w14:paraId="4A06C814" w14:textId="77777777" w:rsidR="00A533FD" w:rsidRDefault="00A533FD" w:rsidP="00C272CC">
            <w:pPr>
              <w:spacing w:line="360" w:lineRule="auto"/>
            </w:pPr>
            <w:r>
              <w:t>Jean-Philippe Lauer (1902-2001)</w:t>
            </w:r>
          </w:p>
          <w:p w14:paraId="01367F4F" w14:textId="77777777" w:rsidR="00A533FD" w:rsidRDefault="00A533FD" w:rsidP="00C272CC">
            <w:pPr>
              <w:spacing w:line="360" w:lineRule="auto"/>
            </w:pPr>
            <w:proofErr w:type="spellStart"/>
            <w:r>
              <w:t>Archille</w:t>
            </w:r>
            <w:proofErr w:type="spellEnd"/>
            <w:r>
              <w:t xml:space="preserve"> </w:t>
            </w:r>
            <w:proofErr w:type="spellStart"/>
            <w:r>
              <w:t>Adriani</w:t>
            </w:r>
            <w:proofErr w:type="spellEnd"/>
            <w:r>
              <w:t xml:space="preserve"> (1905-1982</w:t>
            </w:r>
          </w:p>
        </w:tc>
      </w:tr>
    </w:tbl>
    <w:p w14:paraId="0A7BECB4" w14:textId="77777777" w:rsidR="00A533FD" w:rsidRDefault="00A533FD" w:rsidP="00A533FD"/>
    <w:p w14:paraId="110150E5" w14:textId="77777777" w:rsidR="008F51E2" w:rsidRDefault="008F51E2" w:rsidP="00A533FD"/>
    <w:p w14:paraId="777D7AB4" w14:textId="77777777" w:rsidR="008F51E2" w:rsidRDefault="008F51E2" w:rsidP="00A533FD"/>
    <w:p w14:paraId="629D534F" w14:textId="77777777" w:rsidR="008F51E2" w:rsidRDefault="008F51E2" w:rsidP="00A533FD"/>
    <w:p w14:paraId="1FC426C3" w14:textId="77777777" w:rsidR="008F51E2" w:rsidRDefault="008F51E2" w:rsidP="00A533FD"/>
    <w:p w14:paraId="4F5CD0B9" w14:textId="77777777" w:rsidR="008F51E2" w:rsidRDefault="008F51E2" w:rsidP="00A533FD"/>
    <w:p w14:paraId="06605A44" w14:textId="77777777" w:rsidR="008F51E2" w:rsidRDefault="008F51E2" w:rsidP="00A533FD"/>
    <w:p w14:paraId="20E824CF" w14:textId="77777777" w:rsidR="008F51E2" w:rsidRDefault="008F51E2" w:rsidP="00A533FD"/>
    <w:p w14:paraId="0FD150C0" w14:textId="77777777" w:rsidR="008F51E2" w:rsidRDefault="008F51E2" w:rsidP="00A533FD"/>
    <w:p w14:paraId="46309479" w14:textId="77777777" w:rsidR="008F51E2" w:rsidRDefault="008F51E2" w:rsidP="00A533FD"/>
    <w:p w14:paraId="73FFC7D0" w14:textId="77777777" w:rsidR="008F51E2" w:rsidRDefault="008F51E2" w:rsidP="00A533FD"/>
    <w:p w14:paraId="6A75D909" w14:textId="77777777" w:rsidR="008F51E2" w:rsidRDefault="008F51E2" w:rsidP="00A533FD"/>
    <w:p w14:paraId="0CAFA782" w14:textId="77777777" w:rsidR="008F51E2" w:rsidRDefault="008F51E2" w:rsidP="00A533FD"/>
    <w:p w14:paraId="78BF4D1F" w14:textId="77777777" w:rsidR="008F51E2" w:rsidRDefault="008F51E2" w:rsidP="00A533FD"/>
    <w:p w14:paraId="0B2377A4" w14:textId="77777777" w:rsidR="008F51E2" w:rsidRDefault="008F51E2" w:rsidP="00A533FD"/>
    <w:p w14:paraId="364A4B18" w14:textId="77777777" w:rsidR="008F51E2" w:rsidRDefault="008F51E2" w:rsidP="00A533FD"/>
    <w:p w14:paraId="512E5BF0" w14:textId="77777777" w:rsidR="008F51E2" w:rsidRDefault="008F51E2" w:rsidP="00A533FD"/>
    <w:p w14:paraId="4F345FC3" w14:textId="5B2FBB39" w:rsidR="00A533FD" w:rsidRDefault="00A533FD" w:rsidP="00A533FD">
      <w:r>
        <w:lastRenderedPageBreak/>
        <w:t>Appendix D: List of restrictions of Egypt’s independence from Britain</w:t>
      </w:r>
      <w:r>
        <w:rPr>
          <w:rStyle w:val="FootnoteReference"/>
        </w:rPr>
        <w:footnoteReference w:id="250"/>
      </w:r>
      <w:r>
        <w:t xml:space="preserve">. </w:t>
      </w:r>
    </w:p>
    <w:p w14:paraId="274A9E09" w14:textId="77777777" w:rsidR="00A533FD" w:rsidRPr="00752B1A" w:rsidRDefault="00A533FD" w:rsidP="00A533FD">
      <w:pPr>
        <w:pStyle w:val="NoSpacing"/>
        <w:numPr>
          <w:ilvl w:val="0"/>
          <w:numId w:val="8"/>
        </w:numPr>
        <w:spacing w:line="360" w:lineRule="auto"/>
        <w:rPr>
          <w:i/>
          <w:iCs/>
        </w:rPr>
      </w:pPr>
      <w:r w:rsidRPr="00752B1A">
        <w:rPr>
          <w:i/>
          <w:iCs/>
        </w:rPr>
        <w:t xml:space="preserve">The British protectorate over Egypt is terminated and Egypt is declared to be an independent sovereign state. </w:t>
      </w:r>
    </w:p>
    <w:p w14:paraId="749D877F" w14:textId="77777777" w:rsidR="00A533FD" w:rsidRPr="00752B1A" w:rsidRDefault="00A533FD" w:rsidP="00A533FD">
      <w:pPr>
        <w:pStyle w:val="NoSpacing"/>
        <w:numPr>
          <w:ilvl w:val="0"/>
          <w:numId w:val="8"/>
        </w:numPr>
        <w:spacing w:line="360" w:lineRule="auto"/>
        <w:rPr>
          <w:i/>
          <w:iCs/>
        </w:rPr>
      </w:pPr>
      <w:r w:rsidRPr="00752B1A">
        <w:rPr>
          <w:i/>
          <w:iCs/>
        </w:rPr>
        <w:t>So soon as the government of his highness shall pass an act of indemnity with application to all inhabitants of Egypt, material law as proclaimed on the 2</w:t>
      </w:r>
      <w:r w:rsidRPr="00752B1A">
        <w:rPr>
          <w:i/>
          <w:iCs/>
          <w:vertAlign w:val="superscript"/>
        </w:rPr>
        <w:t>nd</w:t>
      </w:r>
      <w:r w:rsidRPr="00752B1A">
        <w:rPr>
          <w:i/>
          <w:iCs/>
        </w:rPr>
        <w:t xml:space="preserve"> November 1914 shall be withdrawn</w:t>
      </w:r>
    </w:p>
    <w:p w14:paraId="5A64173C" w14:textId="77777777" w:rsidR="00A533FD" w:rsidRPr="00752B1A" w:rsidRDefault="00A533FD" w:rsidP="00A533FD">
      <w:pPr>
        <w:pStyle w:val="NoSpacing"/>
        <w:numPr>
          <w:ilvl w:val="0"/>
          <w:numId w:val="8"/>
        </w:numPr>
        <w:spacing w:line="360" w:lineRule="auto"/>
        <w:rPr>
          <w:i/>
          <w:iCs/>
        </w:rPr>
      </w:pPr>
      <w:r w:rsidRPr="00752B1A">
        <w:rPr>
          <w:i/>
          <w:iCs/>
        </w:rPr>
        <w:t xml:space="preserve">The following matters are absolutely reserved to the discretion of his majesty’s government until such time as it may be possible by free discussion and friendly accommodation on both sides conclude agreements in regard thereto between his majesty’s government and the government of Egypt: </w:t>
      </w:r>
    </w:p>
    <w:p w14:paraId="4CDC3BA0" w14:textId="77777777" w:rsidR="00A533FD" w:rsidRPr="00752B1A" w:rsidRDefault="00A533FD" w:rsidP="00A533FD">
      <w:pPr>
        <w:pStyle w:val="NoSpacing"/>
        <w:numPr>
          <w:ilvl w:val="0"/>
          <w:numId w:val="9"/>
        </w:numPr>
        <w:spacing w:line="360" w:lineRule="auto"/>
        <w:rPr>
          <w:i/>
          <w:iCs/>
        </w:rPr>
      </w:pPr>
      <w:r w:rsidRPr="00752B1A">
        <w:rPr>
          <w:i/>
          <w:iCs/>
        </w:rPr>
        <w:t xml:space="preserve">The security of the communications of the British empire in Egypt. </w:t>
      </w:r>
    </w:p>
    <w:p w14:paraId="37E8595E" w14:textId="77777777" w:rsidR="00A533FD" w:rsidRPr="00752B1A" w:rsidRDefault="00A533FD" w:rsidP="00A533FD">
      <w:pPr>
        <w:pStyle w:val="NoSpacing"/>
        <w:numPr>
          <w:ilvl w:val="0"/>
          <w:numId w:val="9"/>
        </w:numPr>
        <w:spacing w:line="360" w:lineRule="auto"/>
        <w:rPr>
          <w:i/>
          <w:iCs/>
        </w:rPr>
      </w:pPr>
      <w:r w:rsidRPr="00752B1A">
        <w:rPr>
          <w:i/>
          <w:iCs/>
        </w:rPr>
        <w:t>The defence of Egypt against all foreign aggression or interference direct or indirect.</w:t>
      </w:r>
    </w:p>
    <w:p w14:paraId="67B948BB" w14:textId="77777777" w:rsidR="00A533FD" w:rsidRPr="00752B1A" w:rsidRDefault="00A533FD" w:rsidP="00A533FD">
      <w:pPr>
        <w:pStyle w:val="NoSpacing"/>
        <w:numPr>
          <w:ilvl w:val="0"/>
          <w:numId w:val="9"/>
        </w:numPr>
        <w:spacing w:line="360" w:lineRule="auto"/>
        <w:rPr>
          <w:i/>
          <w:iCs/>
        </w:rPr>
      </w:pPr>
      <w:r w:rsidRPr="00752B1A">
        <w:rPr>
          <w:i/>
          <w:iCs/>
        </w:rPr>
        <w:t xml:space="preserve">The protection of foreign interest in Egypt and the protection of minorities </w:t>
      </w:r>
    </w:p>
    <w:p w14:paraId="4A28291E" w14:textId="77777777" w:rsidR="00A533FD" w:rsidRPr="00450CD5" w:rsidRDefault="00A533FD" w:rsidP="00A533FD">
      <w:pPr>
        <w:pStyle w:val="NoSpacing"/>
        <w:numPr>
          <w:ilvl w:val="0"/>
          <w:numId w:val="9"/>
        </w:numPr>
        <w:spacing w:line="360" w:lineRule="auto"/>
        <w:rPr>
          <w:i/>
          <w:iCs/>
        </w:rPr>
      </w:pPr>
      <w:r w:rsidRPr="00752B1A">
        <w:rPr>
          <w:i/>
          <w:iCs/>
        </w:rPr>
        <w:t xml:space="preserve">The Sudan </w:t>
      </w:r>
    </w:p>
    <w:p w14:paraId="64AF3012" w14:textId="624738F3" w:rsidR="00D70916" w:rsidRDefault="00D70916" w:rsidP="002117A2">
      <w:pPr>
        <w:spacing w:line="360" w:lineRule="auto"/>
        <w:rPr>
          <w:color w:val="000000" w:themeColor="text1"/>
        </w:rPr>
      </w:pPr>
    </w:p>
    <w:p w14:paraId="6160B823" w14:textId="56850C34" w:rsidR="008C1770" w:rsidRDefault="008C1770" w:rsidP="002117A2">
      <w:pPr>
        <w:spacing w:line="360" w:lineRule="auto"/>
        <w:rPr>
          <w:color w:val="000000" w:themeColor="text1"/>
        </w:rPr>
      </w:pPr>
    </w:p>
    <w:p w14:paraId="4931F989" w14:textId="763C43C9" w:rsidR="008C1770" w:rsidRDefault="008C1770" w:rsidP="002117A2">
      <w:pPr>
        <w:spacing w:line="360" w:lineRule="auto"/>
        <w:rPr>
          <w:color w:val="000000" w:themeColor="text1"/>
        </w:rPr>
      </w:pPr>
    </w:p>
    <w:p w14:paraId="010160F2" w14:textId="62298E85" w:rsidR="008C1770" w:rsidRDefault="008C1770" w:rsidP="002117A2">
      <w:pPr>
        <w:spacing w:line="360" w:lineRule="auto"/>
        <w:rPr>
          <w:color w:val="000000" w:themeColor="text1"/>
        </w:rPr>
      </w:pPr>
    </w:p>
    <w:p w14:paraId="6F4D61C9" w14:textId="18094F46" w:rsidR="008C1770" w:rsidRDefault="008C1770" w:rsidP="002117A2">
      <w:pPr>
        <w:spacing w:line="360" w:lineRule="auto"/>
        <w:rPr>
          <w:color w:val="000000" w:themeColor="text1"/>
        </w:rPr>
      </w:pPr>
    </w:p>
    <w:p w14:paraId="3832EAA6" w14:textId="12452162" w:rsidR="008C1770" w:rsidRDefault="008C1770" w:rsidP="002117A2">
      <w:pPr>
        <w:spacing w:line="360" w:lineRule="auto"/>
        <w:rPr>
          <w:color w:val="000000" w:themeColor="text1"/>
        </w:rPr>
      </w:pPr>
    </w:p>
    <w:p w14:paraId="011E6E51" w14:textId="29F44E05" w:rsidR="008C1770" w:rsidRDefault="008C1770" w:rsidP="002117A2">
      <w:pPr>
        <w:spacing w:line="360" w:lineRule="auto"/>
        <w:rPr>
          <w:color w:val="000000" w:themeColor="text1"/>
        </w:rPr>
      </w:pPr>
    </w:p>
    <w:p w14:paraId="1C61DF49" w14:textId="3E27B5B1" w:rsidR="008C1770" w:rsidRDefault="008C1770" w:rsidP="002117A2">
      <w:pPr>
        <w:spacing w:line="360" w:lineRule="auto"/>
        <w:rPr>
          <w:color w:val="000000" w:themeColor="text1"/>
        </w:rPr>
      </w:pPr>
    </w:p>
    <w:p w14:paraId="34953E5B" w14:textId="2A1EBCD4" w:rsidR="008C1770" w:rsidRDefault="008C1770" w:rsidP="002117A2">
      <w:pPr>
        <w:spacing w:line="360" w:lineRule="auto"/>
        <w:rPr>
          <w:color w:val="000000" w:themeColor="text1"/>
        </w:rPr>
      </w:pPr>
    </w:p>
    <w:p w14:paraId="2473BDD1" w14:textId="7A89E50B" w:rsidR="008C1770" w:rsidRDefault="008C1770" w:rsidP="008C1770">
      <w:pPr>
        <w:jc w:val="center"/>
        <w:rPr>
          <w:b/>
          <w:bCs/>
          <w:sz w:val="28"/>
          <w:szCs w:val="28"/>
          <w:u w:val="single"/>
        </w:rPr>
      </w:pPr>
      <w:bookmarkStart w:id="1" w:name="_Hlk21083399"/>
    </w:p>
    <w:p w14:paraId="1724D58E" w14:textId="7B21541E" w:rsidR="008F51E2" w:rsidRDefault="008F51E2" w:rsidP="008C1770">
      <w:pPr>
        <w:jc w:val="center"/>
        <w:rPr>
          <w:b/>
          <w:bCs/>
          <w:sz w:val="28"/>
          <w:szCs w:val="28"/>
          <w:u w:val="single"/>
        </w:rPr>
      </w:pPr>
    </w:p>
    <w:p w14:paraId="48A4F131" w14:textId="7AC5CD06" w:rsidR="008F51E2" w:rsidRDefault="008F51E2" w:rsidP="008C1770">
      <w:pPr>
        <w:jc w:val="center"/>
        <w:rPr>
          <w:b/>
          <w:bCs/>
          <w:sz w:val="28"/>
          <w:szCs w:val="28"/>
          <w:u w:val="single"/>
        </w:rPr>
      </w:pPr>
    </w:p>
    <w:p w14:paraId="1157526C" w14:textId="5E01BACC" w:rsidR="008F51E2" w:rsidRDefault="008F51E2" w:rsidP="008C1770">
      <w:pPr>
        <w:jc w:val="center"/>
        <w:rPr>
          <w:b/>
          <w:bCs/>
          <w:sz w:val="28"/>
          <w:szCs w:val="28"/>
          <w:u w:val="single"/>
        </w:rPr>
      </w:pPr>
    </w:p>
    <w:p w14:paraId="0A3D4D27" w14:textId="77777777" w:rsidR="009C7623" w:rsidRDefault="009C7623" w:rsidP="009C7623">
      <w:pPr>
        <w:rPr>
          <w:b/>
          <w:bCs/>
          <w:sz w:val="28"/>
          <w:szCs w:val="28"/>
          <w:u w:val="single"/>
        </w:rPr>
      </w:pPr>
    </w:p>
    <w:p w14:paraId="3F3E2982" w14:textId="6623E60C" w:rsidR="008C1770" w:rsidRPr="00F72340" w:rsidRDefault="008C1770" w:rsidP="009C7623">
      <w:pPr>
        <w:jc w:val="center"/>
        <w:rPr>
          <w:b/>
          <w:bCs/>
          <w:sz w:val="28"/>
          <w:szCs w:val="28"/>
          <w:u w:val="single"/>
        </w:rPr>
      </w:pPr>
      <w:r w:rsidRPr="00F72340">
        <w:rPr>
          <w:b/>
          <w:bCs/>
          <w:sz w:val="28"/>
          <w:szCs w:val="28"/>
          <w:u w:val="single"/>
        </w:rPr>
        <w:lastRenderedPageBreak/>
        <w:t>References</w:t>
      </w:r>
    </w:p>
    <w:p w14:paraId="4ECB29BB" w14:textId="458A0174" w:rsidR="008C1770" w:rsidRPr="00CF15EC" w:rsidRDefault="008C1770" w:rsidP="00A05224">
      <w:pPr>
        <w:ind w:hanging="720"/>
      </w:pPr>
      <w:proofErr w:type="spellStart"/>
      <w:r w:rsidRPr="00CF15EC">
        <w:t>Addley</w:t>
      </w:r>
      <w:proofErr w:type="spellEnd"/>
      <w:r w:rsidRPr="00CF15EC">
        <w:t xml:space="preserve">, E. (2019) ‘Tutankhamun’s glitzy farewell tour a timely promotion for Egypt’, </w:t>
      </w:r>
      <w:r w:rsidRPr="00CF15EC">
        <w:rPr>
          <w:i/>
          <w:iCs/>
        </w:rPr>
        <w:t>The Guardian</w:t>
      </w:r>
      <w:r w:rsidRPr="00CF15EC">
        <w:t>, 1</w:t>
      </w:r>
      <w:r w:rsidRPr="00CF15EC">
        <w:rPr>
          <w:vertAlign w:val="superscript"/>
        </w:rPr>
        <w:t>st</w:t>
      </w:r>
      <w:r w:rsidRPr="00CF15EC">
        <w:t xml:space="preserve"> November, P.13</w:t>
      </w:r>
      <w:r w:rsidR="0017770B">
        <w:t>.</w:t>
      </w:r>
    </w:p>
    <w:p w14:paraId="630CCC0A" w14:textId="5A66AA49" w:rsidR="008C1770" w:rsidRPr="00CF15EC" w:rsidRDefault="008C1770" w:rsidP="00A05224">
      <w:pPr>
        <w:ind w:hanging="720"/>
      </w:pPr>
      <w:r w:rsidRPr="00CF15EC">
        <w:t xml:space="preserve">Ancient Egypt Online. (N.D) </w:t>
      </w:r>
      <w:r w:rsidRPr="00154D7E">
        <w:rPr>
          <w:i/>
          <w:iCs/>
        </w:rPr>
        <w:t>Ancient Egypt Maps</w:t>
      </w:r>
      <w:r w:rsidRPr="00CF15EC">
        <w:t xml:space="preserve">. Available at: </w:t>
      </w:r>
      <w:r w:rsidRPr="005B3342">
        <w:t>https://www.ancient-egypt-online.com/ancient-egypt-maps.html</w:t>
      </w:r>
      <w:r w:rsidRPr="00CF15EC">
        <w:t xml:space="preserve"> [Accessed 28/01/20</w:t>
      </w:r>
      <w:r w:rsidR="0029519E">
        <w:t>20</w:t>
      </w:r>
      <w:r w:rsidRPr="00CF15EC">
        <w:t>]</w:t>
      </w:r>
      <w:r w:rsidR="0017770B">
        <w:t>.</w:t>
      </w:r>
    </w:p>
    <w:p w14:paraId="7CFC850E" w14:textId="069D3C2B" w:rsidR="008C1770" w:rsidRPr="00CF15EC" w:rsidRDefault="008C1770" w:rsidP="00A05224">
      <w:pPr>
        <w:ind w:hanging="720"/>
      </w:pPr>
      <w:r w:rsidRPr="00CF15EC">
        <w:t xml:space="preserve">Anon. (2019) </w:t>
      </w:r>
      <w:r w:rsidRPr="00CF15EC">
        <w:rPr>
          <w:i/>
          <w:iCs/>
        </w:rPr>
        <w:t xml:space="preserve">Behind the scenes as largest ever Tutankhamun exhibition moves to London. </w:t>
      </w:r>
      <w:r w:rsidRPr="00CF15EC">
        <w:t xml:space="preserve">Available </w:t>
      </w:r>
      <w:r w:rsidRPr="005B3342">
        <w:t xml:space="preserve">at: </w:t>
      </w:r>
      <w:r w:rsidR="005B3342" w:rsidRPr="005B3342">
        <w:t>http://home.bt.com/news/behind-the-scenes-as-largest-ever-tutankhamun-exhibition-moves-to-london-91364399327709?playlistVideoId=6091137187001&amp;utm_campaign=139799_Extended%20Hours%20Announced%21&amp;utm_medium=email&amp;utm_source=Tutankhamun%20London&amp;dm_i=55SU,2ZVB,M0FAH,AUSB,1</w:t>
      </w:r>
      <w:r w:rsidRPr="00CF15EC">
        <w:t xml:space="preserve"> [Accessed: 04/10/2019].</w:t>
      </w:r>
    </w:p>
    <w:p w14:paraId="7E8959BA" w14:textId="2FBBE7D2" w:rsidR="008C1770" w:rsidRPr="00CF15EC" w:rsidRDefault="008C1770" w:rsidP="00A05224">
      <w:pPr>
        <w:ind w:hanging="720"/>
      </w:pPr>
      <w:proofErr w:type="spellStart"/>
      <w:r w:rsidRPr="00CF15EC">
        <w:t>Augustyn</w:t>
      </w:r>
      <w:proofErr w:type="spellEnd"/>
      <w:r w:rsidRPr="00CF15EC">
        <w:t xml:space="preserve">, A. (2019) </w:t>
      </w:r>
      <w:r w:rsidRPr="00154D7E">
        <w:rPr>
          <w:i/>
          <w:iCs/>
        </w:rPr>
        <w:t>Herodotus</w:t>
      </w:r>
      <w:r w:rsidRPr="00CF15EC">
        <w:t xml:space="preserve">. Available at: </w:t>
      </w:r>
      <w:r w:rsidRPr="00A9121A">
        <w:t>https://www.britannica.com/biography/Herodotus-Greek-historian</w:t>
      </w:r>
      <w:r w:rsidRPr="00CF15EC">
        <w:t xml:space="preserve"> [Accessed: 01/12/</w:t>
      </w:r>
      <w:r w:rsidR="0029519E">
        <w:t>20</w:t>
      </w:r>
      <w:r w:rsidRPr="00CF15EC">
        <w:t>19]</w:t>
      </w:r>
      <w:r w:rsidR="00C30B43">
        <w:t>.</w:t>
      </w:r>
    </w:p>
    <w:p w14:paraId="76442748" w14:textId="77777777" w:rsidR="008C1770" w:rsidRPr="00CF15EC" w:rsidRDefault="008C1770" w:rsidP="00A05224">
      <w:pPr>
        <w:ind w:hanging="720"/>
      </w:pPr>
      <w:r w:rsidRPr="00CF15EC">
        <w:t xml:space="preserve">Bell, T. (2010) </w:t>
      </w:r>
      <w:r w:rsidRPr="00CF15EC">
        <w:rPr>
          <w:i/>
          <w:iCs/>
        </w:rPr>
        <w:t>The Western Perception of Ancient Egypt: The Discovery, Spectacle and Exposition of King Tutankhamun</w:t>
      </w:r>
      <w:r w:rsidRPr="00CF15EC">
        <w:t>. Unpublished PhD thesis, Newman University.</w:t>
      </w:r>
    </w:p>
    <w:p w14:paraId="2FA3F8F5" w14:textId="0B6C1E88" w:rsidR="008C1770" w:rsidRPr="00CF15EC" w:rsidRDefault="008C1770" w:rsidP="00A05224">
      <w:pPr>
        <w:ind w:hanging="720"/>
      </w:pPr>
      <w:r w:rsidRPr="00CF15EC">
        <w:t xml:space="preserve">Brewer, D. J. </w:t>
      </w:r>
      <w:r w:rsidR="00D64CCE">
        <w:t>and</w:t>
      </w:r>
      <w:r w:rsidRPr="00CF15EC">
        <w:t xml:space="preserve"> Teeter, E. (2007) </w:t>
      </w:r>
      <w:r w:rsidRPr="00CF15EC">
        <w:rPr>
          <w:i/>
          <w:iCs/>
        </w:rPr>
        <w:t>Egypt and the Egyptians.</w:t>
      </w:r>
      <w:r w:rsidRPr="00CF15EC">
        <w:t xml:space="preserve"> 2</w:t>
      </w:r>
      <w:r w:rsidRPr="00CF15EC">
        <w:rPr>
          <w:vertAlign w:val="superscript"/>
        </w:rPr>
        <w:t>nd</w:t>
      </w:r>
      <w:r w:rsidRPr="00CF15EC">
        <w:t xml:space="preserve"> </w:t>
      </w:r>
      <w:proofErr w:type="spellStart"/>
      <w:r w:rsidRPr="00CF15EC">
        <w:t>ed</w:t>
      </w:r>
      <w:r w:rsidR="00571394">
        <w:t>n</w:t>
      </w:r>
      <w:proofErr w:type="spellEnd"/>
      <w:r w:rsidRPr="00CF15EC">
        <w:t xml:space="preserve">. Cambridge: Cambridge University Press. </w:t>
      </w:r>
    </w:p>
    <w:p w14:paraId="409295F6" w14:textId="77777777" w:rsidR="008C1770" w:rsidRPr="00CF15EC" w:rsidRDefault="008C1770" w:rsidP="00A05224">
      <w:pPr>
        <w:ind w:hanging="720"/>
      </w:pPr>
      <w:r w:rsidRPr="00CF15EC">
        <w:t xml:space="preserve">Carter, H. and Mace. A. C. (1923) </w:t>
      </w:r>
      <w:r w:rsidRPr="00CF15EC">
        <w:rPr>
          <w:i/>
          <w:iCs/>
        </w:rPr>
        <w:t xml:space="preserve">The Tomb of </w:t>
      </w:r>
      <w:proofErr w:type="spellStart"/>
      <w:proofErr w:type="gramStart"/>
      <w:r w:rsidRPr="00CF15EC">
        <w:rPr>
          <w:i/>
          <w:iCs/>
        </w:rPr>
        <w:t>Tut.Ankh.Amen</w:t>
      </w:r>
      <w:proofErr w:type="spellEnd"/>
      <w:proofErr w:type="gramEnd"/>
      <w:r w:rsidRPr="00CF15EC">
        <w:rPr>
          <w:i/>
          <w:iCs/>
        </w:rPr>
        <w:t xml:space="preserve">. </w:t>
      </w:r>
      <w:r w:rsidRPr="00CF15EC">
        <w:t xml:space="preserve">Volume one. Norwich: </w:t>
      </w:r>
      <w:proofErr w:type="spellStart"/>
      <w:r w:rsidRPr="00CF15EC">
        <w:t>Jarrold</w:t>
      </w:r>
      <w:proofErr w:type="spellEnd"/>
      <w:r w:rsidRPr="00CF15EC">
        <w:t xml:space="preserve"> and Sons Ltd.</w:t>
      </w:r>
    </w:p>
    <w:p w14:paraId="528FD8BB" w14:textId="7C0E63AA" w:rsidR="008C1770" w:rsidRDefault="008C1770" w:rsidP="00A05224">
      <w:pPr>
        <w:ind w:hanging="720"/>
      </w:pPr>
      <w:r w:rsidRPr="00CF15EC">
        <w:t xml:space="preserve">Clayton, P. A. (1994) </w:t>
      </w:r>
      <w:r w:rsidRPr="00CF15EC">
        <w:rPr>
          <w:i/>
          <w:iCs/>
        </w:rPr>
        <w:t xml:space="preserve">Chronicle of the Pharaohs: the reign-by-reign record of the rulers and dynasties of ancient Egypt. </w:t>
      </w:r>
      <w:r w:rsidRPr="00CF15EC">
        <w:t xml:space="preserve">London: BCA. </w:t>
      </w:r>
    </w:p>
    <w:p w14:paraId="4F127455" w14:textId="009F791B" w:rsidR="007554C0" w:rsidRPr="00CF15EC" w:rsidRDefault="007554C0" w:rsidP="007554C0">
      <w:pPr>
        <w:ind w:hanging="720"/>
      </w:pPr>
      <w:proofErr w:type="spellStart"/>
      <w:r w:rsidRPr="00141743">
        <w:t>Colla</w:t>
      </w:r>
      <w:proofErr w:type="spellEnd"/>
      <w:r w:rsidRPr="00141743">
        <w:t xml:space="preserve">, E. (2007) </w:t>
      </w:r>
      <w:r w:rsidRPr="00141743">
        <w:rPr>
          <w:i/>
          <w:iCs/>
        </w:rPr>
        <w:t xml:space="preserve">Conflicted Antiquities Egyptology, Egyptomania, Egyptian Modernity. </w:t>
      </w:r>
      <w:r w:rsidRPr="00141743">
        <w:t xml:space="preserve">Durham and London: Duke University Press. </w:t>
      </w:r>
    </w:p>
    <w:p w14:paraId="737A5A05" w14:textId="03B9D561" w:rsidR="008C1770" w:rsidRPr="00CF15EC" w:rsidRDefault="008C1770" w:rsidP="00A05224">
      <w:pPr>
        <w:ind w:hanging="720"/>
      </w:pPr>
      <w:r w:rsidRPr="00CF15EC">
        <w:t xml:space="preserve">Collins, P. </w:t>
      </w:r>
      <w:r w:rsidR="00D64CCE">
        <w:t>and</w:t>
      </w:r>
      <w:r w:rsidRPr="00CF15EC">
        <w:t xml:space="preserve"> McNamara, L. (2014) </w:t>
      </w:r>
      <w:r w:rsidRPr="00CF15EC">
        <w:rPr>
          <w:i/>
          <w:iCs/>
        </w:rPr>
        <w:t>Discovering Tutankhamun</w:t>
      </w:r>
      <w:r w:rsidRPr="00CF15EC">
        <w:t xml:space="preserve">. Oxford: Ashmolean Museum, University of Oxford. </w:t>
      </w:r>
    </w:p>
    <w:p w14:paraId="37DC54B9" w14:textId="1B4B4E16" w:rsidR="008C1770" w:rsidRPr="00CF15EC" w:rsidRDefault="008C1770" w:rsidP="00A05224">
      <w:pPr>
        <w:ind w:hanging="720"/>
      </w:pPr>
      <w:r w:rsidRPr="00CF15EC">
        <w:t xml:space="preserve">Connolly, K. (2009) </w:t>
      </w:r>
      <w:r w:rsidRPr="00154D7E">
        <w:rPr>
          <w:i/>
          <w:iCs/>
        </w:rPr>
        <w:t>Is this Nefertiti- or a 100-year-old fake?</w:t>
      </w:r>
      <w:r w:rsidRPr="00CF15EC">
        <w:t xml:space="preserve"> Available at: </w:t>
      </w:r>
      <w:r w:rsidRPr="00A9121A">
        <w:t>https://www.theguardian.com/artanddesign/2009/may/07/nefertiti-bust-berlin-egypt-authenticity</w:t>
      </w:r>
      <w:r w:rsidRPr="00CF15EC">
        <w:t xml:space="preserve"> [Accessed: 01/12/</w:t>
      </w:r>
      <w:r w:rsidR="0029519E">
        <w:t>20</w:t>
      </w:r>
      <w:r w:rsidRPr="00CF15EC">
        <w:t>19]</w:t>
      </w:r>
      <w:r w:rsidR="00C30B43">
        <w:t xml:space="preserve">. </w:t>
      </w:r>
    </w:p>
    <w:p w14:paraId="1AAB0E0F" w14:textId="3614FCF3" w:rsidR="008C1770" w:rsidRDefault="008C1770" w:rsidP="00A05224">
      <w:pPr>
        <w:ind w:hanging="720"/>
      </w:pPr>
      <w:r w:rsidRPr="00CF15EC">
        <w:t>Daly</w:t>
      </w:r>
      <w:r w:rsidR="00025ABF">
        <w:t xml:space="preserve">, </w:t>
      </w:r>
      <w:r w:rsidRPr="00CF15EC">
        <w:t xml:space="preserve">M. W. and </w:t>
      </w:r>
      <w:r w:rsidR="005C36DB">
        <w:t>Petry, C. F.</w:t>
      </w:r>
      <w:r w:rsidRPr="00CF15EC">
        <w:t xml:space="preserve"> (1998</w:t>
      </w:r>
      <w:r w:rsidRPr="00CF15EC">
        <w:rPr>
          <w:i/>
          <w:iCs/>
        </w:rPr>
        <w:t>) The Cambridge History of Egypt</w:t>
      </w:r>
      <w:r w:rsidRPr="00CF15EC">
        <w:t xml:space="preserve">. Cambridge: Cambridge University Press. </w:t>
      </w:r>
    </w:p>
    <w:p w14:paraId="28E3B24E" w14:textId="455857C7" w:rsidR="00BB0B65" w:rsidRPr="000523D5" w:rsidRDefault="00BB0B65" w:rsidP="00A05224">
      <w:pPr>
        <w:ind w:hanging="720"/>
      </w:pPr>
      <w:r>
        <w:t>Dodson</w:t>
      </w:r>
      <w:r w:rsidR="00025ABF">
        <w:t>, A. (</w:t>
      </w:r>
      <w:r w:rsidR="0094185B">
        <w:t>2009</w:t>
      </w:r>
      <w:r w:rsidR="00025ABF">
        <w:t xml:space="preserve">) </w:t>
      </w:r>
      <w:r w:rsidR="00025ABF" w:rsidRPr="0094185B">
        <w:rPr>
          <w:i/>
          <w:iCs/>
        </w:rPr>
        <w:t xml:space="preserve">Amarna Sunset. Nefertiti, Tutankhamun, Ay, </w:t>
      </w:r>
      <w:proofErr w:type="spellStart"/>
      <w:r w:rsidR="00025ABF" w:rsidRPr="0094185B">
        <w:rPr>
          <w:i/>
          <w:iCs/>
        </w:rPr>
        <w:t>Horem</w:t>
      </w:r>
      <w:r w:rsidR="00B52BC3" w:rsidRPr="0094185B">
        <w:rPr>
          <w:i/>
          <w:iCs/>
        </w:rPr>
        <w:t>heb</w:t>
      </w:r>
      <w:proofErr w:type="spellEnd"/>
      <w:r w:rsidR="00B52BC3" w:rsidRPr="0094185B">
        <w:rPr>
          <w:i/>
          <w:iCs/>
        </w:rPr>
        <w:t>, and the Egyptian Counter-Reformation.</w:t>
      </w:r>
      <w:r w:rsidR="000523D5">
        <w:rPr>
          <w:i/>
          <w:iCs/>
        </w:rPr>
        <w:t xml:space="preserve"> </w:t>
      </w:r>
      <w:r w:rsidR="0062184D" w:rsidRPr="0062184D">
        <w:t>Cairo and New York</w:t>
      </w:r>
      <w:r w:rsidR="0062184D">
        <w:rPr>
          <w:i/>
          <w:iCs/>
        </w:rPr>
        <w:t xml:space="preserve">: </w:t>
      </w:r>
      <w:r w:rsidR="0062184D">
        <w:t>The American University in Cairo Press</w:t>
      </w:r>
      <w:r w:rsidR="005C36DB">
        <w:t>.</w:t>
      </w:r>
    </w:p>
    <w:p w14:paraId="2F47088D" w14:textId="60E009F9" w:rsidR="008C1770" w:rsidRPr="00CF15EC" w:rsidRDefault="008C1770" w:rsidP="00A05224">
      <w:pPr>
        <w:ind w:hanging="720"/>
      </w:pPr>
      <w:r w:rsidRPr="00CF15EC">
        <w:t xml:space="preserve">Dowson, T. (2019) </w:t>
      </w:r>
      <w:r w:rsidRPr="0029519E">
        <w:rPr>
          <w:i/>
          <w:iCs/>
        </w:rPr>
        <w:t>Tutankhamun: Treasures of the Golden Pharaoh 2019 – 2021</w:t>
      </w:r>
      <w:r w:rsidRPr="00CF15EC">
        <w:t xml:space="preserve">. Available at </w:t>
      </w:r>
      <w:r w:rsidRPr="00A9121A">
        <w:t>https://archaeology-travel.com/exhibitions/tutankhamun-treasures-of-the-golden-pharaoh/</w:t>
      </w:r>
      <w:r w:rsidRPr="00CF15EC">
        <w:t xml:space="preserve"> [Accessed 16/12/2019]</w:t>
      </w:r>
      <w:r w:rsidR="005C36DB">
        <w:t>.</w:t>
      </w:r>
    </w:p>
    <w:p w14:paraId="531FDE6A" w14:textId="0DEB7E49" w:rsidR="008C1770" w:rsidRPr="00CF15EC" w:rsidRDefault="008C1770" w:rsidP="00A05224">
      <w:pPr>
        <w:ind w:hanging="720"/>
      </w:pPr>
      <w:r w:rsidRPr="00CF15EC">
        <w:t xml:space="preserve">Eaton-Krauss, M. (2016) </w:t>
      </w:r>
      <w:r w:rsidRPr="0029519E">
        <w:rPr>
          <w:i/>
          <w:iCs/>
        </w:rPr>
        <w:t>The Unknown Tutankhamun</w:t>
      </w:r>
      <w:r w:rsidRPr="00CF15EC">
        <w:t>. London; New York: Bloomsbury Academic</w:t>
      </w:r>
      <w:r w:rsidR="005C36DB">
        <w:t>.</w:t>
      </w:r>
    </w:p>
    <w:p w14:paraId="79E96FEB" w14:textId="1E586E6B" w:rsidR="00C52218" w:rsidRPr="00CF15EC" w:rsidRDefault="008C1770" w:rsidP="00A05224">
      <w:pPr>
        <w:ind w:hanging="720"/>
      </w:pPr>
      <w:r w:rsidRPr="00CF15EC">
        <w:t>El-Akkad, T. (</w:t>
      </w:r>
      <w:r w:rsidR="001C1949">
        <w:t>2017</w:t>
      </w:r>
      <w:r w:rsidRPr="00CF15EC">
        <w:t xml:space="preserve">) </w:t>
      </w:r>
      <w:r w:rsidRPr="00C52218">
        <w:t>‘The Decline of Cairo Under the Ottomans’</w:t>
      </w:r>
      <w:r w:rsidRPr="00C52218">
        <w:rPr>
          <w:i/>
          <w:iCs/>
        </w:rPr>
        <w:t>,</w:t>
      </w:r>
      <w:r w:rsidRPr="00CF15EC">
        <w:t xml:space="preserve"> </w:t>
      </w:r>
      <w:r w:rsidR="001C1949" w:rsidRPr="00C52218">
        <w:rPr>
          <w:i/>
          <w:iCs/>
        </w:rPr>
        <w:t>Art of the Orient</w:t>
      </w:r>
      <w:r w:rsidRPr="00CF15EC">
        <w:t>,</w:t>
      </w:r>
      <w:r w:rsidR="001C1949">
        <w:t xml:space="preserve"> 6</w:t>
      </w:r>
      <w:r w:rsidR="00645357">
        <w:t>.</w:t>
      </w:r>
      <w:r w:rsidRPr="00CF15EC">
        <w:t xml:space="preserve"> pp.76-86</w:t>
      </w:r>
      <w:r w:rsidR="00B51576">
        <w:t xml:space="preserve">. Available at: </w:t>
      </w:r>
      <w:r w:rsidR="00645357" w:rsidRPr="00645357">
        <w:t>https://crossasia-journals.ub.uni-heidelberg.de/index.php/ao/article/view/9063/8914</w:t>
      </w:r>
      <w:r w:rsidR="00645357">
        <w:t xml:space="preserve"> </w:t>
      </w:r>
      <w:r w:rsidR="0097685D">
        <w:t>[Accessed: 01/12/2019]</w:t>
      </w:r>
      <w:r w:rsidR="005C36DB">
        <w:t>.</w:t>
      </w:r>
    </w:p>
    <w:p w14:paraId="2862FF38" w14:textId="56ADEC99" w:rsidR="008C1770" w:rsidRPr="00CF15EC" w:rsidRDefault="008C1770" w:rsidP="00A05224">
      <w:pPr>
        <w:ind w:hanging="720"/>
      </w:pPr>
      <w:r w:rsidRPr="00CF15EC">
        <w:t xml:space="preserve">Encyclopaedia Britannica. (2018) </w:t>
      </w:r>
      <w:proofErr w:type="spellStart"/>
      <w:r w:rsidRPr="0029519E">
        <w:rPr>
          <w:i/>
          <w:iCs/>
        </w:rPr>
        <w:t>Diodorus</w:t>
      </w:r>
      <w:proofErr w:type="spellEnd"/>
      <w:r w:rsidRPr="0029519E">
        <w:rPr>
          <w:i/>
          <w:iCs/>
        </w:rPr>
        <w:t xml:space="preserve"> Siculus</w:t>
      </w:r>
      <w:r w:rsidRPr="00CF15EC">
        <w:t xml:space="preserve">. Available at: </w:t>
      </w:r>
      <w:r w:rsidRPr="00A9121A">
        <w:t>https://www.britannica.com/biography/Diodorus-Siculus</w:t>
      </w:r>
      <w:r w:rsidRPr="00CF15EC">
        <w:t xml:space="preserve"> [Accessed: 01/12/</w:t>
      </w:r>
      <w:r w:rsidR="0029519E">
        <w:t>20</w:t>
      </w:r>
      <w:r w:rsidRPr="00CF15EC">
        <w:t>19]</w:t>
      </w:r>
      <w:r w:rsidR="00C51431">
        <w:t>.</w:t>
      </w:r>
    </w:p>
    <w:p w14:paraId="78E5BE57" w14:textId="532558BD" w:rsidR="008C1770" w:rsidRPr="00CF15EC" w:rsidRDefault="008C1770" w:rsidP="00A05224">
      <w:pPr>
        <w:ind w:hanging="720"/>
      </w:pPr>
      <w:r w:rsidRPr="00CF15EC">
        <w:lastRenderedPageBreak/>
        <w:t xml:space="preserve">Encyclopaedia Britannica. (2019) </w:t>
      </w:r>
      <w:r w:rsidRPr="0029519E">
        <w:rPr>
          <w:i/>
          <w:iCs/>
        </w:rPr>
        <w:t>Giovanni Battista Belzoni</w:t>
      </w:r>
      <w:r w:rsidRPr="00CF15EC">
        <w:t xml:space="preserve">. Available at: </w:t>
      </w:r>
      <w:r w:rsidRPr="00A9121A">
        <w:t>https://www.britannica.com/biography/Giovanni-Battista-Belzoni</w:t>
      </w:r>
      <w:r w:rsidRPr="00CF15EC">
        <w:t xml:space="preserve"> [Accessed: 01/12/</w:t>
      </w:r>
      <w:r w:rsidR="0029519E">
        <w:t>20</w:t>
      </w:r>
      <w:r w:rsidRPr="00CF15EC">
        <w:t>19]</w:t>
      </w:r>
      <w:r w:rsidR="00C51431">
        <w:t xml:space="preserve">. </w:t>
      </w:r>
    </w:p>
    <w:p w14:paraId="20C3F5E3" w14:textId="0E0C1CFF" w:rsidR="008C1770" w:rsidRDefault="008C1770" w:rsidP="00A05224">
      <w:pPr>
        <w:ind w:hanging="720"/>
      </w:pPr>
      <w:r w:rsidRPr="00CF15EC">
        <w:t>Encyclop</w:t>
      </w:r>
      <w:r w:rsidR="00A50357">
        <w:t>a</w:t>
      </w:r>
      <w:r w:rsidRPr="00CF15EC">
        <w:t>edia Britannica. (2019</w:t>
      </w:r>
      <w:r w:rsidRPr="00C52218">
        <w:rPr>
          <w:i/>
          <w:iCs/>
        </w:rPr>
        <w:t>) Mehmed V</w:t>
      </w:r>
      <w:r w:rsidRPr="00CF15EC">
        <w:t xml:space="preserve">. Available at: </w:t>
      </w:r>
      <w:r w:rsidRPr="00A9121A">
        <w:t>https://www.britannica.com/biography/Mehmed-V</w:t>
      </w:r>
      <w:r w:rsidRPr="00CF15EC">
        <w:t xml:space="preserve"> [Accessed 22/03/</w:t>
      </w:r>
      <w:r w:rsidR="00C52218">
        <w:t>20</w:t>
      </w:r>
      <w:r w:rsidRPr="00CF15EC">
        <w:t>20]</w:t>
      </w:r>
      <w:r w:rsidR="00C51431">
        <w:t>.</w:t>
      </w:r>
    </w:p>
    <w:p w14:paraId="01C1222E" w14:textId="399285AA" w:rsidR="000C2BC6" w:rsidRPr="00CF15EC" w:rsidRDefault="000C2BC6" w:rsidP="00A05224">
      <w:pPr>
        <w:ind w:hanging="720"/>
      </w:pPr>
      <w:r>
        <w:t>Encyclopaedia Britannica. (2019) Mustafa al-</w:t>
      </w:r>
      <w:proofErr w:type="spellStart"/>
      <w:r>
        <w:t>Nahhas</w:t>
      </w:r>
      <w:proofErr w:type="spellEnd"/>
      <w:r>
        <w:t xml:space="preserve"> Pasha. Available at: </w:t>
      </w:r>
      <w:r w:rsidR="00087117" w:rsidRPr="00087117">
        <w:t>https://www.britannica.com/biography/Mustafa-al-Nahhas-Pasha</w:t>
      </w:r>
      <w:r w:rsidR="00087117">
        <w:t xml:space="preserve"> [Accessed 01/05/2020]. </w:t>
      </w:r>
    </w:p>
    <w:p w14:paraId="18BCB6B2" w14:textId="0F04CDCD" w:rsidR="008C1770" w:rsidRDefault="008C1770" w:rsidP="00A05224">
      <w:pPr>
        <w:ind w:hanging="720"/>
      </w:pPr>
      <w:r w:rsidRPr="00CF15EC">
        <w:t>Encyclop</w:t>
      </w:r>
      <w:r w:rsidR="00A50357">
        <w:t>a</w:t>
      </w:r>
      <w:r w:rsidRPr="00CF15EC">
        <w:t xml:space="preserve">edia Britannica. (2020) </w:t>
      </w:r>
      <w:r w:rsidRPr="00C52218">
        <w:rPr>
          <w:i/>
          <w:iCs/>
        </w:rPr>
        <w:t>Imperialism</w:t>
      </w:r>
      <w:r w:rsidRPr="00CF15EC">
        <w:t xml:space="preserve">. </w:t>
      </w:r>
      <w:r w:rsidR="009842AC" w:rsidRPr="00CF15EC">
        <w:t>Available</w:t>
      </w:r>
      <w:r w:rsidRPr="00CF15EC">
        <w:t xml:space="preserve"> at: </w:t>
      </w:r>
      <w:r w:rsidRPr="00A9121A">
        <w:t>https://www.britannica.com/topic/imperialism</w:t>
      </w:r>
      <w:r w:rsidRPr="00CF15EC">
        <w:t xml:space="preserve"> [Accessed 22/03/</w:t>
      </w:r>
      <w:r w:rsidR="00C52218">
        <w:t>20</w:t>
      </w:r>
      <w:r w:rsidRPr="00CF15EC">
        <w:t>20]</w:t>
      </w:r>
      <w:r w:rsidR="00C51431">
        <w:t>.</w:t>
      </w:r>
    </w:p>
    <w:p w14:paraId="6203C810" w14:textId="3AE6701A" w:rsidR="00A7665D" w:rsidRPr="00CF15EC" w:rsidRDefault="00A7665D" w:rsidP="00A05224">
      <w:pPr>
        <w:ind w:hanging="720"/>
      </w:pPr>
      <w:r>
        <w:t>Encyclop</w:t>
      </w:r>
      <w:r w:rsidR="00A50357">
        <w:t>a</w:t>
      </w:r>
      <w:r>
        <w:t>edia</w:t>
      </w:r>
      <w:r w:rsidR="00A50357">
        <w:t xml:space="preserve"> Britannica. (</w:t>
      </w:r>
      <w:r w:rsidR="009842AC">
        <w:t xml:space="preserve">2020) </w:t>
      </w:r>
      <w:proofErr w:type="spellStart"/>
      <w:r w:rsidR="009842AC" w:rsidRPr="00C52218">
        <w:rPr>
          <w:i/>
          <w:iCs/>
        </w:rPr>
        <w:t>Sa’id</w:t>
      </w:r>
      <w:proofErr w:type="spellEnd"/>
      <w:r w:rsidR="009842AC" w:rsidRPr="00C52218">
        <w:rPr>
          <w:i/>
          <w:iCs/>
        </w:rPr>
        <w:t xml:space="preserve"> Pasha</w:t>
      </w:r>
      <w:r w:rsidR="009842AC">
        <w:t xml:space="preserve">. Available at: </w:t>
      </w:r>
      <w:r w:rsidR="00E077FD" w:rsidRPr="00E077FD">
        <w:t>https://www.britannica.com/biography/Said-Pasha</w:t>
      </w:r>
      <w:r w:rsidR="00E077FD">
        <w:t xml:space="preserve"> [Accessed 29/04/2020]</w:t>
      </w:r>
      <w:r w:rsidR="005A02CE">
        <w:t>.</w:t>
      </w:r>
    </w:p>
    <w:p w14:paraId="1AB98B1B" w14:textId="77777777" w:rsidR="008C1770" w:rsidRPr="00CF15EC" w:rsidRDefault="008C1770" w:rsidP="00A05224">
      <w:pPr>
        <w:ind w:hanging="720"/>
      </w:pPr>
      <w:r w:rsidRPr="00CF15EC">
        <w:t xml:space="preserve">Fritze, R. H. (2016) </w:t>
      </w:r>
      <w:r w:rsidRPr="00CF15EC">
        <w:rPr>
          <w:i/>
          <w:iCs/>
        </w:rPr>
        <w:t>Egyptomania: a history of fascination, obsession and fantasy</w:t>
      </w:r>
      <w:r w:rsidRPr="00CF15EC">
        <w:t xml:space="preserve">. London: </w:t>
      </w:r>
      <w:proofErr w:type="spellStart"/>
      <w:r w:rsidRPr="00CF15EC">
        <w:t>Reaktion</w:t>
      </w:r>
      <w:proofErr w:type="spellEnd"/>
      <w:r w:rsidRPr="00CF15EC">
        <w:t xml:space="preserve"> Books. </w:t>
      </w:r>
    </w:p>
    <w:p w14:paraId="5B1A4660" w14:textId="14CA1AA8" w:rsidR="008C1770" w:rsidRPr="00CF15EC" w:rsidRDefault="008C1770" w:rsidP="00A05224">
      <w:pPr>
        <w:ind w:hanging="720"/>
        <w:rPr>
          <w:rFonts w:cstheme="minorHAnsi"/>
        </w:rPr>
      </w:pPr>
      <w:r w:rsidRPr="00CF15EC">
        <w:t xml:space="preserve">Fryxell, A. (2017) ‘Tutankhamen, Egyptomania, and Temporal Enchantment in Interwar Britain’, </w:t>
      </w:r>
      <w:r w:rsidRPr="00CF15EC">
        <w:rPr>
          <w:i/>
          <w:iCs/>
        </w:rPr>
        <w:t xml:space="preserve">Twentieth Century British History, </w:t>
      </w:r>
      <w:r w:rsidRPr="00CF15EC">
        <w:t xml:space="preserve">28(4), pp. 516-542, </w:t>
      </w:r>
      <w:r w:rsidRPr="00CF15EC">
        <w:rPr>
          <w:rFonts w:cstheme="minorHAnsi"/>
        </w:rPr>
        <w:t>doi:10.1093/</w:t>
      </w:r>
      <w:proofErr w:type="spellStart"/>
      <w:r w:rsidRPr="00CF15EC">
        <w:rPr>
          <w:rFonts w:cstheme="minorHAnsi"/>
        </w:rPr>
        <w:t>tcbh</w:t>
      </w:r>
      <w:proofErr w:type="spellEnd"/>
      <w:r w:rsidRPr="00CF15EC">
        <w:rPr>
          <w:rFonts w:cstheme="minorHAnsi"/>
        </w:rPr>
        <w:t>/hwx056 [Accessed 27/07/2019]</w:t>
      </w:r>
      <w:r w:rsidR="005A02CE">
        <w:rPr>
          <w:rFonts w:cstheme="minorHAnsi"/>
        </w:rPr>
        <w:t>.</w:t>
      </w:r>
    </w:p>
    <w:p w14:paraId="1A0ABA3A" w14:textId="55F988E0" w:rsidR="008C1770" w:rsidRDefault="008C1770" w:rsidP="00A05224">
      <w:pPr>
        <w:ind w:hanging="720"/>
      </w:pPr>
      <w:proofErr w:type="spellStart"/>
      <w:r w:rsidRPr="00CF15EC">
        <w:t>Gange</w:t>
      </w:r>
      <w:proofErr w:type="spellEnd"/>
      <w:r w:rsidRPr="00CF15EC">
        <w:t xml:space="preserve">, D. (2013) </w:t>
      </w:r>
      <w:r w:rsidRPr="00C52218">
        <w:rPr>
          <w:i/>
          <w:iCs/>
        </w:rPr>
        <w:t xml:space="preserve">Dialogues with the Dead: Egyptology in British Culture and Religion, 1822 – 1922. </w:t>
      </w:r>
      <w:r w:rsidRPr="00CF15EC">
        <w:t xml:space="preserve">Oxford: Oxford University Press. </w:t>
      </w:r>
    </w:p>
    <w:p w14:paraId="6104E01A" w14:textId="286D6DDC" w:rsidR="005736C8" w:rsidRPr="00CF15EC" w:rsidRDefault="005736C8" w:rsidP="00A05224">
      <w:pPr>
        <w:ind w:hanging="720"/>
      </w:pPr>
      <w:r>
        <w:t xml:space="preserve">Geographic. (2010) </w:t>
      </w:r>
      <w:r w:rsidRPr="00BE70E3">
        <w:rPr>
          <w:i/>
          <w:iCs/>
        </w:rPr>
        <w:t xml:space="preserve">Europe </w:t>
      </w:r>
      <w:r w:rsidR="00BE70E3" w:rsidRPr="00BE70E3">
        <w:rPr>
          <w:i/>
          <w:iCs/>
        </w:rPr>
        <w:t>Middle East Africa Large Printable Map.</w:t>
      </w:r>
      <w:r w:rsidR="00BE70E3">
        <w:t xml:space="preserve"> Available at: </w:t>
      </w:r>
      <w:r w:rsidR="00BE70E3" w:rsidRPr="00BE70E3">
        <w:t>https://geographic.org/maps/new2/emea_large_map.html</w:t>
      </w:r>
      <w:r w:rsidR="00BE70E3">
        <w:t xml:space="preserve"> [Accessed 30/04/2020]</w:t>
      </w:r>
      <w:r w:rsidR="005A02CE">
        <w:t>.</w:t>
      </w:r>
    </w:p>
    <w:bookmarkEnd w:id="1"/>
    <w:p w14:paraId="44B650ED" w14:textId="1CF7490A" w:rsidR="008C1770" w:rsidRPr="00CF15EC" w:rsidRDefault="008C1770" w:rsidP="00A05224">
      <w:pPr>
        <w:ind w:hanging="720"/>
      </w:pPr>
      <w:r w:rsidRPr="00CF15EC">
        <w:t xml:space="preserve">Giza Project at Harvard University. (2017) </w:t>
      </w:r>
      <w:r w:rsidRPr="00C52218">
        <w:rPr>
          <w:i/>
          <w:iCs/>
        </w:rPr>
        <w:t xml:space="preserve">Pierre Lucien </w:t>
      </w:r>
      <w:proofErr w:type="spellStart"/>
      <w:r w:rsidRPr="00C52218">
        <w:rPr>
          <w:i/>
          <w:iCs/>
        </w:rPr>
        <w:t>Lacau</w:t>
      </w:r>
      <w:proofErr w:type="spellEnd"/>
      <w:r w:rsidRPr="00CF15EC">
        <w:t xml:space="preserve">. Available at: </w:t>
      </w:r>
      <w:r w:rsidRPr="00A9121A">
        <w:t>http://giza.fas.harvard.edu/modernpeople/1638/full/</w:t>
      </w:r>
      <w:r w:rsidRPr="00CF15EC">
        <w:t xml:space="preserve"> [Accessed 21/03/</w:t>
      </w:r>
      <w:r w:rsidR="00C52218">
        <w:t>20</w:t>
      </w:r>
      <w:r w:rsidRPr="00CF15EC">
        <w:t>20]</w:t>
      </w:r>
      <w:r w:rsidR="005A02CE">
        <w:t>.</w:t>
      </w:r>
    </w:p>
    <w:p w14:paraId="214B6326" w14:textId="55B9C226" w:rsidR="008C1770" w:rsidRPr="00CF15EC" w:rsidRDefault="008C1770" w:rsidP="00A05224">
      <w:pPr>
        <w:ind w:hanging="720"/>
      </w:pPr>
      <w:proofErr w:type="spellStart"/>
      <w:r w:rsidRPr="00CF15EC">
        <w:t>Godechot</w:t>
      </w:r>
      <w:proofErr w:type="spellEnd"/>
      <w:r w:rsidRPr="00CF15EC">
        <w:t xml:space="preserve">, J. (2019) </w:t>
      </w:r>
      <w:r w:rsidRPr="00C52218">
        <w:rPr>
          <w:i/>
          <w:iCs/>
        </w:rPr>
        <w:t>Napoleon I</w:t>
      </w:r>
      <w:r w:rsidRPr="00CF15EC">
        <w:t xml:space="preserve">. Available at: </w:t>
      </w:r>
      <w:r w:rsidRPr="00A9121A">
        <w:t>https://www.britannica.com/biography/Napoleon-I/Downfall-and-abdication</w:t>
      </w:r>
      <w:r w:rsidRPr="00CF15EC">
        <w:t xml:space="preserve"> [Accessed: 01/12/</w:t>
      </w:r>
      <w:r w:rsidR="00C52218">
        <w:t>20</w:t>
      </w:r>
      <w:r w:rsidRPr="00CF15EC">
        <w:t>19]</w:t>
      </w:r>
      <w:r w:rsidR="005A02CE">
        <w:t>.</w:t>
      </w:r>
    </w:p>
    <w:p w14:paraId="05666A96" w14:textId="77777777" w:rsidR="000B2984" w:rsidRDefault="000B2984" w:rsidP="000B2984">
      <w:pPr>
        <w:ind w:hanging="720"/>
      </w:pPr>
      <w:r>
        <w:t xml:space="preserve">Gorman, A. (2005) </w:t>
      </w:r>
      <w:r w:rsidRPr="00F5093F">
        <w:rPr>
          <w:i/>
          <w:iCs/>
        </w:rPr>
        <w:t>Historians, State and Politics in 20</w:t>
      </w:r>
      <w:r w:rsidRPr="00F5093F">
        <w:rPr>
          <w:i/>
          <w:iCs/>
          <w:vertAlign w:val="superscript"/>
        </w:rPr>
        <w:t>th</w:t>
      </w:r>
      <w:r w:rsidRPr="00F5093F">
        <w:rPr>
          <w:i/>
          <w:iCs/>
        </w:rPr>
        <w:t xml:space="preserve"> Century Egypt: Contesting the Nation. </w:t>
      </w:r>
      <w:r>
        <w:t xml:space="preserve">London: Routledge. </w:t>
      </w:r>
    </w:p>
    <w:p w14:paraId="58AC7E0E" w14:textId="73987B16" w:rsidR="008C1770" w:rsidRDefault="008C1770" w:rsidP="00A05224">
      <w:pPr>
        <w:ind w:hanging="720"/>
      </w:pPr>
      <w:proofErr w:type="spellStart"/>
      <w:r w:rsidRPr="00CF15EC">
        <w:t>Hawass</w:t>
      </w:r>
      <w:proofErr w:type="spellEnd"/>
      <w:r w:rsidRPr="00CF15EC">
        <w:t xml:space="preserve">, Z. (2018) </w:t>
      </w:r>
      <w:r w:rsidRPr="00CF15EC">
        <w:rPr>
          <w:i/>
          <w:iCs/>
        </w:rPr>
        <w:t>Tutankhamun: A Gift from the Boy King</w:t>
      </w:r>
      <w:r w:rsidRPr="00CF15EC">
        <w:t xml:space="preserve">. New York: Melcher Media. </w:t>
      </w:r>
    </w:p>
    <w:p w14:paraId="3BB6E817" w14:textId="383D3953" w:rsidR="00BE3329" w:rsidRPr="00FF366F" w:rsidRDefault="005E705A" w:rsidP="00A05224">
      <w:pPr>
        <w:ind w:hanging="720"/>
      </w:pPr>
      <w:proofErr w:type="spellStart"/>
      <w:r w:rsidRPr="00FF366F">
        <w:t>Hawass</w:t>
      </w:r>
      <w:proofErr w:type="spellEnd"/>
      <w:r w:rsidR="005859FA" w:rsidRPr="00FF366F">
        <w:t>, Z., Gad, Y. Z.</w:t>
      </w:r>
      <w:r w:rsidR="00A861D8" w:rsidRPr="00FF366F">
        <w:t xml:space="preserve">, Ismail, S., </w:t>
      </w:r>
      <w:proofErr w:type="spellStart"/>
      <w:r w:rsidR="00A861D8" w:rsidRPr="00FF366F">
        <w:t>Khairat</w:t>
      </w:r>
      <w:proofErr w:type="spellEnd"/>
      <w:r w:rsidR="00A861D8" w:rsidRPr="00FF366F">
        <w:t xml:space="preserve">, R., </w:t>
      </w:r>
      <w:proofErr w:type="spellStart"/>
      <w:r w:rsidR="00A861D8" w:rsidRPr="00FF366F">
        <w:t>Fathalla</w:t>
      </w:r>
      <w:proofErr w:type="spellEnd"/>
      <w:r w:rsidR="00A861D8" w:rsidRPr="00FF366F">
        <w:t xml:space="preserve">, D., Hasan, N., Ahmed, A., </w:t>
      </w:r>
      <w:proofErr w:type="spellStart"/>
      <w:r w:rsidR="00A861D8" w:rsidRPr="00FF366F">
        <w:t>Elleithy</w:t>
      </w:r>
      <w:proofErr w:type="spellEnd"/>
      <w:r w:rsidR="00A861D8" w:rsidRPr="00FF366F">
        <w:t>, H.</w:t>
      </w:r>
      <w:r w:rsidR="008E7A95" w:rsidRPr="00FF366F">
        <w:t xml:space="preserve">, Ball, M., </w:t>
      </w:r>
      <w:proofErr w:type="spellStart"/>
      <w:r w:rsidR="008E7A95" w:rsidRPr="00FF366F">
        <w:t>Gaballah</w:t>
      </w:r>
      <w:proofErr w:type="spellEnd"/>
      <w:r w:rsidR="008E7A95" w:rsidRPr="00FF366F">
        <w:t xml:space="preserve">, F., </w:t>
      </w:r>
      <w:proofErr w:type="spellStart"/>
      <w:r w:rsidR="008E7A95" w:rsidRPr="00FF366F">
        <w:t>Wasef</w:t>
      </w:r>
      <w:proofErr w:type="spellEnd"/>
      <w:r w:rsidR="008E7A95" w:rsidRPr="00FF366F">
        <w:t xml:space="preserve">, S., </w:t>
      </w:r>
      <w:proofErr w:type="spellStart"/>
      <w:r w:rsidR="008E7A95" w:rsidRPr="00FF366F">
        <w:t>Fateen</w:t>
      </w:r>
      <w:proofErr w:type="spellEnd"/>
      <w:r w:rsidR="008E7A95" w:rsidRPr="00FF366F">
        <w:t xml:space="preserve">, M., Amer, H., </w:t>
      </w:r>
      <w:proofErr w:type="spellStart"/>
      <w:r w:rsidR="002F3D4D" w:rsidRPr="00FF366F">
        <w:t>Gostner</w:t>
      </w:r>
      <w:proofErr w:type="spellEnd"/>
      <w:r w:rsidR="002F3D4D" w:rsidRPr="00FF366F">
        <w:t xml:space="preserve">, P., Selim, A., Zink, A., and </w:t>
      </w:r>
      <w:proofErr w:type="spellStart"/>
      <w:r w:rsidR="002F3D4D" w:rsidRPr="00FF366F">
        <w:t>Pusch</w:t>
      </w:r>
      <w:proofErr w:type="spellEnd"/>
      <w:r w:rsidR="000E79FF" w:rsidRPr="00FF366F">
        <w:t xml:space="preserve">, C. (2010) </w:t>
      </w:r>
      <w:r w:rsidR="00782D37" w:rsidRPr="00FF366F">
        <w:t xml:space="preserve">‘Ancestry and Pathology in King Tutankhamun Family’, </w:t>
      </w:r>
      <w:r w:rsidR="00FD40E6" w:rsidRPr="00FF366F">
        <w:rPr>
          <w:i/>
          <w:iCs/>
        </w:rPr>
        <w:t>J</w:t>
      </w:r>
      <w:r w:rsidR="00303AD2" w:rsidRPr="00FF366F">
        <w:rPr>
          <w:i/>
          <w:iCs/>
        </w:rPr>
        <w:t>AMA</w:t>
      </w:r>
      <w:r w:rsidR="00950084" w:rsidRPr="00FF366F">
        <w:t>, 303(7), pp. 638-647</w:t>
      </w:r>
      <w:r w:rsidR="00E9323D" w:rsidRPr="00FF366F">
        <w:rPr>
          <w:rFonts w:cstheme="minorHAnsi"/>
          <w:color w:val="000000" w:themeColor="text1"/>
        </w:rPr>
        <w:t>.</w:t>
      </w:r>
      <w:r w:rsidR="00782D37" w:rsidRPr="00FF366F">
        <w:rPr>
          <w:rFonts w:cstheme="minorHAnsi"/>
          <w:color w:val="000000" w:themeColor="text1"/>
        </w:rPr>
        <w:t xml:space="preserve"> </w:t>
      </w:r>
      <w:proofErr w:type="spellStart"/>
      <w:r w:rsidR="00AD1BC3">
        <w:rPr>
          <w:rFonts w:cstheme="minorHAnsi"/>
          <w:color w:val="000000" w:themeColor="text1"/>
        </w:rPr>
        <w:t>doi</w:t>
      </w:r>
      <w:proofErr w:type="spellEnd"/>
      <w:r w:rsidR="00DE016D" w:rsidRPr="00FF366F">
        <w:rPr>
          <w:rFonts w:cstheme="minorHAnsi"/>
          <w:color w:val="000000" w:themeColor="text1"/>
        </w:rPr>
        <w:t xml:space="preserve">: </w:t>
      </w:r>
      <w:r w:rsidR="00E9323D" w:rsidRPr="00FF366F">
        <w:rPr>
          <w:rFonts w:cstheme="minorHAnsi"/>
          <w:color w:val="000000" w:themeColor="text1"/>
          <w:shd w:val="clear" w:color="auto" w:fill="FFFFFF"/>
        </w:rPr>
        <w:t>10.1001/jama.2010.121</w:t>
      </w:r>
      <w:r w:rsidR="00782D37" w:rsidRPr="00FF366F">
        <w:rPr>
          <w:color w:val="000000" w:themeColor="text1"/>
        </w:rPr>
        <w:t xml:space="preserve"> </w:t>
      </w:r>
      <w:r w:rsidR="00FF366F" w:rsidRPr="00FF366F">
        <w:rPr>
          <w:color w:val="000000" w:themeColor="text1"/>
        </w:rPr>
        <w:t>[Accessed 30/04/2020]</w:t>
      </w:r>
      <w:r w:rsidR="00AD1BC3">
        <w:rPr>
          <w:color w:val="000000" w:themeColor="text1"/>
        </w:rPr>
        <w:t>.</w:t>
      </w:r>
    </w:p>
    <w:p w14:paraId="6C6CC416" w14:textId="1FCD0344" w:rsidR="008C1770" w:rsidRPr="00CF15EC" w:rsidRDefault="008C1770" w:rsidP="00A05224">
      <w:pPr>
        <w:ind w:hanging="720"/>
      </w:pPr>
      <w:r w:rsidRPr="00CF15EC">
        <w:t xml:space="preserve">Higgins, C. (2007) </w:t>
      </w:r>
      <w:r w:rsidRPr="00C52218">
        <w:rPr>
          <w:i/>
          <w:iCs/>
        </w:rPr>
        <w:t>After a 35 year wait, Tutankhamun makes a golden, glittering return</w:t>
      </w:r>
      <w:r w:rsidRPr="00CF15EC">
        <w:t xml:space="preserve">. Available at: </w:t>
      </w:r>
      <w:proofErr w:type="gramStart"/>
      <w:r w:rsidRPr="00A9121A">
        <w:t>https://www.theguardian.com/uk/2007/mar/13/topstories3.artnews</w:t>
      </w:r>
      <w:r w:rsidRPr="00CF15EC">
        <w:t xml:space="preserve">  [</w:t>
      </w:r>
      <w:proofErr w:type="gramEnd"/>
      <w:r w:rsidRPr="00CF15EC">
        <w:t>Accessed 02/12/</w:t>
      </w:r>
      <w:r w:rsidR="00C52218">
        <w:t>20</w:t>
      </w:r>
      <w:r w:rsidRPr="00CF15EC">
        <w:t>19]</w:t>
      </w:r>
      <w:r w:rsidR="00AD1BC3">
        <w:t>.</w:t>
      </w:r>
    </w:p>
    <w:p w14:paraId="23AB7A81" w14:textId="17030094" w:rsidR="008C1770" w:rsidRPr="00CF15EC" w:rsidRDefault="008C1770" w:rsidP="00A05224">
      <w:pPr>
        <w:ind w:hanging="720"/>
      </w:pPr>
      <w:r w:rsidRPr="00CF15EC">
        <w:t xml:space="preserve">Hindley, M. (2015) </w:t>
      </w:r>
      <w:r w:rsidRPr="00C52218">
        <w:rPr>
          <w:i/>
          <w:iCs/>
        </w:rPr>
        <w:t>King Tut: A Classic Blockbuster Museum Exhibition that began as a diplomatic gesture</w:t>
      </w:r>
      <w:r w:rsidRPr="00CF15EC">
        <w:t xml:space="preserve">. Available at: </w:t>
      </w:r>
      <w:r w:rsidRPr="00A9121A">
        <w:t>https://www.neh.gov/humanities/2015/septemberoctober/feature/king-tut-classic-blockbuster-museum-exhibition-began-diplom</w:t>
      </w:r>
      <w:r w:rsidRPr="00CF15EC">
        <w:t xml:space="preserve"> [Accessed 02/12/</w:t>
      </w:r>
      <w:r w:rsidR="00C52218">
        <w:t>20</w:t>
      </w:r>
      <w:r w:rsidRPr="00CF15EC">
        <w:t>19]</w:t>
      </w:r>
      <w:r w:rsidR="00AD1BC3">
        <w:t>.</w:t>
      </w:r>
    </w:p>
    <w:p w14:paraId="048759BE" w14:textId="2E9B30DA" w:rsidR="008C1770" w:rsidRDefault="008C1770" w:rsidP="00A05224">
      <w:pPr>
        <w:ind w:hanging="720"/>
      </w:pPr>
      <w:r w:rsidRPr="00CF15EC">
        <w:t xml:space="preserve">Ikram, S. (2010) </w:t>
      </w:r>
      <w:r w:rsidRPr="00CF15EC">
        <w:rPr>
          <w:i/>
          <w:iCs/>
        </w:rPr>
        <w:t>Ancient Egypt: an introduction</w:t>
      </w:r>
      <w:r w:rsidRPr="00CF15EC">
        <w:t xml:space="preserve">. New York: Cambridge University Press. </w:t>
      </w:r>
    </w:p>
    <w:p w14:paraId="12ADD92A" w14:textId="77CD23E9" w:rsidR="009E1F21" w:rsidRDefault="009E1F21" w:rsidP="00A05224">
      <w:pPr>
        <w:ind w:hanging="720"/>
      </w:pPr>
      <w:r>
        <w:t xml:space="preserve">Ivanovic, M. (2008) </w:t>
      </w:r>
      <w:r w:rsidRPr="009E1F21">
        <w:rPr>
          <w:i/>
          <w:iCs/>
        </w:rPr>
        <w:t>Cultural Tourism</w:t>
      </w:r>
      <w:r>
        <w:t xml:space="preserve">. Cape Town: Juta and Company Ltd. Available at: </w:t>
      </w:r>
      <w:r w:rsidRPr="009E1F21">
        <w:t>https://books.google.co.uk/books?id=fZ6Wb8AptvYC&amp;pg=PP186&amp;lpg=PP186&amp;dq=tutankhamun+tour+2004&amp;source=bl&amp;ots=ytGAAJ4atm&amp;sig=ACfU3U0TTwbxs7QwQpV8z_8xe8uZnKjUuw&amp;hl=en&amp;sa=X</w:t>
      </w:r>
      <w:r w:rsidRPr="009E1F21">
        <w:lastRenderedPageBreak/>
        <w:t>&amp;ved=2ahUKEwj3ktD5u5LpAhVzqHEKHbMXAYM4ChDoATABegQIChAB#v=onepage&amp;q=tutankhamun%20tour%202004&amp;f=false</w:t>
      </w:r>
      <w:r>
        <w:t xml:space="preserve"> [Accessed 01/05/2020].</w:t>
      </w:r>
    </w:p>
    <w:p w14:paraId="578A8E50" w14:textId="6E687C38" w:rsidR="008C1770" w:rsidRPr="00CF15EC" w:rsidRDefault="008C1770" w:rsidP="00A05224">
      <w:pPr>
        <w:ind w:hanging="720"/>
      </w:pPr>
      <w:r>
        <w:t xml:space="preserve">James, T.G.H. (2001) </w:t>
      </w:r>
      <w:r w:rsidR="00C52218">
        <w:t>‘</w:t>
      </w:r>
      <w:r>
        <w:t>The Tomb of Tutankhamun</w:t>
      </w:r>
      <w:r w:rsidR="00C52218">
        <w:t>’</w:t>
      </w:r>
      <w:r w:rsidR="00D35B8D">
        <w:t xml:space="preserve">, in </w:t>
      </w:r>
      <w:r>
        <w:t>Weeks, K. R and De Luca, A.</w:t>
      </w:r>
      <w:r w:rsidR="007D78FE">
        <w:t xml:space="preserve"> (</w:t>
      </w:r>
      <w:r>
        <w:t>eds.</w:t>
      </w:r>
      <w:r w:rsidR="007D78FE">
        <w:t>)</w:t>
      </w:r>
      <w:r>
        <w:t xml:space="preserve"> </w:t>
      </w:r>
      <w:r w:rsidRPr="00C52218">
        <w:rPr>
          <w:i/>
          <w:iCs/>
        </w:rPr>
        <w:t>The Treasures of the Valley of the Kings: tombs and temples of the Theban West Bank in Luxor</w:t>
      </w:r>
      <w:r>
        <w:t>. Cairo: The American University in Cairo Press</w:t>
      </w:r>
      <w:r w:rsidR="00D35B8D">
        <w:t>.</w:t>
      </w:r>
    </w:p>
    <w:p w14:paraId="7982670E" w14:textId="77777777" w:rsidR="008C1770" w:rsidRPr="00CF15EC" w:rsidRDefault="008C1770" w:rsidP="00A05224">
      <w:pPr>
        <w:ind w:hanging="720"/>
      </w:pPr>
      <w:r w:rsidRPr="00CF15EC">
        <w:t xml:space="preserve">Jankowski, J. P. (2000) </w:t>
      </w:r>
      <w:r w:rsidRPr="00CF15EC">
        <w:rPr>
          <w:i/>
          <w:iCs/>
        </w:rPr>
        <w:t>Egypt: a short history</w:t>
      </w:r>
      <w:r w:rsidRPr="00CF15EC">
        <w:t xml:space="preserve">. Oxford: </w:t>
      </w:r>
      <w:proofErr w:type="spellStart"/>
      <w:r w:rsidRPr="00CF15EC">
        <w:t>Oneworld</w:t>
      </w:r>
      <w:proofErr w:type="spellEnd"/>
      <w:r w:rsidRPr="00CF15EC">
        <w:t xml:space="preserve">. </w:t>
      </w:r>
    </w:p>
    <w:p w14:paraId="1AB875AE" w14:textId="2D7C9AB2" w:rsidR="008C1770" w:rsidRPr="00CF15EC" w:rsidRDefault="008C1770" w:rsidP="00A05224">
      <w:pPr>
        <w:ind w:hanging="720"/>
        <w:rPr>
          <w:rFonts w:cstheme="minorHAnsi"/>
        </w:rPr>
      </w:pPr>
      <w:r w:rsidRPr="00CF15EC">
        <w:rPr>
          <w:rFonts w:cstheme="minorHAnsi"/>
        </w:rPr>
        <w:t xml:space="preserve">Janot, F. (2010) </w:t>
      </w:r>
      <w:r w:rsidRPr="00CF15EC">
        <w:rPr>
          <w:rFonts w:cstheme="minorHAnsi"/>
          <w:i/>
          <w:iCs/>
        </w:rPr>
        <w:t>The Royal Mummies Immortality in ancient Egypt.</w:t>
      </w:r>
      <w:r w:rsidRPr="00CF15EC">
        <w:rPr>
          <w:rFonts w:cstheme="minorHAnsi"/>
        </w:rPr>
        <w:t xml:space="preserve"> </w:t>
      </w:r>
      <w:r w:rsidR="003F2F1D">
        <w:rPr>
          <w:rFonts w:cstheme="minorHAnsi"/>
        </w:rPr>
        <w:t xml:space="preserve">Cairo: </w:t>
      </w:r>
      <w:r w:rsidRPr="00CF15EC">
        <w:rPr>
          <w:rFonts w:cstheme="minorHAnsi"/>
        </w:rPr>
        <w:t xml:space="preserve">The American University in Cairo Press. </w:t>
      </w:r>
    </w:p>
    <w:p w14:paraId="318755C6" w14:textId="54161334" w:rsidR="008C1770" w:rsidRPr="00CF15EC" w:rsidRDefault="008C1770" w:rsidP="00A05224">
      <w:pPr>
        <w:ind w:hanging="720"/>
      </w:pPr>
      <w:r w:rsidRPr="00CF15EC">
        <w:t xml:space="preserve">Johnson, B. (N.D) </w:t>
      </w:r>
      <w:r w:rsidRPr="00C52218">
        <w:rPr>
          <w:i/>
          <w:iCs/>
        </w:rPr>
        <w:t>The 1920’s in Britain</w:t>
      </w:r>
      <w:r w:rsidRPr="00CF15EC">
        <w:t xml:space="preserve">. Available at: </w:t>
      </w:r>
      <w:r w:rsidRPr="00A9121A">
        <w:t>https://www.historic-uk.com/HistoryUK/HistoryofBritain/The-1920s-in-Britain/</w:t>
      </w:r>
      <w:r w:rsidRPr="00CF15EC">
        <w:t xml:space="preserve"> [Accessed 22/03/</w:t>
      </w:r>
      <w:r w:rsidR="00C52218">
        <w:t>20</w:t>
      </w:r>
      <w:r w:rsidRPr="00CF15EC">
        <w:t>20]</w:t>
      </w:r>
      <w:r w:rsidR="00382637">
        <w:t>.</w:t>
      </w:r>
    </w:p>
    <w:p w14:paraId="2FF2644C" w14:textId="6DEB9A7D" w:rsidR="008C1770" w:rsidRPr="00CF15EC" w:rsidRDefault="008C1770" w:rsidP="00A05224">
      <w:pPr>
        <w:ind w:hanging="720"/>
      </w:pPr>
      <w:r w:rsidRPr="00CF15EC">
        <w:t xml:space="preserve">Jones, J. (2019) ‘Tutankhamun review – thrills and fun as King Tut gets the Hollywood treatment’, </w:t>
      </w:r>
      <w:r w:rsidRPr="00CF15EC">
        <w:rPr>
          <w:i/>
          <w:iCs/>
        </w:rPr>
        <w:t>The Guardian</w:t>
      </w:r>
      <w:r w:rsidRPr="00CF15EC">
        <w:t>, 1</w:t>
      </w:r>
      <w:r w:rsidRPr="00CF15EC">
        <w:rPr>
          <w:vertAlign w:val="superscript"/>
        </w:rPr>
        <w:t>st</w:t>
      </w:r>
      <w:r w:rsidRPr="00CF15EC">
        <w:t xml:space="preserve"> November, P.13</w:t>
      </w:r>
      <w:r w:rsidR="00382637">
        <w:t>.</w:t>
      </w:r>
    </w:p>
    <w:p w14:paraId="00FE8983" w14:textId="02929D22" w:rsidR="008C1770" w:rsidRPr="00CF15EC" w:rsidRDefault="008C1770" w:rsidP="00A05224">
      <w:pPr>
        <w:ind w:hanging="720"/>
      </w:pPr>
      <w:proofErr w:type="spellStart"/>
      <w:r w:rsidRPr="00CF15EC">
        <w:t>Lexico</w:t>
      </w:r>
      <w:proofErr w:type="spellEnd"/>
      <w:r w:rsidRPr="00CF15EC">
        <w:t xml:space="preserve">. (N.D) </w:t>
      </w:r>
      <w:r w:rsidRPr="00C52218">
        <w:rPr>
          <w:i/>
          <w:iCs/>
        </w:rPr>
        <w:t>Westerner</w:t>
      </w:r>
      <w:r w:rsidRPr="00CF15EC">
        <w:t xml:space="preserve">. Available at: </w:t>
      </w:r>
      <w:r w:rsidRPr="00A9121A">
        <w:t>https://www.lexico.com/en/definition/westerner</w:t>
      </w:r>
      <w:r w:rsidRPr="00CF15EC">
        <w:t xml:space="preserve"> [Accessed 03/12/</w:t>
      </w:r>
      <w:r w:rsidR="00C52218">
        <w:t>20</w:t>
      </w:r>
      <w:r w:rsidRPr="00CF15EC">
        <w:t>19]</w:t>
      </w:r>
      <w:r w:rsidR="00382637">
        <w:t>.</w:t>
      </w:r>
    </w:p>
    <w:p w14:paraId="3FEE0828" w14:textId="4DA2CE3C" w:rsidR="008C1770" w:rsidRPr="00CF15EC" w:rsidRDefault="008C1770" w:rsidP="00A05224">
      <w:pPr>
        <w:ind w:hanging="720"/>
      </w:pPr>
      <w:r w:rsidRPr="00CF15EC">
        <w:t xml:space="preserve">Majestic Tours. (2019) </w:t>
      </w:r>
      <w:r w:rsidRPr="00C52218">
        <w:rPr>
          <w:i/>
          <w:iCs/>
        </w:rPr>
        <w:t>Tutankhamun Exhibition with Majestic Tours Nov 2019 – May 2020</w:t>
      </w:r>
      <w:r w:rsidRPr="00CF15EC">
        <w:t xml:space="preserve">. Available at </w:t>
      </w:r>
      <w:r w:rsidRPr="00A9121A">
        <w:t>https://www.bing.com/videos/search?q=tutankhamun+exhibition+2019&amp;&amp;view=detail&amp;mid=70B18F092A2D0BFAD24B70B18F092A2D0BFAD24B&amp;&amp;FORM=VRDGAR</w:t>
      </w:r>
      <w:r w:rsidRPr="00CF15EC">
        <w:t xml:space="preserve"> [Accessed 08/12/</w:t>
      </w:r>
      <w:r w:rsidR="00C52218">
        <w:t>20</w:t>
      </w:r>
      <w:r w:rsidRPr="00CF15EC">
        <w:t>19]</w:t>
      </w:r>
      <w:r w:rsidR="00382637">
        <w:t>.</w:t>
      </w:r>
    </w:p>
    <w:p w14:paraId="29BBCEC2" w14:textId="575E389D" w:rsidR="008C1770" w:rsidRPr="00CF15EC" w:rsidRDefault="008C1770" w:rsidP="00A05224">
      <w:pPr>
        <w:ind w:hanging="720"/>
      </w:pPr>
      <w:r w:rsidRPr="00CF15EC">
        <w:t xml:space="preserve">Malek, J. (2009) </w:t>
      </w:r>
      <w:r w:rsidRPr="00C52218">
        <w:rPr>
          <w:i/>
          <w:iCs/>
        </w:rPr>
        <w:t>Some thoughts inspired by a current exhibition: ‘Tutankhamun: His Tomb and Treasures’.</w:t>
      </w:r>
      <w:r w:rsidRPr="00CF15EC">
        <w:t xml:space="preserve"> Available at: </w:t>
      </w:r>
      <w:r w:rsidRPr="00A9121A">
        <w:t>http://www.griffith.ox.ac.uk/gri/4semmel.html</w:t>
      </w:r>
      <w:r w:rsidRPr="00CF15EC">
        <w:t xml:space="preserve"> [Accessed 08/12/</w:t>
      </w:r>
      <w:r w:rsidR="00C52218">
        <w:t>20</w:t>
      </w:r>
      <w:r w:rsidRPr="00CF15EC">
        <w:t>19]</w:t>
      </w:r>
      <w:r w:rsidR="008624B8">
        <w:t>.</w:t>
      </w:r>
    </w:p>
    <w:p w14:paraId="24F7C0D2" w14:textId="77777777" w:rsidR="008C1770" w:rsidRPr="00CF15EC" w:rsidRDefault="008C1770" w:rsidP="00A05224">
      <w:pPr>
        <w:ind w:hanging="720"/>
      </w:pPr>
      <w:r w:rsidRPr="00CF15EC">
        <w:t xml:space="preserve">Marlowe, J. (1974) </w:t>
      </w:r>
      <w:r w:rsidRPr="00C52218">
        <w:rPr>
          <w:i/>
          <w:iCs/>
        </w:rPr>
        <w:t>Spoiling the Egyptians</w:t>
      </w:r>
      <w:r w:rsidRPr="00CF15EC">
        <w:t xml:space="preserve">. London: Deutsch. </w:t>
      </w:r>
    </w:p>
    <w:p w14:paraId="4FACF1AF" w14:textId="51559440" w:rsidR="008C1770" w:rsidRPr="00CF15EC" w:rsidRDefault="008C1770" w:rsidP="00A05224">
      <w:pPr>
        <w:ind w:hanging="720"/>
      </w:pPr>
      <w:proofErr w:type="spellStart"/>
      <w:r w:rsidRPr="00CF15EC">
        <w:t>Miscevic</w:t>
      </w:r>
      <w:proofErr w:type="spellEnd"/>
      <w:r w:rsidRPr="00CF15EC">
        <w:t xml:space="preserve">, N. (2014) </w:t>
      </w:r>
      <w:r w:rsidRPr="00C52218">
        <w:rPr>
          <w:i/>
          <w:iCs/>
        </w:rPr>
        <w:t>Nationalism</w:t>
      </w:r>
      <w:r w:rsidRPr="00CF15EC">
        <w:t xml:space="preserve">. Available at: </w:t>
      </w:r>
      <w:r w:rsidRPr="00A9121A">
        <w:t>https://plato.stanford.edu/entries/nationalism/</w:t>
      </w:r>
      <w:r w:rsidRPr="00CF15EC">
        <w:t xml:space="preserve"> [Accessed 23/03/</w:t>
      </w:r>
      <w:r w:rsidR="00C52218">
        <w:t>20</w:t>
      </w:r>
      <w:r w:rsidRPr="00CF15EC">
        <w:t>20]</w:t>
      </w:r>
      <w:r w:rsidR="008624B8">
        <w:t>.</w:t>
      </w:r>
    </w:p>
    <w:p w14:paraId="38C0A5A9" w14:textId="77777777" w:rsidR="008C1770" w:rsidRPr="00CF15EC" w:rsidRDefault="008C1770" w:rsidP="00A05224">
      <w:pPr>
        <w:ind w:hanging="720"/>
      </w:pPr>
      <w:r w:rsidRPr="00CF15EC">
        <w:t xml:space="preserve">Moser, S. (2012) </w:t>
      </w:r>
      <w:r w:rsidRPr="00CF15EC">
        <w:rPr>
          <w:i/>
          <w:iCs/>
        </w:rPr>
        <w:t>Wondrous curiosities: ancient Egypt at the British Museum</w:t>
      </w:r>
      <w:r w:rsidRPr="00CF15EC">
        <w:t>. Chicago: University of Chicago Press.</w:t>
      </w:r>
    </w:p>
    <w:p w14:paraId="51A00B20" w14:textId="3C13D4CE" w:rsidR="008C1770" w:rsidRPr="00CF15EC" w:rsidRDefault="008C1770" w:rsidP="00A05224">
      <w:pPr>
        <w:ind w:hanging="720"/>
      </w:pPr>
      <w:r w:rsidRPr="00CF15EC">
        <w:t xml:space="preserve">Napoleon.org (2019) </w:t>
      </w:r>
      <w:r w:rsidRPr="00C52218">
        <w:rPr>
          <w:i/>
          <w:iCs/>
        </w:rPr>
        <w:t>The ‘</w:t>
      </w:r>
      <w:proofErr w:type="spellStart"/>
      <w:r w:rsidRPr="00C52218">
        <w:rPr>
          <w:i/>
          <w:iCs/>
        </w:rPr>
        <w:t>Institue</w:t>
      </w:r>
      <w:proofErr w:type="spellEnd"/>
      <w:r w:rsidRPr="00C52218">
        <w:rPr>
          <w:i/>
          <w:iCs/>
        </w:rPr>
        <w:t xml:space="preserve"> </w:t>
      </w:r>
      <w:proofErr w:type="spellStart"/>
      <w:r w:rsidRPr="00C52218">
        <w:rPr>
          <w:i/>
          <w:iCs/>
        </w:rPr>
        <w:t>D’Egypte</w:t>
      </w:r>
      <w:proofErr w:type="spellEnd"/>
      <w:r w:rsidRPr="00C52218">
        <w:rPr>
          <w:i/>
          <w:iCs/>
        </w:rPr>
        <w:t xml:space="preserve">’ and the Description De </w:t>
      </w:r>
      <w:proofErr w:type="spellStart"/>
      <w:r w:rsidRPr="00C52218">
        <w:rPr>
          <w:i/>
          <w:iCs/>
        </w:rPr>
        <w:t>L’Egypte</w:t>
      </w:r>
      <w:proofErr w:type="spellEnd"/>
      <w:r w:rsidRPr="00CF15EC">
        <w:t xml:space="preserve">. Available at: </w:t>
      </w:r>
      <w:r w:rsidRPr="00A9121A">
        <w:t>https://www.napoleon.org/en/history-of-the-two-empires/articles/the-institut-degypte-and-the-description-de-legypte/</w:t>
      </w:r>
      <w:r w:rsidRPr="00CF15EC">
        <w:t xml:space="preserve"> [Accessed 03/12/</w:t>
      </w:r>
      <w:r w:rsidR="00C52218">
        <w:t>20</w:t>
      </w:r>
      <w:r w:rsidRPr="00CF15EC">
        <w:t>19]</w:t>
      </w:r>
      <w:r w:rsidR="008624B8">
        <w:t>.</w:t>
      </w:r>
    </w:p>
    <w:p w14:paraId="03D7B673" w14:textId="5FD7C045" w:rsidR="008C1770" w:rsidRPr="00CF15EC" w:rsidRDefault="008C1770" w:rsidP="00A05224">
      <w:pPr>
        <w:ind w:hanging="720"/>
      </w:pPr>
      <w:r w:rsidRPr="00CF15EC">
        <w:t xml:space="preserve">National Library of Australia. (N.D) </w:t>
      </w:r>
      <w:r w:rsidRPr="00C52218">
        <w:rPr>
          <w:i/>
          <w:iCs/>
        </w:rPr>
        <w:t>The Murder of Sir Lee Stack</w:t>
      </w:r>
      <w:r w:rsidRPr="00CF15EC">
        <w:t xml:space="preserve">. Available at: </w:t>
      </w:r>
      <w:r w:rsidRPr="00A9121A">
        <w:t>https://trove.nla.gov.au/newspaper/article/43252445</w:t>
      </w:r>
      <w:r w:rsidRPr="00CF15EC">
        <w:t xml:space="preserve"> [Accessed 29/01/</w:t>
      </w:r>
      <w:r w:rsidR="00C52218">
        <w:t>20</w:t>
      </w:r>
      <w:r w:rsidRPr="00CF15EC">
        <w:t>20]</w:t>
      </w:r>
      <w:r w:rsidR="008624B8">
        <w:t>.</w:t>
      </w:r>
    </w:p>
    <w:p w14:paraId="2315AAE8" w14:textId="1555391C" w:rsidR="00990BAA" w:rsidRDefault="008C1770" w:rsidP="00990BAA">
      <w:pPr>
        <w:ind w:hanging="720"/>
        <w:rPr>
          <w:rFonts w:cstheme="minorHAnsi"/>
        </w:rPr>
      </w:pPr>
      <w:r w:rsidRPr="00CF15EC">
        <w:rPr>
          <w:rFonts w:cstheme="minorHAnsi"/>
        </w:rPr>
        <w:t xml:space="preserve">Parkinson, B. R. (2008) ‘Tutankhamen on Trial: Egyptian Nationalism and the Court Case for the Pharaoh’s Artifacts’, </w:t>
      </w:r>
      <w:r w:rsidRPr="00C52218">
        <w:rPr>
          <w:rFonts w:cstheme="minorHAnsi"/>
          <w:i/>
          <w:iCs/>
        </w:rPr>
        <w:t xml:space="preserve">Journal of the American Research </w:t>
      </w:r>
      <w:r w:rsidR="008624B8" w:rsidRPr="00C52218">
        <w:rPr>
          <w:rFonts w:cstheme="minorHAnsi"/>
          <w:i/>
          <w:iCs/>
        </w:rPr>
        <w:t>Centre</w:t>
      </w:r>
      <w:r w:rsidRPr="00C52218">
        <w:rPr>
          <w:rFonts w:cstheme="minorHAnsi"/>
          <w:i/>
          <w:iCs/>
        </w:rPr>
        <w:t xml:space="preserve"> in Egypt</w:t>
      </w:r>
      <w:r w:rsidRPr="00CF15EC">
        <w:rPr>
          <w:rFonts w:cstheme="minorHAnsi"/>
        </w:rPr>
        <w:t xml:space="preserve">, 44, pp. 1-8, </w:t>
      </w:r>
      <w:r w:rsidRPr="00A9121A">
        <w:rPr>
          <w:rFonts w:cstheme="minorHAnsi"/>
        </w:rPr>
        <w:t>https://www.jstor.org/stable/27801619?seq=1#metadata_info_tab_contents</w:t>
      </w:r>
      <w:r w:rsidRPr="00CF15EC">
        <w:rPr>
          <w:rFonts w:cstheme="minorHAnsi"/>
        </w:rPr>
        <w:t xml:space="preserve"> [Accessed 28/01/</w:t>
      </w:r>
      <w:r w:rsidR="00C52218">
        <w:rPr>
          <w:rFonts w:cstheme="minorHAnsi"/>
        </w:rPr>
        <w:t>20</w:t>
      </w:r>
      <w:r w:rsidRPr="00CF15EC">
        <w:rPr>
          <w:rFonts w:cstheme="minorHAnsi"/>
        </w:rPr>
        <w:t>20]</w:t>
      </w:r>
      <w:r w:rsidR="008624B8">
        <w:rPr>
          <w:rFonts w:cstheme="minorHAnsi"/>
        </w:rPr>
        <w:t>.</w:t>
      </w:r>
    </w:p>
    <w:p w14:paraId="3826145D" w14:textId="77777777" w:rsidR="00025F2E" w:rsidRPr="000C70EA" w:rsidRDefault="00025F2E" w:rsidP="00990BAA">
      <w:pPr>
        <w:ind w:hanging="720"/>
        <w:rPr>
          <w:rFonts w:cstheme="minorHAnsi"/>
          <w:i/>
          <w:iCs/>
        </w:rPr>
      </w:pPr>
      <w:r w:rsidRPr="000C70EA">
        <w:rPr>
          <w:rFonts w:cstheme="minorHAnsi"/>
        </w:rPr>
        <w:t xml:space="preserve">Pak, M. (2019) </w:t>
      </w:r>
      <w:r w:rsidRPr="000C70EA">
        <w:rPr>
          <w:rFonts w:cstheme="minorHAnsi"/>
          <w:i/>
          <w:iCs/>
        </w:rPr>
        <w:t>Appendix A: Table of Inclusion and Exclusion Criteria for source searching.</w:t>
      </w:r>
    </w:p>
    <w:p w14:paraId="27E80203" w14:textId="77777777" w:rsidR="00025F2E" w:rsidRPr="000C70EA" w:rsidRDefault="00025F2E" w:rsidP="00990BAA">
      <w:pPr>
        <w:ind w:hanging="720"/>
        <w:rPr>
          <w:rFonts w:cstheme="minorHAnsi"/>
        </w:rPr>
      </w:pPr>
      <w:r w:rsidRPr="000C70EA">
        <w:rPr>
          <w:rFonts w:cstheme="minorHAnsi"/>
        </w:rPr>
        <w:t xml:space="preserve">Pak, M. (2019) </w:t>
      </w:r>
      <w:r w:rsidRPr="000C70EA">
        <w:rPr>
          <w:rFonts w:cstheme="minorHAnsi"/>
          <w:i/>
          <w:iCs/>
        </w:rPr>
        <w:t>Diagram 1:</w:t>
      </w:r>
      <w:r w:rsidRPr="000C70EA">
        <w:rPr>
          <w:rFonts w:cstheme="minorHAnsi"/>
        </w:rPr>
        <w:t xml:space="preserve"> </w:t>
      </w:r>
      <w:r w:rsidRPr="000C70EA">
        <w:rPr>
          <w:rFonts w:cstheme="minorHAnsi"/>
          <w:i/>
          <w:iCs/>
        </w:rPr>
        <w:t xml:space="preserve">Ancestry diagram of Tutankhamun, Adapted from Tutankhamun: Treasures of the golden pharaoh 2019 and </w:t>
      </w:r>
      <w:proofErr w:type="spellStart"/>
      <w:r w:rsidRPr="000C70EA">
        <w:rPr>
          <w:rFonts w:cstheme="minorHAnsi"/>
          <w:i/>
          <w:iCs/>
        </w:rPr>
        <w:t>Hawass</w:t>
      </w:r>
      <w:proofErr w:type="spellEnd"/>
      <w:r w:rsidRPr="000C70EA">
        <w:rPr>
          <w:rFonts w:cstheme="minorHAnsi"/>
          <w:i/>
          <w:iCs/>
        </w:rPr>
        <w:t xml:space="preserve"> et al, 2010; 641.</w:t>
      </w:r>
      <w:r w:rsidRPr="000C70EA">
        <w:rPr>
          <w:rFonts w:cstheme="minorHAnsi"/>
        </w:rPr>
        <w:t xml:space="preserve"> </w:t>
      </w:r>
    </w:p>
    <w:p w14:paraId="0AA1F8D9" w14:textId="77777777" w:rsidR="00025F2E" w:rsidRPr="00CF15EC" w:rsidRDefault="00025F2E" w:rsidP="00990BAA">
      <w:pPr>
        <w:ind w:hanging="720"/>
        <w:rPr>
          <w:rFonts w:cstheme="minorHAnsi"/>
        </w:rPr>
      </w:pPr>
      <w:r w:rsidRPr="000C70EA">
        <w:rPr>
          <w:rFonts w:cstheme="minorHAnsi"/>
        </w:rPr>
        <w:t xml:space="preserve">Pak, M. (2019) </w:t>
      </w:r>
      <w:r w:rsidRPr="000C70EA">
        <w:rPr>
          <w:rFonts w:cstheme="minorHAnsi"/>
          <w:i/>
          <w:iCs/>
        </w:rPr>
        <w:t>Diagram 2: Timeline of Tutankhamun worldwide exhibitions.</w:t>
      </w:r>
    </w:p>
    <w:p w14:paraId="785CCF10" w14:textId="77777777" w:rsidR="008C1770" w:rsidRPr="00CF15EC" w:rsidRDefault="008C1770" w:rsidP="00A05224">
      <w:pPr>
        <w:ind w:hanging="720"/>
      </w:pPr>
      <w:r w:rsidRPr="00CF15EC">
        <w:lastRenderedPageBreak/>
        <w:t xml:space="preserve">Reeves, N. and Wilkinson, R. H. (1996) </w:t>
      </w:r>
      <w:r w:rsidRPr="00C52218">
        <w:rPr>
          <w:i/>
          <w:iCs/>
        </w:rPr>
        <w:t>The complete Valley of the Kings: tombs and treasures of Egypt’s greatest Pharaohs</w:t>
      </w:r>
      <w:r w:rsidRPr="00CF15EC">
        <w:t xml:space="preserve">. London: Thames and Hudson. </w:t>
      </w:r>
    </w:p>
    <w:p w14:paraId="1B809A97" w14:textId="7C27B26A" w:rsidR="008C1770" w:rsidRPr="00CF15EC" w:rsidRDefault="008C1770" w:rsidP="00A05224">
      <w:pPr>
        <w:ind w:hanging="720"/>
      </w:pPr>
      <w:r w:rsidRPr="00CF15EC">
        <w:t xml:space="preserve">Reid, D. M. (1985) ‘Indigenous Egyptology: The Decolonization of a Profession?’, </w:t>
      </w:r>
      <w:r w:rsidRPr="00CF15EC">
        <w:rPr>
          <w:i/>
          <w:iCs/>
        </w:rPr>
        <w:t xml:space="preserve">Journal of the American </w:t>
      </w:r>
      <w:proofErr w:type="spellStart"/>
      <w:r w:rsidRPr="00CF15EC">
        <w:rPr>
          <w:i/>
          <w:iCs/>
        </w:rPr>
        <w:t>Oriential</w:t>
      </w:r>
      <w:proofErr w:type="spellEnd"/>
      <w:r w:rsidRPr="00CF15EC">
        <w:rPr>
          <w:i/>
          <w:iCs/>
        </w:rPr>
        <w:t xml:space="preserve"> Society, </w:t>
      </w:r>
      <w:r w:rsidRPr="00CF15EC">
        <w:t xml:space="preserve">105(2), pp.233-246. </w:t>
      </w:r>
      <w:r w:rsidR="008624B8">
        <w:t xml:space="preserve">Available at: </w:t>
      </w:r>
      <w:r w:rsidRPr="00A9121A">
        <w:t>https://www.jstor.org/stable/601703?seq=1#metadata_info_tab_contents</w:t>
      </w:r>
      <w:r w:rsidRPr="00CF15EC">
        <w:t>, [Accessed 18/06/2019].</w:t>
      </w:r>
    </w:p>
    <w:p w14:paraId="2FB75D69" w14:textId="77777777" w:rsidR="008C1770" w:rsidRPr="00CF15EC" w:rsidRDefault="008C1770" w:rsidP="00A05224">
      <w:pPr>
        <w:ind w:hanging="720"/>
      </w:pPr>
      <w:r w:rsidRPr="00CF15EC">
        <w:t xml:space="preserve">Reid, D. M. (2003) </w:t>
      </w:r>
      <w:r w:rsidRPr="00CF15EC">
        <w:rPr>
          <w:i/>
          <w:iCs/>
        </w:rPr>
        <w:t>Whose pharaohs? Archaeology, museums, and Egyptian national identity from Napoleon to world war 1.</w:t>
      </w:r>
      <w:r w:rsidRPr="00CF15EC">
        <w:t xml:space="preserve"> Berkeley: University of California Press. </w:t>
      </w:r>
    </w:p>
    <w:p w14:paraId="288754B8" w14:textId="77777777" w:rsidR="008C1770" w:rsidRPr="00CF15EC" w:rsidRDefault="008C1770" w:rsidP="00A05224">
      <w:pPr>
        <w:ind w:hanging="720"/>
      </w:pPr>
      <w:r w:rsidRPr="00CF15EC">
        <w:t xml:space="preserve">Reid, D. M. (2015) </w:t>
      </w:r>
      <w:r w:rsidRPr="00CF15EC">
        <w:rPr>
          <w:i/>
          <w:iCs/>
        </w:rPr>
        <w:t>Contesting antiquity in Egypt: archaeologies, museums &amp; the struggle for identities from world war 1 to Nasser</w:t>
      </w:r>
      <w:r w:rsidRPr="00CF15EC">
        <w:t>. Cairo &amp; New York: The American University in Cairo Press.</w:t>
      </w:r>
    </w:p>
    <w:p w14:paraId="6AC9ECEF" w14:textId="77777777" w:rsidR="008C1770" w:rsidRPr="00CF15EC" w:rsidRDefault="008C1770" w:rsidP="00A05224">
      <w:pPr>
        <w:ind w:hanging="720"/>
        <w:rPr>
          <w:rFonts w:cstheme="minorHAnsi"/>
        </w:rPr>
      </w:pPr>
      <w:r w:rsidRPr="00CF15EC">
        <w:rPr>
          <w:rFonts w:cstheme="minorHAnsi"/>
        </w:rPr>
        <w:t xml:space="preserve">Richmond, J. C. B. (1977) </w:t>
      </w:r>
      <w:r w:rsidRPr="00CF15EC">
        <w:rPr>
          <w:rFonts w:cstheme="minorHAnsi"/>
          <w:i/>
          <w:iCs/>
        </w:rPr>
        <w:t>Egypt 1798-1952</w:t>
      </w:r>
      <w:r w:rsidRPr="00CF15EC">
        <w:rPr>
          <w:rFonts w:cstheme="minorHAnsi"/>
        </w:rPr>
        <w:t xml:space="preserve">. London: Methuen &amp; Co Ltd. </w:t>
      </w:r>
    </w:p>
    <w:p w14:paraId="5F9381B6" w14:textId="733D6D82" w:rsidR="008C1770" w:rsidRPr="00CF15EC" w:rsidRDefault="008C1770" w:rsidP="00A05224">
      <w:pPr>
        <w:ind w:hanging="720"/>
      </w:pPr>
      <w:r w:rsidRPr="00CF15EC">
        <w:t xml:space="preserve">Riggs, C. (2019) </w:t>
      </w:r>
      <w:r w:rsidRPr="00401CD6">
        <w:rPr>
          <w:i/>
          <w:iCs/>
        </w:rPr>
        <w:t>How 20</w:t>
      </w:r>
      <w:r w:rsidRPr="00401CD6">
        <w:rPr>
          <w:i/>
          <w:iCs/>
          <w:vertAlign w:val="superscript"/>
        </w:rPr>
        <w:t>th</w:t>
      </w:r>
      <w:r w:rsidRPr="00401CD6">
        <w:rPr>
          <w:i/>
          <w:iCs/>
        </w:rPr>
        <w:t>-century colonial politics shaped the story of Tutankhamun’s tomb.</w:t>
      </w:r>
      <w:r w:rsidRPr="00CF15EC">
        <w:t xml:space="preserve"> Available at: </w:t>
      </w:r>
      <w:r w:rsidRPr="00A9121A">
        <w:t>https://www.thebritishacademy.ac.uk/blog/how-20th-century-colonial-politics-shaped-story-tutankhamuns-tomb</w:t>
      </w:r>
      <w:r w:rsidRPr="00CF15EC">
        <w:t xml:space="preserve"> [Accessed 22/03/</w:t>
      </w:r>
      <w:r w:rsidR="00401CD6">
        <w:t>20</w:t>
      </w:r>
      <w:r w:rsidRPr="00CF15EC">
        <w:t>20]</w:t>
      </w:r>
      <w:r w:rsidR="00443F88">
        <w:t>.</w:t>
      </w:r>
    </w:p>
    <w:p w14:paraId="38E40ABE" w14:textId="169F0F30" w:rsidR="008C1770" w:rsidRPr="00CF15EC" w:rsidRDefault="008C1770" w:rsidP="00A05224">
      <w:pPr>
        <w:ind w:hanging="720"/>
      </w:pPr>
      <w:r w:rsidRPr="00CF15EC">
        <w:t xml:space="preserve">Rivlin, H. A. B. (2020) </w:t>
      </w:r>
      <w:r w:rsidRPr="00401CD6">
        <w:rPr>
          <w:i/>
          <w:iCs/>
        </w:rPr>
        <w:t>Muhammad Ali</w:t>
      </w:r>
      <w:r w:rsidRPr="00CF15EC">
        <w:t xml:space="preserve">. Available at: </w:t>
      </w:r>
      <w:r w:rsidRPr="00A9121A">
        <w:t>https://www.britannica.com/biography/Muhammad-Ali-pasha-and-viceroy-of-Egypt</w:t>
      </w:r>
      <w:r w:rsidRPr="00CF15EC">
        <w:t xml:space="preserve"> [Accessed 28/01/</w:t>
      </w:r>
      <w:r w:rsidR="00401CD6">
        <w:t>20</w:t>
      </w:r>
      <w:r w:rsidRPr="00CF15EC">
        <w:t>20]</w:t>
      </w:r>
      <w:r w:rsidR="00443F88">
        <w:t>.</w:t>
      </w:r>
    </w:p>
    <w:p w14:paraId="1F7CFCE2" w14:textId="1EA8C363" w:rsidR="008C1770" w:rsidRPr="00CF15EC" w:rsidRDefault="008C1770" w:rsidP="00A05224">
      <w:pPr>
        <w:ind w:hanging="720"/>
        <w:rPr>
          <w:rFonts w:cstheme="minorHAnsi"/>
        </w:rPr>
      </w:pPr>
      <w:r w:rsidRPr="00CF15EC">
        <w:t xml:space="preserve">Saatchi Gallery (2019) </w:t>
      </w:r>
      <w:r w:rsidRPr="00CF15EC">
        <w:rPr>
          <w:i/>
          <w:iCs/>
        </w:rPr>
        <w:t>Tutankhamun Treasures of the Golden Pharaoh</w:t>
      </w:r>
      <w:r w:rsidRPr="00CF15EC">
        <w:t xml:space="preserve">. Available at: </w:t>
      </w:r>
      <w:proofErr w:type="gramStart"/>
      <w:r w:rsidRPr="00A9121A">
        <w:t>https://www.saatchigallery.com/art/tutankhamun.php</w:t>
      </w:r>
      <w:r w:rsidRPr="00CF15EC">
        <w:t xml:space="preserve">  [</w:t>
      </w:r>
      <w:proofErr w:type="gramEnd"/>
      <w:r w:rsidRPr="00CF15EC">
        <w:t>Accessed 03/10/</w:t>
      </w:r>
      <w:r w:rsidR="00401CD6">
        <w:t>20</w:t>
      </w:r>
      <w:r w:rsidRPr="00CF15EC">
        <w:t>19].</w:t>
      </w:r>
    </w:p>
    <w:p w14:paraId="18FE261F" w14:textId="77777777" w:rsidR="008C1770" w:rsidRPr="00CF15EC" w:rsidRDefault="008C1770" w:rsidP="00A05224">
      <w:pPr>
        <w:ind w:hanging="720"/>
      </w:pPr>
      <w:r w:rsidRPr="00CF15EC">
        <w:t xml:space="preserve">Simon, R. (2008) </w:t>
      </w:r>
      <w:r w:rsidRPr="00CF15EC">
        <w:rPr>
          <w:i/>
          <w:iCs/>
        </w:rPr>
        <w:t xml:space="preserve">Seeing More in Cabinets and Blockbusters: A Rhetorical Study of Museum Exhibits. </w:t>
      </w:r>
      <w:r w:rsidRPr="00CF15EC">
        <w:t xml:space="preserve">Unpublished PhD thesis. Pennsylvania State University. </w:t>
      </w:r>
    </w:p>
    <w:p w14:paraId="690939B1" w14:textId="731139E5" w:rsidR="008C1770" w:rsidRPr="00CF15EC" w:rsidRDefault="008C1770" w:rsidP="00A05224">
      <w:pPr>
        <w:ind w:hanging="720"/>
        <w:rPr>
          <w:rFonts w:cstheme="minorHAnsi"/>
        </w:rPr>
      </w:pPr>
      <w:r w:rsidRPr="00CF15EC">
        <w:rPr>
          <w:rFonts w:cstheme="minorHAnsi"/>
        </w:rPr>
        <w:t xml:space="preserve">Smith. G. E (1923) </w:t>
      </w:r>
      <w:r w:rsidRPr="00CF15EC">
        <w:rPr>
          <w:rFonts w:cstheme="minorHAnsi"/>
          <w:i/>
          <w:iCs/>
        </w:rPr>
        <w:t xml:space="preserve">Tutankhamen and the Discovery of his Tomb by the Late Earl of Carnarvon and Mr Howard Carter. </w:t>
      </w:r>
      <w:r w:rsidRPr="00CF15EC">
        <w:rPr>
          <w:rFonts w:cstheme="minorHAnsi"/>
        </w:rPr>
        <w:t>London: George Routledge &amp; Sons Ltd</w:t>
      </w:r>
      <w:r w:rsidR="00754C07">
        <w:rPr>
          <w:rFonts w:cstheme="minorHAnsi"/>
        </w:rPr>
        <w:t>.</w:t>
      </w:r>
    </w:p>
    <w:p w14:paraId="21F7319D" w14:textId="77777777" w:rsidR="008C1770" w:rsidRPr="00CF15EC" w:rsidRDefault="008C1770" w:rsidP="00A05224">
      <w:pPr>
        <w:ind w:hanging="720"/>
        <w:rPr>
          <w:rFonts w:cstheme="minorHAnsi"/>
        </w:rPr>
      </w:pPr>
      <w:r w:rsidRPr="00CF15EC">
        <w:rPr>
          <w:rFonts w:cstheme="minorHAnsi"/>
        </w:rPr>
        <w:t xml:space="preserve">Stevenson, A. (2019) </w:t>
      </w:r>
      <w:r w:rsidRPr="00CF15EC">
        <w:rPr>
          <w:rFonts w:cstheme="minorHAnsi"/>
          <w:i/>
          <w:iCs/>
        </w:rPr>
        <w:t xml:space="preserve">Scattered Find, Archaeology, Egyptology and Museums. </w:t>
      </w:r>
      <w:r w:rsidRPr="00CF15EC">
        <w:rPr>
          <w:rFonts w:cstheme="minorHAnsi"/>
        </w:rPr>
        <w:t>London: UCL Press.</w:t>
      </w:r>
    </w:p>
    <w:p w14:paraId="2337269C" w14:textId="151BA2D4" w:rsidR="008C1770" w:rsidRPr="00CF15EC" w:rsidRDefault="008C1770" w:rsidP="00A05224">
      <w:pPr>
        <w:ind w:hanging="720"/>
      </w:pPr>
      <w:r w:rsidRPr="00CF15EC">
        <w:t>Supreme Council of Antiquities. (N</w:t>
      </w:r>
      <w:r w:rsidRPr="00401CD6">
        <w:t>.D.)</w:t>
      </w:r>
      <w:r w:rsidRPr="00401CD6">
        <w:rPr>
          <w:i/>
          <w:iCs/>
        </w:rPr>
        <w:t xml:space="preserve"> A Brief History of the Supreme Council of Antiquities: 1858 to present</w:t>
      </w:r>
      <w:r w:rsidRPr="00CF15EC">
        <w:t xml:space="preserve">. Available at: </w:t>
      </w:r>
      <w:r w:rsidRPr="00A9121A">
        <w:t>https://www.sca-egypt.org/eng/sca_history.html</w:t>
      </w:r>
      <w:r w:rsidRPr="00CF15EC">
        <w:t xml:space="preserve"> [Accessed 21/03/</w:t>
      </w:r>
      <w:r w:rsidR="00401CD6">
        <w:t>20</w:t>
      </w:r>
      <w:r w:rsidRPr="00CF15EC">
        <w:t>20]</w:t>
      </w:r>
      <w:r w:rsidR="00754C07">
        <w:t>.</w:t>
      </w:r>
    </w:p>
    <w:p w14:paraId="15D0E898" w14:textId="1FC07BE1" w:rsidR="008C1770" w:rsidRPr="00CF15EC" w:rsidRDefault="008C1770" w:rsidP="00A05224">
      <w:pPr>
        <w:ind w:hanging="720"/>
        <w:rPr>
          <w:rFonts w:cstheme="minorHAnsi"/>
        </w:rPr>
      </w:pPr>
      <w:proofErr w:type="spellStart"/>
      <w:r w:rsidRPr="00CF15EC">
        <w:rPr>
          <w:rFonts w:cstheme="minorHAnsi"/>
        </w:rPr>
        <w:t>Tatomir</w:t>
      </w:r>
      <w:proofErr w:type="spellEnd"/>
      <w:r w:rsidRPr="00CF15EC">
        <w:rPr>
          <w:rFonts w:cstheme="minorHAnsi"/>
        </w:rPr>
        <w:t xml:space="preserve">, R. (2015) ‘Egyptomania in Antiquity and in Modern World Literature. Imaginary, Intercultural context and mentality’, </w:t>
      </w:r>
      <w:r w:rsidRPr="00CF15EC">
        <w:rPr>
          <w:rFonts w:cstheme="minorHAnsi"/>
          <w:i/>
          <w:iCs/>
        </w:rPr>
        <w:t xml:space="preserve">Discourse as a Form of Multiculturalism in Literature and Communication, </w:t>
      </w:r>
      <w:r w:rsidRPr="00CF15EC">
        <w:rPr>
          <w:rFonts w:cstheme="minorHAnsi"/>
        </w:rPr>
        <w:t xml:space="preserve">pp, 566-581. </w:t>
      </w:r>
      <w:r w:rsidR="00754C07">
        <w:rPr>
          <w:rFonts w:cstheme="minorHAnsi"/>
        </w:rPr>
        <w:t xml:space="preserve">Available at: </w:t>
      </w:r>
      <w:r w:rsidRPr="00A9121A">
        <w:rPr>
          <w:rFonts w:cstheme="minorHAnsi"/>
        </w:rPr>
        <w:t>https://www.academia.edu/19750156/Egyptomania_in_Antiquity_and_in_Modern_World_Literature._Imaginary_Intercultural_Context_and_Mentality</w:t>
      </w:r>
      <w:r w:rsidRPr="00CF15EC">
        <w:rPr>
          <w:rFonts w:cstheme="minorHAnsi"/>
        </w:rPr>
        <w:t xml:space="preserve"> [Accessed 09/10/</w:t>
      </w:r>
      <w:r w:rsidR="00401CD6">
        <w:rPr>
          <w:rFonts w:cstheme="minorHAnsi"/>
        </w:rPr>
        <w:t>20</w:t>
      </w:r>
      <w:r w:rsidRPr="00CF15EC">
        <w:rPr>
          <w:rFonts w:cstheme="minorHAnsi"/>
        </w:rPr>
        <w:t>19]</w:t>
      </w:r>
      <w:r w:rsidR="00754C07">
        <w:rPr>
          <w:rFonts w:cstheme="minorHAnsi"/>
        </w:rPr>
        <w:t xml:space="preserve">. </w:t>
      </w:r>
    </w:p>
    <w:p w14:paraId="0A77D25C" w14:textId="3BB98AE6" w:rsidR="008C1770" w:rsidRPr="00CF15EC" w:rsidRDefault="008C1770" w:rsidP="00A05224">
      <w:pPr>
        <w:ind w:hanging="720"/>
      </w:pPr>
      <w:r w:rsidRPr="00CF15EC">
        <w:t xml:space="preserve">The American University in Cairo. (N.D) </w:t>
      </w:r>
      <w:proofErr w:type="spellStart"/>
      <w:r w:rsidRPr="00D22636">
        <w:rPr>
          <w:i/>
          <w:iCs/>
        </w:rPr>
        <w:t>Salima</w:t>
      </w:r>
      <w:proofErr w:type="spellEnd"/>
      <w:r w:rsidRPr="00D22636">
        <w:rPr>
          <w:i/>
          <w:iCs/>
        </w:rPr>
        <w:t xml:space="preserve"> Ikram</w:t>
      </w:r>
      <w:r w:rsidRPr="00CF15EC">
        <w:t xml:space="preserve">. Available at: </w:t>
      </w:r>
      <w:r w:rsidRPr="00A9121A">
        <w:t>https://www.aucegypt.edu/fac/salimaikram</w:t>
      </w:r>
      <w:r w:rsidRPr="00CF15EC">
        <w:t xml:space="preserve"> [Accessed 23/03/</w:t>
      </w:r>
      <w:r w:rsidR="00D22636">
        <w:t>20</w:t>
      </w:r>
      <w:r w:rsidRPr="00CF15EC">
        <w:t>20]</w:t>
      </w:r>
      <w:r w:rsidR="00F641B0">
        <w:t>.</w:t>
      </w:r>
    </w:p>
    <w:p w14:paraId="31CDBD4F" w14:textId="58126575" w:rsidR="008C1770" w:rsidRPr="00CF15EC" w:rsidRDefault="008C1770" w:rsidP="00A05224">
      <w:pPr>
        <w:ind w:hanging="720"/>
      </w:pPr>
      <w:r w:rsidRPr="00CF15EC">
        <w:t xml:space="preserve">The British Museum. (2017) </w:t>
      </w:r>
      <w:r w:rsidRPr="00CF15EC">
        <w:rPr>
          <w:i/>
          <w:iCs/>
        </w:rPr>
        <w:t>Everything you ever wanted to know about the Rosetta Stone</w:t>
      </w:r>
      <w:r w:rsidRPr="00CF15EC">
        <w:t xml:space="preserve">. Available at: </w:t>
      </w:r>
      <w:r w:rsidRPr="00A9121A">
        <w:t>https://blog.britishmuseum.org/everything-you-ever-wanted-to-know-about-the-rosetta-stone/</w:t>
      </w:r>
      <w:r w:rsidRPr="00CF15EC">
        <w:t xml:space="preserve"> [Accessed: 01/12/</w:t>
      </w:r>
      <w:r w:rsidR="00D22636">
        <w:t>20</w:t>
      </w:r>
      <w:r w:rsidRPr="00CF15EC">
        <w:t>19]</w:t>
      </w:r>
      <w:r w:rsidR="00F641B0">
        <w:t>.</w:t>
      </w:r>
    </w:p>
    <w:p w14:paraId="3CE447C8" w14:textId="54CB136B" w:rsidR="008C1770" w:rsidRPr="00CF15EC" w:rsidRDefault="008C1770" w:rsidP="00A05224">
      <w:pPr>
        <w:ind w:hanging="720"/>
      </w:pPr>
      <w:r w:rsidRPr="00CF15EC">
        <w:t>The Fitzwilliam Museum. (2020</w:t>
      </w:r>
      <w:r w:rsidRPr="000141EC">
        <w:rPr>
          <w:i/>
          <w:iCs/>
        </w:rPr>
        <w:t>) Explorer: Belzoni, Giovanni Battista (1778-1823)</w:t>
      </w:r>
      <w:r w:rsidRPr="00CF15EC">
        <w:t xml:space="preserve">. Available at: </w:t>
      </w:r>
      <w:r w:rsidRPr="00A9121A">
        <w:t>https://www.fitzmuseum.cam.ac.uk/collections/egypt/collectionhistory/belzoni</w:t>
      </w:r>
      <w:r w:rsidRPr="00CF15EC">
        <w:t xml:space="preserve"> [Accessed 22/03/</w:t>
      </w:r>
      <w:r w:rsidR="000141EC">
        <w:t>20</w:t>
      </w:r>
      <w:r w:rsidRPr="00CF15EC">
        <w:t>20]</w:t>
      </w:r>
      <w:r w:rsidR="00F641B0">
        <w:t>.</w:t>
      </w:r>
    </w:p>
    <w:p w14:paraId="1CA29375" w14:textId="5D2E5C30" w:rsidR="008C1770" w:rsidRDefault="008C1770" w:rsidP="00A05224">
      <w:pPr>
        <w:ind w:hanging="720"/>
      </w:pPr>
      <w:r w:rsidRPr="00CF15EC">
        <w:t xml:space="preserve">The Metropolitan Museum of Art. (2011) </w:t>
      </w:r>
      <w:r w:rsidRPr="000141EC">
        <w:rPr>
          <w:i/>
          <w:iCs/>
        </w:rPr>
        <w:t>Recent Research in Egyptian Art: Behind the Mask of Tutankhamun.</w:t>
      </w:r>
      <w:r w:rsidRPr="00CF15EC">
        <w:t xml:space="preserve"> Available at: </w:t>
      </w:r>
      <w:r w:rsidRPr="00A9121A">
        <w:t>https://www.youtube.com/watch?v=bxN1hm1TmJ0</w:t>
      </w:r>
      <w:r w:rsidRPr="00CF15EC">
        <w:t xml:space="preserve"> [Accessed 23/03/</w:t>
      </w:r>
      <w:r w:rsidR="000141EC">
        <w:t>20</w:t>
      </w:r>
      <w:r w:rsidRPr="00CF15EC">
        <w:t>20]</w:t>
      </w:r>
      <w:r w:rsidR="00F641B0">
        <w:t>.</w:t>
      </w:r>
    </w:p>
    <w:p w14:paraId="56937F85" w14:textId="222CEEE3" w:rsidR="002141BD" w:rsidRPr="00CF15EC" w:rsidRDefault="002141BD" w:rsidP="00A05224">
      <w:pPr>
        <w:ind w:hanging="720"/>
      </w:pPr>
      <w:r>
        <w:lastRenderedPageBreak/>
        <w:t xml:space="preserve">The New York Times. (2010) </w:t>
      </w:r>
      <w:r w:rsidRPr="002141BD">
        <w:rPr>
          <w:i/>
          <w:iCs/>
        </w:rPr>
        <w:t>Obituary. Howard Carter, 64, Egyptologist, dies</w:t>
      </w:r>
      <w:r>
        <w:t xml:space="preserve">. Available at: </w:t>
      </w:r>
      <w:r w:rsidRPr="002141BD">
        <w:t>https://archive.nytimes.com/www.nytimes.com/learning/general/onthisday/bday/0509.html?action=click&amp;contentCollection=meter-links-click&amp;contentId=&amp;mediaId=&amp;module=meter-Links&amp;pgtype=Blogs&amp;priority=true&amp;referrer=&amp;version=meter+at+null</w:t>
      </w:r>
      <w:r>
        <w:t xml:space="preserve"> [Accessed 05/05/2020].</w:t>
      </w:r>
    </w:p>
    <w:p w14:paraId="23FFB424" w14:textId="6B7D1EDB" w:rsidR="008C1770" w:rsidRPr="00CF15EC" w:rsidRDefault="008C1770" w:rsidP="00A05224">
      <w:pPr>
        <w:ind w:hanging="720"/>
      </w:pPr>
      <w:r w:rsidRPr="00CF15EC">
        <w:t xml:space="preserve">The Telegraph (2010) </w:t>
      </w:r>
      <w:r w:rsidRPr="000141EC">
        <w:rPr>
          <w:i/>
          <w:iCs/>
        </w:rPr>
        <w:t>TGH James</w:t>
      </w:r>
      <w:r w:rsidRPr="00CF15EC">
        <w:t xml:space="preserve">. Available at: </w:t>
      </w:r>
      <w:r w:rsidRPr="00A9121A">
        <w:t>https://www.telegraph.co.uk/news/obituaries/7309463/TGH-James.html</w:t>
      </w:r>
      <w:r w:rsidRPr="00CF15EC">
        <w:t xml:space="preserve"> [Accessed 23/03/</w:t>
      </w:r>
      <w:r w:rsidR="000141EC">
        <w:t>20</w:t>
      </w:r>
      <w:r w:rsidRPr="00CF15EC">
        <w:t>20]</w:t>
      </w:r>
      <w:r w:rsidR="00F641B0">
        <w:t>.</w:t>
      </w:r>
    </w:p>
    <w:p w14:paraId="23AE8B3E" w14:textId="3A15AC86" w:rsidR="008C1770" w:rsidRPr="00CF15EC" w:rsidRDefault="008C1770" w:rsidP="00A05224">
      <w:pPr>
        <w:ind w:hanging="720"/>
        <w:rPr>
          <w:rFonts w:cstheme="minorHAnsi"/>
        </w:rPr>
      </w:pPr>
      <w:r w:rsidRPr="00CF15EC">
        <w:rPr>
          <w:rFonts w:cstheme="minorHAnsi"/>
        </w:rPr>
        <w:t xml:space="preserve">The University of Cambridge. (2020) </w:t>
      </w:r>
      <w:r w:rsidRPr="000141EC">
        <w:rPr>
          <w:rFonts w:cstheme="minorHAnsi"/>
          <w:i/>
          <w:iCs/>
        </w:rPr>
        <w:t>Dr Allegra R P Fryxell.</w:t>
      </w:r>
      <w:r w:rsidRPr="00CF15EC">
        <w:rPr>
          <w:rFonts w:cstheme="minorHAnsi"/>
        </w:rPr>
        <w:t xml:space="preserve"> Available at: </w:t>
      </w:r>
      <w:r w:rsidRPr="00A9121A">
        <w:rPr>
          <w:rFonts w:cstheme="minorHAnsi"/>
        </w:rPr>
        <w:t>https://www.hist.cam.ac.uk/directory/allegra-fryxell</w:t>
      </w:r>
      <w:r w:rsidRPr="00CF15EC">
        <w:rPr>
          <w:rFonts w:cstheme="minorHAnsi"/>
        </w:rPr>
        <w:t xml:space="preserve"> [Accessed 27/01/</w:t>
      </w:r>
      <w:r w:rsidR="000141EC">
        <w:rPr>
          <w:rFonts w:cstheme="minorHAnsi"/>
        </w:rPr>
        <w:t>20</w:t>
      </w:r>
      <w:r w:rsidRPr="00CF15EC">
        <w:rPr>
          <w:rFonts w:cstheme="minorHAnsi"/>
        </w:rPr>
        <w:t>20]</w:t>
      </w:r>
      <w:r w:rsidR="00F641B0">
        <w:rPr>
          <w:rFonts w:cstheme="minorHAnsi"/>
        </w:rPr>
        <w:t>.</w:t>
      </w:r>
    </w:p>
    <w:p w14:paraId="7A208BE8" w14:textId="6C8858FC" w:rsidR="008C1770" w:rsidRPr="00CF15EC" w:rsidRDefault="008C1770" w:rsidP="00A05224">
      <w:pPr>
        <w:ind w:hanging="720"/>
        <w:rPr>
          <w:rFonts w:cstheme="minorHAnsi"/>
        </w:rPr>
      </w:pPr>
      <w:r w:rsidRPr="00CF15EC">
        <w:rPr>
          <w:rFonts w:cstheme="minorHAnsi"/>
        </w:rPr>
        <w:t xml:space="preserve">The University of Manchester. (2013) </w:t>
      </w:r>
      <w:r w:rsidRPr="000141EC">
        <w:rPr>
          <w:rFonts w:cstheme="minorHAnsi"/>
          <w:i/>
          <w:iCs/>
        </w:rPr>
        <w:t>Peoples historian becomes Manchester professor</w:t>
      </w:r>
      <w:r w:rsidRPr="00CF15EC">
        <w:rPr>
          <w:rFonts w:cstheme="minorHAnsi"/>
        </w:rPr>
        <w:t xml:space="preserve">. Available at: </w:t>
      </w:r>
      <w:r w:rsidRPr="00A9121A">
        <w:rPr>
          <w:rFonts w:cstheme="minorHAnsi"/>
        </w:rPr>
        <w:t>https://www.manchester.ac.uk/discover/news/peoples-historian-becomes-manchester-professor/</w:t>
      </w:r>
      <w:r w:rsidRPr="00CF15EC">
        <w:rPr>
          <w:rFonts w:cstheme="minorHAnsi"/>
        </w:rPr>
        <w:t xml:space="preserve"> [Accessed 27/01/</w:t>
      </w:r>
      <w:r w:rsidR="000141EC">
        <w:rPr>
          <w:rFonts w:cstheme="minorHAnsi"/>
        </w:rPr>
        <w:t>20</w:t>
      </w:r>
      <w:r w:rsidRPr="00CF15EC">
        <w:rPr>
          <w:rFonts w:cstheme="minorHAnsi"/>
        </w:rPr>
        <w:t>20]</w:t>
      </w:r>
      <w:r w:rsidR="00F641B0">
        <w:rPr>
          <w:rFonts w:cstheme="minorHAnsi"/>
        </w:rPr>
        <w:t>.</w:t>
      </w:r>
    </w:p>
    <w:p w14:paraId="4DA440EF" w14:textId="59ED8B89" w:rsidR="008C1770" w:rsidRPr="00CF15EC" w:rsidRDefault="008C1770" w:rsidP="00A05224">
      <w:pPr>
        <w:ind w:hanging="720"/>
        <w:rPr>
          <w:rFonts w:cstheme="minorHAnsi"/>
        </w:rPr>
      </w:pPr>
      <w:r w:rsidRPr="00CF15EC">
        <w:rPr>
          <w:rFonts w:cstheme="minorHAnsi"/>
        </w:rPr>
        <w:t xml:space="preserve">Thompson, J. (2016) </w:t>
      </w:r>
      <w:r w:rsidRPr="00CF15EC">
        <w:rPr>
          <w:rFonts w:cstheme="minorHAnsi"/>
          <w:i/>
          <w:iCs/>
        </w:rPr>
        <w:t>Wonderful Things: A History of Egyptology. Vol 2 The Golden Age: 1881-1914</w:t>
      </w:r>
      <w:r w:rsidRPr="00CF15EC">
        <w:rPr>
          <w:rFonts w:cstheme="minorHAnsi"/>
        </w:rPr>
        <w:t xml:space="preserve">. </w:t>
      </w:r>
      <w:r w:rsidR="00FC6DCE">
        <w:rPr>
          <w:rFonts w:cstheme="minorHAnsi"/>
        </w:rPr>
        <w:t xml:space="preserve">Cairo: </w:t>
      </w:r>
      <w:r w:rsidRPr="00CF15EC">
        <w:rPr>
          <w:rFonts w:cstheme="minorHAnsi"/>
        </w:rPr>
        <w:t>The American University in Cairo Press.</w:t>
      </w:r>
    </w:p>
    <w:p w14:paraId="315C0231" w14:textId="090EF07F" w:rsidR="008C1770" w:rsidRPr="00CF15EC" w:rsidRDefault="008C1770" w:rsidP="00A05224">
      <w:pPr>
        <w:ind w:hanging="720"/>
      </w:pPr>
      <w:r w:rsidRPr="00CF15EC">
        <w:t xml:space="preserve">Wasson, D. L. (2016) </w:t>
      </w:r>
      <w:r w:rsidRPr="000141EC">
        <w:rPr>
          <w:i/>
          <w:iCs/>
        </w:rPr>
        <w:t>Ancient Roman Family Life</w:t>
      </w:r>
      <w:r w:rsidRPr="00CF15EC">
        <w:t xml:space="preserve">. Available at: </w:t>
      </w:r>
      <w:r w:rsidRPr="00A9121A">
        <w:t>https://www.ancient.eu/article/870/ancient-roman-family-life/</w:t>
      </w:r>
      <w:r w:rsidRPr="00CF15EC">
        <w:t xml:space="preserve"> [Accessed 01/12/</w:t>
      </w:r>
      <w:r w:rsidR="000141EC">
        <w:t>20</w:t>
      </w:r>
      <w:r w:rsidRPr="00CF15EC">
        <w:t>19]</w:t>
      </w:r>
      <w:r w:rsidR="00FC6DCE">
        <w:t>.</w:t>
      </w:r>
    </w:p>
    <w:p w14:paraId="31CCE4D3" w14:textId="7105AC96" w:rsidR="008C1770" w:rsidRPr="00CF15EC" w:rsidRDefault="008C1770" w:rsidP="00A05224">
      <w:pPr>
        <w:ind w:hanging="720"/>
        <w:rPr>
          <w:rFonts w:cstheme="minorHAnsi"/>
        </w:rPr>
      </w:pPr>
      <w:r w:rsidRPr="00CF15EC">
        <w:rPr>
          <w:rFonts w:cstheme="minorHAnsi"/>
        </w:rPr>
        <w:t xml:space="preserve">Wendell, C. (2012) </w:t>
      </w:r>
      <w:r w:rsidRPr="000141EC">
        <w:rPr>
          <w:rFonts w:cstheme="minorHAnsi"/>
          <w:i/>
          <w:iCs/>
        </w:rPr>
        <w:t xml:space="preserve">‘Lutfi al-Sayyid’, </w:t>
      </w:r>
      <w:r w:rsidR="00205295">
        <w:rPr>
          <w:rFonts w:cstheme="minorHAnsi"/>
          <w:i/>
          <w:iCs/>
        </w:rPr>
        <w:t xml:space="preserve">in </w:t>
      </w:r>
      <w:r w:rsidRPr="00CF15EC">
        <w:rPr>
          <w:rFonts w:cstheme="minorHAnsi"/>
        </w:rPr>
        <w:t>Bearman P</w:t>
      </w:r>
      <w:r w:rsidR="00FA128E">
        <w:rPr>
          <w:rFonts w:cstheme="minorHAnsi"/>
        </w:rPr>
        <w:t>.</w:t>
      </w:r>
      <w:r w:rsidRPr="00CF15EC">
        <w:rPr>
          <w:rFonts w:cstheme="minorHAnsi"/>
        </w:rPr>
        <w:t xml:space="preserve">, </w:t>
      </w:r>
      <w:proofErr w:type="spellStart"/>
      <w:r w:rsidRPr="00CF15EC">
        <w:rPr>
          <w:rFonts w:cstheme="minorHAnsi"/>
        </w:rPr>
        <w:t>Bianquis</w:t>
      </w:r>
      <w:proofErr w:type="spellEnd"/>
      <w:r w:rsidR="00FA128E">
        <w:rPr>
          <w:rFonts w:cstheme="minorHAnsi"/>
        </w:rPr>
        <w:t>,</w:t>
      </w:r>
      <w:r w:rsidRPr="00CF15EC">
        <w:rPr>
          <w:rFonts w:cstheme="minorHAnsi"/>
        </w:rPr>
        <w:t xml:space="preserve"> T</w:t>
      </w:r>
      <w:r w:rsidR="00FA128E">
        <w:rPr>
          <w:rFonts w:cstheme="minorHAnsi"/>
        </w:rPr>
        <w:t>.</w:t>
      </w:r>
      <w:r w:rsidRPr="00CF15EC">
        <w:rPr>
          <w:rFonts w:cstheme="minorHAnsi"/>
        </w:rPr>
        <w:t>, Bosworth</w:t>
      </w:r>
      <w:r w:rsidR="00FA128E">
        <w:rPr>
          <w:rFonts w:cstheme="minorHAnsi"/>
        </w:rPr>
        <w:t>,</w:t>
      </w:r>
      <w:r w:rsidRPr="00CF15EC">
        <w:rPr>
          <w:rFonts w:cstheme="minorHAnsi"/>
        </w:rPr>
        <w:t xml:space="preserve"> C.E</w:t>
      </w:r>
      <w:r w:rsidR="00FA128E">
        <w:rPr>
          <w:rFonts w:cstheme="minorHAnsi"/>
        </w:rPr>
        <w:t>.</w:t>
      </w:r>
      <w:r w:rsidRPr="00CF15EC">
        <w:rPr>
          <w:rFonts w:cstheme="minorHAnsi"/>
        </w:rPr>
        <w:t xml:space="preserve">, Van </w:t>
      </w:r>
      <w:proofErr w:type="spellStart"/>
      <w:r w:rsidRPr="00CF15EC">
        <w:rPr>
          <w:rFonts w:cstheme="minorHAnsi"/>
        </w:rPr>
        <w:t>Donzel</w:t>
      </w:r>
      <w:proofErr w:type="spellEnd"/>
      <w:r w:rsidR="00FA128E">
        <w:rPr>
          <w:rFonts w:cstheme="minorHAnsi"/>
        </w:rPr>
        <w:t>,</w:t>
      </w:r>
      <w:r w:rsidRPr="00CF15EC">
        <w:rPr>
          <w:rFonts w:cstheme="minorHAnsi"/>
        </w:rPr>
        <w:t xml:space="preserve"> E</w:t>
      </w:r>
      <w:r w:rsidR="00FA128E">
        <w:rPr>
          <w:rFonts w:cstheme="minorHAnsi"/>
        </w:rPr>
        <w:t>.</w:t>
      </w:r>
      <w:r w:rsidRPr="00CF15EC">
        <w:rPr>
          <w:rFonts w:cstheme="minorHAnsi"/>
        </w:rPr>
        <w:t xml:space="preserve">, </w:t>
      </w:r>
      <w:r w:rsidR="00FA128E">
        <w:rPr>
          <w:rFonts w:cstheme="minorHAnsi"/>
        </w:rPr>
        <w:t xml:space="preserve">and </w:t>
      </w:r>
      <w:r w:rsidRPr="00CF15EC">
        <w:rPr>
          <w:rFonts w:cstheme="minorHAnsi"/>
        </w:rPr>
        <w:t>Heinrichs</w:t>
      </w:r>
      <w:r w:rsidR="00FA128E">
        <w:rPr>
          <w:rFonts w:cstheme="minorHAnsi"/>
        </w:rPr>
        <w:t>,</w:t>
      </w:r>
      <w:r w:rsidRPr="00CF15EC">
        <w:rPr>
          <w:rFonts w:cstheme="minorHAnsi"/>
        </w:rPr>
        <w:t xml:space="preserve"> W.P. (eds</w:t>
      </w:r>
      <w:r w:rsidR="00205295">
        <w:rPr>
          <w:rFonts w:cstheme="minorHAnsi"/>
        </w:rPr>
        <w:t>.</w:t>
      </w:r>
      <w:r w:rsidRPr="00CF15EC">
        <w:rPr>
          <w:rFonts w:cstheme="minorHAnsi"/>
        </w:rPr>
        <w:t>)</w:t>
      </w:r>
      <w:r w:rsidR="00D35B8D">
        <w:rPr>
          <w:rFonts w:cstheme="minorHAnsi"/>
        </w:rPr>
        <w:t xml:space="preserve"> </w:t>
      </w:r>
      <w:r w:rsidR="00D35B8D" w:rsidRPr="000141EC">
        <w:rPr>
          <w:rFonts w:cstheme="minorHAnsi"/>
          <w:i/>
          <w:iCs/>
        </w:rPr>
        <w:t>Encyclopaedia of Islam,</w:t>
      </w:r>
      <w:r w:rsidR="00D35B8D" w:rsidRPr="00CF15EC">
        <w:rPr>
          <w:rFonts w:cstheme="minorHAnsi"/>
        </w:rPr>
        <w:t xml:space="preserve"> 2</w:t>
      </w:r>
      <w:r w:rsidR="00D35B8D" w:rsidRPr="00CF15EC">
        <w:rPr>
          <w:rFonts w:cstheme="minorHAnsi"/>
          <w:vertAlign w:val="superscript"/>
        </w:rPr>
        <w:t>nd</w:t>
      </w:r>
      <w:r w:rsidR="00D35B8D" w:rsidRPr="00CF15EC">
        <w:rPr>
          <w:rFonts w:cstheme="minorHAnsi"/>
        </w:rPr>
        <w:t xml:space="preserve"> </w:t>
      </w:r>
      <w:proofErr w:type="spellStart"/>
      <w:r w:rsidR="00D35B8D" w:rsidRPr="00CF15EC">
        <w:rPr>
          <w:rFonts w:cstheme="minorHAnsi"/>
        </w:rPr>
        <w:t>ed</w:t>
      </w:r>
      <w:r w:rsidR="00D35B8D">
        <w:rPr>
          <w:rFonts w:cstheme="minorHAnsi"/>
        </w:rPr>
        <w:t>n</w:t>
      </w:r>
      <w:proofErr w:type="spellEnd"/>
      <w:r w:rsidR="00D35B8D" w:rsidRPr="00CF15EC">
        <w:rPr>
          <w:rFonts w:cstheme="minorHAnsi"/>
        </w:rPr>
        <w:t>.</w:t>
      </w:r>
      <w:r w:rsidR="00D35B8D">
        <w:rPr>
          <w:rFonts w:cstheme="minorHAnsi"/>
        </w:rPr>
        <w:t xml:space="preserve"> Available at:</w:t>
      </w:r>
      <w:r w:rsidRPr="00CF15EC">
        <w:rPr>
          <w:rFonts w:cstheme="minorHAnsi"/>
        </w:rPr>
        <w:t xml:space="preserve"> </w:t>
      </w:r>
      <w:r w:rsidR="00F56B5E" w:rsidRPr="00F56B5E">
        <w:rPr>
          <w:rFonts w:cstheme="minorHAnsi"/>
        </w:rPr>
        <w:t>http://dx.doi.org/10.1163/1573-3912_islam_SIM_4705</w:t>
      </w:r>
      <w:r w:rsidR="00F56B5E">
        <w:rPr>
          <w:rFonts w:cstheme="minorHAnsi"/>
        </w:rPr>
        <w:t xml:space="preserve"> [Accessed 01/12/2019]</w:t>
      </w:r>
      <w:r w:rsidR="00FE1B17">
        <w:rPr>
          <w:rFonts w:cstheme="minorHAnsi"/>
        </w:rPr>
        <w:t xml:space="preserve">. </w:t>
      </w:r>
    </w:p>
    <w:p w14:paraId="1C733005" w14:textId="77777777" w:rsidR="008C1770" w:rsidRPr="00CF15EC" w:rsidRDefault="008C1770" w:rsidP="00A05224">
      <w:pPr>
        <w:ind w:hanging="720"/>
        <w:rPr>
          <w:rFonts w:cstheme="minorHAnsi"/>
        </w:rPr>
      </w:pPr>
      <w:r w:rsidRPr="00CF15EC">
        <w:rPr>
          <w:rFonts w:cstheme="minorHAnsi"/>
        </w:rPr>
        <w:t xml:space="preserve">Wilkinson, R. H. (2008) </w:t>
      </w:r>
      <w:r w:rsidRPr="00CF15EC">
        <w:rPr>
          <w:rFonts w:cstheme="minorHAnsi"/>
          <w:i/>
          <w:iCs/>
        </w:rPr>
        <w:t>Egyptology Today</w:t>
      </w:r>
      <w:r w:rsidRPr="00CF15EC">
        <w:rPr>
          <w:rFonts w:cstheme="minorHAnsi"/>
        </w:rPr>
        <w:t xml:space="preserve">. Cambridge: Cambridge University Press. </w:t>
      </w:r>
    </w:p>
    <w:p w14:paraId="0A060098" w14:textId="0D3AD463" w:rsidR="008C1770" w:rsidRPr="00CF15EC" w:rsidRDefault="008C1770" w:rsidP="00A05224">
      <w:pPr>
        <w:ind w:hanging="720"/>
        <w:rPr>
          <w:rFonts w:cstheme="minorHAnsi"/>
        </w:rPr>
      </w:pPr>
      <w:r w:rsidRPr="00CF15EC">
        <w:rPr>
          <w:rFonts w:cstheme="minorHAnsi"/>
        </w:rPr>
        <w:t xml:space="preserve">Wilson, J. T. (1938) ‘Sir Grafton Elliot Smith. 1871-1937’, </w:t>
      </w:r>
      <w:r w:rsidRPr="00F56B5E">
        <w:rPr>
          <w:rFonts w:cstheme="minorHAnsi"/>
          <w:i/>
          <w:iCs/>
        </w:rPr>
        <w:t>Obituary Notices of Fellows of the Royal Society</w:t>
      </w:r>
      <w:r w:rsidRPr="00CF15EC">
        <w:rPr>
          <w:rFonts w:cstheme="minorHAnsi"/>
        </w:rPr>
        <w:t>, 2(6), pp.322-333</w:t>
      </w:r>
      <w:r w:rsidR="004038D3">
        <w:rPr>
          <w:rFonts w:cstheme="minorHAnsi"/>
        </w:rPr>
        <w:t xml:space="preserve">. Available at: </w:t>
      </w:r>
      <w:r w:rsidRPr="00A9121A">
        <w:rPr>
          <w:rFonts w:cstheme="minorHAnsi"/>
        </w:rPr>
        <w:t>https://www.jstor.org/stable/769069?seq=1#metadata_info_tab_contents</w:t>
      </w:r>
      <w:r w:rsidRPr="00CF15EC">
        <w:rPr>
          <w:rFonts w:cstheme="minorHAnsi"/>
        </w:rPr>
        <w:t xml:space="preserve"> [Accessed 22/01/</w:t>
      </w:r>
      <w:r w:rsidR="00F56B5E">
        <w:rPr>
          <w:rFonts w:cstheme="minorHAnsi"/>
        </w:rPr>
        <w:t>20</w:t>
      </w:r>
      <w:r w:rsidRPr="00CF15EC">
        <w:rPr>
          <w:rFonts w:cstheme="minorHAnsi"/>
        </w:rPr>
        <w:t>20]</w:t>
      </w:r>
      <w:r w:rsidR="004038D3">
        <w:rPr>
          <w:rFonts w:cstheme="minorHAnsi"/>
        </w:rPr>
        <w:t>.</w:t>
      </w:r>
    </w:p>
    <w:p w14:paraId="2351735B" w14:textId="0808C386" w:rsidR="008C1770" w:rsidRPr="00CF15EC" w:rsidRDefault="008C1770" w:rsidP="00A05224">
      <w:pPr>
        <w:ind w:hanging="720"/>
      </w:pPr>
      <w:r w:rsidRPr="00CF15EC">
        <w:t xml:space="preserve">Wood, M. (1998) ‘The Use of the Pharaonic Past in Modern Egyptian Nationalism’, </w:t>
      </w:r>
      <w:r w:rsidRPr="00CF15EC">
        <w:rPr>
          <w:i/>
          <w:iCs/>
        </w:rPr>
        <w:t xml:space="preserve">Journal of the American Research </w:t>
      </w:r>
      <w:r w:rsidR="004038D3" w:rsidRPr="00CF15EC">
        <w:rPr>
          <w:i/>
          <w:iCs/>
        </w:rPr>
        <w:t>Centre</w:t>
      </w:r>
      <w:r w:rsidRPr="00CF15EC">
        <w:rPr>
          <w:i/>
          <w:iCs/>
        </w:rPr>
        <w:t xml:space="preserve"> in Egypt, </w:t>
      </w:r>
      <w:r w:rsidRPr="00CF15EC">
        <w:t>35, pp. 179-196</w:t>
      </w:r>
      <w:r w:rsidR="004038D3">
        <w:t xml:space="preserve">. Available at: </w:t>
      </w:r>
      <w:r w:rsidRPr="00A9121A">
        <w:t>https://www.jstor.org/stable/40000469#metadata_info_tab_contents</w:t>
      </w:r>
      <w:r w:rsidRPr="00CF15EC">
        <w:t>, [Accessed 27/07/2019]</w:t>
      </w:r>
      <w:r w:rsidR="004038D3">
        <w:t>.</w:t>
      </w:r>
    </w:p>
    <w:p w14:paraId="06C31D03" w14:textId="2D0F31B4" w:rsidR="008C1770" w:rsidRPr="00CF15EC" w:rsidRDefault="008C1770" w:rsidP="00A05224">
      <w:pPr>
        <w:ind w:hanging="720"/>
      </w:pPr>
      <w:r w:rsidRPr="00CF15EC">
        <w:t xml:space="preserve">Woodward, D. R. (2011) </w:t>
      </w:r>
      <w:r w:rsidRPr="00F56B5E">
        <w:rPr>
          <w:i/>
          <w:iCs/>
        </w:rPr>
        <w:t>The Middle East during World War one</w:t>
      </w:r>
      <w:r w:rsidRPr="00CF15EC">
        <w:t xml:space="preserve">. Available at: </w:t>
      </w:r>
      <w:r w:rsidRPr="00A9121A">
        <w:t>http://www.bbc.co.uk/history/worldwars/wwone/middle_east_01.shtml</w:t>
      </w:r>
      <w:r w:rsidRPr="00CF15EC">
        <w:t xml:space="preserve"> [Accessed 28/01/</w:t>
      </w:r>
      <w:r w:rsidR="00F56B5E">
        <w:t>20</w:t>
      </w:r>
      <w:r w:rsidRPr="00CF15EC">
        <w:t>20]</w:t>
      </w:r>
      <w:r w:rsidR="0017213F">
        <w:t>.</w:t>
      </w:r>
    </w:p>
    <w:p w14:paraId="063CC35A" w14:textId="3AF27FC9" w:rsidR="008C1770" w:rsidRDefault="008C1770" w:rsidP="00A05224">
      <w:pPr>
        <w:ind w:hanging="720"/>
      </w:pPr>
      <w:r w:rsidRPr="00CF15EC">
        <w:t xml:space="preserve">World Archaeology. (2008) </w:t>
      </w:r>
      <w:r w:rsidRPr="00F56B5E">
        <w:rPr>
          <w:i/>
          <w:iCs/>
        </w:rPr>
        <w:t>Tutankhamun: Exhibition</w:t>
      </w:r>
      <w:r w:rsidRPr="00CF15EC">
        <w:t xml:space="preserve">. Available at: </w:t>
      </w:r>
      <w:r w:rsidRPr="00A9121A">
        <w:t>https://www.world-archaeology.com/world/africa/egypt/tutankhamun-exhibition/</w:t>
      </w:r>
      <w:r w:rsidRPr="00CF15EC">
        <w:t xml:space="preserve"> [Accessed 08/12/</w:t>
      </w:r>
      <w:r w:rsidR="00F56B5E">
        <w:t>20</w:t>
      </w:r>
      <w:r w:rsidRPr="00CF15EC">
        <w:t>19]</w:t>
      </w:r>
      <w:r w:rsidR="0017213F">
        <w:t>.</w:t>
      </w:r>
    </w:p>
    <w:p w14:paraId="641EFD34" w14:textId="0745BC44" w:rsidR="008C1770" w:rsidRDefault="008C1770" w:rsidP="008C1770"/>
    <w:p w14:paraId="19543F2B" w14:textId="0BFEC50E" w:rsidR="008C1770" w:rsidRDefault="008C1770" w:rsidP="008C1770"/>
    <w:p w14:paraId="47DA680D" w14:textId="20D69CE2" w:rsidR="008C1770" w:rsidRDefault="008C1770" w:rsidP="008C1770"/>
    <w:p w14:paraId="644D3BA1" w14:textId="01F56BCE" w:rsidR="008C1770" w:rsidRDefault="008C1770" w:rsidP="008C1770"/>
    <w:p w14:paraId="3F3568EC" w14:textId="7F06EA38" w:rsidR="008C1770" w:rsidRDefault="008C1770" w:rsidP="008C1770"/>
    <w:p w14:paraId="62D67A70" w14:textId="04AF2D2E" w:rsidR="0017213F" w:rsidRDefault="0017213F" w:rsidP="0017213F"/>
    <w:p w14:paraId="4F64F5AF" w14:textId="77777777" w:rsidR="00025F2E" w:rsidRDefault="00025F2E" w:rsidP="0017213F"/>
    <w:p w14:paraId="236A5707" w14:textId="77777777" w:rsidR="009C7623" w:rsidRDefault="009C7623" w:rsidP="0017213F"/>
    <w:p w14:paraId="59B42752" w14:textId="2D925BBF" w:rsidR="008C1770" w:rsidRPr="005A4486" w:rsidRDefault="008C1770" w:rsidP="0017213F">
      <w:pPr>
        <w:jc w:val="center"/>
        <w:rPr>
          <w:b/>
          <w:bCs/>
          <w:sz w:val="28"/>
          <w:szCs w:val="28"/>
          <w:u w:val="single"/>
        </w:rPr>
      </w:pPr>
      <w:r w:rsidRPr="005A4486">
        <w:rPr>
          <w:b/>
          <w:bCs/>
          <w:sz w:val="28"/>
          <w:szCs w:val="28"/>
          <w:u w:val="single"/>
        </w:rPr>
        <w:lastRenderedPageBreak/>
        <w:t>Bibliography</w:t>
      </w:r>
    </w:p>
    <w:p w14:paraId="6F556D1F" w14:textId="39BECD45" w:rsidR="008C1770" w:rsidRDefault="008C1770" w:rsidP="00A05224">
      <w:pPr>
        <w:ind w:hanging="720"/>
      </w:pPr>
      <w:proofErr w:type="spellStart"/>
      <w:r>
        <w:t>Addley</w:t>
      </w:r>
      <w:proofErr w:type="spellEnd"/>
      <w:r>
        <w:t xml:space="preserve">, E. (2019) ‘Tutankhamun’s glitzy farewell tour a timely promotion for Egypt’, </w:t>
      </w:r>
      <w:r w:rsidRPr="00134FF0">
        <w:rPr>
          <w:i/>
          <w:iCs/>
        </w:rPr>
        <w:t>The Guardian</w:t>
      </w:r>
      <w:r>
        <w:t>, 1</w:t>
      </w:r>
      <w:r w:rsidRPr="002503C7">
        <w:rPr>
          <w:vertAlign w:val="superscript"/>
        </w:rPr>
        <w:t>st</w:t>
      </w:r>
      <w:r>
        <w:t xml:space="preserve"> November, P.13</w:t>
      </w:r>
      <w:r w:rsidR="00D10EC1">
        <w:t>.</w:t>
      </w:r>
    </w:p>
    <w:p w14:paraId="3B483386" w14:textId="67D5B268" w:rsidR="008C1770" w:rsidRDefault="008C1770" w:rsidP="00A05224">
      <w:pPr>
        <w:ind w:hanging="720"/>
      </w:pPr>
      <w:r>
        <w:t xml:space="preserve">Ancient Egypt Online. (N.D) </w:t>
      </w:r>
      <w:r w:rsidRPr="00733BAD">
        <w:rPr>
          <w:i/>
          <w:iCs/>
        </w:rPr>
        <w:t>Ancient Egypt Maps</w:t>
      </w:r>
      <w:r>
        <w:t xml:space="preserve">. Available at: </w:t>
      </w:r>
      <w:r w:rsidRPr="00A9121A">
        <w:t>https://www.ancient-egypt-online.com/ancient-egypt-maps.html</w:t>
      </w:r>
      <w:r>
        <w:t xml:space="preserve"> [Accessed 28/01/</w:t>
      </w:r>
      <w:r w:rsidR="00733BAD">
        <w:t>20</w:t>
      </w:r>
      <w:r>
        <w:t>20]</w:t>
      </w:r>
      <w:r w:rsidR="00D10EC1">
        <w:t>.</w:t>
      </w:r>
    </w:p>
    <w:p w14:paraId="5BED7FDC" w14:textId="427B8B4A" w:rsidR="008C1770" w:rsidRPr="00141743" w:rsidRDefault="008C1770" w:rsidP="00A05224">
      <w:pPr>
        <w:ind w:hanging="720"/>
      </w:pPr>
      <w:r w:rsidRPr="00141743">
        <w:t xml:space="preserve">Anon. (2019) </w:t>
      </w:r>
      <w:r w:rsidRPr="00141743">
        <w:rPr>
          <w:i/>
          <w:iCs/>
        </w:rPr>
        <w:t xml:space="preserve">Behind the scenes as largest ever Tutankhamun exhibition moves to London. </w:t>
      </w:r>
      <w:r w:rsidRPr="00141743">
        <w:t xml:space="preserve">Available at: </w:t>
      </w:r>
      <w:r w:rsidRPr="00A9121A">
        <w:t>http://home.bt.com/news/behind-the-scenes-as-largest-ever-tutankhamun-exhibition-moves-to-london-91364399327709?playlistVideoId=6091137187001&amp;utm_campaign=139799_Extended%20Hours%20Announced%21&amp;utm_medium=email&amp;utm_source=Tutankhamun%20London&amp;dm_i=55SU,2ZVB,M0FAH,AUSB,1</w:t>
      </w:r>
      <w:r w:rsidRPr="00141743">
        <w:t xml:space="preserve"> [Accessed: 04/10/2019].</w:t>
      </w:r>
    </w:p>
    <w:p w14:paraId="414EEF24" w14:textId="77777777" w:rsidR="008C1770" w:rsidRPr="00141743" w:rsidRDefault="008C1770" w:rsidP="00A05224">
      <w:pPr>
        <w:ind w:hanging="720"/>
      </w:pPr>
      <w:r w:rsidRPr="00141743">
        <w:t xml:space="preserve">Arakaki, J. S. (1986) </w:t>
      </w:r>
      <w:r w:rsidRPr="00141743">
        <w:rPr>
          <w:i/>
          <w:iCs/>
        </w:rPr>
        <w:t xml:space="preserve">The Glint of Gold: Press Coverage of the Discovery of Tutankhamun’s Tomb. </w:t>
      </w:r>
      <w:r w:rsidRPr="00141743">
        <w:t>Unpublished PhD thesis, University of Redlands.</w:t>
      </w:r>
    </w:p>
    <w:p w14:paraId="0C391837" w14:textId="2C1E1DBE" w:rsidR="008C1770" w:rsidRDefault="008C1770" w:rsidP="00A05224">
      <w:pPr>
        <w:ind w:hanging="720"/>
      </w:pPr>
      <w:proofErr w:type="spellStart"/>
      <w:r>
        <w:t>Augustyn</w:t>
      </w:r>
      <w:proofErr w:type="spellEnd"/>
      <w:r>
        <w:t xml:space="preserve">, A. (2019) </w:t>
      </w:r>
      <w:r w:rsidRPr="00733BAD">
        <w:rPr>
          <w:i/>
          <w:iCs/>
        </w:rPr>
        <w:t>Herodotus</w:t>
      </w:r>
      <w:r>
        <w:t xml:space="preserve">. Available at: </w:t>
      </w:r>
      <w:r w:rsidRPr="00A9121A">
        <w:t>https://www.britannica.com/biography/Herodotus-Greek-historian</w:t>
      </w:r>
      <w:r>
        <w:t xml:space="preserve"> [Accessed: 01/12/</w:t>
      </w:r>
      <w:r w:rsidR="00733BAD">
        <w:t>20</w:t>
      </w:r>
      <w:r>
        <w:t>19]</w:t>
      </w:r>
      <w:r w:rsidR="00D04D46">
        <w:t>.</w:t>
      </w:r>
    </w:p>
    <w:p w14:paraId="0562AB2F" w14:textId="77777777" w:rsidR="008C1770" w:rsidRPr="00557BF0" w:rsidRDefault="008C1770" w:rsidP="00A05224">
      <w:pPr>
        <w:ind w:hanging="720"/>
      </w:pPr>
      <w:r w:rsidRPr="00141743">
        <w:t xml:space="preserve">Bell, T. (2010) </w:t>
      </w:r>
      <w:r w:rsidRPr="00141743">
        <w:rPr>
          <w:i/>
          <w:iCs/>
        </w:rPr>
        <w:t>The Western Perception of Ancient Egypt: The Discovery, Spectacle and Exposition of King Tutankhamun</w:t>
      </w:r>
      <w:r w:rsidRPr="00141743">
        <w:t>. Unpublished PhD thesis, Newman University.</w:t>
      </w:r>
    </w:p>
    <w:p w14:paraId="354DDC34" w14:textId="12BDE127" w:rsidR="008C1770" w:rsidRPr="00141743" w:rsidRDefault="008C1770" w:rsidP="00A05224">
      <w:pPr>
        <w:ind w:hanging="720"/>
      </w:pPr>
      <w:r w:rsidRPr="00141743">
        <w:t xml:space="preserve">Brewer, D. J. </w:t>
      </w:r>
      <w:r w:rsidR="00A245AE">
        <w:t>and</w:t>
      </w:r>
      <w:r w:rsidRPr="00141743">
        <w:t xml:space="preserve"> Teeter, E. (2007) </w:t>
      </w:r>
      <w:r w:rsidRPr="00141743">
        <w:rPr>
          <w:i/>
          <w:iCs/>
        </w:rPr>
        <w:t>Egypt and the Egyptians.</w:t>
      </w:r>
      <w:r w:rsidRPr="00141743">
        <w:t xml:space="preserve"> 2</w:t>
      </w:r>
      <w:r w:rsidRPr="00141743">
        <w:rPr>
          <w:vertAlign w:val="superscript"/>
        </w:rPr>
        <w:t>nd</w:t>
      </w:r>
      <w:r w:rsidRPr="00141743">
        <w:t xml:space="preserve"> </w:t>
      </w:r>
      <w:proofErr w:type="spellStart"/>
      <w:r w:rsidRPr="00141743">
        <w:t>ed</w:t>
      </w:r>
      <w:r w:rsidR="00D04D46">
        <w:t>n</w:t>
      </w:r>
      <w:proofErr w:type="spellEnd"/>
      <w:r w:rsidRPr="00141743">
        <w:t xml:space="preserve">. Cambridge: Cambridge University Press. </w:t>
      </w:r>
    </w:p>
    <w:p w14:paraId="07057E3A" w14:textId="1A59C244" w:rsidR="008C1770" w:rsidRDefault="008C1770" w:rsidP="00A05224">
      <w:pPr>
        <w:ind w:hanging="720"/>
      </w:pPr>
      <w:r w:rsidRPr="00141743">
        <w:t xml:space="preserve">Brier, B. (2013) </w:t>
      </w:r>
      <w:r w:rsidRPr="00141743">
        <w:rPr>
          <w:i/>
          <w:iCs/>
        </w:rPr>
        <w:t>Egypt-</w:t>
      </w:r>
      <w:proofErr w:type="spellStart"/>
      <w:r w:rsidRPr="00141743">
        <w:rPr>
          <w:i/>
          <w:iCs/>
        </w:rPr>
        <w:t>omaina</w:t>
      </w:r>
      <w:proofErr w:type="spellEnd"/>
      <w:r w:rsidRPr="00141743">
        <w:rPr>
          <w:i/>
          <w:iCs/>
        </w:rPr>
        <w:t xml:space="preserve">: our </w:t>
      </w:r>
      <w:proofErr w:type="gramStart"/>
      <w:r w:rsidRPr="00141743">
        <w:rPr>
          <w:i/>
          <w:iCs/>
        </w:rPr>
        <w:t>three thousand year</w:t>
      </w:r>
      <w:proofErr w:type="gramEnd"/>
      <w:r w:rsidRPr="00141743">
        <w:rPr>
          <w:i/>
          <w:iCs/>
        </w:rPr>
        <w:t xml:space="preserve"> obsession with the land of the pharaohs.</w:t>
      </w:r>
      <w:r w:rsidRPr="00141743">
        <w:t xml:space="preserve"> 1</w:t>
      </w:r>
      <w:r w:rsidRPr="00141743">
        <w:rPr>
          <w:vertAlign w:val="superscript"/>
        </w:rPr>
        <w:t>st</w:t>
      </w:r>
      <w:r w:rsidRPr="00141743">
        <w:t xml:space="preserve"> </w:t>
      </w:r>
      <w:proofErr w:type="spellStart"/>
      <w:r w:rsidRPr="00141743">
        <w:t>ed</w:t>
      </w:r>
      <w:r w:rsidR="00D04D46">
        <w:t>n</w:t>
      </w:r>
      <w:proofErr w:type="spellEnd"/>
      <w:r w:rsidRPr="00141743">
        <w:t xml:space="preserve">. New York: Palgrave Macmillan. </w:t>
      </w:r>
    </w:p>
    <w:p w14:paraId="78C8278C" w14:textId="77777777" w:rsidR="008C1770" w:rsidRPr="000C4348" w:rsidRDefault="008C1770" w:rsidP="00A05224">
      <w:pPr>
        <w:ind w:hanging="720"/>
      </w:pPr>
      <w:r>
        <w:t xml:space="preserve">Carter, H. (1927) </w:t>
      </w:r>
      <w:r>
        <w:rPr>
          <w:i/>
          <w:iCs/>
        </w:rPr>
        <w:t xml:space="preserve">The Tomb of </w:t>
      </w:r>
      <w:proofErr w:type="spellStart"/>
      <w:proofErr w:type="gramStart"/>
      <w:r>
        <w:rPr>
          <w:i/>
          <w:iCs/>
        </w:rPr>
        <w:t>Tut.Ankh.Amen</w:t>
      </w:r>
      <w:proofErr w:type="spellEnd"/>
      <w:proofErr w:type="gramEnd"/>
      <w:r>
        <w:rPr>
          <w:i/>
          <w:iCs/>
        </w:rPr>
        <w:t xml:space="preserve">. </w:t>
      </w:r>
      <w:r>
        <w:t>Volume two. Great Britain: Cassell and Company Ltd.</w:t>
      </w:r>
    </w:p>
    <w:p w14:paraId="31A213B5" w14:textId="77777777" w:rsidR="008C1770" w:rsidRDefault="008C1770" w:rsidP="00A05224">
      <w:pPr>
        <w:ind w:hanging="720"/>
      </w:pPr>
      <w:r>
        <w:t xml:space="preserve">Carter, H. (1933) </w:t>
      </w:r>
      <w:r>
        <w:rPr>
          <w:i/>
          <w:iCs/>
        </w:rPr>
        <w:t xml:space="preserve">The Tomb of </w:t>
      </w:r>
      <w:proofErr w:type="spellStart"/>
      <w:proofErr w:type="gramStart"/>
      <w:r>
        <w:rPr>
          <w:i/>
          <w:iCs/>
        </w:rPr>
        <w:t>Tut.Ankh.Amen</w:t>
      </w:r>
      <w:proofErr w:type="spellEnd"/>
      <w:proofErr w:type="gramEnd"/>
      <w:r>
        <w:rPr>
          <w:i/>
          <w:iCs/>
        </w:rPr>
        <w:t xml:space="preserve">. </w:t>
      </w:r>
      <w:r w:rsidRPr="00577E1C">
        <w:t xml:space="preserve">Volume three. Frome and London: </w:t>
      </w:r>
      <w:proofErr w:type="spellStart"/>
      <w:r w:rsidRPr="00577E1C">
        <w:t>Bulter</w:t>
      </w:r>
      <w:proofErr w:type="spellEnd"/>
      <w:r w:rsidRPr="00577E1C">
        <w:t xml:space="preserve"> and Tanner Ltd.</w:t>
      </w:r>
    </w:p>
    <w:p w14:paraId="31DAC552" w14:textId="77777777" w:rsidR="008C1770" w:rsidRDefault="008C1770" w:rsidP="00A05224">
      <w:pPr>
        <w:ind w:hanging="720"/>
      </w:pPr>
      <w:r>
        <w:t xml:space="preserve">Carter, H. and Mace. A. C. (1923) </w:t>
      </w:r>
      <w:r>
        <w:rPr>
          <w:i/>
          <w:iCs/>
        </w:rPr>
        <w:t xml:space="preserve">The Tomb of </w:t>
      </w:r>
      <w:proofErr w:type="spellStart"/>
      <w:proofErr w:type="gramStart"/>
      <w:r>
        <w:rPr>
          <w:i/>
          <w:iCs/>
        </w:rPr>
        <w:t>Tut.Ankh.Amen</w:t>
      </w:r>
      <w:proofErr w:type="spellEnd"/>
      <w:proofErr w:type="gramEnd"/>
      <w:r>
        <w:rPr>
          <w:i/>
          <w:iCs/>
        </w:rPr>
        <w:t xml:space="preserve">. </w:t>
      </w:r>
      <w:r>
        <w:t xml:space="preserve">Volume one. Norwich: </w:t>
      </w:r>
      <w:proofErr w:type="spellStart"/>
      <w:r>
        <w:t>Jarrold</w:t>
      </w:r>
      <w:proofErr w:type="spellEnd"/>
      <w:r>
        <w:t xml:space="preserve"> and Sons Ltd.</w:t>
      </w:r>
    </w:p>
    <w:p w14:paraId="30D0A7F7" w14:textId="77777777" w:rsidR="008C1770" w:rsidRPr="00BB2504" w:rsidRDefault="008C1770" w:rsidP="00A05224">
      <w:pPr>
        <w:ind w:hanging="720"/>
      </w:pPr>
      <w:r>
        <w:t xml:space="preserve">Clayton, P. A. (1994) </w:t>
      </w:r>
      <w:r>
        <w:rPr>
          <w:i/>
          <w:iCs/>
        </w:rPr>
        <w:t xml:space="preserve">Chronicle of the Pharaohs: the reign-by-reign record of the rulers and dynasties of ancient Egypt. </w:t>
      </w:r>
      <w:r>
        <w:t xml:space="preserve">London: BCA. </w:t>
      </w:r>
    </w:p>
    <w:p w14:paraId="4FC88C04" w14:textId="77777777" w:rsidR="008C1770" w:rsidRPr="00141743" w:rsidRDefault="008C1770" w:rsidP="00A05224">
      <w:pPr>
        <w:ind w:hanging="720"/>
      </w:pPr>
      <w:proofErr w:type="spellStart"/>
      <w:r w:rsidRPr="00141743">
        <w:t>Colla</w:t>
      </w:r>
      <w:proofErr w:type="spellEnd"/>
      <w:r w:rsidRPr="00141743">
        <w:t xml:space="preserve">, E. (2007) </w:t>
      </w:r>
      <w:r w:rsidRPr="00141743">
        <w:rPr>
          <w:i/>
          <w:iCs/>
        </w:rPr>
        <w:t xml:space="preserve">Conflicted Antiquities Egyptology, Egyptomania, Egyptian Modernity. </w:t>
      </w:r>
      <w:r w:rsidRPr="00141743">
        <w:t xml:space="preserve">Durham and London: Duke University Press. </w:t>
      </w:r>
    </w:p>
    <w:p w14:paraId="5BB054C3" w14:textId="4ADF25D8" w:rsidR="008C1770" w:rsidRDefault="008C1770" w:rsidP="00A05224">
      <w:pPr>
        <w:ind w:hanging="720"/>
      </w:pPr>
      <w:r w:rsidRPr="00141743">
        <w:t xml:space="preserve">Collins, P. </w:t>
      </w:r>
      <w:r w:rsidR="00211F47">
        <w:t>and</w:t>
      </w:r>
      <w:r w:rsidRPr="00141743">
        <w:t xml:space="preserve"> McNamara, L. (2014) </w:t>
      </w:r>
      <w:r w:rsidRPr="00141743">
        <w:rPr>
          <w:i/>
          <w:iCs/>
        </w:rPr>
        <w:t>Discovering Tutankhamun</w:t>
      </w:r>
      <w:r w:rsidRPr="00141743">
        <w:t xml:space="preserve">. Oxford: Ashmolean Museum, University of Oxford. </w:t>
      </w:r>
    </w:p>
    <w:p w14:paraId="16B0987B" w14:textId="56C2C216" w:rsidR="008C1770" w:rsidRDefault="008C1770" w:rsidP="00A05224">
      <w:pPr>
        <w:ind w:hanging="720"/>
      </w:pPr>
      <w:r>
        <w:t xml:space="preserve">Connolly, K. (2009) </w:t>
      </w:r>
      <w:r w:rsidRPr="00086878">
        <w:rPr>
          <w:i/>
          <w:iCs/>
        </w:rPr>
        <w:t>Is this Nefertiti- or a 100-year-old fake?</w:t>
      </w:r>
      <w:r>
        <w:t xml:space="preserve"> Available at: </w:t>
      </w:r>
      <w:r w:rsidRPr="00A9121A">
        <w:t>https://www.theguardian.com/artanddesign/2009/may/07/nefertiti-bust-berlin-egypt-authenticity</w:t>
      </w:r>
      <w:r>
        <w:t xml:space="preserve"> [Accessed: 01/12/</w:t>
      </w:r>
      <w:r w:rsidR="00086878">
        <w:t>20</w:t>
      </w:r>
      <w:r>
        <w:t>19]</w:t>
      </w:r>
      <w:r w:rsidR="00F54077">
        <w:t>.</w:t>
      </w:r>
    </w:p>
    <w:p w14:paraId="0FD65FC8" w14:textId="245CD722" w:rsidR="008C1770" w:rsidRPr="00141743" w:rsidRDefault="008C1770" w:rsidP="00A05224">
      <w:pPr>
        <w:ind w:hanging="720"/>
      </w:pPr>
      <w:r>
        <w:t>Daly</w:t>
      </w:r>
      <w:r w:rsidR="00F54077">
        <w:t>,</w:t>
      </w:r>
      <w:r>
        <w:t xml:space="preserve"> M. W. and </w:t>
      </w:r>
      <w:r w:rsidR="00F54077">
        <w:t xml:space="preserve">Petry, </w:t>
      </w:r>
      <w:r w:rsidR="00911DE9">
        <w:t>C. F.</w:t>
      </w:r>
      <w:r>
        <w:t xml:space="preserve"> (1998</w:t>
      </w:r>
      <w:r w:rsidRPr="00E77A31">
        <w:rPr>
          <w:i/>
          <w:iCs/>
        </w:rPr>
        <w:t>) The Cambridge History of Egypt</w:t>
      </w:r>
      <w:r>
        <w:t xml:space="preserve">. Cambridge: Cambridge University Press. </w:t>
      </w:r>
    </w:p>
    <w:p w14:paraId="2E253EDE" w14:textId="77777777" w:rsidR="008C1770" w:rsidRPr="00141743" w:rsidRDefault="008C1770" w:rsidP="00A05224">
      <w:pPr>
        <w:ind w:hanging="720"/>
      </w:pPr>
      <w:r w:rsidRPr="00141743">
        <w:t xml:space="preserve">Danton, W. (2019) </w:t>
      </w:r>
      <w:proofErr w:type="spellStart"/>
      <w:r w:rsidRPr="00141743">
        <w:rPr>
          <w:i/>
          <w:iCs/>
        </w:rPr>
        <w:t>Tutmaina</w:t>
      </w:r>
      <w:proofErr w:type="spellEnd"/>
      <w:r w:rsidRPr="00141743">
        <w:rPr>
          <w:i/>
          <w:iCs/>
        </w:rPr>
        <w:t xml:space="preserve">: An Exploration of Western Portrayals of King Tutankhamun and Orientalism in Egypt. </w:t>
      </w:r>
      <w:r w:rsidRPr="00141743">
        <w:t>Unpublished PhD thesis, University of Puget Sound.</w:t>
      </w:r>
    </w:p>
    <w:p w14:paraId="65E9A1DD" w14:textId="348ACB47" w:rsidR="008C1770" w:rsidRDefault="008C1770" w:rsidP="00A05224">
      <w:pPr>
        <w:ind w:hanging="720"/>
      </w:pPr>
      <w:proofErr w:type="spellStart"/>
      <w:r w:rsidRPr="00141743">
        <w:t>Desroches-Noblecourt</w:t>
      </w:r>
      <w:proofErr w:type="spellEnd"/>
      <w:r w:rsidRPr="00141743">
        <w:t xml:space="preserve">, C. (1963) </w:t>
      </w:r>
      <w:r w:rsidRPr="00141743">
        <w:rPr>
          <w:i/>
          <w:iCs/>
        </w:rPr>
        <w:t>Tutankhamen: life and death of a pharaoh</w:t>
      </w:r>
      <w:r w:rsidRPr="00141743">
        <w:t>. London: Connoisseur and Michael Joseph Ltd.</w:t>
      </w:r>
    </w:p>
    <w:p w14:paraId="4BA52F25" w14:textId="1A308D78" w:rsidR="00494B67" w:rsidRPr="00141743" w:rsidRDefault="00494B67" w:rsidP="00494B67">
      <w:pPr>
        <w:ind w:hanging="720"/>
      </w:pPr>
      <w:r>
        <w:lastRenderedPageBreak/>
        <w:t xml:space="preserve">Dodson, A. (2009) </w:t>
      </w:r>
      <w:r w:rsidRPr="0094185B">
        <w:rPr>
          <w:i/>
          <w:iCs/>
        </w:rPr>
        <w:t xml:space="preserve">Amarna Sunset. Nefertiti, Tutankhamun, Ay, </w:t>
      </w:r>
      <w:proofErr w:type="spellStart"/>
      <w:r w:rsidRPr="0094185B">
        <w:rPr>
          <w:i/>
          <w:iCs/>
        </w:rPr>
        <w:t>Horemheb</w:t>
      </w:r>
      <w:proofErr w:type="spellEnd"/>
      <w:r w:rsidRPr="0094185B">
        <w:rPr>
          <w:i/>
          <w:iCs/>
        </w:rPr>
        <w:t>, and the Egyptian Counter-Reformation.</w:t>
      </w:r>
      <w:r>
        <w:rPr>
          <w:i/>
          <w:iCs/>
        </w:rPr>
        <w:t xml:space="preserve"> </w:t>
      </w:r>
      <w:r w:rsidRPr="0062184D">
        <w:t>Cairo and New York</w:t>
      </w:r>
      <w:r>
        <w:rPr>
          <w:i/>
          <w:iCs/>
        </w:rPr>
        <w:t xml:space="preserve">: </w:t>
      </w:r>
      <w:r>
        <w:t>The American University in Cairo Press</w:t>
      </w:r>
      <w:r w:rsidR="00911DE9">
        <w:t>.</w:t>
      </w:r>
    </w:p>
    <w:p w14:paraId="4EF3859C" w14:textId="08E354E8" w:rsidR="008C1770" w:rsidRPr="00074050" w:rsidRDefault="008C1770" w:rsidP="00A05224">
      <w:pPr>
        <w:ind w:hanging="720"/>
      </w:pPr>
      <w:r>
        <w:t xml:space="preserve">Dowson, T. (2019) </w:t>
      </w:r>
      <w:r w:rsidRPr="00086878">
        <w:rPr>
          <w:i/>
          <w:iCs/>
        </w:rPr>
        <w:t>Tutankhamun: Treasures of the Golden Pharaoh 2019 – 2021</w:t>
      </w:r>
      <w:r>
        <w:t>. Available at</w:t>
      </w:r>
      <w:r w:rsidR="00911DE9">
        <w:t xml:space="preserve">: </w:t>
      </w:r>
      <w:r w:rsidRPr="00A9121A">
        <w:t>https://archaeology-travel.com/exhibitions/tutankhamun-treasures-of-the-golden-pharaoh/</w:t>
      </w:r>
      <w:r>
        <w:t xml:space="preserve"> [Accessed 16/12/2019]</w:t>
      </w:r>
      <w:r w:rsidR="00911DE9">
        <w:t>.</w:t>
      </w:r>
    </w:p>
    <w:p w14:paraId="6F5981D8" w14:textId="10732579" w:rsidR="008C1770" w:rsidRPr="00141743" w:rsidRDefault="008C1770" w:rsidP="00A05224">
      <w:pPr>
        <w:ind w:hanging="720"/>
      </w:pPr>
      <w:r w:rsidRPr="00141743">
        <w:t>Doyle, N. (2016) ‘The Earliest Known Uses of “</w:t>
      </w:r>
      <w:proofErr w:type="spellStart"/>
      <w:r w:rsidRPr="00141743">
        <w:t>L’Egyptomanie</w:t>
      </w:r>
      <w:proofErr w:type="spellEnd"/>
      <w:r w:rsidRPr="00141743">
        <w:t>”</w:t>
      </w:r>
      <w:proofErr w:type="gramStart"/>
      <w:r w:rsidRPr="00141743">
        <w:t>/”Egyptomania</w:t>
      </w:r>
      <w:proofErr w:type="gramEnd"/>
      <w:r w:rsidRPr="00141743">
        <w:t xml:space="preserve">” in French and English’, </w:t>
      </w:r>
      <w:r w:rsidRPr="00141743">
        <w:rPr>
          <w:i/>
          <w:iCs/>
        </w:rPr>
        <w:t xml:space="preserve">Journal of Ancient Egyptian Interconnections, </w:t>
      </w:r>
      <w:r w:rsidRPr="00141743">
        <w:t xml:space="preserve">8, pp. 122-125. </w:t>
      </w:r>
      <w:r w:rsidRPr="00A9121A">
        <w:t>http://jaei.library.arizona.edu/</w:t>
      </w:r>
      <w:r w:rsidRPr="00141743">
        <w:t xml:space="preserve"> [Accessed 18/06/2019].</w:t>
      </w:r>
    </w:p>
    <w:p w14:paraId="57D722F2" w14:textId="25DFA96B" w:rsidR="008C1770" w:rsidRDefault="008C1770" w:rsidP="00A05224">
      <w:pPr>
        <w:ind w:hanging="720"/>
      </w:pPr>
      <w:r>
        <w:t xml:space="preserve">Eaton-Krauss, M. (2016) </w:t>
      </w:r>
      <w:r w:rsidRPr="00086878">
        <w:rPr>
          <w:i/>
          <w:iCs/>
        </w:rPr>
        <w:t>The Unknown Tutankhamun</w:t>
      </w:r>
      <w:r>
        <w:t>. London; New York: Bloomsbury Academic</w:t>
      </w:r>
      <w:r w:rsidR="00911DE9">
        <w:t>.</w:t>
      </w:r>
    </w:p>
    <w:p w14:paraId="32146FC6" w14:textId="2C713DE4" w:rsidR="005E0442" w:rsidRDefault="005E0442" w:rsidP="00A05224">
      <w:pPr>
        <w:ind w:hanging="720"/>
      </w:pPr>
      <w:r w:rsidRPr="005E0442">
        <w:t xml:space="preserve">El-Akkad, T. (2017) ‘The Decline of Cairo Under the Ottomans’, </w:t>
      </w:r>
      <w:r w:rsidRPr="005E0442">
        <w:rPr>
          <w:i/>
          <w:iCs/>
        </w:rPr>
        <w:t>Art of the Orient</w:t>
      </w:r>
      <w:r w:rsidRPr="005E0442">
        <w:t>, 6. pp.76-86. Available at: https://crossasia-journals.ub.uni-heidelberg.de/index.php/ao/article/view/9063/8914 [Accessed: 01/12/2019]</w:t>
      </w:r>
      <w:r w:rsidR="00911DE9">
        <w:t>.</w:t>
      </w:r>
    </w:p>
    <w:p w14:paraId="6F72C2DF" w14:textId="0F6030BE" w:rsidR="008C1770" w:rsidRDefault="008C1770" w:rsidP="00A05224">
      <w:pPr>
        <w:ind w:hanging="720"/>
      </w:pPr>
      <w:r>
        <w:t xml:space="preserve">Encyclopaedia Britannica. (2018) </w:t>
      </w:r>
      <w:proofErr w:type="spellStart"/>
      <w:r w:rsidRPr="005E0442">
        <w:rPr>
          <w:i/>
          <w:iCs/>
        </w:rPr>
        <w:t>Diodorus</w:t>
      </w:r>
      <w:proofErr w:type="spellEnd"/>
      <w:r w:rsidRPr="005E0442">
        <w:rPr>
          <w:i/>
          <w:iCs/>
        </w:rPr>
        <w:t xml:space="preserve"> Siculus</w:t>
      </w:r>
      <w:r>
        <w:t xml:space="preserve">. Available at: </w:t>
      </w:r>
      <w:r w:rsidRPr="00A9121A">
        <w:t>https://www.britannica.com/biography/Diodorus-Siculus</w:t>
      </w:r>
      <w:r>
        <w:t xml:space="preserve"> [Accessed: 01/12/</w:t>
      </w:r>
      <w:r w:rsidR="005E0442">
        <w:t>20</w:t>
      </w:r>
      <w:r>
        <w:t>19]</w:t>
      </w:r>
      <w:r w:rsidR="00911DE9">
        <w:t>.</w:t>
      </w:r>
    </w:p>
    <w:p w14:paraId="20AACCF1" w14:textId="783AA57D" w:rsidR="008C1770" w:rsidRDefault="008C1770" w:rsidP="00A05224">
      <w:pPr>
        <w:ind w:hanging="720"/>
      </w:pPr>
      <w:r>
        <w:t xml:space="preserve">Encyclopaedia Britannica. (2019) </w:t>
      </w:r>
      <w:r w:rsidRPr="005E0442">
        <w:rPr>
          <w:i/>
          <w:iCs/>
        </w:rPr>
        <w:t>Giovanni Battista Belzoni</w:t>
      </w:r>
      <w:r>
        <w:t xml:space="preserve">. Available at: </w:t>
      </w:r>
      <w:r w:rsidRPr="00A9121A">
        <w:t>https://www.britannica.com/biography/Giovanni-Battista-Belzoni</w:t>
      </w:r>
      <w:r>
        <w:t xml:space="preserve"> [Accessed: 01/12/</w:t>
      </w:r>
      <w:r w:rsidR="005E0442">
        <w:t>20</w:t>
      </w:r>
      <w:r>
        <w:t>19]</w:t>
      </w:r>
      <w:r w:rsidR="00911DE9">
        <w:t>.</w:t>
      </w:r>
    </w:p>
    <w:p w14:paraId="5384EAA1" w14:textId="5CA61FCE" w:rsidR="008C1770" w:rsidRDefault="008C1770" w:rsidP="00A05224">
      <w:pPr>
        <w:ind w:hanging="720"/>
      </w:pPr>
      <w:r>
        <w:t>Encyclop</w:t>
      </w:r>
      <w:r w:rsidR="005E0442">
        <w:t>a</w:t>
      </w:r>
      <w:r>
        <w:t xml:space="preserve">edia Britannica. (2019) </w:t>
      </w:r>
      <w:r w:rsidRPr="005E0442">
        <w:rPr>
          <w:i/>
          <w:iCs/>
        </w:rPr>
        <w:t>Mehmed V</w:t>
      </w:r>
      <w:r>
        <w:t xml:space="preserve">. Available at: </w:t>
      </w:r>
      <w:r w:rsidRPr="00A9121A">
        <w:t>https://www.britannica.com/biography/Mehmed-V</w:t>
      </w:r>
      <w:r>
        <w:t xml:space="preserve"> [Accessed 22/03/</w:t>
      </w:r>
      <w:r w:rsidR="005E0442">
        <w:t>20</w:t>
      </w:r>
      <w:r>
        <w:t>20]</w:t>
      </w:r>
      <w:r w:rsidR="00911DE9">
        <w:t>.</w:t>
      </w:r>
    </w:p>
    <w:p w14:paraId="6C1F0ABC" w14:textId="0394C4DF" w:rsidR="00087117" w:rsidRDefault="00087117" w:rsidP="00087117">
      <w:pPr>
        <w:ind w:hanging="720"/>
      </w:pPr>
      <w:r>
        <w:t>Encyclopaedia Britannica. (2019) Mustafa al-</w:t>
      </w:r>
      <w:proofErr w:type="spellStart"/>
      <w:r>
        <w:t>Nahhas</w:t>
      </w:r>
      <w:proofErr w:type="spellEnd"/>
      <w:r>
        <w:t xml:space="preserve"> Pasha. Available at: </w:t>
      </w:r>
      <w:r w:rsidRPr="00087117">
        <w:t>https://www.britannica.com/biography/Mustafa-al-Nahhas-Pasha</w:t>
      </w:r>
      <w:r>
        <w:t xml:space="preserve"> [Accessed 01/05/2020]. </w:t>
      </w:r>
    </w:p>
    <w:p w14:paraId="2D29FB5B" w14:textId="02E1A241" w:rsidR="008C1770" w:rsidRDefault="008C1770" w:rsidP="00A05224">
      <w:pPr>
        <w:ind w:hanging="720"/>
      </w:pPr>
      <w:r>
        <w:t>Encyclop</w:t>
      </w:r>
      <w:r w:rsidR="005E0442">
        <w:t>a</w:t>
      </w:r>
      <w:r>
        <w:t xml:space="preserve">edia Britannica. (2020) </w:t>
      </w:r>
      <w:r w:rsidRPr="005E0442">
        <w:rPr>
          <w:i/>
          <w:iCs/>
        </w:rPr>
        <w:t>Imperialism</w:t>
      </w:r>
      <w:r>
        <w:t xml:space="preserve">. </w:t>
      </w:r>
      <w:r w:rsidR="00CF5AB7">
        <w:t>Available</w:t>
      </w:r>
      <w:r>
        <w:t xml:space="preserve"> at: </w:t>
      </w:r>
      <w:r w:rsidRPr="00A9121A">
        <w:t>https://www.britannica.com/topic/imperialism</w:t>
      </w:r>
      <w:r>
        <w:t xml:space="preserve"> [Accessed 22/03/</w:t>
      </w:r>
      <w:r w:rsidR="00CF5AB7">
        <w:t>20</w:t>
      </w:r>
      <w:r>
        <w:t>20]</w:t>
      </w:r>
      <w:r w:rsidR="00911DE9">
        <w:t>.</w:t>
      </w:r>
    </w:p>
    <w:p w14:paraId="155E00C3" w14:textId="251A3B35" w:rsidR="005E0442" w:rsidRDefault="00CF5AB7" w:rsidP="00A05224">
      <w:pPr>
        <w:ind w:hanging="720"/>
      </w:pPr>
      <w:r w:rsidRPr="00CF5AB7">
        <w:t xml:space="preserve">Encyclopaedia Britannica. (2020) </w:t>
      </w:r>
      <w:proofErr w:type="spellStart"/>
      <w:r w:rsidRPr="00CF5AB7">
        <w:rPr>
          <w:i/>
          <w:iCs/>
        </w:rPr>
        <w:t>Sa’id</w:t>
      </w:r>
      <w:proofErr w:type="spellEnd"/>
      <w:r w:rsidRPr="00CF5AB7">
        <w:rPr>
          <w:i/>
          <w:iCs/>
        </w:rPr>
        <w:t xml:space="preserve"> Pasha.</w:t>
      </w:r>
      <w:r w:rsidRPr="00CF5AB7">
        <w:t xml:space="preserve"> Available at: https://www.britannica.com/biography/Said-Pasha [Accessed 29/04/2020]</w:t>
      </w:r>
      <w:r w:rsidR="00911DE9">
        <w:t>.</w:t>
      </w:r>
    </w:p>
    <w:p w14:paraId="3E9C95DE" w14:textId="77777777" w:rsidR="008C1770" w:rsidRPr="00141743" w:rsidRDefault="008C1770" w:rsidP="00A05224">
      <w:pPr>
        <w:ind w:hanging="720"/>
      </w:pPr>
      <w:r w:rsidRPr="00141743">
        <w:t xml:space="preserve">Fritze, R. H. (2016) </w:t>
      </w:r>
      <w:r w:rsidRPr="00141743">
        <w:rPr>
          <w:i/>
          <w:iCs/>
        </w:rPr>
        <w:t>Egyptomania: a history of fascination, obsession and fantasy</w:t>
      </w:r>
      <w:r w:rsidRPr="00141743">
        <w:t xml:space="preserve">. London: </w:t>
      </w:r>
      <w:proofErr w:type="spellStart"/>
      <w:r w:rsidRPr="00141743">
        <w:t>Reaktion</w:t>
      </w:r>
      <w:proofErr w:type="spellEnd"/>
      <w:r w:rsidRPr="00141743">
        <w:t xml:space="preserve"> Books. </w:t>
      </w:r>
    </w:p>
    <w:p w14:paraId="182E4E40" w14:textId="7A5E1E72" w:rsidR="008C1770" w:rsidRDefault="008C1770" w:rsidP="00A05224">
      <w:pPr>
        <w:ind w:hanging="720"/>
        <w:rPr>
          <w:rFonts w:cstheme="minorHAnsi"/>
        </w:rPr>
      </w:pPr>
      <w:r w:rsidRPr="00141743">
        <w:t xml:space="preserve">Fryxell, A. (2017) ‘Tutankhamen, Egyptomania, and Temporal Enchantment in Interwar Britain’, </w:t>
      </w:r>
      <w:r w:rsidRPr="00141743">
        <w:rPr>
          <w:i/>
          <w:iCs/>
        </w:rPr>
        <w:t xml:space="preserve">Twentieth Century British History, </w:t>
      </w:r>
      <w:r w:rsidRPr="00141743">
        <w:t xml:space="preserve">28(4), pp. 516-542, </w:t>
      </w:r>
      <w:r w:rsidRPr="00141743">
        <w:rPr>
          <w:rFonts w:cstheme="minorHAnsi"/>
        </w:rPr>
        <w:t>doi:10.1093/</w:t>
      </w:r>
      <w:proofErr w:type="spellStart"/>
      <w:r w:rsidRPr="00141743">
        <w:rPr>
          <w:rFonts w:cstheme="minorHAnsi"/>
        </w:rPr>
        <w:t>tcbh</w:t>
      </w:r>
      <w:proofErr w:type="spellEnd"/>
      <w:r w:rsidRPr="00141743">
        <w:rPr>
          <w:rFonts w:cstheme="minorHAnsi"/>
        </w:rPr>
        <w:t>/hwx056 [Accessed 27/07/2019]</w:t>
      </w:r>
      <w:r w:rsidR="00911DE9">
        <w:rPr>
          <w:rFonts w:cstheme="minorHAnsi"/>
        </w:rPr>
        <w:t>.</w:t>
      </w:r>
    </w:p>
    <w:p w14:paraId="437CB69B" w14:textId="16D8A7A6" w:rsidR="008C1770" w:rsidRDefault="008C1770" w:rsidP="00A05224">
      <w:pPr>
        <w:ind w:hanging="720"/>
      </w:pPr>
      <w:proofErr w:type="spellStart"/>
      <w:r>
        <w:t>Gange</w:t>
      </w:r>
      <w:proofErr w:type="spellEnd"/>
      <w:r>
        <w:t xml:space="preserve">, D. (2013) </w:t>
      </w:r>
      <w:r w:rsidRPr="00F5093F">
        <w:rPr>
          <w:i/>
          <w:iCs/>
        </w:rPr>
        <w:t>Dialogues with the Dead: Egyptology in British Culture and Religion, 1822 – 1922.</w:t>
      </w:r>
      <w:r>
        <w:t xml:space="preserve"> Oxford: Oxford University Press. </w:t>
      </w:r>
    </w:p>
    <w:p w14:paraId="10A4532A" w14:textId="07C2E31E" w:rsidR="00BE70E3" w:rsidRDefault="00BE70E3" w:rsidP="00BE70E3">
      <w:pPr>
        <w:ind w:hanging="720"/>
      </w:pPr>
      <w:r>
        <w:t xml:space="preserve">Geographic. (2010) </w:t>
      </w:r>
      <w:r w:rsidRPr="00BE70E3">
        <w:rPr>
          <w:i/>
          <w:iCs/>
        </w:rPr>
        <w:t>Europe Middle East Africa Large Printable Map.</w:t>
      </w:r>
      <w:r>
        <w:t xml:space="preserve"> Available at: </w:t>
      </w:r>
      <w:r w:rsidRPr="00BE70E3">
        <w:t>https://geographic.org/maps/new2/emea_large_map.html</w:t>
      </w:r>
      <w:r>
        <w:t xml:space="preserve"> [Accessed 30/04/2020]</w:t>
      </w:r>
      <w:r w:rsidR="00911DE9">
        <w:t>.</w:t>
      </w:r>
    </w:p>
    <w:p w14:paraId="2A6ED8FD" w14:textId="14A280CA" w:rsidR="008C1770" w:rsidRDefault="008C1770" w:rsidP="00A05224">
      <w:pPr>
        <w:ind w:hanging="720"/>
      </w:pPr>
      <w:r>
        <w:t xml:space="preserve">Giza Project at Harvard University. (2017) </w:t>
      </w:r>
      <w:r w:rsidRPr="00F5093F">
        <w:rPr>
          <w:i/>
          <w:iCs/>
        </w:rPr>
        <w:t xml:space="preserve">Pierre Lucien </w:t>
      </w:r>
      <w:proofErr w:type="spellStart"/>
      <w:r w:rsidRPr="00F5093F">
        <w:rPr>
          <w:i/>
          <w:iCs/>
        </w:rPr>
        <w:t>Lacau</w:t>
      </w:r>
      <w:proofErr w:type="spellEnd"/>
      <w:r>
        <w:t xml:space="preserve">. Available at: </w:t>
      </w:r>
      <w:r w:rsidRPr="00A9121A">
        <w:t>http://giza.fas.harvard.edu/modernpeople/1638/full/</w:t>
      </w:r>
      <w:r>
        <w:t xml:space="preserve"> [Accessed 21/03/</w:t>
      </w:r>
      <w:r w:rsidR="00F5093F">
        <w:t>20</w:t>
      </w:r>
      <w:r>
        <w:t>20]</w:t>
      </w:r>
      <w:r w:rsidR="00DF6C12">
        <w:t>.</w:t>
      </w:r>
    </w:p>
    <w:p w14:paraId="79872A70" w14:textId="66D6B1A6" w:rsidR="008C1770" w:rsidRDefault="008C1770" w:rsidP="00A05224">
      <w:pPr>
        <w:ind w:hanging="720"/>
      </w:pPr>
      <w:proofErr w:type="spellStart"/>
      <w:r>
        <w:t>Godechot</w:t>
      </w:r>
      <w:proofErr w:type="spellEnd"/>
      <w:r>
        <w:t xml:space="preserve">, J. (2019) </w:t>
      </w:r>
      <w:r w:rsidRPr="00F5093F">
        <w:rPr>
          <w:i/>
          <w:iCs/>
        </w:rPr>
        <w:t>Napoleon I</w:t>
      </w:r>
      <w:r>
        <w:t xml:space="preserve">. Available at: </w:t>
      </w:r>
      <w:r w:rsidRPr="00A9121A">
        <w:t>https://www.britannica.com/biography/Napoleon-I/Downfall-and-abdication</w:t>
      </w:r>
      <w:r>
        <w:t xml:space="preserve"> [Accessed: 01/12/</w:t>
      </w:r>
      <w:r w:rsidR="00F5093F">
        <w:t>20</w:t>
      </w:r>
      <w:r>
        <w:t>19]</w:t>
      </w:r>
      <w:r w:rsidR="00DF6C12">
        <w:t xml:space="preserve">. </w:t>
      </w:r>
    </w:p>
    <w:p w14:paraId="5174044C" w14:textId="6351FE73" w:rsidR="008C1770" w:rsidRDefault="008C1770" w:rsidP="00A05224">
      <w:pPr>
        <w:ind w:hanging="720"/>
      </w:pPr>
      <w:r>
        <w:t>Gorman, A. (20</w:t>
      </w:r>
      <w:r w:rsidR="004156DB">
        <w:t>05</w:t>
      </w:r>
      <w:r>
        <w:t xml:space="preserve">) </w:t>
      </w:r>
      <w:r w:rsidRPr="00F5093F">
        <w:rPr>
          <w:i/>
          <w:iCs/>
        </w:rPr>
        <w:t>Historians, State and Politics in 20</w:t>
      </w:r>
      <w:r w:rsidRPr="00F5093F">
        <w:rPr>
          <w:i/>
          <w:iCs/>
          <w:vertAlign w:val="superscript"/>
        </w:rPr>
        <w:t>th</w:t>
      </w:r>
      <w:r w:rsidRPr="00F5093F">
        <w:rPr>
          <w:i/>
          <w:iCs/>
        </w:rPr>
        <w:t xml:space="preserve"> Century Egypt: Contesting the Nation. </w:t>
      </w:r>
      <w:r>
        <w:t xml:space="preserve">London: Routledge. </w:t>
      </w:r>
    </w:p>
    <w:p w14:paraId="6AD5A9F4" w14:textId="393389DE" w:rsidR="008C1770" w:rsidRPr="00141743" w:rsidRDefault="008C1770" w:rsidP="00A05224">
      <w:pPr>
        <w:ind w:hanging="720"/>
        <w:rPr>
          <w:rFonts w:cstheme="minorHAnsi"/>
        </w:rPr>
      </w:pPr>
      <w:r>
        <w:rPr>
          <w:rFonts w:cstheme="minorHAnsi"/>
        </w:rPr>
        <w:lastRenderedPageBreak/>
        <w:t xml:space="preserve">Griffith Institute. (1922) </w:t>
      </w:r>
      <w:r>
        <w:rPr>
          <w:rFonts w:cstheme="minorHAnsi"/>
          <w:i/>
          <w:iCs/>
        </w:rPr>
        <w:t xml:space="preserve">Tutankhamun: Anatomy of an Excavation. Howard Carter’s diaries and journals. The first excavation season in the tomb of Tutankhamun. Part 1: October 28 to December 31, 1922. </w:t>
      </w:r>
      <w:r>
        <w:rPr>
          <w:rFonts w:cstheme="minorHAnsi"/>
        </w:rPr>
        <w:t xml:space="preserve">Available at: </w:t>
      </w:r>
      <w:r w:rsidRPr="00A9121A">
        <w:rPr>
          <w:rFonts w:cstheme="minorHAnsi"/>
        </w:rPr>
        <w:t>http://www.griffith.ox.ac.uk/gri/4sea1not.html</w:t>
      </w:r>
      <w:r>
        <w:rPr>
          <w:rFonts w:cstheme="minorHAnsi"/>
        </w:rPr>
        <w:t xml:space="preserve"> [Accessed 10/10/</w:t>
      </w:r>
      <w:r w:rsidR="00787ECE">
        <w:rPr>
          <w:rFonts w:cstheme="minorHAnsi"/>
        </w:rPr>
        <w:t>20</w:t>
      </w:r>
      <w:r>
        <w:rPr>
          <w:rFonts w:cstheme="minorHAnsi"/>
        </w:rPr>
        <w:t>19]</w:t>
      </w:r>
      <w:r w:rsidR="00DF6C12">
        <w:rPr>
          <w:rFonts w:cstheme="minorHAnsi"/>
        </w:rPr>
        <w:t>.</w:t>
      </w:r>
    </w:p>
    <w:p w14:paraId="21E5E762" w14:textId="77777777" w:rsidR="008C1770" w:rsidRDefault="008C1770" w:rsidP="00A05224">
      <w:pPr>
        <w:ind w:hanging="720"/>
      </w:pPr>
      <w:proofErr w:type="spellStart"/>
      <w:r w:rsidRPr="00141743">
        <w:t>Hawass</w:t>
      </w:r>
      <w:proofErr w:type="spellEnd"/>
      <w:r w:rsidRPr="00141743">
        <w:t xml:space="preserve">, Z. (2006) </w:t>
      </w:r>
      <w:r w:rsidRPr="00141743">
        <w:rPr>
          <w:i/>
          <w:iCs/>
        </w:rPr>
        <w:t>The golden king: the world of Tutankhamun</w:t>
      </w:r>
      <w:r w:rsidRPr="00141743">
        <w:t xml:space="preserve">. Cairo: American university in Cairo press. </w:t>
      </w:r>
    </w:p>
    <w:p w14:paraId="0BEA6A41" w14:textId="7CE2CCA4" w:rsidR="008C1770" w:rsidRDefault="008C1770" w:rsidP="00A05224">
      <w:pPr>
        <w:ind w:hanging="720"/>
      </w:pPr>
      <w:proofErr w:type="spellStart"/>
      <w:r>
        <w:t>Hawass</w:t>
      </w:r>
      <w:proofErr w:type="spellEnd"/>
      <w:r>
        <w:t xml:space="preserve">, Z. (2018) </w:t>
      </w:r>
      <w:r w:rsidRPr="00E77A31">
        <w:rPr>
          <w:i/>
          <w:iCs/>
        </w:rPr>
        <w:t>Tutankhamun: A Gift from the Boy King</w:t>
      </w:r>
      <w:r>
        <w:t xml:space="preserve">. New York: Melcher Media. </w:t>
      </w:r>
    </w:p>
    <w:p w14:paraId="23D19CC0" w14:textId="2EFE4533" w:rsidR="00D254E9" w:rsidRPr="00141743" w:rsidRDefault="00D254E9" w:rsidP="00D254E9">
      <w:pPr>
        <w:ind w:hanging="720"/>
      </w:pPr>
      <w:proofErr w:type="spellStart"/>
      <w:r w:rsidRPr="00FF366F">
        <w:t>Hawass</w:t>
      </w:r>
      <w:proofErr w:type="spellEnd"/>
      <w:r w:rsidRPr="00FF366F">
        <w:t xml:space="preserve">, Z., Gad, Y. Z., Ismail, S., </w:t>
      </w:r>
      <w:proofErr w:type="spellStart"/>
      <w:r w:rsidRPr="00FF366F">
        <w:t>Khairat</w:t>
      </w:r>
      <w:proofErr w:type="spellEnd"/>
      <w:r w:rsidRPr="00FF366F">
        <w:t xml:space="preserve">, R., </w:t>
      </w:r>
      <w:proofErr w:type="spellStart"/>
      <w:r w:rsidRPr="00FF366F">
        <w:t>Fathalla</w:t>
      </w:r>
      <w:proofErr w:type="spellEnd"/>
      <w:r w:rsidRPr="00FF366F">
        <w:t xml:space="preserve">, D., Hasan, N., Ahmed, A., </w:t>
      </w:r>
      <w:proofErr w:type="spellStart"/>
      <w:r w:rsidRPr="00FF366F">
        <w:t>Elleithy</w:t>
      </w:r>
      <w:proofErr w:type="spellEnd"/>
      <w:r w:rsidRPr="00FF366F">
        <w:t xml:space="preserve">, H., Ball, M., </w:t>
      </w:r>
      <w:proofErr w:type="spellStart"/>
      <w:r w:rsidRPr="00FF366F">
        <w:t>Gaballah</w:t>
      </w:r>
      <w:proofErr w:type="spellEnd"/>
      <w:r w:rsidRPr="00FF366F">
        <w:t xml:space="preserve">, F., </w:t>
      </w:r>
      <w:proofErr w:type="spellStart"/>
      <w:r w:rsidRPr="00FF366F">
        <w:t>Wasef</w:t>
      </w:r>
      <w:proofErr w:type="spellEnd"/>
      <w:r w:rsidRPr="00FF366F">
        <w:t xml:space="preserve">, S., </w:t>
      </w:r>
      <w:proofErr w:type="spellStart"/>
      <w:r w:rsidRPr="00FF366F">
        <w:t>Fateen</w:t>
      </w:r>
      <w:proofErr w:type="spellEnd"/>
      <w:r w:rsidRPr="00FF366F">
        <w:t xml:space="preserve">, M., Amer, H., </w:t>
      </w:r>
      <w:proofErr w:type="spellStart"/>
      <w:r w:rsidRPr="00FF366F">
        <w:t>Gostner</w:t>
      </w:r>
      <w:proofErr w:type="spellEnd"/>
      <w:r w:rsidRPr="00FF366F">
        <w:t xml:space="preserve">, P., Selim, A., Zink, A., and </w:t>
      </w:r>
      <w:proofErr w:type="spellStart"/>
      <w:r w:rsidRPr="00FF366F">
        <w:t>Pusch</w:t>
      </w:r>
      <w:proofErr w:type="spellEnd"/>
      <w:r w:rsidRPr="00FF366F">
        <w:t xml:space="preserve">, C. (2010) ‘Ancestry and Pathology in King Tutankhamun Family’, </w:t>
      </w:r>
      <w:r w:rsidRPr="00FF366F">
        <w:rPr>
          <w:i/>
          <w:iCs/>
        </w:rPr>
        <w:t>JAMA</w:t>
      </w:r>
      <w:r w:rsidRPr="00FF366F">
        <w:t>, 303 (7), pp. 638-647</w:t>
      </w:r>
      <w:r w:rsidRPr="00FF366F">
        <w:rPr>
          <w:rFonts w:cstheme="minorHAnsi"/>
          <w:color w:val="000000" w:themeColor="text1"/>
        </w:rPr>
        <w:t xml:space="preserve">. DOI: </w:t>
      </w:r>
      <w:r w:rsidRPr="00FF366F">
        <w:rPr>
          <w:rFonts w:cstheme="minorHAnsi"/>
          <w:color w:val="000000" w:themeColor="text1"/>
          <w:shd w:val="clear" w:color="auto" w:fill="FFFFFF"/>
        </w:rPr>
        <w:t>10.1001/jama.2010.121</w:t>
      </w:r>
      <w:r w:rsidRPr="00FF366F">
        <w:rPr>
          <w:color w:val="000000" w:themeColor="text1"/>
        </w:rPr>
        <w:t xml:space="preserve"> [Accessed 30/04/2020]</w:t>
      </w:r>
      <w:r w:rsidR="00751D24">
        <w:rPr>
          <w:color w:val="000000" w:themeColor="text1"/>
        </w:rPr>
        <w:t>.</w:t>
      </w:r>
    </w:p>
    <w:p w14:paraId="3AFAF650" w14:textId="6BB192E3" w:rsidR="008C1770" w:rsidRDefault="008C1770" w:rsidP="00A05224">
      <w:pPr>
        <w:ind w:hanging="720"/>
      </w:pPr>
      <w:r>
        <w:t>Higgins, C. (2007</w:t>
      </w:r>
      <w:r w:rsidRPr="00787ECE">
        <w:rPr>
          <w:i/>
          <w:iCs/>
        </w:rPr>
        <w:t>) After a 35 year wait, Tutankhamun makes a golden, glittering return.</w:t>
      </w:r>
      <w:r>
        <w:t xml:space="preserve"> Available at: </w:t>
      </w:r>
      <w:proofErr w:type="gramStart"/>
      <w:r w:rsidRPr="00A9121A">
        <w:t>https://www.theguardian.com/uk/2007/mar/13/topstories3.artnews</w:t>
      </w:r>
      <w:r>
        <w:t xml:space="preserve">  [</w:t>
      </w:r>
      <w:proofErr w:type="gramEnd"/>
      <w:r>
        <w:t>Accessed 02/12/</w:t>
      </w:r>
      <w:r w:rsidR="00787ECE">
        <w:t>20</w:t>
      </w:r>
      <w:r>
        <w:t>19]</w:t>
      </w:r>
      <w:r w:rsidR="00751D24">
        <w:t>.</w:t>
      </w:r>
    </w:p>
    <w:p w14:paraId="48C82577" w14:textId="0725F49E" w:rsidR="008C1770" w:rsidRDefault="008C1770" w:rsidP="00A05224">
      <w:pPr>
        <w:ind w:hanging="720"/>
      </w:pPr>
      <w:r>
        <w:t xml:space="preserve">Hindley, M. (2015) </w:t>
      </w:r>
      <w:r w:rsidRPr="00787ECE">
        <w:rPr>
          <w:i/>
          <w:iCs/>
        </w:rPr>
        <w:t>King Tut: A Classic Blockbuster Museum Exhibition that began as a diplomatic gesture</w:t>
      </w:r>
      <w:r>
        <w:t xml:space="preserve">. Available at: </w:t>
      </w:r>
      <w:r w:rsidRPr="00A9121A">
        <w:t>https://www.neh.gov/humanities/2015/septemberoctober/feature/king-tut-classic-blockbuster-museum-exhibition-began-diplom</w:t>
      </w:r>
      <w:r>
        <w:t xml:space="preserve"> [Accessed 02/12/</w:t>
      </w:r>
      <w:r w:rsidR="00787ECE">
        <w:t>20</w:t>
      </w:r>
      <w:r>
        <w:t>19]</w:t>
      </w:r>
      <w:r w:rsidR="00751D24">
        <w:t xml:space="preserve">. </w:t>
      </w:r>
    </w:p>
    <w:p w14:paraId="41522E3B" w14:textId="77777777" w:rsidR="008C1770" w:rsidRPr="00141743" w:rsidRDefault="008C1770" w:rsidP="00A05224">
      <w:pPr>
        <w:ind w:hanging="720"/>
      </w:pPr>
      <w:r w:rsidRPr="00141743">
        <w:t xml:space="preserve">Hollman, O. G. (2019) </w:t>
      </w:r>
      <w:r w:rsidRPr="00141743">
        <w:rPr>
          <w:i/>
          <w:iCs/>
        </w:rPr>
        <w:t>Coping Through Curse: Confronting British Metropolitan Identity Through The “Curse of Tutankhamen” (1923-1933</w:t>
      </w:r>
      <w:r w:rsidRPr="00141743">
        <w:t>). Unpublished PhD thesis, University of Kansas.</w:t>
      </w:r>
    </w:p>
    <w:p w14:paraId="08C46BC6" w14:textId="13E79111" w:rsidR="008C1770" w:rsidRDefault="008C1770" w:rsidP="00A05224">
      <w:pPr>
        <w:ind w:hanging="720"/>
      </w:pPr>
      <w:r w:rsidRPr="00141743">
        <w:t xml:space="preserve">Ikram, S. (2010) </w:t>
      </w:r>
      <w:r w:rsidRPr="00141743">
        <w:rPr>
          <w:i/>
          <w:iCs/>
        </w:rPr>
        <w:t>Ancient Egypt: an introduction</w:t>
      </w:r>
      <w:r w:rsidRPr="00141743">
        <w:t xml:space="preserve">. New York: Cambridge University Press. </w:t>
      </w:r>
    </w:p>
    <w:p w14:paraId="35B4F08C" w14:textId="48BD9D7B" w:rsidR="009E1F21" w:rsidRDefault="009E1F21" w:rsidP="009E1F21">
      <w:pPr>
        <w:ind w:hanging="720"/>
      </w:pPr>
      <w:r>
        <w:t xml:space="preserve">Ivanovic, M. (2008) </w:t>
      </w:r>
      <w:r w:rsidRPr="009E1F21">
        <w:rPr>
          <w:i/>
          <w:iCs/>
        </w:rPr>
        <w:t>Cultural Tourism</w:t>
      </w:r>
      <w:r>
        <w:t xml:space="preserve">. Cape Town: Juta and Company Ltd. Available at: </w:t>
      </w:r>
      <w:r w:rsidRPr="009E1F21">
        <w:t>https://books.google.co.uk/books?id=fZ6Wb8AptvYC&amp;pg=PP186&amp;lpg=PP186&amp;dq=tutankhamun+tour+2004&amp;source=bl&amp;ots=ytGAAJ4atm&amp;sig=ACfU3U0TTwbxs7QwQpV8z_8xe8uZnKjUuw&amp;hl=en&amp;sa=X&amp;ved=2ahUKEwj3ktD5u5LpAhVzqHEKHbMXAYM4ChDoATABegQIChAB#v=onepage&amp;q=tutankhamun%20tour%202004&amp;f=false</w:t>
      </w:r>
      <w:r>
        <w:t xml:space="preserve"> [Accessed 01/05/2020].</w:t>
      </w:r>
    </w:p>
    <w:p w14:paraId="31EE93FE" w14:textId="77777777" w:rsidR="0017213F" w:rsidRPr="00CF15EC" w:rsidRDefault="0017213F" w:rsidP="0017213F">
      <w:pPr>
        <w:ind w:hanging="720"/>
      </w:pPr>
      <w:r>
        <w:t xml:space="preserve">James, T.G.H. (2001) ‘The Tomb of Tutankhamun’, in Weeks, K. R and De Luca, A. (eds.) </w:t>
      </w:r>
      <w:r w:rsidRPr="00C52218">
        <w:rPr>
          <w:i/>
          <w:iCs/>
        </w:rPr>
        <w:t>The Treasures of the Valley of the Kings: tombs and temples of the Theban West Bank in Luxor</w:t>
      </w:r>
      <w:r>
        <w:t>. Cairo: The American University in Cairo Press.</w:t>
      </w:r>
    </w:p>
    <w:p w14:paraId="7C032245" w14:textId="77777777" w:rsidR="008C1770" w:rsidRPr="00141743" w:rsidRDefault="008C1770" w:rsidP="00A05224">
      <w:pPr>
        <w:ind w:hanging="720"/>
      </w:pPr>
      <w:r w:rsidRPr="00141743">
        <w:t xml:space="preserve">Jankowski, J. P. (2000) </w:t>
      </w:r>
      <w:r w:rsidRPr="00141743">
        <w:rPr>
          <w:i/>
          <w:iCs/>
        </w:rPr>
        <w:t>Egypt: a short history</w:t>
      </w:r>
      <w:r w:rsidRPr="00141743">
        <w:t xml:space="preserve">. Oxford: </w:t>
      </w:r>
      <w:proofErr w:type="spellStart"/>
      <w:r w:rsidRPr="00141743">
        <w:t>Oneworld</w:t>
      </w:r>
      <w:proofErr w:type="spellEnd"/>
      <w:r w:rsidRPr="00141743">
        <w:t xml:space="preserve">. </w:t>
      </w:r>
    </w:p>
    <w:p w14:paraId="1F46BC36" w14:textId="0B92A3F4" w:rsidR="008C1770" w:rsidRPr="00141743" w:rsidRDefault="008C1770" w:rsidP="00A05224">
      <w:pPr>
        <w:ind w:hanging="720"/>
        <w:rPr>
          <w:rFonts w:cstheme="minorHAnsi"/>
        </w:rPr>
      </w:pPr>
      <w:r w:rsidRPr="00141743">
        <w:rPr>
          <w:rFonts w:cstheme="minorHAnsi"/>
        </w:rPr>
        <w:t xml:space="preserve">Janot, F. (2010) </w:t>
      </w:r>
      <w:r w:rsidRPr="00141743">
        <w:rPr>
          <w:rFonts w:cstheme="minorHAnsi"/>
          <w:i/>
          <w:iCs/>
        </w:rPr>
        <w:t>The Royal Mummies Immortality in ancient Egypt.</w:t>
      </w:r>
      <w:r w:rsidRPr="00141743">
        <w:rPr>
          <w:rFonts w:cstheme="minorHAnsi"/>
        </w:rPr>
        <w:t xml:space="preserve"> </w:t>
      </w:r>
      <w:r w:rsidR="003F2F1D">
        <w:rPr>
          <w:rFonts w:cstheme="minorHAnsi"/>
        </w:rPr>
        <w:t xml:space="preserve">Cairo: </w:t>
      </w:r>
      <w:r w:rsidRPr="00141743">
        <w:rPr>
          <w:rFonts w:cstheme="minorHAnsi"/>
        </w:rPr>
        <w:t xml:space="preserve">The American University in Cairo Press. </w:t>
      </w:r>
    </w:p>
    <w:p w14:paraId="77AF22EE" w14:textId="77777777" w:rsidR="008C1770" w:rsidRPr="00141743" w:rsidRDefault="008C1770" w:rsidP="00A05224">
      <w:pPr>
        <w:ind w:hanging="720"/>
      </w:pPr>
      <w:r w:rsidRPr="00141743">
        <w:t xml:space="preserve">Jeffreys, D. G. (2003) </w:t>
      </w:r>
      <w:r w:rsidRPr="00141743">
        <w:rPr>
          <w:i/>
          <w:iCs/>
        </w:rPr>
        <w:t>Views of ancient Egypt since Napoleon Bonaparte imperialism, colonialism and modern appropriations</w:t>
      </w:r>
      <w:r w:rsidRPr="00141743">
        <w:t>. London: UCL Press London.</w:t>
      </w:r>
    </w:p>
    <w:p w14:paraId="14DBF0F6" w14:textId="3CDFFEA7" w:rsidR="008C1770" w:rsidRDefault="008C1770" w:rsidP="00A05224">
      <w:pPr>
        <w:ind w:hanging="720"/>
      </w:pPr>
      <w:r>
        <w:t xml:space="preserve">Johnson, B. (N.D) </w:t>
      </w:r>
      <w:r w:rsidRPr="00A04972">
        <w:rPr>
          <w:i/>
          <w:iCs/>
        </w:rPr>
        <w:t>The 1920’s in Britain</w:t>
      </w:r>
      <w:r>
        <w:t xml:space="preserve">. Available at: </w:t>
      </w:r>
      <w:r w:rsidRPr="00A9121A">
        <w:t>https://www.historic-uk.com/HistoryUK/HistoryofBritain/The-1920s-in-Britain/</w:t>
      </w:r>
      <w:r>
        <w:t xml:space="preserve"> [Accessed 22/03/</w:t>
      </w:r>
      <w:r w:rsidR="00A04972">
        <w:t>20</w:t>
      </w:r>
      <w:r>
        <w:t>20]</w:t>
      </w:r>
      <w:r w:rsidR="009013AC">
        <w:t xml:space="preserve">. </w:t>
      </w:r>
    </w:p>
    <w:p w14:paraId="54B7C171" w14:textId="1D79C4EC" w:rsidR="008C1770" w:rsidRDefault="008C1770" w:rsidP="00A05224">
      <w:pPr>
        <w:ind w:hanging="720"/>
      </w:pPr>
      <w:r>
        <w:t xml:space="preserve">Jones, J. (2019) ‘Tutankhamun review – thrills and fun as King Tut gets the Hollywood treatment’, </w:t>
      </w:r>
      <w:r w:rsidRPr="00134FF0">
        <w:rPr>
          <w:i/>
          <w:iCs/>
        </w:rPr>
        <w:t>The Guardian</w:t>
      </w:r>
      <w:r>
        <w:t>, 1</w:t>
      </w:r>
      <w:r w:rsidRPr="002503C7">
        <w:rPr>
          <w:vertAlign w:val="superscript"/>
        </w:rPr>
        <w:t>st</w:t>
      </w:r>
      <w:r>
        <w:t xml:space="preserve"> November, P.13</w:t>
      </w:r>
      <w:r w:rsidR="004176E6">
        <w:t>.</w:t>
      </w:r>
    </w:p>
    <w:p w14:paraId="2884EF1C" w14:textId="77777777" w:rsidR="008C1770" w:rsidRPr="00141743" w:rsidRDefault="008C1770" w:rsidP="00A05224">
      <w:pPr>
        <w:ind w:hanging="720"/>
        <w:rPr>
          <w:rFonts w:cstheme="minorHAnsi"/>
        </w:rPr>
      </w:pPr>
      <w:proofErr w:type="spellStart"/>
      <w:r w:rsidRPr="00141743">
        <w:rPr>
          <w:rFonts w:cstheme="minorHAnsi"/>
        </w:rPr>
        <w:t>Kozloff</w:t>
      </w:r>
      <w:proofErr w:type="spellEnd"/>
      <w:r w:rsidRPr="00141743">
        <w:rPr>
          <w:rFonts w:cstheme="minorHAnsi"/>
        </w:rPr>
        <w:t xml:space="preserve">, A. P. (2008) ‘Ancient Egypt in Museums Today’, in Wilkinson, R. H. (ed.) </w:t>
      </w:r>
      <w:r w:rsidRPr="00141743">
        <w:rPr>
          <w:rFonts w:cstheme="minorHAnsi"/>
          <w:i/>
          <w:iCs/>
        </w:rPr>
        <w:t xml:space="preserve">Egyptology Today. </w:t>
      </w:r>
      <w:r w:rsidRPr="00141743">
        <w:rPr>
          <w:rFonts w:cstheme="minorHAnsi"/>
        </w:rPr>
        <w:t>New York: Cambridge University Press.</w:t>
      </w:r>
    </w:p>
    <w:p w14:paraId="0ED5BD99" w14:textId="638460C8" w:rsidR="008C1770" w:rsidRDefault="008C1770" w:rsidP="00A05224">
      <w:pPr>
        <w:ind w:hanging="720"/>
      </w:pPr>
      <w:proofErr w:type="spellStart"/>
      <w:r>
        <w:t>Lexico</w:t>
      </w:r>
      <w:proofErr w:type="spellEnd"/>
      <w:r>
        <w:t>. (N.D)</w:t>
      </w:r>
      <w:r w:rsidRPr="00A04972">
        <w:rPr>
          <w:i/>
          <w:iCs/>
        </w:rPr>
        <w:t xml:space="preserve"> Westerner</w:t>
      </w:r>
      <w:r>
        <w:t xml:space="preserve">. Available at: </w:t>
      </w:r>
      <w:r w:rsidRPr="00A9121A">
        <w:t>https://www.lexico.com/en/definition/westerner</w:t>
      </w:r>
      <w:r>
        <w:t xml:space="preserve"> [Accessed 03/12/</w:t>
      </w:r>
      <w:r w:rsidR="00A04972">
        <w:t>20</w:t>
      </w:r>
      <w:r>
        <w:t>19]</w:t>
      </w:r>
      <w:r w:rsidR="004176E6">
        <w:t>.</w:t>
      </w:r>
    </w:p>
    <w:p w14:paraId="38D74171" w14:textId="701F2192" w:rsidR="008C1770" w:rsidRDefault="008C1770" w:rsidP="00A05224">
      <w:pPr>
        <w:ind w:hanging="720"/>
      </w:pPr>
      <w:r>
        <w:lastRenderedPageBreak/>
        <w:t xml:space="preserve">Majestic Tours. (2019) </w:t>
      </w:r>
      <w:r w:rsidRPr="00A04972">
        <w:rPr>
          <w:i/>
          <w:iCs/>
        </w:rPr>
        <w:t>Tutankhamun Exhibition with Majestic Tours Nov 2019 – May 2020</w:t>
      </w:r>
      <w:r>
        <w:t>. Available at</w:t>
      </w:r>
      <w:r w:rsidR="004176E6">
        <w:t xml:space="preserve">: </w:t>
      </w:r>
      <w:r w:rsidRPr="00A9121A">
        <w:t>https://www.bing.com/videos/search?q=tutankhamun+exhibition+2019&amp;&amp;view=detail&amp;mid=70B18F092A2D0BFAD24B70B18F092A2D0BFAD24B&amp;&amp;FORM=VRDGAR</w:t>
      </w:r>
      <w:r>
        <w:t xml:space="preserve"> [Accessed 08/12/</w:t>
      </w:r>
      <w:r w:rsidR="00A04972">
        <w:t>20</w:t>
      </w:r>
      <w:r>
        <w:t>19]</w:t>
      </w:r>
      <w:r w:rsidR="004176E6">
        <w:t>.</w:t>
      </w:r>
    </w:p>
    <w:p w14:paraId="34F661FF" w14:textId="4D357096" w:rsidR="008C1770" w:rsidRDefault="008C1770" w:rsidP="00A05224">
      <w:pPr>
        <w:ind w:hanging="720"/>
      </w:pPr>
      <w:r>
        <w:t xml:space="preserve">Malek, J. (2009) </w:t>
      </w:r>
      <w:r w:rsidRPr="00A04972">
        <w:rPr>
          <w:i/>
          <w:iCs/>
        </w:rPr>
        <w:t>Some thoughts inspired by a current exhibition: ‘Tutankhamun: His Tomb and Treasures’</w:t>
      </w:r>
      <w:r>
        <w:t xml:space="preserve">. Available at: </w:t>
      </w:r>
      <w:r w:rsidRPr="00A9121A">
        <w:t>http://www.griffith.ox.ac.uk/gri/4semmel.html</w:t>
      </w:r>
      <w:r>
        <w:t xml:space="preserve"> [Accessed 08/12/</w:t>
      </w:r>
      <w:r w:rsidR="00A04972">
        <w:t>20</w:t>
      </w:r>
      <w:r>
        <w:t>19]</w:t>
      </w:r>
      <w:r w:rsidR="00DD3520">
        <w:t>.</w:t>
      </w:r>
    </w:p>
    <w:p w14:paraId="6B1A3439" w14:textId="77777777" w:rsidR="008C1770" w:rsidRPr="00557BF0" w:rsidRDefault="008C1770" w:rsidP="00A05224">
      <w:pPr>
        <w:ind w:hanging="720"/>
      </w:pPr>
      <w:r w:rsidRPr="00557BF0">
        <w:t>Marlow</w:t>
      </w:r>
      <w:r>
        <w:t>e</w:t>
      </w:r>
      <w:r w:rsidRPr="00557BF0">
        <w:t xml:space="preserve">, J. (1974) </w:t>
      </w:r>
      <w:r w:rsidRPr="00A04972">
        <w:rPr>
          <w:i/>
          <w:iCs/>
        </w:rPr>
        <w:t>Spoiling the Egyptians</w:t>
      </w:r>
      <w:r w:rsidRPr="00557BF0">
        <w:t xml:space="preserve">. London: Deutsch. </w:t>
      </w:r>
    </w:p>
    <w:p w14:paraId="67525E93" w14:textId="4CDAB66F" w:rsidR="008C1770" w:rsidRDefault="008C1770" w:rsidP="00A05224">
      <w:pPr>
        <w:ind w:hanging="720"/>
      </w:pPr>
      <w:r w:rsidRPr="00141743">
        <w:t xml:space="preserve">Matthews, R., Roemer, C. </w:t>
      </w:r>
      <w:r w:rsidR="00CD2A95">
        <w:t xml:space="preserve">and </w:t>
      </w:r>
      <w:r w:rsidRPr="00141743">
        <w:t xml:space="preserve">University College London. (2003) </w:t>
      </w:r>
      <w:r w:rsidRPr="00141743">
        <w:rPr>
          <w:i/>
          <w:iCs/>
        </w:rPr>
        <w:t>Ancient perspectives on Egypt</w:t>
      </w:r>
      <w:r w:rsidRPr="00141743">
        <w:t>. London: UCL Press.</w:t>
      </w:r>
    </w:p>
    <w:p w14:paraId="5E030E95" w14:textId="77777777" w:rsidR="008C1770" w:rsidRPr="00141743" w:rsidRDefault="008C1770" w:rsidP="00A05224">
      <w:pPr>
        <w:ind w:hanging="720"/>
      </w:pPr>
      <w:proofErr w:type="spellStart"/>
      <w:r w:rsidRPr="00141743">
        <w:t>Meskell</w:t>
      </w:r>
      <w:proofErr w:type="spellEnd"/>
      <w:r w:rsidRPr="00141743">
        <w:t xml:space="preserve">, L. M. (2004) </w:t>
      </w:r>
      <w:r w:rsidRPr="00141743">
        <w:rPr>
          <w:i/>
          <w:iCs/>
        </w:rPr>
        <w:t>Object worlds in ancient Egypt: material biographies past and present</w:t>
      </w:r>
      <w:r w:rsidRPr="00141743">
        <w:t xml:space="preserve">. Oxford: Berg. </w:t>
      </w:r>
    </w:p>
    <w:p w14:paraId="36535A86" w14:textId="4C681A02" w:rsidR="008C1770" w:rsidRDefault="008C1770" w:rsidP="00A05224">
      <w:pPr>
        <w:ind w:hanging="720"/>
      </w:pPr>
      <w:proofErr w:type="spellStart"/>
      <w:r>
        <w:t>Miscevic</w:t>
      </w:r>
      <w:proofErr w:type="spellEnd"/>
      <w:r>
        <w:t xml:space="preserve">, N. (2014) </w:t>
      </w:r>
      <w:r w:rsidRPr="00A04972">
        <w:rPr>
          <w:i/>
          <w:iCs/>
        </w:rPr>
        <w:t>Nationalism.</w:t>
      </w:r>
      <w:r>
        <w:t xml:space="preserve"> Available at: </w:t>
      </w:r>
      <w:r w:rsidRPr="00A9121A">
        <w:t>https://plato.stanford.edu/entries/nationalism/</w:t>
      </w:r>
      <w:r>
        <w:t xml:space="preserve"> [Accessed 23/03/</w:t>
      </w:r>
      <w:r w:rsidR="00A04972">
        <w:t>20</w:t>
      </w:r>
      <w:r>
        <w:t>20]</w:t>
      </w:r>
      <w:r w:rsidR="00C03425">
        <w:t xml:space="preserve">. </w:t>
      </w:r>
    </w:p>
    <w:p w14:paraId="36C48BD7" w14:textId="77777777" w:rsidR="008C1770" w:rsidRPr="00141743" w:rsidRDefault="008C1770" w:rsidP="00A05224">
      <w:pPr>
        <w:ind w:hanging="720"/>
      </w:pPr>
      <w:r w:rsidRPr="00141743">
        <w:t xml:space="preserve">Moser, S. (2012) </w:t>
      </w:r>
      <w:r w:rsidRPr="00141743">
        <w:rPr>
          <w:i/>
          <w:iCs/>
        </w:rPr>
        <w:t>Wondrous curiosities: ancient Egypt at the British Museum</w:t>
      </w:r>
      <w:r w:rsidRPr="00141743">
        <w:t>. Chicago: University of Chicago Press.</w:t>
      </w:r>
    </w:p>
    <w:p w14:paraId="2D3583AF" w14:textId="209B8E70" w:rsidR="008C1770" w:rsidRDefault="008C1770" w:rsidP="00A05224">
      <w:pPr>
        <w:ind w:hanging="720"/>
      </w:pPr>
      <w:r>
        <w:t xml:space="preserve">Napoleon.org (2019) </w:t>
      </w:r>
      <w:r w:rsidRPr="00A04972">
        <w:rPr>
          <w:i/>
          <w:iCs/>
        </w:rPr>
        <w:t>The ‘</w:t>
      </w:r>
      <w:proofErr w:type="spellStart"/>
      <w:r w:rsidRPr="00A04972">
        <w:rPr>
          <w:i/>
          <w:iCs/>
        </w:rPr>
        <w:t>Institue</w:t>
      </w:r>
      <w:proofErr w:type="spellEnd"/>
      <w:r w:rsidRPr="00A04972">
        <w:rPr>
          <w:i/>
          <w:iCs/>
        </w:rPr>
        <w:t xml:space="preserve"> </w:t>
      </w:r>
      <w:proofErr w:type="spellStart"/>
      <w:r w:rsidRPr="00A04972">
        <w:rPr>
          <w:i/>
          <w:iCs/>
        </w:rPr>
        <w:t>D’Egypte</w:t>
      </w:r>
      <w:proofErr w:type="spellEnd"/>
      <w:r w:rsidRPr="00A04972">
        <w:rPr>
          <w:i/>
          <w:iCs/>
        </w:rPr>
        <w:t xml:space="preserve">’ and the Description De </w:t>
      </w:r>
      <w:proofErr w:type="spellStart"/>
      <w:r w:rsidRPr="00A04972">
        <w:rPr>
          <w:i/>
          <w:iCs/>
        </w:rPr>
        <w:t>L’Egypte</w:t>
      </w:r>
      <w:proofErr w:type="spellEnd"/>
      <w:r>
        <w:t xml:space="preserve">. Available at: </w:t>
      </w:r>
      <w:r w:rsidRPr="00A9121A">
        <w:t>https://www.napoleon.org/en/history-of-the-two-empires/articles/the-institut-degypte-and-the-description-de-legypte/</w:t>
      </w:r>
      <w:r>
        <w:t xml:space="preserve"> [Accessed 03/12/</w:t>
      </w:r>
      <w:r w:rsidR="00A04972">
        <w:t>20</w:t>
      </w:r>
      <w:r>
        <w:t>19]</w:t>
      </w:r>
      <w:r w:rsidR="00C03425">
        <w:t>.</w:t>
      </w:r>
    </w:p>
    <w:p w14:paraId="79099C79" w14:textId="0AB42041" w:rsidR="008C1770" w:rsidRDefault="008C1770" w:rsidP="00A05224">
      <w:pPr>
        <w:ind w:hanging="720"/>
      </w:pPr>
      <w:r>
        <w:t xml:space="preserve">National Library of Australia. (N.D) </w:t>
      </w:r>
      <w:r w:rsidRPr="00A04972">
        <w:rPr>
          <w:i/>
          <w:iCs/>
        </w:rPr>
        <w:t>The Murder of Sir Lee Stack</w:t>
      </w:r>
      <w:r>
        <w:t xml:space="preserve">. Available at: </w:t>
      </w:r>
      <w:r w:rsidRPr="00A9121A">
        <w:t>https://trove.nla.gov.au/newspaper/article/43252445</w:t>
      </w:r>
      <w:r>
        <w:t xml:space="preserve"> [Accessed 29/01/</w:t>
      </w:r>
      <w:r w:rsidR="00A04972">
        <w:t>20</w:t>
      </w:r>
      <w:r>
        <w:t>20]</w:t>
      </w:r>
      <w:r w:rsidR="00C03425">
        <w:t>.</w:t>
      </w:r>
    </w:p>
    <w:p w14:paraId="00C4CE3D" w14:textId="6051B618" w:rsidR="008C1770" w:rsidRDefault="008C1770" w:rsidP="00A05224">
      <w:pPr>
        <w:ind w:hanging="720"/>
        <w:rPr>
          <w:rFonts w:cstheme="minorHAnsi"/>
        </w:rPr>
      </w:pPr>
      <w:r>
        <w:rPr>
          <w:rFonts w:cstheme="minorHAnsi"/>
        </w:rPr>
        <w:t xml:space="preserve">Parkinson, B. R. (2008) ‘Tutankhamen on Trial: Egyptian Nationalism and the Court Case for the Pharaoh’s Artifacts’, </w:t>
      </w:r>
      <w:r w:rsidRPr="00A04972">
        <w:rPr>
          <w:rFonts w:cstheme="minorHAnsi"/>
          <w:i/>
          <w:iCs/>
        </w:rPr>
        <w:t xml:space="preserve">Journal of the American Research </w:t>
      </w:r>
      <w:r w:rsidR="00C03425" w:rsidRPr="00A04972">
        <w:rPr>
          <w:rFonts w:cstheme="minorHAnsi"/>
          <w:i/>
          <w:iCs/>
        </w:rPr>
        <w:t>Centre</w:t>
      </w:r>
      <w:r w:rsidRPr="00A04972">
        <w:rPr>
          <w:rFonts w:cstheme="minorHAnsi"/>
          <w:i/>
          <w:iCs/>
        </w:rPr>
        <w:t xml:space="preserve"> in Egypt,</w:t>
      </w:r>
      <w:r>
        <w:rPr>
          <w:rFonts w:cstheme="minorHAnsi"/>
        </w:rPr>
        <w:t xml:space="preserve"> 44, pp. 1-8, </w:t>
      </w:r>
      <w:r w:rsidRPr="00A9121A">
        <w:rPr>
          <w:rFonts w:cstheme="minorHAnsi"/>
        </w:rPr>
        <w:t>https://www.jstor.org/stable/27801619?seq=1#metadata_info_tab_contents</w:t>
      </w:r>
      <w:r>
        <w:rPr>
          <w:rFonts w:cstheme="minorHAnsi"/>
        </w:rPr>
        <w:t xml:space="preserve"> [Accessed 28/01/</w:t>
      </w:r>
      <w:r w:rsidR="00A04972">
        <w:rPr>
          <w:rFonts w:cstheme="minorHAnsi"/>
        </w:rPr>
        <w:t>20</w:t>
      </w:r>
      <w:r>
        <w:rPr>
          <w:rFonts w:cstheme="minorHAnsi"/>
        </w:rPr>
        <w:t>20]</w:t>
      </w:r>
      <w:r w:rsidR="00C03425">
        <w:rPr>
          <w:rFonts w:cstheme="minorHAnsi"/>
        </w:rPr>
        <w:t>.</w:t>
      </w:r>
    </w:p>
    <w:p w14:paraId="1EE0EBDF" w14:textId="77777777" w:rsidR="00025F2E" w:rsidRPr="000C70EA" w:rsidRDefault="00025F2E" w:rsidP="00025F2E">
      <w:pPr>
        <w:ind w:hanging="720"/>
        <w:rPr>
          <w:rFonts w:cstheme="minorHAnsi"/>
          <w:i/>
          <w:iCs/>
        </w:rPr>
      </w:pPr>
      <w:r w:rsidRPr="000C70EA">
        <w:rPr>
          <w:rFonts w:cstheme="minorHAnsi"/>
        </w:rPr>
        <w:t xml:space="preserve">Pak, M. (2019) </w:t>
      </w:r>
      <w:r w:rsidRPr="000C70EA">
        <w:rPr>
          <w:rFonts w:cstheme="minorHAnsi"/>
          <w:i/>
          <w:iCs/>
        </w:rPr>
        <w:t>Appendix A: Table of Inclusion and Exclusion Criteria for source searching.</w:t>
      </w:r>
    </w:p>
    <w:p w14:paraId="35C59EFB" w14:textId="77777777" w:rsidR="00025F2E" w:rsidRPr="000C70EA" w:rsidRDefault="00025F2E" w:rsidP="00025F2E">
      <w:pPr>
        <w:ind w:hanging="720"/>
        <w:rPr>
          <w:rFonts w:cstheme="minorHAnsi"/>
        </w:rPr>
      </w:pPr>
      <w:r w:rsidRPr="000C70EA">
        <w:rPr>
          <w:rFonts w:cstheme="minorHAnsi"/>
        </w:rPr>
        <w:t xml:space="preserve">Pak, M. (2019) </w:t>
      </w:r>
      <w:r w:rsidRPr="000C70EA">
        <w:rPr>
          <w:rFonts w:cstheme="minorHAnsi"/>
          <w:i/>
          <w:iCs/>
        </w:rPr>
        <w:t>Diagram 1:</w:t>
      </w:r>
      <w:r w:rsidRPr="000C70EA">
        <w:rPr>
          <w:rFonts w:cstheme="minorHAnsi"/>
        </w:rPr>
        <w:t xml:space="preserve"> </w:t>
      </w:r>
      <w:r w:rsidRPr="000C70EA">
        <w:rPr>
          <w:rFonts w:cstheme="minorHAnsi"/>
          <w:i/>
          <w:iCs/>
        </w:rPr>
        <w:t xml:space="preserve">Ancestry diagram of Tutankhamun, Adapted from Tutankhamun: Treasures of the golden pharaoh 2019 and </w:t>
      </w:r>
      <w:proofErr w:type="spellStart"/>
      <w:r w:rsidRPr="000C70EA">
        <w:rPr>
          <w:rFonts w:cstheme="minorHAnsi"/>
          <w:i/>
          <w:iCs/>
        </w:rPr>
        <w:t>Hawass</w:t>
      </w:r>
      <w:proofErr w:type="spellEnd"/>
      <w:r w:rsidRPr="000C70EA">
        <w:rPr>
          <w:rFonts w:cstheme="minorHAnsi"/>
          <w:i/>
          <w:iCs/>
        </w:rPr>
        <w:t xml:space="preserve"> et al, 2010; 641.</w:t>
      </w:r>
      <w:r w:rsidRPr="000C70EA">
        <w:rPr>
          <w:rFonts w:cstheme="minorHAnsi"/>
        </w:rPr>
        <w:t xml:space="preserve"> </w:t>
      </w:r>
    </w:p>
    <w:p w14:paraId="39C392BB" w14:textId="79BF4224" w:rsidR="00025F2E" w:rsidRDefault="00025F2E" w:rsidP="00025F2E">
      <w:pPr>
        <w:ind w:hanging="720"/>
        <w:rPr>
          <w:rFonts w:cstheme="minorHAnsi"/>
        </w:rPr>
      </w:pPr>
      <w:r w:rsidRPr="000C70EA">
        <w:rPr>
          <w:rFonts w:cstheme="minorHAnsi"/>
        </w:rPr>
        <w:t xml:space="preserve">Pak, M. (2019) </w:t>
      </w:r>
      <w:r w:rsidRPr="000C70EA">
        <w:rPr>
          <w:rFonts w:cstheme="minorHAnsi"/>
          <w:i/>
          <w:iCs/>
        </w:rPr>
        <w:t>Diagram 2: Timeline of Tutankhamun worldwide exhibitions.</w:t>
      </w:r>
    </w:p>
    <w:p w14:paraId="1928AC71" w14:textId="77777777" w:rsidR="008C1770" w:rsidRDefault="008C1770" w:rsidP="00A05224">
      <w:pPr>
        <w:ind w:hanging="720"/>
      </w:pPr>
      <w:r>
        <w:t xml:space="preserve">Reeves, N. and Wilkinson, R. H. (1996) </w:t>
      </w:r>
      <w:r w:rsidRPr="00A04972">
        <w:rPr>
          <w:i/>
          <w:iCs/>
        </w:rPr>
        <w:t>The complete Valley of the Kings: tombs and treasures of Egypt’s greatest Pharaohs</w:t>
      </w:r>
      <w:r>
        <w:t xml:space="preserve">. London: Thames and Hudson. </w:t>
      </w:r>
    </w:p>
    <w:p w14:paraId="486C19F5" w14:textId="7AAC2A53" w:rsidR="008C1770" w:rsidRPr="00141743" w:rsidRDefault="008C1770" w:rsidP="00A05224">
      <w:pPr>
        <w:ind w:hanging="720"/>
      </w:pPr>
      <w:r w:rsidRPr="00141743">
        <w:t xml:space="preserve">Reid, D. M. (1985) ‘Indigenous Egyptology: The Decolonization of a Profession?’, </w:t>
      </w:r>
      <w:r w:rsidRPr="00141743">
        <w:rPr>
          <w:i/>
          <w:iCs/>
        </w:rPr>
        <w:t xml:space="preserve">Journal of the American </w:t>
      </w:r>
      <w:proofErr w:type="spellStart"/>
      <w:r w:rsidRPr="00141743">
        <w:rPr>
          <w:i/>
          <w:iCs/>
        </w:rPr>
        <w:t>Oriential</w:t>
      </w:r>
      <w:proofErr w:type="spellEnd"/>
      <w:r w:rsidRPr="00141743">
        <w:rPr>
          <w:i/>
          <w:iCs/>
        </w:rPr>
        <w:t xml:space="preserve"> Society, </w:t>
      </w:r>
      <w:r w:rsidRPr="00141743">
        <w:t xml:space="preserve">105(2), pp.233-246. </w:t>
      </w:r>
      <w:r w:rsidRPr="00A9121A">
        <w:t>https://www.jstor.org/stable/601703?seq=1#metadata_info_tab_contents</w:t>
      </w:r>
      <w:r w:rsidRPr="00141743">
        <w:t>, [Accessed 18/06/2019].</w:t>
      </w:r>
    </w:p>
    <w:p w14:paraId="762CA61A" w14:textId="77777777" w:rsidR="008C1770" w:rsidRPr="00141743" w:rsidRDefault="008C1770" w:rsidP="00A05224">
      <w:pPr>
        <w:ind w:hanging="720"/>
      </w:pPr>
      <w:r w:rsidRPr="00141743">
        <w:t xml:space="preserve">Reid, D. M. (2003) </w:t>
      </w:r>
      <w:r w:rsidRPr="00141743">
        <w:rPr>
          <w:i/>
          <w:iCs/>
        </w:rPr>
        <w:t>Whose pharaohs? Archaeology, museums, and Egyptian national identity from Napoleon to world war 1.</w:t>
      </w:r>
      <w:r w:rsidRPr="00141743">
        <w:t xml:space="preserve"> Berkeley: University of California Press. </w:t>
      </w:r>
    </w:p>
    <w:p w14:paraId="29ED30BA" w14:textId="149DEC63" w:rsidR="008C1770" w:rsidRPr="00557BF0" w:rsidRDefault="008C1770" w:rsidP="00A05224">
      <w:pPr>
        <w:ind w:hanging="720"/>
      </w:pPr>
      <w:r w:rsidRPr="00557BF0">
        <w:t xml:space="preserve">Reid, D. M. (2015) </w:t>
      </w:r>
      <w:r w:rsidRPr="00557BF0">
        <w:rPr>
          <w:i/>
          <w:iCs/>
        </w:rPr>
        <w:t>Contesting antiquity in Egypt: archaeologies, museums &amp; the struggle for identities from world war 1 to Nasser</w:t>
      </w:r>
      <w:r w:rsidRPr="00557BF0">
        <w:t xml:space="preserve">. Cairo </w:t>
      </w:r>
      <w:r w:rsidR="00CE42BB">
        <w:t xml:space="preserve">and </w:t>
      </w:r>
      <w:r w:rsidRPr="00557BF0">
        <w:t>New York: The American University in Cairo Press.</w:t>
      </w:r>
    </w:p>
    <w:p w14:paraId="0B731E06" w14:textId="6A3B66FD" w:rsidR="008C1770" w:rsidRPr="00141743" w:rsidRDefault="008C1770" w:rsidP="00A05224">
      <w:pPr>
        <w:ind w:hanging="720"/>
        <w:rPr>
          <w:rFonts w:cstheme="minorHAnsi"/>
        </w:rPr>
      </w:pPr>
      <w:r w:rsidRPr="00141743">
        <w:rPr>
          <w:rFonts w:cstheme="minorHAnsi"/>
        </w:rPr>
        <w:t xml:space="preserve">Richmond, J. C. B. (1977) </w:t>
      </w:r>
      <w:r w:rsidRPr="00141743">
        <w:rPr>
          <w:rFonts w:cstheme="minorHAnsi"/>
          <w:i/>
          <w:iCs/>
        </w:rPr>
        <w:t>Egypt 1798-1952</w:t>
      </w:r>
      <w:r w:rsidRPr="00141743">
        <w:rPr>
          <w:rFonts w:cstheme="minorHAnsi"/>
        </w:rPr>
        <w:t xml:space="preserve">. London: Methuen </w:t>
      </w:r>
      <w:r w:rsidR="00CE42BB">
        <w:rPr>
          <w:rFonts w:cstheme="minorHAnsi"/>
        </w:rPr>
        <w:t>and</w:t>
      </w:r>
      <w:r w:rsidRPr="00141743">
        <w:rPr>
          <w:rFonts w:cstheme="minorHAnsi"/>
        </w:rPr>
        <w:t xml:space="preserve"> Co Ltd. </w:t>
      </w:r>
    </w:p>
    <w:p w14:paraId="5A538679" w14:textId="03EAF651" w:rsidR="008C1770" w:rsidRDefault="008C1770" w:rsidP="00A05224">
      <w:pPr>
        <w:ind w:hanging="720"/>
      </w:pPr>
      <w:r>
        <w:lastRenderedPageBreak/>
        <w:t xml:space="preserve">Riggs, C. (2019) </w:t>
      </w:r>
      <w:r w:rsidRPr="00A04972">
        <w:rPr>
          <w:i/>
          <w:iCs/>
        </w:rPr>
        <w:t>How 20</w:t>
      </w:r>
      <w:r w:rsidRPr="00A04972">
        <w:rPr>
          <w:i/>
          <w:iCs/>
          <w:vertAlign w:val="superscript"/>
        </w:rPr>
        <w:t>th</w:t>
      </w:r>
      <w:r w:rsidRPr="00A04972">
        <w:rPr>
          <w:i/>
          <w:iCs/>
        </w:rPr>
        <w:t>-century colonial politics shaped the story of Tutankhamun’s tomb.</w:t>
      </w:r>
      <w:r>
        <w:t xml:space="preserve"> Available at: </w:t>
      </w:r>
      <w:r w:rsidRPr="00A9121A">
        <w:t>https://www.thebritishacademy.ac.uk/blog/how-20th-century-colonial-politics-shaped-story-tutankhamuns-tomb</w:t>
      </w:r>
      <w:r>
        <w:t xml:space="preserve"> [Accessed 22/03/</w:t>
      </w:r>
      <w:r w:rsidR="00A04972">
        <w:t>20</w:t>
      </w:r>
      <w:r>
        <w:t>20]</w:t>
      </w:r>
      <w:r w:rsidR="00CE42BB">
        <w:t>.</w:t>
      </w:r>
    </w:p>
    <w:p w14:paraId="515AB5EF" w14:textId="3A87D745" w:rsidR="008C1770" w:rsidRDefault="008C1770" w:rsidP="00A05224">
      <w:pPr>
        <w:ind w:hanging="720"/>
      </w:pPr>
      <w:r>
        <w:t xml:space="preserve">Rivlin, H. A. B. (2020) </w:t>
      </w:r>
      <w:r w:rsidRPr="00A04972">
        <w:rPr>
          <w:i/>
          <w:iCs/>
        </w:rPr>
        <w:t>Muhammad Ali</w:t>
      </w:r>
      <w:r>
        <w:t xml:space="preserve">. Available at: </w:t>
      </w:r>
      <w:r w:rsidRPr="00A9121A">
        <w:t>https://www.britannica.com/biography/Muhammad-Ali-pasha-and-viceroy-of-Egypt</w:t>
      </w:r>
      <w:r>
        <w:t xml:space="preserve"> [Accessed 28/01/</w:t>
      </w:r>
      <w:r w:rsidR="00A04972">
        <w:t>20</w:t>
      </w:r>
      <w:r>
        <w:t>20]</w:t>
      </w:r>
      <w:r w:rsidR="00CE42BB">
        <w:t xml:space="preserve">. </w:t>
      </w:r>
    </w:p>
    <w:p w14:paraId="200273D5" w14:textId="2ACEE100" w:rsidR="008C1770" w:rsidRPr="00141743" w:rsidRDefault="008C1770" w:rsidP="00A05224">
      <w:pPr>
        <w:ind w:hanging="720"/>
        <w:rPr>
          <w:rFonts w:cstheme="minorHAnsi"/>
        </w:rPr>
      </w:pPr>
      <w:r w:rsidRPr="00141743">
        <w:t xml:space="preserve">Saatchi Gallery (2019) </w:t>
      </w:r>
      <w:r w:rsidRPr="00141743">
        <w:rPr>
          <w:i/>
          <w:iCs/>
        </w:rPr>
        <w:t>Tutankhamun Treasures of the Golden Pharaoh</w:t>
      </w:r>
      <w:r w:rsidRPr="00141743">
        <w:t xml:space="preserve">. Available at: </w:t>
      </w:r>
      <w:proofErr w:type="gramStart"/>
      <w:r w:rsidRPr="00A9121A">
        <w:t>https://www.saatchigallery.com/art/tutankhamun.php</w:t>
      </w:r>
      <w:r w:rsidRPr="00141743">
        <w:t xml:space="preserve">  [</w:t>
      </w:r>
      <w:proofErr w:type="gramEnd"/>
      <w:r w:rsidRPr="00141743">
        <w:t>Accessed 03/10/</w:t>
      </w:r>
      <w:r w:rsidR="00A04972">
        <w:t>20</w:t>
      </w:r>
      <w:r w:rsidRPr="00141743">
        <w:t>19].</w:t>
      </w:r>
    </w:p>
    <w:p w14:paraId="19227C56" w14:textId="77777777" w:rsidR="008C1770" w:rsidRPr="00141743" w:rsidRDefault="008C1770" w:rsidP="00A05224">
      <w:pPr>
        <w:ind w:hanging="720"/>
      </w:pPr>
      <w:r w:rsidRPr="00141743">
        <w:t xml:space="preserve">Shaw, I. (2003) </w:t>
      </w:r>
      <w:r w:rsidRPr="00141743">
        <w:rPr>
          <w:i/>
          <w:iCs/>
        </w:rPr>
        <w:t>The Oxford history of ancient Egypt</w:t>
      </w:r>
      <w:r w:rsidRPr="00141743">
        <w:t xml:space="preserve">. Oxford: Oxford University Press. </w:t>
      </w:r>
    </w:p>
    <w:p w14:paraId="5B08AD6E" w14:textId="77777777" w:rsidR="008C1770" w:rsidRPr="00141743" w:rsidRDefault="008C1770" w:rsidP="00A05224">
      <w:pPr>
        <w:ind w:hanging="720"/>
        <w:rPr>
          <w:rFonts w:cstheme="minorHAnsi"/>
        </w:rPr>
      </w:pPr>
      <w:r w:rsidRPr="00141743">
        <w:rPr>
          <w:rFonts w:cstheme="minorHAnsi"/>
        </w:rPr>
        <w:t xml:space="preserve">Shaw, I. (2004) </w:t>
      </w:r>
      <w:r w:rsidRPr="00A04972">
        <w:rPr>
          <w:rFonts w:cstheme="minorHAnsi"/>
          <w:i/>
          <w:iCs/>
        </w:rPr>
        <w:t xml:space="preserve">Ancient Egypt </w:t>
      </w:r>
      <w:proofErr w:type="gramStart"/>
      <w:r w:rsidRPr="00A04972">
        <w:rPr>
          <w:rFonts w:cstheme="minorHAnsi"/>
          <w:i/>
          <w:iCs/>
        </w:rPr>
        <w:t>A</w:t>
      </w:r>
      <w:proofErr w:type="gramEnd"/>
      <w:r w:rsidRPr="00A04972">
        <w:rPr>
          <w:rFonts w:cstheme="minorHAnsi"/>
          <w:i/>
          <w:iCs/>
        </w:rPr>
        <w:t xml:space="preserve"> Very Short Introduction.</w:t>
      </w:r>
      <w:r w:rsidRPr="00141743">
        <w:rPr>
          <w:rFonts w:cstheme="minorHAnsi"/>
        </w:rPr>
        <w:t xml:space="preserve"> New York: Oxford University Press Inc. </w:t>
      </w:r>
    </w:p>
    <w:p w14:paraId="76F24C05" w14:textId="77777777" w:rsidR="008C1770" w:rsidRPr="00141743" w:rsidRDefault="008C1770" w:rsidP="00A05224">
      <w:pPr>
        <w:ind w:hanging="720"/>
      </w:pPr>
      <w:r w:rsidRPr="00141743">
        <w:t>Simon, R. (</w:t>
      </w:r>
      <w:r>
        <w:t>2008</w:t>
      </w:r>
      <w:r w:rsidRPr="00141743">
        <w:t xml:space="preserve">) </w:t>
      </w:r>
      <w:r w:rsidRPr="00141743">
        <w:rPr>
          <w:i/>
          <w:iCs/>
        </w:rPr>
        <w:t xml:space="preserve">Seeing More in Cabinets and Blockbusters: A Rhetorical Study of Museum Exhibits. </w:t>
      </w:r>
      <w:r w:rsidRPr="00141743">
        <w:t xml:space="preserve">Unpublished PhD thesis. Pennsylvania State University. </w:t>
      </w:r>
    </w:p>
    <w:p w14:paraId="485B4DB5" w14:textId="1758595A" w:rsidR="008C1770" w:rsidRPr="00141743" w:rsidRDefault="008C1770" w:rsidP="00A05224">
      <w:pPr>
        <w:ind w:hanging="720"/>
      </w:pPr>
      <w:proofErr w:type="spellStart"/>
      <w:r w:rsidRPr="00141743">
        <w:t>Slyomovics</w:t>
      </w:r>
      <w:proofErr w:type="spellEnd"/>
      <w:r w:rsidRPr="00141743">
        <w:t xml:space="preserve">, S. (1989) ‘Cross-Cultural Dress and Tourist Performance in Egypt’, </w:t>
      </w:r>
      <w:r w:rsidRPr="00141743">
        <w:rPr>
          <w:i/>
          <w:iCs/>
        </w:rPr>
        <w:t xml:space="preserve">Performing Arts Journal, </w:t>
      </w:r>
      <w:r w:rsidRPr="00141743">
        <w:t xml:space="preserve">11(3), pp. 139-148. </w:t>
      </w:r>
      <w:r w:rsidR="00D6357E">
        <w:t xml:space="preserve">Available at: </w:t>
      </w:r>
      <w:r w:rsidRPr="00A9121A">
        <w:t>https://www.jstor.org/stable/3245432?seq=1#metadata_info_tab_contents</w:t>
      </w:r>
      <w:r w:rsidRPr="00141743">
        <w:rPr>
          <w:rStyle w:val="Hyperlink"/>
        </w:rPr>
        <w:t>,</w:t>
      </w:r>
      <w:r w:rsidRPr="00141743">
        <w:t xml:space="preserve"> [Accessed 27/07/2019].</w:t>
      </w:r>
    </w:p>
    <w:p w14:paraId="71C0F630" w14:textId="77777777" w:rsidR="008C1770" w:rsidRPr="00141743" w:rsidRDefault="008C1770" w:rsidP="00A05224">
      <w:pPr>
        <w:ind w:hanging="720"/>
        <w:rPr>
          <w:rFonts w:cstheme="minorHAnsi"/>
        </w:rPr>
      </w:pPr>
      <w:r w:rsidRPr="00141743">
        <w:rPr>
          <w:rFonts w:cstheme="minorHAnsi"/>
        </w:rPr>
        <w:t xml:space="preserve">Smith. G. E (1923) </w:t>
      </w:r>
      <w:r w:rsidRPr="00141743">
        <w:rPr>
          <w:rFonts w:cstheme="minorHAnsi"/>
          <w:i/>
          <w:iCs/>
        </w:rPr>
        <w:t xml:space="preserve">Tutankhamen and the Discovery of his Tomb by the Late Earl of Carnarvon and Mr Howard Carter. </w:t>
      </w:r>
      <w:r w:rsidRPr="00141743">
        <w:rPr>
          <w:rFonts w:cstheme="minorHAnsi"/>
        </w:rPr>
        <w:t>London: George Routledge &amp; Sons Ltd</w:t>
      </w:r>
    </w:p>
    <w:p w14:paraId="12B17CB0" w14:textId="77777777" w:rsidR="008C1770" w:rsidRDefault="008C1770" w:rsidP="00A05224">
      <w:pPr>
        <w:ind w:hanging="720"/>
        <w:rPr>
          <w:rFonts w:cstheme="minorHAnsi"/>
        </w:rPr>
      </w:pPr>
      <w:r w:rsidRPr="00141743">
        <w:rPr>
          <w:rFonts w:cstheme="minorHAnsi"/>
        </w:rPr>
        <w:t xml:space="preserve">Stevenson, A. (2019) </w:t>
      </w:r>
      <w:r w:rsidRPr="00141743">
        <w:rPr>
          <w:rFonts w:cstheme="minorHAnsi"/>
          <w:i/>
          <w:iCs/>
        </w:rPr>
        <w:t xml:space="preserve">Scattered Find, Archaeology, Egyptology and Museums. </w:t>
      </w:r>
      <w:r w:rsidRPr="00141743">
        <w:rPr>
          <w:rFonts w:cstheme="minorHAnsi"/>
        </w:rPr>
        <w:t>London: UCL Press.</w:t>
      </w:r>
    </w:p>
    <w:p w14:paraId="3E09191F" w14:textId="5C91B63E" w:rsidR="008C1770" w:rsidRDefault="008C1770" w:rsidP="00A05224">
      <w:pPr>
        <w:ind w:hanging="720"/>
      </w:pPr>
      <w:r>
        <w:t xml:space="preserve">Supreme Council of Antiquities. (N.D.) </w:t>
      </w:r>
      <w:r w:rsidRPr="008C7F66">
        <w:rPr>
          <w:i/>
          <w:iCs/>
        </w:rPr>
        <w:t>A Brief History of the Supreme Council of Antiquities: 1858 to present.</w:t>
      </w:r>
      <w:r>
        <w:t xml:space="preserve"> Available at: </w:t>
      </w:r>
      <w:r w:rsidRPr="00A9121A">
        <w:t>https://www.sca-egypt.org/eng/sca_history.html</w:t>
      </w:r>
      <w:r>
        <w:t xml:space="preserve"> [Accessed 21/03/</w:t>
      </w:r>
      <w:r w:rsidR="008C7F66">
        <w:t>20</w:t>
      </w:r>
      <w:r>
        <w:t>20]</w:t>
      </w:r>
      <w:r w:rsidR="007561A2">
        <w:t>.</w:t>
      </w:r>
    </w:p>
    <w:p w14:paraId="7E15820A" w14:textId="3BA097B5" w:rsidR="008C1770" w:rsidRDefault="008C1770" w:rsidP="00A05224">
      <w:pPr>
        <w:ind w:hanging="720"/>
        <w:rPr>
          <w:rFonts w:cstheme="minorHAnsi"/>
        </w:rPr>
      </w:pPr>
      <w:proofErr w:type="spellStart"/>
      <w:r w:rsidRPr="00CD34D7">
        <w:rPr>
          <w:rFonts w:cstheme="minorHAnsi"/>
        </w:rPr>
        <w:t>Tatomir</w:t>
      </w:r>
      <w:proofErr w:type="spellEnd"/>
      <w:r w:rsidRPr="00CD34D7">
        <w:rPr>
          <w:rFonts w:cstheme="minorHAnsi"/>
        </w:rPr>
        <w:t xml:space="preserve">, R. (2015) ‘Egyptomania in Antiquity and in Modern World Literature. Imaginary, Intercultural context and mentality’, </w:t>
      </w:r>
      <w:r w:rsidRPr="00CD34D7">
        <w:rPr>
          <w:rFonts w:cstheme="minorHAnsi"/>
          <w:i/>
          <w:iCs/>
        </w:rPr>
        <w:t xml:space="preserve">Discourse as a Form of Multiculturalism in Literature and Communication, </w:t>
      </w:r>
      <w:r w:rsidRPr="00CD34D7">
        <w:rPr>
          <w:rFonts w:cstheme="minorHAnsi"/>
        </w:rPr>
        <w:t xml:space="preserve">pp, 566-581. </w:t>
      </w:r>
      <w:r w:rsidR="007561A2">
        <w:rPr>
          <w:rFonts w:cstheme="minorHAnsi"/>
        </w:rPr>
        <w:t xml:space="preserve">Available at: </w:t>
      </w:r>
      <w:r w:rsidRPr="00A9121A">
        <w:rPr>
          <w:rFonts w:cstheme="minorHAnsi"/>
        </w:rPr>
        <w:t>https://www.academia.edu/19750156/Egyptomania_in_Antiquity_and_in_Modern_World_Literature._Imaginary_Intercultural_Context_and_Mentality</w:t>
      </w:r>
      <w:r w:rsidRPr="00CD34D7">
        <w:rPr>
          <w:rFonts w:cstheme="minorHAnsi"/>
        </w:rPr>
        <w:t xml:space="preserve"> [Accessed 09/10/</w:t>
      </w:r>
      <w:r w:rsidR="008C7F66">
        <w:rPr>
          <w:rFonts w:cstheme="minorHAnsi"/>
        </w:rPr>
        <w:t>20</w:t>
      </w:r>
      <w:r w:rsidRPr="00CD34D7">
        <w:rPr>
          <w:rFonts w:cstheme="minorHAnsi"/>
        </w:rPr>
        <w:t>19]</w:t>
      </w:r>
      <w:r w:rsidR="007561A2">
        <w:rPr>
          <w:rFonts w:cstheme="minorHAnsi"/>
        </w:rPr>
        <w:t>.</w:t>
      </w:r>
    </w:p>
    <w:p w14:paraId="1A2ABA4A" w14:textId="1AE8C8E8" w:rsidR="008C1770" w:rsidRDefault="008C1770" w:rsidP="00A05224">
      <w:pPr>
        <w:ind w:hanging="720"/>
      </w:pPr>
      <w:r>
        <w:t>The American University in Cairo. (N.D</w:t>
      </w:r>
      <w:r w:rsidRPr="008C7F66">
        <w:rPr>
          <w:i/>
          <w:iCs/>
        </w:rPr>
        <w:t xml:space="preserve">) </w:t>
      </w:r>
      <w:proofErr w:type="spellStart"/>
      <w:r w:rsidRPr="008C7F66">
        <w:rPr>
          <w:i/>
          <w:iCs/>
        </w:rPr>
        <w:t>Salima</w:t>
      </w:r>
      <w:proofErr w:type="spellEnd"/>
      <w:r w:rsidRPr="008C7F66">
        <w:rPr>
          <w:i/>
          <w:iCs/>
        </w:rPr>
        <w:t xml:space="preserve"> Ikram.</w:t>
      </w:r>
      <w:r>
        <w:t xml:space="preserve"> Available at: </w:t>
      </w:r>
      <w:r w:rsidRPr="00A9121A">
        <w:t>https://www.aucegypt.edu/fac/salimaikram</w:t>
      </w:r>
      <w:r>
        <w:t xml:space="preserve"> [Accessed 23/03/</w:t>
      </w:r>
      <w:r w:rsidR="008C7F66">
        <w:t>20</w:t>
      </w:r>
      <w:r>
        <w:t>20]</w:t>
      </w:r>
      <w:r w:rsidR="007561A2">
        <w:t>.</w:t>
      </w:r>
    </w:p>
    <w:p w14:paraId="743957B6" w14:textId="6F703110" w:rsidR="008C1770" w:rsidRDefault="008C1770" w:rsidP="00A05224">
      <w:pPr>
        <w:ind w:hanging="720"/>
      </w:pPr>
      <w:r>
        <w:t xml:space="preserve">The British Museum. (2017) </w:t>
      </w:r>
      <w:r w:rsidRPr="003A169E">
        <w:rPr>
          <w:i/>
          <w:iCs/>
        </w:rPr>
        <w:t>Everything you ever wanted to know about the Rosetta Stone</w:t>
      </w:r>
      <w:r>
        <w:t xml:space="preserve">. Available at: </w:t>
      </w:r>
      <w:r w:rsidRPr="00A9121A">
        <w:t>https://blog.britishmuseum.org/everything-you-ever-wanted-to-know-about-the-rosetta-stone/</w:t>
      </w:r>
      <w:r>
        <w:t xml:space="preserve"> [Accessed: 01/12/</w:t>
      </w:r>
      <w:r w:rsidR="008C7F66">
        <w:t>20</w:t>
      </w:r>
      <w:r>
        <w:t>19]</w:t>
      </w:r>
      <w:r w:rsidR="007561A2">
        <w:t>.</w:t>
      </w:r>
    </w:p>
    <w:p w14:paraId="56E6CF1C" w14:textId="3E172946" w:rsidR="008C1770" w:rsidRDefault="008C1770" w:rsidP="00A05224">
      <w:pPr>
        <w:ind w:hanging="720"/>
      </w:pPr>
      <w:r>
        <w:t xml:space="preserve">The Fitzwilliam Museum. (2020) </w:t>
      </w:r>
      <w:r w:rsidRPr="00A87175">
        <w:rPr>
          <w:i/>
          <w:iCs/>
        </w:rPr>
        <w:t>Explorer: Belzoni, Giovanni Battista (1778-1823</w:t>
      </w:r>
      <w:r>
        <w:t xml:space="preserve">). Available at: </w:t>
      </w:r>
      <w:r w:rsidRPr="00A9121A">
        <w:t>https://www.fitzmuseum.cam.ac.uk/collections/egypt/collectionhistory/belzoni</w:t>
      </w:r>
      <w:r>
        <w:t xml:space="preserve"> [Accessed 22/03/2</w:t>
      </w:r>
      <w:r w:rsidR="00A87175">
        <w:t>02</w:t>
      </w:r>
      <w:r>
        <w:t>0]</w:t>
      </w:r>
      <w:r w:rsidR="007561A2">
        <w:t>.</w:t>
      </w:r>
    </w:p>
    <w:p w14:paraId="6FA457E2" w14:textId="2788EDD9" w:rsidR="008C1770" w:rsidRDefault="008C1770" w:rsidP="00A05224">
      <w:pPr>
        <w:ind w:hanging="720"/>
      </w:pPr>
      <w:r>
        <w:t xml:space="preserve">The Metropolitan Museum of Art. (2011) </w:t>
      </w:r>
      <w:r w:rsidRPr="00A87175">
        <w:rPr>
          <w:i/>
          <w:iCs/>
        </w:rPr>
        <w:t>Recent Research in Egyptian Art: Behind the Mask of Tutankhamun</w:t>
      </w:r>
      <w:r>
        <w:t xml:space="preserve">. Available at: </w:t>
      </w:r>
      <w:r w:rsidRPr="00A9121A">
        <w:t>https://www.youtube.com/watch?v=bxN1hm1TmJ0</w:t>
      </w:r>
      <w:r>
        <w:t xml:space="preserve"> [Accessed 23/03/</w:t>
      </w:r>
      <w:r w:rsidR="00A87175">
        <w:t>20</w:t>
      </w:r>
      <w:r>
        <w:t>20]</w:t>
      </w:r>
      <w:r w:rsidR="00DC1AA8">
        <w:t>.</w:t>
      </w:r>
    </w:p>
    <w:p w14:paraId="4B196623" w14:textId="7324B481" w:rsidR="002141BD" w:rsidRDefault="002141BD" w:rsidP="002141BD">
      <w:pPr>
        <w:ind w:hanging="720"/>
      </w:pPr>
      <w:r>
        <w:t xml:space="preserve">The New York Times. (2010) </w:t>
      </w:r>
      <w:r w:rsidRPr="002141BD">
        <w:rPr>
          <w:i/>
          <w:iCs/>
        </w:rPr>
        <w:t>Obituary. Howard Carter, 64, Egyptologist, dies</w:t>
      </w:r>
      <w:r>
        <w:t xml:space="preserve">. Available at: </w:t>
      </w:r>
      <w:r w:rsidRPr="002141BD">
        <w:t>https://archive.nytimes.com/www.nytimes.com/learning/general/onthisday/bday/0509.html?action=click&amp;contentCollection=meter-links-click&amp;contentId=&amp;mediaId=&amp;module=meter-Links&amp;pgtype=Blogs&amp;priority=true&amp;referrer=&amp;version=meter+at+null</w:t>
      </w:r>
      <w:r>
        <w:t xml:space="preserve"> [Accessed 05/05/2020].</w:t>
      </w:r>
    </w:p>
    <w:p w14:paraId="0ECC7CD4" w14:textId="203943BD" w:rsidR="008C1770" w:rsidRDefault="008C1770" w:rsidP="00A05224">
      <w:pPr>
        <w:ind w:hanging="720"/>
      </w:pPr>
      <w:r>
        <w:lastRenderedPageBreak/>
        <w:t>The Telegraph</w:t>
      </w:r>
      <w:r w:rsidR="00DC1AA8">
        <w:t xml:space="preserve">. </w:t>
      </w:r>
      <w:r>
        <w:t xml:space="preserve">(2010) </w:t>
      </w:r>
      <w:r w:rsidRPr="00A87175">
        <w:rPr>
          <w:i/>
          <w:iCs/>
        </w:rPr>
        <w:t>TGH James.</w:t>
      </w:r>
      <w:r>
        <w:t xml:space="preserve"> Available at: </w:t>
      </w:r>
      <w:r w:rsidRPr="00A9121A">
        <w:t>https://www.telegraph.co.uk/news/obituaries/7309463/TGH-James.html</w:t>
      </w:r>
      <w:r>
        <w:t xml:space="preserve"> [Accessed 23/03/</w:t>
      </w:r>
      <w:r w:rsidR="00A87175">
        <w:t>20</w:t>
      </w:r>
      <w:r>
        <w:t>20]</w:t>
      </w:r>
      <w:r w:rsidR="00DC1AA8">
        <w:t>.</w:t>
      </w:r>
    </w:p>
    <w:p w14:paraId="55DD9114" w14:textId="4FE8636E" w:rsidR="008C1770" w:rsidRDefault="008C1770" w:rsidP="00A05224">
      <w:pPr>
        <w:ind w:hanging="720"/>
        <w:rPr>
          <w:rFonts w:cstheme="minorHAnsi"/>
        </w:rPr>
      </w:pPr>
      <w:r>
        <w:rPr>
          <w:rFonts w:cstheme="minorHAnsi"/>
        </w:rPr>
        <w:t>The University of Cambridge. (2020</w:t>
      </w:r>
      <w:r w:rsidRPr="00A87175">
        <w:rPr>
          <w:rFonts w:cstheme="minorHAnsi"/>
          <w:i/>
          <w:iCs/>
        </w:rPr>
        <w:t>) Dr Allegra R P Fryxell</w:t>
      </w:r>
      <w:r>
        <w:rPr>
          <w:rFonts w:cstheme="minorHAnsi"/>
        </w:rPr>
        <w:t xml:space="preserve">. Available at: </w:t>
      </w:r>
      <w:r w:rsidRPr="00A9121A">
        <w:rPr>
          <w:rFonts w:cstheme="minorHAnsi"/>
        </w:rPr>
        <w:t>https://www.hist.cam.ac.uk/directory/allegra-fryxell</w:t>
      </w:r>
      <w:r>
        <w:rPr>
          <w:rFonts w:cstheme="minorHAnsi"/>
        </w:rPr>
        <w:t xml:space="preserve"> [Accessed 27/01/</w:t>
      </w:r>
      <w:r w:rsidR="00A87175">
        <w:rPr>
          <w:rFonts w:cstheme="minorHAnsi"/>
        </w:rPr>
        <w:t>20</w:t>
      </w:r>
      <w:r>
        <w:rPr>
          <w:rFonts w:cstheme="minorHAnsi"/>
        </w:rPr>
        <w:t>20]</w:t>
      </w:r>
      <w:r w:rsidR="00DC1AA8">
        <w:rPr>
          <w:rFonts w:cstheme="minorHAnsi"/>
        </w:rPr>
        <w:t>.</w:t>
      </w:r>
    </w:p>
    <w:p w14:paraId="301391B8" w14:textId="213B4E87" w:rsidR="008C1770" w:rsidRDefault="008C1770" w:rsidP="00A05224">
      <w:pPr>
        <w:ind w:hanging="720"/>
        <w:rPr>
          <w:rFonts w:cstheme="minorHAnsi"/>
        </w:rPr>
      </w:pPr>
      <w:r>
        <w:rPr>
          <w:rFonts w:cstheme="minorHAnsi"/>
        </w:rPr>
        <w:t>The University of Manchester. (2013</w:t>
      </w:r>
      <w:r w:rsidRPr="00A87175">
        <w:rPr>
          <w:rFonts w:cstheme="minorHAnsi"/>
          <w:i/>
          <w:iCs/>
        </w:rPr>
        <w:t xml:space="preserve">) Peoples historian becomes Manchester professor. </w:t>
      </w:r>
      <w:r>
        <w:rPr>
          <w:rFonts w:cstheme="minorHAnsi"/>
        </w:rPr>
        <w:t xml:space="preserve">Available at: </w:t>
      </w:r>
      <w:r w:rsidRPr="00A9121A">
        <w:rPr>
          <w:rFonts w:cstheme="minorHAnsi"/>
        </w:rPr>
        <w:t>https://www.manchester.ac.uk/discover/news/peoples-historian-becomes-manchester-professor/</w:t>
      </w:r>
      <w:r>
        <w:rPr>
          <w:rFonts w:cstheme="minorHAnsi"/>
        </w:rPr>
        <w:t xml:space="preserve"> [Accessed 27/01/</w:t>
      </w:r>
      <w:r w:rsidR="00A87175">
        <w:rPr>
          <w:rFonts w:cstheme="minorHAnsi"/>
        </w:rPr>
        <w:t>20</w:t>
      </w:r>
      <w:r>
        <w:rPr>
          <w:rFonts w:cstheme="minorHAnsi"/>
        </w:rPr>
        <w:t>20]</w:t>
      </w:r>
      <w:r w:rsidR="00DC1AA8">
        <w:rPr>
          <w:rFonts w:cstheme="minorHAnsi"/>
        </w:rPr>
        <w:t>.</w:t>
      </w:r>
    </w:p>
    <w:p w14:paraId="79CA176F" w14:textId="5DBB5679" w:rsidR="008C1770" w:rsidRDefault="008C1770" w:rsidP="00A05224">
      <w:pPr>
        <w:ind w:hanging="720"/>
        <w:rPr>
          <w:rFonts w:cstheme="minorHAnsi"/>
        </w:rPr>
      </w:pPr>
      <w:r w:rsidRPr="00141743">
        <w:rPr>
          <w:rFonts w:cstheme="minorHAnsi"/>
        </w:rPr>
        <w:t xml:space="preserve">Thompson, J. (2016) </w:t>
      </w:r>
      <w:r w:rsidRPr="00141743">
        <w:rPr>
          <w:rFonts w:cstheme="minorHAnsi"/>
          <w:i/>
          <w:iCs/>
        </w:rPr>
        <w:t>Wonderful Things: A History of Egyptology. Vol 2 The Golden Age: 1881-1914</w:t>
      </w:r>
      <w:r w:rsidRPr="00141743">
        <w:rPr>
          <w:rFonts w:cstheme="minorHAnsi"/>
        </w:rPr>
        <w:t xml:space="preserve">. </w:t>
      </w:r>
      <w:r w:rsidR="00DC1AA8">
        <w:rPr>
          <w:rFonts w:cstheme="minorHAnsi"/>
        </w:rPr>
        <w:t xml:space="preserve">Cairo: </w:t>
      </w:r>
      <w:r w:rsidRPr="00141743">
        <w:rPr>
          <w:rFonts w:cstheme="minorHAnsi"/>
        </w:rPr>
        <w:t>The American University in Cairo Press.</w:t>
      </w:r>
    </w:p>
    <w:p w14:paraId="58F1E420" w14:textId="76F139B8" w:rsidR="008C1770" w:rsidRDefault="008C1770" w:rsidP="00A05224">
      <w:pPr>
        <w:ind w:hanging="720"/>
      </w:pPr>
      <w:r>
        <w:t>Wasson, D. L. (2016</w:t>
      </w:r>
      <w:r w:rsidRPr="004334E1">
        <w:rPr>
          <w:i/>
          <w:iCs/>
        </w:rPr>
        <w:t>) Ancient Roman Family Life</w:t>
      </w:r>
      <w:r>
        <w:t xml:space="preserve">. Available at: </w:t>
      </w:r>
      <w:r w:rsidRPr="00A9121A">
        <w:t>https://www.ancient.eu/article/870/ancient-roman-family-life/</w:t>
      </w:r>
      <w:r>
        <w:t xml:space="preserve"> [Accessed 01/12/</w:t>
      </w:r>
      <w:r w:rsidR="004334E1">
        <w:t>20</w:t>
      </w:r>
      <w:r>
        <w:t>19]</w:t>
      </w:r>
      <w:r w:rsidR="00DC1AA8">
        <w:t>.</w:t>
      </w:r>
    </w:p>
    <w:p w14:paraId="05B17919" w14:textId="51AE3F8F" w:rsidR="0017213F" w:rsidRPr="00CF15EC" w:rsidRDefault="0017213F" w:rsidP="0017213F">
      <w:pPr>
        <w:ind w:hanging="720"/>
        <w:rPr>
          <w:rFonts w:cstheme="minorHAnsi"/>
        </w:rPr>
      </w:pPr>
      <w:r w:rsidRPr="00CF15EC">
        <w:rPr>
          <w:rFonts w:cstheme="minorHAnsi"/>
        </w:rPr>
        <w:t xml:space="preserve">Wendell, C. (2012) </w:t>
      </w:r>
      <w:r w:rsidRPr="000141EC">
        <w:rPr>
          <w:rFonts w:cstheme="minorHAnsi"/>
          <w:i/>
          <w:iCs/>
        </w:rPr>
        <w:t xml:space="preserve">‘Lutfi al-Sayyid’, </w:t>
      </w:r>
      <w:r>
        <w:rPr>
          <w:rFonts w:cstheme="minorHAnsi"/>
          <w:i/>
          <w:iCs/>
        </w:rPr>
        <w:t xml:space="preserve">in </w:t>
      </w:r>
      <w:r w:rsidRPr="00CF15EC">
        <w:rPr>
          <w:rFonts w:cstheme="minorHAnsi"/>
        </w:rPr>
        <w:t>Bearman</w:t>
      </w:r>
      <w:r w:rsidR="00397822">
        <w:rPr>
          <w:rFonts w:cstheme="minorHAnsi"/>
        </w:rPr>
        <w:t>,</w:t>
      </w:r>
      <w:r w:rsidRPr="00CF15EC">
        <w:rPr>
          <w:rFonts w:cstheme="minorHAnsi"/>
        </w:rPr>
        <w:t xml:space="preserve"> P</w:t>
      </w:r>
      <w:r w:rsidR="00397822">
        <w:rPr>
          <w:rFonts w:cstheme="minorHAnsi"/>
        </w:rPr>
        <w:t>.</w:t>
      </w:r>
      <w:r w:rsidRPr="00CF15EC">
        <w:rPr>
          <w:rFonts w:cstheme="minorHAnsi"/>
        </w:rPr>
        <w:t xml:space="preserve">, </w:t>
      </w:r>
      <w:proofErr w:type="spellStart"/>
      <w:r w:rsidRPr="00CF15EC">
        <w:rPr>
          <w:rFonts w:cstheme="minorHAnsi"/>
        </w:rPr>
        <w:t>Bianquis</w:t>
      </w:r>
      <w:proofErr w:type="spellEnd"/>
      <w:r w:rsidR="00397822">
        <w:rPr>
          <w:rFonts w:cstheme="minorHAnsi"/>
        </w:rPr>
        <w:t>,</w:t>
      </w:r>
      <w:r w:rsidRPr="00CF15EC">
        <w:rPr>
          <w:rFonts w:cstheme="minorHAnsi"/>
        </w:rPr>
        <w:t xml:space="preserve"> T</w:t>
      </w:r>
      <w:r w:rsidR="00397822">
        <w:rPr>
          <w:rFonts w:cstheme="minorHAnsi"/>
        </w:rPr>
        <w:t>.</w:t>
      </w:r>
      <w:r w:rsidRPr="00CF15EC">
        <w:rPr>
          <w:rFonts w:cstheme="minorHAnsi"/>
        </w:rPr>
        <w:t>, Bosworth</w:t>
      </w:r>
      <w:r w:rsidR="00397822">
        <w:rPr>
          <w:rFonts w:cstheme="minorHAnsi"/>
        </w:rPr>
        <w:t>,</w:t>
      </w:r>
      <w:r w:rsidRPr="00CF15EC">
        <w:rPr>
          <w:rFonts w:cstheme="minorHAnsi"/>
        </w:rPr>
        <w:t xml:space="preserve"> C.E</w:t>
      </w:r>
      <w:r w:rsidR="00397822">
        <w:rPr>
          <w:rFonts w:cstheme="minorHAnsi"/>
        </w:rPr>
        <w:t>.</w:t>
      </w:r>
      <w:r w:rsidRPr="00CF15EC">
        <w:rPr>
          <w:rFonts w:cstheme="minorHAnsi"/>
        </w:rPr>
        <w:t xml:space="preserve">, Van </w:t>
      </w:r>
      <w:proofErr w:type="spellStart"/>
      <w:r w:rsidRPr="00CF15EC">
        <w:rPr>
          <w:rFonts w:cstheme="minorHAnsi"/>
        </w:rPr>
        <w:t>Donzel</w:t>
      </w:r>
      <w:proofErr w:type="spellEnd"/>
      <w:r w:rsidR="00397822">
        <w:rPr>
          <w:rFonts w:cstheme="minorHAnsi"/>
        </w:rPr>
        <w:t>,</w:t>
      </w:r>
      <w:r w:rsidRPr="00CF15EC">
        <w:rPr>
          <w:rFonts w:cstheme="minorHAnsi"/>
        </w:rPr>
        <w:t xml:space="preserve"> E</w:t>
      </w:r>
      <w:r w:rsidR="00397822">
        <w:rPr>
          <w:rFonts w:cstheme="minorHAnsi"/>
        </w:rPr>
        <w:t>.</w:t>
      </w:r>
      <w:r w:rsidRPr="00CF15EC">
        <w:rPr>
          <w:rFonts w:cstheme="minorHAnsi"/>
        </w:rPr>
        <w:t>,</w:t>
      </w:r>
      <w:r w:rsidR="00397822">
        <w:rPr>
          <w:rFonts w:cstheme="minorHAnsi"/>
        </w:rPr>
        <w:t xml:space="preserve"> and</w:t>
      </w:r>
      <w:r w:rsidRPr="00CF15EC">
        <w:rPr>
          <w:rFonts w:cstheme="minorHAnsi"/>
        </w:rPr>
        <w:t xml:space="preserve"> Heinrichs</w:t>
      </w:r>
      <w:r w:rsidR="00397822">
        <w:rPr>
          <w:rFonts w:cstheme="minorHAnsi"/>
        </w:rPr>
        <w:t>,</w:t>
      </w:r>
      <w:r w:rsidRPr="00CF15EC">
        <w:rPr>
          <w:rFonts w:cstheme="minorHAnsi"/>
        </w:rPr>
        <w:t xml:space="preserve"> W.P. (eds</w:t>
      </w:r>
      <w:r>
        <w:rPr>
          <w:rFonts w:cstheme="minorHAnsi"/>
        </w:rPr>
        <w:t>.</w:t>
      </w:r>
      <w:r w:rsidRPr="00CF15EC">
        <w:rPr>
          <w:rFonts w:cstheme="minorHAnsi"/>
        </w:rPr>
        <w:t>)</w:t>
      </w:r>
      <w:r>
        <w:rPr>
          <w:rFonts w:cstheme="minorHAnsi"/>
        </w:rPr>
        <w:t xml:space="preserve"> </w:t>
      </w:r>
      <w:r w:rsidRPr="000141EC">
        <w:rPr>
          <w:rFonts w:cstheme="minorHAnsi"/>
          <w:i/>
          <w:iCs/>
        </w:rPr>
        <w:t>Encyclopaedia of Islam,</w:t>
      </w:r>
      <w:r w:rsidRPr="00CF15EC">
        <w:rPr>
          <w:rFonts w:cstheme="minorHAnsi"/>
        </w:rPr>
        <w:t xml:space="preserve"> 2</w:t>
      </w:r>
      <w:r w:rsidRPr="00CF15EC">
        <w:rPr>
          <w:rFonts w:cstheme="minorHAnsi"/>
          <w:vertAlign w:val="superscript"/>
        </w:rPr>
        <w:t>nd</w:t>
      </w:r>
      <w:r w:rsidRPr="00CF15EC">
        <w:rPr>
          <w:rFonts w:cstheme="minorHAnsi"/>
        </w:rPr>
        <w:t xml:space="preserve"> </w:t>
      </w:r>
      <w:proofErr w:type="spellStart"/>
      <w:r w:rsidRPr="00CF15EC">
        <w:rPr>
          <w:rFonts w:cstheme="minorHAnsi"/>
        </w:rPr>
        <w:t>ed</w:t>
      </w:r>
      <w:r>
        <w:rPr>
          <w:rFonts w:cstheme="minorHAnsi"/>
        </w:rPr>
        <w:t>n</w:t>
      </w:r>
      <w:proofErr w:type="spellEnd"/>
      <w:r w:rsidRPr="00CF15EC">
        <w:rPr>
          <w:rFonts w:cstheme="minorHAnsi"/>
        </w:rPr>
        <w:t>.</w:t>
      </w:r>
      <w:r>
        <w:rPr>
          <w:rFonts w:cstheme="minorHAnsi"/>
        </w:rPr>
        <w:t xml:space="preserve"> Available at:</w:t>
      </w:r>
      <w:r w:rsidRPr="00CF15EC">
        <w:rPr>
          <w:rFonts w:cstheme="minorHAnsi"/>
        </w:rPr>
        <w:t xml:space="preserve"> </w:t>
      </w:r>
      <w:r w:rsidRPr="00F56B5E">
        <w:rPr>
          <w:rFonts w:cstheme="minorHAnsi"/>
        </w:rPr>
        <w:t>http://dx.doi.org/10.1163/1573-3912_islam_SIM_4705</w:t>
      </w:r>
      <w:r>
        <w:rPr>
          <w:rFonts w:cstheme="minorHAnsi"/>
        </w:rPr>
        <w:t xml:space="preserve"> [Accessed 01/12/2019]. </w:t>
      </w:r>
    </w:p>
    <w:p w14:paraId="177C0DF0" w14:textId="77777777" w:rsidR="008C1770" w:rsidRPr="00141743" w:rsidRDefault="008C1770" w:rsidP="00A05224">
      <w:pPr>
        <w:ind w:hanging="720"/>
        <w:rPr>
          <w:rFonts w:cstheme="minorHAnsi"/>
        </w:rPr>
      </w:pPr>
      <w:r>
        <w:rPr>
          <w:rFonts w:cstheme="minorHAnsi"/>
        </w:rPr>
        <w:t xml:space="preserve">Wilkinson, R. H. (2008) </w:t>
      </w:r>
      <w:r w:rsidRPr="00E77A31">
        <w:rPr>
          <w:rFonts w:cstheme="minorHAnsi"/>
          <w:i/>
          <w:iCs/>
        </w:rPr>
        <w:t>Egyptology Today</w:t>
      </w:r>
      <w:r>
        <w:rPr>
          <w:rFonts w:cstheme="minorHAnsi"/>
        </w:rPr>
        <w:t xml:space="preserve">. Cambridge: Cambridge University Press. </w:t>
      </w:r>
    </w:p>
    <w:p w14:paraId="0D2F7281" w14:textId="08BF4FF7" w:rsidR="008C1770" w:rsidRPr="00557BF0" w:rsidRDefault="008C1770" w:rsidP="00A05224">
      <w:pPr>
        <w:ind w:hanging="720"/>
        <w:rPr>
          <w:rFonts w:cstheme="minorHAnsi"/>
        </w:rPr>
      </w:pPr>
      <w:r>
        <w:rPr>
          <w:rFonts w:cstheme="minorHAnsi"/>
        </w:rPr>
        <w:t xml:space="preserve">Wilson, J. T. (1938) ‘Sir Grafton Elliot Smith. 1871-1937’, </w:t>
      </w:r>
      <w:r w:rsidRPr="004334E1">
        <w:rPr>
          <w:rFonts w:cstheme="minorHAnsi"/>
          <w:i/>
          <w:iCs/>
        </w:rPr>
        <w:t xml:space="preserve">Obituary Notices of Fellows of the Royal Society, </w:t>
      </w:r>
      <w:r>
        <w:rPr>
          <w:rFonts w:cstheme="minorHAnsi"/>
        </w:rPr>
        <w:t xml:space="preserve">2(6), pp.322-333, </w:t>
      </w:r>
      <w:r w:rsidRPr="00A9121A">
        <w:rPr>
          <w:rFonts w:cstheme="minorHAnsi"/>
        </w:rPr>
        <w:t>https://www.jstor.org/stable/769069?seq=1#metadata_info_tab_contents</w:t>
      </w:r>
      <w:r>
        <w:rPr>
          <w:rFonts w:cstheme="minorHAnsi"/>
        </w:rPr>
        <w:t xml:space="preserve"> [Accessed 22/01/</w:t>
      </w:r>
      <w:r w:rsidR="004334E1">
        <w:rPr>
          <w:rFonts w:cstheme="minorHAnsi"/>
        </w:rPr>
        <w:t>20</w:t>
      </w:r>
      <w:r>
        <w:rPr>
          <w:rFonts w:cstheme="minorHAnsi"/>
        </w:rPr>
        <w:t>20]</w:t>
      </w:r>
      <w:r w:rsidR="00D07508">
        <w:rPr>
          <w:rFonts w:cstheme="minorHAnsi"/>
        </w:rPr>
        <w:t>.</w:t>
      </w:r>
    </w:p>
    <w:p w14:paraId="704868D2" w14:textId="59D2ECB3" w:rsidR="008C1770" w:rsidRDefault="008C1770" w:rsidP="00A05224">
      <w:pPr>
        <w:ind w:hanging="720"/>
      </w:pPr>
      <w:r w:rsidRPr="00141743">
        <w:t xml:space="preserve">Wood, M. (1998) ‘The Use of the Pharaonic Past in Modern Egyptian Nationalism’, </w:t>
      </w:r>
      <w:r w:rsidRPr="00141743">
        <w:rPr>
          <w:i/>
          <w:iCs/>
        </w:rPr>
        <w:t xml:space="preserve">Journal of the American Research </w:t>
      </w:r>
      <w:r w:rsidR="00D07508" w:rsidRPr="00141743">
        <w:rPr>
          <w:i/>
          <w:iCs/>
        </w:rPr>
        <w:t>Centre</w:t>
      </w:r>
      <w:r w:rsidRPr="00141743">
        <w:rPr>
          <w:i/>
          <w:iCs/>
        </w:rPr>
        <w:t xml:space="preserve"> in Egypt, </w:t>
      </w:r>
      <w:r w:rsidRPr="00141743">
        <w:t>35, pp. 179-196</w:t>
      </w:r>
      <w:r w:rsidR="00D07508">
        <w:t xml:space="preserve">. Available at: </w:t>
      </w:r>
      <w:r w:rsidRPr="00A9121A">
        <w:t>https://www.jstor.org/stable/40000469#metadata_info_tab_contents</w:t>
      </w:r>
      <w:r w:rsidRPr="00141743">
        <w:t>, [Accessed 27/07/2019]</w:t>
      </w:r>
      <w:r w:rsidR="00D07508">
        <w:t xml:space="preserve">. </w:t>
      </w:r>
    </w:p>
    <w:p w14:paraId="24EA35B4" w14:textId="0BCF6E90" w:rsidR="008C1770" w:rsidRDefault="008C1770" w:rsidP="00A05224">
      <w:pPr>
        <w:ind w:hanging="720"/>
      </w:pPr>
      <w:r>
        <w:t xml:space="preserve">Woodward, D. R. (2011) </w:t>
      </w:r>
      <w:r w:rsidRPr="004334E1">
        <w:rPr>
          <w:i/>
          <w:iCs/>
        </w:rPr>
        <w:t>The Middle East during World War one</w:t>
      </w:r>
      <w:r>
        <w:t xml:space="preserve">. Available at: </w:t>
      </w:r>
      <w:r w:rsidRPr="00A9121A">
        <w:t>http://www.bbc.co.uk/history/worldwars/wwone/middle_east_01.shtml</w:t>
      </w:r>
      <w:r>
        <w:t xml:space="preserve"> [Accessed 28/01/</w:t>
      </w:r>
      <w:r w:rsidR="004334E1">
        <w:t>20</w:t>
      </w:r>
      <w:r>
        <w:t>20]</w:t>
      </w:r>
      <w:r w:rsidR="00D07508">
        <w:t>.</w:t>
      </w:r>
    </w:p>
    <w:p w14:paraId="4E360834" w14:textId="387FC4F4" w:rsidR="002117A2" w:rsidRDefault="008C1770" w:rsidP="00A05224">
      <w:pPr>
        <w:ind w:hanging="720"/>
      </w:pPr>
      <w:r>
        <w:t xml:space="preserve">World Archaeology. (2008) </w:t>
      </w:r>
      <w:r w:rsidRPr="004334E1">
        <w:rPr>
          <w:i/>
          <w:iCs/>
        </w:rPr>
        <w:t>Tutankhamun: Exhibition</w:t>
      </w:r>
      <w:r>
        <w:t xml:space="preserve">. Available at: </w:t>
      </w:r>
      <w:r w:rsidRPr="00A9121A">
        <w:t>https://www.world-archaeology.com/world/africa/egypt/tutankhamun-exhibition/</w:t>
      </w:r>
      <w:r>
        <w:t xml:space="preserve"> [Accessed 08/12/</w:t>
      </w:r>
      <w:r w:rsidR="004334E1">
        <w:t>20</w:t>
      </w:r>
      <w:r>
        <w:t>19]</w:t>
      </w:r>
      <w:r w:rsidR="00D07508">
        <w:t xml:space="preserve">. </w:t>
      </w:r>
    </w:p>
    <w:sectPr w:rsidR="002117A2" w:rsidSect="00327351">
      <w:headerReference w:type="first" r:id="rId22"/>
      <w:footerReference w:type="first" r:id="rId2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760981" w14:textId="77777777" w:rsidR="00E45F75" w:rsidRDefault="00E45F75" w:rsidP="00105905">
      <w:pPr>
        <w:spacing w:after="0" w:line="240" w:lineRule="auto"/>
      </w:pPr>
      <w:r>
        <w:separator/>
      </w:r>
    </w:p>
  </w:endnote>
  <w:endnote w:type="continuationSeparator" w:id="0">
    <w:p w14:paraId="1185ABFD" w14:textId="77777777" w:rsidR="00E45F75" w:rsidRDefault="00E45F75" w:rsidP="00105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9031464"/>
      <w:docPartObj>
        <w:docPartGallery w:val="Page Numbers (Bottom of Page)"/>
        <w:docPartUnique/>
      </w:docPartObj>
    </w:sdtPr>
    <w:sdtEndPr>
      <w:rPr>
        <w:noProof/>
      </w:rPr>
    </w:sdtEndPr>
    <w:sdtContent>
      <w:p w14:paraId="738CF31E" w14:textId="1E8B8E4D" w:rsidR="00536485" w:rsidRDefault="005364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C1D0FA" w14:textId="77777777" w:rsidR="00536485" w:rsidRDefault="005364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A41410" w14:textId="152476C3" w:rsidR="00536485" w:rsidRDefault="00536485">
    <w:pPr>
      <w:pStyle w:val="Footer"/>
      <w:jc w:val="center"/>
    </w:pPr>
  </w:p>
  <w:p w14:paraId="3DA2B255" w14:textId="77777777" w:rsidR="00536485" w:rsidRDefault="0053648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5913390"/>
      <w:docPartObj>
        <w:docPartGallery w:val="Page Numbers (Bottom of Page)"/>
        <w:docPartUnique/>
      </w:docPartObj>
    </w:sdtPr>
    <w:sdtEndPr>
      <w:rPr>
        <w:noProof/>
      </w:rPr>
    </w:sdtEndPr>
    <w:sdtContent>
      <w:p w14:paraId="5571F9B9" w14:textId="7FD012F6" w:rsidR="00536485" w:rsidRDefault="005364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01021F" w14:textId="77777777" w:rsidR="00536485" w:rsidRDefault="005364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6F7038" w14:textId="77777777" w:rsidR="00E45F75" w:rsidRDefault="00E45F75" w:rsidP="00105905">
      <w:pPr>
        <w:spacing w:after="0" w:line="240" w:lineRule="auto"/>
      </w:pPr>
      <w:r>
        <w:separator/>
      </w:r>
    </w:p>
  </w:footnote>
  <w:footnote w:type="continuationSeparator" w:id="0">
    <w:p w14:paraId="6F1FF364" w14:textId="77777777" w:rsidR="00E45F75" w:rsidRDefault="00E45F75" w:rsidP="00105905">
      <w:pPr>
        <w:spacing w:after="0" w:line="240" w:lineRule="auto"/>
      </w:pPr>
      <w:r>
        <w:continuationSeparator/>
      </w:r>
    </w:p>
  </w:footnote>
  <w:footnote w:id="1">
    <w:p w14:paraId="47EB3E74" w14:textId="79CDA54A" w:rsidR="00536485" w:rsidRDefault="00536485">
      <w:pPr>
        <w:pStyle w:val="FootnoteText"/>
      </w:pPr>
      <w:r>
        <w:rPr>
          <w:rStyle w:val="FootnoteReference"/>
        </w:rPr>
        <w:footnoteRef/>
      </w:r>
      <w:r>
        <w:t xml:space="preserve"> Parkinson, 2008 ;1</w:t>
      </w:r>
    </w:p>
  </w:footnote>
  <w:footnote w:id="2">
    <w:p w14:paraId="0767E49D" w14:textId="77777777" w:rsidR="00536485" w:rsidRDefault="00536485" w:rsidP="00105905">
      <w:pPr>
        <w:pStyle w:val="FootnoteText"/>
      </w:pPr>
      <w:r>
        <w:rPr>
          <w:rStyle w:val="FootnoteReference"/>
        </w:rPr>
        <w:footnoteRef/>
      </w:r>
      <w:r>
        <w:t xml:space="preserve"> </w:t>
      </w:r>
      <w:proofErr w:type="spellStart"/>
      <w:r>
        <w:t>Lexico</w:t>
      </w:r>
      <w:proofErr w:type="spellEnd"/>
      <w:r>
        <w:t>, N.D</w:t>
      </w:r>
    </w:p>
  </w:footnote>
  <w:footnote w:id="3">
    <w:p w14:paraId="2C00221C" w14:textId="470A59DA" w:rsidR="00536485" w:rsidRDefault="00536485">
      <w:pPr>
        <w:pStyle w:val="FootnoteText"/>
      </w:pPr>
      <w:r>
        <w:rPr>
          <w:rStyle w:val="FootnoteReference"/>
        </w:rPr>
        <w:footnoteRef/>
      </w:r>
      <w:r>
        <w:t xml:space="preserve"> Geographic, 2010</w:t>
      </w:r>
    </w:p>
  </w:footnote>
  <w:footnote w:id="4">
    <w:p w14:paraId="756744CE" w14:textId="77777777" w:rsidR="00536485" w:rsidRDefault="00536485" w:rsidP="00105905">
      <w:pPr>
        <w:pStyle w:val="FootnoteText"/>
      </w:pPr>
      <w:r>
        <w:rPr>
          <w:rStyle w:val="FootnoteReference"/>
        </w:rPr>
        <w:footnoteRef/>
      </w:r>
      <w:r>
        <w:t xml:space="preserve"> </w:t>
      </w:r>
      <w:proofErr w:type="spellStart"/>
      <w:r>
        <w:t>Augustyn</w:t>
      </w:r>
      <w:proofErr w:type="spellEnd"/>
      <w:r>
        <w:t xml:space="preserve">, 2019 </w:t>
      </w:r>
    </w:p>
  </w:footnote>
  <w:footnote w:id="5">
    <w:p w14:paraId="15C78E05" w14:textId="77777777" w:rsidR="00536485" w:rsidRDefault="00536485" w:rsidP="00105905">
      <w:pPr>
        <w:pStyle w:val="FootnoteText"/>
      </w:pPr>
      <w:r>
        <w:rPr>
          <w:rStyle w:val="FootnoteReference"/>
        </w:rPr>
        <w:footnoteRef/>
      </w:r>
      <w:r>
        <w:t xml:space="preserve"> </w:t>
      </w:r>
      <w:proofErr w:type="spellStart"/>
      <w:r>
        <w:t>Tatomir</w:t>
      </w:r>
      <w:proofErr w:type="spellEnd"/>
      <w:r>
        <w:t>, 2015; 571</w:t>
      </w:r>
    </w:p>
  </w:footnote>
  <w:footnote w:id="6">
    <w:p w14:paraId="23A020F9" w14:textId="77777777" w:rsidR="00536485" w:rsidRDefault="00536485" w:rsidP="00105905">
      <w:pPr>
        <w:pStyle w:val="FootnoteText"/>
      </w:pPr>
      <w:r>
        <w:rPr>
          <w:rStyle w:val="FootnoteReference"/>
        </w:rPr>
        <w:footnoteRef/>
      </w:r>
      <w:r>
        <w:t xml:space="preserve"> </w:t>
      </w:r>
      <w:proofErr w:type="spellStart"/>
      <w:r>
        <w:t>Tatomir</w:t>
      </w:r>
      <w:proofErr w:type="spellEnd"/>
      <w:r>
        <w:t>, 2015; 572</w:t>
      </w:r>
    </w:p>
  </w:footnote>
  <w:footnote w:id="7">
    <w:p w14:paraId="511DAB0D" w14:textId="77777777" w:rsidR="00536485" w:rsidRDefault="00536485" w:rsidP="00105905">
      <w:pPr>
        <w:pStyle w:val="FootnoteText"/>
      </w:pPr>
      <w:r>
        <w:rPr>
          <w:rStyle w:val="FootnoteReference"/>
        </w:rPr>
        <w:footnoteRef/>
      </w:r>
      <w:r>
        <w:t xml:space="preserve"> </w:t>
      </w:r>
      <w:proofErr w:type="spellStart"/>
      <w:r>
        <w:t>Tatomir</w:t>
      </w:r>
      <w:proofErr w:type="spellEnd"/>
      <w:r>
        <w:t>, 2015; 574</w:t>
      </w:r>
    </w:p>
  </w:footnote>
  <w:footnote w:id="8">
    <w:p w14:paraId="7A37ED35" w14:textId="77777777" w:rsidR="00536485" w:rsidRDefault="00536485" w:rsidP="00105905">
      <w:pPr>
        <w:pStyle w:val="FootnoteText"/>
      </w:pPr>
      <w:r>
        <w:rPr>
          <w:rStyle w:val="FootnoteReference"/>
        </w:rPr>
        <w:footnoteRef/>
      </w:r>
      <w:r>
        <w:t xml:space="preserve"> Encyclopaedia Britannica, 2018</w:t>
      </w:r>
    </w:p>
  </w:footnote>
  <w:footnote w:id="9">
    <w:p w14:paraId="4E940223" w14:textId="77777777" w:rsidR="00536485" w:rsidRDefault="00536485" w:rsidP="00105905">
      <w:pPr>
        <w:pStyle w:val="FootnoteText"/>
      </w:pPr>
      <w:r>
        <w:rPr>
          <w:rStyle w:val="FootnoteReference"/>
        </w:rPr>
        <w:footnoteRef/>
      </w:r>
      <w:r>
        <w:t xml:space="preserve"> </w:t>
      </w:r>
      <w:proofErr w:type="spellStart"/>
      <w:r>
        <w:t>Tatomir</w:t>
      </w:r>
      <w:proofErr w:type="spellEnd"/>
      <w:r>
        <w:t>, 2015; 574</w:t>
      </w:r>
    </w:p>
  </w:footnote>
  <w:footnote w:id="10">
    <w:p w14:paraId="1F22EA89" w14:textId="77777777" w:rsidR="00536485" w:rsidRDefault="00536485" w:rsidP="00105905">
      <w:pPr>
        <w:pStyle w:val="FootnoteText"/>
      </w:pPr>
      <w:r>
        <w:rPr>
          <w:rStyle w:val="FootnoteReference"/>
        </w:rPr>
        <w:footnoteRef/>
      </w:r>
      <w:r>
        <w:t xml:space="preserve"> </w:t>
      </w:r>
      <w:proofErr w:type="spellStart"/>
      <w:r>
        <w:t>Tatomir</w:t>
      </w:r>
      <w:proofErr w:type="spellEnd"/>
      <w:r>
        <w:t>, 2015; 572</w:t>
      </w:r>
    </w:p>
  </w:footnote>
  <w:footnote w:id="11">
    <w:p w14:paraId="198C39E0" w14:textId="77777777" w:rsidR="00536485" w:rsidRDefault="00536485" w:rsidP="00105905">
      <w:pPr>
        <w:pStyle w:val="FootnoteText"/>
      </w:pPr>
      <w:r>
        <w:rPr>
          <w:rStyle w:val="FootnoteReference"/>
        </w:rPr>
        <w:footnoteRef/>
      </w:r>
      <w:r>
        <w:t xml:space="preserve"> </w:t>
      </w:r>
      <w:proofErr w:type="spellStart"/>
      <w:r>
        <w:t>Tatomir</w:t>
      </w:r>
      <w:proofErr w:type="spellEnd"/>
      <w:r>
        <w:t>, 2015; 572</w:t>
      </w:r>
    </w:p>
  </w:footnote>
  <w:footnote w:id="12">
    <w:p w14:paraId="33951161" w14:textId="77777777" w:rsidR="00536485" w:rsidRDefault="00536485" w:rsidP="00105905">
      <w:pPr>
        <w:pStyle w:val="FootnoteText"/>
      </w:pPr>
      <w:r>
        <w:rPr>
          <w:rStyle w:val="FootnoteReference"/>
        </w:rPr>
        <w:footnoteRef/>
      </w:r>
      <w:r>
        <w:t xml:space="preserve"> </w:t>
      </w:r>
      <w:proofErr w:type="spellStart"/>
      <w:r>
        <w:t>Tatomir</w:t>
      </w:r>
      <w:proofErr w:type="spellEnd"/>
      <w:r>
        <w:t>, 2015; 575</w:t>
      </w:r>
    </w:p>
  </w:footnote>
  <w:footnote w:id="13">
    <w:p w14:paraId="78C88941" w14:textId="77777777" w:rsidR="00536485" w:rsidRDefault="00536485" w:rsidP="00105905">
      <w:pPr>
        <w:pStyle w:val="FootnoteText"/>
      </w:pPr>
      <w:r>
        <w:rPr>
          <w:rStyle w:val="FootnoteReference"/>
        </w:rPr>
        <w:footnoteRef/>
      </w:r>
      <w:r>
        <w:t xml:space="preserve"> </w:t>
      </w:r>
      <w:proofErr w:type="spellStart"/>
      <w:r>
        <w:t>Tatomir</w:t>
      </w:r>
      <w:proofErr w:type="spellEnd"/>
      <w:r>
        <w:t>, 2015; 576</w:t>
      </w:r>
    </w:p>
  </w:footnote>
  <w:footnote w:id="14">
    <w:p w14:paraId="40468CB5" w14:textId="77777777" w:rsidR="00536485" w:rsidRDefault="00536485" w:rsidP="00105905">
      <w:pPr>
        <w:pStyle w:val="FootnoteText"/>
      </w:pPr>
      <w:r>
        <w:rPr>
          <w:rStyle w:val="FootnoteReference"/>
        </w:rPr>
        <w:footnoteRef/>
      </w:r>
      <w:r>
        <w:t xml:space="preserve"> Wasson, 2016 </w:t>
      </w:r>
    </w:p>
  </w:footnote>
  <w:footnote w:id="15">
    <w:p w14:paraId="6D90CC99" w14:textId="77777777" w:rsidR="00536485" w:rsidRDefault="00536485" w:rsidP="00105905">
      <w:pPr>
        <w:pStyle w:val="FootnoteText"/>
      </w:pPr>
      <w:r>
        <w:rPr>
          <w:rStyle w:val="FootnoteReference"/>
        </w:rPr>
        <w:footnoteRef/>
      </w:r>
      <w:r>
        <w:t xml:space="preserve"> </w:t>
      </w:r>
      <w:proofErr w:type="spellStart"/>
      <w:r>
        <w:t>Tatomir</w:t>
      </w:r>
      <w:proofErr w:type="spellEnd"/>
      <w:r>
        <w:t>, 2015; 576</w:t>
      </w:r>
    </w:p>
  </w:footnote>
  <w:footnote w:id="16">
    <w:p w14:paraId="67060968" w14:textId="77777777" w:rsidR="00536485" w:rsidRDefault="00536485" w:rsidP="00105905">
      <w:pPr>
        <w:pStyle w:val="FootnoteText"/>
      </w:pPr>
      <w:r>
        <w:rPr>
          <w:rStyle w:val="FootnoteReference"/>
        </w:rPr>
        <w:footnoteRef/>
      </w:r>
      <w:r>
        <w:t xml:space="preserve"> Reid, 2015; 20</w:t>
      </w:r>
    </w:p>
  </w:footnote>
  <w:footnote w:id="17">
    <w:p w14:paraId="6DA3D67C" w14:textId="77777777" w:rsidR="00536485" w:rsidRDefault="00536485" w:rsidP="00105905">
      <w:pPr>
        <w:pStyle w:val="FootnoteText"/>
      </w:pPr>
      <w:r>
        <w:rPr>
          <w:rStyle w:val="FootnoteReference"/>
        </w:rPr>
        <w:footnoteRef/>
      </w:r>
      <w:r>
        <w:t xml:space="preserve"> Wood, 1998; 190</w:t>
      </w:r>
    </w:p>
  </w:footnote>
  <w:footnote w:id="18">
    <w:p w14:paraId="41684EFB" w14:textId="77777777" w:rsidR="00536485" w:rsidRDefault="00536485" w:rsidP="00105905">
      <w:pPr>
        <w:pStyle w:val="FootnoteText"/>
      </w:pPr>
      <w:r>
        <w:rPr>
          <w:rStyle w:val="FootnoteReference"/>
        </w:rPr>
        <w:footnoteRef/>
      </w:r>
      <w:r>
        <w:t xml:space="preserve"> Janot, 2010; 56</w:t>
      </w:r>
    </w:p>
  </w:footnote>
  <w:footnote w:id="19">
    <w:p w14:paraId="054C561A" w14:textId="77777777" w:rsidR="00536485" w:rsidRDefault="00536485" w:rsidP="00105905">
      <w:pPr>
        <w:pStyle w:val="FootnoteText"/>
      </w:pPr>
      <w:r>
        <w:rPr>
          <w:rStyle w:val="FootnoteReference"/>
        </w:rPr>
        <w:footnoteRef/>
      </w:r>
      <w:r>
        <w:t xml:space="preserve"> </w:t>
      </w:r>
      <w:proofErr w:type="spellStart"/>
      <w:r>
        <w:t>Godechot</w:t>
      </w:r>
      <w:proofErr w:type="spellEnd"/>
      <w:r>
        <w:t>, 2019</w:t>
      </w:r>
    </w:p>
  </w:footnote>
  <w:footnote w:id="20">
    <w:p w14:paraId="5C8FD413" w14:textId="23BDCCE1" w:rsidR="00536485" w:rsidRDefault="00536485" w:rsidP="00105905">
      <w:pPr>
        <w:pStyle w:val="FootnoteText"/>
      </w:pPr>
      <w:r>
        <w:rPr>
          <w:rStyle w:val="FootnoteReference"/>
        </w:rPr>
        <w:footnoteRef/>
      </w:r>
      <w:r>
        <w:t xml:space="preserve"> Bell, 2010; 7. Wood, 1998; 189</w:t>
      </w:r>
    </w:p>
  </w:footnote>
  <w:footnote w:id="21">
    <w:p w14:paraId="14C7B253" w14:textId="77777777" w:rsidR="00536485" w:rsidRDefault="00536485" w:rsidP="00105905">
      <w:pPr>
        <w:pStyle w:val="FootnoteText"/>
      </w:pPr>
      <w:r>
        <w:rPr>
          <w:rStyle w:val="FootnoteReference"/>
        </w:rPr>
        <w:footnoteRef/>
      </w:r>
      <w:r>
        <w:t xml:space="preserve"> Wood, 1998; 189</w:t>
      </w:r>
    </w:p>
  </w:footnote>
  <w:footnote w:id="22">
    <w:p w14:paraId="4C10D053" w14:textId="77777777" w:rsidR="00536485" w:rsidRDefault="00536485" w:rsidP="00105905">
      <w:pPr>
        <w:pStyle w:val="FootnoteText"/>
      </w:pPr>
      <w:r>
        <w:rPr>
          <w:rStyle w:val="FootnoteReference"/>
        </w:rPr>
        <w:footnoteRef/>
      </w:r>
      <w:r>
        <w:t xml:space="preserve"> Wood, 1998; 189</w:t>
      </w:r>
    </w:p>
  </w:footnote>
  <w:footnote w:id="23">
    <w:p w14:paraId="3C14E681" w14:textId="77777777" w:rsidR="00536485" w:rsidRDefault="00536485" w:rsidP="00105905">
      <w:pPr>
        <w:pStyle w:val="FootnoteText"/>
      </w:pPr>
      <w:r>
        <w:rPr>
          <w:rStyle w:val="FootnoteReference"/>
        </w:rPr>
        <w:footnoteRef/>
      </w:r>
      <w:r>
        <w:t xml:space="preserve"> Wood, 1998; 189</w:t>
      </w:r>
    </w:p>
  </w:footnote>
  <w:footnote w:id="24">
    <w:p w14:paraId="08DBC15A" w14:textId="77777777" w:rsidR="00536485" w:rsidRDefault="00536485" w:rsidP="00105905">
      <w:pPr>
        <w:pStyle w:val="FootnoteText"/>
      </w:pPr>
      <w:r>
        <w:rPr>
          <w:rStyle w:val="FootnoteReference"/>
        </w:rPr>
        <w:footnoteRef/>
      </w:r>
      <w:r>
        <w:t xml:space="preserve"> Reid, 2003; 234. Wood, 1998; 189</w:t>
      </w:r>
    </w:p>
  </w:footnote>
  <w:footnote w:id="25">
    <w:p w14:paraId="71954F0B" w14:textId="77777777" w:rsidR="00536485" w:rsidRDefault="00536485" w:rsidP="00105905">
      <w:pPr>
        <w:pStyle w:val="FootnoteText"/>
      </w:pPr>
      <w:r>
        <w:rPr>
          <w:rStyle w:val="FootnoteReference"/>
        </w:rPr>
        <w:footnoteRef/>
      </w:r>
      <w:r>
        <w:t xml:space="preserve"> Reid, 2003; 234</w:t>
      </w:r>
    </w:p>
  </w:footnote>
  <w:footnote w:id="26">
    <w:p w14:paraId="08063F6D" w14:textId="77777777" w:rsidR="00536485" w:rsidRDefault="00536485" w:rsidP="00105905">
      <w:pPr>
        <w:pStyle w:val="FootnoteText"/>
      </w:pPr>
      <w:r>
        <w:rPr>
          <w:rStyle w:val="FootnoteReference"/>
        </w:rPr>
        <w:footnoteRef/>
      </w:r>
      <w:r>
        <w:t xml:space="preserve"> Napoleon.org, 2019 </w:t>
      </w:r>
    </w:p>
  </w:footnote>
  <w:footnote w:id="27">
    <w:p w14:paraId="72BBF7C2" w14:textId="77777777" w:rsidR="00536485" w:rsidRDefault="00536485" w:rsidP="00105905">
      <w:pPr>
        <w:pStyle w:val="FootnoteText"/>
      </w:pPr>
      <w:r>
        <w:rPr>
          <w:rStyle w:val="FootnoteReference"/>
        </w:rPr>
        <w:footnoteRef/>
      </w:r>
      <w:r>
        <w:t xml:space="preserve"> Marlowe, 1974</w:t>
      </w:r>
    </w:p>
  </w:footnote>
  <w:footnote w:id="28">
    <w:p w14:paraId="301CD267" w14:textId="77777777" w:rsidR="00536485" w:rsidRDefault="00536485" w:rsidP="00105905">
      <w:pPr>
        <w:pStyle w:val="FootnoteText"/>
      </w:pPr>
      <w:r>
        <w:rPr>
          <w:rStyle w:val="FootnoteReference"/>
        </w:rPr>
        <w:footnoteRef/>
      </w:r>
      <w:r>
        <w:t xml:space="preserve"> Marlowe, 1974; 9 </w:t>
      </w:r>
    </w:p>
  </w:footnote>
  <w:footnote w:id="29">
    <w:p w14:paraId="5CC075E2" w14:textId="77777777" w:rsidR="00536485" w:rsidRDefault="00536485" w:rsidP="00105905">
      <w:pPr>
        <w:pStyle w:val="FootnoteText"/>
      </w:pPr>
      <w:r>
        <w:rPr>
          <w:rStyle w:val="FootnoteReference"/>
        </w:rPr>
        <w:footnoteRef/>
      </w:r>
      <w:r>
        <w:t xml:space="preserve"> Wood, 1998; 190</w:t>
      </w:r>
    </w:p>
  </w:footnote>
  <w:footnote w:id="30">
    <w:p w14:paraId="5E774F58" w14:textId="77777777" w:rsidR="00536485" w:rsidRDefault="00536485" w:rsidP="00105905">
      <w:pPr>
        <w:pStyle w:val="FootnoteText"/>
      </w:pPr>
      <w:r>
        <w:rPr>
          <w:rStyle w:val="FootnoteReference"/>
        </w:rPr>
        <w:footnoteRef/>
      </w:r>
      <w:r>
        <w:t xml:space="preserve"> Wood, 1998; 190</w:t>
      </w:r>
    </w:p>
  </w:footnote>
  <w:footnote w:id="31">
    <w:p w14:paraId="222BC08E" w14:textId="77777777" w:rsidR="00536485" w:rsidRDefault="00536485" w:rsidP="00105905">
      <w:pPr>
        <w:pStyle w:val="FootnoteText"/>
      </w:pPr>
      <w:r>
        <w:rPr>
          <w:rStyle w:val="FootnoteReference"/>
        </w:rPr>
        <w:footnoteRef/>
      </w:r>
      <w:r>
        <w:t xml:space="preserve"> Bell, 2010; 10</w:t>
      </w:r>
    </w:p>
  </w:footnote>
  <w:footnote w:id="32">
    <w:p w14:paraId="0386DC69" w14:textId="42DC95FF" w:rsidR="00536485" w:rsidRDefault="00536485" w:rsidP="00105905">
      <w:pPr>
        <w:pStyle w:val="FootnoteText"/>
        <w:tabs>
          <w:tab w:val="left" w:pos="5010"/>
        </w:tabs>
      </w:pPr>
      <w:r>
        <w:rPr>
          <w:rStyle w:val="FootnoteReference"/>
        </w:rPr>
        <w:footnoteRef/>
      </w:r>
      <w:r>
        <w:t xml:space="preserve"> British Museum, 2017 </w:t>
      </w:r>
      <w:r>
        <w:tab/>
      </w:r>
    </w:p>
  </w:footnote>
  <w:footnote w:id="33">
    <w:p w14:paraId="67C24CEF" w14:textId="15F01EFA" w:rsidR="00536485" w:rsidRDefault="00536485" w:rsidP="00105905">
      <w:pPr>
        <w:pStyle w:val="FootnoteText"/>
      </w:pPr>
      <w:r>
        <w:rPr>
          <w:rStyle w:val="FootnoteReference"/>
        </w:rPr>
        <w:footnoteRef/>
      </w:r>
      <w:r>
        <w:t xml:space="preserve"> British Museum, 2017 </w:t>
      </w:r>
    </w:p>
  </w:footnote>
  <w:footnote w:id="34">
    <w:p w14:paraId="53CACD25" w14:textId="77777777" w:rsidR="00536485" w:rsidRDefault="00536485" w:rsidP="00105905">
      <w:pPr>
        <w:pStyle w:val="FootnoteText"/>
      </w:pPr>
      <w:r>
        <w:rPr>
          <w:rStyle w:val="FootnoteReference"/>
        </w:rPr>
        <w:footnoteRef/>
      </w:r>
      <w:r>
        <w:t xml:space="preserve"> Ikram, 2010; 45</w:t>
      </w:r>
    </w:p>
  </w:footnote>
  <w:footnote w:id="35">
    <w:p w14:paraId="05AF3E07" w14:textId="77777777" w:rsidR="00536485" w:rsidRDefault="00536485" w:rsidP="0015498B">
      <w:pPr>
        <w:pStyle w:val="FootnoteText"/>
      </w:pPr>
      <w:r>
        <w:rPr>
          <w:rStyle w:val="FootnoteReference"/>
        </w:rPr>
        <w:footnoteRef/>
      </w:r>
      <w:r>
        <w:t xml:space="preserve"> Brewer and Teeter, 2007; 8</w:t>
      </w:r>
    </w:p>
  </w:footnote>
  <w:footnote w:id="36">
    <w:p w14:paraId="2EEB4545" w14:textId="77777777" w:rsidR="00536485" w:rsidRDefault="00536485" w:rsidP="0015498B">
      <w:pPr>
        <w:pStyle w:val="FootnoteText"/>
      </w:pPr>
      <w:r>
        <w:rPr>
          <w:rStyle w:val="FootnoteReference"/>
        </w:rPr>
        <w:footnoteRef/>
      </w:r>
      <w:r>
        <w:t xml:space="preserve"> Brewer and Teeter, 2007; 8</w:t>
      </w:r>
    </w:p>
  </w:footnote>
  <w:footnote w:id="37">
    <w:p w14:paraId="12CD40C9" w14:textId="77777777" w:rsidR="00536485" w:rsidRDefault="00536485" w:rsidP="0015498B">
      <w:pPr>
        <w:pStyle w:val="FootnoteText"/>
      </w:pPr>
      <w:r>
        <w:rPr>
          <w:rStyle w:val="FootnoteReference"/>
        </w:rPr>
        <w:footnoteRef/>
      </w:r>
      <w:r>
        <w:t xml:space="preserve"> Richmond, 1977; 181</w:t>
      </w:r>
    </w:p>
  </w:footnote>
  <w:footnote w:id="38">
    <w:p w14:paraId="5E5A518A" w14:textId="77777777" w:rsidR="00536485" w:rsidRDefault="00536485" w:rsidP="00105905">
      <w:pPr>
        <w:pStyle w:val="FootnoteText"/>
      </w:pPr>
      <w:r>
        <w:rPr>
          <w:rStyle w:val="FootnoteReference"/>
        </w:rPr>
        <w:footnoteRef/>
      </w:r>
      <w:r>
        <w:t xml:space="preserve"> Connolly, 2009</w:t>
      </w:r>
    </w:p>
  </w:footnote>
  <w:footnote w:id="39">
    <w:p w14:paraId="49F70C80" w14:textId="77777777" w:rsidR="00536485" w:rsidRDefault="00536485" w:rsidP="00105905">
      <w:pPr>
        <w:pStyle w:val="FootnoteText"/>
      </w:pPr>
      <w:r>
        <w:rPr>
          <w:rStyle w:val="FootnoteReference"/>
        </w:rPr>
        <w:footnoteRef/>
      </w:r>
      <w:r>
        <w:t xml:space="preserve"> Ikram, 2010; 45</w:t>
      </w:r>
    </w:p>
  </w:footnote>
  <w:footnote w:id="40">
    <w:p w14:paraId="25A75D86" w14:textId="77777777" w:rsidR="00536485" w:rsidRDefault="00536485" w:rsidP="00105905">
      <w:pPr>
        <w:pStyle w:val="FootnoteText"/>
      </w:pPr>
      <w:r>
        <w:rPr>
          <w:rStyle w:val="FootnoteReference"/>
        </w:rPr>
        <w:footnoteRef/>
      </w:r>
      <w:r>
        <w:t xml:space="preserve"> Brewer and Teeter, 2007; 8-9</w:t>
      </w:r>
    </w:p>
  </w:footnote>
  <w:footnote w:id="41">
    <w:p w14:paraId="20BB9B0C" w14:textId="77777777" w:rsidR="00536485" w:rsidRDefault="00536485" w:rsidP="00105905">
      <w:pPr>
        <w:pStyle w:val="FootnoteText"/>
      </w:pPr>
      <w:r>
        <w:rPr>
          <w:rStyle w:val="FootnoteReference"/>
        </w:rPr>
        <w:footnoteRef/>
      </w:r>
      <w:r>
        <w:t xml:space="preserve"> Reid, 2015; 22</w:t>
      </w:r>
    </w:p>
  </w:footnote>
  <w:footnote w:id="42">
    <w:p w14:paraId="746AA6D8" w14:textId="77777777" w:rsidR="00536485" w:rsidRDefault="00536485" w:rsidP="00105905">
      <w:pPr>
        <w:pStyle w:val="FootnoteText"/>
      </w:pPr>
      <w:r>
        <w:rPr>
          <w:rStyle w:val="FootnoteReference"/>
        </w:rPr>
        <w:footnoteRef/>
      </w:r>
      <w:r>
        <w:t xml:space="preserve"> </w:t>
      </w:r>
      <w:proofErr w:type="spellStart"/>
      <w:r>
        <w:t>Tatomir</w:t>
      </w:r>
      <w:proofErr w:type="spellEnd"/>
      <w:r>
        <w:t>, 2015; 568</w:t>
      </w:r>
    </w:p>
  </w:footnote>
  <w:footnote w:id="43">
    <w:p w14:paraId="2B57A17B" w14:textId="77777777" w:rsidR="00536485" w:rsidRDefault="00536485" w:rsidP="005E6648">
      <w:pPr>
        <w:pStyle w:val="FootnoteText"/>
      </w:pPr>
      <w:r>
        <w:rPr>
          <w:rStyle w:val="FootnoteReference"/>
        </w:rPr>
        <w:footnoteRef/>
      </w:r>
      <w:r>
        <w:t xml:space="preserve"> Wood, 1998; 190</w:t>
      </w:r>
    </w:p>
  </w:footnote>
  <w:footnote w:id="44">
    <w:p w14:paraId="34CBF510" w14:textId="77777777" w:rsidR="00536485" w:rsidRDefault="00536485" w:rsidP="00105905">
      <w:pPr>
        <w:pStyle w:val="FootnoteText"/>
      </w:pPr>
      <w:r>
        <w:rPr>
          <w:rStyle w:val="FootnoteReference"/>
        </w:rPr>
        <w:footnoteRef/>
      </w:r>
      <w:r>
        <w:t xml:space="preserve"> Reid, 2003; 234</w:t>
      </w:r>
    </w:p>
  </w:footnote>
  <w:footnote w:id="45">
    <w:p w14:paraId="0F8536B0" w14:textId="77777777" w:rsidR="00536485" w:rsidRDefault="00536485" w:rsidP="00105905">
      <w:pPr>
        <w:pStyle w:val="FootnoteText"/>
      </w:pPr>
      <w:r>
        <w:rPr>
          <w:rStyle w:val="FootnoteReference"/>
        </w:rPr>
        <w:footnoteRef/>
      </w:r>
      <w:r>
        <w:t xml:space="preserve"> Reid, 2003; 234</w:t>
      </w:r>
    </w:p>
  </w:footnote>
  <w:footnote w:id="46">
    <w:p w14:paraId="2050ECE9" w14:textId="77777777" w:rsidR="00536485" w:rsidRDefault="00536485" w:rsidP="00337E91">
      <w:pPr>
        <w:pStyle w:val="FootnoteText"/>
      </w:pPr>
      <w:r>
        <w:rPr>
          <w:rStyle w:val="FootnoteReference"/>
        </w:rPr>
        <w:footnoteRef/>
      </w:r>
      <w:r>
        <w:t xml:space="preserve"> Reid, 2015; 77 </w:t>
      </w:r>
    </w:p>
  </w:footnote>
  <w:footnote w:id="47">
    <w:p w14:paraId="5B9D6715" w14:textId="77777777" w:rsidR="00536485" w:rsidRDefault="00536485" w:rsidP="00337E91">
      <w:pPr>
        <w:pStyle w:val="FootnoteText"/>
      </w:pPr>
      <w:r>
        <w:rPr>
          <w:rStyle w:val="FootnoteReference"/>
        </w:rPr>
        <w:footnoteRef/>
      </w:r>
      <w:r>
        <w:t xml:space="preserve"> Reid, 2015; 238 </w:t>
      </w:r>
    </w:p>
  </w:footnote>
  <w:footnote w:id="48">
    <w:p w14:paraId="4088728F" w14:textId="77777777" w:rsidR="00536485" w:rsidRDefault="00536485" w:rsidP="00337E91">
      <w:pPr>
        <w:pStyle w:val="FootnoteText"/>
      </w:pPr>
      <w:r>
        <w:rPr>
          <w:rStyle w:val="FootnoteReference"/>
        </w:rPr>
        <w:footnoteRef/>
      </w:r>
      <w:r>
        <w:t xml:space="preserve"> Giza Project at Harvard University, 2017 </w:t>
      </w:r>
    </w:p>
  </w:footnote>
  <w:footnote w:id="49">
    <w:p w14:paraId="1B33978A" w14:textId="77777777" w:rsidR="00536485" w:rsidRDefault="00536485" w:rsidP="00105905">
      <w:pPr>
        <w:pStyle w:val="FootnoteText"/>
      </w:pPr>
      <w:r>
        <w:rPr>
          <w:rStyle w:val="FootnoteReference"/>
        </w:rPr>
        <w:footnoteRef/>
      </w:r>
      <w:r>
        <w:t xml:space="preserve"> Ikram, 2010; 45. Reid, 2003; 234</w:t>
      </w:r>
    </w:p>
  </w:footnote>
  <w:footnote w:id="50">
    <w:p w14:paraId="25494BE5" w14:textId="77777777" w:rsidR="00536485" w:rsidRDefault="00536485" w:rsidP="00105905">
      <w:pPr>
        <w:pStyle w:val="FootnoteText"/>
      </w:pPr>
      <w:r>
        <w:rPr>
          <w:rStyle w:val="FootnoteReference"/>
        </w:rPr>
        <w:footnoteRef/>
      </w:r>
      <w:r>
        <w:t xml:space="preserve"> Janot, 2010; 63. Wood, 1998; 182</w:t>
      </w:r>
    </w:p>
  </w:footnote>
  <w:footnote w:id="51">
    <w:p w14:paraId="0AE5A2B4" w14:textId="77777777" w:rsidR="00536485" w:rsidRDefault="00536485" w:rsidP="00105905">
      <w:pPr>
        <w:pStyle w:val="FootnoteText"/>
      </w:pPr>
      <w:r>
        <w:rPr>
          <w:rStyle w:val="FootnoteReference"/>
        </w:rPr>
        <w:footnoteRef/>
      </w:r>
      <w:r>
        <w:t xml:space="preserve"> Brewer and Teeter, 2007; XIV</w:t>
      </w:r>
    </w:p>
  </w:footnote>
  <w:footnote w:id="52">
    <w:p w14:paraId="269F9687" w14:textId="77777777" w:rsidR="00536485" w:rsidRDefault="00536485" w:rsidP="00105905">
      <w:pPr>
        <w:pStyle w:val="FootnoteText"/>
      </w:pPr>
      <w:r>
        <w:rPr>
          <w:rStyle w:val="FootnoteReference"/>
        </w:rPr>
        <w:footnoteRef/>
      </w:r>
      <w:r>
        <w:t xml:space="preserve"> Brewer and Teeter, 2007; 47</w:t>
      </w:r>
    </w:p>
  </w:footnote>
  <w:footnote w:id="53">
    <w:p w14:paraId="6CBCEC54" w14:textId="7A87C2F2" w:rsidR="00536485" w:rsidRDefault="00536485">
      <w:pPr>
        <w:pStyle w:val="FootnoteText"/>
      </w:pPr>
      <w:r>
        <w:rPr>
          <w:rStyle w:val="FootnoteReference"/>
        </w:rPr>
        <w:footnoteRef/>
      </w:r>
      <w:r>
        <w:t xml:space="preserve"> </w:t>
      </w:r>
      <w:proofErr w:type="spellStart"/>
      <w:r>
        <w:t>Hawass</w:t>
      </w:r>
      <w:proofErr w:type="spellEnd"/>
      <w:r>
        <w:t>, 2018; 15</w:t>
      </w:r>
    </w:p>
  </w:footnote>
  <w:footnote w:id="54">
    <w:p w14:paraId="535E894A" w14:textId="77777777" w:rsidR="00536485" w:rsidRDefault="00536485" w:rsidP="00105905">
      <w:pPr>
        <w:pStyle w:val="FootnoteText"/>
      </w:pPr>
      <w:r>
        <w:rPr>
          <w:rStyle w:val="FootnoteReference"/>
        </w:rPr>
        <w:footnoteRef/>
      </w:r>
      <w:r>
        <w:t xml:space="preserve"> </w:t>
      </w:r>
      <w:proofErr w:type="spellStart"/>
      <w:r>
        <w:t>Hawass</w:t>
      </w:r>
      <w:proofErr w:type="spellEnd"/>
      <w:r>
        <w:t xml:space="preserve">, 2018; 14 </w:t>
      </w:r>
    </w:p>
  </w:footnote>
  <w:footnote w:id="55">
    <w:p w14:paraId="6CC5CA53" w14:textId="77777777" w:rsidR="00536485" w:rsidRDefault="00536485" w:rsidP="00105905">
      <w:pPr>
        <w:pStyle w:val="FootnoteText"/>
      </w:pPr>
      <w:r>
        <w:rPr>
          <w:rStyle w:val="FootnoteReference"/>
        </w:rPr>
        <w:footnoteRef/>
      </w:r>
      <w:r>
        <w:t xml:space="preserve"> The Telegraph, 2010 </w:t>
      </w:r>
    </w:p>
  </w:footnote>
  <w:footnote w:id="56">
    <w:p w14:paraId="7AEFC850" w14:textId="284D6903" w:rsidR="00536485" w:rsidRDefault="00536485" w:rsidP="00105905">
      <w:pPr>
        <w:pStyle w:val="FootnoteText"/>
      </w:pPr>
      <w:r>
        <w:rPr>
          <w:rStyle w:val="FootnoteReference"/>
        </w:rPr>
        <w:footnoteRef/>
      </w:r>
      <w:r>
        <w:t xml:space="preserve"> </w:t>
      </w:r>
      <w:proofErr w:type="spellStart"/>
      <w:r>
        <w:t>Hawass</w:t>
      </w:r>
      <w:proofErr w:type="spellEnd"/>
      <w:r>
        <w:t>, 2018; 13</w:t>
      </w:r>
    </w:p>
  </w:footnote>
  <w:footnote w:id="57">
    <w:p w14:paraId="5BE49022" w14:textId="77777777" w:rsidR="00536485" w:rsidRDefault="00536485" w:rsidP="00105905">
      <w:pPr>
        <w:pStyle w:val="FootnoteText"/>
      </w:pPr>
      <w:r>
        <w:rPr>
          <w:rStyle w:val="FootnoteReference"/>
        </w:rPr>
        <w:footnoteRef/>
      </w:r>
      <w:r>
        <w:t xml:space="preserve"> </w:t>
      </w:r>
      <w:proofErr w:type="spellStart"/>
      <w:r>
        <w:t>Hawass</w:t>
      </w:r>
      <w:proofErr w:type="spellEnd"/>
      <w:r>
        <w:t xml:space="preserve">, 2018; 13 </w:t>
      </w:r>
    </w:p>
  </w:footnote>
  <w:footnote w:id="58">
    <w:p w14:paraId="663AFD23" w14:textId="71809ED3" w:rsidR="00536485" w:rsidRDefault="00536485">
      <w:pPr>
        <w:pStyle w:val="FootnoteText"/>
      </w:pPr>
      <w:r>
        <w:rPr>
          <w:rStyle w:val="FootnoteReference"/>
        </w:rPr>
        <w:footnoteRef/>
      </w:r>
      <w:r>
        <w:t xml:space="preserve"> </w:t>
      </w:r>
      <w:proofErr w:type="spellStart"/>
      <w:r>
        <w:t>Hawass</w:t>
      </w:r>
      <w:proofErr w:type="spellEnd"/>
      <w:r>
        <w:t>, 2018; 15</w:t>
      </w:r>
    </w:p>
  </w:footnote>
  <w:footnote w:id="59">
    <w:p w14:paraId="1E307F48" w14:textId="56BB8C89" w:rsidR="00536485" w:rsidRDefault="00536485">
      <w:pPr>
        <w:pStyle w:val="FootnoteText"/>
      </w:pPr>
      <w:r>
        <w:rPr>
          <w:rStyle w:val="FootnoteReference"/>
        </w:rPr>
        <w:footnoteRef/>
      </w:r>
      <w:r>
        <w:t xml:space="preserve"> </w:t>
      </w:r>
      <w:proofErr w:type="spellStart"/>
      <w:r>
        <w:t>Hawass</w:t>
      </w:r>
      <w:proofErr w:type="spellEnd"/>
      <w:r>
        <w:t xml:space="preserve"> et al, 2010; 640</w:t>
      </w:r>
    </w:p>
  </w:footnote>
  <w:footnote w:id="60">
    <w:p w14:paraId="6A7A57EB" w14:textId="77777777" w:rsidR="00536485" w:rsidRDefault="00536485" w:rsidP="00105905">
      <w:pPr>
        <w:pStyle w:val="FootnoteText"/>
      </w:pPr>
      <w:r>
        <w:rPr>
          <w:rStyle w:val="FootnoteReference"/>
        </w:rPr>
        <w:footnoteRef/>
      </w:r>
      <w:r>
        <w:t xml:space="preserve"> </w:t>
      </w:r>
      <w:proofErr w:type="spellStart"/>
      <w:r>
        <w:t>Hawass</w:t>
      </w:r>
      <w:proofErr w:type="spellEnd"/>
      <w:r>
        <w:t xml:space="preserve">, 2018; 15 </w:t>
      </w:r>
    </w:p>
  </w:footnote>
  <w:footnote w:id="61">
    <w:p w14:paraId="021360AC" w14:textId="3F19AAD5" w:rsidR="00536485" w:rsidRDefault="00536485">
      <w:pPr>
        <w:pStyle w:val="FootnoteText"/>
      </w:pPr>
      <w:r>
        <w:rPr>
          <w:rStyle w:val="FootnoteReference"/>
        </w:rPr>
        <w:footnoteRef/>
      </w:r>
      <w:r>
        <w:t xml:space="preserve"> </w:t>
      </w:r>
      <w:proofErr w:type="spellStart"/>
      <w:r>
        <w:t>Hawass</w:t>
      </w:r>
      <w:proofErr w:type="spellEnd"/>
      <w:r>
        <w:t xml:space="preserve"> et al, 2010; 640</w:t>
      </w:r>
    </w:p>
  </w:footnote>
  <w:footnote w:id="62">
    <w:p w14:paraId="7603A6A3" w14:textId="77777777" w:rsidR="00536485" w:rsidRDefault="00536485" w:rsidP="00105905">
      <w:pPr>
        <w:pStyle w:val="FootnoteText"/>
      </w:pPr>
      <w:r>
        <w:rPr>
          <w:rStyle w:val="FootnoteReference"/>
        </w:rPr>
        <w:footnoteRef/>
      </w:r>
      <w:r>
        <w:t xml:space="preserve"> </w:t>
      </w:r>
      <w:proofErr w:type="spellStart"/>
      <w:r>
        <w:t>Hawass</w:t>
      </w:r>
      <w:proofErr w:type="spellEnd"/>
      <w:r>
        <w:t>, 2018</w:t>
      </w:r>
    </w:p>
  </w:footnote>
  <w:footnote w:id="63">
    <w:p w14:paraId="051CA970" w14:textId="77777777" w:rsidR="00536485" w:rsidRDefault="00536485" w:rsidP="00105905">
      <w:pPr>
        <w:pStyle w:val="FootnoteText"/>
      </w:pPr>
      <w:r>
        <w:rPr>
          <w:rStyle w:val="FootnoteReference"/>
        </w:rPr>
        <w:footnoteRef/>
      </w:r>
      <w:r>
        <w:t xml:space="preserve"> Pak, 2019</w:t>
      </w:r>
    </w:p>
  </w:footnote>
  <w:footnote w:id="64">
    <w:p w14:paraId="3614B5EB" w14:textId="77777777" w:rsidR="00536485" w:rsidRDefault="00536485" w:rsidP="00105905">
      <w:pPr>
        <w:pStyle w:val="FootnoteText"/>
      </w:pPr>
      <w:r>
        <w:rPr>
          <w:rStyle w:val="FootnoteReference"/>
        </w:rPr>
        <w:footnoteRef/>
      </w:r>
      <w:r>
        <w:t xml:space="preserve"> </w:t>
      </w:r>
      <w:proofErr w:type="spellStart"/>
      <w:r>
        <w:t>Hawass</w:t>
      </w:r>
      <w:proofErr w:type="spellEnd"/>
      <w:r>
        <w:t xml:space="preserve">, 2018; 15 </w:t>
      </w:r>
    </w:p>
  </w:footnote>
  <w:footnote w:id="65">
    <w:p w14:paraId="5393C5B2" w14:textId="77777777" w:rsidR="00536485" w:rsidRDefault="00536485" w:rsidP="00105905">
      <w:pPr>
        <w:pStyle w:val="FootnoteText"/>
      </w:pPr>
      <w:r>
        <w:rPr>
          <w:rStyle w:val="FootnoteReference"/>
        </w:rPr>
        <w:footnoteRef/>
      </w:r>
      <w:r>
        <w:t xml:space="preserve"> </w:t>
      </w:r>
      <w:proofErr w:type="spellStart"/>
      <w:r>
        <w:t>Hawass</w:t>
      </w:r>
      <w:proofErr w:type="spellEnd"/>
      <w:r>
        <w:t xml:space="preserve">, 2018; 17 </w:t>
      </w:r>
    </w:p>
  </w:footnote>
  <w:footnote w:id="66">
    <w:p w14:paraId="671428E2" w14:textId="77777777" w:rsidR="00536485" w:rsidRDefault="00536485" w:rsidP="00105905">
      <w:pPr>
        <w:pStyle w:val="FootnoteText"/>
      </w:pPr>
      <w:r>
        <w:rPr>
          <w:rStyle w:val="FootnoteReference"/>
        </w:rPr>
        <w:footnoteRef/>
      </w:r>
      <w:r>
        <w:t xml:space="preserve"> Brewer and Teeter, 2007; 14</w:t>
      </w:r>
    </w:p>
  </w:footnote>
  <w:footnote w:id="67">
    <w:p w14:paraId="0B716389" w14:textId="77777777" w:rsidR="00536485" w:rsidRDefault="00536485" w:rsidP="00105905">
      <w:pPr>
        <w:pStyle w:val="FootnoteText"/>
      </w:pPr>
      <w:r>
        <w:rPr>
          <w:rStyle w:val="FootnoteReference"/>
        </w:rPr>
        <w:footnoteRef/>
      </w:r>
      <w:r>
        <w:t xml:space="preserve"> </w:t>
      </w:r>
      <w:proofErr w:type="spellStart"/>
      <w:r>
        <w:t>Hawass</w:t>
      </w:r>
      <w:proofErr w:type="spellEnd"/>
      <w:r>
        <w:t>, 2018; 14</w:t>
      </w:r>
    </w:p>
  </w:footnote>
  <w:footnote w:id="68">
    <w:p w14:paraId="180434CC" w14:textId="3ACF73D4" w:rsidR="00536485" w:rsidRDefault="00536485" w:rsidP="00105905">
      <w:pPr>
        <w:pStyle w:val="FootnoteText"/>
      </w:pPr>
      <w:r>
        <w:rPr>
          <w:rStyle w:val="FootnoteReference"/>
        </w:rPr>
        <w:footnoteRef/>
      </w:r>
      <w:r>
        <w:t xml:space="preserve"> Brewer and Teeter, 2007; 54. </w:t>
      </w:r>
      <w:proofErr w:type="spellStart"/>
      <w:r>
        <w:t>Hawass</w:t>
      </w:r>
      <w:proofErr w:type="spellEnd"/>
      <w:r>
        <w:t>, 2018; 14</w:t>
      </w:r>
    </w:p>
  </w:footnote>
  <w:footnote w:id="69">
    <w:p w14:paraId="29019A35" w14:textId="4CED18D1" w:rsidR="00536485" w:rsidRDefault="00536485">
      <w:pPr>
        <w:pStyle w:val="FootnoteText"/>
      </w:pPr>
      <w:r>
        <w:rPr>
          <w:rStyle w:val="FootnoteReference"/>
        </w:rPr>
        <w:footnoteRef/>
      </w:r>
      <w:r>
        <w:t xml:space="preserve"> Ancient Egypt, N.D</w:t>
      </w:r>
    </w:p>
  </w:footnote>
  <w:footnote w:id="70">
    <w:p w14:paraId="5ED1FBF4" w14:textId="38DFB5CE" w:rsidR="00536485" w:rsidRDefault="00536485">
      <w:pPr>
        <w:pStyle w:val="FootnoteText"/>
      </w:pPr>
      <w:r>
        <w:rPr>
          <w:rStyle w:val="FootnoteReference"/>
        </w:rPr>
        <w:footnoteRef/>
      </w:r>
      <w:r>
        <w:t xml:space="preserve"> </w:t>
      </w:r>
      <w:proofErr w:type="spellStart"/>
      <w:r>
        <w:t>Hawass</w:t>
      </w:r>
      <w:proofErr w:type="spellEnd"/>
      <w:r>
        <w:t>, 2018; 15</w:t>
      </w:r>
    </w:p>
  </w:footnote>
  <w:footnote w:id="71">
    <w:p w14:paraId="746A2829" w14:textId="77777777" w:rsidR="00536485" w:rsidRDefault="00536485" w:rsidP="00105905">
      <w:pPr>
        <w:pStyle w:val="FootnoteText"/>
      </w:pPr>
      <w:r>
        <w:rPr>
          <w:rStyle w:val="FootnoteReference"/>
        </w:rPr>
        <w:footnoteRef/>
      </w:r>
      <w:r>
        <w:t xml:space="preserve"> </w:t>
      </w:r>
      <w:proofErr w:type="spellStart"/>
      <w:r>
        <w:t>Hawass</w:t>
      </w:r>
      <w:proofErr w:type="spellEnd"/>
      <w:r>
        <w:t xml:space="preserve">, 2018; 15 </w:t>
      </w:r>
    </w:p>
  </w:footnote>
  <w:footnote w:id="72">
    <w:p w14:paraId="2793939F" w14:textId="77777777" w:rsidR="00536485" w:rsidRDefault="00536485" w:rsidP="00105905">
      <w:pPr>
        <w:pStyle w:val="FootnoteText"/>
      </w:pPr>
      <w:r>
        <w:rPr>
          <w:rStyle w:val="FootnoteReference"/>
        </w:rPr>
        <w:footnoteRef/>
      </w:r>
      <w:r>
        <w:t xml:space="preserve"> </w:t>
      </w:r>
      <w:proofErr w:type="spellStart"/>
      <w:r>
        <w:t>Hawass</w:t>
      </w:r>
      <w:proofErr w:type="spellEnd"/>
      <w:r>
        <w:t xml:space="preserve">, 2018; 13 </w:t>
      </w:r>
    </w:p>
  </w:footnote>
  <w:footnote w:id="73">
    <w:p w14:paraId="639315CC" w14:textId="77777777" w:rsidR="00536485" w:rsidRDefault="00536485" w:rsidP="00105905">
      <w:pPr>
        <w:pStyle w:val="FootnoteText"/>
      </w:pPr>
      <w:r>
        <w:rPr>
          <w:rStyle w:val="FootnoteReference"/>
        </w:rPr>
        <w:footnoteRef/>
      </w:r>
      <w:r>
        <w:t xml:space="preserve"> Janot, 2010; 113</w:t>
      </w:r>
    </w:p>
  </w:footnote>
  <w:footnote w:id="74">
    <w:p w14:paraId="1CB8278D" w14:textId="77777777" w:rsidR="00536485" w:rsidRDefault="00536485" w:rsidP="00105905">
      <w:pPr>
        <w:pStyle w:val="FootnoteText"/>
      </w:pPr>
      <w:r>
        <w:rPr>
          <w:rStyle w:val="FootnoteReference"/>
        </w:rPr>
        <w:footnoteRef/>
      </w:r>
      <w:r>
        <w:t xml:space="preserve"> Janot, 2010; 29</w:t>
      </w:r>
    </w:p>
  </w:footnote>
  <w:footnote w:id="75">
    <w:p w14:paraId="5FD20A09" w14:textId="77777777" w:rsidR="00536485" w:rsidRDefault="00536485" w:rsidP="00105905">
      <w:pPr>
        <w:pStyle w:val="FootnoteText"/>
      </w:pPr>
      <w:r>
        <w:rPr>
          <w:rStyle w:val="FootnoteReference"/>
        </w:rPr>
        <w:footnoteRef/>
      </w:r>
      <w:r>
        <w:t xml:space="preserve"> Eaton-Krauss, 2016</w:t>
      </w:r>
    </w:p>
  </w:footnote>
  <w:footnote w:id="76">
    <w:p w14:paraId="17D7F5DB" w14:textId="77777777" w:rsidR="00536485" w:rsidRDefault="00536485" w:rsidP="00105905">
      <w:pPr>
        <w:pStyle w:val="FootnoteText"/>
      </w:pPr>
      <w:r>
        <w:rPr>
          <w:rStyle w:val="FootnoteReference"/>
        </w:rPr>
        <w:footnoteRef/>
      </w:r>
      <w:r>
        <w:t xml:space="preserve"> Eaton-Krauss, 2016; 105</w:t>
      </w:r>
    </w:p>
  </w:footnote>
  <w:footnote w:id="77">
    <w:p w14:paraId="52FF8C54" w14:textId="77777777" w:rsidR="00536485" w:rsidRDefault="00536485" w:rsidP="00105905">
      <w:pPr>
        <w:pStyle w:val="FootnoteText"/>
      </w:pPr>
      <w:r>
        <w:rPr>
          <w:rStyle w:val="FootnoteReference"/>
        </w:rPr>
        <w:footnoteRef/>
      </w:r>
      <w:r>
        <w:t xml:space="preserve"> Collins and McNamara, 2014; 87</w:t>
      </w:r>
    </w:p>
  </w:footnote>
  <w:footnote w:id="78">
    <w:p w14:paraId="30B74E14" w14:textId="77777777" w:rsidR="00536485" w:rsidRDefault="00536485" w:rsidP="00105905">
      <w:pPr>
        <w:pStyle w:val="FootnoteText"/>
      </w:pPr>
      <w:r>
        <w:rPr>
          <w:rStyle w:val="FootnoteReference"/>
        </w:rPr>
        <w:footnoteRef/>
      </w:r>
      <w:r>
        <w:t xml:space="preserve"> </w:t>
      </w:r>
      <w:proofErr w:type="spellStart"/>
      <w:r>
        <w:t>Hawass</w:t>
      </w:r>
      <w:proofErr w:type="spellEnd"/>
      <w:r>
        <w:t xml:space="preserve">, 2018; 15 </w:t>
      </w:r>
    </w:p>
  </w:footnote>
  <w:footnote w:id="79">
    <w:p w14:paraId="033B2DC3" w14:textId="77777777" w:rsidR="00536485" w:rsidRDefault="00536485" w:rsidP="00105905">
      <w:pPr>
        <w:pStyle w:val="FootnoteText"/>
      </w:pPr>
      <w:r>
        <w:rPr>
          <w:rStyle w:val="FootnoteReference"/>
        </w:rPr>
        <w:footnoteRef/>
      </w:r>
      <w:r>
        <w:t xml:space="preserve"> </w:t>
      </w:r>
      <w:proofErr w:type="spellStart"/>
      <w:r>
        <w:t>Hawass</w:t>
      </w:r>
      <w:proofErr w:type="spellEnd"/>
      <w:r>
        <w:t xml:space="preserve">, 2018; 17 </w:t>
      </w:r>
    </w:p>
  </w:footnote>
  <w:footnote w:id="80">
    <w:p w14:paraId="4D7CDE47" w14:textId="2A018882" w:rsidR="00536485" w:rsidRDefault="00536485">
      <w:pPr>
        <w:pStyle w:val="FootnoteText"/>
      </w:pPr>
      <w:r>
        <w:rPr>
          <w:rStyle w:val="FootnoteReference"/>
        </w:rPr>
        <w:footnoteRef/>
      </w:r>
      <w:r>
        <w:t xml:space="preserve"> </w:t>
      </w:r>
      <w:proofErr w:type="spellStart"/>
      <w:r>
        <w:t>Colla</w:t>
      </w:r>
      <w:proofErr w:type="spellEnd"/>
      <w:r>
        <w:t>, 2007; 274</w:t>
      </w:r>
    </w:p>
  </w:footnote>
  <w:footnote w:id="81">
    <w:p w14:paraId="5658AEBC" w14:textId="751CDF15" w:rsidR="00536485" w:rsidRDefault="00536485">
      <w:pPr>
        <w:pStyle w:val="FootnoteText"/>
      </w:pPr>
      <w:r>
        <w:rPr>
          <w:rStyle w:val="FootnoteReference"/>
        </w:rPr>
        <w:footnoteRef/>
      </w:r>
      <w:r>
        <w:t xml:space="preserve"> </w:t>
      </w:r>
      <w:proofErr w:type="spellStart"/>
      <w:r>
        <w:t>Colla</w:t>
      </w:r>
      <w:proofErr w:type="spellEnd"/>
      <w:r>
        <w:t>, 2007; 274</w:t>
      </w:r>
    </w:p>
  </w:footnote>
  <w:footnote w:id="82">
    <w:p w14:paraId="59FF43E4" w14:textId="77777777" w:rsidR="00536485" w:rsidRDefault="00536485" w:rsidP="00105905">
      <w:pPr>
        <w:pStyle w:val="FootnoteText"/>
      </w:pPr>
      <w:r>
        <w:rPr>
          <w:rStyle w:val="FootnoteReference"/>
        </w:rPr>
        <w:footnoteRef/>
      </w:r>
      <w:r>
        <w:t>Wood, 1998; 181</w:t>
      </w:r>
    </w:p>
  </w:footnote>
  <w:footnote w:id="83">
    <w:p w14:paraId="30DC64E2" w14:textId="77777777" w:rsidR="00536485" w:rsidRDefault="00536485" w:rsidP="00105905">
      <w:pPr>
        <w:pStyle w:val="FootnoteText"/>
      </w:pPr>
      <w:r>
        <w:rPr>
          <w:rStyle w:val="FootnoteReference"/>
        </w:rPr>
        <w:footnoteRef/>
      </w:r>
      <w:r>
        <w:t xml:space="preserve"> Wood, 1998; 182</w:t>
      </w:r>
    </w:p>
  </w:footnote>
  <w:footnote w:id="84">
    <w:p w14:paraId="1E495348" w14:textId="77777777" w:rsidR="00536485" w:rsidRDefault="00536485" w:rsidP="0017373E">
      <w:pPr>
        <w:pStyle w:val="FootnoteText"/>
      </w:pPr>
      <w:r>
        <w:rPr>
          <w:rStyle w:val="FootnoteReference"/>
        </w:rPr>
        <w:footnoteRef/>
      </w:r>
      <w:r>
        <w:t xml:space="preserve"> Jankowski, 2000; 122</w:t>
      </w:r>
    </w:p>
  </w:footnote>
  <w:footnote w:id="85">
    <w:p w14:paraId="7E0CA8F9" w14:textId="77777777" w:rsidR="00536485" w:rsidRDefault="00536485" w:rsidP="0017373E">
      <w:pPr>
        <w:pStyle w:val="FootnoteText"/>
      </w:pPr>
      <w:r>
        <w:rPr>
          <w:rStyle w:val="FootnoteReference"/>
        </w:rPr>
        <w:footnoteRef/>
      </w:r>
      <w:r>
        <w:t xml:space="preserve"> Reid, 2015; 43</w:t>
      </w:r>
    </w:p>
  </w:footnote>
  <w:footnote w:id="86">
    <w:p w14:paraId="19EFA5B1" w14:textId="77777777" w:rsidR="00536485" w:rsidRDefault="00536485" w:rsidP="00105905">
      <w:pPr>
        <w:pStyle w:val="FootnoteText"/>
      </w:pPr>
      <w:r>
        <w:rPr>
          <w:rStyle w:val="FootnoteReference"/>
        </w:rPr>
        <w:footnoteRef/>
      </w:r>
      <w:r>
        <w:t xml:space="preserve"> The University of Manchester, 2013</w:t>
      </w:r>
    </w:p>
  </w:footnote>
  <w:footnote w:id="87">
    <w:p w14:paraId="19B426E2" w14:textId="77777777" w:rsidR="00536485" w:rsidRDefault="00536485" w:rsidP="00105905">
      <w:pPr>
        <w:pStyle w:val="FootnoteText"/>
      </w:pPr>
      <w:r>
        <w:rPr>
          <w:rStyle w:val="FootnoteReference"/>
        </w:rPr>
        <w:footnoteRef/>
      </w:r>
      <w:r>
        <w:t xml:space="preserve"> Rivlin, 2020</w:t>
      </w:r>
    </w:p>
  </w:footnote>
  <w:footnote w:id="88">
    <w:p w14:paraId="2F446CB1" w14:textId="77777777" w:rsidR="00536485" w:rsidRDefault="00536485" w:rsidP="00105905">
      <w:pPr>
        <w:pStyle w:val="FootnoteText"/>
      </w:pPr>
      <w:r>
        <w:rPr>
          <w:rStyle w:val="FootnoteReference"/>
        </w:rPr>
        <w:footnoteRef/>
      </w:r>
      <w:r>
        <w:t xml:space="preserve"> Wood, 1998; 180</w:t>
      </w:r>
    </w:p>
  </w:footnote>
  <w:footnote w:id="89">
    <w:p w14:paraId="6F0A8BCE" w14:textId="77777777" w:rsidR="00536485" w:rsidRDefault="00536485" w:rsidP="00105905">
      <w:pPr>
        <w:pStyle w:val="FootnoteText"/>
      </w:pPr>
      <w:r>
        <w:rPr>
          <w:rStyle w:val="FootnoteReference"/>
        </w:rPr>
        <w:footnoteRef/>
      </w:r>
      <w:r>
        <w:t xml:space="preserve"> Reid, 2015; 34</w:t>
      </w:r>
    </w:p>
  </w:footnote>
  <w:footnote w:id="90">
    <w:p w14:paraId="57F50791" w14:textId="77777777" w:rsidR="00536485" w:rsidRDefault="00536485" w:rsidP="00CE5008">
      <w:pPr>
        <w:pStyle w:val="FootnoteText"/>
      </w:pPr>
      <w:r>
        <w:rPr>
          <w:rStyle w:val="FootnoteReference"/>
        </w:rPr>
        <w:footnoteRef/>
      </w:r>
      <w:r>
        <w:t xml:space="preserve"> Wood, 1998; 181</w:t>
      </w:r>
    </w:p>
  </w:footnote>
  <w:footnote w:id="91">
    <w:p w14:paraId="02A23EF2" w14:textId="247A81E7" w:rsidR="00536485" w:rsidRDefault="00536485" w:rsidP="00105905">
      <w:pPr>
        <w:pStyle w:val="FootnoteText"/>
      </w:pPr>
      <w:r>
        <w:rPr>
          <w:rStyle w:val="FootnoteReference"/>
        </w:rPr>
        <w:footnoteRef/>
      </w:r>
      <w:r>
        <w:t xml:space="preserve"> Gorman, 2005; 117</w:t>
      </w:r>
    </w:p>
  </w:footnote>
  <w:footnote w:id="92">
    <w:p w14:paraId="5B61599B" w14:textId="202B4524" w:rsidR="00536485" w:rsidRDefault="00536485">
      <w:pPr>
        <w:pStyle w:val="FootnoteText"/>
      </w:pPr>
      <w:r>
        <w:rPr>
          <w:rStyle w:val="FootnoteReference"/>
        </w:rPr>
        <w:footnoteRef/>
      </w:r>
      <w:r>
        <w:t xml:space="preserve"> Gorman, 2005; 84</w:t>
      </w:r>
    </w:p>
  </w:footnote>
  <w:footnote w:id="93">
    <w:p w14:paraId="0F9165BE" w14:textId="195610E1" w:rsidR="00536485" w:rsidRDefault="00536485">
      <w:pPr>
        <w:pStyle w:val="FootnoteText"/>
      </w:pPr>
      <w:r>
        <w:rPr>
          <w:rStyle w:val="FootnoteReference"/>
        </w:rPr>
        <w:footnoteRef/>
      </w:r>
      <w:r>
        <w:t xml:space="preserve"> Gorman, 2005; 118</w:t>
      </w:r>
    </w:p>
  </w:footnote>
  <w:footnote w:id="94">
    <w:p w14:paraId="15AE7107" w14:textId="77777777" w:rsidR="00536485" w:rsidRDefault="00536485" w:rsidP="00105905">
      <w:pPr>
        <w:pStyle w:val="FootnoteText"/>
      </w:pPr>
      <w:r>
        <w:rPr>
          <w:rStyle w:val="FootnoteReference"/>
        </w:rPr>
        <w:footnoteRef/>
      </w:r>
      <w:r>
        <w:t xml:space="preserve"> </w:t>
      </w:r>
      <w:bookmarkStart w:id="0" w:name="_Hlk39571053"/>
      <w:r>
        <w:t>Wood, 1998; 181</w:t>
      </w:r>
      <w:bookmarkEnd w:id="0"/>
    </w:p>
  </w:footnote>
  <w:footnote w:id="95">
    <w:p w14:paraId="6032E286" w14:textId="77777777" w:rsidR="00536485" w:rsidRDefault="00536485" w:rsidP="00105905">
      <w:pPr>
        <w:pStyle w:val="FootnoteText"/>
      </w:pPr>
      <w:r>
        <w:rPr>
          <w:rStyle w:val="FootnoteReference"/>
        </w:rPr>
        <w:footnoteRef/>
      </w:r>
      <w:r>
        <w:t xml:space="preserve"> Reid, 1985; 234</w:t>
      </w:r>
    </w:p>
  </w:footnote>
  <w:footnote w:id="96">
    <w:p w14:paraId="1B290560" w14:textId="77777777" w:rsidR="00536485" w:rsidRDefault="00536485" w:rsidP="00105905">
      <w:pPr>
        <w:pStyle w:val="FootnoteText"/>
      </w:pPr>
      <w:r>
        <w:rPr>
          <w:rStyle w:val="FootnoteReference"/>
        </w:rPr>
        <w:footnoteRef/>
      </w:r>
      <w:r>
        <w:t xml:space="preserve"> Wood, 1998; 182</w:t>
      </w:r>
    </w:p>
  </w:footnote>
  <w:footnote w:id="97">
    <w:p w14:paraId="0FBFED6C" w14:textId="77777777" w:rsidR="00536485" w:rsidRDefault="00536485" w:rsidP="00105905">
      <w:pPr>
        <w:pStyle w:val="FootnoteText"/>
      </w:pPr>
      <w:r>
        <w:rPr>
          <w:rStyle w:val="FootnoteReference"/>
        </w:rPr>
        <w:footnoteRef/>
      </w:r>
      <w:r>
        <w:t xml:space="preserve"> Parkinson, 2008 ;1</w:t>
      </w:r>
    </w:p>
  </w:footnote>
  <w:footnote w:id="98">
    <w:p w14:paraId="0A8B0F3F" w14:textId="77777777" w:rsidR="00536485" w:rsidRDefault="00536485" w:rsidP="00105905">
      <w:pPr>
        <w:pStyle w:val="FootnoteText"/>
      </w:pPr>
      <w:r>
        <w:rPr>
          <w:rStyle w:val="FootnoteReference"/>
        </w:rPr>
        <w:footnoteRef/>
      </w:r>
      <w:r>
        <w:t xml:space="preserve"> </w:t>
      </w:r>
      <w:proofErr w:type="spellStart"/>
      <w:r>
        <w:t>Hawass</w:t>
      </w:r>
      <w:proofErr w:type="spellEnd"/>
      <w:r>
        <w:t>, 2018; 21</w:t>
      </w:r>
    </w:p>
  </w:footnote>
  <w:footnote w:id="99">
    <w:p w14:paraId="796BB9BC" w14:textId="703204E0" w:rsidR="00536485" w:rsidRDefault="00536485">
      <w:pPr>
        <w:pStyle w:val="FootnoteText"/>
      </w:pPr>
      <w:r>
        <w:rPr>
          <w:rStyle w:val="FootnoteReference"/>
        </w:rPr>
        <w:footnoteRef/>
      </w:r>
      <w:r>
        <w:t xml:space="preserve"> The New York Times, 2010</w:t>
      </w:r>
    </w:p>
  </w:footnote>
  <w:footnote w:id="100">
    <w:p w14:paraId="13D4A8C0" w14:textId="77777777" w:rsidR="00536485" w:rsidRDefault="00536485" w:rsidP="00105905">
      <w:pPr>
        <w:pStyle w:val="FootnoteText"/>
      </w:pPr>
      <w:r>
        <w:rPr>
          <w:rStyle w:val="FootnoteReference"/>
        </w:rPr>
        <w:footnoteRef/>
      </w:r>
      <w:r>
        <w:t xml:space="preserve"> Carter and Mace, 1923; 75</w:t>
      </w:r>
    </w:p>
  </w:footnote>
  <w:footnote w:id="101">
    <w:p w14:paraId="605A7E74" w14:textId="42BBAC14" w:rsidR="00536485" w:rsidRDefault="00536485" w:rsidP="00105905">
      <w:pPr>
        <w:pStyle w:val="FootnoteText"/>
      </w:pPr>
      <w:r w:rsidRPr="009964B5">
        <w:rPr>
          <w:rStyle w:val="FootnoteReference"/>
        </w:rPr>
        <w:footnoteRef/>
      </w:r>
      <w:r w:rsidRPr="009964B5">
        <w:t xml:space="preserve"> Reeves, 1996; 12</w:t>
      </w:r>
    </w:p>
  </w:footnote>
  <w:footnote w:id="102">
    <w:p w14:paraId="0AB20488" w14:textId="77777777" w:rsidR="00536485" w:rsidRDefault="00536485" w:rsidP="00105905">
      <w:pPr>
        <w:pStyle w:val="FootnoteText"/>
      </w:pPr>
      <w:r>
        <w:rPr>
          <w:rStyle w:val="FootnoteReference"/>
        </w:rPr>
        <w:footnoteRef/>
      </w:r>
      <w:r>
        <w:t xml:space="preserve"> </w:t>
      </w:r>
      <w:proofErr w:type="spellStart"/>
      <w:r>
        <w:t>Hawass</w:t>
      </w:r>
      <w:proofErr w:type="spellEnd"/>
      <w:r>
        <w:t xml:space="preserve">, 2018; 17 </w:t>
      </w:r>
    </w:p>
  </w:footnote>
  <w:footnote w:id="103">
    <w:p w14:paraId="6A648775" w14:textId="77777777" w:rsidR="00536485" w:rsidRDefault="00536485" w:rsidP="00105905">
      <w:pPr>
        <w:pStyle w:val="FootnoteText"/>
      </w:pPr>
      <w:r>
        <w:rPr>
          <w:rStyle w:val="FootnoteReference"/>
        </w:rPr>
        <w:footnoteRef/>
      </w:r>
      <w:r>
        <w:t xml:space="preserve"> </w:t>
      </w:r>
      <w:proofErr w:type="spellStart"/>
      <w:r>
        <w:t>Hawass</w:t>
      </w:r>
      <w:proofErr w:type="spellEnd"/>
      <w:r>
        <w:t>, 2018; 17</w:t>
      </w:r>
    </w:p>
  </w:footnote>
  <w:footnote w:id="104">
    <w:p w14:paraId="2DAD7A3B" w14:textId="77777777" w:rsidR="00536485" w:rsidRDefault="00536485" w:rsidP="00105905">
      <w:pPr>
        <w:pStyle w:val="FootnoteText"/>
      </w:pPr>
      <w:r>
        <w:rPr>
          <w:rStyle w:val="FootnoteReference"/>
        </w:rPr>
        <w:footnoteRef/>
      </w:r>
      <w:r>
        <w:t xml:space="preserve"> </w:t>
      </w:r>
      <w:proofErr w:type="spellStart"/>
      <w:r>
        <w:t>Hawass</w:t>
      </w:r>
      <w:proofErr w:type="spellEnd"/>
      <w:r>
        <w:t xml:space="preserve">, 2018; 17 </w:t>
      </w:r>
    </w:p>
  </w:footnote>
  <w:footnote w:id="105">
    <w:p w14:paraId="73370465" w14:textId="77777777" w:rsidR="00536485" w:rsidRDefault="00536485" w:rsidP="00105905">
      <w:pPr>
        <w:pStyle w:val="FootnoteText"/>
      </w:pPr>
      <w:r>
        <w:rPr>
          <w:rStyle w:val="FootnoteReference"/>
        </w:rPr>
        <w:footnoteRef/>
      </w:r>
      <w:r>
        <w:t xml:space="preserve"> </w:t>
      </w:r>
      <w:proofErr w:type="spellStart"/>
      <w:r>
        <w:t>Hawass</w:t>
      </w:r>
      <w:proofErr w:type="spellEnd"/>
      <w:r>
        <w:t xml:space="preserve">, 2018; 17 </w:t>
      </w:r>
    </w:p>
  </w:footnote>
  <w:footnote w:id="106">
    <w:p w14:paraId="20B0842A" w14:textId="77777777" w:rsidR="00536485" w:rsidRDefault="00536485" w:rsidP="00105905">
      <w:pPr>
        <w:pStyle w:val="FootnoteText"/>
      </w:pPr>
      <w:r>
        <w:rPr>
          <w:rStyle w:val="FootnoteReference"/>
        </w:rPr>
        <w:footnoteRef/>
      </w:r>
      <w:r>
        <w:t xml:space="preserve"> </w:t>
      </w:r>
      <w:proofErr w:type="spellStart"/>
      <w:r>
        <w:t>Hawass</w:t>
      </w:r>
      <w:proofErr w:type="spellEnd"/>
      <w:r>
        <w:t>, 2018; 17</w:t>
      </w:r>
    </w:p>
  </w:footnote>
  <w:footnote w:id="107">
    <w:p w14:paraId="2ECB0145" w14:textId="77777777" w:rsidR="00536485" w:rsidRDefault="00536485" w:rsidP="00105905">
      <w:pPr>
        <w:pStyle w:val="FootnoteText"/>
      </w:pPr>
      <w:r>
        <w:rPr>
          <w:rStyle w:val="FootnoteReference"/>
        </w:rPr>
        <w:footnoteRef/>
      </w:r>
      <w:r>
        <w:t xml:space="preserve"> </w:t>
      </w:r>
      <w:proofErr w:type="spellStart"/>
      <w:r>
        <w:t>Hawass</w:t>
      </w:r>
      <w:proofErr w:type="spellEnd"/>
      <w:r>
        <w:t xml:space="preserve">, 2018; 17 </w:t>
      </w:r>
    </w:p>
  </w:footnote>
  <w:footnote w:id="108">
    <w:p w14:paraId="3CFC8EE1" w14:textId="77777777" w:rsidR="00536485" w:rsidRDefault="00536485" w:rsidP="00105905">
      <w:pPr>
        <w:pStyle w:val="FootnoteText"/>
      </w:pPr>
      <w:r>
        <w:rPr>
          <w:rStyle w:val="FootnoteReference"/>
        </w:rPr>
        <w:footnoteRef/>
      </w:r>
      <w:r>
        <w:t xml:space="preserve"> </w:t>
      </w:r>
      <w:proofErr w:type="spellStart"/>
      <w:r>
        <w:t>Hawass</w:t>
      </w:r>
      <w:proofErr w:type="spellEnd"/>
      <w:r>
        <w:t>, 2018; 17</w:t>
      </w:r>
    </w:p>
  </w:footnote>
  <w:footnote w:id="109">
    <w:p w14:paraId="40022D46" w14:textId="77777777" w:rsidR="00536485" w:rsidRDefault="00536485" w:rsidP="00105905">
      <w:pPr>
        <w:pStyle w:val="FootnoteText"/>
      </w:pPr>
      <w:r>
        <w:rPr>
          <w:rStyle w:val="FootnoteReference"/>
        </w:rPr>
        <w:footnoteRef/>
      </w:r>
      <w:r>
        <w:t xml:space="preserve"> Brewer and Teeter, 2007; 19 </w:t>
      </w:r>
    </w:p>
  </w:footnote>
  <w:footnote w:id="110">
    <w:p w14:paraId="2E8FA09C" w14:textId="77777777" w:rsidR="00536485" w:rsidRDefault="00536485" w:rsidP="00105905">
      <w:pPr>
        <w:pStyle w:val="FootnoteText"/>
      </w:pPr>
      <w:r>
        <w:rPr>
          <w:rStyle w:val="FootnoteReference"/>
        </w:rPr>
        <w:footnoteRef/>
      </w:r>
      <w:r>
        <w:t xml:space="preserve"> </w:t>
      </w:r>
      <w:proofErr w:type="spellStart"/>
      <w:r>
        <w:t>Hawass</w:t>
      </w:r>
      <w:proofErr w:type="spellEnd"/>
      <w:r>
        <w:t xml:space="preserve">, 2018; 17 </w:t>
      </w:r>
    </w:p>
  </w:footnote>
  <w:footnote w:id="111">
    <w:p w14:paraId="571153C4" w14:textId="77777777" w:rsidR="00536485" w:rsidRDefault="00536485" w:rsidP="00105905">
      <w:pPr>
        <w:pStyle w:val="FootnoteText"/>
      </w:pPr>
      <w:r>
        <w:rPr>
          <w:rStyle w:val="FootnoteReference"/>
        </w:rPr>
        <w:footnoteRef/>
      </w:r>
      <w:r>
        <w:t xml:space="preserve"> </w:t>
      </w:r>
      <w:proofErr w:type="spellStart"/>
      <w:r>
        <w:t>Hawass</w:t>
      </w:r>
      <w:proofErr w:type="spellEnd"/>
      <w:r>
        <w:t xml:space="preserve">, 2018; 17 </w:t>
      </w:r>
    </w:p>
  </w:footnote>
  <w:footnote w:id="112">
    <w:p w14:paraId="4EC770E7" w14:textId="77777777" w:rsidR="00536485" w:rsidRDefault="00536485" w:rsidP="00105905">
      <w:pPr>
        <w:pStyle w:val="FootnoteText"/>
      </w:pPr>
      <w:r>
        <w:rPr>
          <w:rStyle w:val="FootnoteReference"/>
        </w:rPr>
        <w:footnoteRef/>
      </w:r>
      <w:r>
        <w:t xml:space="preserve"> </w:t>
      </w:r>
      <w:proofErr w:type="spellStart"/>
      <w:r>
        <w:t>Hawass</w:t>
      </w:r>
      <w:proofErr w:type="spellEnd"/>
      <w:r>
        <w:t xml:space="preserve">, 2018; 17 </w:t>
      </w:r>
    </w:p>
  </w:footnote>
  <w:footnote w:id="113">
    <w:p w14:paraId="54431A92" w14:textId="77777777" w:rsidR="00536485" w:rsidRDefault="00536485" w:rsidP="00105905">
      <w:pPr>
        <w:pStyle w:val="FootnoteText"/>
      </w:pPr>
      <w:r>
        <w:rPr>
          <w:rStyle w:val="FootnoteReference"/>
        </w:rPr>
        <w:footnoteRef/>
      </w:r>
      <w:r>
        <w:t xml:space="preserve"> </w:t>
      </w:r>
      <w:proofErr w:type="spellStart"/>
      <w:r>
        <w:t>Hawass</w:t>
      </w:r>
      <w:proofErr w:type="spellEnd"/>
      <w:r>
        <w:t xml:space="preserve">, 2018; 17 </w:t>
      </w:r>
    </w:p>
  </w:footnote>
  <w:footnote w:id="114">
    <w:p w14:paraId="2D5F25E9" w14:textId="77777777" w:rsidR="00536485" w:rsidRDefault="00536485" w:rsidP="00105905">
      <w:pPr>
        <w:pStyle w:val="FootnoteText"/>
      </w:pPr>
      <w:r>
        <w:rPr>
          <w:rStyle w:val="FootnoteReference"/>
        </w:rPr>
        <w:footnoteRef/>
      </w:r>
      <w:r>
        <w:t xml:space="preserve"> Carter and Mace, 1923; 75</w:t>
      </w:r>
    </w:p>
  </w:footnote>
  <w:footnote w:id="115">
    <w:p w14:paraId="363E3170" w14:textId="77777777" w:rsidR="00536485" w:rsidRDefault="00536485" w:rsidP="00105905">
      <w:pPr>
        <w:pStyle w:val="FootnoteText"/>
      </w:pPr>
      <w:r>
        <w:rPr>
          <w:rStyle w:val="FootnoteReference"/>
        </w:rPr>
        <w:footnoteRef/>
      </w:r>
      <w:r>
        <w:t xml:space="preserve"> </w:t>
      </w:r>
      <w:proofErr w:type="spellStart"/>
      <w:r>
        <w:t>Hawass</w:t>
      </w:r>
      <w:proofErr w:type="spellEnd"/>
      <w:r>
        <w:t>, 2018; 17</w:t>
      </w:r>
    </w:p>
  </w:footnote>
  <w:footnote w:id="116">
    <w:p w14:paraId="0AFB6EB5" w14:textId="77777777" w:rsidR="00536485" w:rsidRDefault="00536485" w:rsidP="00105905">
      <w:pPr>
        <w:pStyle w:val="FootnoteText"/>
      </w:pPr>
      <w:r>
        <w:rPr>
          <w:rStyle w:val="FootnoteReference"/>
        </w:rPr>
        <w:footnoteRef/>
      </w:r>
      <w:r>
        <w:t xml:space="preserve"> </w:t>
      </w:r>
      <w:proofErr w:type="spellStart"/>
      <w:r>
        <w:t>Hawass</w:t>
      </w:r>
      <w:proofErr w:type="spellEnd"/>
      <w:r>
        <w:t xml:space="preserve">, 2018; 17 </w:t>
      </w:r>
    </w:p>
  </w:footnote>
  <w:footnote w:id="117">
    <w:p w14:paraId="18356F29" w14:textId="77777777" w:rsidR="00536485" w:rsidRDefault="00536485" w:rsidP="00105905">
      <w:pPr>
        <w:pStyle w:val="FootnoteText"/>
      </w:pPr>
      <w:r>
        <w:rPr>
          <w:rStyle w:val="FootnoteReference"/>
        </w:rPr>
        <w:footnoteRef/>
      </w:r>
      <w:r>
        <w:t xml:space="preserve"> Reid, 2015; 56</w:t>
      </w:r>
    </w:p>
  </w:footnote>
  <w:footnote w:id="118">
    <w:p w14:paraId="4AD5FB23" w14:textId="77777777" w:rsidR="00536485" w:rsidRDefault="00536485" w:rsidP="00105905">
      <w:pPr>
        <w:pStyle w:val="FootnoteText"/>
      </w:pPr>
      <w:r>
        <w:rPr>
          <w:rStyle w:val="FootnoteReference"/>
        </w:rPr>
        <w:footnoteRef/>
      </w:r>
      <w:r>
        <w:t xml:space="preserve"> </w:t>
      </w:r>
      <w:proofErr w:type="spellStart"/>
      <w:r>
        <w:t>Hawass</w:t>
      </w:r>
      <w:proofErr w:type="spellEnd"/>
      <w:r>
        <w:t>, 2018; 19</w:t>
      </w:r>
    </w:p>
  </w:footnote>
  <w:footnote w:id="119">
    <w:p w14:paraId="0E103D12" w14:textId="77777777" w:rsidR="00536485" w:rsidRDefault="00536485" w:rsidP="00105905">
      <w:pPr>
        <w:pStyle w:val="FootnoteText"/>
      </w:pPr>
      <w:r>
        <w:rPr>
          <w:rStyle w:val="FootnoteReference"/>
        </w:rPr>
        <w:footnoteRef/>
      </w:r>
      <w:r>
        <w:t xml:space="preserve"> Carter and Mace, 1923; 76</w:t>
      </w:r>
    </w:p>
  </w:footnote>
  <w:footnote w:id="120">
    <w:p w14:paraId="20038D5E" w14:textId="77777777" w:rsidR="00536485" w:rsidRDefault="00536485" w:rsidP="00105905">
      <w:pPr>
        <w:pStyle w:val="FootnoteText"/>
      </w:pPr>
      <w:r>
        <w:rPr>
          <w:rStyle w:val="FootnoteReference"/>
        </w:rPr>
        <w:footnoteRef/>
      </w:r>
      <w:r>
        <w:t xml:space="preserve"> </w:t>
      </w:r>
      <w:proofErr w:type="spellStart"/>
      <w:r>
        <w:t>Hawass</w:t>
      </w:r>
      <w:proofErr w:type="spellEnd"/>
      <w:r>
        <w:t>, 2018; 19</w:t>
      </w:r>
    </w:p>
  </w:footnote>
  <w:footnote w:id="121">
    <w:p w14:paraId="435320F8" w14:textId="77777777" w:rsidR="00536485" w:rsidRDefault="00536485" w:rsidP="00105905">
      <w:pPr>
        <w:pStyle w:val="FootnoteText"/>
      </w:pPr>
      <w:r>
        <w:rPr>
          <w:rStyle w:val="FootnoteReference"/>
        </w:rPr>
        <w:footnoteRef/>
      </w:r>
      <w:r>
        <w:t xml:space="preserve"> Carter and Mace, 1923; 76</w:t>
      </w:r>
    </w:p>
  </w:footnote>
  <w:footnote w:id="122">
    <w:p w14:paraId="05B74239" w14:textId="77777777" w:rsidR="00536485" w:rsidRDefault="00536485" w:rsidP="00105905">
      <w:pPr>
        <w:pStyle w:val="FootnoteText"/>
      </w:pPr>
      <w:r>
        <w:rPr>
          <w:rStyle w:val="FootnoteReference"/>
        </w:rPr>
        <w:footnoteRef/>
      </w:r>
      <w:r>
        <w:t xml:space="preserve"> </w:t>
      </w:r>
      <w:proofErr w:type="spellStart"/>
      <w:r>
        <w:t>Hawass</w:t>
      </w:r>
      <w:proofErr w:type="spellEnd"/>
      <w:r>
        <w:t>, 2018; 19</w:t>
      </w:r>
    </w:p>
  </w:footnote>
  <w:footnote w:id="123">
    <w:p w14:paraId="10CDBFC4" w14:textId="77777777" w:rsidR="00536485" w:rsidRDefault="00536485" w:rsidP="000320D4">
      <w:pPr>
        <w:pStyle w:val="FootnoteText"/>
      </w:pPr>
      <w:r>
        <w:rPr>
          <w:rStyle w:val="FootnoteReference"/>
        </w:rPr>
        <w:footnoteRef/>
      </w:r>
      <w:r>
        <w:t xml:space="preserve"> </w:t>
      </w:r>
      <w:proofErr w:type="spellStart"/>
      <w:r>
        <w:t>Hawass</w:t>
      </w:r>
      <w:proofErr w:type="spellEnd"/>
      <w:r>
        <w:t>, 2018; 21</w:t>
      </w:r>
    </w:p>
  </w:footnote>
  <w:footnote w:id="124">
    <w:p w14:paraId="19AABC3E" w14:textId="77777777" w:rsidR="00536485" w:rsidRDefault="00536485" w:rsidP="00105905">
      <w:pPr>
        <w:pStyle w:val="FootnoteText"/>
      </w:pPr>
      <w:r>
        <w:rPr>
          <w:rStyle w:val="FootnoteReference"/>
        </w:rPr>
        <w:footnoteRef/>
      </w:r>
      <w:r>
        <w:t xml:space="preserve"> </w:t>
      </w:r>
      <w:proofErr w:type="spellStart"/>
      <w:r>
        <w:t>Hawass</w:t>
      </w:r>
      <w:proofErr w:type="spellEnd"/>
      <w:r>
        <w:t>, 2018; 21</w:t>
      </w:r>
    </w:p>
  </w:footnote>
  <w:footnote w:id="125">
    <w:p w14:paraId="04FB387D" w14:textId="77777777" w:rsidR="00536485" w:rsidRDefault="00536485" w:rsidP="000320D4">
      <w:pPr>
        <w:pStyle w:val="FootnoteText"/>
      </w:pPr>
      <w:r>
        <w:rPr>
          <w:rStyle w:val="FootnoteReference"/>
        </w:rPr>
        <w:footnoteRef/>
      </w:r>
      <w:r>
        <w:t xml:space="preserve"> </w:t>
      </w:r>
      <w:proofErr w:type="spellStart"/>
      <w:r>
        <w:t>Hawass</w:t>
      </w:r>
      <w:proofErr w:type="spellEnd"/>
      <w:r>
        <w:t>, 2018; 24</w:t>
      </w:r>
    </w:p>
  </w:footnote>
  <w:footnote w:id="126">
    <w:p w14:paraId="240DF72C" w14:textId="77777777" w:rsidR="00536485" w:rsidRDefault="00536485" w:rsidP="00105905">
      <w:pPr>
        <w:pStyle w:val="FootnoteText"/>
      </w:pPr>
      <w:r>
        <w:rPr>
          <w:rStyle w:val="FootnoteReference"/>
        </w:rPr>
        <w:footnoteRef/>
      </w:r>
      <w:r>
        <w:t xml:space="preserve"> Stevenson, 2019; 145</w:t>
      </w:r>
    </w:p>
  </w:footnote>
  <w:footnote w:id="127">
    <w:p w14:paraId="46D01958" w14:textId="77777777" w:rsidR="00536485" w:rsidRDefault="00536485" w:rsidP="00105905">
      <w:pPr>
        <w:pStyle w:val="FootnoteText"/>
      </w:pPr>
      <w:r>
        <w:rPr>
          <w:rStyle w:val="FootnoteReference"/>
        </w:rPr>
        <w:footnoteRef/>
      </w:r>
      <w:r>
        <w:t xml:space="preserve"> </w:t>
      </w:r>
      <w:proofErr w:type="spellStart"/>
      <w:r>
        <w:t>Hawass</w:t>
      </w:r>
      <w:proofErr w:type="spellEnd"/>
      <w:r>
        <w:t>, 2018; 22</w:t>
      </w:r>
    </w:p>
  </w:footnote>
  <w:footnote w:id="128">
    <w:p w14:paraId="38690DF3" w14:textId="77777777" w:rsidR="00536485" w:rsidRDefault="00536485" w:rsidP="00105905">
      <w:pPr>
        <w:pStyle w:val="FootnoteText"/>
      </w:pPr>
      <w:r>
        <w:rPr>
          <w:rStyle w:val="FootnoteReference"/>
        </w:rPr>
        <w:footnoteRef/>
      </w:r>
      <w:r>
        <w:t xml:space="preserve"> Reid, 2015; 238</w:t>
      </w:r>
    </w:p>
  </w:footnote>
  <w:footnote w:id="129">
    <w:p w14:paraId="3148F9F8" w14:textId="77777777" w:rsidR="00536485" w:rsidRDefault="00536485" w:rsidP="00105905">
      <w:pPr>
        <w:pStyle w:val="FootnoteText"/>
      </w:pPr>
      <w:r>
        <w:rPr>
          <w:rStyle w:val="FootnoteReference"/>
        </w:rPr>
        <w:footnoteRef/>
      </w:r>
      <w:r>
        <w:t xml:space="preserve"> Reid, 2015; 65</w:t>
      </w:r>
    </w:p>
  </w:footnote>
  <w:footnote w:id="130">
    <w:p w14:paraId="57AA7F00" w14:textId="77777777" w:rsidR="00536485" w:rsidRDefault="00536485" w:rsidP="00105905">
      <w:pPr>
        <w:pStyle w:val="FootnoteText"/>
      </w:pPr>
      <w:r>
        <w:rPr>
          <w:rStyle w:val="FootnoteReference"/>
        </w:rPr>
        <w:footnoteRef/>
      </w:r>
      <w:r>
        <w:t xml:space="preserve"> Wood, 1998; 182</w:t>
      </w:r>
    </w:p>
  </w:footnote>
  <w:footnote w:id="131">
    <w:p w14:paraId="42D71005" w14:textId="77777777" w:rsidR="00536485" w:rsidRDefault="00536485" w:rsidP="00105905">
      <w:pPr>
        <w:pStyle w:val="FootnoteText"/>
      </w:pPr>
      <w:r>
        <w:rPr>
          <w:rStyle w:val="FootnoteReference"/>
        </w:rPr>
        <w:footnoteRef/>
      </w:r>
      <w:r>
        <w:t xml:space="preserve"> Wood, 1998; 183</w:t>
      </w:r>
    </w:p>
  </w:footnote>
  <w:footnote w:id="132">
    <w:p w14:paraId="4F8E74AB" w14:textId="77777777" w:rsidR="00536485" w:rsidRDefault="00536485" w:rsidP="00105905">
      <w:pPr>
        <w:pStyle w:val="FootnoteText"/>
      </w:pPr>
      <w:r>
        <w:rPr>
          <w:rStyle w:val="FootnoteReference"/>
        </w:rPr>
        <w:footnoteRef/>
      </w:r>
      <w:r>
        <w:t xml:space="preserve"> </w:t>
      </w:r>
      <w:proofErr w:type="spellStart"/>
      <w:r>
        <w:t>Hawass</w:t>
      </w:r>
      <w:proofErr w:type="spellEnd"/>
      <w:r>
        <w:t>, 2018; 23</w:t>
      </w:r>
    </w:p>
  </w:footnote>
  <w:footnote w:id="133">
    <w:p w14:paraId="271EB0B2" w14:textId="77777777" w:rsidR="00536485" w:rsidRDefault="00536485" w:rsidP="00105905">
      <w:pPr>
        <w:pStyle w:val="FootnoteText"/>
      </w:pPr>
      <w:r>
        <w:rPr>
          <w:rStyle w:val="FootnoteReference"/>
        </w:rPr>
        <w:footnoteRef/>
      </w:r>
      <w:r>
        <w:t xml:space="preserve"> Wood, 1998; 183</w:t>
      </w:r>
    </w:p>
  </w:footnote>
  <w:footnote w:id="134">
    <w:p w14:paraId="5F6D57B5" w14:textId="77777777" w:rsidR="00536485" w:rsidRDefault="00536485" w:rsidP="00105905">
      <w:pPr>
        <w:pStyle w:val="FootnoteText"/>
      </w:pPr>
      <w:r>
        <w:rPr>
          <w:rStyle w:val="FootnoteReference"/>
        </w:rPr>
        <w:footnoteRef/>
      </w:r>
      <w:r>
        <w:t xml:space="preserve"> Wood, 1998; 183</w:t>
      </w:r>
    </w:p>
  </w:footnote>
  <w:footnote w:id="135">
    <w:p w14:paraId="00CA99B1" w14:textId="77777777" w:rsidR="00536485" w:rsidRDefault="00536485" w:rsidP="00105905">
      <w:pPr>
        <w:pStyle w:val="FootnoteText"/>
      </w:pPr>
      <w:r>
        <w:rPr>
          <w:rStyle w:val="FootnoteReference"/>
        </w:rPr>
        <w:footnoteRef/>
      </w:r>
      <w:r>
        <w:t xml:space="preserve"> Wilkinson, 2008; 146</w:t>
      </w:r>
    </w:p>
  </w:footnote>
  <w:footnote w:id="136">
    <w:p w14:paraId="7776D418" w14:textId="77777777" w:rsidR="00536485" w:rsidRDefault="00536485" w:rsidP="00105905">
      <w:pPr>
        <w:pStyle w:val="FootnoteText"/>
      </w:pPr>
      <w:r>
        <w:rPr>
          <w:rStyle w:val="FootnoteReference"/>
        </w:rPr>
        <w:footnoteRef/>
      </w:r>
      <w:r>
        <w:t xml:space="preserve"> Stevenson, 2019; 146 </w:t>
      </w:r>
    </w:p>
  </w:footnote>
  <w:footnote w:id="137">
    <w:p w14:paraId="24B390C9" w14:textId="77777777" w:rsidR="00536485" w:rsidRDefault="00536485" w:rsidP="00105905">
      <w:pPr>
        <w:pStyle w:val="FootnoteText"/>
      </w:pPr>
      <w:r>
        <w:rPr>
          <w:rStyle w:val="FootnoteReference"/>
        </w:rPr>
        <w:footnoteRef/>
      </w:r>
      <w:r>
        <w:t xml:space="preserve"> Parkinson, 2008 ;1</w:t>
      </w:r>
    </w:p>
  </w:footnote>
  <w:footnote w:id="138">
    <w:p w14:paraId="17C63BF9" w14:textId="77777777" w:rsidR="00536485" w:rsidRDefault="00536485" w:rsidP="00105905">
      <w:pPr>
        <w:pStyle w:val="FootnoteText"/>
      </w:pPr>
      <w:r>
        <w:rPr>
          <w:rStyle w:val="FootnoteReference"/>
        </w:rPr>
        <w:footnoteRef/>
      </w:r>
      <w:r>
        <w:t xml:space="preserve"> National Library of Australia, N.D</w:t>
      </w:r>
    </w:p>
  </w:footnote>
  <w:footnote w:id="139">
    <w:p w14:paraId="2AF787D7" w14:textId="77777777" w:rsidR="00536485" w:rsidRDefault="00536485" w:rsidP="00105905">
      <w:pPr>
        <w:pStyle w:val="FootnoteText"/>
      </w:pPr>
      <w:r>
        <w:rPr>
          <w:rStyle w:val="FootnoteReference"/>
        </w:rPr>
        <w:footnoteRef/>
      </w:r>
      <w:r>
        <w:t xml:space="preserve"> Wood, 1998; 183</w:t>
      </w:r>
    </w:p>
  </w:footnote>
  <w:footnote w:id="140">
    <w:p w14:paraId="75230869" w14:textId="77777777" w:rsidR="00536485" w:rsidRDefault="00536485" w:rsidP="00105905">
      <w:pPr>
        <w:pStyle w:val="FootnoteText"/>
      </w:pPr>
      <w:r>
        <w:rPr>
          <w:rStyle w:val="FootnoteReference"/>
        </w:rPr>
        <w:footnoteRef/>
      </w:r>
      <w:r>
        <w:t xml:space="preserve"> Wood, 1998; 183</w:t>
      </w:r>
    </w:p>
  </w:footnote>
  <w:footnote w:id="141">
    <w:p w14:paraId="5C06A505" w14:textId="77777777" w:rsidR="00536485" w:rsidRDefault="00536485" w:rsidP="00105905">
      <w:pPr>
        <w:pStyle w:val="FootnoteText"/>
      </w:pPr>
      <w:r>
        <w:rPr>
          <w:rStyle w:val="FootnoteReference"/>
        </w:rPr>
        <w:footnoteRef/>
      </w:r>
      <w:r>
        <w:t xml:space="preserve"> </w:t>
      </w:r>
      <w:proofErr w:type="spellStart"/>
      <w:r>
        <w:t>Hawass</w:t>
      </w:r>
      <w:proofErr w:type="spellEnd"/>
      <w:r>
        <w:t>, 2018; 23</w:t>
      </w:r>
    </w:p>
  </w:footnote>
  <w:footnote w:id="142">
    <w:p w14:paraId="05F59AD8" w14:textId="77777777" w:rsidR="00536485" w:rsidRPr="00182F6F" w:rsidRDefault="00536485" w:rsidP="00105905">
      <w:pPr>
        <w:pStyle w:val="FootnoteText"/>
      </w:pPr>
      <w:r>
        <w:rPr>
          <w:rStyle w:val="FootnoteReference"/>
        </w:rPr>
        <w:footnoteRef/>
      </w:r>
      <w:r>
        <w:t xml:space="preserve"> </w:t>
      </w:r>
      <w:r w:rsidRPr="00182F6F">
        <w:t>Johnson, N.D</w:t>
      </w:r>
    </w:p>
  </w:footnote>
  <w:footnote w:id="143">
    <w:p w14:paraId="3A4204C5" w14:textId="77777777" w:rsidR="00536485" w:rsidRDefault="00536485" w:rsidP="00105905">
      <w:pPr>
        <w:pStyle w:val="FootnoteText"/>
      </w:pPr>
      <w:r w:rsidRPr="00182F6F">
        <w:rPr>
          <w:rStyle w:val="FootnoteReference"/>
        </w:rPr>
        <w:footnoteRef/>
      </w:r>
      <w:r w:rsidRPr="00182F6F">
        <w:t xml:space="preserve"> Johnson, N.D</w:t>
      </w:r>
    </w:p>
  </w:footnote>
  <w:footnote w:id="144">
    <w:p w14:paraId="11BDCB2B" w14:textId="3EF6A143" w:rsidR="00536485" w:rsidRDefault="00536485" w:rsidP="00105905">
      <w:pPr>
        <w:pStyle w:val="FootnoteText"/>
      </w:pPr>
      <w:r>
        <w:rPr>
          <w:rStyle w:val="FootnoteReference"/>
        </w:rPr>
        <w:footnoteRef/>
      </w:r>
      <w:r>
        <w:t xml:space="preserve"> Fritze, 2016; 224</w:t>
      </w:r>
    </w:p>
  </w:footnote>
  <w:footnote w:id="145">
    <w:p w14:paraId="4949D18F" w14:textId="77777777" w:rsidR="00536485" w:rsidRPr="00701F56" w:rsidRDefault="00536485" w:rsidP="00105905">
      <w:pPr>
        <w:pStyle w:val="FootnoteText"/>
      </w:pPr>
      <w:r w:rsidRPr="00701F56">
        <w:rPr>
          <w:rStyle w:val="FootnoteReference"/>
        </w:rPr>
        <w:footnoteRef/>
      </w:r>
      <w:r w:rsidRPr="00701F56">
        <w:t xml:space="preserve"> University of Cambridge, 2020</w:t>
      </w:r>
    </w:p>
  </w:footnote>
  <w:footnote w:id="146">
    <w:p w14:paraId="658FECA5" w14:textId="77777777" w:rsidR="00536485" w:rsidRDefault="00536485" w:rsidP="008422AB">
      <w:pPr>
        <w:pStyle w:val="FootnoteText"/>
      </w:pPr>
      <w:r>
        <w:rPr>
          <w:rStyle w:val="FootnoteReference"/>
        </w:rPr>
        <w:footnoteRef/>
      </w:r>
      <w:r>
        <w:t xml:space="preserve"> Fryxell, 2017; 523</w:t>
      </w:r>
    </w:p>
  </w:footnote>
  <w:footnote w:id="147">
    <w:p w14:paraId="2FF92654" w14:textId="77777777" w:rsidR="00536485" w:rsidRPr="00701F56" w:rsidRDefault="00536485" w:rsidP="00105905">
      <w:pPr>
        <w:pStyle w:val="FootnoteText"/>
      </w:pPr>
      <w:r w:rsidRPr="00701F56">
        <w:rPr>
          <w:rStyle w:val="FootnoteReference"/>
        </w:rPr>
        <w:footnoteRef/>
      </w:r>
      <w:r w:rsidRPr="00701F56">
        <w:t xml:space="preserve"> The American University in Cairo, N.D. </w:t>
      </w:r>
    </w:p>
  </w:footnote>
  <w:footnote w:id="148">
    <w:p w14:paraId="04403405" w14:textId="77777777" w:rsidR="00536485" w:rsidRPr="00701F56" w:rsidRDefault="00536485" w:rsidP="00105905">
      <w:pPr>
        <w:pStyle w:val="FootnoteText"/>
      </w:pPr>
      <w:r w:rsidRPr="00701F56">
        <w:rPr>
          <w:rStyle w:val="FootnoteReference"/>
        </w:rPr>
        <w:footnoteRef/>
      </w:r>
      <w:r w:rsidRPr="00701F56">
        <w:t xml:space="preserve"> Ikram, 2010; 292</w:t>
      </w:r>
    </w:p>
  </w:footnote>
  <w:footnote w:id="149">
    <w:p w14:paraId="2E184C94" w14:textId="77777777" w:rsidR="00536485" w:rsidRPr="00701F56" w:rsidRDefault="00536485" w:rsidP="00105905">
      <w:pPr>
        <w:pStyle w:val="FootnoteText"/>
      </w:pPr>
      <w:r w:rsidRPr="00701F56">
        <w:rPr>
          <w:rStyle w:val="FootnoteReference"/>
        </w:rPr>
        <w:footnoteRef/>
      </w:r>
      <w:r w:rsidRPr="00701F56">
        <w:t xml:space="preserve"> Wilson, 1938 ;26</w:t>
      </w:r>
    </w:p>
  </w:footnote>
  <w:footnote w:id="150">
    <w:p w14:paraId="7E034F64" w14:textId="77777777" w:rsidR="00536485" w:rsidRDefault="00536485" w:rsidP="00105905">
      <w:pPr>
        <w:pStyle w:val="FootnoteText"/>
      </w:pPr>
      <w:r w:rsidRPr="00701F56">
        <w:rPr>
          <w:rStyle w:val="FootnoteReference"/>
        </w:rPr>
        <w:footnoteRef/>
      </w:r>
      <w:r w:rsidRPr="00701F56">
        <w:t xml:space="preserve"> Smith, 1923; 16</w:t>
      </w:r>
    </w:p>
  </w:footnote>
  <w:footnote w:id="151">
    <w:p w14:paraId="57D39834" w14:textId="03910B81" w:rsidR="00536485" w:rsidRDefault="00536485">
      <w:pPr>
        <w:pStyle w:val="FootnoteText"/>
      </w:pPr>
      <w:r>
        <w:rPr>
          <w:rStyle w:val="FootnoteReference"/>
        </w:rPr>
        <w:footnoteRef/>
      </w:r>
      <w:r>
        <w:t xml:space="preserve"> Ikram, 2010; 293</w:t>
      </w:r>
    </w:p>
  </w:footnote>
  <w:footnote w:id="152">
    <w:p w14:paraId="6009BB38" w14:textId="77777777" w:rsidR="00536485" w:rsidRDefault="00536485" w:rsidP="00105905">
      <w:pPr>
        <w:pStyle w:val="FootnoteText"/>
      </w:pPr>
      <w:r>
        <w:rPr>
          <w:rStyle w:val="FootnoteReference"/>
        </w:rPr>
        <w:footnoteRef/>
      </w:r>
      <w:r>
        <w:t xml:space="preserve"> Ikram, 2010; 292</w:t>
      </w:r>
    </w:p>
  </w:footnote>
  <w:footnote w:id="153">
    <w:p w14:paraId="1C35296D" w14:textId="281C8B6E" w:rsidR="00536485" w:rsidRDefault="00536485">
      <w:pPr>
        <w:pStyle w:val="FootnoteText"/>
      </w:pPr>
      <w:r>
        <w:rPr>
          <w:rStyle w:val="FootnoteReference"/>
        </w:rPr>
        <w:footnoteRef/>
      </w:r>
      <w:r>
        <w:t xml:space="preserve"> Ikram, 2010; 292</w:t>
      </w:r>
    </w:p>
  </w:footnote>
  <w:footnote w:id="154">
    <w:p w14:paraId="706031FA" w14:textId="6C1B2767" w:rsidR="00536485" w:rsidRDefault="00536485" w:rsidP="00105905">
      <w:pPr>
        <w:pStyle w:val="FootnoteText"/>
      </w:pPr>
      <w:r>
        <w:rPr>
          <w:rStyle w:val="FootnoteReference"/>
        </w:rPr>
        <w:footnoteRef/>
      </w:r>
      <w:r>
        <w:t xml:space="preserve"> The Metropolitan Museum of Fine Arts, 2011</w:t>
      </w:r>
    </w:p>
  </w:footnote>
  <w:footnote w:id="155">
    <w:p w14:paraId="356A2D78" w14:textId="77777777" w:rsidR="00536485" w:rsidRDefault="00536485" w:rsidP="00105905">
      <w:pPr>
        <w:pStyle w:val="FootnoteText"/>
      </w:pPr>
      <w:r>
        <w:rPr>
          <w:rStyle w:val="FootnoteReference"/>
        </w:rPr>
        <w:footnoteRef/>
      </w:r>
      <w:r>
        <w:t xml:space="preserve"> Ikram, 2010; 293</w:t>
      </w:r>
    </w:p>
  </w:footnote>
  <w:footnote w:id="156">
    <w:p w14:paraId="455F32EE" w14:textId="77777777" w:rsidR="00536485" w:rsidRPr="00B84A59" w:rsidRDefault="00536485" w:rsidP="00105905">
      <w:pPr>
        <w:pStyle w:val="FootnoteText"/>
      </w:pPr>
      <w:r>
        <w:rPr>
          <w:rStyle w:val="FootnoteReference"/>
        </w:rPr>
        <w:footnoteRef/>
      </w:r>
      <w:r>
        <w:t xml:space="preserve"> </w:t>
      </w:r>
      <w:r w:rsidRPr="00B84A59">
        <w:t>James, 2001; 148</w:t>
      </w:r>
    </w:p>
  </w:footnote>
  <w:footnote w:id="157">
    <w:p w14:paraId="7031A23C" w14:textId="77777777" w:rsidR="00536485" w:rsidRDefault="00536485" w:rsidP="00105905">
      <w:pPr>
        <w:pStyle w:val="FootnoteText"/>
      </w:pPr>
      <w:r w:rsidRPr="00B84A59">
        <w:rPr>
          <w:rStyle w:val="FootnoteReference"/>
        </w:rPr>
        <w:footnoteRef/>
      </w:r>
      <w:r w:rsidRPr="00B84A59">
        <w:t xml:space="preserve"> James, 2001; 148</w:t>
      </w:r>
    </w:p>
  </w:footnote>
  <w:footnote w:id="158">
    <w:p w14:paraId="3B29C677" w14:textId="77777777" w:rsidR="00536485" w:rsidRDefault="00536485" w:rsidP="00105905">
      <w:pPr>
        <w:pStyle w:val="FootnoteText"/>
      </w:pPr>
      <w:r>
        <w:rPr>
          <w:rStyle w:val="FootnoteReference"/>
        </w:rPr>
        <w:footnoteRef/>
      </w:r>
      <w:r>
        <w:t xml:space="preserve"> Eaton-Krauss, 2016; 93</w:t>
      </w:r>
    </w:p>
  </w:footnote>
  <w:footnote w:id="159">
    <w:p w14:paraId="078D0F15" w14:textId="77777777" w:rsidR="00536485" w:rsidRDefault="00536485" w:rsidP="0076766B">
      <w:pPr>
        <w:pStyle w:val="FootnoteText"/>
      </w:pPr>
      <w:r>
        <w:rPr>
          <w:rStyle w:val="FootnoteReference"/>
        </w:rPr>
        <w:footnoteRef/>
      </w:r>
      <w:r>
        <w:t xml:space="preserve"> </w:t>
      </w:r>
      <w:proofErr w:type="spellStart"/>
      <w:r>
        <w:t>Janot</w:t>
      </w:r>
      <w:proofErr w:type="spellEnd"/>
      <w:r>
        <w:t>, 2010; 28</w:t>
      </w:r>
    </w:p>
  </w:footnote>
  <w:footnote w:id="160">
    <w:p w14:paraId="49884669" w14:textId="77777777" w:rsidR="00536485" w:rsidRDefault="00536485" w:rsidP="0076766B">
      <w:pPr>
        <w:pStyle w:val="FootnoteText"/>
      </w:pPr>
      <w:r>
        <w:rPr>
          <w:rStyle w:val="FootnoteReference"/>
        </w:rPr>
        <w:footnoteRef/>
      </w:r>
      <w:r>
        <w:t xml:space="preserve"> Ikram, 2010; 294</w:t>
      </w:r>
    </w:p>
  </w:footnote>
  <w:footnote w:id="161">
    <w:p w14:paraId="0C020350" w14:textId="77777777" w:rsidR="00536485" w:rsidRDefault="00536485" w:rsidP="0076766B">
      <w:pPr>
        <w:pStyle w:val="FootnoteText"/>
      </w:pPr>
      <w:r>
        <w:rPr>
          <w:rStyle w:val="FootnoteReference"/>
        </w:rPr>
        <w:footnoteRef/>
      </w:r>
      <w:r>
        <w:t xml:space="preserve"> </w:t>
      </w:r>
      <w:proofErr w:type="spellStart"/>
      <w:r>
        <w:t>Janot</w:t>
      </w:r>
      <w:proofErr w:type="spellEnd"/>
      <w:r>
        <w:t>, 2010; 28</w:t>
      </w:r>
    </w:p>
  </w:footnote>
  <w:footnote w:id="162">
    <w:p w14:paraId="06E09C45" w14:textId="77777777" w:rsidR="00536485" w:rsidRDefault="00536485" w:rsidP="00105905">
      <w:pPr>
        <w:pStyle w:val="FootnoteText"/>
      </w:pPr>
      <w:r>
        <w:rPr>
          <w:rStyle w:val="FootnoteReference"/>
        </w:rPr>
        <w:footnoteRef/>
      </w:r>
      <w:r>
        <w:t xml:space="preserve"> Reid, 2015; 65</w:t>
      </w:r>
    </w:p>
  </w:footnote>
  <w:footnote w:id="163">
    <w:p w14:paraId="71D7BF02" w14:textId="77777777" w:rsidR="00536485" w:rsidRDefault="00536485" w:rsidP="00105905">
      <w:pPr>
        <w:pStyle w:val="FootnoteText"/>
      </w:pPr>
      <w:r>
        <w:rPr>
          <w:rStyle w:val="FootnoteReference"/>
        </w:rPr>
        <w:footnoteRef/>
      </w:r>
      <w:r>
        <w:t xml:space="preserve"> Reid, 2015; 65</w:t>
      </w:r>
    </w:p>
  </w:footnote>
  <w:footnote w:id="164">
    <w:p w14:paraId="7CC7958D" w14:textId="77777777" w:rsidR="00536485" w:rsidRDefault="00536485" w:rsidP="00105905">
      <w:pPr>
        <w:pStyle w:val="FootnoteText"/>
      </w:pPr>
      <w:r>
        <w:rPr>
          <w:rStyle w:val="FootnoteReference"/>
        </w:rPr>
        <w:footnoteRef/>
      </w:r>
      <w:r>
        <w:t xml:space="preserve"> Collins and McNamara, 2014; 25</w:t>
      </w:r>
    </w:p>
  </w:footnote>
  <w:footnote w:id="165">
    <w:p w14:paraId="3C8664CB" w14:textId="77777777" w:rsidR="00536485" w:rsidRDefault="00536485" w:rsidP="002117A2">
      <w:pPr>
        <w:pStyle w:val="FootnoteText"/>
      </w:pPr>
      <w:r>
        <w:rPr>
          <w:rStyle w:val="FootnoteReference"/>
        </w:rPr>
        <w:footnoteRef/>
      </w:r>
      <w:r>
        <w:t xml:space="preserve"> Reid, 1985; 233</w:t>
      </w:r>
    </w:p>
  </w:footnote>
  <w:footnote w:id="166">
    <w:p w14:paraId="0AD59AA3" w14:textId="77777777" w:rsidR="00536485" w:rsidRDefault="00536485" w:rsidP="002117A2">
      <w:pPr>
        <w:pStyle w:val="FootnoteText"/>
      </w:pPr>
      <w:r>
        <w:rPr>
          <w:rStyle w:val="FootnoteReference"/>
        </w:rPr>
        <w:footnoteRef/>
      </w:r>
      <w:r>
        <w:t xml:space="preserve"> Moser, 2012; 53</w:t>
      </w:r>
    </w:p>
  </w:footnote>
  <w:footnote w:id="167">
    <w:p w14:paraId="3F9A1F5B" w14:textId="77777777" w:rsidR="00536485" w:rsidRDefault="00536485" w:rsidP="002117A2">
      <w:pPr>
        <w:pStyle w:val="FootnoteText"/>
      </w:pPr>
      <w:r>
        <w:rPr>
          <w:rStyle w:val="FootnoteReference"/>
        </w:rPr>
        <w:footnoteRef/>
      </w:r>
      <w:r>
        <w:t xml:space="preserve"> Reid, 1985; 234</w:t>
      </w:r>
    </w:p>
  </w:footnote>
  <w:footnote w:id="168">
    <w:p w14:paraId="16B1AC1F" w14:textId="77777777" w:rsidR="00536485" w:rsidRDefault="00536485" w:rsidP="002117A2">
      <w:pPr>
        <w:pStyle w:val="FootnoteText"/>
      </w:pPr>
      <w:r>
        <w:rPr>
          <w:rStyle w:val="FootnoteReference"/>
        </w:rPr>
        <w:footnoteRef/>
      </w:r>
      <w:r>
        <w:t xml:space="preserve"> </w:t>
      </w:r>
      <w:proofErr w:type="spellStart"/>
      <w:r>
        <w:t>Gange</w:t>
      </w:r>
      <w:proofErr w:type="spellEnd"/>
      <w:r>
        <w:t>, 2013; 75</w:t>
      </w:r>
    </w:p>
  </w:footnote>
  <w:footnote w:id="169">
    <w:p w14:paraId="3924CE5F" w14:textId="77777777" w:rsidR="00536485" w:rsidRDefault="00536485" w:rsidP="002117A2">
      <w:pPr>
        <w:pStyle w:val="FootnoteText"/>
      </w:pPr>
      <w:r>
        <w:rPr>
          <w:rStyle w:val="FootnoteReference"/>
        </w:rPr>
        <w:footnoteRef/>
      </w:r>
      <w:r>
        <w:t xml:space="preserve"> Wood, 1998; 190</w:t>
      </w:r>
    </w:p>
  </w:footnote>
  <w:footnote w:id="170">
    <w:p w14:paraId="540DD353" w14:textId="77777777" w:rsidR="00536485" w:rsidRDefault="00536485" w:rsidP="002117A2">
      <w:pPr>
        <w:pStyle w:val="FootnoteText"/>
      </w:pPr>
      <w:r>
        <w:rPr>
          <w:rStyle w:val="FootnoteReference"/>
        </w:rPr>
        <w:footnoteRef/>
      </w:r>
      <w:r>
        <w:t xml:space="preserve"> Reid, 2015; 61</w:t>
      </w:r>
    </w:p>
  </w:footnote>
  <w:footnote w:id="171">
    <w:p w14:paraId="3170F590" w14:textId="77777777" w:rsidR="00536485" w:rsidRDefault="00536485" w:rsidP="002117A2">
      <w:pPr>
        <w:pStyle w:val="FootnoteText"/>
      </w:pPr>
      <w:r>
        <w:rPr>
          <w:rStyle w:val="FootnoteReference"/>
        </w:rPr>
        <w:footnoteRef/>
      </w:r>
      <w:r>
        <w:t xml:space="preserve"> Thompson, 2016; 245</w:t>
      </w:r>
    </w:p>
  </w:footnote>
  <w:footnote w:id="172">
    <w:p w14:paraId="55896A0E" w14:textId="77777777" w:rsidR="00536485" w:rsidRDefault="00536485" w:rsidP="002117A2">
      <w:pPr>
        <w:pStyle w:val="FootnoteText"/>
      </w:pPr>
      <w:r>
        <w:rPr>
          <w:rStyle w:val="FootnoteReference"/>
        </w:rPr>
        <w:footnoteRef/>
      </w:r>
      <w:r>
        <w:t xml:space="preserve"> Reid, 1985; 233</w:t>
      </w:r>
    </w:p>
  </w:footnote>
  <w:footnote w:id="173">
    <w:p w14:paraId="13B685A3" w14:textId="77777777" w:rsidR="00536485" w:rsidRDefault="00536485" w:rsidP="002117A2">
      <w:pPr>
        <w:pStyle w:val="FootnoteText"/>
      </w:pPr>
      <w:r>
        <w:rPr>
          <w:rStyle w:val="FootnoteReference"/>
        </w:rPr>
        <w:footnoteRef/>
      </w:r>
      <w:r>
        <w:t xml:space="preserve"> Reid, 1985; 233</w:t>
      </w:r>
    </w:p>
  </w:footnote>
  <w:footnote w:id="174">
    <w:p w14:paraId="35481A0F" w14:textId="77777777" w:rsidR="00536485" w:rsidRPr="0034236D" w:rsidRDefault="00536485" w:rsidP="0074615C">
      <w:pPr>
        <w:pStyle w:val="FootnoteText"/>
      </w:pPr>
      <w:r>
        <w:rPr>
          <w:rStyle w:val="FootnoteReference"/>
        </w:rPr>
        <w:footnoteRef/>
      </w:r>
      <w:r>
        <w:t xml:space="preserve"> Encyclopaedia </w:t>
      </w:r>
      <w:r w:rsidRPr="0034236D">
        <w:t>Britannia, 2019</w:t>
      </w:r>
    </w:p>
  </w:footnote>
  <w:footnote w:id="175">
    <w:p w14:paraId="2A1C7988" w14:textId="77777777" w:rsidR="00536485" w:rsidRDefault="00536485" w:rsidP="0074615C">
      <w:pPr>
        <w:pStyle w:val="FootnoteText"/>
      </w:pPr>
      <w:r w:rsidRPr="0034236D">
        <w:rPr>
          <w:rStyle w:val="FootnoteReference"/>
        </w:rPr>
        <w:footnoteRef/>
      </w:r>
      <w:r w:rsidRPr="0034236D">
        <w:t xml:space="preserve"> Woodward</w:t>
      </w:r>
      <w:r>
        <w:t>,</w:t>
      </w:r>
      <w:r w:rsidRPr="0034236D">
        <w:t xml:space="preserve"> 2011</w:t>
      </w:r>
    </w:p>
  </w:footnote>
  <w:footnote w:id="176">
    <w:p w14:paraId="288AA1C7" w14:textId="77777777" w:rsidR="00536485" w:rsidRDefault="00536485" w:rsidP="0074615C">
      <w:pPr>
        <w:pStyle w:val="FootnoteText"/>
      </w:pPr>
      <w:r>
        <w:rPr>
          <w:rStyle w:val="FootnoteReference"/>
        </w:rPr>
        <w:footnoteRef/>
      </w:r>
      <w:r>
        <w:t xml:space="preserve"> Woodward, 2011</w:t>
      </w:r>
    </w:p>
  </w:footnote>
  <w:footnote w:id="177">
    <w:p w14:paraId="5C317CEE" w14:textId="77777777" w:rsidR="00536485" w:rsidRDefault="00536485" w:rsidP="002117A2">
      <w:pPr>
        <w:pStyle w:val="FootnoteText"/>
      </w:pPr>
      <w:r>
        <w:rPr>
          <w:rStyle w:val="FootnoteReference"/>
        </w:rPr>
        <w:footnoteRef/>
      </w:r>
      <w:r>
        <w:t xml:space="preserve"> Daly and Petry, 1998; 239</w:t>
      </w:r>
    </w:p>
  </w:footnote>
  <w:footnote w:id="178">
    <w:p w14:paraId="1770D9E8" w14:textId="77777777" w:rsidR="00536485" w:rsidRDefault="00536485" w:rsidP="002117A2">
      <w:pPr>
        <w:pStyle w:val="FootnoteText"/>
      </w:pPr>
      <w:r>
        <w:rPr>
          <w:rStyle w:val="FootnoteReference"/>
        </w:rPr>
        <w:footnoteRef/>
      </w:r>
      <w:r>
        <w:t xml:space="preserve"> Riggs, 2019 </w:t>
      </w:r>
    </w:p>
  </w:footnote>
  <w:footnote w:id="179">
    <w:p w14:paraId="51EE9467" w14:textId="1395E4CF" w:rsidR="00536485" w:rsidRDefault="00536485">
      <w:pPr>
        <w:pStyle w:val="FootnoteText"/>
      </w:pPr>
      <w:r>
        <w:rPr>
          <w:rStyle w:val="FootnoteReference"/>
        </w:rPr>
        <w:footnoteRef/>
      </w:r>
      <w:r>
        <w:t xml:space="preserve"> Brewer and Teeter, 2007; 8</w:t>
      </w:r>
    </w:p>
  </w:footnote>
  <w:footnote w:id="180">
    <w:p w14:paraId="256E8553" w14:textId="77777777" w:rsidR="00536485" w:rsidRDefault="00536485" w:rsidP="002117A2">
      <w:pPr>
        <w:pStyle w:val="FootnoteText"/>
      </w:pPr>
      <w:r>
        <w:rPr>
          <w:rStyle w:val="FootnoteReference"/>
        </w:rPr>
        <w:footnoteRef/>
      </w:r>
      <w:r>
        <w:t xml:space="preserve"> Riggs, 2019</w:t>
      </w:r>
    </w:p>
  </w:footnote>
  <w:footnote w:id="181">
    <w:p w14:paraId="1BFD7F92" w14:textId="77777777" w:rsidR="00536485" w:rsidRDefault="00536485" w:rsidP="002117A2">
      <w:pPr>
        <w:pStyle w:val="FootnoteText"/>
      </w:pPr>
      <w:r>
        <w:rPr>
          <w:rStyle w:val="FootnoteReference"/>
        </w:rPr>
        <w:footnoteRef/>
      </w:r>
      <w:r>
        <w:t xml:space="preserve"> Marlowe, 1974; 17</w:t>
      </w:r>
    </w:p>
  </w:footnote>
  <w:footnote w:id="182">
    <w:p w14:paraId="6713C347" w14:textId="036B0248" w:rsidR="00536485" w:rsidRDefault="00536485" w:rsidP="002117A2">
      <w:pPr>
        <w:pStyle w:val="FootnoteText"/>
      </w:pPr>
      <w:r>
        <w:rPr>
          <w:rStyle w:val="FootnoteReference"/>
        </w:rPr>
        <w:footnoteRef/>
      </w:r>
      <w:r>
        <w:t xml:space="preserve"> El-Akkad, 2017; 77</w:t>
      </w:r>
    </w:p>
  </w:footnote>
  <w:footnote w:id="183">
    <w:p w14:paraId="72BE459E" w14:textId="77777777" w:rsidR="00536485" w:rsidRDefault="00536485" w:rsidP="002117A2">
      <w:pPr>
        <w:pStyle w:val="FootnoteText"/>
      </w:pPr>
      <w:r>
        <w:rPr>
          <w:rStyle w:val="FootnoteReference"/>
        </w:rPr>
        <w:footnoteRef/>
      </w:r>
      <w:r>
        <w:t xml:space="preserve"> Fryxell, 2017; 531</w:t>
      </w:r>
    </w:p>
  </w:footnote>
  <w:footnote w:id="184">
    <w:p w14:paraId="0881B8AF" w14:textId="77777777" w:rsidR="00536485" w:rsidRDefault="00536485" w:rsidP="002117A2">
      <w:pPr>
        <w:pStyle w:val="FootnoteText"/>
      </w:pPr>
      <w:r>
        <w:rPr>
          <w:rStyle w:val="FootnoteReference"/>
        </w:rPr>
        <w:footnoteRef/>
      </w:r>
      <w:r>
        <w:t xml:space="preserve"> Reid, 1985; 244 </w:t>
      </w:r>
    </w:p>
  </w:footnote>
  <w:footnote w:id="185">
    <w:p w14:paraId="7396D5D5" w14:textId="77777777" w:rsidR="00536485" w:rsidRDefault="00536485" w:rsidP="002117A2">
      <w:pPr>
        <w:pStyle w:val="FootnoteText"/>
      </w:pPr>
      <w:r>
        <w:rPr>
          <w:rStyle w:val="FootnoteReference"/>
        </w:rPr>
        <w:footnoteRef/>
      </w:r>
      <w:r>
        <w:t xml:space="preserve"> Supreme Council of Antiquities, N.D. </w:t>
      </w:r>
    </w:p>
  </w:footnote>
  <w:footnote w:id="186">
    <w:p w14:paraId="7C96386C" w14:textId="77777777" w:rsidR="00536485" w:rsidRDefault="00536485" w:rsidP="002117A2">
      <w:pPr>
        <w:pStyle w:val="FootnoteText"/>
      </w:pPr>
      <w:r>
        <w:rPr>
          <w:rStyle w:val="FootnoteReference"/>
        </w:rPr>
        <w:footnoteRef/>
      </w:r>
      <w:r>
        <w:t xml:space="preserve"> Wilkinson, 2008; 151</w:t>
      </w:r>
    </w:p>
  </w:footnote>
  <w:footnote w:id="187">
    <w:p w14:paraId="741DF80D" w14:textId="77777777" w:rsidR="00536485" w:rsidRDefault="00536485" w:rsidP="002117A2">
      <w:pPr>
        <w:pStyle w:val="FootnoteText"/>
      </w:pPr>
      <w:r>
        <w:rPr>
          <w:rStyle w:val="FootnoteReference"/>
        </w:rPr>
        <w:footnoteRef/>
      </w:r>
      <w:r>
        <w:t xml:space="preserve"> Reid, 1985; 246</w:t>
      </w:r>
    </w:p>
  </w:footnote>
  <w:footnote w:id="188">
    <w:p w14:paraId="3CC2066E" w14:textId="77777777" w:rsidR="00536485" w:rsidRDefault="00536485" w:rsidP="002117A2">
      <w:pPr>
        <w:pStyle w:val="FootnoteText"/>
      </w:pPr>
      <w:r>
        <w:rPr>
          <w:rStyle w:val="FootnoteReference"/>
        </w:rPr>
        <w:footnoteRef/>
      </w:r>
      <w:r>
        <w:t xml:space="preserve"> Wood, 1998; 181 </w:t>
      </w:r>
    </w:p>
  </w:footnote>
  <w:footnote w:id="189">
    <w:p w14:paraId="7A7D7F9A" w14:textId="77777777" w:rsidR="00536485" w:rsidRDefault="00536485" w:rsidP="002117A2">
      <w:pPr>
        <w:pStyle w:val="FootnoteText"/>
      </w:pPr>
      <w:r>
        <w:rPr>
          <w:rStyle w:val="FootnoteReference"/>
        </w:rPr>
        <w:footnoteRef/>
      </w:r>
      <w:r>
        <w:t xml:space="preserve"> Reid, 1985; 237</w:t>
      </w:r>
    </w:p>
  </w:footnote>
  <w:footnote w:id="190">
    <w:p w14:paraId="14901576" w14:textId="2949B8EB" w:rsidR="00536485" w:rsidRDefault="00536485">
      <w:pPr>
        <w:pStyle w:val="FootnoteText"/>
      </w:pPr>
      <w:r>
        <w:rPr>
          <w:rStyle w:val="FootnoteReference"/>
        </w:rPr>
        <w:footnoteRef/>
      </w:r>
      <w:r>
        <w:t xml:space="preserve"> Reid, 1985; 237</w:t>
      </w:r>
    </w:p>
  </w:footnote>
  <w:footnote w:id="191">
    <w:p w14:paraId="3B952863" w14:textId="77777777" w:rsidR="00536485" w:rsidRDefault="00536485" w:rsidP="002117A2">
      <w:pPr>
        <w:pStyle w:val="FootnoteText"/>
      </w:pPr>
      <w:r>
        <w:rPr>
          <w:rStyle w:val="FootnoteReference"/>
        </w:rPr>
        <w:footnoteRef/>
      </w:r>
      <w:r>
        <w:t xml:space="preserve"> Reid, 1985; 237</w:t>
      </w:r>
    </w:p>
  </w:footnote>
  <w:footnote w:id="192">
    <w:p w14:paraId="643B381A" w14:textId="77777777" w:rsidR="00536485" w:rsidRDefault="00536485" w:rsidP="002117A2">
      <w:pPr>
        <w:pStyle w:val="FootnoteText"/>
      </w:pPr>
      <w:r>
        <w:rPr>
          <w:rStyle w:val="FootnoteReference"/>
        </w:rPr>
        <w:footnoteRef/>
      </w:r>
      <w:r>
        <w:t xml:space="preserve"> Reid, 1985; 237</w:t>
      </w:r>
    </w:p>
  </w:footnote>
  <w:footnote w:id="193">
    <w:p w14:paraId="4EE42AFD" w14:textId="77777777" w:rsidR="00536485" w:rsidRDefault="00536485" w:rsidP="002117A2">
      <w:pPr>
        <w:pStyle w:val="FootnoteText"/>
      </w:pPr>
      <w:r>
        <w:rPr>
          <w:rStyle w:val="FootnoteReference"/>
        </w:rPr>
        <w:footnoteRef/>
      </w:r>
      <w:r>
        <w:t xml:space="preserve"> Reid, 1985; 237</w:t>
      </w:r>
    </w:p>
  </w:footnote>
  <w:footnote w:id="194">
    <w:p w14:paraId="22521B2E" w14:textId="77777777" w:rsidR="00536485" w:rsidRDefault="00536485" w:rsidP="002117A2">
      <w:pPr>
        <w:pStyle w:val="FootnoteText"/>
      </w:pPr>
      <w:r>
        <w:rPr>
          <w:rStyle w:val="FootnoteReference"/>
        </w:rPr>
        <w:footnoteRef/>
      </w:r>
      <w:r>
        <w:t xml:space="preserve"> Reid, 1985; 237</w:t>
      </w:r>
    </w:p>
  </w:footnote>
  <w:footnote w:id="195">
    <w:p w14:paraId="42E9836F" w14:textId="77777777" w:rsidR="00536485" w:rsidRDefault="00536485" w:rsidP="002117A2">
      <w:pPr>
        <w:pStyle w:val="FootnoteText"/>
      </w:pPr>
      <w:r>
        <w:rPr>
          <w:rStyle w:val="FootnoteReference"/>
        </w:rPr>
        <w:footnoteRef/>
      </w:r>
      <w:r>
        <w:t xml:space="preserve"> Reid, 1985; 241</w:t>
      </w:r>
    </w:p>
  </w:footnote>
  <w:footnote w:id="196">
    <w:p w14:paraId="13641D5B" w14:textId="77777777" w:rsidR="00536485" w:rsidRDefault="00536485" w:rsidP="002117A2">
      <w:pPr>
        <w:pStyle w:val="FootnoteText"/>
      </w:pPr>
      <w:r>
        <w:rPr>
          <w:rStyle w:val="FootnoteReference"/>
        </w:rPr>
        <w:footnoteRef/>
      </w:r>
      <w:r>
        <w:t xml:space="preserve"> Reid, 1985; 241</w:t>
      </w:r>
    </w:p>
  </w:footnote>
  <w:footnote w:id="197">
    <w:p w14:paraId="02C6F258" w14:textId="77777777" w:rsidR="00536485" w:rsidRDefault="00536485" w:rsidP="002117A2">
      <w:pPr>
        <w:pStyle w:val="FootnoteText"/>
      </w:pPr>
      <w:r>
        <w:rPr>
          <w:rStyle w:val="FootnoteReference"/>
        </w:rPr>
        <w:footnoteRef/>
      </w:r>
      <w:r>
        <w:t xml:space="preserve"> Wood, 1998; 182</w:t>
      </w:r>
    </w:p>
  </w:footnote>
  <w:footnote w:id="198">
    <w:p w14:paraId="318F2CEB" w14:textId="77777777" w:rsidR="00536485" w:rsidRDefault="00536485" w:rsidP="002117A2">
      <w:pPr>
        <w:pStyle w:val="FootnoteText"/>
      </w:pPr>
      <w:r>
        <w:rPr>
          <w:rStyle w:val="FootnoteReference"/>
        </w:rPr>
        <w:footnoteRef/>
      </w:r>
      <w:r>
        <w:t xml:space="preserve"> Simon, 2008; 88</w:t>
      </w:r>
    </w:p>
  </w:footnote>
  <w:footnote w:id="199">
    <w:p w14:paraId="5CBB1381" w14:textId="77777777" w:rsidR="00536485" w:rsidRDefault="00536485" w:rsidP="002117A2">
      <w:pPr>
        <w:pStyle w:val="FootnoteText"/>
      </w:pPr>
      <w:r>
        <w:rPr>
          <w:rStyle w:val="FootnoteReference"/>
        </w:rPr>
        <w:footnoteRef/>
      </w:r>
      <w:r>
        <w:t xml:space="preserve"> Bell, 2010; 24</w:t>
      </w:r>
    </w:p>
  </w:footnote>
  <w:footnote w:id="200">
    <w:p w14:paraId="48B2FEB0" w14:textId="77777777" w:rsidR="00536485" w:rsidRDefault="00536485" w:rsidP="002117A2">
      <w:pPr>
        <w:pStyle w:val="FootnoteText"/>
      </w:pPr>
      <w:r>
        <w:rPr>
          <w:rStyle w:val="FootnoteReference"/>
        </w:rPr>
        <w:footnoteRef/>
      </w:r>
      <w:r>
        <w:t xml:space="preserve"> Wood, 1998 190</w:t>
      </w:r>
    </w:p>
  </w:footnote>
  <w:footnote w:id="201">
    <w:p w14:paraId="15E17CC8" w14:textId="77777777" w:rsidR="00536485" w:rsidRDefault="00536485" w:rsidP="002117A2">
      <w:pPr>
        <w:pStyle w:val="FootnoteText"/>
      </w:pPr>
      <w:r>
        <w:rPr>
          <w:rStyle w:val="FootnoteReference"/>
        </w:rPr>
        <w:footnoteRef/>
      </w:r>
      <w:r>
        <w:t xml:space="preserve"> Simon, 2008; 89</w:t>
      </w:r>
    </w:p>
  </w:footnote>
  <w:footnote w:id="202">
    <w:p w14:paraId="067CCC24" w14:textId="77777777" w:rsidR="00536485" w:rsidRDefault="00536485" w:rsidP="002117A2">
      <w:pPr>
        <w:pStyle w:val="FootnoteText"/>
      </w:pPr>
      <w:r>
        <w:rPr>
          <w:rStyle w:val="FootnoteReference"/>
        </w:rPr>
        <w:footnoteRef/>
      </w:r>
      <w:r>
        <w:t xml:space="preserve"> Fritze, 2016; 241</w:t>
      </w:r>
    </w:p>
  </w:footnote>
  <w:footnote w:id="203">
    <w:p w14:paraId="7CB03F7D" w14:textId="77777777" w:rsidR="00536485" w:rsidRDefault="00536485" w:rsidP="002117A2">
      <w:pPr>
        <w:pStyle w:val="FootnoteText"/>
      </w:pPr>
      <w:r>
        <w:rPr>
          <w:rStyle w:val="FootnoteReference"/>
        </w:rPr>
        <w:footnoteRef/>
      </w:r>
      <w:r>
        <w:t xml:space="preserve"> Malek, 2009</w:t>
      </w:r>
    </w:p>
  </w:footnote>
  <w:footnote w:id="204">
    <w:p w14:paraId="1080AA61" w14:textId="77777777" w:rsidR="00536485" w:rsidRDefault="00536485" w:rsidP="002117A2">
      <w:pPr>
        <w:pStyle w:val="FootnoteText"/>
      </w:pPr>
      <w:r>
        <w:rPr>
          <w:rStyle w:val="FootnoteReference"/>
        </w:rPr>
        <w:footnoteRef/>
      </w:r>
      <w:r>
        <w:t xml:space="preserve"> Malek, 2009</w:t>
      </w:r>
    </w:p>
  </w:footnote>
  <w:footnote w:id="205">
    <w:p w14:paraId="493CEFFA" w14:textId="77777777" w:rsidR="00536485" w:rsidRDefault="00536485" w:rsidP="002117A2">
      <w:pPr>
        <w:pStyle w:val="FootnoteText"/>
      </w:pPr>
      <w:r>
        <w:rPr>
          <w:rStyle w:val="FootnoteReference"/>
        </w:rPr>
        <w:footnoteRef/>
      </w:r>
      <w:r>
        <w:t xml:space="preserve"> Pak, 2019</w:t>
      </w:r>
    </w:p>
  </w:footnote>
  <w:footnote w:id="206">
    <w:p w14:paraId="41CF2C80" w14:textId="77777777" w:rsidR="00536485" w:rsidRDefault="00536485" w:rsidP="002117A2">
      <w:pPr>
        <w:pStyle w:val="FootnoteText"/>
      </w:pPr>
      <w:r>
        <w:rPr>
          <w:rStyle w:val="FootnoteReference"/>
        </w:rPr>
        <w:footnoteRef/>
      </w:r>
      <w:r>
        <w:t xml:space="preserve"> Malek, 2009</w:t>
      </w:r>
    </w:p>
  </w:footnote>
  <w:footnote w:id="207">
    <w:p w14:paraId="43EB0CCE" w14:textId="77777777" w:rsidR="00536485" w:rsidRDefault="00536485" w:rsidP="002117A2">
      <w:pPr>
        <w:pStyle w:val="FootnoteText"/>
      </w:pPr>
      <w:r>
        <w:rPr>
          <w:rStyle w:val="FootnoteReference"/>
        </w:rPr>
        <w:footnoteRef/>
      </w:r>
      <w:r>
        <w:t xml:space="preserve"> Higgins, 2007</w:t>
      </w:r>
    </w:p>
  </w:footnote>
  <w:footnote w:id="208">
    <w:p w14:paraId="2B5720AA" w14:textId="77777777" w:rsidR="00536485" w:rsidRDefault="00536485" w:rsidP="002117A2">
      <w:pPr>
        <w:pStyle w:val="FootnoteText"/>
      </w:pPr>
      <w:r>
        <w:rPr>
          <w:rStyle w:val="FootnoteReference"/>
        </w:rPr>
        <w:footnoteRef/>
      </w:r>
      <w:r>
        <w:t xml:space="preserve"> Simon, 2008; 90-1</w:t>
      </w:r>
    </w:p>
  </w:footnote>
  <w:footnote w:id="209">
    <w:p w14:paraId="488CEDD4" w14:textId="77777777" w:rsidR="00536485" w:rsidRDefault="00536485" w:rsidP="002117A2">
      <w:pPr>
        <w:pStyle w:val="FootnoteText"/>
      </w:pPr>
      <w:r>
        <w:rPr>
          <w:rStyle w:val="FootnoteReference"/>
        </w:rPr>
        <w:footnoteRef/>
      </w:r>
      <w:r>
        <w:t xml:space="preserve"> Simon, 2008; 88</w:t>
      </w:r>
    </w:p>
  </w:footnote>
  <w:footnote w:id="210">
    <w:p w14:paraId="4CBB1319" w14:textId="57748D7D" w:rsidR="00536485" w:rsidRDefault="00536485">
      <w:pPr>
        <w:pStyle w:val="FootnoteText"/>
      </w:pPr>
      <w:r>
        <w:rPr>
          <w:rStyle w:val="FootnoteReference"/>
        </w:rPr>
        <w:footnoteRef/>
      </w:r>
      <w:r>
        <w:t xml:space="preserve"> Simon, 2008; 91</w:t>
      </w:r>
    </w:p>
  </w:footnote>
  <w:footnote w:id="211">
    <w:p w14:paraId="618CB036" w14:textId="77777777" w:rsidR="00536485" w:rsidRDefault="00536485" w:rsidP="002117A2">
      <w:pPr>
        <w:pStyle w:val="FootnoteText"/>
      </w:pPr>
      <w:r>
        <w:rPr>
          <w:rStyle w:val="FootnoteReference"/>
        </w:rPr>
        <w:footnoteRef/>
      </w:r>
      <w:r>
        <w:t xml:space="preserve"> Simon, 2008; 89</w:t>
      </w:r>
    </w:p>
  </w:footnote>
  <w:footnote w:id="212">
    <w:p w14:paraId="6D50EB6B" w14:textId="77777777" w:rsidR="00536485" w:rsidRDefault="00536485" w:rsidP="002117A2">
      <w:pPr>
        <w:pStyle w:val="FootnoteText"/>
      </w:pPr>
      <w:r>
        <w:rPr>
          <w:rStyle w:val="FootnoteReference"/>
        </w:rPr>
        <w:footnoteRef/>
      </w:r>
      <w:r>
        <w:t xml:space="preserve"> Simon, 2008; 90</w:t>
      </w:r>
    </w:p>
  </w:footnote>
  <w:footnote w:id="213">
    <w:p w14:paraId="546465F9" w14:textId="77777777" w:rsidR="00536485" w:rsidRDefault="00536485" w:rsidP="002117A2">
      <w:pPr>
        <w:pStyle w:val="FootnoteText"/>
      </w:pPr>
      <w:r>
        <w:rPr>
          <w:rStyle w:val="FootnoteReference"/>
        </w:rPr>
        <w:footnoteRef/>
      </w:r>
      <w:r>
        <w:t xml:space="preserve"> Simon, 2008; 87</w:t>
      </w:r>
    </w:p>
  </w:footnote>
  <w:footnote w:id="214">
    <w:p w14:paraId="2AA8F646" w14:textId="77777777" w:rsidR="00536485" w:rsidRDefault="00536485" w:rsidP="002117A2">
      <w:pPr>
        <w:pStyle w:val="FootnoteText"/>
      </w:pPr>
      <w:r>
        <w:rPr>
          <w:rStyle w:val="FootnoteReference"/>
        </w:rPr>
        <w:footnoteRef/>
      </w:r>
      <w:r>
        <w:t xml:space="preserve"> Simon, 2008; 91</w:t>
      </w:r>
    </w:p>
  </w:footnote>
  <w:footnote w:id="215">
    <w:p w14:paraId="09C1AD16" w14:textId="77777777" w:rsidR="00536485" w:rsidRDefault="00536485" w:rsidP="002117A2">
      <w:pPr>
        <w:pStyle w:val="FootnoteText"/>
      </w:pPr>
      <w:r>
        <w:rPr>
          <w:rStyle w:val="FootnoteReference"/>
        </w:rPr>
        <w:footnoteRef/>
      </w:r>
      <w:r>
        <w:t xml:space="preserve"> Simon, 2008; 87</w:t>
      </w:r>
    </w:p>
  </w:footnote>
  <w:footnote w:id="216">
    <w:p w14:paraId="6619C895" w14:textId="77777777" w:rsidR="00536485" w:rsidRDefault="00536485" w:rsidP="002117A2">
      <w:pPr>
        <w:pStyle w:val="FootnoteText"/>
      </w:pPr>
      <w:r>
        <w:rPr>
          <w:rStyle w:val="FootnoteReference"/>
        </w:rPr>
        <w:footnoteRef/>
      </w:r>
      <w:r>
        <w:t xml:space="preserve"> Hindley, 2015</w:t>
      </w:r>
    </w:p>
  </w:footnote>
  <w:footnote w:id="217">
    <w:p w14:paraId="0630E0B0" w14:textId="77777777" w:rsidR="00536485" w:rsidRDefault="00536485" w:rsidP="002117A2">
      <w:pPr>
        <w:pStyle w:val="FootnoteText"/>
      </w:pPr>
      <w:r>
        <w:rPr>
          <w:rStyle w:val="FootnoteReference"/>
        </w:rPr>
        <w:footnoteRef/>
      </w:r>
      <w:r>
        <w:t xml:space="preserve"> Hindley, 2015</w:t>
      </w:r>
    </w:p>
  </w:footnote>
  <w:footnote w:id="218">
    <w:p w14:paraId="1C286A46" w14:textId="77777777" w:rsidR="00536485" w:rsidRDefault="00536485" w:rsidP="002117A2">
      <w:pPr>
        <w:pStyle w:val="FootnoteText"/>
      </w:pPr>
      <w:r>
        <w:rPr>
          <w:rStyle w:val="FootnoteReference"/>
        </w:rPr>
        <w:footnoteRef/>
      </w:r>
      <w:r>
        <w:t xml:space="preserve"> Hindley, 2015. Moser, 2012; 55</w:t>
      </w:r>
    </w:p>
  </w:footnote>
  <w:footnote w:id="219">
    <w:p w14:paraId="5581CAF5" w14:textId="77777777" w:rsidR="00536485" w:rsidRDefault="00536485" w:rsidP="002117A2">
      <w:pPr>
        <w:pStyle w:val="FootnoteText"/>
      </w:pPr>
      <w:r>
        <w:rPr>
          <w:rStyle w:val="FootnoteReference"/>
        </w:rPr>
        <w:footnoteRef/>
      </w:r>
      <w:r>
        <w:t xml:space="preserve"> Bell, 2010; 56</w:t>
      </w:r>
    </w:p>
  </w:footnote>
  <w:footnote w:id="220">
    <w:p w14:paraId="7DB29D51" w14:textId="77777777" w:rsidR="00536485" w:rsidRDefault="00536485" w:rsidP="007662BD">
      <w:pPr>
        <w:pStyle w:val="FootnoteText"/>
      </w:pPr>
      <w:r>
        <w:rPr>
          <w:rStyle w:val="FootnoteReference"/>
        </w:rPr>
        <w:footnoteRef/>
      </w:r>
      <w:r>
        <w:t xml:space="preserve"> Hindley, 2015</w:t>
      </w:r>
    </w:p>
  </w:footnote>
  <w:footnote w:id="221">
    <w:p w14:paraId="18720B30" w14:textId="77777777" w:rsidR="00536485" w:rsidRDefault="00536485" w:rsidP="002117A2">
      <w:pPr>
        <w:pStyle w:val="FootnoteText"/>
      </w:pPr>
      <w:r>
        <w:rPr>
          <w:rStyle w:val="FootnoteReference"/>
        </w:rPr>
        <w:footnoteRef/>
      </w:r>
      <w:r>
        <w:t xml:space="preserve"> Anon, 2019</w:t>
      </w:r>
    </w:p>
  </w:footnote>
  <w:footnote w:id="222">
    <w:p w14:paraId="6A23F1FF" w14:textId="77777777" w:rsidR="00536485" w:rsidRDefault="00536485" w:rsidP="002117A2">
      <w:pPr>
        <w:pStyle w:val="FootnoteText"/>
      </w:pPr>
      <w:r>
        <w:rPr>
          <w:rStyle w:val="FootnoteReference"/>
        </w:rPr>
        <w:footnoteRef/>
      </w:r>
      <w:r>
        <w:t xml:space="preserve"> Malek, 2009</w:t>
      </w:r>
    </w:p>
  </w:footnote>
  <w:footnote w:id="223">
    <w:p w14:paraId="4492050C" w14:textId="77777777" w:rsidR="00536485" w:rsidRDefault="00536485" w:rsidP="002117A2">
      <w:pPr>
        <w:pStyle w:val="FootnoteText"/>
      </w:pPr>
      <w:r>
        <w:rPr>
          <w:rStyle w:val="FootnoteReference"/>
        </w:rPr>
        <w:footnoteRef/>
      </w:r>
      <w:r>
        <w:t xml:space="preserve"> Malek, 2009. Simon, 2008 87</w:t>
      </w:r>
    </w:p>
  </w:footnote>
  <w:footnote w:id="224">
    <w:p w14:paraId="707B4FD0" w14:textId="7D8880A9" w:rsidR="00536485" w:rsidRDefault="00536485">
      <w:pPr>
        <w:pStyle w:val="FootnoteText"/>
      </w:pPr>
      <w:r>
        <w:rPr>
          <w:rStyle w:val="FootnoteReference"/>
        </w:rPr>
        <w:footnoteRef/>
      </w:r>
      <w:r>
        <w:t xml:space="preserve"> Simon, 2008; 92</w:t>
      </w:r>
    </w:p>
  </w:footnote>
  <w:footnote w:id="225">
    <w:p w14:paraId="4CC62075" w14:textId="6AE3575B" w:rsidR="00536485" w:rsidRDefault="00536485">
      <w:pPr>
        <w:pStyle w:val="FootnoteText"/>
      </w:pPr>
      <w:r>
        <w:rPr>
          <w:rStyle w:val="FootnoteReference"/>
        </w:rPr>
        <w:footnoteRef/>
      </w:r>
      <w:r>
        <w:t xml:space="preserve"> Ivanovic, 2008; 156</w:t>
      </w:r>
    </w:p>
  </w:footnote>
  <w:footnote w:id="226">
    <w:p w14:paraId="30D8654B" w14:textId="77777777" w:rsidR="00536485" w:rsidRDefault="00536485" w:rsidP="002117A2">
      <w:pPr>
        <w:pStyle w:val="FootnoteText"/>
      </w:pPr>
      <w:r>
        <w:rPr>
          <w:rStyle w:val="FootnoteReference"/>
        </w:rPr>
        <w:footnoteRef/>
      </w:r>
      <w:r>
        <w:t xml:space="preserve"> Simon, 2008; 92</w:t>
      </w:r>
    </w:p>
  </w:footnote>
  <w:footnote w:id="227">
    <w:p w14:paraId="78B2BDBE" w14:textId="77777777" w:rsidR="00536485" w:rsidRDefault="00536485" w:rsidP="002117A2">
      <w:pPr>
        <w:pStyle w:val="FootnoteText"/>
      </w:pPr>
      <w:r>
        <w:rPr>
          <w:rStyle w:val="FootnoteReference"/>
        </w:rPr>
        <w:footnoteRef/>
      </w:r>
      <w:r>
        <w:t xml:space="preserve"> Simon, 2008; 92 </w:t>
      </w:r>
    </w:p>
  </w:footnote>
  <w:footnote w:id="228">
    <w:p w14:paraId="4AD2CE0F" w14:textId="596D1B2C" w:rsidR="00536485" w:rsidRDefault="00536485">
      <w:pPr>
        <w:pStyle w:val="FootnoteText"/>
      </w:pPr>
      <w:r>
        <w:rPr>
          <w:rStyle w:val="FootnoteReference"/>
        </w:rPr>
        <w:footnoteRef/>
      </w:r>
      <w:r>
        <w:t xml:space="preserve"> Simon, 2008; 93</w:t>
      </w:r>
    </w:p>
  </w:footnote>
  <w:footnote w:id="229">
    <w:p w14:paraId="41A83C25" w14:textId="1F5549B1" w:rsidR="00536485" w:rsidRDefault="00536485">
      <w:pPr>
        <w:pStyle w:val="FootnoteText"/>
      </w:pPr>
      <w:r>
        <w:rPr>
          <w:rStyle w:val="FootnoteReference"/>
        </w:rPr>
        <w:footnoteRef/>
      </w:r>
      <w:r>
        <w:t xml:space="preserve"> Simon, 2008; 93</w:t>
      </w:r>
    </w:p>
  </w:footnote>
  <w:footnote w:id="230">
    <w:p w14:paraId="6DEAAF26" w14:textId="6DDBE0FD" w:rsidR="00536485" w:rsidRDefault="00536485">
      <w:pPr>
        <w:pStyle w:val="FootnoteText"/>
      </w:pPr>
      <w:r>
        <w:rPr>
          <w:rStyle w:val="FootnoteReference"/>
        </w:rPr>
        <w:footnoteRef/>
      </w:r>
      <w:r>
        <w:t xml:space="preserve"> Simon, 2008; 92</w:t>
      </w:r>
    </w:p>
  </w:footnote>
  <w:footnote w:id="231">
    <w:p w14:paraId="61E9B22C" w14:textId="77777777" w:rsidR="00536485" w:rsidRDefault="00536485" w:rsidP="002117A2">
      <w:pPr>
        <w:pStyle w:val="FootnoteText"/>
      </w:pPr>
      <w:r>
        <w:rPr>
          <w:rStyle w:val="FootnoteReference"/>
        </w:rPr>
        <w:footnoteRef/>
      </w:r>
      <w:r>
        <w:t xml:space="preserve"> World archaeology, 2008</w:t>
      </w:r>
    </w:p>
  </w:footnote>
  <w:footnote w:id="232">
    <w:p w14:paraId="5D652D48" w14:textId="77777777" w:rsidR="00536485" w:rsidRDefault="00536485" w:rsidP="002117A2">
      <w:pPr>
        <w:pStyle w:val="FootnoteText"/>
      </w:pPr>
      <w:r>
        <w:rPr>
          <w:rStyle w:val="FootnoteReference"/>
        </w:rPr>
        <w:footnoteRef/>
      </w:r>
      <w:r>
        <w:t xml:space="preserve"> Simon, 2008; 95</w:t>
      </w:r>
    </w:p>
  </w:footnote>
  <w:footnote w:id="233">
    <w:p w14:paraId="0D870132" w14:textId="77777777" w:rsidR="00536485" w:rsidRDefault="00536485" w:rsidP="002117A2">
      <w:pPr>
        <w:pStyle w:val="FootnoteText"/>
      </w:pPr>
      <w:r>
        <w:rPr>
          <w:rStyle w:val="FootnoteReference"/>
        </w:rPr>
        <w:footnoteRef/>
      </w:r>
      <w:r>
        <w:t xml:space="preserve"> Saatchi Gallery, 2019</w:t>
      </w:r>
    </w:p>
  </w:footnote>
  <w:footnote w:id="234">
    <w:p w14:paraId="7A419DF6" w14:textId="77777777" w:rsidR="00536485" w:rsidRDefault="00536485" w:rsidP="002117A2">
      <w:pPr>
        <w:pStyle w:val="FootnoteText"/>
      </w:pPr>
      <w:r>
        <w:rPr>
          <w:rStyle w:val="FootnoteReference"/>
        </w:rPr>
        <w:footnoteRef/>
      </w:r>
      <w:r>
        <w:t xml:space="preserve"> </w:t>
      </w:r>
      <w:proofErr w:type="spellStart"/>
      <w:r w:rsidRPr="006D4509">
        <w:t>Addley</w:t>
      </w:r>
      <w:proofErr w:type="spellEnd"/>
      <w:r w:rsidRPr="006D4509">
        <w:t xml:space="preserve"> 2019; 13</w:t>
      </w:r>
    </w:p>
  </w:footnote>
  <w:footnote w:id="235">
    <w:p w14:paraId="4255EFF0" w14:textId="77777777" w:rsidR="00536485" w:rsidRDefault="00536485" w:rsidP="002117A2">
      <w:pPr>
        <w:pStyle w:val="FootnoteText"/>
      </w:pPr>
      <w:r>
        <w:rPr>
          <w:rStyle w:val="FootnoteReference"/>
        </w:rPr>
        <w:footnoteRef/>
      </w:r>
      <w:r>
        <w:t xml:space="preserve"> Majestic Tours, 2019</w:t>
      </w:r>
    </w:p>
  </w:footnote>
  <w:footnote w:id="236">
    <w:p w14:paraId="75E2908B" w14:textId="77777777" w:rsidR="00536485" w:rsidRDefault="00536485" w:rsidP="002117A2">
      <w:pPr>
        <w:pStyle w:val="FootnoteText"/>
      </w:pPr>
      <w:r>
        <w:rPr>
          <w:rStyle w:val="FootnoteReference"/>
        </w:rPr>
        <w:footnoteRef/>
      </w:r>
      <w:r>
        <w:t xml:space="preserve"> Dowson, 2019</w:t>
      </w:r>
    </w:p>
  </w:footnote>
  <w:footnote w:id="237">
    <w:p w14:paraId="0FD013D8" w14:textId="77777777" w:rsidR="00536485" w:rsidRDefault="00536485" w:rsidP="002117A2">
      <w:pPr>
        <w:pStyle w:val="FootnoteText"/>
      </w:pPr>
      <w:r>
        <w:rPr>
          <w:rStyle w:val="FootnoteReference"/>
        </w:rPr>
        <w:footnoteRef/>
      </w:r>
      <w:r>
        <w:t xml:space="preserve"> Dowson, 2019</w:t>
      </w:r>
    </w:p>
  </w:footnote>
  <w:footnote w:id="238">
    <w:p w14:paraId="3C95F5F3" w14:textId="77777777" w:rsidR="00536485" w:rsidRDefault="00536485" w:rsidP="002117A2">
      <w:pPr>
        <w:pStyle w:val="FootnoteText"/>
      </w:pPr>
      <w:r>
        <w:rPr>
          <w:rStyle w:val="FootnoteReference"/>
        </w:rPr>
        <w:footnoteRef/>
      </w:r>
      <w:r>
        <w:t xml:space="preserve"> Saatchi Gallery, 2019</w:t>
      </w:r>
    </w:p>
  </w:footnote>
  <w:footnote w:id="239">
    <w:p w14:paraId="600932C2" w14:textId="77777777" w:rsidR="00536485" w:rsidRPr="00C00896" w:rsidRDefault="00536485" w:rsidP="002117A2">
      <w:pPr>
        <w:pStyle w:val="FootnoteText"/>
        <w:rPr>
          <w:highlight w:val="magenta"/>
        </w:rPr>
      </w:pPr>
      <w:r>
        <w:rPr>
          <w:rStyle w:val="FootnoteReference"/>
        </w:rPr>
        <w:footnoteRef/>
      </w:r>
      <w:r>
        <w:t xml:space="preserve"> </w:t>
      </w:r>
      <w:proofErr w:type="spellStart"/>
      <w:r w:rsidRPr="003B00CF">
        <w:t>Addley</w:t>
      </w:r>
      <w:proofErr w:type="spellEnd"/>
      <w:r w:rsidRPr="003B00CF">
        <w:t>, 2019; 13</w:t>
      </w:r>
    </w:p>
  </w:footnote>
  <w:footnote w:id="240">
    <w:p w14:paraId="5BED2141" w14:textId="77777777" w:rsidR="00536485" w:rsidRPr="00C00896" w:rsidRDefault="00536485" w:rsidP="002117A2">
      <w:pPr>
        <w:pStyle w:val="FootnoteText"/>
        <w:rPr>
          <w:highlight w:val="magenta"/>
        </w:rPr>
      </w:pPr>
      <w:r w:rsidRPr="009B7A05">
        <w:rPr>
          <w:rStyle w:val="FootnoteReference"/>
        </w:rPr>
        <w:footnoteRef/>
      </w:r>
      <w:r w:rsidRPr="009B7A05">
        <w:t xml:space="preserve"> </w:t>
      </w:r>
      <w:proofErr w:type="spellStart"/>
      <w:r w:rsidRPr="009B7A05">
        <w:t>Addley</w:t>
      </w:r>
      <w:proofErr w:type="spellEnd"/>
      <w:r w:rsidRPr="009B7A05">
        <w:t>, 2019; 13</w:t>
      </w:r>
    </w:p>
  </w:footnote>
  <w:footnote w:id="241">
    <w:p w14:paraId="3321A038" w14:textId="77777777" w:rsidR="00536485" w:rsidRDefault="00536485" w:rsidP="002117A2">
      <w:pPr>
        <w:pStyle w:val="FootnoteText"/>
      </w:pPr>
      <w:r w:rsidRPr="0010227F">
        <w:rPr>
          <w:rStyle w:val="FootnoteReference"/>
        </w:rPr>
        <w:footnoteRef/>
      </w:r>
      <w:r w:rsidRPr="0010227F">
        <w:t xml:space="preserve"> </w:t>
      </w:r>
      <w:proofErr w:type="spellStart"/>
      <w:r w:rsidRPr="0010227F">
        <w:t>Addley</w:t>
      </w:r>
      <w:proofErr w:type="spellEnd"/>
      <w:r w:rsidRPr="0010227F">
        <w:t>, 2019; 13</w:t>
      </w:r>
    </w:p>
  </w:footnote>
  <w:footnote w:id="242">
    <w:p w14:paraId="6D86B0C9" w14:textId="77777777" w:rsidR="00536485" w:rsidRDefault="00536485" w:rsidP="002117A2">
      <w:pPr>
        <w:pStyle w:val="FootnoteText"/>
      </w:pPr>
      <w:r>
        <w:rPr>
          <w:rStyle w:val="FootnoteReference"/>
        </w:rPr>
        <w:footnoteRef/>
      </w:r>
      <w:r>
        <w:t xml:space="preserve"> Dowson, 2019</w:t>
      </w:r>
    </w:p>
  </w:footnote>
  <w:footnote w:id="243">
    <w:p w14:paraId="6338F1B3" w14:textId="77777777" w:rsidR="00536485" w:rsidRPr="00D735AB" w:rsidRDefault="00536485" w:rsidP="002117A2">
      <w:pPr>
        <w:pStyle w:val="FootnoteText"/>
      </w:pPr>
      <w:r>
        <w:rPr>
          <w:rStyle w:val="FootnoteReference"/>
        </w:rPr>
        <w:footnoteRef/>
      </w:r>
      <w:r>
        <w:t xml:space="preserve"> </w:t>
      </w:r>
      <w:r w:rsidRPr="00D735AB">
        <w:t>Jones, 2019; 13</w:t>
      </w:r>
    </w:p>
  </w:footnote>
  <w:footnote w:id="244">
    <w:p w14:paraId="6CFD09B6" w14:textId="77777777" w:rsidR="00536485" w:rsidRDefault="00536485" w:rsidP="002117A2">
      <w:pPr>
        <w:pStyle w:val="FootnoteText"/>
      </w:pPr>
      <w:r w:rsidRPr="00737F19">
        <w:rPr>
          <w:rStyle w:val="FootnoteReference"/>
        </w:rPr>
        <w:footnoteRef/>
      </w:r>
      <w:r w:rsidRPr="00737F19">
        <w:t xml:space="preserve"> </w:t>
      </w:r>
      <w:proofErr w:type="spellStart"/>
      <w:r w:rsidRPr="00737F19">
        <w:t>Addley</w:t>
      </w:r>
      <w:proofErr w:type="spellEnd"/>
      <w:r w:rsidRPr="00737F19">
        <w:t>, 2019; 13</w:t>
      </w:r>
    </w:p>
  </w:footnote>
  <w:footnote w:id="245">
    <w:p w14:paraId="501D0D13" w14:textId="77777777" w:rsidR="00536485" w:rsidRDefault="00536485" w:rsidP="0026094A">
      <w:pPr>
        <w:pStyle w:val="FootnoteText"/>
      </w:pPr>
      <w:r>
        <w:rPr>
          <w:rStyle w:val="FootnoteReference"/>
        </w:rPr>
        <w:footnoteRef/>
      </w:r>
      <w:r>
        <w:t xml:space="preserve"> Parkinson, 2008; 1</w:t>
      </w:r>
    </w:p>
  </w:footnote>
  <w:footnote w:id="246">
    <w:p w14:paraId="058B6201" w14:textId="77777777" w:rsidR="00536485" w:rsidRDefault="00536485" w:rsidP="0026094A">
      <w:pPr>
        <w:pStyle w:val="FootnoteText"/>
      </w:pPr>
      <w:r>
        <w:rPr>
          <w:rStyle w:val="FootnoteReference"/>
        </w:rPr>
        <w:footnoteRef/>
      </w:r>
      <w:r>
        <w:t xml:space="preserve"> Wood, 1998; 181</w:t>
      </w:r>
    </w:p>
  </w:footnote>
  <w:footnote w:id="247">
    <w:p w14:paraId="73708B9E" w14:textId="77777777" w:rsidR="00536485" w:rsidRDefault="00536485" w:rsidP="00A533FD">
      <w:pPr>
        <w:pStyle w:val="FootnoteText"/>
      </w:pPr>
      <w:r>
        <w:rPr>
          <w:rStyle w:val="FootnoteReference"/>
        </w:rPr>
        <w:footnoteRef/>
      </w:r>
      <w:r>
        <w:t xml:space="preserve"> Pak, 2019 </w:t>
      </w:r>
    </w:p>
  </w:footnote>
  <w:footnote w:id="248">
    <w:p w14:paraId="3FA91992" w14:textId="77777777" w:rsidR="00536485" w:rsidRDefault="00536485" w:rsidP="00A533FD">
      <w:pPr>
        <w:pStyle w:val="FootnoteText"/>
      </w:pPr>
      <w:r>
        <w:rPr>
          <w:rStyle w:val="FootnoteReference"/>
        </w:rPr>
        <w:footnoteRef/>
      </w:r>
      <w:r>
        <w:t xml:space="preserve"> James, 2001; 80</w:t>
      </w:r>
    </w:p>
  </w:footnote>
  <w:footnote w:id="249">
    <w:p w14:paraId="5546C28A" w14:textId="77777777" w:rsidR="00536485" w:rsidRDefault="00536485" w:rsidP="00A533FD">
      <w:pPr>
        <w:pStyle w:val="FootnoteText"/>
      </w:pPr>
      <w:r>
        <w:rPr>
          <w:rStyle w:val="FootnoteReference"/>
        </w:rPr>
        <w:footnoteRef/>
      </w:r>
      <w:r>
        <w:t xml:space="preserve"> Reid, 1895; 233-5</w:t>
      </w:r>
    </w:p>
  </w:footnote>
  <w:footnote w:id="250">
    <w:p w14:paraId="16A2136F" w14:textId="77777777" w:rsidR="00536485" w:rsidRDefault="00536485" w:rsidP="00A533FD">
      <w:pPr>
        <w:pStyle w:val="FootnoteText"/>
      </w:pPr>
      <w:r>
        <w:rPr>
          <w:rStyle w:val="FootnoteReference"/>
        </w:rPr>
        <w:footnoteRef/>
      </w:r>
      <w:r>
        <w:t xml:space="preserve"> Richmond, 1977; 186-7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81E19D" w14:textId="750F00FC" w:rsidR="00536485" w:rsidRDefault="00536485" w:rsidP="004E77F5">
    <w:pPr>
      <w:pStyle w:val="Header"/>
      <w:tabs>
        <w:tab w:val="clear" w:pos="4513"/>
        <w:tab w:val="clear" w:pos="9026"/>
        <w:tab w:val="left" w:pos="8040"/>
      </w:tabs>
    </w:pP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D9338D" w14:textId="77777777" w:rsidR="00536485" w:rsidRDefault="005364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646132C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3" type="#_x0000_t75" style="width:15.75pt;height:14.25pt;visibility:visible;mso-wrap-style:square" o:bullet="t">
        <v:imagedata r:id="rId1" o:title=""/>
      </v:shape>
    </w:pict>
  </w:numPicBullet>
  <w:abstractNum w:abstractNumId="0" w15:restartNumberingAfterBreak="0">
    <w:nsid w:val="0C386AC4"/>
    <w:multiLevelType w:val="hybridMultilevel"/>
    <w:tmpl w:val="FFE823FE"/>
    <w:lvl w:ilvl="0" w:tplc="BE52FD1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7168DC"/>
    <w:multiLevelType w:val="hybridMultilevel"/>
    <w:tmpl w:val="9D962E18"/>
    <w:lvl w:ilvl="0" w:tplc="2AC4EB1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163B27"/>
    <w:multiLevelType w:val="hybridMultilevel"/>
    <w:tmpl w:val="3326C378"/>
    <w:lvl w:ilvl="0" w:tplc="8F66A4BC">
      <w:start w:val="1"/>
      <w:numFmt w:val="bullet"/>
      <w:lvlText w:val=""/>
      <w:lvlPicBulletId w:val="0"/>
      <w:lvlJc w:val="left"/>
      <w:pPr>
        <w:tabs>
          <w:tab w:val="num" w:pos="720"/>
        </w:tabs>
        <w:ind w:left="720" w:hanging="360"/>
      </w:pPr>
      <w:rPr>
        <w:rFonts w:ascii="Symbol" w:hAnsi="Symbol" w:hint="default"/>
      </w:rPr>
    </w:lvl>
    <w:lvl w:ilvl="1" w:tplc="2F145B18" w:tentative="1">
      <w:start w:val="1"/>
      <w:numFmt w:val="bullet"/>
      <w:lvlText w:val=""/>
      <w:lvlJc w:val="left"/>
      <w:pPr>
        <w:tabs>
          <w:tab w:val="num" w:pos="1440"/>
        </w:tabs>
        <w:ind w:left="1440" w:hanging="360"/>
      </w:pPr>
      <w:rPr>
        <w:rFonts w:ascii="Symbol" w:hAnsi="Symbol" w:hint="default"/>
      </w:rPr>
    </w:lvl>
    <w:lvl w:ilvl="2" w:tplc="1518B586" w:tentative="1">
      <w:start w:val="1"/>
      <w:numFmt w:val="bullet"/>
      <w:lvlText w:val=""/>
      <w:lvlJc w:val="left"/>
      <w:pPr>
        <w:tabs>
          <w:tab w:val="num" w:pos="2160"/>
        </w:tabs>
        <w:ind w:left="2160" w:hanging="360"/>
      </w:pPr>
      <w:rPr>
        <w:rFonts w:ascii="Symbol" w:hAnsi="Symbol" w:hint="default"/>
      </w:rPr>
    </w:lvl>
    <w:lvl w:ilvl="3" w:tplc="58B811A4" w:tentative="1">
      <w:start w:val="1"/>
      <w:numFmt w:val="bullet"/>
      <w:lvlText w:val=""/>
      <w:lvlJc w:val="left"/>
      <w:pPr>
        <w:tabs>
          <w:tab w:val="num" w:pos="2880"/>
        </w:tabs>
        <w:ind w:left="2880" w:hanging="360"/>
      </w:pPr>
      <w:rPr>
        <w:rFonts w:ascii="Symbol" w:hAnsi="Symbol" w:hint="default"/>
      </w:rPr>
    </w:lvl>
    <w:lvl w:ilvl="4" w:tplc="0F4899E6" w:tentative="1">
      <w:start w:val="1"/>
      <w:numFmt w:val="bullet"/>
      <w:lvlText w:val=""/>
      <w:lvlJc w:val="left"/>
      <w:pPr>
        <w:tabs>
          <w:tab w:val="num" w:pos="3600"/>
        </w:tabs>
        <w:ind w:left="3600" w:hanging="360"/>
      </w:pPr>
      <w:rPr>
        <w:rFonts w:ascii="Symbol" w:hAnsi="Symbol" w:hint="default"/>
      </w:rPr>
    </w:lvl>
    <w:lvl w:ilvl="5" w:tplc="B29A5970" w:tentative="1">
      <w:start w:val="1"/>
      <w:numFmt w:val="bullet"/>
      <w:lvlText w:val=""/>
      <w:lvlJc w:val="left"/>
      <w:pPr>
        <w:tabs>
          <w:tab w:val="num" w:pos="4320"/>
        </w:tabs>
        <w:ind w:left="4320" w:hanging="360"/>
      </w:pPr>
      <w:rPr>
        <w:rFonts w:ascii="Symbol" w:hAnsi="Symbol" w:hint="default"/>
      </w:rPr>
    </w:lvl>
    <w:lvl w:ilvl="6" w:tplc="AD8C738E" w:tentative="1">
      <w:start w:val="1"/>
      <w:numFmt w:val="bullet"/>
      <w:lvlText w:val=""/>
      <w:lvlJc w:val="left"/>
      <w:pPr>
        <w:tabs>
          <w:tab w:val="num" w:pos="5040"/>
        </w:tabs>
        <w:ind w:left="5040" w:hanging="360"/>
      </w:pPr>
      <w:rPr>
        <w:rFonts w:ascii="Symbol" w:hAnsi="Symbol" w:hint="default"/>
      </w:rPr>
    </w:lvl>
    <w:lvl w:ilvl="7" w:tplc="76B81500" w:tentative="1">
      <w:start w:val="1"/>
      <w:numFmt w:val="bullet"/>
      <w:lvlText w:val=""/>
      <w:lvlJc w:val="left"/>
      <w:pPr>
        <w:tabs>
          <w:tab w:val="num" w:pos="5760"/>
        </w:tabs>
        <w:ind w:left="5760" w:hanging="360"/>
      </w:pPr>
      <w:rPr>
        <w:rFonts w:ascii="Symbol" w:hAnsi="Symbol" w:hint="default"/>
      </w:rPr>
    </w:lvl>
    <w:lvl w:ilvl="8" w:tplc="22E6591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22072F6A"/>
    <w:multiLevelType w:val="hybridMultilevel"/>
    <w:tmpl w:val="04963820"/>
    <w:lvl w:ilvl="0" w:tplc="291A16E8">
      <w:start w:val="1"/>
      <w:numFmt w:val="lowerRoman"/>
      <w:lvlText w:val="%1."/>
      <w:lvlJc w:val="left"/>
      <w:pPr>
        <w:ind w:left="873" w:hanging="720"/>
      </w:pPr>
      <w:rPr>
        <w:rFonts w:hint="default"/>
      </w:rPr>
    </w:lvl>
    <w:lvl w:ilvl="1" w:tplc="08090019" w:tentative="1">
      <w:start w:val="1"/>
      <w:numFmt w:val="lowerLetter"/>
      <w:lvlText w:val="%2."/>
      <w:lvlJc w:val="left"/>
      <w:pPr>
        <w:ind w:left="1233" w:hanging="360"/>
      </w:pPr>
    </w:lvl>
    <w:lvl w:ilvl="2" w:tplc="0809001B" w:tentative="1">
      <w:start w:val="1"/>
      <w:numFmt w:val="lowerRoman"/>
      <w:lvlText w:val="%3."/>
      <w:lvlJc w:val="right"/>
      <w:pPr>
        <w:ind w:left="1953" w:hanging="180"/>
      </w:pPr>
    </w:lvl>
    <w:lvl w:ilvl="3" w:tplc="0809000F" w:tentative="1">
      <w:start w:val="1"/>
      <w:numFmt w:val="decimal"/>
      <w:lvlText w:val="%4."/>
      <w:lvlJc w:val="left"/>
      <w:pPr>
        <w:ind w:left="2673" w:hanging="360"/>
      </w:pPr>
    </w:lvl>
    <w:lvl w:ilvl="4" w:tplc="08090019" w:tentative="1">
      <w:start w:val="1"/>
      <w:numFmt w:val="lowerLetter"/>
      <w:lvlText w:val="%5."/>
      <w:lvlJc w:val="left"/>
      <w:pPr>
        <w:ind w:left="3393" w:hanging="360"/>
      </w:pPr>
    </w:lvl>
    <w:lvl w:ilvl="5" w:tplc="0809001B" w:tentative="1">
      <w:start w:val="1"/>
      <w:numFmt w:val="lowerRoman"/>
      <w:lvlText w:val="%6."/>
      <w:lvlJc w:val="right"/>
      <w:pPr>
        <w:ind w:left="4113" w:hanging="180"/>
      </w:pPr>
    </w:lvl>
    <w:lvl w:ilvl="6" w:tplc="0809000F" w:tentative="1">
      <w:start w:val="1"/>
      <w:numFmt w:val="decimal"/>
      <w:lvlText w:val="%7."/>
      <w:lvlJc w:val="left"/>
      <w:pPr>
        <w:ind w:left="4833" w:hanging="360"/>
      </w:pPr>
    </w:lvl>
    <w:lvl w:ilvl="7" w:tplc="08090019" w:tentative="1">
      <w:start w:val="1"/>
      <w:numFmt w:val="lowerLetter"/>
      <w:lvlText w:val="%8."/>
      <w:lvlJc w:val="left"/>
      <w:pPr>
        <w:ind w:left="5553" w:hanging="360"/>
      </w:pPr>
    </w:lvl>
    <w:lvl w:ilvl="8" w:tplc="0809001B" w:tentative="1">
      <w:start w:val="1"/>
      <w:numFmt w:val="lowerRoman"/>
      <w:lvlText w:val="%9."/>
      <w:lvlJc w:val="right"/>
      <w:pPr>
        <w:ind w:left="6273" w:hanging="180"/>
      </w:pPr>
    </w:lvl>
  </w:abstractNum>
  <w:abstractNum w:abstractNumId="4" w15:restartNumberingAfterBreak="0">
    <w:nsid w:val="372843BA"/>
    <w:multiLevelType w:val="hybridMultilevel"/>
    <w:tmpl w:val="5C942EF0"/>
    <w:lvl w:ilvl="0" w:tplc="4C20D30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C623306"/>
    <w:multiLevelType w:val="hybridMultilevel"/>
    <w:tmpl w:val="E078F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2953D3"/>
    <w:multiLevelType w:val="hybridMultilevel"/>
    <w:tmpl w:val="00702FFC"/>
    <w:lvl w:ilvl="0" w:tplc="14B8590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8A404E"/>
    <w:multiLevelType w:val="hybridMultilevel"/>
    <w:tmpl w:val="FD703764"/>
    <w:lvl w:ilvl="0" w:tplc="5E764AC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8571D85"/>
    <w:multiLevelType w:val="hybridMultilevel"/>
    <w:tmpl w:val="579C5552"/>
    <w:lvl w:ilvl="0" w:tplc="84FC60D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BF0BCE"/>
    <w:multiLevelType w:val="hybridMultilevel"/>
    <w:tmpl w:val="AC744D8E"/>
    <w:lvl w:ilvl="0" w:tplc="C338BC56">
      <w:start w:val="1"/>
      <w:numFmt w:val="lowerRoman"/>
      <w:lvlText w:val="%1."/>
      <w:lvlJc w:val="left"/>
      <w:pPr>
        <w:ind w:left="0" w:firstLine="153"/>
      </w:pPr>
      <w:rPr>
        <w:rFonts w:hint="default"/>
      </w:rPr>
    </w:lvl>
    <w:lvl w:ilvl="1" w:tplc="08090019" w:tentative="1">
      <w:start w:val="1"/>
      <w:numFmt w:val="lowerLetter"/>
      <w:lvlText w:val="%2."/>
      <w:lvlJc w:val="left"/>
      <w:pPr>
        <w:ind w:left="1233" w:hanging="360"/>
      </w:pPr>
    </w:lvl>
    <w:lvl w:ilvl="2" w:tplc="0809001B" w:tentative="1">
      <w:start w:val="1"/>
      <w:numFmt w:val="lowerRoman"/>
      <w:lvlText w:val="%3."/>
      <w:lvlJc w:val="right"/>
      <w:pPr>
        <w:ind w:left="1953" w:hanging="180"/>
      </w:pPr>
    </w:lvl>
    <w:lvl w:ilvl="3" w:tplc="0809000F" w:tentative="1">
      <w:start w:val="1"/>
      <w:numFmt w:val="decimal"/>
      <w:lvlText w:val="%4."/>
      <w:lvlJc w:val="left"/>
      <w:pPr>
        <w:ind w:left="2673" w:hanging="360"/>
      </w:pPr>
    </w:lvl>
    <w:lvl w:ilvl="4" w:tplc="08090019" w:tentative="1">
      <w:start w:val="1"/>
      <w:numFmt w:val="lowerLetter"/>
      <w:lvlText w:val="%5."/>
      <w:lvlJc w:val="left"/>
      <w:pPr>
        <w:ind w:left="3393" w:hanging="360"/>
      </w:pPr>
    </w:lvl>
    <w:lvl w:ilvl="5" w:tplc="0809001B" w:tentative="1">
      <w:start w:val="1"/>
      <w:numFmt w:val="lowerRoman"/>
      <w:lvlText w:val="%6."/>
      <w:lvlJc w:val="right"/>
      <w:pPr>
        <w:ind w:left="4113" w:hanging="180"/>
      </w:pPr>
    </w:lvl>
    <w:lvl w:ilvl="6" w:tplc="0809000F" w:tentative="1">
      <w:start w:val="1"/>
      <w:numFmt w:val="decimal"/>
      <w:lvlText w:val="%7."/>
      <w:lvlJc w:val="left"/>
      <w:pPr>
        <w:ind w:left="4833" w:hanging="360"/>
      </w:pPr>
    </w:lvl>
    <w:lvl w:ilvl="7" w:tplc="08090019" w:tentative="1">
      <w:start w:val="1"/>
      <w:numFmt w:val="lowerLetter"/>
      <w:lvlText w:val="%8."/>
      <w:lvlJc w:val="left"/>
      <w:pPr>
        <w:ind w:left="5553" w:hanging="360"/>
      </w:pPr>
    </w:lvl>
    <w:lvl w:ilvl="8" w:tplc="0809001B" w:tentative="1">
      <w:start w:val="1"/>
      <w:numFmt w:val="lowerRoman"/>
      <w:lvlText w:val="%9."/>
      <w:lvlJc w:val="right"/>
      <w:pPr>
        <w:ind w:left="6273" w:hanging="180"/>
      </w:pPr>
    </w:lvl>
  </w:abstractNum>
  <w:num w:numId="1">
    <w:abstractNumId w:val="9"/>
  </w:num>
  <w:num w:numId="2">
    <w:abstractNumId w:val="3"/>
  </w:num>
  <w:num w:numId="3">
    <w:abstractNumId w:val="6"/>
  </w:num>
  <w:num w:numId="4">
    <w:abstractNumId w:val="1"/>
  </w:num>
  <w:num w:numId="5">
    <w:abstractNumId w:val="7"/>
  </w:num>
  <w:num w:numId="6">
    <w:abstractNumId w:val="8"/>
  </w:num>
  <w:num w:numId="7">
    <w:abstractNumId w:val="0"/>
  </w:num>
  <w:num w:numId="8">
    <w:abstractNumId w:val="5"/>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SysDCzNDewMDczNrdQ0lEKTi0uzszPAykwNqwFABZbgS8tAAAA"/>
  </w:docVars>
  <w:rsids>
    <w:rsidRoot w:val="00105905"/>
    <w:rsid w:val="00000098"/>
    <w:rsid w:val="00000673"/>
    <w:rsid w:val="00000FD7"/>
    <w:rsid w:val="00003BC3"/>
    <w:rsid w:val="00005E50"/>
    <w:rsid w:val="00011C95"/>
    <w:rsid w:val="000141EC"/>
    <w:rsid w:val="000144B4"/>
    <w:rsid w:val="00016014"/>
    <w:rsid w:val="0001730D"/>
    <w:rsid w:val="00021C8D"/>
    <w:rsid w:val="00025ABF"/>
    <w:rsid w:val="00025F2E"/>
    <w:rsid w:val="000320D4"/>
    <w:rsid w:val="00032E2B"/>
    <w:rsid w:val="00036AAD"/>
    <w:rsid w:val="000426FC"/>
    <w:rsid w:val="00042A92"/>
    <w:rsid w:val="000435D6"/>
    <w:rsid w:val="00046E02"/>
    <w:rsid w:val="000514ED"/>
    <w:rsid w:val="00051656"/>
    <w:rsid w:val="00051672"/>
    <w:rsid w:val="000523D5"/>
    <w:rsid w:val="00061D9A"/>
    <w:rsid w:val="00063E1D"/>
    <w:rsid w:val="0006442B"/>
    <w:rsid w:val="00067D0D"/>
    <w:rsid w:val="0007296B"/>
    <w:rsid w:val="00073415"/>
    <w:rsid w:val="00077916"/>
    <w:rsid w:val="000827AA"/>
    <w:rsid w:val="00085816"/>
    <w:rsid w:val="0008589A"/>
    <w:rsid w:val="00086878"/>
    <w:rsid w:val="00087117"/>
    <w:rsid w:val="00090156"/>
    <w:rsid w:val="0009595C"/>
    <w:rsid w:val="00095B37"/>
    <w:rsid w:val="000A0216"/>
    <w:rsid w:val="000A0DC4"/>
    <w:rsid w:val="000A54E0"/>
    <w:rsid w:val="000A5A12"/>
    <w:rsid w:val="000A5AAA"/>
    <w:rsid w:val="000A7730"/>
    <w:rsid w:val="000A78DF"/>
    <w:rsid w:val="000B2984"/>
    <w:rsid w:val="000B3A97"/>
    <w:rsid w:val="000B4BA2"/>
    <w:rsid w:val="000C09E5"/>
    <w:rsid w:val="000C2BC6"/>
    <w:rsid w:val="000C3368"/>
    <w:rsid w:val="000C34AB"/>
    <w:rsid w:val="000C70EA"/>
    <w:rsid w:val="000D090D"/>
    <w:rsid w:val="000D6335"/>
    <w:rsid w:val="000E07ED"/>
    <w:rsid w:val="000E156E"/>
    <w:rsid w:val="000E2F1C"/>
    <w:rsid w:val="000E325B"/>
    <w:rsid w:val="000E5057"/>
    <w:rsid w:val="000E6455"/>
    <w:rsid w:val="000E79FF"/>
    <w:rsid w:val="00100408"/>
    <w:rsid w:val="0010041F"/>
    <w:rsid w:val="00103A92"/>
    <w:rsid w:val="00105636"/>
    <w:rsid w:val="00105905"/>
    <w:rsid w:val="0010643B"/>
    <w:rsid w:val="00110A5E"/>
    <w:rsid w:val="0011160E"/>
    <w:rsid w:val="001133D3"/>
    <w:rsid w:val="00115D3C"/>
    <w:rsid w:val="00116250"/>
    <w:rsid w:val="001241EB"/>
    <w:rsid w:val="00124A92"/>
    <w:rsid w:val="00125433"/>
    <w:rsid w:val="00125824"/>
    <w:rsid w:val="0014198F"/>
    <w:rsid w:val="001430D9"/>
    <w:rsid w:val="001453FF"/>
    <w:rsid w:val="00150B34"/>
    <w:rsid w:val="00151958"/>
    <w:rsid w:val="00151C46"/>
    <w:rsid w:val="001530B0"/>
    <w:rsid w:val="00153C47"/>
    <w:rsid w:val="00154199"/>
    <w:rsid w:val="0015498B"/>
    <w:rsid w:val="00154D7E"/>
    <w:rsid w:val="001552D8"/>
    <w:rsid w:val="00156C12"/>
    <w:rsid w:val="00160E87"/>
    <w:rsid w:val="00161212"/>
    <w:rsid w:val="001668C1"/>
    <w:rsid w:val="00171F5B"/>
    <w:rsid w:val="0017213F"/>
    <w:rsid w:val="00173560"/>
    <w:rsid w:val="0017373E"/>
    <w:rsid w:val="0017770B"/>
    <w:rsid w:val="001815B4"/>
    <w:rsid w:val="001836D5"/>
    <w:rsid w:val="0019026B"/>
    <w:rsid w:val="001943AF"/>
    <w:rsid w:val="001A0B3E"/>
    <w:rsid w:val="001B0338"/>
    <w:rsid w:val="001B1628"/>
    <w:rsid w:val="001B34E7"/>
    <w:rsid w:val="001B473A"/>
    <w:rsid w:val="001B67E0"/>
    <w:rsid w:val="001C0CA0"/>
    <w:rsid w:val="001C0F79"/>
    <w:rsid w:val="001C1949"/>
    <w:rsid w:val="001C3544"/>
    <w:rsid w:val="001C7672"/>
    <w:rsid w:val="001D3B7E"/>
    <w:rsid w:val="001D42C0"/>
    <w:rsid w:val="001D449C"/>
    <w:rsid w:val="001D6987"/>
    <w:rsid w:val="001D7764"/>
    <w:rsid w:val="001E12B5"/>
    <w:rsid w:val="001E13E7"/>
    <w:rsid w:val="001E23AC"/>
    <w:rsid w:val="001F1E4C"/>
    <w:rsid w:val="001F2C28"/>
    <w:rsid w:val="001F4011"/>
    <w:rsid w:val="001F425E"/>
    <w:rsid w:val="001F63C8"/>
    <w:rsid w:val="001F674D"/>
    <w:rsid w:val="0020129B"/>
    <w:rsid w:val="00205295"/>
    <w:rsid w:val="0020758E"/>
    <w:rsid w:val="002117A2"/>
    <w:rsid w:val="002118F2"/>
    <w:rsid w:val="00211F47"/>
    <w:rsid w:val="002141BD"/>
    <w:rsid w:val="00220FBD"/>
    <w:rsid w:val="00221A0C"/>
    <w:rsid w:val="002226DC"/>
    <w:rsid w:val="00232146"/>
    <w:rsid w:val="00232E0E"/>
    <w:rsid w:val="0023336F"/>
    <w:rsid w:val="002338B3"/>
    <w:rsid w:val="00237210"/>
    <w:rsid w:val="00240FC2"/>
    <w:rsid w:val="0024251D"/>
    <w:rsid w:val="00243ABA"/>
    <w:rsid w:val="00245E69"/>
    <w:rsid w:val="00246948"/>
    <w:rsid w:val="00250CFF"/>
    <w:rsid w:val="00253AEA"/>
    <w:rsid w:val="002558C1"/>
    <w:rsid w:val="00256A92"/>
    <w:rsid w:val="00257A17"/>
    <w:rsid w:val="0026094A"/>
    <w:rsid w:val="002611DF"/>
    <w:rsid w:val="00264DE7"/>
    <w:rsid w:val="00267255"/>
    <w:rsid w:val="00282806"/>
    <w:rsid w:val="00282DA5"/>
    <w:rsid w:val="00285E20"/>
    <w:rsid w:val="002869BF"/>
    <w:rsid w:val="00287B75"/>
    <w:rsid w:val="002923FA"/>
    <w:rsid w:val="00295122"/>
    <w:rsid w:val="0029519E"/>
    <w:rsid w:val="00296EE8"/>
    <w:rsid w:val="00297F0C"/>
    <w:rsid w:val="002A0953"/>
    <w:rsid w:val="002A1C6C"/>
    <w:rsid w:val="002A24A7"/>
    <w:rsid w:val="002A4DE5"/>
    <w:rsid w:val="002B6BFB"/>
    <w:rsid w:val="002B78A9"/>
    <w:rsid w:val="002C530D"/>
    <w:rsid w:val="002C671A"/>
    <w:rsid w:val="002D0C2A"/>
    <w:rsid w:val="002D104D"/>
    <w:rsid w:val="002D1D46"/>
    <w:rsid w:val="002D381E"/>
    <w:rsid w:val="002D52E1"/>
    <w:rsid w:val="002D77BD"/>
    <w:rsid w:val="002E22FB"/>
    <w:rsid w:val="002E555E"/>
    <w:rsid w:val="002E7B5C"/>
    <w:rsid w:val="002F2E96"/>
    <w:rsid w:val="002F3D4D"/>
    <w:rsid w:val="002F4B89"/>
    <w:rsid w:val="002F71C0"/>
    <w:rsid w:val="003039FA"/>
    <w:rsid w:val="00303AD2"/>
    <w:rsid w:val="00303BBD"/>
    <w:rsid w:val="00311AAD"/>
    <w:rsid w:val="00315C48"/>
    <w:rsid w:val="0031701A"/>
    <w:rsid w:val="003238D4"/>
    <w:rsid w:val="0032521F"/>
    <w:rsid w:val="00326959"/>
    <w:rsid w:val="00327351"/>
    <w:rsid w:val="00330A92"/>
    <w:rsid w:val="00332AA9"/>
    <w:rsid w:val="00333867"/>
    <w:rsid w:val="00337E91"/>
    <w:rsid w:val="003417BA"/>
    <w:rsid w:val="0034506B"/>
    <w:rsid w:val="00345640"/>
    <w:rsid w:val="00345B39"/>
    <w:rsid w:val="00347F6C"/>
    <w:rsid w:val="00352341"/>
    <w:rsid w:val="003528DA"/>
    <w:rsid w:val="00360CFC"/>
    <w:rsid w:val="0036515C"/>
    <w:rsid w:val="00367AA8"/>
    <w:rsid w:val="0037174F"/>
    <w:rsid w:val="003733E9"/>
    <w:rsid w:val="00382637"/>
    <w:rsid w:val="00383D8D"/>
    <w:rsid w:val="00384CB4"/>
    <w:rsid w:val="0038543C"/>
    <w:rsid w:val="00390325"/>
    <w:rsid w:val="003948A3"/>
    <w:rsid w:val="00394D09"/>
    <w:rsid w:val="003953BA"/>
    <w:rsid w:val="00397464"/>
    <w:rsid w:val="00397822"/>
    <w:rsid w:val="003B3E89"/>
    <w:rsid w:val="003B7D44"/>
    <w:rsid w:val="003C2A54"/>
    <w:rsid w:val="003C316A"/>
    <w:rsid w:val="003C50B3"/>
    <w:rsid w:val="003C646C"/>
    <w:rsid w:val="003C6CE6"/>
    <w:rsid w:val="003C778C"/>
    <w:rsid w:val="003D3716"/>
    <w:rsid w:val="003E1D26"/>
    <w:rsid w:val="003E2602"/>
    <w:rsid w:val="003E34D5"/>
    <w:rsid w:val="003E3683"/>
    <w:rsid w:val="003E4CB3"/>
    <w:rsid w:val="003E6AF2"/>
    <w:rsid w:val="003E7BC6"/>
    <w:rsid w:val="003F211A"/>
    <w:rsid w:val="003F2F1D"/>
    <w:rsid w:val="004003CF"/>
    <w:rsid w:val="004018A4"/>
    <w:rsid w:val="00401CD6"/>
    <w:rsid w:val="0040290B"/>
    <w:rsid w:val="004038B9"/>
    <w:rsid w:val="004038D3"/>
    <w:rsid w:val="00410E48"/>
    <w:rsid w:val="00413B9F"/>
    <w:rsid w:val="0041521B"/>
    <w:rsid w:val="004156DB"/>
    <w:rsid w:val="00415A8C"/>
    <w:rsid w:val="004176E6"/>
    <w:rsid w:val="00421762"/>
    <w:rsid w:val="004217A5"/>
    <w:rsid w:val="0042482D"/>
    <w:rsid w:val="00425A93"/>
    <w:rsid w:val="004313BE"/>
    <w:rsid w:val="0043199B"/>
    <w:rsid w:val="0043291F"/>
    <w:rsid w:val="004334E1"/>
    <w:rsid w:val="00435135"/>
    <w:rsid w:val="00435D37"/>
    <w:rsid w:val="00436E7E"/>
    <w:rsid w:val="00441FA5"/>
    <w:rsid w:val="00443F88"/>
    <w:rsid w:val="0044558E"/>
    <w:rsid w:val="00446627"/>
    <w:rsid w:val="00446B6F"/>
    <w:rsid w:val="0045118B"/>
    <w:rsid w:val="00453B10"/>
    <w:rsid w:val="00460160"/>
    <w:rsid w:val="00461E92"/>
    <w:rsid w:val="00462FB9"/>
    <w:rsid w:val="0046692C"/>
    <w:rsid w:val="00471A01"/>
    <w:rsid w:val="00472CE1"/>
    <w:rsid w:val="004734D4"/>
    <w:rsid w:val="00483A5A"/>
    <w:rsid w:val="00485E2E"/>
    <w:rsid w:val="004863A4"/>
    <w:rsid w:val="004874F7"/>
    <w:rsid w:val="00487FE6"/>
    <w:rsid w:val="00490578"/>
    <w:rsid w:val="00492A90"/>
    <w:rsid w:val="00494B67"/>
    <w:rsid w:val="00495BC1"/>
    <w:rsid w:val="00496B92"/>
    <w:rsid w:val="004A00C1"/>
    <w:rsid w:val="004A05A8"/>
    <w:rsid w:val="004A0C10"/>
    <w:rsid w:val="004A0C92"/>
    <w:rsid w:val="004A17B6"/>
    <w:rsid w:val="004A729C"/>
    <w:rsid w:val="004C7F12"/>
    <w:rsid w:val="004D088E"/>
    <w:rsid w:val="004D17F8"/>
    <w:rsid w:val="004D5569"/>
    <w:rsid w:val="004E14CF"/>
    <w:rsid w:val="004E7087"/>
    <w:rsid w:val="004E77F5"/>
    <w:rsid w:val="004E7B79"/>
    <w:rsid w:val="004F2083"/>
    <w:rsid w:val="004F2860"/>
    <w:rsid w:val="004F407F"/>
    <w:rsid w:val="004F472E"/>
    <w:rsid w:val="004F535F"/>
    <w:rsid w:val="004F53B9"/>
    <w:rsid w:val="00504B8E"/>
    <w:rsid w:val="00510F4B"/>
    <w:rsid w:val="00517B04"/>
    <w:rsid w:val="00522776"/>
    <w:rsid w:val="005257AF"/>
    <w:rsid w:val="00527747"/>
    <w:rsid w:val="005326E1"/>
    <w:rsid w:val="00533584"/>
    <w:rsid w:val="0053525B"/>
    <w:rsid w:val="00536485"/>
    <w:rsid w:val="00544B2E"/>
    <w:rsid w:val="005465DA"/>
    <w:rsid w:val="00560301"/>
    <w:rsid w:val="00560AA7"/>
    <w:rsid w:val="00561318"/>
    <w:rsid w:val="0056243E"/>
    <w:rsid w:val="00562A75"/>
    <w:rsid w:val="00563AE7"/>
    <w:rsid w:val="00571394"/>
    <w:rsid w:val="00572A5D"/>
    <w:rsid w:val="005736C8"/>
    <w:rsid w:val="00581A40"/>
    <w:rsid w:val="005859FA"/>
    <w:rsid w:val="00587277"/>
    <w:rsid w:val="00592433"/>
    <w:rsid w:val="005924BD"/>
    <w:rsid w:val="0059382F"/>
    <w:rsid w:val="00594734"/>
    <w:rsid w:val="005A02CE"/>
    <w:rsid w:val="005A050C"/>
    <w:rsid w:val="005A1568"/>
    <w:rsid w:val="005A1C9A"/>
    <w:rsid w:val="005B3342"/>
    <w:rsid w:val="005B3E80"/>
    <w:rsid w:val="005B4159"/>
    <w:rsid w:val="005B7A81"/>
    <w:rsid w:val="005C2C85"/>
    <w:rsid w:val="005C36DB"/>
    <w:rsid w:val="005C52DC"/>
    <w:rsid w:val="005C57BC"/>
    <w:rsid w:val="005C6654"/>
    <w:rsid w:val="005D0784"/>
    <w:rsid w:val="005D3611"/>
    <w:rsid w:val="005D4B8D"/>
    <w:rsid w:val="005D7421"/>
    <w:rsid w:val="005E0442"/>
    <w:rsid w:val="005E34BB"/>
    <w:rsid w:val="005E6648"/>
    <w:rsid w:val="005E6B32"/>
    <w:rsid w:val="005E705A"/>
    <w:rsid w:val="005F0684"/>
    <w:rsid w:val="005F2E82"/>
    <w:rsid w:val="005F59BE"/>
    <w:rsid w:val="005F7041"/>
    <w:rsid w:val="00600BD7"/>
    <w:rsid w:val="00600DF6"/>
    <w:rsid w:val="00603105"/>
    <w:rsid w:val="006063DE"/>
    <w:rsid w:val="00611F97"/>
    <w:rsid w:val="006120F4"/>
    <w:rsid w:val="00612FB8"/>
    <w:rsid w:val="00616ED4"/>
    <w:rsid w:val="00620FD2"/>
    <w:rsid w:val="0062184D"/>
    <w:rsid w:val="00627514"/>
    <w:rsid w:val="00630871"/>
    <w:rsid w:val="00630A0D"/>
    <w:rsid w:val="0063345F"/>
    <w:rsid w:val="00637AED"/>
    <w:rsid w:val="00640CD0"/>
    <w:rsid w:val="006414CC"/>
    <w:rsid w:val="00642979"/>
    <w:rsid w:val="00645357"/>
    <w:rsid w:val="00650AA5"/>
    <w:rsid w:val="00652F52"/>
    <w:rsid w:val="00652FFF"/>
    <w:rsid w:val="0065344F"/>
    <w:rsid w:val="00654D13"/>
    <w:rsid w:val="00656552"/>
    <w:rsid w:val="00656DE4"/>
    <w:rsid w:val="00665407"/>
    <w:rsid w:val="00667F53"/>
    <w:rsid w:val="00672E59"/>
    <w:rsid w:val="00672F22"/>
    <w:rsid w:val="006804DB"/>
    <w:rsid w:val="00681026"/>
    <w:rsid w:val="0068257D"/>
    <w:rsid w:val="00686065"/>
    <w:rsid w:val="0068696F"/>
    <w:rsid w:val="00687B1B"/>
    <w:rsid w:val="00693FBD"/>
    <w:rsid w:val="006947BD"/>
    <w:rsid w:val="00694946"/>
    <w:rsid w:val="00697A64"/>
    <w:rsid w:val="006A2935"/>
    <w:rsid w:val="006A33C8"/>
    <w:rsid w:val="006A74B6"/>
    <w:rsid w:val="006B16E7"/>
    <w:rsid w:val="006B5A17"/>
    <w:rsid w:val="006C20D2"/>
    <w:rsid w:val="006C5508"/>
    <w:rsid w:val="006C6D09"/>
    <w:rsid w:val="006C7D4C"/>
    <w:rsid w:val="006D33F2"/>
    <w:rsid w:val="006D4832"/>
    <w:rsid w:val="006D4AD3"/>
    <w:rsid w:val="006D7361"/>
    <w:rsid w:val="006D7548"/>
    <w:rsid w:val="006E277F"/>
    <w:rsid w:val="006E4CD1"/>
    <w:rsid w:val="006E4F79"/>
    <w:rsid w:val="006E7C8C"/>
    <w:rsid w:val="006F0145"/>
    <w:rsid w:val="006F125A"/>
    <w:rsid w:val="006F444B"/>
    <w:rsid w:val="006F74B5"/>
    <w:rsid w:val="00701F7B"/>
    <w:rsid w:val="00705C5B"/>
    <w:rsid w:val="00706CE3"/>
    <w:rsid w:val="007115FA"/>
    <w:rsid w:val="00713AA2"/>
    <w:rsid w:val="00714792"/>
    <w:rsid w:val="00717F6A"/>
    <w:rsid w:val="007200B0"/>
    <w:rsid w:val="007247C0"/>
    <w:rsid w:val="00730A23"/>
    <w:rsid w:val="00731AC9"/>
    <w:rsid w:val="007321D7"/>
    <w:rsid w:val="00733BAD"/>
    <w:rsid w:val="007420FE"/>
    <w:rsid w:val="007448D2"/>
    <w:rsid w:val="007451E7"/>
    <w:rsid w:val="0074615C"/>
    <w:rsid w:val="00750413"/>
    <w:rsid w:val="00751298"/>
    <w:rsid w:val="00751D24"/>
    <w:rsid w:val="00753651"/>
    <w:rsid w:val="00754533"/>
    <w:rsid w:val="00754C07"/>
    <w:rsid w:val="007554C0"/>
    <w:rsid w:val="00755C68"/>
    <w:rsid w:val="007561A2"/>
    <w:rsid w:val="007617AB"/>
    <w:rsid w:val="0076380A"/>
    <w:rsid w:val="00763EF3"/>
    <w:rsid w:val="007662BD"/>
    <w:rsid w:val="0076766B"/>
    <w:rsid w:val="00770654"/>
    <w:rsid w:val="0077643D"/>
    <w:rsid w:val="00777045"/>
    <w:rsid w:val="00782D37"/>
    <w:rsid w:val="0078565E"/>
    <w:rsid w:val="007868AB"/>
    <w:rsid w:val="00787ECE"/>
    <w:rsid w:val="00790A8C"/>
    <w:rsid w:val="00793663"/>
    <w:rsid w:val="007A0E3D"/>
    <w:rsid w:val="007A1CEF"/>
    <w:rsid w:val="007A6A6F"/>
    <w:rsid w:val="007A6E24"/>
    <w:rsid w:val="007B09A9"/>
    <w:rsid w:val="007B13AA"/>
    <w:rsid w:val="007B780E"/>
    <w:rsid w:val="007C1A85"/>
    <w:rsid w:val="007C3A11"/>
    <w:rsid w:val="007C4C89"/>
    <w:rsid w:val="007C61E2"/>
    <w:rsid w:val="007C73AD"/>
    <w:rsid w:val="007D14CC"/>
    <w:rsid w:val="007D3379"/>
    <w:rsid w:val="007D78FE"/>
    <w:rsid w:val="007E0356"/>
    <w:rsid w:val="007E213D"/>
    <w:rsid w:val="007E6394"/>
    <w:rsid w:val="007F04DF"/>
    <w:rsid w:val="00800FBC"/>
    <w:rsid w:val="00810CF0"/>
    <w:rsid w:val="0082196C"/>
    <w:rsid w:val="00821C91"/>
    <w:rsid w:val="008223F0"/>
    <w:rsid w:val="00822FFA"/>
    <w:rsid w:val="00823E11"/>
    <w:rsid w:val="00830C19"/>
    <w:rsid w:val="00833706"/>
    <w:rsid w:val="0083518E"/>
    <w:rsid w:val="0083709A"/>
    <w:rsid w:val="008422AB"/>
    <w:rsid w:val="008468B4"/>
    <w:rsid w:val="00847E41"/>
    <w:rsid w:val="0085165F"/>
    <w:rsid w:val="00853E63"/>
    <w:rsid w:val="00854B59"/>
    <w:rsid w:val="00860494"/>
    <w:rsid w:val="008624B8"/>
    <w:rsid w:val="00864862"/>
    <w:rsid w:val="0086567C"/>
    <w:rsid w:val="0086645C"/>
    <w:rsid w:val="008671E3"/>
    <w:rsid w:val="00877113"/>
    <w:rsid w:val="008818F4"/>
    <w:rsid w:val="00882F9D"/>
    <w:rsid w:val="00891970"/>
    <w:rsid w:val="0089212B"/>
    <w:rsid w:val="008951D2"/>
    <w:rsid w:val="008A01BE"/>
    <w:rsid w:val="008A2FB3"/>
    <w:rsid w:val="008A3A06"/>
    <w:rsid w:val="008A5287"/>
    <w:rsid w:val="008A5DA4"/>
    <w:rsid w:val="008A7BAF"/>
    <w:rsid w:val="008B2AF5"/>
    <w:rsid w:val="008B3446"/>
    <w:rsid w:val="008B5197"/>
    <w:rsid w:val="008B605F"/>
    <w:rsid w:val="008B61BF"/>
    <w:rsid w:val="008C1770"/>
    <w:rsid w:val="008C5339"/>
    <w:rsid w:val="008C7F66"/>
    <w:rsid w:val="008D110D"/>
    <w:rsid w:val="008D2CF7"/>
    <w:rsid w:val="008E09A2"/>
    <w:rsid w:val="008E0C64"/>
    <w:rsid w:val="008E0C6A"/>
    <w:rsid w:val="008E7A95"/>
    <w:rsid w:val="008E7F55"/>
    <w:rsid w:val="008F106B"/>
    <w:rsid w:val="008F4530"/>
    <w:rsid w:val="008F51E2"/>
    <w:rsid w:val="008F6D8E"/>
    <w:rsid w:val="009013AC"/>
    <w:rsid w:val="009018EB"/>
    <w:rsid w:val="00904711"/>
    <w:rsid w:val="00906150"/>
    <w:rsid w:val="009071D7"/>
    <w:rsid w:val="009076FA"/>
    <w:rsid w:val="00911A09"/>
    <w:rsid w:val="00911DE9"/>
    <w:rsid w:val="00912EA0"/>
    <w:rsid w:val="00913BC2"/>
    <w:rsid w:val="00914BF9"/>
    <w:rsid w:val="00915C5D"/>
    <w:rsid w:val="00925A9D"/>
    <w:rsid w:val="00927643"/>
    <w:rsid w:val="00931DC2"/>
    <w:rsid w:val="0093234D"/>
    <w:rsid w:val="0093237B"/>
    <w:rsid w:val="00932A70"/>
    <w:rsid w:val="009347F9"/>
    <w:rsid w:val="00934BEA"/>
    <w:rsid w:val="009401F9"/>
    <w:rsid w:val="0094185B"/>
    <w:rsid w:val="009438D2"/>
    <w:rsid w:val="00944070"/>
    <w:rsid w:val="00950084"/>
    <w:rsid w:val="00951000"/>
    <w:rsid w:val="0095501A"/>
    <w:rsid w:val="00956072"/>
    <w:rsid w:val="0095780D"/>
    <w:rsid w:val="00960807"/>
    <w:rsid w:val="009641D1"/>
    <w:rsid w:val="00965194"/>
    <w:rsid w:val="00965D84"/>
    <w:rsid w:val="00967636"/>
    <w:rsid w:val="00970408"/>
    <w:rsid w:val="00971ED2"/>
    <w:rsid w:val="00974352"/>
    <w:rsid w:val="0097685D"/>
    <w:rsid w:val="0097760A"/>
    <w:rsid w:val="00982034"/>
    <w:rsid w:val="009842AC"/>
    <w:rsid w:val="00987ECD"/>
    <w:rsid w:val="00990BAA"/>
    <w:rsid w:val="00991538"/>
    <w:rsid w:val="009943DF"/>
    <w:rsid w:val="009945CB"/>
    <w:rsid w:val="00996432"/>
    <w:rsid w:val="009964B5"/>
    <w:rsid w:val="009C07DA"/>
    <w:rsid w:val="009C1E5B"/>
    <w:rsid w:val="009C4656"/>
    <w:rsid w:val="009C61B7"/>
    <w:rsid w:val="009C7623"/>
    <w:rsid w:val="009C7763"/>
    <w:rsid w:val="009D0155"/>
    <w:rsid w:val="009D2E03"/>
    <w:rsid w:val="009D4821"/>
    <w:rsid w:val="009D7A1B"/>
    <w:rsid w:val="009E1F21"/>
    <w:rsid w:val="009E20B0"/>
    <w:rsid w:val="009E5917"/>
    <w:rsid w:val="009E6F71"/>
    <w:rsid w:val="009F2B73"/>
    <w:rsid w:val="009F39E6"/>
    <w:rsid w:val="009F4498"/>
    <w:rsid w:val="00A03D2D"/>
    <w:rsid w:val="00A04972"/>
    <w:rsid w:val="00A05224"/>
    <w:rsid w:val="00A1263C"/>
    <w:rsid w:val="00A15F0B"/>
    <w:rsid w:val="00A210EB"/>
    <w:rsid w:val="00A245AE"/>
    <w:rsid w:val="00A251CC"/>
    <w:rsid w:val="00A2549D"/>
    <w:rsid w:val="00A2672E"/>
    <w:rsid w:val="00A26FB4"/>
    <w:rsid w:val="00A271BC"/>
    <w:rsid w:val="00A31F09"/>
    <w:rsid w:val="00A40582"/>
    <w:rsid w:val="00A41CD9"/>
    <w:rsid w:val="00A435FE"/>
    <w:rsid w:val="00A456A6"/>
    <w:rsid w:val="00A47A52"/>
    <w:rsid w:val="00A47C65"/>
    <w:rsid w:val="00A50357"/>
    <w:rsid w:val="00A533FD"/>
    <w:rsid w:val="00A55473"/>
    <w:rsid w:val="00A57787"/>
    <w:rsid w:val="00A628F8"/>
    <w:rsid w:val="00A65C72"/>
    <w:rsid w:val="00A66B5F"/>
    <w:rsid w:val="00A701BE"/>
    <w:rsid w:val="00A725F4"/>
    <w:rsid w:val="00A738C8"/>
    <w:rsid w:val="00A74B23"/>
    <w:rsid w:val="00A75166"/>
    <w:rsid w:val="00A75266"/>
    <w:rsid w:val="00A7665D"/>
    <w:rsid w:val="00A768B1"/>
    <w:rsid w:val="00A772EC"/>
    <w:rsid w:val="00A857F6"/>
    <w:rsid w:val="00A861D8"/>
    <w:rsid w:val="00A86C36"/>
    <w:rsid w:val="00A87175"/>
    <w:rsid w:val="00A87EF5"/>
    <w:rsid w:val="00A9121A"/>
    <w:rsid w:val="00A92DE4"/>
    <w:rsid w:val="00A94DAF"/>
    <w:rsid w:val="00AA320D"/>
    <w:rsid w:val="00AA3A60"/>
    <w:rsid w:val="00AA73AA"/>
    <w:rsid w:val="00AB2FAA"/>
    <w:rsid w:val="00AB32BC"/>
    <w:rsid w:val="00AB37CA"/>
    <w:rsid w:val="00AB5644"/>
    <w:rsid w:val="00AB7897"/>
    <w:rsid w:val="00AC2FE6"/>
    <w:rsid w:val="00AC4305"/>
    <w:rsid w:val="00AC50D2"/>
    <w:rsid w:val="00AC63C1"/>
    <w:rsid w:val="00AD1BC3"/>
    <w:rsid w:val="00AD25E5"/>
    <w:rsid w:val="00AD5520"/>
    <w:rsid w:val="00AD5AA8"/>
    <w:rsid w:val="00AD765E"/>
    <w:rsid w:val="00AE0496"/>
    <w:rsid w:val="00AE3EA9"/>
    <w:rsid w:val="00AE3FEE"/>
    <w:rsid w:val="00AE6527"/>
    <w:rsid w:val="00AF5598"/>
    <w:rsid w:val="00B005BD"/>
    <w:rsid w:val="00B01390"/>
    <w:rsid w:val="00B12754"/>
    <w:rsid w:val="00B13AFD"/>
    <w:rsid w:val="00B1520D"/>
    <w:rsid w:val="00B17054"/>
    <w:rsid w:val="00B1720C"/>
    <w:rsid w:val="00B20F97"/>
    <w:rsid w:val="00B2270F"/>
    <w:rsid w:val="00B23AF6"/>
    <w:rsid w:val="00B248EE"/>
    <w:rsid w:val="00B27975"/>
    <w:rsid w:val="00B41090"/>
    <w:rsid w:val="00B4296D"/>
    <w:rsid w:val="00B43452"/>
    <w:rsid w:val="00B43B93"/>
    <w:rsid w:val="00B43C64"/>
    <w:rsid w:val="00B43FD2"/>
    <w:rsid w:val="00B4453A"/>
    <w:rsid w:val="00B446EC"/>
    <w:rsid w:val="00B45DEC"/>
    <w:rsid w:val="00B51027"/>
    <w:rsid w:val="00B51576"/>
    <w:rsid w:val="00B52BC3"/>
    <w:rsid w:val="00B53544"/>
    <w:rsid w:val="00B5760C"/>
    <w:rsid w:val="00B6302D"/>
    <w:rsid w:val="00B63F67"/>
    <w:rsid w:val="00B64FAB"/>
    <w:rsid w:val="00B65842"/>
    <w:rsid w:val="00B65A9E"/>
    <w:rsid w:val="00B667F0"/>
    <w:rsid w:val="00B66828"/>
    <w:rsid w:val="00B66EDB"/>
    <w:rsid w:val="00B71A38"/>
    <w:rsid w:val="00B73298"/>
    <w:rsid w:val="00B73FD0"/>
    <w:rsid w:val="00B75ECD"/>
    <w:rsid w:val="00B816E7"/>
    <w:rsid w:val="00B85143"/>
    <w:rsid w:val="00B90921"/>
    <w:rsid w:val="00B90E45"/>
    <w:rsid w:val="00B94504"/>
    <w:rsid w:val="00BA67BC"/>
    <w:rsid w:val="00BB03FB"/>
    <w:rsid w:val="00BB0B65"/>
    <w:rsid w:val="00BB1B5A"/>
    <w:rsid w:val="00BB5D56"/>
    <w:rsid w:val="00BB60F5"/>
    <w:rsid w:val="00BC05C0"/>
    <w:rsid w:val="00BC0AFC"/>
    <w:rsid w:val="00BC2659"/>
    <w:rsid w:val="00BC3CD0"/>
    <w:rsid w:val="00BC7370"/>
    <w:rsid w:val="00BC7735"/>
    <w:rsid w:val="00BD0095"/>
    <w:rsid w:val="00BD0FC7"/>
    <w:rsid w:val="00BD75EA"/>
    <w:rsid w:val="00BE3329"/>
    <w:rsid w:val="00BE37C7"/>
    <w:rsid w:val="00BE4EA1"/>
    <w:rsid w:val="00BE70E3"/>
    <w:rsid w:val="00BE70E6"/>
    <w:rsid w:val="00BF1DA9"/>
    <w:rsid w:val="00BF4576"/>
    <w:rsid w:val="00BF5A9A"/>
    <w:rsid w:val="00BF7818"/>
    <w:rsid w:val="00BF785F"/>
    <w:rsid w:val="00BF7CA1"/>
    <w:rsid w:val="00C03425"/>
    <w:rsid w:val="00C03C05"/>
    <w:rsid w:val="00C1144C"/>
    <w:rsid w:val="00C1234F"/>
    <w:rsid w:val="00C150C7"/>
    <w:rsid w:val="00C156D5"/>
    <w:rsid w:val="00C169A6"/>
    <w:rsid w:val="00C16FD9"/>
    <w:rsid w:val="00C17F5C"/>
    <w:rsid w:val="00C213DD"/>
    <w:rsid w:val="00C24C0D"/>
    <w:rsid w:val="00C272CC"/>
    <w:rsid w:val="00C27BD5"/>
    <w:rsid w:val="00C302B9"/>
    <w:rsid w:val="00C30B43"/>
    <w:rsid w:val="00C32509"/>
    <w:rsid w:val="00C35CA9"/>
    <w:rsid w:val="00C4227F"/>
    <w:rsid w:val="00C42821"/>
    <w:rsid w:val="00C477A8"/>
    <w:rsid w:val="00C51431"/>
    <w:rsid w:val="00C52218"/>
    <w:rsid w:val="00C549EF"/>
    <w:rsid w:val="00C61298"/>
    <w:rsid w:val="00C63FB7"/>
    <w:rsid w:val="00C66E6B"/>
    <w:rsid w:val="00C72D63"/>
    <w:rsid w:val="00C80178"/>
    <w:rsid w:val="00C83C80"/>
    <w:rsid w:val="00C93BF5"/>
    <w:rsid w:val="00CA0C32"/>
    <w:rsid w:val="00CA2216"/>
    <w:rsid w:val="00CA26F9"/>
    <w:rsid w:val="00CB1886"/>
    <w:rsid w:val="00CB2821"/>
    <w:rsid w:val="00CB64A0"/>
    <w:rsid w:val="00CC0EF4"/>
    <w:rsid w:val="00CC1522"/>
    <w:rsid w:val="00CC2729"/>
    <w:rsid w:val="00CC71E0"/>
    <w:rsid w:val="00CC7699"/>
    <w:rsid w:val="00CD2A95"/>
    <w:rsid w:val="00CD3AE5"/>
    <w:rsid w:val="00CD4481"/>
    <w:rsid w:val="00CD659E"/>
    <w:rsid w:val="00CD70C7"/>
    <w:rsid w:val="00CE12B5"/>
    <w:rsid w:val="00CE42BB"/>
    <w:rsid w:val="00CE4B78"/>
    <w:rsid w:val="00CE5008"/>
    <w:rsid w:val="00CE505F"/>
    <w:rsid w:val="00CE6797"/>
    <w:rsid w:val="00CF20DB"/>
    <w:rsid w:val="00CF294C"/>
    <w:rsid w:val="00CF3F3B"/>
    <w:rsid w:val="00CF5AB7"/>
    <w:rsid w:val="00CF5B1C"/>
    <w:rsid w:val="00D0442B"/>
    <w:rsid w:val="00D04D46"/>
    <w:rsid w:val="00D05D88"/>
    <w:rsid w:val="00D07508"/>
    <w:rsid w:val="00D10B95"/>
    <w:rsid w:val="00D10EC1"/>
    <w:rsid w:val="00D1242C"/>
    <w:rsid w:val="00D1653E"/>
    <w:rsid w:val="00D20AA0"/>
    <w:rsid w:val="00D221C9"/>
    <w:rsid w:val="00D22636"/>
    <w:rsid w:val="00D24016"/>
    <w:rsid w:val="00D253E9"/>
    <w:rsid w:val="00D254E9"/>
    <w:rsid w:val="00D302CB"/>
    <w:rsid w:val="00D32D89"/>
    <w:rsid w:val="00D35B8D"/>
    <w:rsid w:val="00D42BB7"/>
    <w:rsid w:val="00D523B1"/>
    <w:rsid w:val="00D5413E"/>
    <w:rsid w:val="00D5693D"/>
    <w:rsid w:val="00D575FF"/>
    <w:rsid w:val="00D6357E"/>
    <w:rsid w:val="00D6386F"/>
    <w:rsid w:val="00D64CCE"/>
    <w:rsid w:val="00D66B41"/>
    <w:rsid w:val="00D70916"/>
    <w:rsid w:val="00D800AF"/>
    <w:rsid w:val="00D80930"/>
    <w:rsid w:val="00D814DF"/>
    <w:rsid w:val="00D8336E"/>
    <w:rsid w:val="00D940F1"/>
    <w:rsid w:val="00DC1AA8"/>
    <w:rsid w:val="00DC1D9A"/>
    <w:rsid w:val="00DC59B9"/>
    <w:rsid w:val="00DD0792"/>
    <w:rsid w:val="00DD3520"/>
    <w:rsid w:val="00DD5440"/>
    <w:rsid w:val="00DD7947"/>
    <w:rsid w:val="00DE016D"/>
    <w:rsid w:val="00DE4DDF"/>
    <w:rsid w:val="00DF6C12"/>
    <w:rsid w:val="00E03B6A"/>
    <w:rsid w:val="00E077FD"/>
    <w:rsid w:val="00E10FE7"/>
    <w:rsid w:val="00E11014"/>
    <w:rsid w:val="00E13159"/>
    <w:rsid w:val="00E13D44"/>
    <w:rsid w:val="00E141D0"/>
    <w:rsid w:val="00E15FC9"/>
    <w:rsid w:val="00E30954"/>
    <w:rsid w:val="00E3181E"/>
    <w:rsid w:val="00E33EDC"/>
    <w:rsid w:val="00E34393"/>
    <w:rsid w:val="00E351E2"/>
    <w:rsid w:val="00E411C3"/>
    <w:rsid w:val="00E45334"/>
    <w:rsid w:val="00E4546B"/>
    <w:rsid w:val="00E459FB"/>
    <w:rsid w:val="00E45F75"/>
    <w:rsid w:val="00E46CFB"/>
    <w:rsid w:val="00E60754"/>
    <w:rsid w:val="00E612D5"/>
    <w:rsid w:val="00E62C14"/>
    <w:rsid w:val="00E62D25"/>
    <w:rsid w:val="00E645FD"/>
    <w:rsid w:val="00E662CD"/>
    <w:rsid w:val="00E66E57"/>
    <w:rsid w:val="00E714AD"/>
    <w:rsid w:val="00E7669F"/>
    <w:rsid w:val="00E76C6E"/>
    <w:rsid w:val="00E8369A"/>
    <w:rsid w:val="00E84FF8"/>
    <w:rsid w:val="00E9323D"/>
    <w:rsid w:val="00E97E5F"/>
    <w:rsid w:val="00EA4D4D"/>
    <w:rsid w:val="00EB10FE"/>
    <w:rsid w:val="00EB6681"/>
    <w:rsid w:val="00EC0D68"/>
    <w:rsid w:val="00EC3313"/>
    <w:rsid w:val="00ED0F8F"/>
    <w:rsid w:val="00ED2EC3"/>
    <w:rsid w:val="00ED5092"/>
    <w:rsid w:val="00ED71BE"/>
    <w:rsid w:val="00EE1B24"/>
    <w:rsid w:val="00EE1B7A"/>
    <w:rsid w:val="00EE7D82"/>
    <w:rsid w:val="00EF04AB"/>
    <w:rsid w:val="00EF3E82"/>
    <w:rsid w:val="00EF5BB9"/>
    <w:rsid w:val="00F055A9"/>
    <w:rsid w:val="00F06BC5"/>
    <w:rsid w:val="00F114B1"/>
    <w:rsid w:val="00F11AA1"/>
    <w:rsid w:val="00F161D4"/>
    <w:rsid w:val="00F16AEB"/>
    <w:rsid w:val="00F208BC"/>
    <w:rsid w:val="00F21751"/>
    <w:rsid w:val="00F24B84"/>
    <w:rsid w:val="00F30AEE"/>
    <w:rsid w:val="00F3273C"/>
    <w:rsid w:val="00F337B7"/>
    <w:rsid w:val="00F40729"/>
    <w:rsid w:val="00F44378"/>
    <w:rsid w:val="00F46076"/>
    <w:rsid w:val="00F47066"/>
    <w:rsid w:val="00F470D8"/>
    <w:rsid w:val="00F5093F"/>
    <w:rsid w:val="00F5102F"/>
    <w:rsid w:val="00F54077"/>
    <w:rsid w:val="00F55E3B"/>
    <w:rsid w:val="00F56B5E"/>
    <w:rsid w:val="00F56CB6"/>
    <w:rsid w:val="00F57DCF"/>
    <w:rsid w:val="00F6125B"/>
    <w:rsid w:val="00F641B0"/>
    <w:rsid w:val="00F673DE"/>
    <w:rsid w:val="00F75521"/>
    <w:rsid w:val="00F77752"/>
    <w:rsid w:val="00F86B42"/>
    <w:rsid w:val="00F918D0"/>
    <w:rsid w:val="00F95A62"/>
    <w:rsid w:val="00F96621"/>
    <w:rsid w:val="00FA0BAE"/>
    <w:rsid w:val="00FA128E"/>
    <w:rsid w:val="00FA2139"/>
    <w:rsid w:val="00FA2543"/>
    <w:rsid w:val="00FA4985"/>
    <w:rsid w:val="00FB293B"/>
    <w:rsid w:val="00FC0C8D"/>
    <w:rsid w:val="00FC305F"/>
    <w:rsid w:val="00FC4121"/>
    <w:rsid w:val="00FC4E65"/>
    <w:rsid w:val="00FC5306"/>
    <w:rsid w:val="00FC661A"/>
    <w:rsid w:val="00FC6DCE"/>
    <w:rsid w:val="00FD1A0A"/>
    <w:rsid w:val="00FD40E6"/>
    <w:rsid w:val="00FE1B17"/>
    <w:rsid w:val="00FE2253"/>
    <w:rsid w:val="00FF29E3"/>
    <w:rsid w:val="00FF2BDA"/>
    <w:rsid w:val="00FF366F"/>
    <w:rsid w:val="00FF517A"/>
    <w:rsid w:val="00FF529B"/>
    <w:rsid w:val="00FF6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38FAB7"/>
  <w15:chartTrackingRefBased/>
  <w15:docId w15:val="{CC084006-5ECE-472E-8509-742553F69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059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5905"/>
    <w:rPr>
      <w:rFonts w:ascii="Segoe UI" w:hAnsi="Segoe UI" w:cs="Segoe UI"/>
      <w:sz w:val="18"/>
      <w:szCs w:val="18"/>
    </w:rPr>
  </w:style>
  <w:style w:type="paragraph" w:styleId="FootnoteText">
    <w:name w:val="footnote text"/>
    <w:basedOn w:val="Normal"/>
    <w:link w:val="FootnoteTextChar"/>
    <w:uiPriority w:val="99"/>
    <w:semiHidden/>
    <w:unhideWhenUsed/>
    <w:rsid w:val="0010590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05905"/>
    <w:rPr>
      <w:sz w:val="20"/>
      <w:szCs w:val="20"/>
    </w:rPr>
  </w:style>
  <w:style w:type="character" w:styleId="FootnoteReference">
    <w:name w:val="footnote reference"/>
    <w:basedOn w:val="DefaultParagraphFont"/>
    <w:uiPriority w:val="99"/>
    <w:semiHidden/>
    <w:unhideWhenUsed/>
    <w:rsid w:val="00105905"/>
    <w:rPr>
      <w:vertAlign w:val="superscript"/>
    </w:rPr>
  </w:style>
  <w:style w:type="character" w:styleId="CommentReference">
    <w:name w:val="annotation reference"/>
    <w:basedOn w:val="DefaultParagraphFont"/>
    <w:uiPriority w:val="99"/>
    <w:semiHidden/>
    <w:unhideWhenUsed/>
    <w:rsid w:val="00105905"/>
    <w:rPr>
      <w:sz w:val="16"/>
      <w:szCs w:val="16"/>
    </w:rPr>
  </w:style>
  <w:style w:type="paragraph" w:styleId="NoSpacing">
    <w:name w:val="No Spacing"/>
    <w:link w:val="NoSpacingChar"/>
    <w:uiPriority w:val="1"/>
    <w:qFormat/>
    <w:rsid w:val="00105905"/>
    <w:pPr>
      <w:spacing w:after="0" w:line="240" w:lineRule="auto"/>
    </w:pPr>
  </w:style>
  <w:style w:type="paragraph" w:styleId="CommentText">
    <w:name w:val="annotation text"/>
    <w:basedOn w:val="Normal"/>
    <w:link w:val="CommentTextChar"/>
    <w:uiPriority w:val="99"/>
    <w:semiHidden/>
    <w:unhideWhenUsed/>
    <w:rsid w:val="00105905"/>
    <w:pPr>
      <w:spacing w:line="240" w:lineRule="auto"/>
    </w:pPr>
    <w:rPr>
      <w:sz w:val="20"/>
      <w:szCs w:val="20"/>
    </w:rPr>
  </w:style>
  <w:style w:type="character" w:customStyle="1" w:styleId="CommentTextChar">
    <w:name w:val="Comment Text Char"/>
    <w:basedOn w:val="DefaultParagraphFont"/>
    <w:link w:val="CommentText"/>
    <w:uiPriority w:val="99"/>
    <w:semiHidden/>
    <w:rsid w:val="00105905"/>
    <w:rPr>
      <w:sz w:val="20"/>
      <w:szCs w:val="20"/>
    </w:rPr>
  </w:style>
  <w:style w:type="character" w:styleId="Hyperlink">
    <w:name w:val="Hyperlink"/>
    <w:basedOn w:val="DefaultParagraphFont"/>
    <w:uiPriority w:val="99"/>
    <w:unhideWhenUsed/>
    <w:rsid w:val="00105905"/>
    <w:rPr>
      <w:color w:val="0563C1" w:themeColor="hyperlink"/>
      <w:u w:val="single"/>
    </w:rPr>
  </w:style>
  <w:style w:type="paragraph" w:styleId="ListParagraph">
    <w:name w:val="List Paragraph"/>
    <w:basedOn w:val="Normal"/>
    <w:uiPriority w:val="34"/>
    <w:qFormat/>
    <w:rsid w:val="00105905"/>
    <w:pPr>
      <w:ind w:left="720"/>
      <w:contextualSpacing/>
    </w:pPr>
  </w:style>
  <w:style w:type="character" w:customStyle="1" w:styleId="NoSpacingChar">
    <w:name w:val="No Spacing Char"/>
    <w:basedOn w:val="DefaultParagraphFont"/>
    <w:link w:val="NoSpacing"/>
    <w:uiPriority w:val="1"/>
    <w:rsid w:val="00B65A9E"/>
  </w:style>
  <w:style w:type="paragraph" w:styleId="Header">
    <w:name w:val="header"/>
    <w:basedOn w:val="Normal"/>
    <w:link w:val="HeaderChar"/>
    <w:uiPriority w:val="99"/>
    <w:unhideWhenUsed/>
    <w:rsid w:val="000E50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057"/>
  </w:style>
  <w:style w:type="paragraph" w:styleId="Footer">
    <w:name w:val="footer"/>
    <w:basedOn w:val="Normal"/>
    <w:link w:val="FooterChar"/>
    <w:uiPriority w:val="99"/>
    <w:unhideWhenUsed/>
    <w:rsid w:val="000E50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057"/>
  </w:style>
  <w:style w:type="table" w:styleId="TableGrid">
    <w:name w:val="Table Grid"/>
    <w:basedOn w:val="TableNormal"/>
    <w:uiPriority w:val="39"/>
    <w:rsid w:val="00A533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B3342"/>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7115FA"/>
    <w:rPr>
      <w:b/>
      <w:bCs/>
    </w:rPr>
  </w:style>
  <w:style w:type="character" w:customStyle="1" w:styleId="CommentSubjectChar">
    <w:name w:val="Comment Subject Char"/>
    <w:basedOn w:val="CommentTextChar"/>
    <w:link w:val="CommentSubject"/>
    <w:uiPriority w:val="99"/>
    <w:semiHidden/>
    <w:rsid w:val="007115FA"/>
    <w:rPr>
      <w:b/>
      <w:bCs/>
      <w:sz w:val="20"/>
      <w:szCs w:val="20"/>
    </w:rPr>
  </w:style>
  <w:style w:type="character" w:styleId="PlaceholderText">
    <w:name w:val="Placeholder Text"/>
    <w:basedOn w:val="DefaultParagraphFont"/>
    <w:uiPriority w:val="99"/>
    <w:semiHidden/>
    <w:rsid w:val="002338B3"/>
    <w:rPr>
      <w:color w:val="808080"/>
    </w:rPr>
  </w:style>
  <w:style w:type="paragraph" w:customStyle="1" w:styleId="Default">
    <w:name w:val="Default"/>
    <w:rsid w:val="00932A70"/>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0379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image" Target="media/image6.jpe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9.jpeg"/><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5.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image" Target="media/image7.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2.xml"/></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6192B83C55D405E985E9D0A087E15A0"/>
        <w:category>
          <w:name w:val="General"/>
          <w:gallery w:val="placeholder"/>
        </w:category>
        <w:types>
          <w:type w:val="bbPlcHdr"/>
        </w:types>
        <w:behaviors>
          <w:behavior w:val="content"/>
        </w:behaviors>
        <w:guid w:val="{A6C4A902-B233-4CAB-8A89-6BD6816E94DC}"/>
      </w:docPartPr>
      <w:docPartBody>
        <w:p w:rsidR="008545A4" w:rsidRDefault="00354958" w:rsidP="00354958">
          <w:pPr>
            <w:pStyle w:val="F6192B83C55D405E985E9D0A087E15A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889"/>
    <w:rsid w:val="000F7001"/>
    <w:rsid w:val="00243889"/>
    <w:rsid w:val="00277C05"/>
    <w:rsid w:val="002848E3"/>
    <w:rsid w:val="00292FD8"/>
    <w:rsid w:val="00354958"/>
    <w:rsid w:val="00411751"/>
    <w:rsid w:val="004758A8"/>
    <w:rsid w:val="004A3531"/>
    <w:rsid w:val="004E5567"/>
    <w:rsid w:val="004F47D1"/>
    <w:rsid w:val="005067F2"/>
    <w:rsid w:val="00541F57"/>
    <w:rsid w:val="005C7A06"/>
    <w:rsid w:val="005D3765"/>
    <w:rsid w:val="00746837"/>
    <w:rsid w:val="00755A84"/>
    <w:rsid w:val="00782607"/>
    <w:rsid w:val="008545A4"/>
    <w:rsid w:val="00911CB6"/>
    <w:rsid w:val="00974EF4"/>
    <w:rsid w:val="00AA409E"/>
    <w:rsid w:val="00B13D1C"/>
    <w:rsid w:val="00B416C8"/>
    <w:rsid w:val="00BF612E"/>
    <w:rsid w:val="00EB1938"/>
    <w:rsid w:val="00F1728F"/>
    <w:rsid w:val="00F65D90"/>
    <w:rsid w:val="00FC5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02F1959AA843479EFFA8934748595D">
    <w:name w:val="2302F1959AA843479EFFA8934748595D"/>
    <w:rsid w:val="00243889"/>
  </w:style>
  <w:style w:type="paragraph" w:customStyle="1" w:styleId="9294536BD7F94E649C50F3258B994703">
    <w:name w:val="9294536BD7F94E649C50F3258B994703"/>
    <w:rsid w:val="00243889"/>
  </w:style>
  <w:style w:type="paragraph" w:customStyle="1" w:styleId="622A9DD47F9E422E9F5729B12E1E09DE">
    <w:name w:val="622A9DD47F9E422E9F5729B12E1E09DE"/>
    <w:rsid w:val="00243889"/>
  </w:style>
  <w:style w:type="paragraph" w:customStyle="1" w:styleId="F771076C7CA348D98032C7D8886B42EE">
    <w:name w:val="F771076C7CA348D98032C7D8886B42EE"/>
    <w:rsid w:val="00243889"/>
  </w:style>
  <w:style w:type="paragraph" w:customStyle="1" w:styleId="5D0BDB1605864FD397C86ECC2C09BF22">
    <w:name w:val="5D0BDB1605864FD397C86ECC2C09BF22"/>
    <w:rsid w:val="00243889"/>
  </w:style>
  <w:style w:type="character" w:styleId="PlaceholderText">
    <w:name w:val="Placeholder Text"/>
    <w:basedOn w:val="DefaultParagraphFont"/>
    <w:uiPriority w:val="99"/>
    <w:semiHidden/>
    <w:rsid w:val="00782607"/>
    <w:rPr>
      <w:color w:val="808080"/>
    </w:rPr>
  </w:style>
  <w:style w:type="paragraph" w:customStyle="1" w:styleId="CF2D69F01CD24BD9AE3CAE8E28ED835B">
    <w:name w:val="CF2D69F01CD24BD9AE3CAE8E28ED835B"/>
    <w:rsid w:val="00354958"/>
  </w:style>
  <w:style w:type="paragraph" w:customStyle="1" w:styleId="2E27BDF4B5C343838353B053D0F2EA0F">
    <w:name w:val="2E27BDF4B5C343838353B053D0F2EA0F"/>
    <w:rsid w:val="00354958"/>
  </w:style>
  <w:style w:type="paragraph" w:customStyle="1" w:styleId="6AC328FDF4FB480F9846E36361D7596F">
    <w:name w:val="6AC328FDF4FB480F9846E36361D7596F"/>
    <w:rsid w:val="00354958"/>
  </w:style>
  <w:style w:type="paragraph" w:customStyle="1" w:styleId="00D45CB916984AB1AE08D646FD08C3CE">
    <w:name w:val="00D45CB916984AB1AE08D646FD08C3CE"/>
    <w:rsid w:val="00354958"/>
  </w:style>
  <w:style w:type="paragraph" w:customStyle="1" w:styleId="C3FA0346627844B6A9C7E2530E7AF8F9">
    <w:name w:val="C3FA0346627844B6A9C7E2530E7AF8F9"/>
    <w:rsid w:val="00354958"/>
  </w:style>
  <w:style w:type="paragraph" w:customStyle="1" w:styleId="F6192B83C55D405E985E9D0A087E15A0">
    <w:name w:val="F6192B83C55D405E985E9D0A087E15A0"/>
    <w:rsid w:val="003549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4" ma:contentTypeDescription="Create a new document." ma:contentTypeScope="" ma:versionID="72b50bad626819d9bc115971fdf00f84">
  <xsd:schema xmlns:xsd="http://www.w3.org/2001/XMLSchema" xmlns:xs="http://www.w3.org/2001/XMLSchema" xmlns:p="http://schemas.microsoft.com/office/2006/metadata/properties" xmlns:ns3="aadfcd52-e379-49eb-a412-e28a16640aff" targetNamespace="http://schemas.microsoft.com/office/2006/metadata/properties" ma:root="true" ma:fieldsID="b723171da5fb3ba62041da52327c875a" ns3:_="">
    <xsd:import namespace="aadfcd52-e379-49eb-a412-e28a16640af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361F7F-C49E-473A-9CE1-47FADAAE819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72713B2-8B64-4787-8660-7ADEDCEA5F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7EDB6F6-D29C-42DF-95AC-04E6940D83A0}">
  <ds:schemaRefs>
    <ds:schemaRef ds:uri="http://schemas.microsoft.com/sharepoint/v3/contenttype/forms"/>
  </ds:schemaRefs>
</ds:datastoreItem>
</file>

<file path=customXml/itemProps4.xml><?xml version="1.0" encoding="utf-8"?>
<ds:datastoreItem xmlns:ds="http://schemas.openxmlformats.org/officeDocument/2006/customXml" ds:itemID="{B7D6235B-B058-4690-B6E5-24C339475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1001</TotalTime>
  <Pages>1</Pages>
  <Words>13615</Words>
  <Characters>77612</Characters>
  <Application>Microsoft Office Word</Application>
  <DocSecurity>0</DocSecurity>
  <Lines>646</Lines>
  <Paragraphs>182</Paragraphs>
  <ScaleCrop>false</ScaleCrop>
  <HeadingPairs>
    <vt:vector size="2" baseType="variant">
      <vt:variant>
        <vt:lpstr>Title</vt:lpstr>
      </vt:variant>
      <vt:variant>
        <vt:i4>1</vt:i4>
      </vt:variant>
    </vt:vector>
  </HeadingPairs>
  <TitlesOfParts>
    <vt:vector size="1" baseType="lpstr">
      <vt:lpstr>Tutankhamun the golden jackpot</vt:lpstr>
    </vt:vector>
  </TitlesOfParts>
  <Company/>
  <LinksUpToDate>false</LinksUpToDate>
  <CharactersWithSpaces>91045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Tutankhamun the golden jackpot</dc:title>
  <dc:subject>The exploitation of Tutankhamun which lead him to become a western commodity and a source of income.</dc:subject>
  <dc:creator>Melisa Pak (1701689)</dc:creator>
  <cp:keywords/>
  <dc:description/>
  <cp:lastModifiedBy>Melisa Pak (1701689)</cp:lastModifiedBy>
  <cp:revision>75</cp:revision>
  <dcterms:created xsi:type="dcterms:W3CDTF">2020-05-01T09:37:00Z</dcterms:created>
  <dcterms:modified xsi:type="dcterms:W3CDTF">2020-05-07T15:33:00Z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